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215B7" w14:textId="77777777" w:rsidR="00E31D1F" w:rsidRPr="00D95C57" w:rsidRDefault="00E31D1F">
      <w:r w:rsidRPr="00D95C57">
        <w:rPr>
          <w:noProof/>
          <w:lang w:val="en-US"/>
        </w:rPr>
        <w:drawing>
          <wp:anchor distT="0" distB="0" distL="114300" distR="114300" simplePos="0" relativeHeight="251663360" behindDoc="1" locked="0" layoutInCell="1" allowOverlap="1" wp14:anchorId="1E281ED0" wp14:editId="0432D527">
            <wp:simplePos x="0" y="0"/>
            <wp:positionH relativeFrom="page">
              <wp:align>right</wp:align>
            </wp:positionH>
            <wp:positionV relativeFrom="page">
              <wp:align>bottom</wp:align>
            </wp:positionV>
            <wp:extent cx="7537450" cy="106706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ctor-Abstract-Wallpapers-9.jpg"/>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537450" cy="106706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spacing w:val="10"/>
          <w:sz w:val="52"/>
          <w:szCs w:val="52"/>
        </w:rPr>
        <w:id w:val="768122045"/>
        <w:docPartObj>
          <w:docPartGallery w:val="Cover Pages"/>
          <w:docPartUnique/>
        </w:docPartObj>
      </w:sdtPr>
      <w:sdtEndPr>
        <w:rPr>
          <w:rFonts w:eastAsiaTheme="minorHAnsi" w:cstheme="minorBidi"/>
          <w:b/>
          <w:bCs/>
          <w:caps w:val="0"/>
          <w:color w:val="0F6FC6" w:themeColor="accent1"/>
          <w:spacing w:val="0"/>
          <w:sz w:val="24"/>
          <w:szCs w:val="24"/>
        </w:rPr>
      </w:sdtEndPr>
      <w:sdtContent>
        <w:p w14:paraId="0AC7DBDC" w14:textId="77777777" w:rsidR="00471638" w:rsidRPr="00D95C57" w:rsidRDefault="00471638">
          <w:pPr>
            <w:rPr>
              <w:rFonts w:asciiTheme="majorHAnsi" w:hAnsiTheme="majorHAnsi"/>
            </w:rPr>
          </w:pPr>
        </w:p>
        <w:p w14:paraId="304A3A40" w14:textId="77777777" w:rsidR="006754B7" w:rsidRPr="00D95C57" w:rsidRDefault="006754B7">
          <w:pPr>
            <w:rPr>
              <w:rFonts w:asciiTheme="majorHAnsi" w:hAnsiTheme="majorHAnsi"/>
              <w:noProof/>
              <w:lang w:eastAsia="ro-RO"/>
            </w:rPr>
          </w:pPr>
        </w:p>
        <w:p w14:paraId="2AA96CFD" w14:textId="77777777" w:rsidR="006754B7" w:rsidRPr="00D95C57" w:rsidRDefault="006754B7">
          <w:pPr>
            <w:rPr>
              <w:rFonts w:asciiTheme="majorHAnsi" w:hAnsiTheme="majorHAnsi"/>
              <w:noProof/>
              <w:lang w:eastAsia="ro-RO"/>
            </w:rPr>
          </w:pPr>
        </w:p>
        <w:p w14:paraId="40C6E12E" w14:textId="77777777" w:rsidR="006754B7" w:rsidRPr="00D95C57" w:rsidRDefault="006754B7">
          <w:pPr>
            <w:rPr>
              <w:rFonts w:asciiTheme="majorHAnsi" w:hAnsiTheme="majorHAnsi"/>
              <w:noProof/>
              <w:lang w:eastAsia="ro-RO"/>
            </w:rPr>
          </w:pPr>
        </w:p>
        <w:p w14:paraId="28B96F30" w14:textId="77777777" w:rsidR="006754B7" w:rsidRPr="00D95C57" w:rsidRDefault="006754B7">
          <w:pPr>
            <w:rPr>
              <w:rFonts w:asciiTheme="majorHAnsi" w:hAnsiTheme="majorHAnsi"/>
              <w:noProof/>
              <w:lang w:eastAsia="ro-RO"/>
            </w:rPr>
          </w:pPr>
        </w:p>
        <w:p w14:paraId="6CEB573B" w14:textId="77777777" w:rsidR="006754B7" w:rsidRPr="00D95C57" w:rsidRDefault="006754B7">
          <w:pPr>
            <w:rPr>
              <w:rFonts w:asciiTheme="majorHAnsi" w:hAnsiTheme="majorHAnsi"/>
              <w:noProof/>
              <w:lang w:eastAsia="ro-RO"/>
            </w:rPr>
          </w:pPr>
        </w:p>
        <w:p w14:paraId="1B7E67A0" w14:textId="77777777" w:rsidR="006754B7" w:rsidRPr="00D95C57" w:rsidRDefault="006754B7">
          <w:pPr>
            <w:rPr>
              <w:rFonts w:asciiTheme="majorHAnsi" w:hAnsiTheme="majorHAnsi"/>
              <w:noProof/>
              <w:lang w:eastAsia="ro-RO"/>
            </w:rPr>
          </w:pPr>
        </w:p>
        <w:p w14:paraId="5B5A1BE5" w14:textId="77777777" w:rsidR="006754B7" w:rsidRPr="00D95C57" w:rsidRDefault="006754B7">
          <w:pPr>
            <w:rPr>
              <w:rFonts w:asciiTheme="majorHAnsi" w:hAnsiTheme="majorHAnsi"/>
              <w:noProof/>
              <w:lang w:eastAsia="ro-RO"/>
            </w:rPr>
          </w:pPr>
        </w:p>
        <w:p w14:paraId="2AED17EE" w14:textId="77777777" w:rsidR="006754B7" w:rsidRPr="00D95C57" w:rsidRDefault="006754B7">
          <w:pPr>
            <w:rPr>
              <w:rFonts w:asciiTheme="majorHAnsi" w:hAnsiTheme="majorHAnsi"/>
              <w:noProof/>
              <w:lang w:eastAsia="ro-RO"/>
            </w:rPr>
          </w:pPr>
        </w:p>
        <w:p w14:paraId="64BBC2FA" w14:textId="77777777" w:rsidR="006754B7" w:rsidRPr="00D95C57" w:rsidRDefault="006754B7">
          <w:pPr>
            <w:rPr>
              <w:rFonts w:asciiTheme="majorHAnsi" w:hAnsiTheme="majorHAnsi"/>
              <w:noProof/>
              <w:lang w:eastAsia="ro-RO"/>
            </w:rPr>
          </w:pPr>
        </w:p>
        <w:p w14:paraId="1233CF88" w14:textId="77777777" w:rsidR="006754B7" w:rsidRPr="00D95C57" w:rsidRDefault="006754B7">
          <w:pPr>
            <w:rPr>
              <w:rFonts w:asciiTheme="majorHAnsi" w:hAnsiTheme="majorHAnsi"/>
              <w:noProof/>
              <w:lang w:eastAsia="ro-RO"/>
            </w:rPr>
          </w:pPr>
        </w:p>
        <w:p w14:paraId="68AD5EA8" w14:textId="77777777" w:rsidR="006754B7" w:rsidRPr="00D95C57" w:rsidRDefault="006754B7">
          <w:pPr>
            <w:rPr>
              <w:rFonts w:asciiTheme="majorHAnsi" w:hAnsiTheme="majorHAnsi"/>
              <w:noProof/>
              <w:lang w:eastAsia="ro-RO"/>
            </w:rPr>
          </w:pPr>
        </w:p>
        <w:p w14:paraId="5E155375" w14:textId="77777777" w:rsidR="00A06393" w:rsidRDefault="00A06393" w:rsidP="00926CAE">
          <w:pPr>
            <w:spacing w:line="240" w:lineRule="auto"/>
            <w:rPr>
              <w:rFonts w:ascii="Cambria" w:hAnsi="Cambria" w:cstheme="minorHAnsi"/>
              <w:b/>
              <w:bCs/>
              <w:noProof/>
              <w:color w:val="0F6FC6" w:themeColor="accent1"/>
              <w:sz w:val="96"/>
              <w:szCs w:val="96"/>
              <w:lang w:eastAsia="ro-RO"/>
            </w:rPr>
          </w:pPr>
        </w:p>
        <w:p w14:paraId="732F9614" w14:textId="77777777" w:rsidR="00B93C86" w:rsidRPr="00EB2CE1" w:rsidRDefault="006754B7" w:rsidP="00926CAE">
          <w:pPr>
            <w:spacing w:line="240" w:lineRule="auto"/>
            <w:rPr>
              <w:rFonts w:ascii="Cambria" w:hAnsi="Cambria" w:cstheme="minorHAnsi"/>
              <w:b/>
              <w:bCs/>
              <w:noProof/>
              <w:color w:val="0F6FC6" w:themeColor="accent1"/>
              <w:sz w:val="96"/>
              <w:szCs w:val="96"/>
              <w:lang w:eastAsia="ro-RO"/>
            </w:rPr>
          </w:pPr>
          <w:r w:rsidRPr="00EB2CE1">
            <w:rPr>
              <w:rFonts w:ascii="Cambria" w:hAnsi="Cambria" w:cstheme="minorHAnsi"/>
              <w:b/>
              <w:bCs/>
              <w:noProof/>
              <w:color w:val="0F6FC6" w:themeColor="accent1"/>
              <w:sz w:val="96"/>
              <w:szCs w:val="96"/>
              <w:lang w:eastAsia="ro-RO"/>
            </w:rPr>
            <w:t xml:space="preserve">RAPORT ANUAL </w:t>
          </w:r>
        </w:p>
        <w:p w14:paraId="039D70A9" w14:textId="77777777" w:rsidR="004357AD" w:rsidRPr="00D95C57" w:rsidRDefault="002D34E2" w:rsidP="00A06393">
          <w:pPr>
            <w:spacing w:before="0" w:after="120"/>
            <w:rPr>
              <w:rFonts w:asciiTheme="majorHAnsi" w:hAnsiTheme="majorHAnsi"/>
              <w:noProof/>
              <w:lang w:eastAsia="ro-RO"/>
            </w:rPr>
          </w:pPr>
          <w:r w:rsidRPr="00EB2CE1">
            <w:rPr>
              <w:rFonts w:ascii="Cambria" w:hAnsi="Cambria" w:cstheme="minorHAnsi"/>
              <w:b/>
              <w:bCs/>
              <w:noProof/>
              <w:color w:val="0F6FC6" w:themeColor="accent1"/>
              <w:sz w:val="28"/>
              <w:szCs w:val="28"/>
              <w:lang w:eastAsia="ro-RO"/>
            </w:rPr>
            <w:t>privind activitatea între</w:t>
          </w:r>
          <w:r w:rsidR="00F712D6" w:rsidRPr="00EB2CE1">
            <w:rPr>
              <w:rFonts w:ascii="Cambria" w:hAnsi="Cambria" w:cstheme="minorHAnsi"/>
              <w:b/>
              <w:bCs/>
              <w:noProof/>
              <w:color w:val="0F6FC6" w:themeColor="accent1"/>
              <w:sz w:val="28"/>
              <w:szCs w:val="28"/>
              <w:lang w:eastAsia="ro-RO"/>
            </w:rPr>
            <w:t>prinderilor publice în anul 20</w:t>
          </w:r>
          <w:r w:rsidR="00C90067">
            <w:rPr>
              <w:rFonts w:ascii="Cambria" w:hAnsi="Cambria" w:cstheme="minorHAnsi"/>
              <w:b/>
              <w:bCs/>
              <w:noProof/>
              <w:color w:val="0F6FC6" w:themeColor="accent1"/>
              <w:sz w:val="28"/>
              <w:szCs w:val="28"/>
              <w:lang w:eastAsia="ro-RO"/>
            </w:rPr>
            <w:t>20</w:t>
          </w:r>
        </w:p>
        <w:p w14:paraId="49F7AC61" w14:textId="77777777" w:rsidR="004357AD" w:rsidRPr="00D95C57" w:rsidRDefault="004357AD" w:rsidP="00926CAE">
          <w:pPr>
            <w:rPr>
              <w:rFonts w:asciiTheme="majorHAnsi" w:hAnsiTheme="majorHAnsi"/>
              <w:noProof/>
              <w:lang w:eastAsia="ro-RO"/>
            </w:rPr>
          </w:pPr>
        </w:p>
        <w:p w14:paraId="3D9CECCA" w14:textId="77777777" w:rsidR="004357AD" w:rsidRPr="00D95C57" w:rsidRDefault="004357AD" w:rsidP="00926CAE">
          <w:pPr>
            <w:rPr>
              <w:rFonts w:asciiTheme="majorHAnsi" w:hAnsiTheme="majorHAnsi"/>
              <w:noProof/>
              <w:lang w:eastAsia="ro-RO"/>
            </w:rPr>
          </w:pPr>
        </w:p>
        <w:p w14:paraId="4834DC45" w14:textId="77777777" w:rsidR="00494BAA" w:rsidRPr="00D95C57" w:rsidRDefault="00C90067" w:rsidP="00D720D9">
          <w:pPr>
            <w:rPr>
              <w:rFonts w:asciiTheme="majorHAnsi" w:hAnsiTheme="majorHAnsi"/>
              <w:b/>
              <w:noProof/>
              <w:lang w:eastAsia="ro-RO"/>
            </w:rPr>
          </w:pPr>
          <w:r>
            <w:rPr>
              <w:noProof/>
              <w:lang w:val="en-US"/>
            </w:rPr>
            <w:drawing>
              <wp:anchor distT="0" distB="0" distL="114300" distR="114300" simplePos="0" relativeHeight="251671552" behindDoc="1" locked="0" layoutInCell="1" allowOverlap="1" wp14:anchorId="2D27E680" wp14:editId="6EC29237">
                <wp:simplePos x="0" y="0"/>
                <wp:positionH relativeFrom="column">
                  <wp:posOffset>69215</wp:posOffset>
                </wp:positionH>
                <wp:positionV relativeFrom="paragraph">
                  <wp:posOffset>1597356</wp:posOffset>
                </wp:positionV>
                <wp:extent cx="1057275" cy="10572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guv_coroana_albastr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39704064" wp14:editId="22631246">
                <wp:simplePos x="0" y="0"/>
                <wp:positionH relativeFrom="column">
                  <wp:posOffset>1198714</wp:posOffset>
                </wp:positionH>
                <wp:positionV relativeFrom="paragraph">
                  <wp:posOffset>1590012</wp:posOffset>
                </wp:positionV>
                <wp:extent cx="1081378" cy="1078590"/>
                <wp:effectExtent l="0" t="0" r="508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F_20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3688" cy="1090868"/>
                        </a:xfrm>
                        <a:prstGeom prst="rect">
                          <a:avLst/>
                        </a:prstGeom>
                      </pic:spPr>
                    </pic:pic>
                  </a:graphicData>
                </a:graphic>
                <wp14:sizeRelH relativeFrom="page">
                  <wp14:pctWidth>0</wp14:pctWidth>
                </wp14:sizeRelH>
                <wp14:sizeRelV relativeFrom="page">
                  <wp14:pctHeight>0</wp14:pctHeight>
                </wp14:sizeRelV>
              </wp:anchor>
            </w:drawing>
          </w:r>
          <w:r w:rsidR="00127951" w:rsidRPr="00D95C57">
            <w:rPr>
              <w:rFonts w:asciiTheme="majorHAnsi" w:hAnsiTheme="majorHAnsi"/>
              <w:b/>
              <w:noProof/>
              <w:lang w:eastAsia="ro-RO"/>
            </w:rPr>
            <w:br w:type="page"/>
          </w:r>
        </w:p>
        <w:p w14:paraId="2EF32992" w14:textId="77777777" w:rsidR="00494BAA" w:rsidRPr="00EB2CE1" w:rsidRDefault="00951515" w:rsidP="00E50FEB">
          <w:pPr>
            <w:ind w:left="-142"/>
            <w:rPr>
              <w:rFonts w:ascii="Cambria" w:hAnsi="Cambria"/>
              <w:b/>
              <w:bCs/>
              <w:color w:val="0F6FC6" w:themeColor="accent1"/>
              <w:sz w:val="36"/>
              <w:szCs w:val="36"/>
            </w:rPr>
          </w:pPr>
          <w:r w:rsidRPr="00EB2CE1">
            <w:rPr>
              <w:rFonts w:ascii="Cambria" w:hAnsi="Cambria"/>
              <w:caps/>
              <w:noProof/>
              <w:color w:val="0F6FC6" w:themeColor="accent1"/>
              <w:sz w:val="22"/>
              <w:szCs w:val="22"/>
              <w:lang w:val="en-US"/>
            </w:rPr>
            <mc:AlternateContent>
              <mc:Choice Requires="wps">
                <w:drawing>
                  <wp:anchor distT="0" distB="0" distL="114300" distR="114300" simplePos="0" relativeHeight="251670528" behindDoc="0" locked="0" layoutInCell="1" allowOverlap="1" wp14:anchorId="4DC0C804" wp14:editId="77C63151">
                    <wp:simplePos x="0" y="0"/>
                    <wp:positionH relativeFrom="margin">
                      <wp:align>right</wp:align>
                    </wp:positionH>
                    <wp:positionV relativeFrom="paragraph">
                      <wp:posOffset>355244</wp:posOffset>
                    </wp:positionV>
                    <wp:extent cx="5876493" cy="7315"/>
                    <wp:effectExtent l="0" t="0" r="29210" b="31115"/>
                    <wp:wrapNone/>
                    <wp:docPr id="460" name="Straight Connector 460"/>
                    <wp:cNvGraphicFramePr/>
                    <a:graphic xmlns:a="http://schemas.openxmlformats.org/drawingml/2006/main">
                      <a:graphicData uri="http://schemas.microsoft.com/office/word/2010/wordprocessingShape">
                        <wps:wsp>
                          <wps:cNvCnPr/>
                          <wps:spPr>
                            <a:xfrm flipV="1">
                              <a:off x="0" y="0"/>
                              <a:ext cx="5876493" cy="7315"/>
                            </a:xfrm>
                            <a:prstGeom prst="line">
                              <a:avLst/>
                            </a:prstGeom>
                            <a:ln>
                              <a:solidFill>
                                <a:schemeClr val="accent1"/>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CCC465" id="Straight Connector 460" o:spid="_x0000_s1026" style="position:absolute;flip:y;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1.5pt,27.95pt" to="874.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" strokecolor="#0f6fc6 [3204]" strokeweight=".5pt">
                    <v:stroke joinstyle="miter"/>
                    <w10:wrap anchorx="margin"/>
                  </v:line>
                </w:pict>
              </mc:Fallback>
            </mc:AlternateContent>
          </w:r>
          <w:r w:rsidR="00494BAA" w:rsidRPr="00EB2CE1">
            <w:rPr>
              <w:rFonts w:ascii="Cambria" w:hAnsi="Cambria"/>
              <w:b/>
              <w:bCs/>
              <w:color w:val="0F6FC6" w:themeColor="accent1"/>
              <w:sz w:val="36"/>
              <w:szCs w:val="36"/>
            </w:rPr>
            <w:t>CUPRINS</w:t>
          </w:r>
        </w:p>
        <w:p w14:paraId="5CE072DB" w14:textId="40CB36B3" w:rsidR="00DE60B1" w:rsidRDefault="00494BAA">
          <w:pPr>
            <w:pStyle w:val="TOC1"/>
            <w:rPr>
              <w:rFonts w:asciiTheme="minorHAnsi" w:eastAsiaTheme="minorEastAsia" w:hAnsiTheme="minorHAnsi" w:cstheme="minorBidi"/>
              <w:b w:val="0"/>
              <w:bCs w:val="0"/>
              <w:caps w:val="0"/>
              <w:color w:val="auto"/>
              <w:sz w:val="22"/>
              <w:lang w:val="en-US"/>
            </w:rPr>
          </w:pPr>
          <w:r w:rsidRPr="005E4009">
            <w:rPr>
              <w:color w:val="262626" w:themeColor="text1" w:themeTint="D9"/>
              <w:sz w:val="6"/>
              <w:szCs w:val="6"/>
            </w:rPr>
            <w:fldChar w:fldCharType="begin"/>
          </w:r>
          <w:r w:rsidRPr="005E4009">
            <w:rPr>
              <w:color w:val="262626" w:themeColor="text1" w:themeTint="D9"/>
              <w:sz w:val="6"/>
              <w:szCs w:val="6"/>
            </w:rPr>
            <w:instrText xml:space="preserve"> TOC \o "1-3" \h \z \u </w:instrText>
          </w:r>
          <w:r w:rsidRPr="005E4009">
            <w:rPr>
              <w:color w:val="262626" w:themeColor="text1" w:themeTint="D9"/>
              <w:sz w:val="6"/>
              <w:szCs w:val="6"/>
            </w:rPr>
            <w:fldChar w:fldCharType="separate"/>
          </w:r>
          <w:hyperlink w:anchor="_Toc87875939" w:history="1">
            <w:r w:rsidR="00DE60B1" w:rsidRPr="002B7A59">
              <w:rPr>
                <w:rStyle w:val="Hyperlink"/>
                <w:lang w:eastAsia="ro-RO"/>
              </w:rPr>
              <w:t>Definiții și abrevieri</w:t>
            </w:r>
            <w:r w:rsidR="00DE60B1">
              <w:rPr>
                <w:webHidden/>
              </w:rPr>
              <w:tab/>
            </w:r>
            <w:r w:rsidR="00DE60B1">
              <w:rPr>
                <w:webHidden/>
              </w:rPr>
              <w:fldChar w:fldCharType="begin"/>
            </w:r>
            <w:r w:rsidR="00DE60B1">
              <w:rPr>
                <w:webHidden/>
              </w:rPr>
              <w:instrText xml:space="preserve"> PAGEREF _Toc87875939 \h </w:instrText>
            </w:r>
            <w:r w:rsidR="00DE60B1">
              <w:rPr>
                <w:webHidden/>
              </w:rPr>
            </w:r>
            <w:r w:rsidR="00DE60B1">
              <w:rPr>
                <w:webHidden/>
              </w:rPr>
              <w:fldChar w:fldCharType="separate"/>
            </w:r>
            <w:r w:rsidR="00DE60B1">
              <w:rPr>
                <w:webHidden/>
              </w:rPr>
              <w:t>2</w:t>
            </w:r>
            <w:r w:rsidR="00DE60B1">
              <w:rPr>
                <w:webHidden/>
              </w:rPr>
              <w:fldChar w:fldCharType="end"/>
            </w:r>
          </w:hyperlink>
        </w:p>
        <w:p w14:paraId="29A32AD4" w14:textId="32A266B1" w:rsidR="00DE60B1" w:rsidRDefault="00DE60B1">
          <w:pPr>
            <w:pStyle w:val="TOC1"/>
            <w:rPr>
              <w:rFonts w:asciiTheme="minorHAnsi" w:eastAsiaTheme="minorEastAsia" w:hAnsiTheme="minorHAnsi" w:cstheme="minorBidi"/>
              <w:b w:val="0"/>
              <w:bCs w:val="0"/>
              <w:caps w:val="0"/>
              <w:color w:val="auto"/>
              <w:sz w:val="22"/>
              <w:lang w:val="en-US"/>
            </w:rPr>
          </w:pPr>
          <w:hyperlink w:anchor="_Toc87875940" w:history="1">
            <w:r w:rsidRPr="002B7A59">
              <w:rPr>
                <w:rStyle w:val="Hyperlink"/>
              </w:rPr>
              <w:t>Cadrul legislativ general aplicat la întocmirea prezentului raport</w:t>
            </w:r>
            <w:r>
              <w:rPr>
                <w:webHidden/>
              </w:rPr>
              <w:tab/>
            </w:r>
            <w:r>
              <w:rPr>
                <w:webHidden/>
              </w:rPr>
              <w:fldChar w:fldCharType="begin"/>
            </w:r>
            <w:r>
              <w:rPr>
                <w:webHidden/>
              </w:rPr>
              <w:instrText xml:space="preserve"> PAGEREF _Toc87875940 \h </w:instrText>
            </w:r>
            <w:r>
              <w:rPr>
                <w:webHidden/>
              </w:rPr>
            </w:r>
            <w:r>
              <w:rPr>
                <w:webHidden/>
              </w:rPr>
              <w:fldChar w:fldCharType="separate"/>
            </w:r>
            <w:r>
              <w:rPr>
                <w:webHidden/>
              </w:rPr>
              <w:t>4</w:t>
            </w:r>
            <w:r>
              <w:rPr>
                <w:webHidden/>
              </w:rPr>
              <w:fldChar w:fldCharType="end"/>
            </w:r>
          </w:hyperlink>
        </w:p>
        <w:p w14:paraId="73AED6BD" w14:textId="0CFDDFF7" w:rsidR="00DE60B1" w:rsidRDefault="00DE60B1">
          <w:pPr>
            <w:pStyle w:val="TOC1"/>
            <w:rPr>
              <w:rFonts w:asciiTheme="minorHAnsi" w:eastAsiaTheme="minorEastAsia" w:hAnsiTheme="minorHAnsi" w:cstheme="minorBidi"/>
              <w:b w:val="0"/>
              <w:bCs w:val="0"/>
              <w:caps w:val="0"/>
              <w:color w:val="auto"/>
              <w:sz w:val="22"/>
              <w:lang w:val="en-US"/>
            </w:rPr>
          </w:pPr>
          <w:hyperlink w:anchor="_Toc87875941" w:history="1">
            <w:r w:rsidRPr="002B7A59">
              <w:rPr>
                <w:rStyle w:val="Hyperlink"/>
              </w:rPr>
              <w:t>Introducere</w:t>
            </w:r>
            <w:r>
              <w:rPr>
                <w:webHidden/>
              </w:rPr>
              <w:tab/>
            </w:r>
            <w:r>
              <w:rPr>
                <w:webHidden/>
              </w:rPr>
              <w:fldChar w:fldCharType="begin"/>
            </w:r>
            <w:r>
              <w:rPr>
                <w:webHidden/>
              </w:rPr>
              <w:instrText xml:space="preserve"> PAGEREF _Toc87875941 \h </w:instrText>
            </w:r>
            <w:r>
              <w:rPr>
                <w:webHidden/>
              </w:rPr>
            </w:r>
            <w:r>
              <w:rPr>
                <w:webHidden/>
              </w:rPr>
              <w:fldChar w:fldCharType="separate"/>
            </w:r>
            <w:r>
              <w:rPr>
                <w:webHidden/>
              </w:rPr>
              <w:t>5</w:t>
            </w:r>
            <w:r>
              <w:rPr>
                <w:webHidden/>
              </w:rPr>
              <w:fldChar w:fldCharType="end"/>
            </w:r>
          </w:hyperlink>
        </w:p>
        <w:p w14:paraId="1570F4B1" w14:textId="624D7202" w:rsidR="00DE60B1" w:rsidRDefault="00DE60B1">
          <w:pPr>
            <w:pStyle w:val="TOC1"/>
            <w:rPr>
              <w:rFonts w:asciiTheme="minorHAnsi" w:eastAsiaTheme="minorEastAsia" w:hAnsiTheme="minorHAnsi" w:cstheme="minorBidi"/>
              <w:b w:val="0"/>
              <w:bCs w:val="0"/>
              <w:caps w:val="0"/>
              <w:color w:val="auto"/>
              <w:sz w:val="22"/>
              <w:lang w:val="en-US"/>
            </w:rPr>
          </w:pPr>
          <w:hyperlink w:anchor="_Toc87875942" w:history="1">
            <w:r w:rsidRPr="002B7A59">
              <w:rPr>
                <w:rStyle w:val="Hyperlink"/>
              </w:rPr>
              <w:t>Date generale despre întreprinderile la care autoritățile publice tutelare centrale și locale dețin participații</w:t>
            </w:r>
            <w:r>
              <w:rPr>
                <w:webHidden/>
              </w:rPr>
              <w:tab/>
            </w:r>
            <w:r>
              <w:rPr>
                <w:webHidden/>
              </w:rPr>
              <w:fldChar w:fldCharType="begin"/>
            </w:r>
            <w:r>
              <w:rPr>
                <w:webHidden/>
              </w:rPr>
              <w:instrText xml:space="preserve"> PAGEREF _Toc87875942 \h </w:instrText>
            </w:r>
            <w:r>
              <w:rPr>
                <w:webHidden/>
              </w:rPr>
            </w:r>
            <w:r>
              <w:rPr>
                <w:webHidden/>
              </w:rPr>
              <w:fldChar w:fldCharType="separate"/>
            </w:r>
            <w:r>
              <w:rPr>
                <w:webHidden/>
              </w:rPr>
              <w:t>6</w:t>
            </w:r>
            <w:r>
              <w:rPr>
                <w:webHidden/>
              </w:rPr>
              <w:fldChar w:fldCharType="end"/>
            </w:r>
          </w:hyperlink>
        </w:p>
        <w:p w14:paraId="2967F0A9" w14:textId="4C6EF463" w:rsidR="00DE60B1" w:rsidRDefault="00DE60B1">
          <w:pPr>
            <w:pStyle w:val="TOC1"/>
            <w:rPr>
              <w:rFonts w:asciiTheme="minorHAnsi" w:eastAsiaTheme="minorEastAsia" w:hAnsiTheme="minorHAnsi" w:cstheme="minorBidi"/>
              <w:b w:val="0"/>
              <w:bCs w:val="0"/>
              <w:caps w:val="0"/>
              <w:color w:val="auto"/>
              <w:sz w:val="22"/>
              <w:lang w:val="en-US"/>
            </w:rPr>
          </w:pPr>
          <w:hyperlink w:anchor="_Toc87875943" w:history="1">
            <w:r w:rsidRPr="002B7A59">
              <w:rPr>
                <w:rStyle w:val="Hyperlink"/>
              </w:rPr>
              <w:t>PARTEA I – Raport privind activitatea ÎNTREPRINDERILOR PUBLICE CENTRALE ÎN anul 2020*</w:t>
            </w:r>
            <w:r>
              <w:rPr>
                <w:webHidden/>
              </w:rPr>
              <w:tab/>
            </w:r>
            <w:r>
              <w:rPr>
                <w:webHidden/>
              </w:rPr>
              <w:fldChar w:fldCharType="begin"/>
            </w:r>
            <w:r>
              <w:rPr>
                <w:webHidden/>
              </w:rPr>
              <w:instrText xml:space="preserve"> PAGEREF _Toc87875943 \h </w:instrText>
            </w:r>
            <w:r>
              <w:rPr>
                <w:webHidden/>
              </w:rPr>
            </w:r>
            <w:r>
              <w:rPr>
                <w:webHidden/>
              </w:rPr>
              <w:fldChar w:fldCharType="separate"/>
            </w:r>
            <w:r>
              <w:rPr>
                <w:webHidden/>
              </w:rPr>
              <w:t>8</w:t>
            </w:r>
            <w:r>
              <w:rPr>
                <w:webHidden/>
              </w:rPr>
              <w:fldChar w:fldCharType="end"/>
            </w:r>
          </w:hyperlink>
        </w:p>
        <w:p w14:paraId="13884C61" w14:textId="0739D13F" w:rsidR="00DE60B1" w:rsidRDefault="00DE60B1">
          <w:pPr>
            <w:pStyle w:val="TOC2"/>
            <w:rPr>
              <w:rFonts w:asciiTheme="minorHAnsi" w:eastAsiaTheme="minorEastAsia" w:hAnsiTheme="minorHAnsi" w:cstheme="minorBidi"/>
              <w:b w:val="0"/>
              <w:bCs w:val="0"/>
              <w:color w:val="auto"/>
              <w:sz w:val="22"/>
              <w:szCs w:val="22"/>
              <w:lang w:val="en-US"/>
            </w:rPr>
          </w:pPr>
          <w:hyperlink w:anchor="_Toc87875944" w:history="1">
            <w:r w:rsidRPr="002B7A59">
              <w:rPr>
                <w:rStyle w:val="Hyperlink"/>
              </w:rPr>
              <w:t>Capitolul 1 – Evoluția numărului întreprinderilor publice centrale deținute de autoritățile publice centrale pe parcursul anului 2020</w:t>
            </w:r>
            <w:r>
              <w:rPr>
                <w:webHidden/>
              </w:rPr>
              <w:tab/>
            </w:r>
            <w:r>
              <w:rPr>
                <w:webHidden/>
              </w:rPr>
              <w:fldChar w:fldCharType="begin"/>
            </w:r>
            <w:r>
              <w:rPr>
                <w:webHidden/>
              </w:rPr>
              <w:instrText xml:space="preserve"> PAGEREF _Toc87875944 \h </w:instrText>
            </w:r>
            <w:r>
              <w:rPr>
                <w:webHidden/>
              </w:rPr>
            </w:r>
            <w:r>
              <w:rPr>
                <w:webHidden/>
              </w:rPr>
              <w:fldChar w:fldCharType="separate"/>
            </w:r>
            <w:r>
              <w:rPr>
                <w:webHidden/>
              </w:rPr>
              <w:t>10</w:t>
            </w:r>
            <w:r>
              <w:rPr>
                <w:webHidden/>
              </w:rPr>
              <w:fldChar w:fldCharType="end"/>
            </w:r>
          </w:hyperlink>
        </w:p>
        <w:p w14:paraId="6EE6D591" w14:textId="08497647" w:rsidR="00DE60B1" w:rsidRDefault="00DE60B1">
          <w:pPr>
            <w:pStyle w:val="TOC2"/>
            <w:rPr>
              <w:rFonts w:asciiTheme="minorHAnsi" w:eastAsiaTheme="minorEastAsia" w:hAnsiTheme="minorHAnsi" w:cstheme="minorBidi"/>
              <w:b w:val="0"/>
              <w:bCs w:val="0"/>
              <w:color w:val="auto"/>
              <w:sz w:val="22"/>
              <w:szCs w:val="22"/>
              <w:lang w:val="en-US"/>
            </w:rPr>
          </w:pPr>
          <w:hyperlink w:anchor="_Toc87875945" w:history="1">
            <w:r w:rsidRPr="002B7A59">
              <w:rPr>
                <w:rStyle w:val="Hyperlink"/>
              </w:rPr>
              <w:t>Capitolul 2 – Evoluția participațiilor statului la întreprinderile publice centrale deținute de autoritățile publice tutelare centrale</w:t>
            </w:r>
            <w:r>
              <w:rPr>
                <w:webHidden/>
              </w:rPr>
              <w:tab/>
            </w:r>
            <w:r>
              <w:rPr>
                <w:webHidden/>
              </w:rPr>
              <w:fldChar w:fldCharType="begin"/>
            </w:r>
            <w:r>
              <w:rPr>
                <w:webHidden/>
              </w:rPr>
              <w:instrText xml:space="preserve"> PAGEREF _Toc87875945 \h </w:instrText>
            </w:r>
            <w:r>
              <w:rPr>
                <w:webHidden/>
              </w:rPr>
            </w:r>
            <w:r>
              <w:rPr>
                <w:webHidden/>
              </w:rPr>
              <w:fldChar w:fldCharType="separate"/>
            </w:r>
            <w:r>
              <w:rPr>
                <w:webHidden/>
              </w:rPr>
              <w:t>11</w:t>
            </w:r>
            <w:r>
              <w:rPr>
                <w:webHidden/>
              </w:rPr>
              <w:fldChar w:fldCharType="end"/>
            </w:r>
          </w:hyperlink>
        </w:p>
        <w:p w14:paraId="289BFB96" w14:textId="30B4D056" w:rsidR="00DE60B1" w:rsidRDefault="00DE60B1">
          <w:pPr>
            <w:pStyle w:val="TOC2"/>
            <w:rPr>
              <w:rFonts w:asciiTheme="minorHAnsi" w:eastAsiaTheme="minorEastAsia" w:hAnsiTheme="minorHAnsi" w:cstheme="minorBidi"/>
              <w:b w:val="0"/>
              <w:bCs w:val="0"/>
              <w:color w:val="auto"/>
              <w:sz w:val="22"/>
              <w:szCs w:val="22"/>
              <w:lang w:val="en-US"/>
            </w:rPr>
          </w:pPr>
          <w:hyperlink w:anchor="_Toc87875946" w:history="1">
            <w:r w:rsidRPr="002B7A59">
              <w:rPr>
                <w:rStyle w:val="Hyperlink"/>
              </w:rPr>
              <w:t>Capitolul 3 – Principalii indicatori economico-financiari înregistrați în anul 2020 de întreprinderile publice centrale</w:t>
            </w:r>
            <w:r>
              <w:rPr>
                <w:webHidden/>
              </w:rPr>
              <w:tab/>
            </w:r>
            <w:r>
              <w:rPr>
                <w:webHidden/>
              </w:rPr>
              <w:fldChar w:fldCharType="begin"/>
            </w:r>
            <w:r>
              <w:rPr>
                <w:webHidden/>
              </w:rPr>
              <w:instrText xml:space="preserve"> PAGEREF _Toc87875946 \h </w:instrText>
            </w:r>
            <w:r>
              <w:rPr>
                <w:webHidden/>
              </w:rPr>
            </w:r>
            <w:r>
              <w:rPr>
                <w:webHidden/>
              </w:rPr>
              <w:fldChar w:fldCharType="separate"/>
            </w:r>
            <w:r>
              <w:rPr>
                <w:webHidden/>
              </w:rPr>
              <w:t>13</w:t>
            </w:r>
            <w:r>
              <w:rPr>
                <w:webHidden/>
              </w:rPr>
              <w:fldChar w:fldCharType="end"/>
            </w:r>
          </w:hyperlink>
        </w:p>
        <w:p w14:paraId="030F7027" w14:textId="2DEE339C" w:rsidR="00DE60B1" w:rsidRDefault="00DE60B1">
          <w:pPr>
            <w:pStyle w:val="TOC3"/>
            <w:rPr>
              <w:rFonts w:asciiTheme="minorHAnsi" w:eastAsiaTheme="minorEastAsia" w:hAnsiTheme="minorHAnsi" w:cstheme="minorBidi"/>
              <w:color w:val="auto"/>
              <w:sz w:val="22"/>
              <w:szCs w:val="22"/>
              <w:lang w:val="en-US"/>
            </w:rPr>
          </w:pPr>
          <w:hyperlink w:anchor="_Toc87875947" w:history="1">
            <w:r w:rsidRPr="002B7A59">
              <w:rPr>
                <w:rStyle w:val="Hyperlink"/>
                <w:b/>
                <w:bCs/>
              </w:rPr>
              <w:t>3.1 – Principalii indicatori economico-financiari ai întreprinderilor publice centrale active</w:t>
            </w:r>
            <w:r>
              <w:rPr>
                <w:webHidden/>
              </w:rPr>
              <w:tab/>
            </w:r>
            <w:r>
              <w:rPr>
                <w:webHidden/>
              </w:rPr>
              <w:fldChar w:fldCharType="begin"/>
            </w:r>
            <w:r>
              <w:rPr>
                <w:webHidden/>
              </w:rPr>
              <w:instrText xml:space="preserve"> PAGEREF _Toc87875947 \h </w:instrText>
            </w:r>
            <w:r>
              <w:rPr>
                <w:webHidden/>
              </w:rPr>
            </w:r>
            <w:r>
              <w:rPr>
                <w:webHidden/>
              </w:rPr>
              <w:fldChar w:fldCharType="separate"/>
            </w:r>
            <w:r>
              <w:rPr>
                <w:webHidden/>
              </w:rPr>
              <w:t>13</w:t>
            </w:r>
            <w:r>
              <w:rPr>
                <w:webHidden/>
              </w:rPr>
              <w:fldChar w:fldCharType="end"/>
            </w:r>
          </w:hyperlink>
        </w:p>
        <w:p w14:paraId="024E46AA" w14:textId="4CA19DA8" w:rsidR="00DE60B1" w:rsidRDefault="00DE60B1">
          <w:pPr>
            <w:pStyle w:val="TOC3"/>
            <w:rPr>
              <w:rFonts w:asciiTheme="minorHAnsi" w:eastAsiaTheme="minorEastAsia" w:hAnsiTheme="minorHAnsi" w:cstheme="minorBidi"/>
              <w:color w:val="auto"/>
              <w:sz w:val="22"/>
              <w:szCs w:val="22"/>
              <w:lang w:val="en-US"/>
            </w:rPr>
          </w:pPr>
          <w:hyperlink w:anchor="_Toc87875948" w:history="1">
            <w:r w:rsidRPr="002B7A59">
              <w:rPr>
                <w:rStyle w:val="Hyperlink"/>
                <w:b/>
                <w:bCs/>
              </w:rPr>
              <w:t>3.2 – Situația principalilor indicatori economico-financiari ai întreprinderilor publice centrale active grupați pe sectoare de activitate în funcție de cifra de afaceri netă</w:t>
            </w:r>
            <w:r>
              <w:rPr>
                <w:webHidden/>
              </w:rPr>
              <w:tab/>
            </w:r>
            <w:r>
              <w:rPr>
                <w:webHidden/>
              </w:rPr>
              <w:fldChar w:fldCharType="begin"/>
            </w:r>
            <w:r>
              <w:rPr>
                <w:webHidden/>
              </w:rPr>
              <w:instrText xml:space="preserve"> PAGEREF _Toc87875948 \h </w:instrText>
            </w:r>
            <w:r>
              <w:rPr>
                <w:webHidden/>
              </w:rPr>
            </w:r>
            <w:r>
              <w:rPr>
                <w:webHidden/>
              </w:rPr>
              <w:fldChar w:fldCharType="separate"/>
            </w:r>
            <w:r>
              <w:rPr>
                <w:webHidden/>
              </w:rPr>
              <w:t>16</w:t>
            </w:r>
            <w:r>
              <w:rPr>
                <w:webHidden/>
              </w:rPr>
              <w:fldChar w:fldCharType="end"/>
            </w:r>
          </w:hyperlink>
        </w:p>
        <w:p w14:paraId="0FF9879C" w14:textId="39EC63FD" w:rsidR="00DE60B1" w:rsidRDefault="00DE60B1">
          <w:pPr>
            <w:pStyle w:val="TOC3"/>
            <w:rPr>
              <w:rFonts w:asciiTheme="minorHAnsi" w:eastAsiaTheme="minorEastAsia" w:hAnsiTheme="minorHAnsi" w:cstheme="minorBidi"/>
              <w:color w:val="auto"/>
              <w:sz w:val="22"/>
              <w:szCs w:val="22"/>
              <w:lang w:val="en-US"/>
            </w:rPr>
          </w:pPr>
          <w:hyperlink w:anchor="_Toc87875949" w:history="1">
            <w:r w:rsidRPr="002B7A59">
              <w:rPr>
                <w:rStyle w:val="Hyperlink"/>
                <w:b/>
                <w:bCs/>
              </w:rPr>
              <w:t>3.3 – Evoluția plăților restante înregistrate de întreprinderile publice centrale</w:t>
            </w:r>
            <w:r>
              <w:rPr>
                <w:webHidden/>
              </w:rPr>
              <w:tab/>
            </w:r>
            <w:r>
              <w:rPr>
                <w:webHidden/>
              </w:rPr>
              <w:fldChar w:fldCharType="begin"/>
            </w:r>
            <w:r>
              <w:rPr>
                <w:webHidden/>
              </w:rPr>
              <w:instrText xml:space="preserve"> PAGEREF _Toc87875949 \h </w:instrText>
            </w:r>
            <w:r>
              <w:rPr>
                <w:webHidden/>
              </w:rPr>
            </w:r>
            <w:r>
              <w:rPr>
                <w:webHidden/>
              </w:rPr>
              <w:fldChar w:fldCharType="separate"/>
            </w:r>
            <w:r>
              <w:rPr>
                <w:webHidden/>
              </w:rPr>
              <w:t>18</w:t>
            </w:r>
            <w:r>
              <w:rPr>
                <w:webHidden/>
              </w:rPr>
              <w:fldChar w:fldCharType="end"/>
            </w:r>
          </w:hyperlink>
        </w:p>
        <w:p w14:paraId="72D41759" w14:textId="616872FE" w:rsidR="00DE60B1" w:rsidRDefault="00DE60B1">
          <w:pPr>
            <w:pStyle w:val="TOC3"/>
            <w:rPr>
              <w:rFonts w:asciiTheme="minorHAnsi" w:eastAsiaTheme="minorEastAsia" w:hAnsiTheme="minorHAnsi" w:cstheme="minorBidi"/>
              <w:color w:val="auto"/>
              <w:sz w:val="22"/>
              <w:szCs w:val="22"/>
              <w:lang w:val="en-US"/>
            </w:rPr>
          </w:pPr>
          <w:hyperlink w:anchor="_Toc87875950" w:history="1">
            <w:r w:rsidRPr="002B7A59">
              <w:rPr>
                <w:rStyle w:val="Hyperlink"/>
                <w:b/>
                <w:bCs/>
              </w:rPr>
              <w:t>3.4 – Evoluția personalului și a cheltuielilor cu personalul la întreprinderile publice centrale</w:t>
            </w:r>
            <w:r>
              <w:rPr>
                <w:webHidden/>
              </w:rPr>
              <w:tab/>
            </w:r>
            <w:r>
              <w:rPr>
                <w:webHidden/>
              </w:rPr>
              <w:fldChar w:fldCharType="begin"/>
            </w:r>
            <w:r>
              <w:rPr>
                <w:webHidden/>
              </w:rPr>
              <w:instrText xml:space="preserve"> PAGEREF _Toc87875950 \h </w:instrText>
            </w:r>
            <w:r>
              <w:rPr>
                <w:webHidden/>
              </w:rPr>
            </w:r>
            <w:r>
              <w:rPr>
                <w:webHidden/>
              </w:rPr>
              <w:fldChar w:fldCharType="separate"/>
            </w:r>
            <w:r>
              <w:rPr>
                <w:webHidden/>
              </w:rPr>
              <w:t>20</w:t>
            </w:r>
            <w:r>
              <w:rPr>
                <w:webHidden/>
              </w:rPr>
              <w:fldChar w:fldCharType="end"/>
            </w:r>
          </w:hyperlink>
        </w:p>
        <w:p w14:paraId="4D90A5F0" w14:textId="301BB259" w:rsidR="00DE60B1" w:rsidRDefault="00DE60B1">
          <w:pPr>
            <w:pStyle w:val="TOC3"/>
            <w:rPr>
              <w:rFonts w:asciiTheme="minorHAnsi" w:eastAsiaTheme="minorEastAsia" w:hAnsiTheme="minorHAnsi" w:cstheme="minorBidi"/>
              <w:color w:val="auto"/>
              <w:sz w:val="22"/>
              <w:szCs w:val="22"/>
              <w:lang w:val="en-US"/>
            </w:rPr>
          </w:pPr>
          <w:hyperlink w:anchor="_Toc87875951" w:history="1">
            <w:r w:rsidRPr="002B7A59">
              <w:rPr>
                <w:rStyle w:val="Hyperlink"/>
                <w:b/>
                <w:bCs/>
              </w:rPr>
              <w:t>3.5 – Subvenții de la Bugetul de Stat acordate întreprinderilor publice centrale</w:t>
            </w:r>
            <w:r>
              <w:rPr>
                <w:webHidden/>
              </w:rPr>
              <w:tab/>
            </w:r>
            <w:r>
              <w:rPr>
                <w:webHidden/>
              </w:rPr>
              <w:fldChar w:fldCharType="begin"/>
            </w:r>
            <w:r>
              <w:rPr>
                <w:webHidden/>
              </w:rPr>
              <w:instrText xml:space="preserve"> PAGEREF _Toc87875951 \h </w:instrText>
            </w:r>
            <w:r>
              <w:rPr>
                <w:webHidden/>
              </w:rPr>
            </w:r>
            <w:r>
              <w:rPr>
                <w:webHidden/>
              </w:rPr>
              <w:fldChar w:fldCharType="separate"/>
            </w:r>
            <w:r>
              <w:rPr>
                <w:webHidden/>
              </w:rPr>
              <w:t>22</w:t>
            </w:r>
            <w:r>
              <w:rPr>
                <w:webHidden/>
              </w:rPr>
              <w:fldChar w:fldCharType="end"/>
            </w:r>
          </w:hyperlink>
        </w:p>
        <w:p w14:paraId="413AD283" w14:textId="5998416B" w:rsidR="00DE60B1" w:rsidRDefault="00DE60B1">
          <w:pPr>
            <w:pStyle w:val="TOC3"/>
            <w:rPr>
              <w:rFonts w:asciiTheme="minorHAnsi" w:eastAsiaTheme="minorEastAsia" w:hAnsiTheme="minorHAnsi" w:cstheme="minorBidi"/>
              <w:color w:val="auto"/>
              <w:sz w:val="22"/>
              <w:szCs w:val="22"/>
              <w:lang w:val="en-US"/>
            </w:rPr>
          </w:pPr>
          <w:hyperlink w:anchor="_Toc87875952" w:history="1">
            <w:r w:rsidRPr="002B7A59">
              <w:rPr>
                <w:rStyle w:val="Hyperlink"/>
                <w:b/>
                <w:bCs/>
              </w:rPr>
              <w:t>3.6 – Dividende și vărsăminte repartizate și virate de întreprinderile publice centrale</w:t>
            </w:r>
            <w:r>
              <w:rPr>
                <w:webHidden/>
              </w:rPr>
              <w:tab/>
            </w:r>
            <w:r>
              <w:rPr>
                <w:webHidden/>
              </w:rPr>
              <w:fldChar w:fldCharType="begin"/>
            </w:r>
            <w:r>
              <w:rPr>
                <w:webHidden/>
              </w:rPr>
              <w:instrText xml:space="preserve"> PAGEREF _Toc87875952 \h </w:instrText>
            </w:r>
            <w:r>
              <w:rPr>
                <w:webHidden/>
              </w:rPr>
            </w:r>
            <w:r>
              <w:rPr>
                <w:webHidden/>
              </w:rPr>
              <w:fldChar w:fldCharType="separate"/>
            </w:r>
            <w:r>
              <w:rPr>
                <w:webHidden/>
              </w:rPr>
              <w:t>24</w:t>
            </w:r>
            <w:r>
              <w:rPr>
                <w:webHidden/>
              </w:rPr>
              <w:fldChar w:fldCharType="end"/>
            </w:r>
          </w:hyperlink>
        </w:p>
        <w:p w14:paraId="08AABBC4" w14:textId="7FC56340" w:rsidR="00DE60B1" w:rsidRDefault="00DE60B1">
          <w:pPr>
            <w:pStyle w:val="TOC3"/>
            <w:rPr>
              <w:rFonts w:asciiTheme="minorHAnsi" w:eastAsiaTheme="minorEastAsia" w:hAnsiTheme="minorHAnsi" w:cstheme="minorBidi"/>
              <w:color w:val="auto"/>
              <w:sz w:val="22"/>
              <w:szCs w:val="22"/>
              <w:lang w:val="en-US"/>
            </w:rPr>
          </w:pPr>
          <w:hyperlink w:anchor="_Toc87875953" w:history="1">
            <w:r w:rsidRPr="002B7A59">
              <w:rPr>
                <w:rStyle w:val="Hyperlink"/>
                <w:b/>
                <w:bCs/>
              </w:rPr>
              <w:t>3.7 – Primele zece întreprinderi publice centrale active care au înregistrat pierdere brută în anul 2020</w:t>
            </w:r>
            <w:r>
              <w:rPr>
                <w:webHidden/>
              </w:rPr>
              <w:tab/>
            </w:r>
            <w:r>
              <w:rPr>
                <w:webHidden/>
              </w:rPr>
              <w:fldChar w:fldCharType="begin"/>
            </w:r>
            <w:r>
              <w:rPr>
                <w:webHidden/>
              </w:rPr>
              <w:instrText xml:space="preserve"> PAGEREF _Toc87875953 \h </w:instrText>
            </w:r>
            <w:r>
              <w:rPr>
                <w:webHidden/>
              </w:rPr>
            </w:r>
            <w:r>
              <w:rPr>
                <w:webHidden/>
              </w:rPr>
              <w:fldChar w:fldCharType="separate"/>
            </w:r>
            <w:r>
              <w:rPr>
                <w:webHidden/>
              </w:rPr>
              <w:t>27</w:t>
            </w:r>
            <w:r>
              <w:rPr>
                <w:webHidden/>
              </w:rPr>
              <w:fldChar w:fldCharType="end"/>
            </w:r>
          </w:hyperlink>
        </w:p>
        <w:p w14:paraId="18F20F52" w14:textId="3292EF22" w:rsidR="00DE60B1" w:rsidRDefault="00DE60B1">
          <w:pPr>
            <w:pStyle w:val="TOC2"/>
            <w:rPr>
              <w:rFonts w:asciiTheme="minorHAnsi" w:eastAsiaTheme="minorEastAsia" w:hAnsiTheme="minorHAnsi" w:cstheme="minorBidi"/>
              <w:b w:val="0"/>
              <w:bCs w:val="0"/>
              <w:color w:val="auto"/>
              <w:sz w:val="22"/>
              <w:szCs w:val="22"/>
              <w:lang w:val="en-US"/>
            </w:rPr>
          </w:pPr>
          <w:hyperlink w:anchor="_Toc87875954" w:history="1">
            <w:r w:rsidRPr="002B7A59">
              <w:rPr>
                <w:rStyle w:val="Hyperlink"/>
                <w:rFonts w:cstheme="majorHAnsi"/>
              </w:rPr>
              <w:t>Capitolul 4 – Aplicarea prevederilor O.U.G. nr. 109/2011 și a principiilor de guvernanță corporativă la întreprinderile publice centrale deținute de autoritățile publice tutelare centrale</w:t>
            </w:r>
            <w:r>
              <w:rPr>
                <w:webHidden/>
              </w:rPr>
              <w:tab/>
            </w:r>
            <w:r>
              <w:rPr>
                <w:webHidden/>
              </w:rPr>
              <w:fldChar w:fldCharType="begin"/>
            </w:r>
            <w:r>
              <w:rPr>
                <w:webHidden/>
              </w:rPr>
              <w:instrText xml:space="preserve"> PAGEREF _Toc87875954 \h </w:instrText>
            </w:r>
            <w:r>
              <w:rPr>
                <w:webHidden/>
              </w:rPr>
            </w:r>
            <w:r>
              <w:rPr>
                <w:webHidden/>
              </w:rPr>
              <w:fldChar w:fldCharType="separate"/>
            </w:r>
            <w:r>
              <w:rPr>
                <w:webHidden/>
              </w:rPr>
              <w:t>29</w:t>
            </w:r>
            <w:r>
              <w:rPr>
                <w:webHidden/>
              </w:rPr>
              <w:fldChar w:fldCharType="end"/>
            </w:r>
          </w:hyperlink>
        </w:p>
        <w:p w14:paraId="19426A59" w14:textId="1BF3D35D" w:rsidR="00DE60B1" w:rsidRDefault="00DE60B1">
          <w:pPr>
            <w:pStyle w:val="TOC3"/>
            <w:rPr>
              <w:rFonts w:asciiTheme="minorHAnsi" w:eastAsiaTheme="minorEastAsia" w:hAnsiTheme="minorHAnsi" w:cstheme="minorBidi"/>
              <w:color w:val="auto"/>
              <w:sz w:val="22"/>
              <w:szCs w:val="22"/>
              <w:lang w:val="en-US"/>
            </w:rPr>
          </w:pPr>
          <w:hyperlink w:anchor="_Toc87875955" w:history="1">
            <w:r w:rsidRPr="002B7A59">
              <w:rPr>
                <w:rStyle w:val="Hyperlink"/>
                <w:rFonts w:cstheme="majorHAnsi"/>
                <w:b/>
                <w:bCs/>
              </w:rPr>
              <w:t>4.1 - Stadiul transmiterii informațiilor de către autoritățile publice tutelare centrale conform prevederilor O.M.F.P. nr. 1952/2018</w:t>
            </w:r>
            <w:r>
              <w:rPr>
                <w:webHidden/>
              </w:rPr>
              <w:tab/>
            </w:r>
            <w:r>
              <w:rPr>
                <w:webHidden/>
              </w:rPr>
              <w:fldChar w:fldCharType="begin"/>
            </w:r>
            <w:r>
              <w:rPr>
                <w:webHidden/>
              </w:rPr>
              <w:instrText xml:space="preserve"> PAGEREF _Toc87875955 \h </w:instrText>
            </w:r>
            <w:r>
              <w:rPr>
                <w:webHidden/>
              </w:rPr>
            </w:r>
            <w:r>
              <w:rPr>
                <w:webHidden/>
              </w:rPr>
              <w:fldChar w:fldCharType="separate"/>
            </w:r>
            <w:r>
              <w:rPr>
                <w:webHidden/>
              </w:rPr>
              <w:t>29</w:t>
            </w:r>
            <w:r>
              <w:rPr>
                <w:webHidden/>
              </w:rPr>
              <w:fldChar w:fldCharType="end"/>
            </w:r>
          </w:hyperlink>
        </w:p>
        <w:p w14:paraId="23F69C98" w14:textId="4AA398B6" w:rsidR="00DE60B1" w:rsidRDefault="00DE60B1">
          <w:pPr>
            <w:pStyle w:val="TOC3"/>
            <w:rPr>
              <w:rFonts w:asciiTheme="minorHAnsi" w:eastAsiaTheme="minorEastAsia" w:hAnsiTheme="minorHAnsi" w:cstheme="minorBidi"/>
              <w:color w:val="auto"/>
              <w:sz w:val="22"/>
              <w:szCs w:val="22"/>
              <w:lang w:val="en-US"/>
            </w:rPr>
          </w:pPr>
          <w:hyperlink w:anchor="_Toc87875956" w:history="1">
            <w:r w:rsidRPr="002B7A59">
              <w:rPr>
                <w:rStyle w:val="Hyperlink"/>
                <w:rFonts w:cstheme="majorHAnsi"/>
                <w:b/>
                <w:bCs/>
              </w:rPr>
              <w:t>4.2 – Stadiul procesului de selecție a consiliului de administrație sau supraveghere și a directorilor sau directoratului la întreprinderile publice centrale</w:t>
            </w:r>
            <w:r>
              <w:rPr>
                <w:webHidden/>
              </w:rPr>
              <w:tab/>
            </w:r>
            <w:r>
              <w:rPr>
                <w:webHidden/>
              </w:rPr>
              <w:fldChar w:fldCharType="begin"/>
            </w:r>
            <w:r>
              <w:rPr>
                <w:webHidden/>
              </w:rPr>
              <w:instrText xml:space="preserve"> PAGEREF _Toc87875956 \h </w:instrText>
            </w:r>
            <w:r>
              <w:rPr>
                <w:webHidden/>
              </w:rPr>
            </w:r>
            <w:r>
              <w:rPr>
                <w:webHidden/>
              </w:rPr>
              <w:fldChar w:fldCharType="separate"/>
            </w:r>
            <w:r>
              <w:rPr>
                <w:webHidden/>
              </w:rPr>
              <w:t>31</w:t>
            </w:r>
            <w:r>
              <w:rPr>
                <w:webHidden/>
              </w:rPr>
              <w:fldChar w:fldCharType="end"/>
            </w:r>
          </w:hyperlink>
        </w:p>
        <w:p w14:paraId="46E238E7" w14:textId="34A7BF18" w:rsidR="00DE60B1" w:rsidRDefault="00DE60B1">
          <w:pPr>
            <w:pStyle w:val="TOC3"/>
            <w:rPr>
              <w:rFonts w:asciiTheme="minorHAnsi" w:eastAsiaTheme="minorEastAsia" w:hAnsiTheme="minorHAnsi" w:cstheme="minorBidi"/>
              <w:color w:val="auto"/>
              <w:sz w:val="22"/>
              <w:szCs w:val="22"/>
              <w:lang w:val="en-US"/>
            </w:rPr>
          </w:pPr>
          <w:hyperlink w:anchor="_Toc87875957" w:history="1">
            <w:r w:rsidRPr="002B7A59">
              <w:rPr>
                <w:rStyle w:val="Hyperlink"/>
                <w:rFonts w:cstheme="majorHAnsi"/>
                <w:b/>
                <w:bCs/>
              </w:rPr>
              <w:t>4.3 – Stadiul îndeplinirii indicatorilor cheie de performanță din contractele de mandat ale administratorilor și directorilor/directoratului la întreprinderile publice centrale</w:t>
            </w:r>
            <w:r>
              <w:rPr>
                <w:webHidden/>
              </w:rPr>
              <w:tab/>
            </w:r>
            <w:r>
              <w:rPr>
                <w:webHidden/>
              </w:rPr>
              <w:fldChar w:fldCharType="begin"/>
            </w:r>
            <w:r>
              <w:rPr>
                <w:webHidden/>
              </w:rPr>
              <w:instrText xml:space="preserve"> PAGEREF _Toc87875957 \h </w:instrText>
            </w:r>
            <w:r>
              <w:rPr>
                <w:webHidden/>
              </w:rPr>
            </w:r>
            <w:r>
              <w:rPr>
                <w:webHidden/>
              </w:rPr>
              <w:fldChar w:fldCharType="separate"/>
            </w:r>
            <w:r>
              <w:rPr>
                <w:webHidden/>
              </w:rPr>
              <w:t>34</w:t>
            </w:r>
            <w:r>
              <w:rPr>
                <w:webHidden/>
              </w:rPr>
              <w:fldChar w:fldCharType="end"/>
            </w:r>
          </w:hyperlink>
        </w:p>
        <w:p w14:paraId="6FADCCE8" w14:textId="1060FBE7" w:rsidR="00DE60B1" w:rsidRDefault="00DE60B1">
          <w:pPr>
            <w:pStyle w:val="TOC3"/>
            <w:rPr>
              <w:rFonts w:asciiTheme="minorHAnsi" w:eastAsiaTheme="minorEastAsia" w:hAnsiTheme="minorHAnsi" w:cstheme="minorBidi"/>
              <w:color w:val="auto"/>
              <w:sz w:val="22"/>
              <w:szCs w:val="22"/>
              <w:lang w:val="en-US"/>
            </w:rPr>
          </w:pPr>
          <w:hyperlink w:anchor="_Toc87875958" w:history="1">
            <w:r w:rsidRPr="002B7A59">
              <w:rPr>
                <w:rStyle w:val="Hyperlink"/>
                <w:rFonts w:cstheme="majorHAnsi"/>
                <w:b/>
                <w:bCs/>
              </w:rPr>
              <w:t>4.4 – Structura organelor de conducere ale întreprinderilor publice centrale, pe parcursul anului 2020</w:t>
            </w:r>
            <w:r>
              <w:rPr>
                <w:webHidden/>
              </w:rPr>
              <w:tab/>
            </w:r>
            <w:r>
              <w:rPr>
                <w:webHidden/>
              </w:rPr>
              <w:fldChar w:fldCharType="begin"/>
            </w:r>
            <w:r>
              <w:rPr>
                <w:webHidden/>
              </w:rPr>
              <w:instrText xml:space="preserve"> PAGEREF _Toc87875958 \h </w:instrText>
            </w:r>
            <w:r>
              <w:rPr>
                <w:webHidden/>
              </w:rPr>
            </w:r>
            <w:r>
              <w:rPr>
                <w:webHidden/>
              </w:rPr>
              <w:fldChar w:fldCharType="separate"/>
            </w:r>
            <w:r>
              <w:rPr>
                <w:webHidden/>
              </w:rPr>
              <w:t>36</w:t>
            </w:r>
            <w:r>
              <w:rPr>
                <w:webHidden/>
              </w:rPr>
              <w:fldChar w:fldCharType="end"/>
            </w:r>
          </w:hyperlink>
        </w:p>
        <w:p w14:paraId="799ADC0F" w14:textId="3E8264DF" w:rsidR="00DE60B1" w:rsidRDefault="00DE60B1">
          <w:pPr>
            <w:pStyle w:val="TOC3"/>
            <w:rPr>
              <w:rFonts w:asciiTheme="minorHAnsi" w:eastAsiaTheme="minorEastAsia" w:hAnsiTheme="minorHAnsi" w:cstheme="minorBidi"/>
              <w:color w:val="auto"/>
              <w:sz w:val="22"/>
              <w:szCs w:val="22"/>
              <w:lang w:val="en-US"/>
            </w:rPr>
          </w:pPr>
          <w:hyperlink w:anchor="_Toc87875959" w:history="1">
            <w:r w:rsidRPr="002B7A59">
              <w:rPr>
                <w:rStyle w:val="Hyperlink"/>
                <w:rFonts w:cstheme="majorHAnsi"/>
                <w:b/>
                <w:bCs/>
              </w:rPr>
              <w:t>4.5 – Evoluția aplicării prevederilor și principiilor de transparență la întreprinderile publice centrale</w:t>
            </w:r>
            <w:r>
              <w:rPr>
                <w:webHidden/>
              </w:rPr>
              <w:tab/>
            </w:r>
            <w:r>
              <w:rPr>
                <w:webHidden/>
              </w:rPr>
              <w:fldChar w:fldCharType="begin"/>
            </w:r>
            <w:r>
              <w:rPr>
                <w:webHidden/>
              </w:rPr>
              <w:instrText xml:space="preserve"> PAGEREF _Toc87875959 \h </w:instrText>
            </w:r>
            <w:r>
              <w:rPr>
                <w:webHidden/>
              </w:rPr>
            </w:r>
            <w:r>
              <w:rPr>
                <w:webHidden/>
              </w:rPr>
              <w:fldChar w:fldCharType="separate"/>
            </w:r>
            <w:r>
              <w:rPr>
                <w:webHidden/>
              </w:rPr>
              <w:t>37</w:t>
            </w:r>
            <w:r>
              <w:rPr>
                <w:webHidden/>
              </w:rPr>
              <w:fldChar w:fldCharType="end"/>
            </w:r>
          </w:hyperlink>
        </w:p>
        <w:p w14:paraId="44F92E59" w14:textId="4F315EE2" w:rsidR="00DE60B1" w:rsidRDefault="00DE60B1">
          <w:pPr>
            <w:pStyle w:val="TOC1"/>
            <w:rPr>
              <w:rFonts w:asciiTheme="minorHAnsi" w:eastAsiaTheme="minorEastAsia" w:hAnsiTheme="minorHAnsi" w:cstheme="minorBidi"/>
              <w:b w:val="0"/>
              <w:bCs w:val="0"/>
              <w:caps w:val="0"/>
              <w:color w:val="auto"/>
              <w:sz w:val="22"/>
              <w:lang w:val="en-US"/>
            </w:rPr>
          </w:pPr>
          <w:hyperlink w:anchor="_Toc87875960" w:history="1">
            <w:r w:rsidRPr="002B7A59">
              <w:rPr>
                <w:rStyle w:val="Hyperlink"/>
              </w:rPr>
              <w:t>PARTEA II – Raport privind activitatea ÎNTREPRINDERILOR PUBLICE LOCALE ÎN anul 2020</w:t>
            </w:r>
            <w:r>
              <w:rPr>
                <w:webHidden/>
              </w:rPr>
              <w:tab/>
            </w:r>
            <w:r>
              <w:rPr>
                <w:webHidden/>
              </w:rPr>
              <w:fldChar w:fldCharType="begin"/>
            </w:r>
            <w:r>
              <w:rPr>
                <w:webHidden/>
              </w:rPr>
              <w:instrText xml:space="preserve"> PAGEREF _Toc87875960 \h </w:instrText>
            </w:r>
            <w:r>
              <w:rPr>
                <w:webHidden/>
              </w:rPr>
            </w:r>
            <w:r>
              <w:rPr>
                <w:webHidden/>
              </w:rPr>
              <w:fldChar w:fldCharType="separate"/>
            </w:r>
            <w:r>
              <w:rPr>
                <w:webHidden/>
              </w:rPr>
              <w:t>40</w:t>
            </w:r>
            <w:r>
              <w:rPr>
                <w:webHidden/>
              </w:rPr>
              <w:fldChar w:fldCharType="end"/>
            </w:r>
          </w:hyperlink>
        </w:p>
        <w:p w14:paraId="2673F2C3" w14:textId="2AE9CA54" w:rsidR="00DE60B1" w:rsidRDefault="00DE60B1">
          <w:pPr>
            <w:pStyle w:val="TOC2"/>
            <w:rPr>
              <w:rFonts w:asciiTheme="minorHAnsi" w:eastAsiaTheme="minorEastAsia" w:hAnsiTheme="minorHAnsi" w:cstheme="minorBidi"/>
              <w:b w:val="0"/>
              <w:bCs w:val="0"/>
              <w:color w:val="auto"/>
              <w:sz w:val="22"/>
              <w:szCs w:val="22"/>
              <w:lang w:val="en-US"/>
            </w:rPr>
          </w:pPr>
          <w:hyperlink w:anchor="_Toc87875961" w:history="1">
            <w:r w:rsidRPr="002B7A59">
              <w:rPr>
                <w:rStyle w:val="Hyperlink"/>
              </w:rPr>
              <w:t>Capitolul 1 – Evoluția numărului de întreprinderi publice locale deținute de autoritățile publice locale pe parcursul anului 2020</w:t>
            </w:r>
            <w:r>
              <w:rPr>
                <w:webHidden/>
              </w:rPr>
              <w:tab/>
            </w:r>
            <w:r>
              <w:rPr>
                <w:webHidden/>
              </w:rPr>
              <w:fldChar w:fldCharType="begin"/>
            </w:r>
            <w:r>
              <w:rPr>
                <w:webHidden/>
              </w:rPr>
              <w:instrText xml:space="preserve"> PAGEREF _Toc87875961 \h </w:instrText>
            </w:r>
            <w:r>
              <w:rPr>
                <w:webHidden/>
              </w:rPr>
            </w:r>
            <w:r>
              <w:rPr>
                <w:webHidden/>
              </w:rPr>
              <w:fldChar w:fldCharType="separate"/>
            </w:r>
            <w:r>
              <w:rPr>
                <w:webHidden/>
              </w:rPr>
              <w:t>42</w:t>
            </w:r>
            <w:r>
              <w:rPr>
                <w:webHidden/>
              </w:rPr>
              <w:fldChar w:fldCharType="end"/>
            </w:r>
          </w:hyperlink>
        </w:p>
        <w:p w14:paraId="4934E1EE" w14:textId="3BD1FCEC" w:rsidR="00DE60B1" w:rsidRDefault="00DE60B1">
          <w:pPr>
            <w:pStyle w:val="TOC2"/>
            <w:rPr>
              <w:rFonts w:asciiTheme="minorHAnsi" w:eastAsiaTheme="minorEastAsia" w:hAnsiTheme="minorHAnsi" w:cstheme="minorBidi"/>
              <w:b w:val="0"/>
              <w:bCs w:val="0"/>
              <w:color w:val="auto"/>
              <w:sz w:val="22"/>
              <w:szCs w:val="22"/>
              <w:lang w:val="en-US"/>
            </w:rPr>
          </w:pPr>
          <w:hyperlink w:anchor="_Toc87875962" w:history="1">
            <w:r w:rsidRPr="002B7A59">
              <w:rPr>
                <w:rStyle w:val="Hyperlink"/>
              </w:rPr>
              <w:t>Capitolul 2 – Evoluția participațiilor deținute de autoritățile publice tutelare locale la întreprinderile publice locale</w:t>
            </w:r>
            <w:r>
              <w:rPr>
                <w:webHidden/>
              </w:rPr>
              <w:tab/>
            </w:r>
            <w:r>
              <w:rPr>
                <w:webHidden/>
              </w:rPr>
              <w:fldChar w:fldCharType="begin"/>
            </w:r>
            <w:r>
              <w:rPr>
                <w:webHidden/>
              </w:rPr>
              <w:instrText xml:space="preserve"> PAGEREF _Toc87875962 \h </w:instrText>
            </w:r>
            <w:r>
              <w:rPr>
                <w:webHidden/>
              </w:rPr>
            </w:r>
            <w:r>
              <w:rPr>
                <w:webHidden/>
              </w:rPr>
              <w:fldChar w:fldCharType="separate"/>
            </w:r>
            <w:r>
              <w:rPr>
                <w:webHidden/>
              </w:rPr>
              <w:t>45</w:t>
            </w:r>
            <w:r>
              <w:rPr>
                <w:webHidden/>
              </w:rPr>
              <w:fldChar w:fldCharType="end"/>
            </w:r>
          </w:hyperlink>
        </w:p>
        <w:p w14:paraId="0CCC3F0E" w14:textId="23C4D238" w:rsidR="00DE60B1" w:rsidRDefault="00DE60B1">
          <w:pPr>
            <w:pStyle w:val="TOC2"/>
            <w:rPr>
              <w:rFonts w:asciiTheme="minorHAnsi" w:eastAsiaTheme="minorEastAsia" w:hAnsiTheme="minorHAnsi" w:cstheme="minorBidi"/>
              <w:b w:val="0"/>
              <w:bCs w:val="0"/>
              <w:color w:val="auto"/>
              <w:sz w:val="22"/>
              <w:szCs w:val="22"/>
              <w:lang w:val="en-US"/>
            </w:rPr>
          </w:pPr>
          <w:hyperlink w:anchor="_Toc87875963" w:history="1">
            <w:r w:rsidRPr="002B7A59">
              <w:rPr>
                <w:rStyle w:val="Hyperlink"/>
              </w:rPr>
              <w:t>Capitolul 3 – Principalii indicatori economico-financiari înregistrați în anul 2020 de întreprinderile publice locale</w:t>
            </w:r>
            <w:r>
              <w:rPr>
                <w:webHidden/>
              </w:rPr>
              <w:tab/>
            </w:r>
            <w:r>
              <w:rPr>
                <w:webHidden/>
              </w:rPr>
              <w:fldChar w:fldCharType="begin"/>
            </w:r>
            <w:r>
              <w:rPr>
                <w:webHidden/>
              </w:rPr>
              <w:instrText xml:space="preserve"> PAGEREF _Toc87875963 \h </w:instrText>
            </w:r>
            <w:r>
              <w:rPr>
                <w:webHidden/>
              </w:rPr>
            </w:r>
            <w:r>
              <w:rPr>
                <w:webHidden/>
              </w:rPr>
              <w:fldChar w:fldCharType="separate"/>
            </w:r>
            <w:r>
              <w:rPr>
                <w:webHidden/>
              </w:rPr>
              <w:t>47</w:t>
            </w:r>
            <w:r>
              <w:rPr>
                <w:webHidden/>
              </w:rPr>
              <w:fldChar w:fldCharType="end"/>
            </w:r>
          </w:hyperlink>
        </w:p>
        <w:bookmarkStart w:id="0" w:name="_GoBack"/>
        <w:p w14:paraId="129BBC87" w14:textId="27D246F2" w:rsidR="00DE60B1" w:rsidRDefault="00DE60B1">
          <w:pPr>
            <w:pStyle w:val="TOC3"/>
            <w:rPr>
              <w:rFonts w:asciiTheme="minorHAnsi" w:eastAsiaTheme="minorEastAsia" w:hAnsiTheme="minorHAnsi" w:cstheme="minorBidi"/>
              <w:color w:val="auto"/>
              <w:sz w:val="22"/>
              <w:szCs w:val="22"/>
              <w:lang w:val="en-US"/>
            </w:rPr>
          </w:pPr>
          <w:r w:rsidRPr="002B7A59">
            <w:rPr>
              <w:rStyle w:val="Hyperlink"/>
            </w:rPr>
            <w:fldChar w:fldCharType="begin"/>
          </w:r>
          <w:r w:rsidRPr="002B7A59">
            <w:rPr>
              <w:rStyle w:val="Hyperlink"/>
            </w:rPr>
            <w:instrText xml:space="preserve"> </w:instrText>
          </w:r>
          <w:r>
            <w:instrText>HYPERLINK \l "_Toc87875964"</w:instrText>
          </w:r>
          <w:r w:rsidRPr="002B7A59">
            <w:rPr>
              <w:rStyle w:val="Hyperlink"/>
            </w:rPr>
            <w:instrText xml:space="preserve"> </w:instrText>
          </w:r>
          <w:r w:rsidRPr="002B7A59">
            <w:rPr>
              <w:rStyle w:val="Hyperlink"/>
            </w:rPr>
          </w:r>
          <w:r w:rsidRPr="002B7A59">
            <w:rPr>
              <w:rStyle w:val="Hyperlink"/>
            </w:rPr>
            <w:fldChar w:fldCharType="separate"/>
          </w:r>
          <w:r w:rsidRPr="002B7A59">
            <w:rPr>
              <w:rStyle w:val="Hyperlink"/>
              <w:b/>
              <w:bCs/>
            </w:rPr>
            <w:t>3.1 – Principalii indicatori economico-financiari ai întreprinderilor publice locale</w:t>
          </w:r>
          <w:r>
            <w:rPr>
              <w:webHidden/>
            </w:rPr>
            <w:tab/>
          </w:r>
          <w:r>
            <w:rPr>
              <w:webHidden/>
            </w:rPr>
            <w:fldChar w:fldCharType="begin"/>
          </w:r>
          <w:r>
            <w:rPr>
              <w:webHidden/>
            </w:rPr>
            <w:instrText xml:space="preserve"> PAGEREF _Toc87875964 \h </w:instrText>
          </w:r>
          <w:r>
            <w:rPr>
              <w:webHidden/>
            </w:rPr>
          </w:r>
          <w:r>
            <w:rPr>
              <w:webHidden/>
            </w:rPr>
            <w:fldChar w:fldCharType="separate"/>
          </w:r>
          <w:r>
            <w:rPr>
              <w:webHidden/>
            </w:rPr>
            <w:t>47</w:t>
          </w:r>
          <w:r>
            <w:rPr>
              <w:webHidden/>
            </w:rPr>
            <w:fldChar w:fldCharType="end"/>
          </w:r>
          <w:r w:rsidRPr="002B7A59">
            <w:rPr>
              <w:rStyle w:val="Hyperlink"/>
            </w:rPr>
            <w:fldChar w:fldCharType="end"/>
          </w:r>
        </w:p>
        <w:bookmarkEnd w:id="0"/>
        <w:p w14:paraId="7B9C429C" w14:textId="7FF6F539" w:rsidR="00DE60B1" w:rsidRDefault="00DE60B1">
          <w:pPr>
            <w:pStyle w:val="TOC3"/>
            <w:rPr>
              <w:rFonts w:asciiTheme="minorHAnsi" w:eastAsiaTheme="minorEastAsia" w:hAnsiTheme="minorHAnsi" w:cstheme="minorBidi"/>
              <w:color w:val="auto"/>
              <w:sz w:val="22"/>
              <w:szCs w:val="22"/>
              <w:lang w:val="en-US"/>
            </w:rPr>
          </w:pPr>
          <w:r w:rsidRPr="002B7A59">
            <w:rPr>
              <w:rStyle w:val="Hyperlink"/>
            </w:rPr>
            <w:fldChar w:fldCharType="begin"/>
          </w:r>
          <w:r w:rsidRPr="002B7A59">
            <w:rPr>
              <w:rStyle w:val="Hyperlink"/>
            </w:rPr>
            <w:instrText xml:space="preserve"> </w:instrText>
          </w:r>
          <w:r>
            <w:instrText>HYPERLINK \l "_Toc87875965"</w:instrText>
          </w:r>
          <w:r w:rsidRPr="002B7A59">
            <w:rPr>
              <w:rStyle w:val="Hyperlink"/>
            </w:rPr>
            <w:instrText xml:space="preserve"> </w:instrText>
          </w:r>
          <w:r w:rsidRPr="002B7A59">
            <w:rPr>
              <w:rStyle w:val="Hyperlink"/>
            </w:rPr>
          </w:r>
          <w:r w:rsidRPr="002B7A59">
            <w:rPr>
              <w:rStyle w:val="Hyperlink"/>
            </w:rPr>
            <w:fldChar w:fldCharType="separate"/>
          </w:r>
          <w:r w:rsidRPr="002B7A59">
            <w:rPr>
              <w:rStyle w:val="Hyperlink"/>
              <w:b/>
              <w:bCs/>
            </w:rPr>
            <w:t>3.2 – Situația principalilor indicatori economico-financiari ai întreprinderilor publice locale active grupați pe sectoare de activitate</w:t>
          </w:r>
          <w:r>
            <w:rPr>
              <w:webHidden/>
            </w:rPr>
            <w:tab/>
          </w:r>
          <w:r>
            <w:rPr>
              <w:webHidden/>
            </w:rPr>
            <w:fldChar w:fldCharType="begin"/>
          </w:r>
          <w:r>
            <w:rPr>
              <w:webHidden/>
            </w:rPr>
            <w:instrText xml:space="preserve"> PAGEREF _Toc87875965 \h </w:instrText>
          </w:r>
          <w:r>
            <w:rPr>
              <w:webHidden/>
            </w:rPr>
          </w:r>
          <w:r>
            <w:rPr>
              <w:webHidden/>
            </w:rPr>
            <w:fldChar w:fldCharType="separate"/>
          </w:r>
          <w:r>
            <w:rPr>
              <w:webHidden/>
            </w:rPr>
            <w:t>50</w:t>
          </w:r>
          <w:r>
            <w:rPr>
              <w:webHidden/>
            </w:rPr>
            <w:fldChar w:fldCharType="end"/>
          </w:r>
          <w:r w:rsidRPr="002B7A59">
            <w:rPr>
              <w:rStyle w:val="Hyperlink"/>
            </w:rPr>
            <w:fldChar w:fldCharType="end"/>
          </w:r>
        </w:p>
        <w:p w14:paraId="34B44406" w14:textId="3CF2880C" w:rsidR="00DE60B1" w:rsidRDefault="00DE60B1">
          <w:pPr>
            <w:pStyle w:val="TOC3"/>
            <w:rPr>
              <w:rFonts w:asciiTheme="minorHAnsi" w:eastAsiaTheme="minorEastAsia" w:hAnsiTheme="minorHAnsi" w:cstheme="minorBidi"/>
              <w:color w:val="auto"/>
              <w:sz w:val="22"/>
              <w:szCs w:val="22"/>
              <w:lang w:val="en-US"/>
            </w:rPr>
          </w:pPr>
          <w:hyperlink w:anchor="_Toc87875966" w:history="1">
            <w:r w:rsidRPr="002B7A59">
              <w:rPr>
                <w:rStyle w:val="Hyperlink"/>
                <w:b/>
                <w:bCs/>
              </w:rPr>
              <w:t>3.3 – Evoluția plăților restante înregistrate de întreprinderile publice locale</w:t>
            </w:r>
            <w:r>
              <w:rPr>
                <w:webHidden/>
              </w:rPr>
              <w:tab/>
            </w:r>
            <w:r>
              <w:rPr>
                <w:webHidden/>
              </w:rPr>
              <w:fldChar w:fldCharType="begin"/>
            </w:r>
            <w:r>
              <w:rPr>
                <w:webHidden/>
              </w:rPr>
              <w:instrText xml:space="preserve"> PAGEREF _Toc87875966 \h </w:instrText>
            </w:r>
            <w:r>
              <w:rPr>
                <w:webHidden/>
              </w:rPr>
            </w:r>
            <w:r>
              <w:rPr>
                <w:webHidden/>
              </w:rPr>
              <w:fldChar w:fldCharType="separate"/>
            </w:r>
            <w:r>
              <w:rPr>
                <w:webHidden/>
              </w:rPr>
              <w:t>53</w:t>
            </w:r>
            <w:r>
              <w:rPr>
                <w:webHidden/>
              </w:rPr>
              <w:fldChar w:fldCharType="end"/>
            </w:r>
          </w:hyperlink>
        </w:p>
        <w:p w14:paraId="02A25CA5" w14:textId="7CC5AD5C" w:rsidR="00DE60B1" w:rsidRDefault="00DE60B1">
          <w:pPr>
            <w:pStyle w:val="TOC3"/>
            <w:rPr>
              <w:rFonts w:asciiTheme="minorHAnsi" w:eastAsiaTheme="minorEastAsia" w:hAnsiTheme="minorHAnsi" w:cstheme="minorBidi"/>
              <w:color w:val="auto"/>
              <w:sz w:val="22"/>
              <w:szCs w:val="22"/>
              <w:lang w:val="en-US"/>
            </w:rPr>
          </w:pPr>
          <w:hyperlink w:anchor="_Toc87875967" w:history="1">
            <w:r w:rsidRPr="002B7A59">
              <w:rPr>
                <w:rStyle w:val="Hyperlink"/>
                <w:b/>
                <w:bCs/>
              </w:rPr>
              <w:t>3.4 – Evoluția personalului și a cheltuielilor cu personalul la întreprinderile publice locale</w:t>
            </w:r>
            <w:r>
              <w:rPr>
                <w:webHidden/>
              </w:rPr>
              <w:tab/>
            </w:r>
            <w:r>
              <w:rPr>
                <w:webHidden/>
              </w:rPr>
              <w:fldChar w:fldCharType="begin"/>
            </w:r>
            <w:r>
              <w:rPr>
                <w:webHidden/>
              </w:rPr>
              <w:instrText xml:space="preserve"> PAGEREF _Toc87875967 \h </w:instrText>
            </w:r>
            <w:r>
              <w:rPr>
                <w:webHidden/>
              </w:rPr>
            </w:r>
            <w:r>
              <w:rPr>
                <w:webHidden/>
              </w:rPr>
              <w:fldChar w:fldCharType="separate"/>
            </w:r>
            <w:r>
              <w:rPr>
                <w:webHidden/>
              </w:rPr>
              <w:t>54</w:t>
            </w:r>
            <w:r>
              <w:rPr>
                <w:webHidden/>
              </w:rPr>
              <w:fldChar w:fldCharType="end"/>
            </w:r>
          </w:hyperlink>
        </w:p>
        <w:p w14:paraId="29C8DDD7" w14:textId="686188C5" w:rsidR="00DE60B1" w:rsidRDefault="00DE60B1">
          <w:pPr>
            <w:pStyle w:val="TOC3"/>
            <w:rPr>
              <w:rFonts w:asciiTheme="minorHAnsi" w:eastAsiaTheme="minorEastAsia" w:hAnsiTheme="minorHAnsi" w:cstheme="minorBidi"/>
              <w:color w:val="auto"/>
              <w:sz w:val="22"/>
              <w:szCs w:val="22"/>
              <w:lang w:val="en-US"/>
            </w:rPr>
          </w:pPr>
          <w:hyperlink w:anchor="_Toc87875968" w:history="1">
            <w:r w:rsidRPr="002B7A59">
              <w:rPr>
                <w:rStyle w:val="Hyperlink"/>
                <w:b/>
                <w:bCs/>
              </w:rPr>
              <w:t>3.5 – Subvenții de la bugetele locale acordate întreprinderilor publice locale</w:t>
            </w:r>
            <w:r>
              <w:rPr>
                <w:webHidden/>
              </w:rPr>
              <w:tab/>
            </w:r>
            <w:r>
              <w:rPr>
                <w:webHidden/>
              </w:rPr>
              <w:fldChar w:fldCharType="begin"/>
            </w:r>
            <w:r>
              <w:rPr>
                <w:webHidden/>
              </w:rPr>
              <w:instrText xml:space="preserve"> PAGEREF _Toc87875968 \h </w:instrText>
            </w:r>
            <w:r>
              <w:rPr>
                <w:webHidden/>
              </w:rPr>
            </w:r>
            <w:r>
              <w:rPr>
                <w:webHidden/>
              </w:rPr>
              <w:fldChar w:fldCharType="separate"/>
            </w:r>
            <w:r>
              <w:rPr>
                <w:webHidden/>
              </w:rPr>
              <w:t>56</w:t>
            </w:r>
            <w:r>
              <w:rPr>
                <w:webHidden/>
              </w:rPr>
              <w:fldChar w:fldCharType="end"/>
            </w:r>
          </w:hyperlink>
        </w:p>
        <w:p w14:paraId="19F347EB" w14:textId="343A3410" w:rsidR="00DE60B1" w:rsidRDefault="00DE60B1">
          <w:pPr>
            <w:pStyle w:val="TOC3"/>
            <w:rPr>
              <w:rFonts w:asciiTheme="minorHAnsi" w:eastAsiaTheme="minorEastAsia" w:hAnsiTheme="minorHAnsi" w:cstheme="minorBidi"/>
              <w:color w:val="auto"/>
              <w:sz w:val="22"/>
              <w:szCs w:val="22"/>
              <w:lang w:val="en-US"/>
            </w:rPr>
          </w:pPr>
          <w:hyperlink w:anchor="_Toc87875969" w:history="1">
            <w:r w:rsidRPr="002B7A59">
              <w:rPr>
                <w:rStyle w:val="Hyperlink"/>
                <w:b/>
                <w:bCs/>
              </w:rPr>
              <w:t>3.6 – Dividende și vărsăminte repartizate de întreprinderile publice locale</w:t>
            </w:r>
            <w:r>
              <w:rPr>
                <w:webHidden/>
              </w:rPr>
              <w:tab/>
            </w:r>
            <w:r>
              <w:rPr>
                <w:webHidden/>
              </w:rPr>
              <w:fldChar w:fldCharType="begin"/>
            </w:r>
            <w:r>
              <w:rPr>
                <w:webHidden/>
              </w:rPr>
              <w:instrText xml:space="preserve"> PAGEREF _Toc87875969 \h </w:instrText>
            </w:r>
            <w:r>
              <w:rPr>
                <w:webHidden/>
              </w:rPr>
            </w:r>
            <w:r>
              <w:rPr>
                <w:webHidden/>
              </w:rPr>
              <w:fldChar w:fldCharType="separate"/>
            </w:r>
            <w:r>
              <w:rPr>
                <w:webHidden/>
              </w:rPr>
              <w:t>59</w:t>
            </w:r>
            <w:r>
              <w:rPr>
                <w:webHidden/>
              </w:rPr>
              <w:fldChar w:fldCharType="end"/>
            </w:r>
          </w:hyperlink>
        </w:p>
        <w:p w14:paraId="251ABF71" w14:textId="77A80BC8" w:rsidR="00DE60B1" w:rsidRDefault="00DE60B1">
          <w:pPr>
            <w:pStyle w:val="TOC3"/>
            <w:rPr>
              <w:rFonts w:asciiTheme="minorHAnsi" w:eastAsiaTheme="minorEastAsia" w:hAnsiTheme="minorHAnsi" w:cstheme="minorBidi"/>
              <w:color w:val="auto"/>
              <w:sz w:val="22"/>
              <w:szCs w:val="22"/>
              <w:lang w:val="en-US"/>
            </w:rPr>
          </w:pPr>
          <w:hyperlink w:anchor="_Toc87875970" w:history="1">
            <w:r w:rsidRPr="002B7A59">
              <w:rPr>
                <w:rStyle w:val="Hyperlink"/>
                <w:b/>
                <w:bCs/>
              </w:rPr>
              <w:t>3.7 – Primele zece întreprinderi publice locale active care au înregistrat pierdere brută în anul 2020</w:t>
            </w:r>
            <w:r>
              <w:rPr>
                <w:webHidden/>
              </w:rPr>
              <w:tab/>
            </w:r>
            <w:r>
              <w:rPr>
                <w:webHidden/>
              </w:rPr>
              <w:fldChar w:fldCharType="begin"/>
            </w:r>
            <w:r>
              <w:rPr>
                <w:webHidden/>
              </w:rPr>
              <w:instrText xml:space="preserve"> PAGEREF _Toc87875970 \h </w:instrText>
            </w:r>
            <w:r>
              <w:rPr>
                <w:webHidden/>
              </w:rPr>
            </w:r>
            <w:r>
              <w:rPr>
                <w:webHidden/>
              </w:rPr>
              <w:fldChar w:fldCharType="separate"/>
            </w:r>
            <w:r>
              <w:rPr>
                <w:webHidden/>
              </w:rPr>
              <w:t>60</w:t>
            </w:r>
            <w:r>
              <w:rPr>
                <w:webHidden/>
              </w:rPr>
              <w:fldChar w:fldCharType="end"/>
            </w:r>
          </w:hyperlink>
        </w:p>
        <w:p w14:paraId="0E2F06F4" w14:textId="0F76499B" w:rsidR="00DE60B1" w:rsidRDefault="00DE60B1">
          <w:pPr>
            <w:pStyle w:val="TOC2"/>
            <w:rPr>
              <w:rFonts w:asciiTheme="minorHAnsi" w:eastAsiaTheme="minorEastAsia" w:hAnsiTheme="minorHAnsi" w:cstheme="minorBidi"/>
              <w:b w:val="0"/>
              <w:bCs w:val="0"/>
              <w:color w:val="auto"/>
              <w:sz w:val="22"/>
              <w:szCs w:val="22"/>
              <w:lang w:val="en-US"/>
            </w:rPr>
          </w:pPr>
          <w:hyperlink w:anchor="_Toc87875971" w:history="1">
            <w:r w:rsidRPr="002B7A59">
              <w:rPr>
                <w:rStyle w:val="Hyperlink"/>
                <w:rFonts w:cstheme="majorHAnsi"/>
              </w:rPr>
              <w:t>Capitolul 4 – Aplicarea prevederilor O.U.G. nr. 109/2011 și a principiilor de guvernanță corporativă la întreprinderile publice locale</w:t>
            </w:r>
            <w:r>
              <w:rPr>
                <w:webHidden/>
              </w:rPr>
              <w:tab/>
            </w:r>
            <w:r>
              <w:rPr>
                <w:webHidden/>
              </w:rPr>
              <w:fldChar w:fldCharType="begin"/>
            </w:r>
            <w:r>
              <w:rPr>
                <w:webHidden/>
              </w:rPr>
              <w:instrText xml:space="preserve"> PAGEREF _Toc87875971 \h </w:instrText>
            </w:r>
            <w:r>
              <w:rPr>
                <w:webHidden/>
              </w:rPr>
            </w:r>
            <w:r>
              <w:rPr>
                <w:webHidden/>
              </w:rPr>
              <w:fldChar w:fldCharType="separate"/>
            </w:r>
            <w:r>
              <w:rPr>
                <w:webHidden/>
              </w:rPr>
              <w:t>61</w:t>
            </w:r>
            <w:r>
              <w:rPr>
                <w:webHidden/>
              </w:rPr>
              <w:fldChar w:fldCharType="end"/>
            </w:r>
          </w:hyperlink>
        </w:p>
        <w:p w14:paraId="3D2A7B42" w14:textId="3AF97CE4" w:rsidR="00DE60B1" w:rsidRDefault="00DE60B1">
          <w:pPr>
            <w:pStyle w:val="TOC3"/>
            <w:rPr>
              <w:rFonts w:asciiTheme="minorHAnsi" w:eastAsiaTheme="minorEastAsia" w:hAnsiTheme="minorHAnsi" w:cstheme="minorBidi"/>
              <w:color w:val="auto"/>
              <w:sz w:val="22"/>
              <w:szCs w:val="22"/>
              <w:lang w:val="en-US"/>
            </w:rPr>
          </w:pPr>
          <w:hyperlink w:anchor="_Toc87875972" w:history="1">
            <w:r w:rsidRPr="002B7A59">
              <w:rPr>
                <w:rStyle w:val="Hyperlink"/>
                <w:rFonts w:cstheme="majorHAnsi"/>
                <w:b/>
                <w:bCs/>
              </w:rPr>
              <w:t>4.1 – Stadiul transmiterii informațiilor de către autoritățile publice tutelare locale conform prevederilor O.M.F.P. nr. 1952/2018</w:t>
            </w:r>
            <w:r>
              <w:rPr>
                <w:webHidden/>
              </w:rPr>
              <w:tab/>
            </w:r>
            <w:r>
              <w:rPr>
                <w:webHidden/>
              </w:rPr>
              <w:fldChar w:fldCharType="begin"/>
            </w:r>
            <w:r>
              <w:rPr>
                <w:webHidden/>
              </w:rPr>
              <w:instrText xml:space="preserve"> PAGEREF _Toc87875972 \h </w:instrText>
            </w:r>
            <w:r>
              <w:rPr>
                <w:webHidden/>
              </w:rPr>
            </w:r>
            <w:r>
              <w:rPr>
                <w:webHidden/>
              </w:rPr>
              <w:fldChar w:fldCharType="separate"/>
            </w:r>
            <w:r>
              <w:rPr>
                <w:webHidden/>
              </w:rPr>
              <w:t>61</w:t>
            </w:r>
            <w:r>
              <w:rPr>
                <w:webHidden/>
              </w:rPr>
              <w:fldChar w:fldCharType="end"/>
            </w:r>
          </w:hyperlink>
        </w:p>
        <w:p w14:paraId="21C76ACB" w14:textId="77302E13" w:rsidR="00DE60B1" w:rsidRDefault="00DE60B1">
          <w:pPr>
            <w:pStyle w:val="TOC3"/>
            <w:rPr>
              <w:rFonts w:asciiTheme="minorHAnsi" w:eastAsiaTheme="minorEastAsia" w:hAnsiTheme="minorHAnsi" w:cstheme="minorBidi"/>
              <w:color w:val="auto"/>
              <w:sz w:val="22"/>
              <w:szCs w:val="22"/>
              <w:lang w:val="en-US"/>
            </w:rPr>
          </w:pPr>
          <w:hyperlink w:anchor="_Toc87875973" w:history="1">
            <w:r w:rsidRPr="002B7A59">
              <w:rPr>
                <w:rStyle w:val="Hyperlink"/>
                <w:rFonts w:cstheme="majorHAnsi"/>
                <w:b/>
                <w:bCs/>
              </w:rPr>
              <w:t>4.2 - Stadiul procesului de selecție a administratorilor și a directorilor la întreprinderile publice locale</w:t>
            </w:r>
            <w:r>
              <w:rPr>
                <w:webHidden/>
              </w:rPr>
              <w:tab/>
            </w:r>
            <w:r>
              <w:rPr>
                <w:webHidden/>
              </w:rPr>
              <w:fldChar w:fldCharType="begin"/>
            </w:r>
            <w:r>
              <w:rPr>
                <w:webHidden/>
              </w:rPr>
              <w:instrText xml:space="preserve"> PAGEREF _Toc87875973 \h </w:instrText>
            </w:r>
            <w:r>
              <w:rPr>
                <w:webHidden/>
              </w:rPr>
            </w:r>
            <w:r>
              <w:rPr>
                <w:webHidden/>
              </w:rPr>
              <w:fldChar w:fldCharType="separate"/>
            </w:r>
            <w:r>
              <w:rPr>
                <w:webHidden/>
              </w:rPr>
              <w:t>62</w:t>
            </w:r>
            <w:r>
              <w:rPr>
                <w:webHidden/>
              </w:rPr>
              <w:fldChar w:fldCharType="end"/>
            </w:r>
          </w:hyperlink>
        </w:p>
        <w:p w14:paraId="7A58C316" w14:textId="43EF63D4" w:rsidR="00DE60B1" w:rsidRDefault="00DE60B1">
          <w:pPr>
            <w:pStyle w:val="TOC3"/>
            <w:rPr>
              <w:rFonts w:asciiTheme="minorHAnsi" w:eastAsiaTheme="minorEastAsia" w:hAnsiTheme="minorHAnsi" w:cstheme="minorBidi"/>
              <w:color w:val="auto"/>
              <w:sz w:val="22"/>
              <w:szCs w:val="22"/>
              <w:lang w:val="en-US"/>
            </w:rPr>
          </w:pPr>
          <w:hyperlink w:anchor="_Toc87875974" w:history="1">
            <w:r w:rsidRPr="002B7A59">
              <w:rPr>
                <w:rStyle w:val="Hyperlink"/>
                <w:rFonts w:cstheme="majorHAnsi"/>
                <w:b/>
                <w:bCs/>
              </w:rPr>
              <w:t>4.3 – Stadiul îndeplinirii indicatorilor cheie de performanță asociați obiectivelor din contractele de mandat ale administratorilor și directorilor la întreprinderile publice locale</w:t>
            </w:r>
            <w:r>
              <w:rPr>
                <w:webHidden/>
              </w:rPr>
              <w:tab/>
            </w:r>
            <w:r>
              <w:rPr>
                <w:webHidden/>
              </w:rPr>
              <w:fldChar w:fldCharType="begin"/>
            </w:r>
            <w:r>
              <w:rPr>
                <w:webHidden/>
              </w:rPr>
              <w:instrText xml:space="preserve"> PAGEREF _Toc87875974 \h </w:instrText>
            </w:r>
            <w:r>
              <w:rPr>
                <w:webHidden/>
              </w:rPr>
            </w:r>
            <w:r>
              <w:rPr>
                <w:webHidden/>
              </w:rPr>
              <w:fldChar w:fldCharType="separate"/>
            </w:r>
            <w:r>
              <w:rPr>
                <w:webHidden/>
              </w:rPr>
              <w:t>64</w:t>
            </w:r>
            <w:r>
              <w:rPr>
                <w:webHidden/>
              </w:rPr>
              <w:fldChar w:fldCharType="end"/>
            </w:r>
          </w:hyperlink>
        </w:p>
        <w:p w14:paraId="3A411EED" w14:textId="0841F6FD" w:rsidR="00DE60B1" w:rsidRDefault="00DE60B1">
          <w:pPr>
            <w:pStyle w:val="TOC3"/>
            <w:rPr>
              <w:rFonts w:asciiTheme="minorHAnsi" w:eastAsiaTheme="minorEastAsia" w:hAnsiTheme="minorHAnsi" w:cstheme="minorBidi"/>
              <w:color w:val="auto"/>
              <w:sz w:val="22"/>
              <w:szCs w:val="22"/>
              <w:lang w:val="en-US"/>
            </w:rPr>
          </w:pPr>
          <w:hyperlink w:anchor="_Toc87875975" w:history="1">
            <w:r w:rsidRPr="002B7A59">
              <w:rPr>
                <w:rStyle w:val="Hyperlink"/>
                <w:rFonts w:cstheme="majorHAnsi"/>
                <w:b/>
                <w:bCs/>
              </w:rPr>
              <w:t>4.4 – Structura organelor de conducere ale întreprinderilor publice locale pe parcursul anului 2020</w:t>
            </w:r>
            <w:r>
              <w:rPr>
                <w:webHidden/>
              </w:rPr>
              <w:tab/>
            </w:r>
            <w:r>
              <w:rPr>
                <w:webHidden/>
              </w:rPr>
              <w:fldChar w:fldCharType="begin"/>
            </w:r>
            <w:r>
              <w:rPr>
                <w:webHidden/>
              </w:rPr>
              <w:instrText xml:space="preserve"> PAGEREF _Toc87875975 \h </w:instrText>
            </w:r>
            <w:r>
              <w:rPr>
                <w:webHidden/>
              </w:rPr>
            </w:r>
            <w:r>
              <w:rPr>
                <w:webHidden/>
              </w:rPr>
              <w:fldChar w:fldCharType="separate"/>
            </w:r>
            <w:r>
              <w:rPr>
                <w:webHidden/>
              </w:rPr>
              <w:t>66</w:t>
            </w:r>
            <w:r>
              <w:rPr>
                <w:webHidden/>
              </w:rPr>
              <w:fldChar w:fldCharType="end"/>
            </w:r>
          </w:hyperlink>
        </w:p>
        <w:p w14:paraId="6F4C2E5B" w14:textId="35B3D37A" w:rsidR="00DE60B1" w:rsidRDefault="00DE60B1">
          <w:pPr>
            <w:pStyle w:val="TOC3"/>
            <w:rPr>
              <w:rFonts w:asciiTheme="minorHAnsi" w:eastAsiaTheme="minorEastAsia" w:hAnsiTheme="minorHAnsi" w:cstheme="minorBidi"/>
              <w:color w:val="auto"/>
              <w:sz w:val="22"/>
              <w:szCs w:val="22"/>
              <w:lang w:val="en-US"/>
            </w:rPr>
          </w:pPr>
          <w:hyperlink w:anchor="_Toc87875976" w:history="1">
            <w:r w:rsidRPr="002B7A59">
              <w:rPr>
                <w:rStyle w:val="Hyperlink"/>
                <w:rFonts w:cstheme="majorHAnsi"/>
                <w:b/>
                <w:bCs/>
              </w:rPr>
              <w:t>4.5 – Evoluția aplicării prevederilor și principiilor de transparență la întreprinderile publice locale</w:t>
            </w:r>
            <w:r>
              <w:rPr>
                <w:webHidden/>
              </w:rPr>
              <w:tab/>
            </w:r>
            <w:r>
              <w:rPr>
                <w:webHidden/>
              </w:rPr>
              <w:fldChar w:fldCharType="begin"/>
            </w:r>
            <w:r>
              <w:rPr>
                <w:webHidden/>
              </w:rPr>
              <w:instrText xml:space="preserve"> PAGEREF _Toc87875976 \h </w:instrText>
            </w:r>
            <w:r>
              <w:rPr>
                <w:webHidden/>
              </w:rPr>
            </w:r>
            <w:r>
              <w:rPr>
                <w:webHidden/>
              </w:rPr>
              <w:fldChar w:fldCharType="separate"/>
            </w:r>
            <w:r>
              <w:rPr>
                <w:webHidden/>
              </w:rPr>
              <w:t>66</w:t>
            </w:r>
            <w:r>
              <w:rPr>
                <w:webHidden/>
              </w:rPr>
              <w:fldChar w:fldCharType="end"/>
            </w:r>
          </w:hyperlink>
        </w:p>
        <w:p w14:paraId="589B451B" w14:textId="6E129F50" w:rsidR="00DE60B1" w:rsidRDefault="00DE60B1">
          <w:pPr>
            <w:pStyle w:val="TOC1"/>
            <w:rPr>
              <w:rFonts w:asciiTheme="minorHAnsi" w:eastAsiaTheme="minorEastAsia" w:hAnsiTheme="minorHAnsi" w:cstheme="minorBidi"/>
              <w:b w:val="0"/>
              <w:bCs w:val="0"/>
              <w:caps w:val="0"/>
              <w:color w:val="auto"/>
              <w:sz w:val="22"/>
              <w:lang w:val="en-US"/>
            </w:rPr>
          </w:pPr>
          <w:hyperlink w:anchor="_Toc87875977" w:history="1">
            <w:r w:rsidRPr="002B7A59">
              <w:rPr>
                <w:rStyle w:val="Hyperlink"/>
              </w:rPr>
              <w:t>Recomandări</w:t>
            </w:r>
            <w:r>
              <w:rPr>
                <w:webHidden/>
              </w:rPr>
              <w:tab/>
            </w:r>
            <w:r>
              <w:rPr>
                <w:webHidden/>
              </w:rPr>
              <w:fldChar w:fldCharType="begin"/>
            </w:r>
            <w:r>
              <w:rPr>
                <w:webHidden/>
              </w:rPr>
              <w:instrText xml:space="preserve"> PAGEREF _Toc87875977 \h </w:instrText>
            </w:r>
            <w:r>
              <w:rPr>
                <w:webHidden/>
              </w:rPr>
            </w:r>
            <w:r>
              <w:rPr>
                <w:webHidden/>
              </w:rPr>
              <w:fldChar w:fldCharType="separate"/>
            </w:r>
            <w:r>
              <w:rPr>
                <w:webHidden/>
              </w:rPr>
              <w:t>68</w:t>
            </w:r>
            <w:r>
              <w:rPr>
                <w:webHidden/>
              </w:rPr>
              <w:fldChar w:fldCharType="end"/>
            </w:r>
          </w:hyperlink>
        </w:p>
        <w:p w14:paraId="5A0C9597" w14:textId="34D4A591" w:rsidR="00127951" w:rsidRPr="00D95C57" w:rsidRDefault="00494BAA" w:rsidP="00E50FEB">
          <w:pPr>
            <w:pStyle w:val="Heading4"/>
            <w:tabs>
              <w:tab w:val="right" w:pos="9060"/>
            </w:tabs>
            <w:spacing w:before="100" w:beforeAutospacing="1" w:after="100" w:afterAutospacing="1" w:line="240" w:lineRule="auto"/>
            <w:ind w:left="-142"/>
            <w:rPr>
              <w:rFonts w:asciiTheme="majorHAnsi" w:hAnsiTheme="majorHAnsi"/>
              <w:noProof/>
              <w:color w:val="auto"/>
              <w:sz w:val="10"/>
              <w:szCs w:val="10"/>
              <w:lang w:eastAsia="ro-RO"/>
            </w:rPr>
          </w:pPr>
          <w:r w:rsidRPr="005E4009">
            <w:rPr>
              <w:rFonts w:asciiTheme="majorHAnsi" w:hAnsiTheme="majorHAnsi" w:cs="Times New Roman"/>
              <w:caps w:val="0"/>
              <w:color w:val="262626" w:themeColor="text1" w:themeTint="D9"/>
              <w:spacing w:val="0"/>
              <w:sz w:val="6"/>
              <w:szCs w:val="6"/>
            </w:rPr>
            <w:fldChar w:fldCharType="end"/>
          </w:r>
        </w:p>
        <w:p w14:paraId="2FD3B433" w14:textId="77777777" w:rsidR="00127951" w:rsidRDefault="00127951" w:rsidP="00EC39FE">
          <w:pPr>
            <w:rPr>
              <w:rFonts w:asciiTheme="majorHAnsi" w:hAnsiTheme="majorHAnsi"/>
              <w:b/>
              <w:bCs/>
              <w:noProof/>
              <w:lang w:eastAsia="ro-RO"/>
            </w:rPr>
          </w:pPr>
        </w:p>
        <w:p w14:paraId="67B4C30B" w14:textId="77777777" w:rsidR="00E1460B" w:rsidRDefault="00E1460B" w:rsidP="00EC39FE">
          <w:pPr>
            <w:rPr>
              <w:rFonts w:asciiTheme="majorHAnsi" w:hAnsiTheme="majorHAnsi"/>
              <w:b/>
              <w:bCs/>
              <w:noProof/>
              <w:lang w:eastAsia="ro-RO"/>
            </w:rPr>
          </w:pPr>
        </w:p>
        <w:p w14:paraId="1CAB77E2" w14:textId="77777777" w:rsidR="00E1460B" w:rsidRPr="00D95C57" w:rsidRDefault="00E1460B" w:rsidP="00EC39FE">
          <w:pPr>
            <w:rPr>
              <w:rFonts w:asciiTheme="majorHAnsi" w:hAnsiTheme="majorHAnsi"/>
              <w:b/>
              <w:bCs/>
              <w:noProof/>
              <w:lang w:eastAsia="ro-RO"/>
            </w:rPr>
            <w:sectPr w:rsidR="00E1460B" w:rsidRPr="00D95C57" w:rsidSect="00D720D9">
              <w:headerReference w:type="even" r:id="rId12"/>
              <w:pgSz w:w="11906" w:h="16838" w:code="9"/>
              <w:pgMar w:top="1134" w:right="1418" w:bottom="851" w:left="1418" w:header="454" w:footer="709" w:gutter="0"/>
              <w:pgNumType w:start="0"/>
              <w:cols w:space="708"/>
              <w:docGrid w:linePitch="360"/>
            </w:sectPr>
          </w:pPr>
        </w:p>
        <w:p w14:paraId="7922C861" w14:textId="77777777" w:rsidR="00127951" w:rsidRPr="00D95C57" w:rsidRDefault="009A1E6B" w:rsidP="009A1E6B">
          <w:pPr>
            <w:pStyle w:val="ListParagraph"/>
            <w:ind w:left="0"/>
            <w:outlineLvl w:val="0"/>
            <w:rPr>
              <w:rFonts w:asciiTheme="majorHAnsi" w:hAnsiTheme="majorHAnsi"/>
              <w:b/>
              <w:bCs/>
              <w:color w:val="0F6FC6" w:themeColor="accent1"/>
              <w:sz w:val="36"/>
              <w:szCs w:val="36"/>
            </w:rPr>
          </w:pPr>
          <w:bookmarkStart w:id="1" w:name="_Toc87875939"/>
          <w:r w:rsidRPr="00D95C57">
            <w:rPr>
              <w:rFonts w:asciiTheme="majorHAnsi" w:hAnsiTheme="majorHAnsi"/>
              <w:b/>
              <w:bCs/>
              <w:noProof/>
              <w:color w:val="0F6FC6" w:themeColor="accent1"/>
              <w:sz w:val="36"/>
              <w:szCs w:val="36"/>
              <w:lang w:eastAsia="ro-RO"/>
            </w:rPr>
            <w:t>Definiții și abrevieri</w:t>
          </w:r>
          <w:bookmarkEnd w:id="1"/>
        </w:p>
        <w:p w14:paraId="466E22AE" w14:textId="77777777" w:rsidR="00086DBE" w:rsidRPr="00D95C57" w:rsidRDefault="009A1E6B" w:rsidP="00C205D0">
          <w:pPr>
            <w:spacing w:line="240" w:lineRule="auto"/>
            <w:rPr>
              <w:rFonts w:asciiTheme="majorHAnsi" w:hAnsiTheme="majorHAnsi"/>
              <w:b/>
              <w:bCs/>
              <w:noProof/>
              <w:color w:val="0F6FC6" w:themeColor="accent1"/>
              <w:sz w:val="28"/>
              <w:szCs w:val="28"/>
              <w:lang w:eastAsia="ro-RO"/>
            </w:rPr>
          </w:pPr>
          <w:r w:rsidRPr="00D95C57">
            <w:rPr>
              <w:rFonts w:asciiTheme="majorHAnsi" w:hAnsiTheme="majorHAnsi"/>
              <w:b/>
              <w:bCs/>
              <w:noProof/>
              <w:color w:val="0F6FC6" w:themeColor="accent1"/>
              <w:sz w:val="28"/>
              <w:szCs w:val="28"/>
              <w:lang w:eastAsia="ro-RO"/>
            </w:rPr>
            <w:t>Definiții</w:t>
          </w:r>
        </w:p>
        <w:p w14:paraId="0A35475A" w14:textId="77777777" w:rsidR="00086DBE" w:rsidRPr="00D95C57" w:rsidRDefault="00086DBE" w:rsidP="00C205D0">
          <w:pPr>
            <w:spacing w:line="240" w:lineRule="auto"/>
            <w:jc w:val="both"/>
            <w:rPr>
              <w:rFonts w:asciiTheme="majorHAnsi" w:hAnsiTheme="majorHAnsi"/>
              <w:noProof/>
              <w:color w:val="0F6FC6" w:themeColor="accent1"/>
              <w:lang w:eastAsia="ro-RO"/>
            </w:rPr>
            <w:sectPr w:rsidR="00086DBE" w:rsidRPr="00D95C57" w:rsidSect="00D720D9">
              <w:headerReference w:type="default" r:id="rId13"/>
              <w:pgSz w:w="11906" w:h="16838" w:code="9"/>
              <w:pgMar w:top="1134" w:right="1418" w:bottom="851" w:left="1418" w:header="454" w:footer="709" w:gutter="0"/>
              <w:cols w:space="708"/>
              <w:docGrid w:linePitch="360"/>
            </w:sectPr>
          </w:pPr>
        </w:p>
        <w:p w14:paraId="38FF0EE1" w14:textId="77777777" w:rsidR="00F97BF5" w:rsidRPr="00D95C57" w:rsidRDefault="00F97BF5" w:rsidP="00434A3D">
          <w:pPr>
            <w:spacing w:beforeAutospacing="1" w:after="100" w:afterAutospacing="1" w:line="240" w:lineRule="auto"/>
            <w:jc w:val="both"/>
            <w:rPr>
              <w:rFonts w:asciiTheme="majorHAnsi" w:hAnsiTheme="majorHAnsi"/>
              <w:b/>
              <w:bCs/>
              <w:noProof/>
              <w:color w:val="0F6FC6" w:themeColor="accent1"/>
              <w:lang w:eastAsia="ro-RO"/>
            </w:rPr>
          </w:pPr>
          <w:r w:rsidRPr="00D95C57">
            <w:rPr>
              <w:rFonts w:asciiTheme="majorHAnsi" w:hAnsiTheme="majorHAnsi"/>
              <w:b/>
              <w:bCs/>
              <w:noProof/>
              <w:color w:val="0F6FC6" w:themeColor="accent1"/>
              <w:lang w:eastAsia="ro-RO"/>
            </w:rPr>
            <w:t xml:space="preserve">Definiții </w:t>
          </w:r>
          <w:r w:rsidR="00391748" w:rsidRPr="00391748">
            <w:rPr>
              <w:rFonts w:asciiTheme="majorHAnsi" w:hAnsiTheme="majorHAnsi"/>
              <w:b/>
              <w:bCs/>
              <w:noProof/>
              <w:color w:val="0F6FC6" w:themeColor="accent1"/>
              <w:lang w:eastAsia="ro-RO"/>
            </w:rPr>
            <w:t>folosite în prezentul Raport</w:t>
          </w:r>
        </w:p>
        <w:p w14:paraId="2BEA96A5" w14:textId="77777777" w:rsidR="005913DE" w:rsidRPr="00366C04" w:rsidRDefault="00D20E71" w:rsidP="00434A3D">
          <w:pPr>
            <w:spacing w:before="120" w:after="120" w:line="240" w:lineRule="auto"/>
            <w:jc w:val="both"/>
            <w:rPr>
              <w:rFonts w:asciiTheme="majorHAnsi" w:hAnsiTheme="majorHAnsi"/>
              <w:noProof/>
              <w:lang w:val="en-US" w:eastAsia="ro-RO"/>
            </w:rPr>
          </w:pPr>
          <w:r w:rsidRPr="00366C04">
            <w:rPr>
              <w:rFonts w:asciiTheme="majorHAnsi" w:hAnsiTheme="majorHAnsi"/>
              <w:noProof/>
              <w:lang w:eastAsia="ro-RO"/>
            </w:rPr>
            <w:t>Conform articolului 2 din Ordonanța de urgență a Guvernului nr. 109 / 2011 privind guvernanţa corporativă a întreprinderilor publice aprobată cu modificări și completări prin Legea nr. 111/2016 termenii și expresiile de mai jos au următoarele semnificații</w:t>
          </w:r>
          <w:r w:rsidR="00434A3D" w:rsidRPr="00366C04">
            <w:rPr>
              <w:rFonts w:asciiTheme="majorHAnsi" w:hAnsiTheme="majorHAnsi"/>
              <w:noProof/>
              <w:lang w:val="en-US" w:eastAsia="ro-RO"/>
            </w:rPr>
            <w:t>:</w:t>
          </w:r>
        </w:p>
        <w:p w14:paraId="61A207AA" w14:textId="77777777" w:rsidR="00C41ADD" w:rsidRPr="00366C04" w:rsidRDefault="00391748" w:rsidP="00434A3D">
          <w:pPr>
            <w:spacing w:before="120" w:after="120" w:line="240" w:lineRule="auto"/>
            <w:jc w:val="both"/>
            <w:rPr>
              <w:rFonts w:asciiTheme="majorHAnsi" w:hAnsiTheme="majorHAnsi"/>
              <w:noProof/>
              <w:lang w:eastAsia="ro-RO"/>
            </w:rPr>
          </w:pPr>
          <w:r w:rsidRPr="00366C04">
            <w:rPr>
              <w:rFonts w:asciiTheme="majorHAnsi" w:hAnsiTheme="majorHAnsi"/>
              <w:b/>
              <w:bCs/>
              <w:noProof/>
              <w:lang w:eastAsia="ro-RO"/>
            </w:rPr>
            <w:t>1</w:t>
          </w:r>
          <w:r w:rsidR="00C41ADD" w:rsidRPr="00366C04">
            <w:rPr>
              <w:rFonts w:asciiTheme="majorHAnsi" w:hAnsiTheme="majorHAnsi"/>
              <w:b/>
              <w:bCs/>
              <w:noProof/>
              <w:lang w:eastAsia="ro-RO"/>
            </w:rPr>
            <w:t>. Întreprinderi publice</w:t>
          </w:r>
          <w:r w:rsidR="00F65105" w:rsidRPr="00366C04">
            <w:rPr>
              <w:rFonts w:asciiTheme="majorHAnsi" w:hAnsiTheme="majorHAnsi"/>
              <w:b/>
              <w:bCs/>
              <w:noProof/>
              <w:lang w:eastAsia="ro-RO"/>
            </w:rPr>
            <w:t xml:space="preserve"> </w:t>
          </w:r>
        </w:p>
        <w:p w14:paraId="200CE8CA" w14:textId="77777777" w:rsidR="00C41ADD" w:rsidRPr="00366C04" w:rsidRDefault="00C41ADD" w:rsidP="008C1AB2">
          <w:pPr>
            <w:pStyle w:val="ListParagraph"/>
            <w:numPr>
              <w:ilvl w:val="0"/>
              <w:numId w:val="1"/>
            </w:numPr>
            <w:spacing w:before="120" w:after="120" w:line="240" w:lineRule="auto"/>
            <w:ind w:left="284" w:hanging="284"/>
            <w:jc w:val="both"/>
            <w:rPr>
              <w:rFonts w:asciiTheme="majorHAnsi" w:hAnsiTheme="majorHAnsi"/>
              <w:noProof/>
              <w:lang w:eastAsia="ro-RO"/>
            </w:rPr>
          </w:pPr>
          <w:r w:rsidRPr="00366C04">
            <w:rPr>
              <w:rFonts w:asciiTheme="majorHAnsi" w:hAnsiTheme="majorHAnsi"/>
              <w:b/>
              <w:bCs/>
              <w:noProof/>
              <w:lang w:eastAsia="ro-RO"/>
            </w:rPr>
            <w:t>regii autonome</w:t>
          </w:r>
          <w:r w:rsidR="00F65105" w:rsidRPr="00366C04">
            <w:rPr>
              <w:rFonts w:asciiTheme="majorHAnsi" w:hAnsiTheme="majorHAnsi"/>
              <w:noProof/>
              <w:lang w:eastAsia="ro-RO"/>
            </w:rPr>
            <w:t xml:space="preserve"> </w:t>
          </w:r>
          <w:r w:rsidRPr="00366C04">
            <w:rPr>
              <w:rFonts w:asciiTheme="majorHAnsi" w:hAnsiTheme="majorHAnsi"/>
              <w:noProof/>
              <w:lang w:eastAsia="ro-RO"/>
            </w:rPr>
            <w:t>înfiinţate de stat sau de o unitate administrativ</w:t>
          </w:r>
          <w:r w:rsidR="00F65105" w:rsidRPr="00366C04">
            <w:rPr>
              <w:rFonts w:asciiTheme="majorHAnsi" w:hAnsiTheme="majorHAnsi"/>
              <w:noProof/>
              <w:lang w:eastAsia="ro-RO"/>
            </w:rPr>
            <w:t xml:space="preserve"> – </w:t>
          </w:r>
          <w:r w:rsidRPr="00366C04">
            <w:rPr>
              <w:rFonts w:asciiTheme="majorHAnsi" w:hAnsiTheme="majorHAnsi"/>
              <w:noProof/>
              <w:lang w:eastAsia="ro-RO"/>
            </w:rPr>
            <w:t>teritorială</w:t>
          </w:r>
          <w:r w:rsidR="00126729" w:rsidRPr="00366C04">
            <w:rPr>
              <w:rFonts w:asciiTheme="majorHAnsi" w:hAnsiTheme="majorHAnsi"/>
              <w:noProof/>
              <w:lang w:eastAsia="ro-RO"/>
            </w:rPr>
            <w:t>;</w:t>
          </w:r>
        </w:p>
        <w:p w14:paraId="2A4B53AB" w14:textId="77777777" w:rsidR="00C41ADD" w:rsidRPr="00366C04" w:rsidRDefault="00C41ADD" w:rsidP="008C1AB2">
          <w:pPr>
            <w:pStyle w:val="ListParagraph"/>
            <w:numPr>
              <w:ilvl w:val="0"/>
              <w:numId w:val="1"/>
            </w:numPr>
            <w:spacing w:before="120" w:after="120" w:line="240" w:lineRule="auto"/>
            <w:ind w:left="284" w:hanging="284"/>
            <w:jc w:val="both"/>
            <w:rPr>
              <w:rFonts w:asciiTheme="majorHAnsi" w:hAnsiTheme="majorHAnsi"/>
              <w:noProof/>
              <w:lang w:eastAsia="ro-RO"/>
            </w:rPr>
          </w:pPr>
          <w:r w:rsidRPr="00366C04">
            <w:rPr>
              <w:rFonts w:asciiTheme="majorHAnsi" w:hAnsiTheme="majorHAnsi"/>
              <w:b/>
              <w:bCs/>
              <w:noProof/>
              <w:lang w:eastAsia="ro-RO"/>
            </w:rPr>
            <w:t>companii şi societăţi naţionale, societăţi la care statul sau o unitate administrativ-teritorială este acţionar unic, majoritar sau la care deţine controlul</w:t>
          </w:r>
          <w:r w:rsidR="00703CB9" w:rsidRPr="00366C04">
            <w:rPr>
              <w:rFonts w:asciiTheme="majorHAnsi" w:hAnsiTheme="majorHAnsi"/>
              <w:b/>
              <w:bCs/>
              <w:noProof/>
              <w:lang w:eastAsia="ro-RO"/>
            </w:rPr>
            <w:t>;</w:t>
          </w:r>
        </w:p>
        <w:p w14:paraId="26D58923" w14:textId="77777777" w:rsidR="00C41ADD" w:rsidRPr="00366C04" w:rsidRDefault="00C41ADD" w:rsidP="008C1AB2">
          <w:pPr>
            <w:pStyle w:val="ListParagraph"/>
            <w:numPr>
              <w:ilvl w:val="0"/>
              <w:numId w:val="1"/>
            </w:numPr>
            <w:spacing w:before="120" w:after="120" w:line="240" w:lineRule="auto"/>
            <w:ind w:left="284" w:hanging="284"/>
            <w:jc w:val="both"/>
            <w:rPr>
              <w:rFonts w:asciiTheme="majorHAnsi" w:hAnsiTheme="majorHAnsi"/>
              <w:b/>
              <w:bCs/>
              <w:noProof/>
              <w:lang w:eastAsia="ro-RO"/>
            </w:rPr>
          </w:pPr>
          <w:r w:rsidRPr="00366C04">
            <w:rPr>
              <w:rFonts w:asciiTheme="majorHAnsi" w:hAnsiTheme="majorHAnsi"/>
              <w:b/>
              <w:bCs/>
              <w:noProof/>
              <w:lang w:eastAsia="ro-RO"/>
            </w:rPr>
            <w:t xml:space="preserve">societăţi la care una sau mai multe întreprinderi publice prevăzute la lit. </w:t>
          </w:r>
          <w:r w:rsidR="00CA019B" w:rsidRPr="00366C04">
            <w:rPr>
              <w:rFonts w:asciiTheme="majorHAnsi" w:hAnsiTheme="majorHAnsi"/>
              <w:b/>
              <w:bCs/>
              <w:noProof/>
              <w:lang w:eastAsia="ro-RO"/>
            </w:rPr>
            <w:t>a</w:t>
          </w:r>
          <w:r w:rsidRPr="00366C04">
            <w:rPr>
              <w:rFonts w:asciiTheme="majorHAnsi" w:hAnsiTheme="majorHAnsi"/>
              <w:b/>
              <w:bCs/>
              <w:noProof/>
              <w:lang w:eastAsia="ro-RO"/>
            </w:rPr>
            <w:t>) şi b) deţin o participaţie majoritară sau o participaţie care le asigură controlul</w:t>
          </w:r>
          <w:r w:rsidR="000A74C6" w:rsidRPr="00366C04">
            <w:rPr>
              <w:rFonts w:asciiTheme="majorHAnsi" w:hAnsiTheme="majorHAnsi"/>
              <w:b/>
              <w:bCs/>
              <w:noProof/>
              <w:lang w:val="en-US" w:eastAsia="ro-RO"/>
            </w:rPr>
            <w:t>;</w:t>
          </w:r>
        </w:p>
        <w:p w14:paraId="68FAB82A" w14:textId="77777777" w:rsidR="00C41ADD" w:rsidRPr="00366C04" w:rsidRDefault="00391748" w:rsidP="00434A3D">
          <w:pPr>
            <w:spacing w:before="120" w:after="120" w:line="240" w:lineRule="auto"/>
            <w:jc w:val="both"/>
            <w:rPr>
              <w:rFonts w:asciiTheme="majorHAnsi" w:hAnsiTheme="majorHAnsi"/>
              <w:noProof/>
              <w:lang w:eastAsia="ro-RO"/>
            </w:rPr>
          </w:pPr>
          <w:r w:rsidRPr="00366C04">
            <w:rPr>
              <w:rFonts w:asciiTheme="majorHAnsi" w:hAnsiTheme="majorHAnsi"/>
              <w:b/>
              <w:bCs/>
              <w:noProof/>
              <w:lang w:eastAsia="ro-RO"/>
            </w:rPr>
            <w:t>2</w:t>
          </w:r>
          <w:r w:rsidR="00C41ADD" w:rsidRPr="00366C04">
            <w:rPr>
              <w:rFonts w:asciiTheme="majorHAnsi" w:hAnsiTheme="majorHAnsi"/>
              <w:b/>
              <w:bCs/>
              <w:noProof/>
              <w:lang w:eastAsia="ro-RO"/>
            </w:rPr>
            <w:t>. Autoritate publică tutelară -</w:t>
          </w:r>
          <w:r w:rsidR="00C41ADD" w:rsidRPr="00366C04">
            <w:rPr>
              <w:rFonts w:asciiTheme="majorHAnsi" w:hAnsiTheme="majorHAnsi"/>
              <w:noProof/>
              <w:lang w:eastAsia="ro-RO"/>
            </w:rPr>
            <w:t xml:space="preserve"> instituţia care:</w:t>
          </w:r>
        </w:p>
        <w:p w14:paraId="757802CA" w14:textId="77777777" w:rsidR="00C41ADD" w:rsidRPr="00366C04" w:rsidRDefault="00C41ADD" w:rsidP="008C1AB2">
          <w:pPr>
            <w:pStyle w:val="ListParagraph"/>
            <w:numPr>
              <w:ilvl w:val="0"/>
              <w:numId w:val="2"/>
            </w:numPr>
            <w:spacing w:before="120" w:after="120" w:line="240" w:lineRule="auto"/>
            <w:ind w:left="284" w:hanging="284"/>
            <w:jc w:val="both"/>
            <w:rPr>
              <w:rFonts w:asciiTheme="majorHAnsi" w:hAnsiTheme="majorHAnsi"/>
              <w:noProof/>
              <w:lang w:eastAsia="ro-RO"/>
            </w:rPr>
          </w:pPr>
          <w:r w:rsidRPr="00366C04">
            <w:rPr>
              <w:rFonts w:asciiTheme="majorHAnsi" w:hAnsiTheme="majorHAnsi"/>
              <w:noProof/>
              <w:lang w:eastAsia="ro-RO"/>
            </w:rPr>
            <w:t>coordonează, are în subordine sau sub autoritate una sau mai multe întreprinderi publice prevăzute la pct. 2 lit. a);</w:t>
          </w:r>
        </w:p>
        <w:p w14:paraId="180FEFEE" w14:textId="77777777" w:rsidR="00C41ADD" w:rsidRPr="00366C04" w:rsidRDefault="00C41ADD" w:rsidP="008C1AB2">
          <w:pPr>
            <w:pStyle w:val="ListParagraph"/>
            <w:numPr>
              <w:ilvl w:val="0"/>
              <w:numId w:val="2"/>
            </w:numPr>
            <w:spacing w:before="120" w:after="120" w:line="240" w:lineRule="auto"/>
            <w:ind w:left="284" w:hanging="284"/>
            <w:jc w:val="both"/>
            <w:rPr>
              <w:rFonts w:asciiTheme="majorHAnsi" w:hAnsiTheme="majorHAnsi"/>
              <w:noProof/>
              <w:lang w:eastAsia="ro-RO"/>
            </w:rPr>
          </w:pPr>
          <w:r w:rsidRPr="00366C04">
            <w:rPr>
              <w:rFonts w:asciiTheme="majorHAnsi" w:hAnsiTheme="majorHAnsi"/>
              <w:noProof/>
              <w:lang w:eastAsia="ro-RO"/>
            </w:rPr>
            <w:t>exercită, în numele statului sau al unităţii administrativ-teritoriale, calitatea de acţionar la întreprinderile publice prevăzute la pct. 2 lit. b);</w:t>
          </w:r>
        </w:p>
        <w:p w14:paraId="36742A58" w14:textId="77777777" w:rsidR="00AB0422" w:rsidRPr="00366C04" w:rsidRDefault="00C41ADD" w:rsidP="008C1AB2">
          <w:pPr>
            <w:pStyle w:val="ListParagraph"/>
            <w:numPr>
              <w:ilvl w:val="0"/>
              <w:numId w:val="2"/>
            </w:numPr>
            <w:spacing w:before="120" w:after="120" w:line="240" w:lineRule="auto"/>
            <w:ind w:left="284" w:hanging="284"/>
            <w:jc w:val="both"/>
            <w:rPr>
              <w:rFonts w:asciiTheme="majorHAnsi" w:hAnsiTheme="majorHAnsi"/>
              <w:noProof/>
              <w:lang w:eastAsia="ro-RO"/>
            </w:rPr>
          </w:pPr>
          <w:r w:rsidRPr="00366C04">
            <w:rPr>
              <w:rFonts w:asciiTheme="majorHAnsi" w:hAnsiTheme="majorHAnsi"/>
              <w:noProof/>
              <w:lang w:eastAsia="ro-RO"/>
            </w:rPr>
            <w:t>coordonează exercitarea de către una sau mai multe întreprinderi publice prevăzute la pct. 2 lit. a) şi/sau lit. b) a calităţii de acţionar sau asociat la o societate controlată;</w:t>
          </w:r>
          <w:r w:rsidR="00AB0422" w:rsidRPr="00366C04">
            <w:rPr>
              <w:rFonts w:asciiTheme="majorHAnsi" w:hAnsiTheme="majorHAnsi"/>
              <w:noProof/>
              <w:lang w:eastAsia="ro-RO"/>
            </w:rPr>
            <w:t xml:space="preserve"> </w:t>
          </w:r>
        </w:p>
        <w:p w14:paraId="2189443E" w14:textId="77777777" w:rsidR="00C41ADD" w:rsidRPr="00366C04" w:rsidRDefault="00391748" w:rsidP="00434A3D">
          <w:pPr>
            <w:spacing w:before="120" w:after="120" w:line="240" w:lineRule="auto"/>
            <w:jc w:val="both"/>
            <w:rPr>
              <w:rFonts w:asciiTheme="majorHAnsi" w:hAnsiTheme="majorHAnsi"/>
              <w:noProof/>
              <w:lang w:eastAsia="ro-RO"/>
            </w:rPr>
          </w:pPr>
          <w:r w:rsidRPr="00366C04">
            <w:rPr>
              <w:rFonts w:asciiTheme="majorHAnsi" w:hAnsiTheme="majorHAnsi"/>
              <w:b/>
              <w:bCs/>
              <w:noProof/>
              <w:lang w:eastAsia="ro-RO"/>
            </w:rPr>
            <w:t>3</w:t>
          </w:r>
          <w:r w:rsidR="00F65105" w:rsidRPr="00366C04">
            <w:rPr>
              <w:rFonts w:asciiTheme="majorHAnsi" w:hAnsiTheme="majorHAnsi"/>
              <w:b/>
              <w:bCs/>
              <w:noProof/>
              <w:lang w:eastAsia="ro-RO"/>
            </w:rPr>
            <w:t>. C</w:t>
          </w:r>
          <w:r w:rsidR="00C41ADD" w:rsidRPr="00366C04">
            <w:rPr>
              <w:rFonts w:asciiTheme="majorHAnsi" w:hAnsiTheme="majorHAnsi"/>
              <w:b/>
              <w:bCs/>
              <w:noProof/>
              <w:lang w:eastAsia="ro-RO"/>
            </w:rPr>
            <w:t>ontrol</w:t>
          </w:r>
          <w:r w:rsidR="00C41ADD" w:rsidRPr="00366C04">
            <w:rPr>
              <w:rFonts w:asciiTheme="majorHAnsi" w:hAnsiTheme="majorHAnsi"/>
              <w:noProof/>
              <w:lang w:eastAsia="ro-RO"/>
            </w:rPr>
            <w:t xml:space="preserve"> </w:t>
          </w:r>
          <w:r w:rsidR="00F65105" w:rsidRPr="00366C04">
            <w:rPr>
              <w:rFonts w:asciiTheme="majorHAnsi" w:hAnsiTheme="majorHAnsi"/>
              <w:noProof/>
              <w:lang w:eastAsia="ro-RO"/>
            </w:rPr>
            <w:t>–</w:t>
          </w:r>
          <w:r w:rsidR="00C41ADD" w:rsidRPr="00366C04">
            <w:rPr>
              <w:rFonts w:asciiTheme="majorHAnsi" w:hAnsiTheme="majorHAnsi"/>
              <w:noProof/>
              <w:lang w:eastAsia="ro-RO"/>
            </w:rPr>
            <w:t xml:space="preserve"> raportul</w:t>
          </w:r>
          <w:r w:rsidR="00F65105" w:rsidRPr="00366C04">
            <w:rPr>
              <w:rFonts w:asciiTheme="majorHAnsi" w:hAnsiTheme="majorHAnsi"/>
              <w:noProof/>
              <w:lang w:eastAsia="ro-RO"/>
            </w:rPr>
            <w:t xml:space="preserve"> </w:t>
          </w:r>
          <w:r w:rsidR="00C41ADD" w:rsidRPr="00366C04">
            <w:rPr>
              <w:rFonts w:asciiTheme="majorHAnsi" w:hAnsiTheme="majorHAnsi"/>
              <w:noProof/>
              <w:lang w:eastAsia="ro-RO"/>
            </w:rPr>
            <w:t>dintre stat sau unitatea administrativ-teritorială acţionar sau o întreprindere publică, pe de o parte, şi societatea la care:</w:t>
          </w:r>
        </w:p>
        <w:p w14:paraId="2A0BC2EF" w14:textId="77777777" w:rsidR="00C41ADD" w:rsidRPr="00366C04" w:rsidRDefault="00C41ADD" w:rsidP="008C1AB2">
          <w:pPr>
            <w:pStyle w:val="ListParagraph"/>
            <w:numPr>
              <w:ilvl w:val="0"/>
              <w:numId w:val="3"/>
            </w:numPr>
            <w:spacing w:before="120" w:after="120" w:line="240" w:lineRule="auto"/>
            <w:ind w:left="284" w:hanging="284"/>
            <w:jc w:val="both"/>
            <w:rPr>
              <w:rFonts w:asciiTheme="majorHAnsi" w:hAnsiTheme="majorHAnsi"/>
              <w:noProof/>
              <w:lang w:eastAsia="ro-RO"/>
            </w:rPr>
          </w:pPr>
          <w:r w:rsidRPr="00366C04">
            <w:rPr>
              <w:rFonts w:asciiTheme="majorHAnsi" w:hAnsiTheme="majorHAnsi"/>
              <w:noProof/>
              <w:lang w:eastAsia="ro-RO"/>
            </w:rPr>
            <w:t>deţine direct sau indirect majoritatea drepturilor de vot;</w:t>
          </w:r>
        </w:p>
        <w:p w14:paraId="20421E72" w14:textId="77777777" w:rsidR="00C41ADD" w:rsidRPr="00366C04" w:rsidRDefault="00C41ADD" w:rsidP="008C1AB2">
          <w:pPr>
            <w:pStyle w:val="ListParagraph"/>
            <w:numPr>
              <w:ilvl w:val="0"/>
              <w:numId w:val="3"/>
            </w:numPr>
            <w:spacing w:before="120" w:after="120" w:line="240" w:lineRule="auto"/>
            <w:ind w:left="284" w:hanging="284"/>
            <w:jc w:val="both"/>
            <w:rPr>
              <w:rFonts w:asciiTheme="majorHAnsi" w:hAnsiTheme="majorHAnsi"/>
              <w:noProof/>
              <w:lang w:eastAsia="ro-RO"/>
            </w:rPr>
          </w:pPr>
          <w:r w:rsidRPr="00366C04">
            <w:rPr>
              <w:rFonts w:asciiTheme="majorHAnsi" w:hAnsiTheme="majorHAnsi"/>
              <w:noProof/>
              <w:lang w:eastAsia="ro-RO"/>
            </w:rPr>
            <w:t>poate să numească sau să revoce majoritatea membrilor organelor de administrare şi de control;</w:t>
          </w:r>
        </w:p>
        <w:p w14:paraId="2396CA2A" w14:textId="77777777" w:rsidR="002341CF" w:rsidRPr="00366C04" w:rsidRDefault="00C41ADD" w:rsidP="008C1AB2">
          <w:pPr>
            <w:pStyle w:val="ListParagraph"/>
            <w:numPr>
              <w:ilvl w:val="0"/>
              <w:numId w:val="3"/>
            </w:numPr>
            <w:spacing w:before="120" w:after="120" w:line="240" w:lineRule="auto"/>
            <w:ind w:left="284" w:hanging="284"/>
            <w:jc w:val="both"/>
            <w:rPr>
              <w:rFonts w:asciiTheme="majorHAnsi" w:hAnsiTheme="majorHAnsi"/>
              <w:noProof/>
              <w:lang w:eastAsia="ro-RO"/>
            </w:rPr>
          </w:pPr>
          <w:r w:rsidRPr="00366C04">
            <w:rPr>
              <w:rFonts w:asciiTheme="majorHAnsi" w:hAnsiTheme="majorHAnsi"/>
              <w:noProof/>
              <w:lang w:eastAsia="ro-RO"/>
            </w:rPr>
            <w:t>poate exercita, în calitate de acţionar, o influenţă determinantă, în virtutea unor clauze de natură a stabili strategia de management a</w:t>
          </w:r>
          <w:r w:rsidR="00864006" w:rsidRPr="00366C04">
            <w:rPr>
              <w:rFonts w:asciiTheme="majorHAnsi" w:hAnsiTheme="majorHAnsi"/>
              <w:noProof/>
              <w:lang w:eastAsia="ro-RO"/>
            </w:rPr>
            <w:t>l</w:t>
          </w:r>
          <w:r w:rsidRPr="00366C04">
            <w:rPr>
              <w:rFonts w:asciiTheme="majorHAnsi" w:hAnsiTheme="majorHAnsi"/>
              <w:noProof/>
              <w:lang w:eastAsia="ro-RO"/>
            </w:rPr>
            <w:t xml:space="preserve"> întreprinderii publice, cuprinse în contracte încheiate cu întreprinderea publică sau în actul constitutiv al acesteia;</w:t>
          </w:r>
        </w:p>
        <w:p w14:paraId="6AD6836C" w14:textId="77777777" w:rsidR="003B265B" w:rsidRPr="00366C04" w:rsidRDefault="003B265B" w:rsidP="00434A3D">
          <w:pPr>
            <w:spacing w:before="120" w:after="120" w:line="240" w:lineRule="auto"/>
            <w:jc w:val="both"/>
            <w:rPr>
              <w:rFonts w:asciiTheme="majorHAnsi" w:hAnsiTheme="majorHAnsi"/>
              <w:noProof/>
              <w:lang w:eastAsia="ro-RO"/>
            </w:rPr>
          </w:pPr>
          <w:r w:rsidRPr="00366C04">
            <w:rPr>
              <w:rFonts w:asciiTheme="majorHAnsi" w:hAnsiTheme="majorHAnsi"/>
              <w:b/>
              <w:bCs/>
              <w:noProof/>
              <w:lang w:eastAsia="ro-RO"/>
            </w:rPr>
            <w:t>Întreprindere publică activă</w:t>
          </w:r>
          <w:r w:rsidRPr="00366C04">
            <w:rPr>
              <w:rFonts w:asciiTheme="majorHAnsi" w:hAnsiTheme="majorHAnsi"/>
              <w:noProof/>
              <w:lang w:eastAsia="ro-RO"/>
            </w:rPr>
            <w:t xml:space="preserve"> – întreprindere în stare de funcționare;</w:t>
          </w:r>
        </w:p>
        <w:p w14:paraId="427CC217" w14:textId="77777777" w:rsidR="003B265B" w:rsidRPr="00366C04" w:rsidRDefault="003B265B" w:rsidP="00434A3D">
          <w:pPr>
            <w:spacing w:before="120" w:after="120" w:line="240" w:lineRule="auto"/>
            <w:jc w:val="both"/>
            <w:rPr>
              <w:rFonts w:asciiTheme="majorHAnsi" w:hAnsiTheme="majorHAnsi"/>
              <w:noProof/>
              <w:lang w:eastAsia="ro-RO"/>
            </w:rPr>
          </w:pPr>
          <w:r w:rsidRPr="00366C04">
            <w:rPr>
              <w:rFonts w:asciiTheme="majorHAnsi" w:hAnsiTheme="majorHAnsi"/>
              <w:b/>
              <w:bCs/>
              <w:noProof/>
              <w:lang w:eastAsia="ro-RO"/>
            </w:rPr>
            <w:t>Întreprindere publică inactivă</w:t>
          </w:r>
          <w:r w:rsidRPr="00366C04">
            <w:rPr>
              <w:rFonts w:asciiTheme="majorHAnsi" w:hAnsiTheme="majorHAnsi"/>
              <w:noProof/>
              <w:lang w:eastAsia="ro-RO"/>
            </w:rPr>
            <w:t xml:space="preserve"> – întreprindere aflată sub incidența Legii nr.  85/2014 privind procedurile de prevenire a insolvenței și de insolvență</w:t>
          </w:r>
          <w:r w:rsidR="00C11A19" w:rsidRPr="00366C04">
            <w:rPr>
              <w:rFonts w:asciiTheme="majorHAnsi" w:hAnsiTheme="majorHAnsi"/>
              <w:noProof/>
              <w:lang w:eastAsia="ro-RO"/>
            </w:rPr>
            <w:t>, cu modificărule și completările ulteroare</w:t>
          </w:r>
          <w:r w:rsidRPr="00366C04">
            <w:rPr>
              <w:rFonts w:asciiTheme="majorHAnsi" w:hAnsiTheme="majorHAnsi"/>
              <w:noProof/>
              <w:lang w:eastAsia="ro-RO"/>
            </w:rPr>
            <w:t>;</w:t>
          </w:r>
        </w:p>
        <w:p w14:paraId="472ECFEF" w14:textId="77777777" w:rsidR="00F00DCE" w:rsidRPr="00366C04" w:rsidRDefault="00F00DCE" w:rsidP="00434A3D">
          <w:pPr>
            <w:spacing w:before="120" w:after="120" w:line="240" w:lineRule="auto"/>
            <w:jc w:val="both"/>
            <w:rPr>
              <w:rFonts w:asciiTheme="majorHAnsi" w:hAnsiTheme="majorHAnsi"/>
              <w:noProof/>
              <w:lang w:eastAsia="ro-RO"/>
            </w:rPr>
          </w:pPr>
          <w:r w:rsidRPr="00366C04">
            <w:rPr>
              <w:rFonts w:asciiTheme="majorHAnsi" w:hAnsiTheme="majorHAnsi"/>
              <w:b/>
              <w:bCs/>
              <w:noProof/>
              <w:lang w:eastAsia="ro-RO"/>
            </w:rPr>
            <w:t>Întreprindere</w:t>
          </w:r>
          <w:r w:rsidRPr="00366C04">
            <w:rPr>
              <w:rFonts w:asciiTheme="majorHAnsi" w:hAnsiTheme="majorHAnsi"/>
              <w:noProof/>
              <w:lang w:eastAsia="ro-RO"/>
            </w:rPr>
            <w:t xml:space="preserve"> – </w:t>
          </w:r>
          <w:r w:rsidR="00002555" w:rsidRPr="00366C04">
            <w:rPr>
              <w:rFonts w:asciiTheme="majorHAnsi" w:hAnsiTheme="majorHAnsi"/>
              <w:noProof/>
              <w:lang w:eastAsia="ro-RO"/>
            </w:rPr>
            <w:t>orice formă de organizare a unei activități economice, autonomă patrimonial și autorizată potrivit legilor în vigoare să facă acte și fapte de comerț, în scopul obținerii de profit prin producerea de bunuri materiale și vânzarea acestora pe piață sau prin prestări de servicii, în condiții de concurență, care</w:t>
          </w:r>
          <w:r w:rsidR="00002555" w:rsidRPr="00366C04">
            <w:rPr>
              <w:rFonts w:ascii="Open Sans" w:hAnsi="Open Sans" w:cs="Open Sans"/>
              <w:shd w:val="clear" w:color="auto" w:fill="FFFFFF"/>
            </w:rPr>
            <w:t xml:space="preserve"> </w:t>
          </w:r>
          <w:r w:rsidR="00002555" w:rsidRPr="00366C04">
            <w:rPr>
              <w:rFonts w:asciiTheme="majorHAnsi" w:hAnsiTheme="majorHAnsi"/>
              <w:noProof/>
              <w:lang w:eastAsia="ro-RO"/>
            </w:rPr>
            <w:t>întocmește</w:t>
          </w:r>
          <w:r w:rsidR="00340F84" w:rsidRPr="00366C04">
            <w:rPr>
              <w:rFonts w:asciiTheme="majorHAnsi" w:hAnsiTheme="majorHAnsi"/>
              <w:noProof/>
              <w:lang w:eastAsia="ro-RO"/>
            </w:rPr>
            <w:t xml:space="preserve"> şi depun</w:t>
          </w:r>
          <w:r w:rsidR="00002555" w:rsidRPr="00366C04">
            <w:rPr>
              <w:rFonts w:asciiTheme="majorHAnsi" w:hAnsiTheme="majorHAnsi"/>
              <w:noProof/>
              <w:lang w:eastAsia="ro-RO"/>
            </w:rPr>
            <w:t>e</w:t>
          </w:r>
          <w:r w:rsidR="00340F84" w:rsidRPr="00366C04">
            <w:rPr>
              <w:rFonts w:asciiTheme="majorHAnsi" w:hAnsiTheme="majorHAnsi"/>
              <w:noProof/>
              <w:lang w:eastAsia="ro-RO"/>
            </w:rPr>
            <w:t xml:space="preserve"> situaţii financiare anuale şi raportări contabile la Ministerul Finanţelor </w:t>
          </w:r>
          <w:r w:rsidR="00C205D0" w:rsidRPr="00366C04">
            <w:rPr>
              <w:rFonts w:asciiTheme="majorHAnsi" w:hAnsiTheme="majorHAnsi"/>
              <w:noProof/>
              <w:lang w:eastAsia="ro-RO"/>
            </w:rPr>
            <w:t>conform Ordinului Ministerului Finanţelor Publice nr. 470/2018</w:t>
          </w:r>
          <w:r w:rsidR="00C205D0" w:rsidRPr="00366C04">
            <w:rPr>
              <w:rStyle w:val="FootnoteReference"/>
              <w:rFonts w:asciiTheme="majorHAnsi" w:hAnsiTheme="majorHAnsi"/>
              <w:noProof/>
              <w:lang w:eastAsia="ro-RO"/>
            </w:rPr>
            <w:footnoteReference w:id="1"/>
          </w:r>
          <w:r w:rsidR="00C205D0" w:rsidRPr="00366C04">
            <w:rPr>
              <w:rFonts w:asciiTheme="majorHAnsi" w:hAnsiTheme="majorHAnsi"/>
              <w:noProof/>
              <w:lang w:eastAsia="ro-RO"/>
            </w:rPr>
            <w:t>,</w:t>
          </w:r>
          <w:r w:rsidR="00340F84" w:rsidRPr="00366C04">
            <w:rPr>
              <w:rFonts w:asciiTheme="majorHAnsi" w:hAnsiTheme="majorHAnsi"/>
              <w:noProof/>
              <w:lang w:eastAsia="ro-RO"/>
            </w:rPr>
            <w:t xml:space="preserve"> </w:t>
          </w:r>
          <w:r w:rsidR="00340F84" w:rsidRPr="00366C04">
            <w:rPr>
              <w:rFonts w:asciiTheme="majorHAnsi" w:hAnsiTheme="majorHAnsi"/>
              <w:b/>
              <w:bCs/>
              <w:noProof/>
              <w:lang w:eastAsia="ro-RO"/>
            </w:rPr>
            <w:t>indiferent de forma de proprietate</w:t>
          </w:r>
          <w:r w:rsidR="002341CF" w:rsidRPr="00366C04">
            <w:rPr>
              <w:rFonts w:asciiTheme="majorHAnsi" w:hAnsiTheme="majorHAnsi"/>
              <w:b/>
              <w:bCs/>
              <w:noProof/>
              <w:lang w:eastAsia="ro-RO"/>
            </w:rPr>
            <w:t xml:space="preserve"> a acest</w:t>
          </w:r>
          <w:r w:rsidR="00002555" w:rsidRPr="00366C04">
            <w:rPr>
              <w:rFonts w:asciiTheme="majorHAnsi" w:hAnsiTheme="majorHAnsi"/>
              <w:b/>
              <w:bCs/>
              <w:noProof/>
              <w:lang w:eastAsia="ro-RO"/>
            </w:rPr>
            <w:t>eia</w:t>
          </w:r>
          <w:r w:rsidR="002341CF" w:rsidRPr="00366C04">
            <w:rPr>
              <w:rFonts w:asciiTheme="majorHAnsi" w:hAnsiTheme="majorHAnsi"/>
              <w:noProof/>
              <w:lang w:eastAsia="ro-RO"/>
            </w:rPr>
            <w:t>;</w:t>
          </w:r>
        </w:p>
        <w:p w14:paraId="69EBED05" w14:textId="77777777" w:rsidR="002341CF" w:rsidRPr="00366C04" w:rsidRDefault="009A275D" w:rsidP="00434A3D">
          <w:pPr>
            <w:spacing w:before="120" w:after="120" w:line="240" w:lineRule="auto"/>
            <w:jc w:val="both"/>
            <w:rPr>
              <w:rFonts w:asciiTheme="majorHAnsi" w:hAnsiTheme="majorHAnsi"/>
              <w:noProof/>
              <w:lang w:val="en-US" w:eastAsia="ro-RO"/>
            </w:rPr>
          </w:pPr>
          <w:r w:rsidRPr="00366C04">
            <w:rPr>
              <w:rFonts w:asciiTheme="majorHAnsi" w:hAnsiTheme="majorHAnsi"/>
              <w:b/>
              <w:bCs/>
              <w:noProof/>
              <w:lang w:eastAsia="ro-RO"/>
            </w:rPr>
            <w:t>Î</w:t>
          </w:r>
          <w:r w:rsidR="002341CF" w:rsidRPr="00366C04">
            <w:rPr>
              <w:rFonts w:asciiTheme="majorHAnsi" w:hAnsiTheme="majorHAnsi"/>
              <w:b/>
              <w:bCs/>
              <w:noProof/>
              <w:lang w:eastAsia="ro-RO"/>
            </w:rPr>
            <w:t>ntreprindere privată</w:t>
          </w:r>
          <w:r w:rsidR="002341CF" w:rsidRPr="00366C04">
            <w:rPr>
              <w:rFonts w:asciiTheme="majorHAnsi" w:hAnsiTheme="majorHAnsi"/>
              <w:noProof/>
              <w:lang w:eastAsia="ro-RO"/>
            </w:rPr>
            <w:t xml:space="preserve"> – </w:t>
          </w:r>
          <w:r w:rsidR="00002555" w:rsidRPr="00366C04">
            <w:rPr>
              <w:rFonts w:asciiTheme="majorHAnsi" w:hAnsiTheme="majorHAnsi"/>
              <w:noProof/>
              <w:lang w:eastAsia="ro-RO"/>
            </w:rPr>
            <w:t xml:space="preserve">întreprindere </w:t>
          </w:r>
          <w:r w:rsidR="00B85685" w:rsidRPr="00366C04">
            <w:rPr>
              <w:rFonts w:asciiTheme="majorHAnsi" w:hAnsiTheme="majorHAnsi"/>
              <w:noProof/>
              <w:lang w:eastAsia="ro-RO"/>
            </w:rPr>
            <w:t xml:space="preserve">la care statul sau unităţile administrativ teritoriale deţin participaţii </w:t>
          </w:r>
          <w:r w:rsidR="00B85685" w:rsidRPr="00366C04">
            <w:rPr>
              <w:rFonts w:asciiTheme="majorHAnsi" w:hAnsiTheme="majorHAnsi"/>
              <w:b/>
              <w:bCs/>
              <w:noProof/>
              <w:lang w:eastAsia="ro-RO"/>
            </w:rPr>
            <w:t>sub 50%</w:t>
          </w:r>
          <w:r w:rsidR="00B85685" w:rsidRPr="00366C04">
            <w:rPr>
              <w:rFonts w:asciiTheme="majorHAnsi" w:hAnsiTheme="majorHAnsi"/>
              <w:noProof/>
              <w:lang w:eastAsia="ro-RO"/>
            </w:rPr>
            <w:t xml:space="preserve"> sau </w:t>
          </w:r>
          <w:r w:rsidR="00B85685" w:rsidRPr="00366C04">
            <w:rPr>
              <w:rFonts w:asciiTheme="majorHAnsi" w:hAnsiTheme="majorHAnsi"/>
              <w:b/>
              <w:bCs/>
              <w:noProof/>
              <w:lang w:eastAsia="ro-RO"/>
            </w:rPr>
            <w:t>nu deţin controlul</w:t>
          </w:r>
          <w:r w:rsidR="002341CF" w:rsidRPr="00366C04">
            <w:rPr>
              <w:rFonts w:asciiTheme="majorHAnsi" w:hAnsiTheme="majorHAnsi"/>
              <w:noProof/>
              <w:lang w:val="en-US" w:eastAsia="ro-RO"/>
            </w:rPr>
            <w:t>;</w:t>
          </w:r>
        </w:p>
        <w:p w14:paraId="1AF0D9EC" w14:textId="77777777" w:rsidR="00391748" w:rsidRPr="00366C04" w:rsidRDefault="00391748" w:rsidP="00434A3D">
          <w:pPr>
            <w:spacing w:before="120" w:after="120" w:line="240" w:lineRule="auto"/>
            <w:jc w:val="both"/>
            <w:rPr>
              <w:rFonts w:asciiTheme="majorHAnsi" w:hAnsiTheme="majorHAnsi"/>
              <w:noProof/>
              <w:lang w:val="en-US" w:eastAsia="ro-RO"/>
            </w:rPr>
          </w:pPr>
        </w:p>
        <w:p w14:paraId="24E4E4F0" w14:textId="77777777" w:rsidR="00391748" w:rsidRDefault="00391748" w:rsidP="00434A3D">
          <w:pPr>
            <w:spacing w:before="120" w:after="120" w:line="240" w:lineRule="auto"/>
            <w:jc w:val="both"/>
            <w:rPr>
              <w:rFonts w:asciiTheme="majorHAnsi" w:hAnsiTheme="majorHAnsi"/>
              <w:noProof/>
              <w:lang w:val="en-US" w:eastAsia="ro-RO"/>
            </w:rPr>
          </w:pPr>
        </w:p>
        <w:p w14:paraId="7C2F997C" w14:textId="77777777" w:rsidR="00391748" w:rsidRDefault="00391748" w:rsidP="00434A3D">
          <w:pPr>
            <w:spacing w:before="120" w:after="120" w:line="240" w:lineRule="auto"/>
            <w:jc w:val="both"/>
            <w:rPr>
              <w:rFonts w:asciiTheme="majorHAnsi" w:hAnsiTheme="majorHAnsi"/>
              <w:noProof/>
              <w:lang w:val="en-US" w:eastAsia="ro-RO"/>
            </w:rPr>
          </w:pPr>
        </w:p>
        <w:p w14:paraId="49202321" w14:textId="77777777" w:rsidR="00391748" w:rsidRDefault="00391748" w:rsidP="00434A3D">
          <w:pPr>
            <w:spacing w:before="120" w:after="120" w:line="240" w:lineRule="auto"/>
            <w:jc w:val="both"/>
            <w:rPr>
              <w:rFonts w:asciiTheme="majorHAnsi" w:hAnsiTheme="majorHAnsi"/>
              <w:noProof/>
              <w:lang w:val="en-US" w:eastAsia="ro-RO"/>
            </w:rPr>
          </w:pPr>
        </w:p>
        <w:p w14:paraId="70F09735" w14:textId="77777777" w:rsidR="00391748" w:rsidRDefault="00391748" w:rsidP="00434A3D">
          <w:pPr>
            <w:spacing w:before="120" w:after="120" w:line="240" w:lineRule="auto"/>
            <w:jc w:val="both"/>
            <w:rPr>
              <w:rFonts w:asciiTheme="majorHAnsi" w:hAnsiTheme="majorHAnsi"/>
              <w:noProof/>
              <w:lang w:val="en-US" w:eastAsia="ro-RO"/>
            </w:rPr>
          </w:pPr>
        </w:p>
        <w:p w14:paraId="58E5AD82" w14:textId="77777777" w:rsidR="00391748" w:rsidRDefault="00391748" w:rsidP="00434A3D">
          <w:pPr>
            <w:spacing w:before="120" w:after="120" w:line="240" w:lineRule="auto"/>
            <w:jc w:val="both"/>
            <w:rPr>
              <w:rFonts w:asciiTheme="majorHAnsi" w:hAnsiTheme="majorHAnsi"/>
              <w:noProof/>
              <w:lang w:val="en-US" w:eastAsia="ro-RO"/>
            </w:rPr>
          </w:pPr>
        </w:p>
        <w:p w14:paraId="7E3E4BBC" w14:textId="77777777" w:rsidR="00391748" w:rsidRDefault="00391748" w:rsidP="00434A3D">
          <w:pPr>
            <w:spacing w:before="120" w:after="120" w:line="240" w:lineRule="auto"/>
            <w:jc w:val="both"/>
            <w:rPr>
              <w:rFonts w:asciiTheme="majorHAnsi" w:hAnsiTheme="majorHAnsi"/>
              <w:noProof/>
              <w:lang w:val="en-US" w:eastAsia="ro-RO"/>
            </w:rPr>
          </w:pPr>
        </w:p>
        <w:p w14:paraId="36EC60A3" w14:textId="77777777" w:rsidR="009A1E6B" w:rsidRPr="00D95C57" w:rsidRDefault="009A1E6B" w:rsidP="009A1E6B">
          <w:pPr>
            <w:pStyle w:val="ListParagraph"/>
            <w:ind w:left="0"/>
            <w:rPr>
              <w:rFonts w:asciiTheme="majorHAnsi" w:hAnsiTheme="majorHAnsi"/>
              <w:b/>
              <w:bCs/>
              <w:noProof/>
              <w:color w:val="0F6FC6" w:themeColor="accent1"/>
              <w:sz w:val="28"/>
              <w:szCs w:val="28"/>
              <w:lang w:eastAsia="ro-RO"/>
            </w:rPr>
          </w:pPr>
          <w:r w:rsidRPr="00D95C57">
            <w:rPr>
              <w:rFonts w:asciiTheme="majorHAnsi" w:hAnsiTheme="majorHAnsi"/>
              <w:b/>
              <w:bCs/>
              <w:noProof/>
              <w:color w:val="0F6FC6" w:themeColor="accent1"/>
              <w:sz w:val="28"/>
              <w:szCs w:val="28"/>
              <w:lang w:eastAsia="ro-RO"/>
            </w:rPr>
            <w:t>Abrevieri</w:t>
          </w:r>
        </w:p>
        <w:p w14:paraId="25441213" w14:textId="77777777" w:rsidR="00434A3D" w:rsidRDefault="00434A3D" w:rsidP="009A1E6B">
          <w:pPr>
            <w:pStyle w:val="ListParagraph"/>
            <w:ind w:left="0"/>
            <w:rPr>
              <w:rFonts w:asciiTheme="majorHAnsi" w:hAnsiTheme="majorHAnsi"/>
              <w:b/>
              <w:bCs/>
              <w:noProof/>
              <w:sz w:val="28"/>
              <w:szCs w:val="28"/>
              <w:lang w:eastAsia="ro-RO"/>
            </w:rPr>
          </w:pPr>
        </w:p>
        <w:tbl>
          <w:tblPr>
            <w:tblW w:w="8124" w:type="dxa"/>
            <w:tblInd w:w="108" w:type="dxa"/>
            <w:tblLook w:val="04A0" w:firstRow="1" w:lastRow="0" w:firstColumn="1" w:lastColumn="0" w:noHBand="0" w:noVBand="1"/>
          </w:tblPr>
          <w:tblGrid>
            <w:gridCol w:w="1000"/>
            <w:gridCol w:w="7124"/>
          </w:tblGrid>
          <w:tr w:rsidR="00C90067" w:rsidRPr="003D4D0E" w14:paraId="0C17361A" w14:textId="77777777" w:rsidTr="00C90067">
            <w:trPr>
              <w:trHeight w:val="564"/>
            </w:trPr>
            <w:tc>
              <w:tcPr>
                <w:tcW w:w="1000" w:type="dxa"/>
                <w:tcBorders>
                  <w:top w:val="nil"/>
                  <w:left w:val="single" w:sz="8" w:space="0" w:color="FFFFFF"/>
                  <w:bottom w:val="single" w:sz="8" w:space="0" w:color="0F6FC6" w:themeColor="accent1"/>
                  <w:right w:val="nil"/>
                </w:tcBorders>
                <w:shd w:val="clear" w:color="000000" w:fill="FFFFFF"/>
                <w:vAlign w:val="center"/>
                <w:hideMark/>
              </w:tcPr>
              <w:p w14:paraId="3F7639F8"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 xml:space="preserve">Abreviere </w:t>
                </w:r>
              </w:p>
            </w:tc>
            <w:tc>
              <w:tcPr>
                <w:tcW w:w="7124" w:type="dxa"/>
                <w:tcBorders>
                  <w:top w:val="nil"/>
                  <w:left w:val="nil"/>
                  <w:bottom w:val="single" w:sz="8" w:space="0" w:color="0F6FC6" w:themeColor="accent1"/>
                  <w:right w:val="single" w:sz="8" w:space="0" w:color="FFFFFF"/>
                </w:tcBorders>
                <w:shd w:val="clear" w:color="000000" w:fill="FFFFFF"/>
                <w:vAlign w:val="center"/>
                <w:hideMark/>
              </w:tcPr>
              <w:p w14:paraId="359ABB7B" w14:textId="77777777" w:rsidR="00C90067" w:rsidRPr="00366C04" w:rsidRDefault="00C90067" w:rsidP="00C90067">
                <w:pPr>
                  <w:spacing w:before="0" w:after="0" w:line="240" w:lineRule="auto"/>
                  <w:rPr>
                    <w:rFonts w:ascii="Calibri Light" w:eastAsia="Times New Roman" w:hAnsi="Calibri Light" w:cs="Calibri Light"/>
                    <w:b/>
                    <w:bCs/>
                  </w:rPr>
                </w:pPr>
                <w:r w:rsidRPr="00366C04">
                  <w:rPr>
                    <w:rFonts w:ascii="Calibri Light" w:eastAsia="Times New Roman" w:hAnsi="Calibri Light" w:cs="Calibri Light"/>
                    <w:b/>
                    <w:bCs/>
                    <w:lang w:val="en-US"/>
                  </w:rPr>
                  <w:t>Semnifica</w:t>
                </w:r>
                <w:r w:rsidRPr="00366C04">
                  <w:rPr>
                    <w:rFonts w:ascii="Calibri Light" w:eastAsia="Times New Roman" w:hAnsi="Calibri Light" w:cs="Calibri Light"/>
                    <w:b/>
                    <w:bCs/>
                  </w:rPr>
                  <w:t>ție</w:t>
                </w:r>
              </w:p>
            </w:tc>
          </w:tr>
          <w:tr w:rsidR="00C90067" w:rsidRPr="003D4D0E" w14:paraId="02CA0D85" w14:textId="77777777" w:rsidTr="00C90067">
            <w:trPr>
              <w:trHeight w:val="376"/>
            </w:trPr>
            <w:tc>
              <w:tcPr>
                <w:tcW w:w="1000" w:type="dxa"/>
                <w:tcBorders>
                  <w:top w:val="single" w:sz="8" w:space="0" w:color="0F6FC6" w:themeColor="accent1"/>
                  <w:left w:val="nil"/>
                  <w:bottom w:val="nil"/>
                  <w:right w:val="single" w:sz="8" w:space="0" w:color="FFFFFF"/>
                </w:tcBorders>
                <w:shd w:val="clear" w:color="000000" w:fill="FFFFFF"/>
                <w:noWrap/>
                <w:hideMark/>
              </w:tcPr>
              <w:p w14:paraId="718343CE"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SOC</w:t>
                </w:r>
              </w:p>
            </w:tc>
            <w:tc>
              <w:tcPr>
                <w:tcW w:w="7124" w:type="dxa"/>
                <w:tcBorders>
                  <w:top w:val="single" w:sz="8" w:space="0" w:color="0F6FC6" w:themeColor="accent1"/>
                  <w:left w:val="nil"/>
                  <w:bottom w:val="nil"/>
                  <w:right w:val="single" w:sz="8" w:space="0" w:color="FFFFFF"/>
                </w:tcBorders>
                <w:shd w:val="clear" w:color="000000" w:fill="FFFFFF"/>
                <w:hideMark/>
              </w:tcPr>
              <w:p w14:paraId="53CD3729"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Companii și societăți naționale, societăți la care statul sau o unitate administrativ-teritorială este acționar unic, majoritar sau la care deține controlul</w:t>
                </w:r>
              </w:p>
            </w:tc>
          </w:tr>
          <w:tr w:rsidR="00C90067" w:rsidRPr="003D4D0E" w14:paraId="3BE0C8CE" w14:textId="77777777" w:rsidTr="00C90067">
            <w:trPr>
              <w:trHeight w:val="531"/>
            </w:trPr>
            <w:tc>
              <w:tcPr>
                <w:tcW w:w="1000" w:type="dxa"/>
                <w:tcBorders>
                  <w:top w:val="nil"/>
                  <w:left w:val="nil"/>
                  <w:bottom w:val="nil"/>
                  <w:right w:val="single" w:sz="8" w:space="0" w:color="FFFFFF"/>
                </w:tcBorders>
                <w:shd w:val="clear" w:color="000000" w:fill="FFFFFF"/>
                <w:noWrap/>
                <w:hideMark/>
              </w:tcPr>
              <w:p w14:paraId="1C7550D4"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FIL</w:t>
                </w:r>
              </w:p>
            </w:tc>
            <w:tc>
              <w:tcPr>
                <w:tcW w:w="7124" w:type="dxa"/>
                <w:tcBorders>
                  <w:top w:val="nil"/>
                  <w:left w:val="nil"/>
                  <w:bottom w:val="nil"/>
                  <w:right w:val="single" w:sz="8" w:space="0" w:color="FFFFFF"/>
                </w:tcBorders>
                <w:shd w:val="clear" w:color="000000" w:fill="FFFFFF"/>
                <w:hideMark/>
              </w:tcPr>
              <w:p w14:paraId="5BAAA09F"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Filiale ale regiilor autonome, societăților/companiilor naționale, societăților (la care societatea mamă deține peste 50% inclusiv pondere cumulată a capitalului)</w:t>
                </w:r>
              </w:p>
            </w:tc>
          </w:tr>
          <w:tr w:rsidR="00C90067" w:rsidRPr="003D4D0E" w14:paraId="7D0B82A1"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398466E5"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RA</w:t>
                </w:r>
              </w:p>
            </w:tc>
            <w:tc>
              <w:tcPr>
                <w:tcW w:w="7124" w:type="dxa"/>
                <w:tcBorders>
                  <w:top w:val="nil"/>
                  <w:left w:val="nil"/>
                  <w:bottom w:val="nil"/>
                  <w:right w:val="single" w:sz="8" w:space="0" w:color="FFFFFF"/>
                </w:tcBorders>
                <w:shd w:val="clear" w:color="000000" w:fill="FFFFFF"/>
                <w:hideMark/>
              </w:tcPr>
              <w:p w14:paraId="276C33CA"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Regii autonome</w:t>
                </w:r>
              </w:p>
            </w:tc>
          </w:tr>
          <w:tr w:rsidR="00C90067" w:rsidRPr="003D4D0E" w14:paraId="6FA91244"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3D9F47CF"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INST</w:t>
                </w:r>
              </w:p>
            </w:tc>
            <w:tc>
              <w:tcPr>
                <w:tcW w:w="7124" w:type="dxa"/>
                <w:tcBorders>
                  <w:top w:val="nil"/>
                  <w:left w:val="nil"/>
                  <w:bottom w:val="nil"/>
                  <w:right w:val="single" w:sz="8" w:space="0" w:color="FFFFFF"/>
                </w:tcBorders>
                <w:shd w:val="clear" w:color="000000" w:fill="FFFFFF"/>
                <w:hideMark/>
              </w:tcPr>
              <w:p w14:paraId="2292AAA4"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Institute naționale de cercetare-dezvoltare</w:t>
                </w:r>
              </w:p>
            </w:tc>
          </w:tr>
          <w:tr w:rsidR="00C90067" w:rsidRPr="003D4D0E" w14:paraId="47C4C1AF"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442EBFDA"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ÎP</w:t>
                </w:r>
              </w:p>
            </w:tc>
            <w:tc>
              <w:tcPr>
                <w:tcW w:w="7124" w:type="dxa"/>
                <w:tcBorders>
                  <w:top w:val="nil"/>
                  <w:left w:val="nil"/>
                  <w:bottom w:val="nil"/>
                  <w:right w:val="single" w:sz="8" w:space="0" w:color="FFFFFF"/>
                </w:tcBorders>
                <w:shd w:val="clear" w:color="000000" w:fill="FFFFFF"/>
                <w:noWrap/>
                <w:hideMark/>
              </w:tcPr>
              <w:p w14:paraId="5082DF7E"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Întreprindere publică</w:t>
                </w:r>
              </w:p>
            </w:tc>
          </w:tr>
          <w:tr w:rsidR="00C90067" w:rsidRPr="003D4D0E" w14:paraId="708F74FA"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62473967"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ÎPC</w:t>
                </w:r>
              </w:p>
            </w:tc>
            <w:tc>
              <w:tcPr>
                <w:tcW w:w="7124" w:type="dxa"/>
                <w:tcBorders>
                  <w:top w:val="nil"/>
                  <w:left w:val="nil"/>
                  <w:bottom w:val="nil"/>
                  <w:right w:val="single" w:sz="8" w:space="0" w:color="FFFFFF"/>
                </w:tcBorders>
                <w:shd w:val="clear" w:color="000000" w:fill="FFFFFF"/>
                <w:noWrap/>
                <w:hideMark/>
              </w:tcPr>
              <w:p w14:paraId="617214A9"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Întreprindere publică deținută de autoritatea/ăți publică/e tutelară/e centrală/e</w:t>
                </w:r>
              </w:p>
            </w:tc>
          </w:tr>
          <w:tr w:rsidR="00C90067" w:rsidRPr="003D4D0E" w14:paraId="62CCFBE9"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4A879601"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ÎPL</w:t>
                </w:r>
              </w:p>
            </w:tc>
            <w:tc>
              <w:tcPr>
                <w:tcW w:w="7124" w:type="dxa"/>
                <w:tcBorders>
                  <w:top w:val="nil"/>
                  <w:left w:val="nil"/>
                  <w:bottom w:val="nil"/>
                  <w:right w:val="single" w:sz="8" w:space="0" w:color="FFFFFF"/>
                </w:tcBorders>
                <w:shd w:val="clear" w:color="000000" w:fill="FFFFFF"/>
                <w:noWrap/>
                <w:hideMark/>
              </w:tcPr>
              <w:p w14:paraId="4E926F84"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Întreprindere publică deținută de autoritatea/ăți publică/e tutelară/e locală/e</w:t>
                </w:r>
              </w:p>
            </w:tc>
          </w:tr>
          <w:tr w:rsidR="00C90067" w:rsidRPr="003D4D0E" w14:paraId="640F5ED3" w14:textId="77777777" w:rsidTr="00C90067">
            <w:trPr>
              <w:trHeight w:val="288"/>
            </w:trPr>
            <w:tc>
              <w:tcPr>
                <w:tcW w:w="1000" w:type="dxa"/>
                <w:tcBorders>
                  <w:top w:val="nil"/>
                  <w:left w:val="nil"/>
                  <w:bottom w:val="nil"/>
                  <w:right w:val="single" w:sz="8" w:space="0" w:color="FFFFFF"/>
                </w:tcBorders>
                <w:shd w:val="clear" w:color="000000" w:fill="FFFFFF"/>
                <w:noWrap/>
              </w:tcPr>
              <w:p w14:paraId="6CE8F521"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ÎPCA</w:t>
                </w:r>
              </w:p>
            </w:tc>
            <w:tc>
              <w:tcPr>
                <w:tcW w:w="7124" w:type="dxa"/>
                <w:tcBorders>
                  <w:top w:val="nil"/>
                  <w:left w:val="nil"/>
                  <w:bottom w:val="nil"/>
                  <w:right w:val="single" w:sz="8" w:space="0" w:color="FFFFFF"/>
                </w:tcBorders>
                <w:shd w:val="clear" w:color="000000" w:fill="FFFFFF"/>
                <w:noWrap/>
              </w:tcPr>
              <w:p w14:paraId="4010EAE0"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Întreprindere publică deținută de autoritatea/ăți publică/e tutelară/e centrală/e activă/e</w:t>
                </w:r>
              </w:p>
            </w:tc>
          </w:tr>
          <w:tr w:rsidR="00C90067" w:rsidRPr="003D4D0E" w14:paraId="76E62EBD"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3CB5C17C"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ÎPLA</w:t>
                </w:r>
              </w:p>
            </w:tc>
            <w:tc>
              <w:tcPr>
                <w:tcW w:w="7124" w:type="dxa"/>
                <w:tcBorders>
                  <w:top w:val="nil"/>
                  <w:left w:val="nil"/>
                  <w:bottom w:val="nil"/>
                  <w:right w:val="single" w:sz="8" w:space="0" w:color="FFFFFF"/>
                </w:tcBorders>
                <w:shd w:val="clear" w:color="000000" w:fill="FFFFFF"/>
                <w:noWrap/>
                <w:hideMark/>
              </w:tcPr>
              <w:p w14:paraId="23CC7D0D"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Întreprindere publică deținută de autoritatea/ăți publică/e tutelară/e locală/e activă/e</w:t>
                </w:r>
              </w:p>
            </w:tc>
          </w:tr>
          <w:tr w:rsidR="00C90067" w:rsidRPr="003D4D0E" w14:paraId="3C1724E8"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779C12C0"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APTC</w:t>
                </w:r>
              </w:p>
            </w:tc>
            <w:tc>
              <w:tcPr>
                <w:tcW w:w="7124" w:type="dxa"/>
                <w:tcBorders>
                  <w:top w:val="nil"/>
                  <w:left w:val="nil"/>
                  <w:bottom w:val="nil"/>
                  <w:right w:val="single" w:sz="8" w:space="0" w:color="FFFFFF"/>
                </w:tcBorders>
                <w:shd w:val="clear" w:color="000000" w:fill="FFFFFF"/>
                <w:noWrap/>
                <w:hideMark/>
              </w:tcPr>
              <w:p w14:paraId="398846F6"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Autoritate Publică Tutelară Centrală</w:t>
                </w:r>
              </w:p>
            </w:tc>
          </w:tr>
          <w:tr w:rsidR="00C90067" w:rsidRPr="003D4D0E" w14:paraId="31301CD3" w14:textId="77777777" w:rsidTr="00C90067">
            <w:trPr>
              <w:trHeight w:val="288"/>
            </w:trPr>
            <w:tc>
              <w:tcPr>
                <w:tcW w:w="1000" w:type="dxa"/>
                <w:tcBorders>
                  <w:top w:val="nil"/>
                  <w:left w:val="nil"/>
                  <w:bottom w:val="nil"/>
                  <w:right w:val="single" w:sz="8" w:space="0" w:color="FFFFFF"/>
                </w:tcBorders>
                <w:shd w:val="clear" w:color="000000" w:fill="FFFFFF"/>
                <w:noWrap/>
                <w:hideMark/>
              </w:tcPr>
              <w:p w14:paraId="5EEFB471"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APTL</w:t>
                </w:r>
              </w:p>
            </w:tc>
            <w:tc>
              <w:tcPr>
                <w:tcW w:w="7124" w:type="dxa"/>
                <w:tcBorders>
                  <w:top w:val="nil"/>
                  <w:left w:val="nil"/>
                  <w:bottom w:val="nil"/>
                  <w:right w:val="single" w:sz="8" w:space="0" w:color="FFFFFF"/>
                </w:tcBorders>
                <w:shd w:val="clear" w:color="000000" w:fill="FFFFFF"/>
                <w:noWrap/>
                <w:hideMark/>
              </w:tcPr>
              <w:p w14:paraId="2CEA3CED"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Autoritate Publică Tutelară Locală</w:t>
                </w:r>
              </w:p>
            </w:tc>
          </w:tr>
          <w:tr w:rsidR="00C90067" w:rsidRPr="003D4D0E" w14:paraId="7C86B9CD" w14:textId="77777777" w:rsidTr="00C90067">
            <w:trPr>
              <w:trHeight w:val="288"/>
            </w:trPr>
            <w:tc>
              <w:tcPr>
                <w:tcW w:w="1000" w:type="dxa"/>
                <w:tcBorders>
                  <w:top w:val="nil"/>
                  <w:left w:val="nil"/>
                  <w:bottom w:val="nil"/>
                  <w:right w:val="single" w:sz="8" w:space="0" w:color="FFFFFF"/>
                </w:tcBorders>
                <w:shd w:val="clear" w:color="000000" w:fill="FFFFFF"/>
                <w:noWrap/>
              </w:tcPr>
              <w:p w14:paraId="1DCEA47E"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MF</w:t>
                </w:r>
              </w:p>
            </w:tc>
            <w:tc>
              <w:tcPr>
                <w:tcW w:w="7124" w:type="dxa"/>
                <w:tcBorders>
                  <w:top w:val="nil"/>
                  <w:left w:val="nil"/>
                  <w:bottom w:val="nil"/>
                  <w:right w:val="single" w:sz="8" w:space="0" w:color="FFFFFF"/>
                </w:tcBorders>
                <w:shd w:val="clear" w:color="000000" w:fill="FFFFFF"/>
                <w:noWrap/>
              </w:tcPr>
              <w:p w14:paraId="1B894773"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Ministerul Finanțelor</w:t>
                </w:r>
              </w:p>
            </w:tc>
          </w:tr>
          <w:tr w:rsidR="00C90067" w:rsidRPr="003D4D0E" w14:paraId="021AC5A8" w14:textId="77777777" w:rsidTr="00C90067">
            <w:trPr>
              <w:trHeight w:val="288"/>
            </w:trPr>
            <w:tc>
              <w:tcPr>
                <w:tcW w:w="1000" w:type="dxa"/>
                <w:tcBorders>
                  <w:top w:val="nil"/>
                  <w:left w:val="nil"/>
                  <w:bottom w:val="nil"/>
                  <w:right w:val="single" w:sz="8" w:space="0" w:color="FFFFFF"/>
                </w:tcBorders>
                <w:shd w:val="clear" w:color="000000" w:fill="FFFFFF"/>
                <w:noWrap/>
              </w:tcPr>
              <w:p w14:paraId="5792E20F" w14:textId="77777777" w:rsidR="00C90067" w:rsidRPr="00366C04" w:rsidRDefault="00C90067" w:rsidP="00C90067">
                <w:pPr>
                  <w:spacing w:before="0" w:after="0" w:line="240" w:lineRule="auto"/>
                  <w:rPr>
                    <w:rFonts w:ascii="Calibri Light" w:eastAsia="Times New Roman" w:hAnsi="Calibri Light" w:cs="Calibri Light"/>
                    <w:b/>
                    <w:bCs/>
                    <w:lang w:val="en-US"/>
                  </w:rPr>
                </w:pPr>
                <w:r w:rsidRPr="00366C04">
                  <w:rPr>
                    <w:rFonts w:ascii="Calibri Light" w:eastAsia="Times New Roman" w:hAnsi="Calibri Light" w:cs="Calibri Light"/>
                    <w:b/>
                    <w:bCs/>
                    <w:lang w:val="en-US"/>
                  </w:rPr>
                  <w:t>N/A</w:t>
                </w:r>
              </w:p>
            </w:tc>
            <w:tc>
              <w:tcPr>
                <w:tcW w:w="7124" w:type="dxa"/>
                <w:tcBorders>
                  <w:top w:val="nil"/>
                  <w:left w:val="nil"/>
                  <w:bottom w:val="nil"/>
                  <w:right w:val="single" w:sz="8" w:space="0" w:color="FFFFFF"/>
                </w:tcBorders>
                <w:shd w:val="clear" w:color="000000" w:fill="FFFFFF"/>
                <w:noWrap/>
              </w:tcPr>
              <w:p w14:paraId="38F74B91" w14:textId="77777777" w:rsidR="00C90067" w:rsidRPr="00366C04" w:rsidRDefault="00C90067" w:rsidP="00C90067">
                <w:pPr>
                  <w:spacing w:before="0" w:after="0" w:line="240" w:lineRule="auto"/>
                  <w:jc w:val="both"/>
                  <w:rPr>
                    <w:rFonts w:ascii="Calibri Light" w:eastAsia="Times New Roman" w:hAnsi="Calibri Light" w:cs="Calibri Light"/>
                    <w:lang w:val="en-US"/>
                  </w:rPr>
                </w:pPr>
                <w:r w:rsidRPr="00366C04">
                  <w:rPr>
                    <w:rFonts w:ascii="Calibri Light" w:eastAsia="Times New Roman" w:hAnsi="Calibri Light" w:cs="Calibri Light"/>
                    <w:lang w:val="en-US"/>
                  </w:rPr>
                  <w:t>Acronim folosit în tabele care semnifică nu se poate calcula</w:t>
                </w:r>
              </w:p>
            </w:tc>
          </w:tr>
        </w:tbl>
        <w:p w14:paraId="581D788D" w14:textId="77777777" w:rsidR="00C90067" w:rsidRDefault="00C90067" w:rsidP="009A1E6B">
          <w:pPr>
            <w:pStyle w:val="ListParagraph"/>
            <w:ind w:left="0"/>
            <w:rPr>
              <w:rFonts w:asciiTheme="majorHAnsi" w:hAnsiTheme="majorHAnsi"/>
              <w:b/>
              <w:bCs/>
              <w:noProof/>
              <w:sz w:val="28"/>
              <w:szCs w:val="28"/>
              <w:lang w:eastAsia="ro-RO"/>
            </w:rPr>
          </w:pPr>
        </w:p>
        <w:p w14:paraId="7DA68DBE" w14:textId="77777777" w:rsidR="00391748" w:rsidRPr="00D95C57" w:rsidRDefault="00391748" w:rsidP="009A1E6B">
          <w:pPr>
            <w:rPr>
              <w:rFonts w:asciiTheme="majorHAnsi" w:hAnsiTheme="majorHAnsi"/>
              <w:noProof/>
              <w:lang w:eastAsia="ro-RO"/>
            </w:rPr>
          </w:pPr>
        </w:p>
        <w:tbl>
          <w:tblPr>
            <w:tblW w:w="7508" w:type="dxa"/>
            <w:tblInd w:w="198" w:type="dxa"/>
            <w:tblLook w:val="04A0" w:firstRow="1" w:lastRow="0" w:firstColumn="1" w:lastColumn="0" w:noHBand="0" w:noVBand="1"/>
          </w:tblPr>
          <w:tblGrid>
            <w:gridCol w:w="1385"/>
            <w:gridCol w:w="1729"/>
            <w:gridCol w:w="1326"/>
            <w:gridCol w:w="1273"/>
            <w:gridCol w:w="1795"/>
          </w:tblGrid>
          <w:tr w:rsidR="00D95C57" w:rsidRPr="00D95C57" w14:paraId="1E99BEF4" w14:textId="77777777" w:rsidTr="00366C04">
            <w:trPr>
              <w:trHeight w:val="333"/>
            </w:trPr>
            <w:tc>
              <w:tcPr>
                <w:tcW w:w="1385" w:type="dxa"/>
                <w:tcBorders>
                  <w:top w:val="nil"/>
                  <w:left w:val="single" w:sz="4" w:space="0" w:color="FFFFFF"/>
                  <w:bottom w:val="single" w:sz="4" w:space="0" w:color="95B3D7"/>
                  <w:right w:val="nil"/>
                </w:tcBorders>
                <w:shd w:val="clear" w:color="1D8F8A" w:fill="FFFFFF"/>
                <w:hideMark/>
              </w:tcPr>
              <w:p w14:paraId="79989EAB" w14:textId="77777777" w:rsidR="009A1E6B" w:rsidRPr="00366C04" w:rsidRDefault="009A1E6B" w:rsidP="00366C04">
                <w:pPr>
                  <w:spacing w:before="0" w:after="0" w:line="240" w:lineRule="auto"/>
                  <w:ind w:left="-113"/>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Abreviere</w:t>
                </w:r>
              </w:p>
            </w:tc>
            <w:tc>
              <w:tcPr>
                <w:tcW w:w="1729" w:type="dxa"/>
                <w:tcBorders>
                  <w:top w:val="nil"/>
                  <w:left w:val="nil"/>
                  <w:bottom w:val="single" w:sz="4" w:space="0" w:color="95B3D7"/>
                  <w:right w:val="single" w:sz="4" w:space="0" w:color="FFFFFF"/>
                </w:tcBorders>
                <w:shd w:val="clear" w:color="1D8F8A" w:fill="FFFFFF"/>
                <w:hideMark/>
              </w:tcPr>
              <w:p w14:paraId="6F0BEEA5" w14:textId="77777777" w:rsidR="009A1E6B" w:rsidRPr="00366C04" w:rsidRDefault="009A1E6B" w:rsidP="00366C04">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Județ</w:t>
                </w:r>
              </w:p>
            </w:tc>
            <w:tc>
              <w:tcPr>
                <w:tcW w:w="1326" w:type="dxa"/>
                <w:tcBorders>
                  <w:top w:val="nil"/>
                  <w:left w:val="nil"/>
                  <w:bottom w:val="nil"/>
                  <w:right w:val="nil"/>
                </w:tcBorders>
                <w:shd w:val="clear" w:color="000000" w:fill="FFFFFF"/>
                <w:noWrap/>
                <w:hideMark/>
              </w:tcPr>
              <w:p w14:paraId="37CF18C4" w14:textId="77777777" w:rsidR="009A1E6B" w:rsidRPr="00366C04" w:rsidRDefault="009A1E6B" w:rsidP="00366C04">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single" w:sz="4" w:space="0" w:color="FFFFFF"/>
                  <w:bottom w:val="single" w:sz="4" w:space="0" w:color="95B3D7"/>
                  <w:right w:val="nil"/>
                </w:tcBorders>
                <w:shd w:val="clear" w:color="1D8F8A" w:fill="FFFFFF"/>
                <w:hideMark/>
              </w:tcPr>
              <w:p w14:paraId="1EF5F58A" w14:textId="77777777" w:rsidR="009A1E6B" w:rsidRPr="00366C04" w:rsidRDefault="009A1E6B" w:rsidP="00366C04">
                <w:pPr>
                  <w:spacing w:before="0" w:after="0" w:line="240" w:lineRule="auto"/>
                  <w:ind w:left="-17"/>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Abreviere</w:t>
                </w:r>
              </w:p>
            </w:tc>
            <w:tc>
              <w:tcPr>
                <w:tcW w:w="1795" w:type="dxa"/>
                <w:tcBorders>
                  <w:top w:val="nil"/>
                  <w:left w:val="nil"/>
                  <w:bottom w:val="single" w:sz="4" w:space="0" w:color="95B3D7"/>
                  <w:right w:val="single" w:sz="4" w:space="0" w:color="FFFFFF"/>
                </w:tcBorders>
                <w:shd w:val="clear" w:color="1D8F8A" w:fill="FFFFFF"/>
                <w:hideMark/>
              </w:tcPr>
              <w:p w14:paraId="5CD97CE8" w14:textId="77777777" w:rsidR="009A1E6B" w:rsidRPr="00366C04" w:rsidRDefault="009A1E6B" w:rsidP="00366C04">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Județ</w:t>
                </w:r>
              </w:p>
            </w:tc>
          </w:tr>
          <w:tr w:rsidR="00D95C57" w:rsidRPr="00D95C57" w14:paraId="41B18036"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0B3F54F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AB</w:t>
                </w:r>
              </w:p>
            </w:tc>
            <w:tc>
              <w:tcPr>
                <w:tcW w:w="1729" w:type="dxa"/>
                <w:tcBorders>
                  <w:top w:val="nil"/>
                  <w:left w:val="nil"/>
                  <w:bottom w:val="nil"/>
                  <w:right w:val="single" w:sz="4" w:space="0" w:color="FFFFFF"/>
                </w:tcBorders>
                <w:shd w:val="clear" w:color="000000" w:fill="FFFFFF"/>
                <w:noWrap/>
                <w:hideMark/>
              </w:tcPr>
              <w:p w14:paraId="17ABFFD2"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Alba</w:t>
                </w:r>
              </w:p>
            </w:tc>
            <w:tc>
              <w:tcPr>
                <w:tcW w:w="1326" w:type="dxa"/>
                <w:tcBorders>
                  <w:top w:val="nil"/>
                  <w:left w:val="nil"/>
                  <w:bottom w:val="nil"/>
                  <w:right w:val="nil"/>
                </w:tcBorders>
                <w:shd w:val="clear" w:color="000000" w:fill="FFFFFF"/>
                <w:hideMark/>
              </w:tcPr>
              <w:p w14:paraId="3C81DE9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5D448B96"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HR</w:t>
                </w:r>
              </w:p>
            </w:tc>
            <w:tc>
              <w:tcPr>
                <w:tcW w:w="1795" w:type="dxa"/>
                <w:tcBorders>
                  <w:top w:val="nil"/>
                  <w:left w:val="nil"/>
                  <w:bottom w:val="nil"/>
                  <w:right w:val="single" w:sz="4" w:space="0" w:color="FFFFFF"/>
                </w:tcBorders>
                <w:shd w:val="clear" w:color="000000" w:fill="FFFFFF"/>
                <w:noWrap/>
                <w:hideMark/>
              </w:tcPr>
              <w:p w14:paraId="29ABDFB2"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Harghita</w:t>
                </w:r>
              </w:p>
            </w:tc>
          </w:tr>
          <w:tr w:rsidR="00D95C57" w:rsidRPr="00D95C57" w14:paraId="73DA32B1"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51907B9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AR</w:t>
                </w:r>
              </w:p>
            </w:tc>
            <w:tc>
              <w:tcPr>
                <w:tcW w:w="1729" w:type="dxa"/>
                <w:tcBorders>
                  <w:top w:val="nil"/>
                  <w:left w:val="nil"/>
                  <w:bottom w:val="nil"/>
                  <w:right w:val="single" w:sz="4" w:space="0" w:color="FFFFFF"/>
                </w:tcBorders>
                <w:shd w:val="clear" w:color="000000" w:fill="FFFFFF"/>
                <w:noWrap/>
                <w:hideMark/>
              </w:tcPr>
              <w:p w14:paraId="2EE175B8"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Arad</w:t>
                </w:r>
              </w:p>
            </w:tc>
            <w:tc>
              <w:tcPr>
                <w:tcW w:w="1326" w:type="dxa"/>
                <w:tcBorders>
                  <w:top w:val="nil"/>
                  <w:left w:val="nil"/>
                  <w:bottom w:val="nil"/>
                  <w:right w:val="nil"/>
                </w:tcBorders>
                <w:shd w:val="clear" w:color="000000" w:fill="FFFFFF"/>
                <w:noWrap/>
                <w:hideMark/>
              </w:tcPr>
              <w:p w14:paraId="1A6DD9FB"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03502643"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HD</w:t>
                </w:r>
              </w:p>
            </w:tc>
            <w:tc>
              <w:tcPr>
                <w:tcW w:w="1795" w:type="dxa"/>
                <w:tcBorders>
                  <w:top w:val="nil"/>
                  <w:left w:val="nil"/>
                  <w:bottom w:val="nil"/>
                  <w:right w:val="single" w:sz="4" w:space="0" w:color="FFFFFF"/>
                </w:tcBorders>
                <w:shd w:val="clear" w:color="000000" w:fill="FFFFFF"/>
                <w:noWrap/>
                <w:hideMark/>
              </w:tcPr>
              <w:p w14:paraId="34D89508"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Hunedoara</w:t>
                </w:r>
              </w:p>
            </w:tc>
          </w:tr>
          <w:tr w:rsidR="00D95C57" w:rsidRPr="00D95C57" w14:paraId="4E244DBD"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14D79887"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AG</w:t>
                </w:r>
              </w:p>
            </w:tc>
            <w:tc>
              <w:tcPr>
                <w:tcW w:w="1729" w:type="dxa"/>
                <w:tcBorders>
                  <w:top w:val="nil"/>
                  <w:left w:val="nil"/>
                  <w:bottom w:val="nil"/>
                  <w:right w:val="single" w:sz="4" w:space="0" w:color="FFFFFF"/>
                </w:tcBorders>
                <w:shd w:val="clear" w:color="000000" w:fill="FFFFFF"/>
                <w:noWrap/>
                <w:hideMark/>
              </w:tcPr>
              <w:p w14:paraId="2E033FF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Argeș</w:t>
                </w:r>
              </w:p>
            </w:tc>
            <w:tc>
              <w:tcPr>
                <w:tcW w:w="1326" w:type="dxa"/>
                <w:tcBorders>
                  <w:top w:val="nil"/>
                  <w:left w:val="nil"/>
                  <w:bottom w:val="nil"/>
                  <w:right w:val="nil"/>
                </w:tcBorders>
                <w:shd w:val="clear" w:color="000000" w:fill="FFFFFF"/>
                <w:noWrap/>
                <w:hideMark/>
              </w:tcPr>
              <w:p w14:paraId="4DBAE204"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157D9F21"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IL</w:t>
                </w:r>
              </w:p>
            </w:tc>
            <w:tc>
              <w:tcPr>
                <w:tcW w:w="1795" w:type="dxa"/>
                <w:tcBorders>
                  <w:top w:val="nil"/>
                  <w:left w:val="nil"/>
                  <w:bottom w:val="nil"/>
                  <w:right w:val="single" w:sz="4" w:space="0" w:color="FFFFFF"/>
                </w:tcBorders>
                <w:shd w:val="clear" w:color="000000" w:fill="FFFFFF"/>
                <w:noWrap/>
                <w:hideMark/>
              </w:tcPr>
              <w:p w14:paraId="0F4E6924"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Ialomița</w:t>
                </w:r>
              </w:p>
            </w:tc>
          </w:tr>
          <w:tr w:rsidR="00D95C57" w:rsidRPr="00D95C57" w14:paraId="3BA88C7A"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61C7265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BC</w:t>
                </w:r>
              </w:p>
            </w:tc>
            <w:tc>
              <w:tcPr>
                <w:tcW w:w="1729" w:type="dxa"/>
                <w:tcBorders>
                  <w:top w:val="nil"/>
                  <w:left w:val="nil"/>
                  <w:bottom w:val="nil"/>
                  <w:right w:val="single" w:sz="4" w:space="0" w:color="FFFFFF"/>
                </w:tcBorders>
                <w:shd w:val="clear" w:color="000000" w:fill="FFFFFF"/>
                <w:noWrap/>
                <w:hideMark/>
              </w:tcPr>
              <w:p w14:paraId="30160FC0"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Bacău</w:t>
                </w:r>
              </w:p>
            </w:tc>
            <w:tc>
              <w:tcPr>
                <w:tcW w:w="1326" w:type="dxa"/>
                <w:tcBorders>
                  <w:top w:val="nil"/>
                  <w:left w:val="nil"/>
                  <w:bottom w:val="nil"/>
                  <w:right w:val="nil"/>
                </w:tcBorders>
                <w:shd w:val="clear" w:color="000000" w:fill="FFFFFF"/>
                <w:noWrap/>
                <w:hideMark/>
              </w:tcPr>
              <w:p w14:paraId="59670B2B"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61246954"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IS</w:t>
                </w:r>
              </w:p>
            </w:tc>
            <w:tc>
              <w:tcPr>
                <w:tcW w:w="1795" w:type="dxa"/>
                <w:tcBorders>
                  <w:top w:val="nil"/>
                  <w:left w:val="nil"/>
                  <w:bottom w:val="nil"/>
                  <w:right w:val="single" w:sz="4" w:space="0" w:color="FFFFFF"/>
                </w:tcBorders>
                <w:shd w:val="clear" w:color="000000" w:fill="FFFFFF"/>
                <w:noWrap/>
                <w:hideMark/>
              </w:tcPr>
              <w:p w14:paraId="4CE9AD42"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Iași</w:t>
                </w:r>
              </w:p>
            </w:tc>
          </w:tr>
          <w:tr w:rsidR="00D95C57" w:rsidRPr="00D95C57" w14:paraId="0738FD58"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4C21F37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BH</w:t>
                </w:r>
              </w:p>
            </w:tc>
            <w:tc>
              <w:tcPr>
                <w:tcW w:w="1729" w:type="dxa"/>
                <w:tcBorders>
                  <w:top w:val="nil"/>
                  <w:left w:val="nil"/>
                  <w:bottom w:val="nil"/>
                  <w:right w:val="single" w:sz="4" w:space="0" w:color="FFFFFF"/>
                </w:tcBorders>
                <w:shd w:val="clear" w:color="000000" w:fill="FFFFFF"/>
                <w:noWrap/>
                <w:hideMark/>
              </w:tcPr>
              <w:p w14:paraId="4D852F0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Bihor</w:t>
                </w:r>
              </w:p>
            </w:tc>
            <w:tc>
              <w:tcPr>
                <w:tcW w:w="1326" w:type="dxa"/>
                <w:tcBorders>
                  <w:top w:val="nil"/>
                  <w:left w:val="nil"/>
                  <w:bottom w:val="nil"/>
                  <w:right w:val="nil"/>
                </w:tcBorders>
                <w:shd w:val="clear" w:color="000000" w:fill="FFFFFF"/>
                <w:noWrap/>
                <w:hideMark/>
              </w:tcPr>
              <w:p w14:paraId="096B39B4"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71916D67"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IF</w:t>
                </w:r>
              </w:p>
            </w:tc>
            <w:tc>
              <w:tcPr>
                <w:tcW w:w="1795" w:type="dxa"/>
                <w:tcBorders>
                  <w:top w:val="nil"/>
                  <w:left w:val="nil"/>
                  <w:bottom w:val="nil"/>
                  <w:right w:val="single" w:sz="4" w:space="0" w:color="FFFFFF"/>
                </w:tcBorders>
                <w:shd w:val="clear" w:color="000000" w:fill="FFFFFF"/>
                <w:noWrap/>
                <w:hideMark/>
              </w:tcPr>
              <w:p w14:paraId="731EFF67"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Ilfov</w:t>
                </w:r>
              </w:p>
            </w:tc>
          </w:tr>
          <w:tr w:rsidR="00D95C57" w:rsidRPr="00D95C57" w14:paraId="5D8320D0"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305BD43D"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BN</w:t>
                </w:r>
              </w:p>
            </w:tc>
            <w:tc>
              <w:tcPr>
                <w:tcW w:w="1729" w:type="dxa"/>
                <w:tcBorders>
                  <w:top w:val="nil"/>
                  <w:left w:val="nil"/>
                  <w:bottom w:val="nil"/>
                  <w:right w:val="single" w:sz="4" w:space="0" w:color="FFFFFF"/>
                </w:tcBorders>
                <w:shd w:val="clear" w:color="000000" w:fill="FFFFFF"/>
                <w:noWrap/>
                <w:hideMark/>
              </w:tcPr>
              <w:p w14:paraId="4DE9F5A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Bistrița-Năsăud</w:t>
                </w:r>
              </w:p>
            </w:tc>
            <w:tc>
              <w:tcPr>
                <w:tcW w:w="1326" w:type="dxa"/>
                <w:tcBorders>
                  <w:top w:val="nil"/>
                  <w:left w:val="nil"/>
                  <w:bottom w:val="nil"/>
                  <w:right w:val="nil"/>
                </w:tcBorders>
                <w:shd w:val="clear" w:color="000000" w:fill="FFFFFF"/>
                <w:noWrap/>
                <w:hideMark/>
              </w:tcPr>
              <w:p w14:paraId="2381410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30A7DEEA"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MM</w:t>
                </w:r>
              </w:p>
            </w:tc>
            <w:tc>
              <w:tcPr>
                <w:tcW w:w="1795" w:type="dxa"/>
                <w:tcBorders>
                  <w:top w:val="nil"/>
                  <w:left w:val="nil"/>
                  <w:bottom w:val="nil"/>
                  <w:right w:val="single" w:sz="4" w:space="0" w:color="FFFFFF"/>
                </w:tcBorders>
                <w:shd w:val="clear" w:color="000000" w:fill="FFFFFF"/>
                <w:noWrap/>
                <w:hideMark/>
              </w:tcPr>
              <w:p w14:paraId="331F9425"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Maramureș</w:t>
                </w:r>
              </w:p>
            </w:tc>
          </w:tr>
          <w:tr w:rsidR="00D95C57" w:rsidRPr="00D95C57" w14:paraId="5D6BBED2"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0A8EAF7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BT</w:t>
                </w:r>
              </w:p>
            </w:tc>
            <w:tc>
              <w:tcPr>
                <w:tcW w:w="1729" w:type="dxa"/>
                <w:tcBorders>
                  <w:top w:val="nil"/>
                  <w:left w:val="nil"/>
                  <w:bottom w:val="nil"/>
                  <w:right w:val="single" w:sz="4" w:space="0" w:color="FFFFFF"/>
                </w:tcBorders>
                <w:shd w:val="clear" w:color="000000" w:fill="FFFFFF"/>
                <w:noWrap/>
                <w:hideMark/>
              </w:tcPr>
              <w:p w14:paraId="1EED60C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Botoșani</w:t>
                </w:r>
              </w:p>
            </w:tc>
            <w:tc>
              <w:tcPr>
                <w:tcW w:w="1326" w:type="dxa"/>
                <w:tcBorders>
                  <w:top w:val="nil"/>
                  <w:left w:val="nil"/>
                  <w:bottom w:val="nil"/>
                  <w:right w:val="nil"/>
                </w:tcBorders>
                <w:shd w:val="clear" w:color="000000" w:fill="FFFFFF"/>
                <w:noWrap/>
                <w:hideMark/>
              </w:tcPr>
              <w:p w14:paraId="13A5E319"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5E05E9C8"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MH</w:t>
                </w:r>
              </w:p>
            </w:tc>
            <w:tc>
              <w:tcPr>
                <w:tcW w:w="1795" w:type="dxa"/>
                <w:tcBorders>
                  <w:top w:val="nil"/>
                  <w:left w:val="nil"/>
                  <w:bottom w:val="nil"/>
                  <w:right w:val="single" w:sz="4" w:space="0" w:color="FFFFFF"/>
                </w:tcBorders>
                <w:shd w:val="clear" w:color="000000" w:fill="FFFFFF"/>
                <w:noWrap/>
                <w:hideMark/>
              </w:tcPr>
              <w:p w14:paraId="23E6843C"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Mehedinți</w:t>
                </w:r>
              </w:p>
            </w:tc>
          </w:tr>
          <w:tr w:rsidR="00D95C57" w:rsidRPr="00D95C57" w14:paraId="59A100C0"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09847401"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BV</w:t>
                </w:r>
              </w:p>
            </w:tc>
            <w:tc>
              <w:tcPr>
                <w:tcW w:w="1729" w:type="dxa"/>
                <w:tcBorders>
                  <w:top w:val="nil"/>
                  <w:left w:val="nil"/>
                  <w:bottom w:val="nil"/>
                  <w:right w:val="single" w:sz="4" w:space="0" w:color="FFFFFF"/>
                </w:tcBorders>
                <w:shd w:val="clear" w:color="000000" w:fill="FFFFFF"/>
                <w:noWrap/>
                <w:hideMark/>
              </w:tcPr>
              <w:p w14:paraId="39630B8D"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Brașov</w:t>
                </w:r>
              </w:p>
            </w:tc>
            <w:tc>
              <w:tcPr>
                <w:tcW w:w="1326" w:type="dxa"/>
                <w:tcBorders>
                  <w:top w:val="nil"/>
                  <w:left w:val="nil"/>
                  <w:bottom w:val="nil"/>
                  <w:right w:val="nil"/>
                </w:tcBorders>
                <w:shd w:val="clear" w:color="000000" w:fill="FFFFFF"/>
                <w:noWrap/>
                <w:hideMark/>
              </w:tcPr>
              <w:p w14:paraId="27BEFB1D"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64B447A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MS</w:t>
                </w:r>
              </w:p>
            </w:tc>
            <w:tc>
              <w:tcPr>
                <w:tcW w:w="1795" w:type="dxa"/>
                <w:tcBorders>
                  <w:top w:val="nil"/>
                  <w:left w:val="nil"/>
                  <w:bottom w:val="nil"/>
                  <w:right w:val="single" w:sz="4" w:space="0" w:color="FFFFFF"/>
                </w:tcBorders>
                <w:shd w:val="clear" w:color="000000" w:fill="FFFFFF"/>
                <w:noWrap/>
                <w:hideMark/>
              </w:tcPr>
              <w:p w14:paraId="732E7DE7"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Mureș</w:t>
                </w:r>
              </w:p>
            </w:tc>
          </w:tr>
          <w:tr w:rsidR="00D95C57" w:rsidRPr="00D95C57" w14:paraId="5C59A2F5"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10A6AD14"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BR</w:t>
                </w:r>
              </w:p>
            </w:tc>
            <w:tc>
              <w:tcPr>
                <w:tcW w:w="1729" w:type="dxa"/>
                <w:tcBorders>
                  <w:top w:val="nil"/>
                  <w:left w:val="nil"/>
                  <w:bottom w:val="nil"/>
                  <w:right w:val="single" w:sz="4" w:space="0" w:color="FFFFFF"/>
                </w:tcBorders>
                <w:shd w:val="clear" w:color="000000" w:fill="FFFFFF"/>
                <w:noWrap/>
                <w:hideMark/>
              </w:tcPr>
              <w:p w14:paraId="654A9E3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Brăila</w:t>
                </w:r>
              </w:p>
            </w:tc>
            <w:tc>
              <w:tcPr>
                <w:tcW w:w="1326" w:type="dxa"/>
                <w:tcBorders>
                  <w:top w:val="nil"/>
                  <w:left w:val="nil"/>
                  <w:bottom w:val="nil"/>
                  <w:right w:val="nil"/>
                </w:tcBorders>
                <w:shd w:val="clear" w:color="000000" w:fill="FFFFFF"/>
                <w:noWrap/>
                <w:hideMark/>
              </w:tcPr>
              <w:p w14:paraId="7AA5C9C0"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4539B60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NT</w:t>
                </w:r>
              </w:p>
            </w:tc>
            <w:tc>
              <w:tcPr>
                <w:tcW w:w="1795" w:type="dxa"/>
                <w:tcBorders>
                  <w:top w:val="nil"/>
                  <w:left w:val="nil"/>
                  <w:bottom w:val="nil"/>
                  <w:right w:val="single" w:sz="4" w:space="0" w:color="FFFFFF"/>
                </w:tcBorders>
                <w:shd w:val="clear" w:color="000000" w:fill="FFFFFF"/>
                <w:noWrap/>
                <w:hideMark/>
              </w:tcPr>
              <w:p w14:paraId="5209C865"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Neamț</w:t>
                </w:r>
              </w:p>
            </w:tc>
          </w:tr>
          <w:tr w:rsidR="00D95C57" w:rsidRPr="00D95C57" w14:paraId="4836D648"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75CD69CA"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w:t>
                </w:r>
              </w:p>
            </w:tc>
            <w:tc>
              <w:tcPr>
                <w:tcW w:w="1729" w:type="dxa"/>
                <w:tcBorders>
                  <w:top w:val="nil"/>
                  <w:left w:val="nil"/>
                  <w:bottom w:val="nil"/>
                  <w:right w:val="single" w:sz="4" w:space="0" w:color="FFFFFF"/>
                </w:tcBorders>
                <w:shd w:val="clear" w:color="000000" w:fill="FFFFFF"/>
                <w:noWrap/>
                <w:hideMark/>
              </w:tcPr>
              <w:p w14:paraId="646073F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București</w:t>
                </w:r>
              </w:p>
            </w:tc>
            <w:tc>
              <w:tcPr>
                <w:tcW w:w="1326" w:type="dxa"/>
                <w:tcBorders>
                  <w:top w:val="nil"/>
                  <w:left w:val="nil"/>
                  <w:bottom w:val="nil"/>
                  <w:right w:val="nil"/>
                </w:tcBorders>
                <w:shd w:val="clear" w:color="000000" w:fill="FFFFFF"/>
                <w:hideMark/>
              </w:tcPr>
              <w:p w14:paraId="634D1DF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2084AEFB"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OT</w:t>
                </w:r>
              </w:p>
            </w:tc>
            <w:tc>
              <w:tcPr>
                <w:tcW w:w="1795" w:type="dxa"/>
                <w:tcBorders>
                  <w:top w:val="nil"/>
                  <w:left w:val="nil"/>
                  <w:bottom w:val="nil"/>
                  <w:right w:val="single" w:sz="4" w:space="0" w:color="FFFFFF"/>
                </w:tcBorders>
                <w:shd w:val="clear" w:color="000000" w:fill="FFFFFF"/>
                <w:noWrap/>
                <w:hideMark/>
              </w:tcPr>
              <w:p w14:paraId="1D39A9E1"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Olt</w:t>
                </w:r>
              </w:p>
            </w:tc>
          </w:tr>
          <w:tr w:rsidR="00D95C57" w:rsidRPr="00D95C57" w14:paraId="3B167A89"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7AC7752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BZ</w:t>
                </w:r>
              </w:p>
            </w:tc>
            <w:tc>
              <w:tcPr>
                <w:tcW w:w="1729" w:type="dxa"/>
                <w:tcBorders>
                  <w:top w:val="nil"/>
                  <w:left w:val="nil"/>
                  <w:bottom w:val="nil"/>
                  <w:right w:val="single" w:sz="4" w:space="0" w:color="FFFFFF"/>
                </w:tcBorders>
                <w:shd w:val="clear" w:color="000000" w:fill="FFFFFF"/>
                <w:noWrap/>
                <w:hideMark/>
              </w:tcPr>
              <w:p w14:paraId="50E7243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Buzău</w:t>
                </w:r>
              </w:p>
            </w:tc>
            <w:tc>
              <w:tcPr>
                <w:tcW w:w="1326" w:type="dxa"/>
                <w:tcBorders>
                  <w:top w:val="nil"/>
                  <w:left w:val="nil"/>
                  <w:bottom w:val="nil"/>
                  <w:right w:val="nil"/>
                </w:tcBorders>
                <w:shd w:val="clear" w:color="000000" w:fill="FFFFFF"/>
                <w:noWrap/>
                <w:hideMark/>
              </w:tcPr>
              <w:p w14:paraId="4E64A53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0624513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PH</w:t>
                </w:r>
              </w:p>
            </w:tc>
            <w:tc>
              <w:tcPr>
                <w:tcW w:w="1795" w:type="dxa"/>
                <w:tcBorders>
                  <w:top w:val="nil"/>
                  <w:left w:val="nil"/>
                  <w:bottom w:val="nil"/>
                  <w:right w:val="single" w:sz="4" w:space="0" w:color="FFFFFF"/>
                </w:tcBorders>
                <w:shd w:val="clear" w:color="000000" w:fill="FFFFFF"/>
                <w:noWrap/>
                <w:hideMark/>
              </w:tcPr>
              <w:p w14:paraId="3A4D1B20"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Prahova</w:t>
                </w:r>
              </w:p>
            </w:tc>
          </w:tr>
          <w:tr w:rsidR="00D95C57" w:rsidRPr="00D95C57" w14:paraId="7708E473"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6867A06D"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CS</w:t>
                </w:r>
              </w:p>
            </w:tc>
            <w:tc>
              <w:tcPr>
                <w:tcW w:w="1729" w:type="dxa"/>
                <w:tcBorders>
                  <w:top w:val="nil"/>
                  <w:left w:val="nil"/>
                  <w:bottom w:val="nil"/>
                  <w:right w:val="single" w:sz="4" w:space="0" w:color="FFFFFF"/>
                </w:tcBorders>
                <w:shd w:val="clear" w:color="000000" w:fill="FFFFFF"/>
                <w:noWrap/>
                <w:hideMark/>
              </w:tcPr>
              <w:p w14:paraId="6A825A7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Caraș-Severin</w:t>
                </w:r>
              </w:p>
            </w:tc>
            <w:tc>
              <w:tcPr>
                <w:tcW w:w="1326" w:type="dxa"/>
                <w:tcBorders>
                  <w:top w:val="nil"/>
                  <w:left w:val="nil"/>
                  <w:bottom w:val="nil"/>
                  <w:right w:val="nil"/>
                </w:tcBorders>
                <w:shd w:val="clear" w:color="000000" w:fill="FFFFFF"/>
                <w:noWrap/>
                <w:hideMark/>
              </w:tcPr>
              <w:p w14:paraId="25D4DA5A"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71C969B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SM</w:t>
                </w:r>
              </w:p>
            </w:tc>
            <w:tc>
              <w:tcPr>
                <w:tcW w:w="1795" w:type="dxa"/>
                <w:tcBorders>
                  <w:top w:val="nil"/>
                  <w:left w:val="nil"/>
                  <w:bottom w:val="nil"/>
                  <w:right w:val="single" w:sz="4" w:space="0" w:color="FFFFFF"/>
                </w:tcBorders>
                <w:shd w:val="clear" w:color="000000" w:fill="FFFFFF"/>
                <w:noWrap/>
                <w:hideMark/>
              </w:tcPr>
              <w:p w14:paraId="56EA5698"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Satu Mare</w:t>
                </w:r>
              </w:p>
            </w:tc>
          </w:tr>
          <w:tr w:rsidR="00D95C57" w:rsidRPr="00D95C57" w14:paraId="02CFBA93"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2B310AD0"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CL</w:t>
                </w:r>
              </w:p>
            </w:tc>
            <w:tc>
              <w:tcPr>
                <w:tcW w:w="1729" w:type="dxa"/>
                <w:tcBorders>
                  <w:top w:val="nil"/>
                  <w:left w:val="nil"/>
                  <w:bottom w:val="nil"/>
                  <w:right w:val="single" w:sz="4" w:space="0" w:color="FFFFFF"/>
                </w:tcBorders>
                <w:shd w:val="clear" w:color="000000" w:fill="FFFFFF"/>
                <w:noWrap/>
                <w:hideMark/>
              </w:tcPr>
              <w:p w14:paraId="13788AE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Călărași</w:t>
                </w:r>
              </w:p>
            </w:tc>
            <w:tc>
              <w:tcPr>
                <w:tcW w:w="1326" w:type="dxa"/>
                <w:tcBorders>
                  <w:top w:val="nil"/>
                  <w:left w:val="nil"/>
                  <w:bottom w:val="nil"/>
                  <w:right w:val="nil"/>
                </w:tcBorders>
                <w:shd w:val="clear" w:color="000000" w:fill="FFFFFF"/>
                <w:noWrap/>
                <w:hideMark/>
              </w:tcPr>
              <w:p w14:paraId="12769D3D"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6B7AD94A"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SJ</w:t>
                </w:r>
              </w:p>
            </w:tc>
            <w:tc>
              <w:tcPr>
                <w:tcW w:w="1795" w:type="dxa"/>
                <w:tcBorders>
                  <w:top w:val="nil"/>
                  <w:left w:val="nil"/>
                  <w:bottom w:val="nil"/>
                  <w:right w:val="single" w:sz="4" w:space="0" w:color="FFFFFF"/>
                </w:tcBorders>
                <w:shd w:val="clear" w:color="000000" w:fill="FFFFFF"/>
                <w:noWrap/>
                <w:hideMark/>
              </w:tcPr>
              <w:p w14:paraId="62EEEB8F"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Sălaj</w:t>
                </w:r>
              </w:p>
            </w:tc>
          </w:tr>
          <w:tr w:rsidR="00D95C57" w:rsidRPr="00D95C57" w14:paraId="18C412D6"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763542E9"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CJ</w:t>
                </w:r>
              </w:p>
            </w:tc>
            <w:tc>
              <w:tcPr>
                <w:tcW w:w="1729" w:type="dxa"/>
                <w:tcBorders>
                  <w:top w:val="nil"/>
                  <w:left w:val="nil"/>
                  <w:bottom w:val="nil"/>
                  <w:right w:val="single" w:sz="4" w:space="0" w:color="FFFFFF"/>
                </w:tcBorders>
                <w:shd w:val="clear" w:color="000000" w:fill="FFFFFF"/>
                <w:noWrap/>
                <w:hideMark/>
              </w:tcPr>
              <w:p w14:paraId="7454D69C"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Cluj</w:t>
                </w:r>
              </w:p>
            </w:tc>
            <w:tc>
              <w:tcPr>
                <w:tcW w:w="1326" w:type="dxa"/>
                <w:tcBorders>
                  <w:top w:val="nil"/>
                  <w:left w:val="nil"/>
                  <w:bottom w:val="nil"/>
                  <w:right w:val="nil"/>
                </w:tcBorders>
                <w:shd w:val="clear" w:color="000000" w:fill="FFFFFF"/>
                <w:noWrap/>
                <w:hideMark/>
              </w:tcPr>
              <w:p w14:paraId="75BA1A1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7F875165"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SB</w:t>
                </w:r>
              </w:p>
            </w:tc>
            <w:tc>
              <w:tcPr>
                <w:tcW w:w="1795" w:type="dxa"/>
                <w:tcBorders>
                  <w:top w:val="nil"/>
                  <w:left w:val="nil"/>
                  <w:bottom w:val="nil"/>
                  <w:right w:val="single" w:sz="4" w:space="0" w:color="FFFFFF"/>
                </w:tcBorders>
                <w:shd w:val="clear" w:color="000000" w:fill="FFFFFF"/>
                <w:noWrap/>
                <w:hideMark/>
              </w:tcPr>
              <w:p w14:paraId="054A91B2"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Sibiu</w:t>
                </w:r>
              </w:p>
            </w:tc>
          </w:tr>
          <w:tr w:rsidR="00D95C57" w:rsidRPr="00D95C57" w14:paraId="6F857C5E"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351365E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CT</w:t>
                </w:r>
              </w:p>
            </w:tc>
            <w:tc>
              <w:tcPr>
                <w:tcW w:w="1729" w:type="dxa"/>
                <w:tcBorders>
                  <w:top w:val="nil"/>
                  <w:left w:val="nil"/>
                  <w:bottom w:val="nil"/>
                  <w:right w:val="single" w:sz="4" w:space="0" w:color="FFFFFF"/>
                </w:tcBorders>
                <w:shd w:val="clear" w:color="000000" w:fill="FFFFFF"/>
                <w:noWrap/>
                <w:hideMark/>
              </w:tcPr>
              <w:p w14:paraId="4439E1D4"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Constanța</w:t>
                </w:r>
              </w:p>
            </w:tc>
            <w:tc>
              <w:tcPr>
                <w:tcW w:w="1326" w:type="dxa"/>
                <w:tcBorders>
                  <w:top w:val="nil"/>
                  <w:left w:val="nil"/>
                  <w:bottom w:val="nil"/>
                  <w:right w:val="nil"/>
                </w:tcBorders>
                <w:shd w:val="clear" w:color="000000" w:fill="FFFFFF"/>
                <w:noWrap/>
                <w:hideMark/>
              </w:tcPr>
              <w:p w14:paraId="7B996CB6"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47EC752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SV</w:t>
                </w:r>
              </w:p>
            </w:tc>
            <w:tc>
              <w:tcPr>
                <w:tcW w:w="1795" w:type="dxa"/>
                <w:tcBorders>
                  <w:top w:val="nil"/>
                  <w:left w:val="nil"/>
                  <w:bottom w:val="nil"/>
                  <w:right w:val="single" w:sz="4" w:space="0" w:color="FFFFFF"/>
                </w:tcBorders>
                <w:shd w:val="clear" w:color="000000" w:fill="FFFFFF"/>
                <w:noWrap/>
                <w:hideMark/>
              </w:tcPr>
              <w:p w14:paraId="55566C4C"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Suceava</w:t>
                </w:r>
              </w:p>
            </w:tc>
          </w:tr>
          <w:tr w:rsidR="00D95C57" w:rsidRPr="00D95C57" w14:paraId="095EC214"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6F011D67"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CV</w:t>
                </w:r>
              </w:p>
            </w:tc>
            <w:tc>
              <w:tcPr>
                <w:tcW w:w="1729" w:type="dxa"/>
                <w:tcBorders>
                  <w:top w:val="nil"/>
                  <w:left w:val="nil"/>
                  <w:bottom w:val="nil"/>
                  <w:right w:val="single" w:sz="4" w:space="0" w:color="FFFFFF"/>
                </w:tcBorders>
                <w:shd w:val="clear" w:color="000000" w:fill="FFFFFF"/>
                <w:noWrap/>
                <w:hideMark/>
              </w:tcPr>
              <w:p w14:paraId="18D1F0FB"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Covasna</w:t>
                </w:r>
              </w:p>
            </w:tc>
            <w:tc>
              <w:tcPr>
                <w:tcW w:w="1326" w:type="dxa"/>
                <w:tcBorders>
                  <w:top w:val="nil"/>
                  <w:left w:val="nil"/>
                  <w:bottom w:val="nil"/>
                  <w:right w:val="nil"/>
                </w:tcBorders>
                <w:shd w:val="clear" w:color="000000" w:fill="FFFFFF"/>
                <w:noWrap/>
                <w:hideMark/>
              </w:tcPr>
              <w:p w14:paraId="49168AB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00D3D3BE"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TR</w:t>
                </w:r>
              </w:p>
            </w:tc>
            <w:tc>
              <w:tcPr>
                <w:tcW w:w="1795" w:type="dxa"/>
                <w:tcBorders>
                  <w:top w:val="nil"/>
                  <w:left w:val="nil"/>
                  <w:bottom w:val="nil"/>
                  <w:right w:val="single" w:sz="4" w:space="0" w:color="FFFFFF"/>
                </w:tcBorders>
                <w:shd w:val="clear" w:color="000000" w:fill="FFFFFF"/>
                <w:noWrap/>
                <w:hideMark/>
              </w:tcPr>
              <w:p w14:paraId="596EC3EA"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Teleorman</w:t>
                </w:r>
              </w:p>
            </w:tc>
          </w:tr>
          <w:tr w:rsidR="00D95C57" w:rsidRPr="00D95C57" w14:paraId="6BB06387"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13481E95"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DB</w:t>
                </w:r>
              </w:p>
            </w:tc>
            <w:tc>
              <w:tcPr>
                <w:tcW w:w="1729" w:type="dxa"/>
                <w:tcBorders>
                  <w:top w:val="nil"/>
                  <w:left w:val="nil"/>
                  <w:bottom w:val="nil"/>
                  <w:right w:val="single" w:sz="4" w:space="0" w:color="FFFFFF"/>
                </w:tcBorders>
                <w:shd w:val="clear" w:color="000000" w:fill="FFFFFF"/>
                <w:noWrap/>
                <w:hideMark/>
              </w:tcPr>
              <w:p w14:paraId="50C9FF2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Dâmbovița</w:t>
                </w:r>
              </w:p>
            </w:tc>
            <w:tc>
              <w:tcPr>
                <w:tcW w:w="1326" w:type="dxa"/>
                <w:tcBorders>
                  <w:top w:val="nil"/>
                  <w:left w:val="nil"/>
                  <w:bottom w:val="nil"/>
                  <w:right w:val="nil"/>
                </w:tcBorders>
                <w:shd w:val="clear" w:color="000000" w:fill="FFFFFF"/>
                <w:noWrap/>
                <w:hideMark/>
              </w:tcPr>
              <w:p w14:paraId="704DC6B7"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72CD54FC"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TM</w:t>
                </w:r>
              </w:p>
            </w:tc>
            <w:tc>
              <w:tcPr>
                <w:tcW w:w="1795" w:type="dxa"/>
                <w:tcBorders>
                  <w:top w:val="nil"/>
                  <w:left w:val="nil"/>
                  <w:bottom w:val="nil"/>
                  <w:right w:val="single" w:sz="4" w:space="0" w:color="FFFFFF"/>
                </w:tcBorders>
                <w:shd w:val="clear" w:color="000000" w:fill="FFFFFF"/>
                <w:noWrap/>
                <w:hideMark/>
              </w:tcPr>
              <w:p w14:paraId="4A424726"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Timiș</w:t>
                </w:r>
              </w:p>
            </w:tc>
          </w:tr>
          <w:tr w:rsidR="00D95C57" w:rsidRPr="00D95C57" w14:paraId="355D57AA"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68E7335E"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DJ</w:t>
                </w:r>
              </w:p>
            </w:tc>
            <w:tc>
              <w:tcPr>
                <w:tcW w:w="1729" w:type="dxa"/>
                <w:tcBorders>
                  <w:top w:val="nil"/>
                  <w:left w:val="nil"/>
                  <w:bottom w:val="nil"/>
                  <w:right w:val="single" w:sz="4" w:space="0" w:color="FFFFFF"/>
                </w:tcBorders>
                <w:shd w:val="clear" w:color="000000" w:fill="FFFFFF"/>
                <w:noWrap/>
                <w:hideMark/>
              </w:tcPr>
              <w:p w14:paraId="08AA8AC6"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Dolj</w:t>
                </w:r>
              </w:p>
            </w:tc>
            <w:tc>
              <w:tcPr>
                <w:tcW w:w="1326" w:type="dxa"/>
                <w:tcBorders>
                  <w:top w:val="nil"/>
                  <w:left w:val="nil"/>
                  <w:bottom w:val="nil"/>
                  <w:right w:val="nil"/>
                </w:tcBorders>
                <w:shd w:val="clear" w:color="000000" w:fill="FFFFFF"/>
                <w:noWrap/>
                <w:hideMark/>
              </w:tcPr>
              <w:p w14:paraId="119A7771"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6DE4F5A7"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TL</w:t>
                </w:r>
              </w:p>
            </w:tc>
            <w:tc>
              <w:tcPr>
                <w:tcW w:w="1795" w:type="dxa"/>
                <w:tcBorders>
                  <w:top w:val="nil"/>
                  <w:left w:val="nil"/>
                  <w:bottom w:val="nil"/>
                  <w:right w:val="single" w:sz="4" w:space="0" w:color="FFFFFF"/>
                </w:tcBorders>
                <w:shd w:val="clear" w:color="000000" w:fill="FFFFFF"/>
                <w:noWrap/>
                <w:hideMark/>
              </w:tcPr>
              <w:p w14:paraId="03B0EC13"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Tulcea</w:t>
                </w:r>
              </w:p>
            </w:tc>
          </w:tr>
          <w:tr w:rsidR="00D95C57" w:rsidRPr="00D95C57" w14:paraId="27AC093B"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58F8E887"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GL</w:t>
                </w:r>
              </w:p>
            </w:tc>
            <w:tc>
              <w:tcPr>
                <w:tcW w:w="1729" w:type="dxa"/>
                <w:tcBorders>
                  <w:top w:val="nil"/>
                  <w:left w:val="nil"/>
                  <w:bottom w:val="nil"/>
                  <w:right w:val="single" w:sz="4" w:space="0" w:color="FFFFFF"/>
                </w:tcBorders>
                <w:shd w:val="clear" w:color="000000" w:fill="FFFFFF"/>
                <w:noWrap/>
                <w:hideMark/>
              </w:tcPr>
              <w:p w14:paraId="5FFD5FBA"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Galați</w:t>
                </w:r>
              </w:p>
            </w:tc>
            <w:tc>
              <w:tcPr>
                <w:tcW w:w="1326" w:type="dxa"/>
                <w:tcBorders>
                  <w:top w:val="nil"/>
                  <w:left w:val="nil"/>
                  <w:bottom w:val="nil"/>
                  <w:right w:val="nil"/>
                </w:tcBorders>
                <w:shd w:val="clear" w:color="000000" w:fill="FFFFFF"/>
                <w:noWrap/>
                <w:hideMark/>
              </w:tcPr>
              <w:p w14:paraId="164E56DD"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56670C2A"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VS</w:t>
                </w:r>
              </w:p>
            </w:tc>
            <w:tc>
              <w:tcPr>
                <w:tcW w:w="1795" w:type="dxa"/>
                <w:tcBorders>
                  <w:top w:val="nil"/>
                  <w:left w:val="nil"/>
                  <w:bottom w:val="nil"/>
                  <w:right w:val="single" w:sz="4" w:space="0" w:color="FFFFFF"/>
                </w:tcBorders>
                <w:shd w:val="clear" w:color="000000" w:fill="FFFFFF"/>
                <w:noWrap/>
                <w:hideMark/>
              </w:tcPr>
              <w:p w14:paraId="4A4A83B8"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Vaslui</w:t>
                </w:r>
              </w:p>
            </w:tc>
          </w:tr>
          <w:tr w:rsidR="00D95C57" w:rsidRPr="00D95C57" w14:paraId="40881FC4"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0DEAD8AE"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GR</w:t>
                </w:r>
              </w:p>
            </w:tc>
            <w:tc>
              <w:tcPr>
                <w:tcW w:w="1729" w:type="dxa"/>
                <w:tcBorders>
                  <w:top w:val="nil"/>
                  <w:left w:val="nil"/>
                  <w:bottom w:val="nil"/>
                  <w:right w:val="single" w:sz="4" w:space="0" w:color="FFFFFF"/>
                </w:tcBorders>
                <w:shd w:val="clear" w:color="000000" w:fill="FFFFFF"/>
                <w:noWrap/>
                <w:hideMark/>
              </w:tcPr>
              <w:p w14:paraId="05874030"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Giurgiu</w:t>
                </w:r>
              </w:p>
            </w:tc>
            <w:tc>
              <w:tcPr>
                <w:tcW w:w="1326" w:type="dxa"/>
                <w:tcBorders>
                  <w:top w:val="nil"/>
                  <w:left w:val="nil"/>
                  <w:bottom w:val="nil"/>
                  <w:right w:val="nil"/>
                </w:tcBorders>
                <w:shd w:val="clear" w:color="000000" w:fill="FFFFFF"/>
                <w:noWrap/>
                <w:hideMark/>
              </w:tcPr>
              <w:p w14:paraId="30B63506"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591CFAE0"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VL</w:t>
                </w:r>
              </w:p>
            </w:tc>
            <w:tc>
              <w:tcPr>
                <w:tcW w:w="1795" w:type="dxa"/>
                <w:tcBorders>
                  <w:top w:val="nil"/>
                  <w:left w:val="nil"/>
                  <w:bottom w:val="nil"/>
                  <w:right w:val="single" w:sz="4" w:space="0" w:color="FFFFFF"/>
                </w:tcBorders>
                <w:shd w:val="clear" w:color="000000" w:fill="FFFFFF"/>
                <w:noWrap/>
                <w:hideMark/>
              </w:tcPr>
              <w:p w14:paraId="47D13918"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Vâlcea</w:t>
                </w:r>
              </w:p>
            </w:tc>
          </w:tr>
          <w:tr w:rsidR="00D95C57" w:rsidRPr="00D95C57" w14:paraId="1A22E505" w14:textId="77777777" w:rsidTr="00C90067">
            <w:trPr>
              <w:trHeight w:val="260"/>
            </w:trPr>
            <w:tc>
              <w:tcPr>
                <w:tcW w:w="1385" w:type="dxa"/>
                <w:tcBorders>
                  <w:top w:val="nil"/>
                  <w:left w:val="nil"/>
                  <w:bottom w:val="nil"/>
                  <w:right w:val="single" w:sz="4" w:space="0" w:color="FFFFFF"/>
                </w:tcBorders>
                <w:shd w:val="clear" w:color="000000" w:fill="FFFFFF"/>
                <w:noWrap/>
                <w:hideMark/>
              </w:tcPr>
              <w:p w14:paraId="4137781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GJ</w:t>
                </w:r>
              </w:p>
            </w:tc>
            <w:tc>
              <w:tcPr>
                <w:tcW w:w="1729" w:type="dxa"/>
                <w:tcBorders>
                  <w:top w:val="nil"/>
                  <w:left w:val="nil"/>
                  <w:bottom w:val="nil"/>
                  <w:right w:val="single" w:sz="4" w:space="0" w:color="FFFFFF"/>
                </w:tcBorders>
                <w:shd w:val="clear" w:color="000000" w:fill="FFFFFF"/>
                <w:noWrap/>
                <w:hideMark/>
              </w:tcPr>
              <w:p w14:paraId="08062A87"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Gorj</w:t>
                </w:r>
              </w:p>
            </w:tc>
            <w:tc>
              <w:tcPr>
                <w:tcW w:w="1326" w:type="dxa"/>
                <w:tcBorders>
                  <w:top w:val="nil"/>
                  <w:left w:val="nil"/>
                  <w:bottom w:val="nil"/>
                  <w:right w:val="nil"/>
                </w:tcBorders>
                <w:shd w:val="clear" w:color="000000" w:fill="FFFFFF"/>
                <w:noWrap/>
                <w:hideMark/>
              </w:tcPr>
              <w:p w14:paraId="6F9A244E"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 </w:t>
                </w:r>
              </w:p>
            </w:tc>
            <w:tc>
              <w:tcPr>
                <w:tcW w:w="1273" w:type="dxa"/>
                <w:tcBorders>
                  <w:top w:val="nil"/>
                  <w:left w:val="nil"/>
                  <w:bottom w:val="nil"/>
                  <w:right w:val="single" w:sz="4" w:space="0" w:color="FFFFFF"/>
                </w:tcBorders>
                <w:shd w:val="clear" w:color="000000" w:fill="FFFFFF"/>
                <w:noWrap/>
                <w:hideMark/>
              </w:tcPr>
              <w:p w14:paraId="076FA512" w14:textId="77777777" w:rsidR="009A1E6B" w:rsidRPr="00366C04" w:rsidRDefault="009A1E6B" w:rsidP="00D15635">
                <w:pPr>
                  <w:spacing w:before="0" w:after="0" w:line="240" w:lineRule="auto"/>
                  <w:rPr>
                    <w:rFonts w:asciiTheme="majorHAnsi" w:eastAsia="Times New Roman" w:hAnsiTheme="majorHAnsi" w:cs="Times New Roman"/>
                    <w:b/>
                    <w:bCs/>
                    <w:lang w:eastAsia="ro-RO"/>
                  </w:rPr>
                </w:pPr>
                <w:r w:rsidRPr="00366C04">
                  <w:rPr>
                    <w:rFonts w:asciiTheme="majorHAnsi" w:eastAsia="Times New Roman" w:hAnsiTheme="majorHAnsi" w:cs="Times New Roman"/>
                    <w:b/>
                    <w:bCs/>
                    <w:lang w:eastAsia="ro-RO"/>
                  </w:rPr>
                  <w:t>VN</w:t>
                </w:r>
              </w:p>
            </w:tc>
            <w:tc>
              <w:tcPr>
                <w:tcW w:w="1795" w:type="dxa"/>
                <w:tcBorders>
                  <w:top w:val="nil"/>
                  <w:left w:val="nil"/>
                  <w:bottom w:val="nil"/>
                  <w:right w:val="single" w:sz="4" w:space="0" w:color="FFFFFF"/>
                </w:tcBorders>
                <w:shd w:val="clear" w:color="000000" w:fill="FFFFFF"/>
                <w:noWrap/>
                <w:hideMark/>
              </w:tcPr>
              <w:p w14:paraId="611C6A32" w14:textId="77777777" w:rsidR="009A1E6B" w:rsidRPr="00366C04" w:rsidRDefault="009A1E6B" w:rsidP="00D15635">
                <w:pPr>
                  <w:spacing w:before="0" w:after="0" w:line="240" w:lineRule="auto"/>
                  <w:rPr>
                    <w:rFonts w:asciiTheme="majorHAnsi" w:eastAsia="Times New Roman" w:hAnsiTheme="majorHAnsi" w:cs="Times New Roman"/>
                    <w:lang w:eastAsia="ro-RO"/>
                  </w:rPr>
                </w:pPr>
                <w:r w:rsidRPr="00366C04">
                  <w:rPr>
                    <w:rFonts w:asciiTheme="majorHAnsi" w:eastAsia="Times New Roman" w:hAnsiTheme="majorHAnsi" w:cs="Times New Roman"/>
                    <w:lang w:eastAsia="ro-RO"/>
                  </w:rPr>
                  <w:t>Vrancea</w:t>
                </w:r>
              </w:p>
            </w:tc>
          </w:tr>
        </w:tbl>
        <w:p w14:paraId="47B8B706" w14:textId="77777777" w:rsidR="00D15635" w:rsidRDefault="00D15635" w:rsidP="009A1E6B">
          <w:pPr>
            <w:rPr>
              <w:rFonts w:asciiTheme="majorHAnsi" w:hAnsiTheme="majorHAnsi"/>
              <w:noProof/>
              <w:lang w:eastAsia="ro-RO"/>
            </w:rPr>
          </w:pPr>
        </w:p>
        <w:p w14:paraId="14524297" w14:textId="77777777" w:rsidR="00E1460B" w:rsidRDefault="00E1460B" w:rsidP="009A1E6B">
          <w:pPr>
            <w:rPr>
              <w:rFonts w:asciiTheme="majorHAnsi" w:hAnsiTheme="majorHAnsi"/>
              <w:noProof/>
              <w:lang w:eastAsia="ro-RO"/>
            </w:rPr>
          </w:pPr>
        </w:p>
        <w:p w14:paraId="32D1536D" w14:textId="77777777" w:rsidR="00741861" w:rsidRPr="00D95C57" w:rsidRDefault="00741861" w:rsidP="005655E1">
          <w:pPr>
            <w:pStyle w:val="ListParagraph"/>
            <w:ind w:left="0"/>
            <w:jc w:val="both"/>
            <w:rPr>
              <w:rFonts w:asciiTheme="majorHAnsi" w:hAnsiTheme="majorHAnsi"/>
              <w:b/>
              <w:bCs/>
            </w:rPr>
          </w:pPr>
          <w:bookmarkStart w:id="2" w:name="_Toc490763506"/>
          <w:bookmarkStart w:id="3" w:name="_Toc490763687"/>
          <w:bookmarkStart w:id="4" w:name="_Toc490763855"/>
        </w:p>
        <w:p w14:paraId="237A5BC2" w14:textId="77777777" w:rsidR="00D230B7" w:rsidRPr="00D95C57" w:rsidRDefault="00D230B7" w:rsidP="005655E1">
          <w:pPr>
            <w:pStyle w:val="ListParagraph"/>
            <w:ind w:left="0"/>
            <w:jc w:val="both"/>
            <w:rPr>
              <w:rFonts w:asciiTheme="majorHAnsi" w:hAnsiTheme="majorHAnsi"/>
              <w:b/>
              <w:bCs/>
            </w:rPr>
          </w:pPr>
        </w:p>
        <w:p w14:paraId="281EEF2E" w14:textId="77777777" w:rsidR="003F5825" w:rsidRPr="00D95C57" w:rsidRDefault="00AC1DDC" w:rsidP="005655E1">
          <w:pPr>
            <w:pStyle w:val="ListParagraph"/>
            <w:ind w:left="0"/>
            <w:jc w:val="both"/>
            <w:outlineLvl w:val="0"/>
            <w:rPr>
              <w:rFonts w:asciiTheme="majorHAnsi" w:hAnsiTheme="majorHAnsi"/>
              <w:b/>
              <w:bCs/>
              <w:color w:val="0F6FC6" w:themeColor="accent1"/>
              <w:sz w:val="36"/>
              <w:szCs w:val="36"/>
            </w:rPr>
            <w:sectPr w:rsidR="003F5825" w:rsidRPr="00D95C57" w:rsidSect="00D720D9">
              <w:type w:val="continuous"/>
              <w:pgSz w:w="11906" w:h="16838" w:code="9"/>
              <w:pgMar w:top="1134" w:right="1418" w:bottom="851" w:left="1418" w:header="454" w:footer="709" w:gutter="0"/>
              <w:cols w:space="708"/>
              <w:docGrid w:linePitch="360"/>
            </w:sectPr>
          </w:pPr>
          <w:bookmarkStart w:id="5" w:name="_Toc87875940"/>
          <w:r w:rsidRPr="00D95C57">
            <w:rPr>
              <w:rFonts w:asciiTheme="majorHAnsi" w:hAnsiTheme="majorHAnsi"/>
              <w:b/>
              <w:bCs/>
              <w:color w:val="0F6FC6" w:themeColor="accent1"/>
              <w:sz w:val="36"/>
              <w:szCs w:val="36"/>
            </w:rPr>
            <w:t>C</w:t>
          </w:r>
          <w:bookmarkEnd w:id="2"/>
          <w:bookmarkEnd w:id="3"/>
          <w:bookmarkEnd w:id="4"/>
          <w:r w:rsidR="00D15635" w:rsidRPr="00D95C57">
            <w:rPr>
              <w:rFonts w:asciiTheme="majorHAnsi" w:hAnsiTheme="majorHAnsi"/>
              <w:b/>
              <w:bCs/>
              <w:color w:val="0F6FC6" w:themeColor="accent1"/>
              <w:sz w:val="36"/>
              <w:szCs w:val="36"/>
            </w:rPr>
            <w:t>adrul legislativ general aplicat la întocmirea prezentului raport</w:t>
          </w:r>
          <w:bookmarkEnd w:id="5"/>
        </w:p>
        <w:p w14:paraId="45CA790C" w14:textId="77777777" w:rsidR="00C932A2" w:rsidRPr="00366C04" w:rsidRDefault="00C932A2" w:rsidP="00885391">
          <w:pPr>
            <w:spacing w:before="0" w:after="0"/>
            <w:jc w:val="both"/>
            <w:rPr>
              <w:rFonts w:asciiTheme="majorHAnsi" w:hAnsiTheme="majorHAnsi"/>
              <w:b/>
              <w:bCs/>
              <w:noProof/>
              <w:lang w:eastAsia="ro-RO"/>
            </w:rPr>
          </w:pPr>
        </w:p>
        <w:p w14:paraId="0392AA30"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Legea nr. 15/1990</w:t>
          </w:r>
          <w:r w:rsidRPr="00366C04">
            <w:rPr>
              <w:rFonts w:asciiTheme="majorHAnsi" w:hAnsiTheme="majorHAnsi"/>
              <w:noProof/>
              <w:lang w:eastAsia="ro-RO"/>
            </w:rPr>
            <w:t xml:space="preserve"> privind reorganizarea unităților economice de stat ca regii autonome și societăți comerciale, cu modificările și completările ulterioare;</w:t>
          </w:r>
        </w:p>
        <w:p w14:paraId="2C97AB56"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Legea nr. 31/1990</w:t>
          </w:r>
          <w:r w:rsidRPr="00366C04">
            <w:rPr>
              <w:rFonts w:asciiTheme="majorHAnsi" w:hAnsiTheme="majorHAnsi"/>
              <w:noProof/>
              <w:lang w:eastAsia="ro-RO"/>
            </w:rPr>
            <w:t xml:space="preserve"> privind societățile, republicată, cu modificările și completările ulterioare;</w:t>
          </w:r>
        </w:p>
        <w:p w14:paraId="5194C90C" w14:textId="77777777" w:rsidR="009A7A43" w:rsidRPr="00366C04" w:rsidRDefault="009A7A43" w:rsidP="00885391">
          <w:pPr>
            <w:spacing w:before="0" w:after="0"/>
            <w:jc w:val="both"/>
            <w:rPr>
              <w:rFonts w:asciiTheme="majorHAnsi" w:hAnsiTheme="majorHAnsi"/>
              <w:noProof/>
              <w:lang w:val="en-US" w:eastAsia="ro-RO"/>
            </w:rPr>
          </w:pPr>
          <w:r w:rsidRPr="00366C04">
            <w:rPr>
              <w:rFonts w:asciiTheme="majorHAnsi" w:hAnsiTheme="majorHAnsi"/>
              <w:b/>
              <w:bCs/>
              <w:noProof/>
              <w:lang w:eastAsia="ro-RO"/>
            </w:rPr>
            <w:t>Legea nr. 544/2001</w:t>
          </w:r>
          <w:r w:rsidRPr="00366C04">
            <w:rPr>
              <w:rFonts w:asciiTheme="majorHAnsi" w:hAnsiTheme="majorHAnsi"/>
              <w:noProof/>
              <w:lang w:eastAsia="ro-RO"/>
            </w:rPr>
            <w:t xml:space="preserve"> privind liberul acces la informa</w:t>
          </w:r>
          <w:r w:rsidR="00885785" w:rsidRPr="00366C04">
            <w:rPr>
              <w:rFonts w:asciiTheme="majorHAnsi" w:hAnsiTheme="majorHAnsi"/>
              <w:noProof/>
              <w:lang w:eastAsia="ro-RO"/>
            </w:rPr>
            <w:t>ț</w:t>
          </w:r>
          <w:r w:rsidRPr="00366C04">
            <w:rPr>
              <w:rFonts w:asciiTheme="majorHAnsi" w:hAnsiTheme="majorHAnsi"/>
              <w:noProof/>
              <w:lang w:eastAsia="ro-RO"/>
            </w:rPr>
            <w:t>iile de interes public</w:t>
          </w:r>
          <w:r w:rsidR="00842052" w:rsidRPr="00366C04">
            <w:rPr>
              <w:rFonts w:asciiTheme="majorHAnsi" w:hAnsiTheme="majorHAnsi"/>
              <w:noProof/>
              <w:lang w:eastAsia="ro-RO"/>
            </w:rPr>
            <w:t>, cu modificările și completările ulterioare</w:t>
          </w:r>
          <w:r w:rsidRPr="00366C04">
            <w:rPr>
              <w:rFonts w:asciiTheme="majorHAnsi" w:hAnsiTheme="majorHAnsi"/>
              <w:noProof/>
              <w:lang w:val="en-US" w:eastAsia="ro-RO"/>
            </w:rPr>
            <w:t>;</w:t>
          </w:r>
        </w:p>
        <w:p w14:paraId="53F1C426" w14:textId="77777777" w:rsidR="009A7A43" w:rsidRPr="00366C04" w:rsidRDefault="009A7A43" w:rsidP="00885391">
          <w:pPr>
            <w:spacing w:before="0" w:after="0"/>
            <w:jc w:val="both"/>
            <w:rPr>
              <w:rFonts w:asciiTheme="majorHAnsi" w:hAnsiTheme="majorHAnsi"/>
              <w:noProof/>
              <w:lang w:val="en-US" w:eastAsia="ro-RO"/>
            </w:rPr>
          </w:pPr>
          <w:r w:rsidRPr="00366C04">
            <w:rPr>
              <w:rFonts w:asciiTheme="majorHAnsi" w:hAnsiTheme="majorHAnsi"/>
              <w:b/>
              <w:bCs/>
              <w:noProof/>
              <w:lang w:eastAsia="ro-RO"/>
            </w:rPr>
            <w:t>Legea nr. 51/2006</w:t>
          </w:r>
          <w:r w:rsidRPr="00366C04">
            <w:rPr>
              <w:rFonts w:asciiTheme="majorHAnsi" w:hAnsiTheme="majorHAnsi"/>
              <w:noProof/>
              <w:lang w:eastAsia="ro-RO"/>
            </w:rPr>
            <w:t xml:space="preserve"> </w:t>
          </w:r>
          <w:r w:rsidR="00E4449F" w:rsidRPr="00366C04">
            <w:rPr>
              <w:rFonts w:asciiTheme="majorHAnsi" w:hAnsiTheme="majorHAnsi"/>
              <w:noProof/>
              <w:lang w:eastAsia="ro-RO"/>
            </w:rPr>
            <w:t>Legea serviciilor comunitare de utilităţi publice</w:t>
          </w:r>
          <w:r w:rsidR="00842052" w:rsidRPr="00366C04">
            <w:rPr>
              <w:rFonts w:asciiTheme="majorHAnsi" w:hAnsiTheme="majorHAnsi"/>
              <w:noProof/>
              <w:lang w:eastAsia="ro-RO"/>
            </w:rPr>
            <w:t>, republicată cu modificări</w:t>
          </w:r>
          <w:r w:rsidR="003D2EDF" w:rsidRPr="00366C04">
            <w:rPr>
              <w:rFonts w:asciiTheme="majorHAnsi" w:hAnsiTheme="majorHAnsi"/>
              <w:noProof/>
              <w:lang w:eastAsia="ro-RO"/>
            </w:rPr>
            <w:t>le</w:t>
          </w:r>
          <w:r w:rsidR="00842052" w:rsidRPr="00366C04">
            <w:rPr>
              <w:rFonts w:asciiTheme="majorHAnsi" w:hAnsiTheme="majorHAnsi"/>
              <w:noProof/>
              <w:lang w:eastAsia="ro-RO"/>
            </w:rPr>
            <w:t xml:space="preserve"> și completări</w:t>
          </w:r>
          <w:r w:rsidR="003D2EDF" w:rsidRPr="00366C04">
            <w:rPr>
              <w:rFonts w:asciiTheme="majorHAnsi" w:hAnsiTheme="majorHAnsi"/>
              <w:noProof/>
              <w:lang w:eastAsia="ro-RO"/>
            </w:rPr>
            <w:t>le</w:t>
          </w:r>
          <w:r w:rsidR="00842052" w:rsidRPr="00366C04">
            <w:rPr>
              <w:rFonts w:asciiTheme="majorHAnsi" w:hAnsiTheme="majorHAnsi"/>
              <w:noProof/>
              <w:lang w:eastAsia="ro-RO"/>
            </w:rPr>
            <w:t xml:space="preserve"> ulterioare</w:t>
          </w:r>
          <w:r w:rsidRPr="00366C04">
            <w:rPr>
              <w:rFonts w:asciiTheme="majorHAnsi" w:hAnsiTheme="majorHAnsi"/>
              <w:noProof/>
              <w:lang w:val="en-US" w:eastAsia="ro-RO"/>
            </w:rPr>
            <w:t>;</w:t>
          </w:r>
        </w:p>
        <w:p w14:paraId="7CFECA21"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Legea nr. 85/2014</w:t>
          </w:r>
          <w:r w:rsidRPr="00366C04">
            <w:rPr>
              <w:rFonts w:asciiTheme="majorHAnsi" w:hAnsiTheme="majorHAnsi"/>
              <w:noProof/>
              <w:lang w:eastAsia="ro-RO"/>
            </w:rPr>
            <w:t xml:space="preserve"> privind procedurile de prevenire a insolvenței și de insolvență</w:t>
          </w:r>
          <w:r w:rsidR="00842052" w:rsidRPr="00366C04">
            <w:rPr>
              <w:rFonts w:asciiTheme="majorHAnsi" w:hAnsiTheme="majorHAnsi"/>
              <w:noProof/>
              <w:lang w:eastAsia="ro-RO"/>
            </w:rPr>
            <w:t>, cu modificări</w:t>
          </w:r>
          <w:r w:rsidR="003D2EDF" w:rsidRPr="00366C04">
            <w:rPr>
              <w:rFonts w:asciiTheme="majorHAnsi" w:hAnsiTheme="majorHAnsi"/>
              <w:noProof/>
              <w:lang w:eastAsia="ro-RO"/>
            </w:rPr>
            <w:t>le</w:t>
          </w:r>
          <w:r w:rsidR="00842052" w:rsidRPr="00366C04">
            <w:rPr>
              <w:rFonts w:asciiTheme="majorHAnsi" w:hAnsiTheme="majorHAnsi"/>
              <w:noProof/>
              <w:lang w:eastAsia="ro-RO"/>
            </w:rPr>
            <w:t xml:space="preserve"> și completări</w:t>
          </w:r>
          <w:r w:rsidR="003D2EDF" w:rsidRPr="00366C04">
            <w:rPr>
              <w:rFonts w:asciiTheme="majorHAnsi" w:hAnsiTheme="majorHAnsi"/>
              <w:noProof/>
              <w:lang w:eastAsia="ro-RO"/>
            </w:rPr>
            <w:t>le</w:t>
          </w:r>
          <w:r w:rsidR="00842052" w:rsidRPr="00366C04">
            <w:rPr>
              <w:rFonts w:asciiTheme="majorHAnsi" w:hAnsiTheme="majorHAnsi"/>
              <w:noProof/>
              <w:lang w:eastAsia="ro-RO"/>
            </w:rPr>
            <w:t xml:space="preserve"> ulterioare</w:t>
          </w:r>
          <w:r w:rsidRPr="00366C04">
            <w:rPr>
              <w:rFonts w:asciiTheme="majorHAnsi" w:hAnsiTheme="majorHAnsi"/>
              <w:noProof/>
              <w:lang w:eastAsia="ro-RO"/>
            </w:rPr>
            <w:t>;</w:t>
          </w:r>
        </w:p>
        <w:p w14:paraId="559D5C82"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 xml:space="preserve">Ordonanța Guvernului nr. 64/2001 </w:t>
          </w:r>
          <w:r w:rsidRPr="00366C04">
            <w:rPr>
              <w:rFonts w:asciiTheme="majorHAnsi" w:hAnsiTheme="majorHAnsi"/>
              <w:noProof/>
              <w:lang w:eastAsia="ro-RO"/>
            </w:rPr>
            <w:t>privind repartizarea profitului la societățile naționale, companiile naționale și societățile comerciale cu capital integral sau majoritar de stat, precum și la regiile autonome, aprobată cu modificări prin Legea nr. 769/2001</w:t>
          </w:r>
          <w:r w:rsidR="00842052" w:rsidRPr="00366C04">
            <w:rPr>
              <w:rFonts w:asciiTheme="majorHAnsi" w:hAnsiTheme="majorHAnsi"/>
              <w:noProof/>
              <w:lang w:eastAsia="ro-RO"/>
            </w:rPr>
            <w:t>, cu modificări și completări ulterioare</w:t>
          </w:r>
          <w:r w:rsidRPr="00366C04">
            <w:rPr>
              <w:rFonts w:asciiTheme="majorHAnsi" w:hAnsiTheme="majorHAnsi"/>
              <w:noProof/>
              <w:lang w:eastAsia="ro-RO"/>
            </w:rPr>
            <w:t xml:space="preserve">; </w:t>
          </w:r>
        </w:p>
        <w:p w14:paraId="10F2BF45"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Ordonanța Guvernului nr. 57/2002</w:t>
          </w:r>
          <w:r w:rsidRPr="00366C04">
            <w:rPr>
              <w:rFonts w:asciiTheme="majorHAnsi" w:hAnsiTheme="majorHAnsi"/>
              <w:noProof/>
              <w:lang w:eastAsia="ro-RO"/>
            </w:rPr>
            <w:t xml:space="preserve"> privind cercetarea științifică și dezvoltarea tehnologică, aprobată cu modificări și completări prin Legea nr. 324/2003, cu modificări</w:t>
          </w:r>
          <w:r w:rsidR="003D2EDF" w:rsidRPr="00366C04">
            <w:rPr>
              <w:rFonts w:asciiTheme="majorHAnsi" w:hAnsiTheme="majorHAnsi"/>
              <w:noProof/>
              <w:lang w:eastAsia="ro-RO"/>
            </w:rPr>
            <w:t>le</w:t>
          </w:r>
          <w:r w:rsidRPr="00366C04">
            <w:rPr>
              <w:rFonts w:asciiTheme="majorHAnsi" w:hAnsiTheme="majorHAnsi"/>
              <w:noProof/>
              <w:lang w:eastAsia="ro-RO"/>
            </w:rPr>
            <w:t xml:space="preserve"> și completări</w:t>
          </w:r>
          <w:r w:rsidR="003D2EDF" w:rsidRPr="00366C04">
            <w:rPr>
              <w:rFonts w:asciiTheme="majorHAnsi" w:hAnsiTheme="majorHAnsi"/>
              <w:noProof/>
              <w:lang w:eastAsia="ro-RO"/>
            </w:rPr>
            <w:t>le</w:t>
          </w:r>
          <w:r w:rsidRPr="00366C04">
            <w:rPr>
              <w:rFonts w:asciiTheme="majorHAnsi" w:hAnsiTheme="majorHAnsi"/>
              <w:noProof/>
              <w:lang w:eastAsia="ro-RO"/>
            </w:rPr>
            <w:t xml:space="preserve"> ulterioare;</w:t>
          </w:r>
        </w:p>
        <w:p w14:paraId="4BA07DF3"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Ordonanța Guvernului nr. 26/2013</w:t>
          </w:r>
          <w:r w:rsidRPr="00366C04">
            <w:rPr>
              <w:rFonts w:asciiTheme="majorHAnsi" w:hAnsiTheme="majorHAnsi"/>
              <w:noProof/>
              <w:lang w:eastAsia="ro-RO"/>
            </w:rPr>
            <w:t xml:space="preserve"> privind întărirea disciplinei financiare la nivelul unor operatori economici la care statul sau unitățile administrativ-teritoriale sunt acționari unici ori majoritari sau dețin direct ori indirect o participație majoritară, aprobată cu modificări prin Legea nr. 47/2014</w:t>
          </w:r>
          <w:r w:rsidR="00842052" w:rsidRPr="00366C04">
            <w:rPr>
              <w:rFonts w:asciiTheme="majorHAnsi" w:hAnsiTheme="majorHAnsi"/>
              <w:noProof/>
              <w:lang w:eastAsia="ro-RO"/>
            </w:rPr>
            <w:t>, cu modificări</w:t>
          </w:r>
          <w:r w:rsidR="003D2EDF" w:rsidRPr="00366C04">
            <w:rPr>
              <w:rFonts w:asciiTheme="majorHAnsi" w:hAnsiTheme="majorHAnsi"/>
              <w:noProof/>
              <w:lang w:eastAsia="ro-RO"/>
            </w:rPr>
            <w:t>le</w:t>
          </w:r>
          <w:r w:rsidR="00842052" w:rsidRPr="00366C04">
            <w:rPr>
              <w:rFonts w:asciiTheme="majorHAnsi" w:hAnsiTheme="majorHAnsi"/>
              <w:noProof/>
              <w:lang w:eastAsia="ro-RO"/>
            </w:rPr>
            <w:t xml:space="preserve"> și completări</w:t>
          </w:r>
          <w:r w:rsidR="003D2EDF" w:rsidRPr="00366C04">
            <w:rPr>
              <w:rFonts w:asciiTheme="majorHAnsi" w:hAnsiTheme="majorHAnsi"/>
              <w:noProof/>
              <w:lang w:eastAsia="ro-RO"/>
            </w:rPr>
            <w:t>le</w:t>
          </w:r>
          <w:r w:rsidR="00842052" w:rsidRPr="00366C04">
            <w:rPr>
              <w:rFonts w:asciiTheme="majorHAnsi" w:hAnsiTheme="majorHAnsi"/>
              <w:noProof/>
              <w:lang w:eastAsia="ro-RO"/>
            </w:rPr>
            <w:t xml:space="preserve"> ulterioare</w:t>
          </w:r>
          <w:r w:rsidRPr="00366C04">
            <w:rPr>
              <w:rFonts w:asciiTheme="majorHAnsi" w:hAnsiTheme="majorHAnsi"/>
              <w:noProof/>
              <w:lang w:eastAsia="ro-RO"/>
            </w:rPr>
            <w:t>;</w:t>
          </w:r>
        </w:p>
        <w:p w14:paraId="670CC2D8" w14:textId="77777777" w:rsidR="005010E7" w:rsidRPr="00366C04" w:rsidRDefault="005010E7" w:rsidP="00885391">
          <w:pPr>
            <w:spacing w:before="0" w:after="0"/>
            <w:jc w:val="both"/>
            <w:rPr>
              <w:rFonts w:asciiTheme="majorHAnsi" w:hAnsiTheme="majorHAnsi"/>
              <w:noProof/>
              <w:lang w:eastAsia="ro-RO"/>
            </w:rPr>
          </w:pPr>
          <w:r w:rsidRPr="00366C04">
            <w:rPr>
              <w:rFonts w:asciiTheme="majorHAnsi" w:hAnsiTheme="majorHAnsi"/>
              <w:b/>
              <w:noProof/>
              <w:lang w:eastAsia="ro-RO"/>
            </w:rPr>
            <w:t xml:space="preserve">Ordonanța </w:t>
          </w:r>
          <w:r w:rsidR="00A82654">
            <w:rPr>
              <w:rFonts w:asciiTheme="majorHAnsi" w:hAnsiTheme="majorHAnsi"/>
              <w:b/>
              <w:noProof/>
              <w:lang w:eastAsia="ro-RO"/>
            </w:rPr>
            <w:t xml:space="preserve">de urgență a </w:t>
          </w:r>
          <w:r w:rsidRPr="00366C04">
            <w:rPr>
              <w:rFonts w:asciiTheme="majorHAnsi" w:hAnsiTheme="majorHAnsi"/>
              <w:b/>
              <w:noProof/>
              <w:lang w:eastAsia="ro-RO"/>
            </w:rPr>
            <w:t>Guvernului 29/2017</w:t>
          </w:r>
          <w:r w:rsidRPr="00366C04">
            <w:rPr>
              <w:rFonts w:asciiTheme="majorHAnsi" w:hAnsiTheme="majorHAnsi"/>
              <w:noProof/>
              <w:lang w:eastAsia="ro-RO"/>
            </w:rPr>
            <w:t xml:space="preserve"> pentru modificarea art. 1 alin. (1) lit. g) din Ordonanţa Guvernului nr. 64/2001 privind repartizarea profitului la societăţile naţionale, companiile naţionale şi societăţile comerciale cu capital integral sau majoritar de stat, precum şi la regiile autonome şi pentru modificarea art. 1 alin. (2) şi (3) din Ordonanţa de urgenţă a Guvernului nr. 109/2011 privind guvernanţa corporativă a întreprinderilor publice;</w:t>
          </w:r>
        </w:p>
        <w:p w14:paraId="6F9BC410" w14:textId="77777777" w:rsidR="009A7A43" w:rsidRPr="00366C04" w:rsidRDefault="009A7A43" w:rsidP="00885391">
          <w:pPr>
            <w:spacing w:before="0" w:after="0"/>
            <w:jc w:val="both"/>
            <w:rPr>
              <w:rFonts w:asciiTheme="majorHAnsi" w:hAnsiTheme="majorHAnsi"/>
              <w:noProof/>
              <w:lang w:eastAsia="ro-RO"/>
            </w:rPr>
          </w:pPr>
          <w:r w:rsidRPr="00366C04">
            <w:rPr>
              <w:rFonts w:asciiTheme="majorHAnsi" w:hAnsiTheme="majorHAnsi"/>
              <w:b/>
              <w:bCs/>
              <w:noProof/>
              <w:lang w:eastAsia="ro-RO"/>
            </w:rPr>
            <w:t>Ordinul Ministrului Finanțelor Publice nr. 2873/2016</w:t>
          </w:r>
          <w:r w:rsidRPr="00366C04">
            <w:rPr>
              <w:rFonts w:asciiTheme="majorHAnsi" w:hAnsiTheme="majorHAnsi"/>
              <w:noProof/>
              <w:lang w:eastAsia="ro-RO"/>
            </w:rPr>
            <w:t xml:space="preserve"> privind reglementarea procedurii de raportare a unor indicatori economico-financiari de către operatorii economici cu capital/patrimoniu integral ori majoritar deţinut direct sau indirect de autorităţile publice centrale ori locale</w:t>
          </w:r>
          <w:r w:rsidR="00E4449F" w:rsidRPr="00366C04">
            <w:rPr>
              <w:rFonts w:asciiTheme="majorHAnsi" w:hAnsiTheme="majorHAnsi"/>
              <w:noProof/>
              <w:lang w:eastAsia="ro-RO"/>
            </w:rPr>
            <w:t>, cu modificările şi completările ulterioare</w:t>
          </w:r>
          <w:r w:rsidRPr="00366C04">
            <w:rPr>
              <w:rFonts w:asciiTheme="majorHAnsi" w:hAnsiTheme="majorHAnsi"/>
              <w:noProof/>
              <w:lang w:eastAsia="ro-RO"/>
            </w:rPr>
            <w:t>;</w:t>
          </w:r>
          <w:r w:rsidR="00C71BCA" w:rsidRPr="00366C04">
            <w:rPr>
              <w:rFonts w:asciiTheme="majorHAnsi" w:hAnsiTheme="majorHAnsi"/>
              <w:noProof/>
              <w:lang w:eastAsia="ro-RO"/>
            </w:rPr>
            <w:t xml:space="preserve"> </w:t>
          </w:r>
        </w:p>
        <w:p w14:paraId="45BD93B9" w14:textId="77777777" w:rsidR="00AC1DDC" w:rsidRPr="00366C04" w:rsidRDefault="003F5825" w:rsidP="00885391">
          <w:pPr>
            <w:spacing w:before="0" w:after="0"/>
            <w:jc w:val="both"/>
            <w:rPr>
              <w:rFonts w:asciiTheme="majorHAnsi" w:hAnsiTheme="majorHAnsi"/>
              <w:lang w:val="en-US"/>
            </w:rPr>
          </w:pPr>
          <w:r w:rsidRPr="00366C04">
            <w:rPr>
              <w:rFonts w:asciiTheme="majorHAnsi" w:hAnsiTheme="majorHAnsi"/>
              <w:b/>
              <w:bCs/>
              <w:noProof/>
              <w:lang w:eastAsia="ro-RO"/>
            </w:rPr>
            <w:t>Ordinul Institutului Național de Statistică nr. 337/2007</w:t>
          </w:r>
          <w:r w:rsidRPr="00366C04">
            <w:rPr>
              <w:rFonts w:asciiTheme="majorHAnsi" w:hAnsiTheme="majorHAnsi"/>
              <w:noProof/>
              <w:lang w:eastAsia="ro-RO"/>
            </w:rPr>
            <w:t xml:space="preserve"> privind actualizarea Clasificării activitățilo</w:t>
          </w:r>
          <w:r w:rsidR="00C932A2" w:rsidRPr="00366C04">
            <w:rPr>
              <w:rFonts w:asciiTheme="majorHAnsi" w:hAnsiTheme="majorHAnsi"/>
              <w:noProof/>
              <w:lang w:eastAsia="ro-RO"/>
            </w:rPr>
            <w:t>r din economia națională – CAEN</w:t>
          </w:r>
          <w:r w:rsidR="001A6110">
            <w:rPr>
              <w:rFonts w:asciiTheme="majorHAnsi" w:hAnsiTheme="majorHAnsi"/>
              <w:noProof/>
              <w:lang w:eastAsia="ro-RO"/>
            </w:rPr>
            <w:t>, cu modificările și completările ulterioare</w:t>
          </w:r>
          <w:r w:rsidR="00366C04">
            <w:rPr>
              <w:rFonts w:asciiTheme="majorHAnsi" w:hAnsiTheme="majorHAnsi"/>
              <w:noProof/>
              <w:lang w:val="en-US" w:eastAsia="ro-RO"/>
            </w:rPr>
            <w:t>.</w:t>
          </w:r>
        </w:p>
        <w:p w14:paraId="14D8E811" w14:textId="77777777" w:rsidR="00093CB4" w:rsidRDefault="00093CB4" w:rsidP="001C60DA">
          <w:pPr>
            <w:snapToGrid w:val="0"/>
            <w:jc w:val="both"/>
            <w:rPr>
              <w:rFonts w:asciiTheme="majorHAnsi" w:hAnsiTheme="majorHAnsi"/>
            </w:rPr>
          </w:pPr>
        </w:p>
        <w:p w14:paraId="604B8F11" w14:textId="77777777" w:rsidR="00093CB4" w:rsidRDefault="00093CB4" w:rsidP="001C60DA">
          <w:pPr>
            <w:snapToGrid w:val="0"/>
            <w:jc w:val="both"/>
            <w:rPr>
              <w:rFonts w:asciiTheme="majorHAnsi" w:hAnsiTheme="majorHAnsi"/>
            </w:rPr>
          </w:pPr>
        </w:p>
        <w:p w14:paraId="4DBC7689" w14:textId="77777777" w:rsidR="00391748" w:rsidRDefault="00391748" w:rsidP="001C60DA">
          <w:pPr>
            <w:snapToGrid w:val="0"/>
            <w:jc w:val="both"/>
            <w:rPr>
              <w:rFonts w:asciiTheme="majorHAnsi" w:hAnsiTheme="majorHAnsi"/>
            </w:rPr>
          </w:pPr>
        </w:p>
        <w:p w14:paraId="521C4D2B" w14:textId="77777777" w:rsidR="00D447BC" w:rsidRDefault="00D447BC" w:rsidP="001C60DA">
          <w:pPr>
            <w:snapToGrid w:val="0"/>
            <w:jc w:val="both"/>
            <w:rPr>
              <w:rFonts w:asciiTheme="majorHAnsi" w:hAnsiTheme="majorHAnsi"/>
            </w:rPr>
          </w:pPr>
        </w:p>
        <w:p w14:paraId="22C95DF0" w14:textId="77777777" w:rsidR="00D447BC" w:rsidRDefault="00D447BC" w:rsidP="001C60DA">
          <w:pPr>
            <w:snapToGrid w:val="0"/>
            <w:jc w:val="both"/>
            <w:rPr>
              <w:rFonts w:asciiTheme="majorHAnsi" w:hAnsiTheme="majorHAnsi"/>
            </w:rPr>
          </w:pPr>
        </w:p>
        <w:p w14:paraId="22258892" w14:textId="77777777" w:rsidR="00D447BC" w:rsidRDefault="00D447BC" w:rsidP="001C60DA">
          <w:pPr>
            <w:snapToGrid w:val="0"/>
            <w:jc w:val="both"/>
            <w:rPr>
              <w:rFonts w:asciiTheme="majorHAnsi" w:hAnsiTheme="majorHAnsi"/>
            </w:rPr>
          </w:pPr>
        </w:p>
        <w:p w14:paraId="14F50E5A" w14:textId="77777777" w:rsidR="00D447BC" w:rsidRDefault="00D447BC" w:rsidP="001C60DA">
          <w:pPr>
            <w:snapToGrid w:val="0"/>
            <w:jc w:val="both"/>
            <w:rPr>
              <w:rFonts w:asciiTheme="majorHAnsi" w:hAnsiTheme="majorHAnsi"/>
            </w:rPr>
          </w:pPr>
        </w:p>
        <w:p w14:paraId="183446D9" w14:textId="77777777" w:rsidR="00D447BC" w:rsidRDefault="00D447BC" w:rsidP="001C60DA">
          <w:pPr>
            <w:snapToGrid w:val="0"/>
            <w:jc w:val="both"/>
            <w:rPr>
              <w:rFonts w:asciiTheme="majorHAnsi" w:hAnsiTheme="majorHAnsi"/>
            </w:rPr>
          </w:pPr>
        </w:p>
        <w:p w14:paraId="288EB67E" w14:textId="77777777" w:rsidR="00391748" w:rsidRDefault="00391748" w:rsidP="001C60DA">
          <w:pPr>
            <w:snapToGrid w:val="0"/>
            <w:jc w:val="both"/>
            <w:rPr>
              <w:rFonts w:asciiTheme="majorHAnsi" w:hAnsiTheme="majorHAnsi"/>
            </w:rPr>
          </w:pPr>
        </w:p>
        <w:p w14:paraId="05FBDA71" w14:textId="6595AAE1" w:rsidR="00391748" w:rsidRDefault="00391748" w:rsidP="001C60DA">
          <w:pPr>
            <w:snapToGrid w:val="0"/>
            <w:jc w:val="both"/>
            <w:rPr>
              <w:rFonts w:asciiTheme="majorHAnsi" w:hAnsiTheme="majorHAnsi"/>
            </w:rPr>
          </w:pPr>
        </w:p>
        <w:p w14:paraId="39C9578D" w14:textId="77777777" w:rsidR="006823DE" w:rsidRDefault="006823DE" w:rsidP="001C60DA">
          <w:pPr>
            <w:snapToGrid w:val="0"/>
            <w:jc w:val="both"/>
            <w:rPr>
              <w:rFonts w:asciiTheme="majorHAnsi" w:hAnsiTheme="majorHAnsi"/>
            </w:rPr>
          </w:pPr>
        </w:p>
        <w:p w14:paraId="29F7CC49" w14:textId="77777777" w:rsidR="00093CB4" w:rsidRDefault="00093CB4" w:rsidP="001C60DA">
          <w:pPr>
            <w:snapToGrid w:val="0"/>
            <w:jc w:val="both"/>
            <w:rPr>
              <w:rFonts w:asciiTheme="majorHAnsi" w:hAnsiTheme="majorHAnsi"/>
            </w:rPr>
          </w:pPr>
        </w:p>
        <w:p w14:paraId="2264DEF1" w14:textId="77777777" w:rsidR="00EA6AA4" w:rsidRPr="00D95C57" w:rsidRDefault="00EA6AA4" w:rsidP="001C60DA">
          <w:pPr>
            <w:snapToGrid w:val="0"/>
            <w:jc w:val="both"/>
            <w:rPr>
              <w:rFonts w:asciiTheme="majorHAnsi" w:hAnsiTheme="majorHAnsi"/>
            </w:rPr>
          </w:pPr>
          <w:r w:rsidRPr="00D95C57">
            <w:rPr>
              <w:rFonts w:asciiTheme="majorHAnsi" w:hAnsiTheme="majorHAnsi"/>
            </w:rPr>
            <w:br/>
          </w:r>
        </w:p>
        <w:p w14:paraId="12C995E6" w14:textId="77777777" w:rsidR="006F52CC" w:rsidRPr="00D95C57" w:rsidRDefault="00AC1DDC" w:rsidP="00D15635">
          <w:pPr>
            <w:pStyle w:val="ListParagraph"/>
            <w:ind w:left="0"/>
            <w:outlineLvl w:val="0"/>
            <w:rPr>
              <w:rFonts w:asciiTheme="majorHAnsi" w:hAnsiTheme="majorHAnsi"/>
              <w:b/>
              <w:bCs/>
              <w:color w:val="0F6FC6" w:themeColor="accent1"/>
              <w:sz w:val="36"/>
              <w:szCs w:val="36"/>
            </w:rPr>
          </w:pPr>
          <w:bookmarkStart w:id="6" w:name="_Toc460591511"/>
          <w:bookmarkStart w:id="7" w:name="_Toc490763507"/>
          <w:bookmarkStart w:id="8" w:name="_Toc490763688"/>
          <w:bookmarkStart w:id="9" w:name="_Toc490763856"/>
          <w:bookmarkStart w:id="10" w:name="_Toc87875941"/>
          <w:r w:rsidRPr="00D95C57">
            <w:rPr>
              <w:rFonts w:asciiTheme="majorHAnsi" w:hAnsiTheme="majorHAnsi"/>
              <w:b/>
              <w:bCs/>
              <w:color w:val="0F6FC6" w:themeColor="accent1"/>
              <w:sz w:val="36"/>
              <w:szCs w:val="36"/>
            </w:rPr>
            <w:t>Introdu</w:t>
          </w:r>
          <w:bookmarkEnd w:id="6"/>
          <w:r w:rsidR="00D15635" w:rsidRPr="00D95C57">
            <w:rPr>
              <w:rFonts w:asciiTheme="majorHAnsi" w:hAnsiTheme="majorHAnsi"/>
              <w:b/>
              <w:bCs/>
              <w:color w:val="0F6FC6" w:themeColor="accent1"/>
              <w:sz w:val="36"/>
              <w:szCs w:val="36"/>
            </w:rPr>
            <w:t>cere</w:t>
          </w:r>
        </w:p>
      </w:sdtContent>
    </w:sdt>
    <w:bookmarkEnd w:id="10" w:displacedByCustomXml="prev"/>
    <w:bookmarkEnd w:id="9" w:displacedByCustomXml="prev"/>
    <w:bookmarkEnd w:id="8" w:displacedByCustomXml="prev"/>
    <w:bookmarkEnd w:id="7" w:displacedByCustomXml="prev"/>
    <w:p w14:paraId="5A8863EE" w14:textId="77777777" w:rsidR="00623A94" w:rsidRPr="00D95C57" w:rsidRDefault="00623A94" w:rsidP="00623A94">
      <w:pPr>
        <w:spacing w:before="240"/>
        <w:jc w:val="both"/>
        <w:rPr>
          <w:rFonts w:asciiTheme="majorHAnsi" w:hAnsiTheme="majorHAnsi"/>
        </w:rPr>
      </w:pPr>
      <w:r w:rsidRPr="00D95C57">
        <w:rPr>
          <w:rFonts w:asciiTheme="majorHAnsi" w:hAnsiTheme="majorHAnsi"/>
          <w:b/>
          <w:bCs/>
        </w:rPr>
        <w:t xml:space="preserve">Principalul scop al raportului </w:t>
      </w:r>
      <w:r w:rsidRPr="00D95C57">
        <w:rPr>
          <w:rFonts w:asciiTheme="majorHAnsi" w:hAnsiTheme="majorHAnsi"/>
        </w:rPr>
        <w:t xml:space="preserve">îl reprezintă </w:t>
      </w:r>
      <w:r w:rsidR="00884361" w:rsidRPr="00D95C57">
        <w:rPr>
          <w:rFonts w:asciiTheme="majorHAnsi" w:hAnsiTheme="majorHAnsi"/>
        </w:rPr>
        <w:t>prezentarea performanțelor financiare ale întreprinderilor publice asigurând astfel transparența activității desfășurate de acestea, în concordanță cu obligațiile ce le revin potrivit legislației în vigoare.</w:t>
      </w:r>
    </w:p>
    <w:p w14:paraId="3D6E9753" w14:textId="77777777" w:rsidR="003C57EB" w:rsidRPr="00D95C57" w:rsidRDefault="003C57EB" w:rsidP="003C57EB">
      <w:pPr>
        <w:spacing w:before="240"/>
        <w:jc w:val="both"/>
        <w:rPr>
          <w:rFonts w:asciiTheme="majorHAnsi" w:hAnsiTheme="majorHAnsi"/>
        </w:rPr>
      </w:pPr>
      <w:r w:rsidRPr="001A6110">
        <w:rPr>
          <w:rFonts w:asciiTheme="majorHAnsi" w:hAnsiTheme="majorHAnsi"/>
        </w:rPr>
        <w:t>În vederea implementării principiilor de bună guvernanță de către autoritățile publice tutelare și de către întreprinderile publice,</w:t>
      </w:r>
      <w:r w:rsidR="00E053E8" w:rsidRPr="006F2436">
        <w:rPr>
          <w:rFonts w:asciiTheme="majorHAnsi" w:hAnsiTheme="majorHAnsi"/>
        </w:rPr>
        <w:t xml:space="preserve"> ca </w:t>
      </w:r>
      <w:r w:rsidRPr="006F2436">
        <w:rPr>
          <w:rFonts w:asciiTheme="majorHAnsi" w:hAnsiTheme="majorHAnsi"/>
        </w:rPr>
        <w:t xml:space="preserve">urmare </w:t>
      </w:r>
      <w:r w:rsidR="00E053E8" w:rsidRPr="006F2436">
        <w:rPr>
          <w:rFonts w:asciiTheme="majorHAnsi" w:hAnsiTheme="majorHAnsi"/>
        </w:rPr>
        <w:t xml:space="preserve">a </w:t>
      </w:r>
      <w:r w:rsidRPr="006F2436">
        <w:rPr>
          <w:rFonts w:asciiTheme="majorHAnsi" w:hAnsiTheme="majorHAnsi"/>
        </w:rPr>
        <w:t xml:space="preserve">competențelor desemnate în temeiul O.G. nr. </w:t>
      </w:r>
      <w:r w:rsidR="00391748" w:rsidRPr="006F2436">
        <w:rPr>
          <w:rFonts w:asciiTheme="majorHAnsi" w:hAnsiTheme="majorHAnsi"/>
        </w:rPr>
        <w:t>26</w:t>
      </w:r>
      <w:r w:rsidRPr="006F2436">
        <w:rPr>
          <w:rFonts w:asciiTheme="majorHAnsi" w:hAnsiTheme="majorHAnsi"/>
        </w:rPr>
        <w:t>/201</w:t>
      </w:r>
      <w:r w:rsidR="00391748" w:rsidRPr="006F2436">
        <w:rPr>
          <w:rFonts w:asciiTheme="majorHAnsi" w:hAnsiTheme="majorHAnsi"/>
        </w:rPr>
        <w:t>3</w:t>
      </w:r>
      <w:r w:rsidR="00366C04" w:rsidRPr="006F2436">
        <w:rPr>
          <w:rFonts w:asciiTheme="majorHAnsi" w:hAnsiTheme="majorHAnsi"/>
        </w:rPr>
        <w:t>, Ministerul Finanțelor</w:t>
      </w:r>
      <w:r w:rsidRPr="006F2436">
        <w:rPr>
          <w:rFonts w:asciiTheme="majorHAnsi" w:hAnsiTheme="majorHAnsi"/>
        </w:rPr>
        <w:t xml:space="preserve"> a centralizat datele necesare pentru elaborarea prezentului Raport.</w:t>
      </w:r>
      <w:r w:rsidRPr="00D95C57">
        <w:rPr>
          <w:rFonts w:asciiTheme="majorHAnsi" w:hAnsiTheme="majorHAnsi"/>
        </w:rPr>
        <w:t xml:space="preserve"> </w:t>
      </w:r>
    </w:p>
    <w:p w14:paraId="56B01A47" w14:textId="77777777" w:rsidR="008F7143" w:rsidRPr="00D95C57" w:rsidRDefault="00C468CE" w:rsidP="008F7143">
      <w:pPr>
        <w:spacing w:before="240"/>
        <w:jc w:val="both"/>
        <w:rPr>
          <w:rFonts w:asciiTheme="majorHAnsi" w:hAnsiTheme="majorHAnsi"/>
        </w:rPr>
      </w:pPr>
      <w:r w:rsidRPr="00D95C57">
        <w:rPr>
          <w:rFonts w:asciiTheme="majorHAnsi" w:hAnsiTheme="majorHAnsi"/>
        </w:rPr>
        <w:t>C</w:t>
      </w:r>
      <w:r w:rsidR="003B357A" w:rsidRPr="00D95C57">
        <w:rPr>
          <w:rFonts w:asciiTheme="majorHAnsi" w:hAnsiTheme="majorHAnsi"/>
        </w:rPr>
        <w:t xml:space="preserve">ompaniile de stat din România </w:t>
      </w:r>
      <w:r w:rsidRPr="00D95C57">
        <w:rPr>
          <w:rFonts w:asciiTheme="majorHAnsi" w:hAnsiTheme="majorHAnsi"/>
        </w:rPr>
        <w:t>sunt</w:t>
      </w:r>
      <w:r w:rsidR="003B357A" w:rsidRPr="00D95C57">
        <w:rPr>
          <w:rFonts w:asciiTheme="majorHAnsi" w:hAnsiTheme="majorHAnsi"/>
        </w:rPr>
        <w:t xml:space="preserve"> un vector important de redresare economică și echilibrare a bugetului de stat, funcționalitatea, solvabilitatea și lichiditatea acestor societăți având o largă influență asupra ansamblului economiei, prin efectul de multiplicare. În același timp însă, obiectivele guvernamentale de bună gestionare a participațiilor statului înseamnă totodată o mai bună monitorizare a performanțelor, o orientare nu numai pe aspecte financiare, ci și pe aspecte de bună guvernare, transparență și integritate.</w:t>
      </w:r>
    </w:p>
    <w:p w14:paraId="3CECE870" w14:textId="77777777" w:rsidR="00C932A2" w:rsidRPr="00D95C57" w:rsidRDefault="00B36EA1" w:rsidP="00652848">
      <w:pPr>
        <w:jc w:val="both"/>
        <w:rPr>
          <w:rFonts w:asciiTheme="majorHAnsi" w:hAnsiTheme="majorHAnsi"/>
        </w:rPr>
      </w:pPr>
      <w:r w:rsidRPr="00D95C57">
        <w:rPr>
          <w:rFonts w:asciiTheme="majorHAnsi" w:hAnsiTheme="majorHAnsi"/>
        </w:rPr>
        <w:t>Îmbunătățirea performanțelor și guvernanței întreprinderilor publice, cu accent pe profitabilitate sustenabilă și responsabilitate reprezintă una din prioritățile cheie ale Guvernului României. Prin aranjamentele de guvernanță și de management public, inclusiv mecanismele de control și delegare, se vor urmări întotdeauna integritatea și realizarea interesului public</w:t>
      </w:r>
      <w:r w:rsidRPr="00D95C57">
        <w:t>.</w:t>
      </w:r>
    </w:p>
    <w:p w14:paraId="679DF7F0" w14:textId="77777777" w:rsidR="00C932A2" w:rsidRPr="00D95C57" w:rsidRDefault="00C932A2" w:rsidP="00652848">
      <w:pPr>
        <w:jc w:val="both"/>
        <w:rPr>
          <w:rFonts w:asciiTheme="majorHAnsi" w:hAnsiTheme="majorHAnsi"/>
        </w:rPr>
      </w:pPr>
    </w:p>
    <w:p w14:paraId="323D9791" w14:textId="77777777" w:rsidR="00C932A2" w:rsidRPr="00D95C57" w:rsidRDefault="00C932A2" w:rsidP="00652848">
      <w:pPr>
        <w:jc w:val="both"/>
        <w:rPr>
          <w:rFonts w:asciiTheme="majorHAnsi" w:hAnsiTheme="majorHAnsi"/>
        </w:rPr>
      </w:pPr>
    </w:p>
    <w:p w14:paraId="7FEC664C" w14:textId="77777777" w:rsidR="00C932A2" w:rsidRPr="00D95C57" w:rsidRDefault="00C932A2" w:rsidP="00652848">
      <w:pPr>
        <w:jc w:val="both"/>
        <w:rPr>
          <w:rFonts w:asciiTheme="majorHAnsi" w:hAnsiTheme="majorHAnsi"/>
        </w:rPr>
      </w:pPr>
    </w:p>
    <w:p w14:paraId="2B1D5C89" w14:textId="77777777" w:rsidR="00C932A2" w:rsidRDefault="00C932A2" w:rsidP="00652848">
      <w:pPr>
        <w:jc w:val="both"/>
        <w:rPr>
          <w:rFonts w:asciiTheme="majorHAnsi" w:hAnsiTheme="majorHAnsi"/>
        </w:rPr>
      </w:pPr>
    </w:p>
    <w:p w14:paraId="2073AF0A" w14:textId="77777777" w:rsidR="00D447BC" w:rsidRDefault="00D447BC" w:rsidP="00652848">
      <w:pPr>
        <w:jc w:val="both"/>
        <w:rPr>
          <w:rFonts w:asciiTheme="majorHAnsi" w:hAnsiTheme="majorHAnsi"/>
        </w:rPr>
      </w:pPr>
    </w:p>
    <w:p w14:paraId="110EE01D" w14:textId="77777777" w:rsidR="00D447BC" w:rsidRDefault="00D447BC" w:rsidP="00652848">
      <w:pPr>
        <w:jc w:val="both"/>
        <w:rPr>
          <w:rFonts w:asciiTheme="majorHAnsi" w:hAnsiTheme="majorHAnsi"/>
        </w:rPr>
      </w:pPr>
    </w:p>
    <w:p w14:paraId="02B864F9" w14:textId="77777777" w:rsidR="00D447BC" w:rsidRDefault="00D447BC" w:rsidP="00652848">
      <w:pPr>
        <w:jc w:val="both"/>
        <w:rPr>
          <w:rFonts w:asciiTheme="majorHAnsi" w:hAnsiTheme="majorHAnsi"/>
        </w:rPr>
      </w:pPr>
    </w:p>
    <w:p w14:paraId="77064CEA" w14:textId="77777777" w:rsidR="00D447BC" w:rsidRDefault="00D447BC" w:rsidP="00652848">
      <w:pPr>
        <w:jc w:val="both"/>
        <w:rPr>
          <w:rFonts w:asciiTheme="majorHAnsi" w:hAnsiTheme="majorHAnsi"/>
        </w:rPr>
      </w:pPr>
    </w:p>
    <w:p w14:paraId="47C1B082" w14:textId="77777777" w:rsidR="00D447BC" w:rsidRDefault="00D447BC" w:rsidP="00652848">
      <w:pPr>
        <w:jc w:val="both"/>
        <w:rPr>
          <w:rFonts w:asciiTheme="majorHAnsi" w:hAnsiTheme="majorHAnsi"/>
        </w:rPr>
      </w:pPr>
    </w:p>
    <w:p w14:paraId="6C9D5399" w14:textId="77777777" w:rsidR="00391748" w:rsidRDefault="00391748" w:rsidP="00652848">
      <w:pPr>
        <w:jc w:val="both"/>
        <w:rPr>
          <w:rFonts w:asciiTheme="majorHAnsi" w:hAnsiTheme="majorHAnsi"/>
        </w:rPr>
      </w:pPr>
    </w:p>
    <w:p w14:paraId="6A9D15C2" w14:textId="77777777" w:rsidR="00391748" w:rsidRDefault="00391748" w:rsidP="00652848">
      <w:pPr>
        <w:jc w:val="both"/>
        <w:rPr>
          <w:rFonts w:asciiTheme="majorHAnsi" w:hAnsiTheme="majorHAnsi"/>
        </w:rPr>
      </w:pPr>
    </w:p>
    <w:p w14:paraId="27589303" w14:textId="77777777" w:rsidR="00391748" w:rsidRPr="00D95C57" w:rsidRDefault="00391748" w:rsidP="00652848">
      <w:pPr>
        <w:jc w:val="both"/>
        <w:rPr>
          <w:rFonts w:asciiTheme="majorHAnsi" w:hAnsiTheme="majorHAnsi"/>
        </w:rPr>
      </w:pPr>
    </w:p>
    <w:p w14:paraId="0C0CA446" w14:textId="77777777" w:rsidR="00C932A2" w:rsidRPr="00D95C57" w:rsidRDefault="00C932A2" w:rsidP="00652848">
      <w:pPr>
        <w:jc w:val="both"/>
        <w:rPr>
          <w:rFonts w:asciiTheme="majorHAnsi" w:hAnsiTheme="majorHAnsi"/>
        </w:rPr>
      </w:pPr>
    </w:p>
    <w:p w14:paraId="5C06BE29" w14:textId="77777777" w:rsidR="00C932A2" w:rsidRPr="00D95C57" w:rsidRDefault="00C932A2" w:rsidP="00652848">
      <w:pPr>
        <w:jc w:val="both"/>
        <w:rPr>
          <w:rFonts w:asciiTheme="majorHAnsi" w:hAnsiTheme="majorHAnsi"/>
        </w:rPr>
      </w:pPr>
    </w:p>
    <w:p w14:paraId="09BA1599" w14:textId="77777777" w:rsidR="00C932A2" w:rsidRPr="00D95C57" w:rsidRDefault="00C932A2" w:rsidP="00652848">
      <w:pPr>
        <w:jc w:val="both"/>
        <w:rPr>
          <w:rFonts w:asciiTheme="majorHAnsi" w:hAnsiTheme="majorHAnsi"/>
        </w:rPr>
      </w:pPr>
    </w:p>
    <w:p w14:paraId="42DB34DF" w14:textId="77777777" w:rsidR="00F02A07" w:rsidRPr="00D95C57" w:rsidRDefault="00F02A07" w:rsidP="00652848">
      <w:pPr>
        <w:jc w:val="both"/>
        <w:rPr>
          <w:rFonts w:asciiTheme="majorHAnsi" w:hAnsiTheme="majorHAnsi"/>
        </w:rPr>
      </w:pPr>
    </w:p>
    <w:p w14:paraId="6E8821E1" w14:textId="77777777" w:rsidR="00C932A2" w:rsidRDefault="00C932A2" w:rsidP="00652848">
      <w:pPr>
        <w:jc w:val="both"/>
        <w:rPr>
          <w:rFonts w:asciiTheme="majorHAnsi" w:hAnsiTheme="majorHAnsi"/>
        </w:rPr>
      </w:pPr>
    </w:p>
    <w:p w14:paraId="7788B0E4" w14:textId="77777777" w:rsidR="00366C04" w:rsidRPr="00D95C57" w:rsidRDefault="00366C04" w:rsidP="00652848">
      <w:pPr>
        <w:jc w:val="both"/>
        <w:rPr>
          <w:rFonts w:asciiTheme="majorHAnsi" w:hAnsiTheme="majorHAnsi"/>
        </w:rPr>
      </w:pPr>
    </w:p>
    <w:p w14:paraId="51F71A48" w14:textId="77777777" w:rsidR="002C6B5D" w:rsidRPr="00D95C57" w:rsidRDefault="00B60A75" w:rsidP="00B60A75">
      <w:pPr>
        <w:pStyle w:val="ListParagraph"/>
        <w:spacing w:beforeAutospacing="1" w:after="100" w:afterAutospacing="1" w:line="240" w:lineRule="auto"/>
        <w:ind w:left="0"/>
        <w:jc w:val="both"/>
        <w:outlineLvl w:val="0"/>
        <w:rPr>
          <w:rFonts w:asciiTheme="majorHAnsi" w:hAnsiTheme="majorHAnsi"/>
          <w:b/>
          <w:bCs/>
          <w:color w:val="0F6FC6" w:themeColor="accent1"/>
          <w:sz w:val="36"/>
          <w:szCs w:val="36"/>
        </w:rPr>
      </w:pPr>
      <w:bookmarkStart w:id="11" w:name="_Toc490763509"/>
      <w:bookmarkStart w:id="12" w:name="_Toc490763690"/>
      <w:bookmarkStart w:id="13" w:name="_Toc490763858"/>
      <w:bookmarkStart w:id="14" w:name="_Toc87875942"/>
      <w:r w:rsidRPr="00D95C57">
        <w:rPr>
          <w:rFonts w:asciiTheme="majorHAnsi" w:hAnsiTheme="majorHAnsi"/>
          <w:b/>
          <w:bCs/>
          <w:color w:val="0F6FC6" w:themeColor="accent1"/>
          <w:sz w:val="36"/>
          <w:szCs w:val="36"/>
        </w:rPr>
        <w:t>Date generale despre</w:t>
      </w:r>
      <w:r w:rsidR="00D15635" w:rsidRPr="00D95C57">
        <w:rPr>
          <w:rFonts w:asciiTheme="majorHAnsi" w:hAnsiTheme="majorHAnsi"/>
          <w:b/>
          <w:bCs/>
          <w:color w:val="0F6FC6" w:themeColor="accent1"/>
          <w:sz w:val="36"/>
          <w:szCs w:val="36"/>
        </w:rPr>
        <w:t xml:space="preserve"> întreprinderil</w:t>
      </w:r>
      <w:r w:rsidRPr="00D95C57">
        <w:rPr>
          <w:rFonts w:asciiTheme="majorHAnsi" w:hAnsiTheme="majorHAnsi"/>
          <w:b/>
          <w:bCs/>
          <w:color w:val="0F6FC6" w:themeColor="accent1"/>
          <w:sz w:val="36"/>
          <w:szCs w:val="36"/>
        </w:rPr>
        <w:t>e</w:t>
      </w:r>
      <w:r w:rsidR="00D15635" w:rsidRPr="00D95C57">
        <w:rPr>
          <w:rFonts w:asciiTheme="majorHAnsi" w:hAnsiTheme="majorHAnsi"/>
          <w:b/>
          <w:bCs/>
          <w:color w:val="0F6FC6" w:themeColor="accent1"/>
          <w:sz w:val="36"/>
          <w:szCs w:val="36"/>
        </w:rPr>
        <w:t xml:space="preserve"> la care autoritățile publice tutelare centrale și locale dețin participații</w:t>
      </w:r>
      <w:bookmarkEnd w:id="14"/>
      <w:r w:rsidR="00D15635" w:rsidRPr="00D95C57">
        <w:rPr>
          <w:rFonts w:asciiTheme="majorHAnsi" w:hAnsiTheme="majorHAnsi"/>
          <w:b/>
          <w:bCs/>
          <w:color w:val="0F6FC6" w:themeColor="accent1"/>
          <w:sz w:val="36"/>
          <w:szCs w:val="36"/>
        </w:rPr>
        <w:t xml:space="preserve"> </w:t>
      </w:r>
      <w:bookmarkEnd w:id="11"/>
      <w:bookmarkEnd w:id="12"/>
      <w:bookmarkEnd w:id="13"/>
    </w:p>
    <w:p w14:paraId="0FB814F3" w14:textId="77777777" w:rsidR="00366C04" w:rsidRDefault="00366C04" w:rsidP="00366C04">
      <w:pPr>
        <w:spacing w:before="0" w:after="240"/>
        <w:jc w:val="both"/>
        <w:rPr>
          <w:rFonts w:asciiTheme="majorHAnsi" w:hAnsiTheme="majorHAnsi"/>
          <w:bCs/>
        </w:rPr>
      </w:pPr>
    </w:p>
    <w:p w14:paraId="24086B1F" w14:textId="77777777" w:rsidR="00366C04" w:rsidRPr="008F3FD2" w:rsidRDefault="00366C04" w:rsidP="00366C04">
      <w:pPr>
        <w:spacing w:before="0" w:after="240"/>
        <w:jc w:val="both"/>
        <w:rPr>
          <w:rFonts w:asciiTheme="majorHAnsi" w:hAnsiTheme="majorHAnsi"/>
          <w:b/>
          <w:bCs/>
        </w:rPr>
      </w:pPr>
      <w:r w:rsidRPr="008F3FD2">
        <w:rPr>
          <w:rFonts w:asciiTheme="majorHAnsi" w:hAnsiTheme="majorHAnsi"/>
          <w:bCs/>
        </w:rPr>
        <w:t>Ministerul Finanțelor în calitate de instituție de monitorizare și de supraveghere, calități deținute în temeiul O.G.  nr. 26/2013 și O.M.F.P. nr. 2873/2016, monitorizează implementarea prevederilor actelor normative menționate de către autoritățile publice tutelare și de către întreprinderile publice și identifică întreprinderile care intră sub incidența acestora</w:t>
      </w:r>
      <w:r w:rsidRPr="008F3FD2">
        <w:rPr>
          <w:rFonts w:asciiTheme="majorHAnsi" w:hAnsiTheme="majorHAnsi"/>
          <w:b/>
          <w:bCs/>
        </w:rPr>
        <w:t>. În acest sens</w:t>
      </w:r>
      <w:r>
        <w:rPr>
          <w:rFonts w:asciiTheme="majorHAnsi" w:hAnsiTheme="majorHAnsi"/>
          <w:b/>
          <w:bCs/>
        </w:rPr>
        <w:t xml:space="preserve"> la 31.12.2020 </w:t>
      </w:r>
      <w:r w:rsidRPr="008F3FD2">
        <w:rPr>
          <w:rFonts w:asciiTheme="majorHAnsi" w:hAnsiTheme="majorHAnsi"/>
          <w:b/>
          <w:bCs/>
        </w:rPr>
        <w:t>a fost actualizată „</w:t>
      </w:r>
      <w:r w:rsidRPr="008F3FD2">
        <w:rPr>
          <w:rFonts w:asciiTheme="majorHAnsi" w:hAnsiTheme="majorHAnsi"/>
          <w:b/>
          <w:bCs/>
          <w:i/>
        </w:rPr>
        <w:t>Situația privind participațiile statului și a unităților administrativ-teritoriale la întreprinderi</w:t>
      </w:r>
      <w:r w:rsidRPr="008F3FD2">
        <w:rPr>
          <w:rFonts w:asciiTheme="majorHAnsi" w:hAnsiTheme="majorHAnsi"/>
          <w:b/>
          <w:bCs/>
        </w:rPr>
        <w:t>”.</w:t>
      </w:r>
    </w:p>
    <w:p w14:paraId="72024A9E" w14:textId="77777777" w:rsidR="00366C04" w:rsidRPr="008F3FD2" w:rsidRDefault="00366C04" w:rsidP="00366C04">
      <w:pPr>
        <w:spacing w:before="0" w:after="240"/>
        <w:jc w:val="both"/>
        <w:rPr>
          <w:rFonts w:asciiTheme="majorHAnsi" w:hAnsiTheme="majorHAnsi"/>
        </w:rPr>
      </w:pPr>
      <w:r w:rsidRPr="008F3FD2">
        <w:rPr>
          <w:rFonts w:asciiTheme="majorHAnsi" w:hAnsiTheme="majorHAnsi"/>
        </w:rPr>
        <w:t>Urmare acțiunilor menționate mai su</w:t>
      </w:r>
      <w:r>
        <w:rPr>
          <w:rFonts w:asciiTheme="majorHAnsi" w:hAnsiTheme="majorHAnsi"/>
        </w:rPr>
        <w:t>s, la 31.</w:t>
      </w:r>
      <w:r w:rsidRPr="008F3FD2">
        <w:rPr>
          <w:rFonts w:asciiTheme="majorHAnsi" w:hAnsiTheme="majorHAnsi"/>
        </w:rPr>
        <w:t>1</w:t>
      </w:r>
      <w:r>
        <w:rPr>
          <w:rFonts w:asciiTheme="majorHAnsi" w:hAnsiTheme="majorHAnsi"/>
        </w:rPr>
        <w:t>2</w:t>
      </w:r>
      <w:r w:rsidRPr="008F3FD2">
        <w:rPr>
          <w:rFonts w:asciiTheme="majorHAnsi" w:hAnsiTheme="majorHAnsi"/>
        </w:rPr>
        <w:t>.202</w:t>
      </w:r>
      <w:r>
        <w:rPr>
          <w:rFonts w:asciiTheme="majorHAnsi" w:hAnsiTheme="majorHAnsi"/>
        </w:rPr>
        <w:t>0</w:t>
      </w:r>
      <w:r w:rsidRPr="008F3FD2">
        <w:rPr>
          <w:rFonts w:asciiTheme="majorHAnsi" w:hAnsiTheme="majorHAnsi"/>
        </w:rPr>
        <w:t xml:space="preserve"> APTC și APTL dețineau participații, într-o pondere cuprinsă între 0,0001% și 100% atât în mod direct cât și indirect, </w:t>
      </w:r>
      <w:r w:rsidRPr="008F3FD2">
        <w:rPr>
          <w:rFonts w:asciiTheme="majorHAnsi" w:hAnsiTheme="majorHAnsi"/>
          <w:b/>
        </w:rPr>
        <w:t>la un număr total de 2.418 întreprinderi</w:t>
      </w:r>
      <w:r w:rsidRPr="008F3FD2">
        <w:rPr>
          <w:rFonts w:asciiTheme="majorHAnsi" w:hAnsiTheme="majorHAnsi"/>
        </w:rPr>
        <w:t xml:space="preserve"> care înregistrau un aport al acționarilor/asociaților în sumă totală de 70.652.945 mii lei din care: </w:t>
      </w:r>
    </w:p>
    <w:p w14:paraId="5CF57EBE" w14:textId="77777777" w:rsidR="00366C04" w:rsidRPr="008F3FD2" w:rsidRDefault="00366C04" w:rsidP="00F26763">
      <w:pPr>
        <w:pStyle w:val="ListParagraph"/>
        <w:numPr>
          <w:ilvl w:val="0"/>
          <w:numId w:val="21"/>
        </w:numPr>
        <w:spacing w:before="0" w:after="240"/>
        <w:ind w:left="360"/>
        <w:jc w:val="both"/>
        <w:rPr>
          <w:rFonts w:asciiTheme="majorHAnsi" w:hAnsiTheme="majorHAnsi"/>
        </w:rPr>
      </w:pPr>
      <w:r w:rsidRPr="008F3FD2">
        <w:rPr>
          <w:rFonts w:asciiTheme="majorHAnsi" w:hAnsiTheme="majorHAnsi"/>
          <w:b/>
        </w:rPr>
        <w:t>APTC și APTL</w:t>
      </w:r>
      <w:r w:rsidRPr="008F3FD2">
        <w:rPr>
          <w:rFonts w:asciiTheme="majorHAnsi" w:hAnsiTheme="majorHAnsi"/>
        </w:rPr>
        <w:t xml:space="preserve"> dețineau participații în mod direct și indirect în sumă totală de </w:t>
      </w:r>
      <w:r w:rsidRPr="008F3FD2">
        <w:rPr>
          <w:rFonts w:asciiTheme="majorHAnsi" w:hAnsiTheme="majorHAnsi"/>
          <w:b/>
        </w:rPr>
        <w:t>47.574.310 mii lei</w:t>
      </w:r>
      <w:r w:rsidRPr="008F3FD2">
        <w:rPr>
          <w:rFonts w:asciiTheme="majorHAnsi" w:hAnsiTheme="majorHAnsi"/>
        </w:rPr>
        <w:t xml:space="preserve">, reprezentând o </w:t>
      </w:r>
      <w:r w:rsidRPr="008F3FD2">
        <w:rPr>
          <w:rFonts w:asciiTheme="majorHAnsi" w:hAnsiTheme="majorHAnsi"/>
          <w:b/>
        </w:rPr>
        <w:t>pondere de 4,5</w:t>
      </w:r>
      <w:r>
        <w:rPr>
          <w:rFonts w:asciiTheme="majorHAnsi" w:hAnsiTheme="majorHAnsi"/>
          <w:b/>
        </w:rPr>
        <w:t>0</w:t>
      </w:r>
      <w:r w:rsidRPr="008F3FD2">
        <w:rPr>
          <w:rFonts w:asciiTheme="majorHAnsi" w:hAnsiTheme="majorHAnsi"/>
          <w:b/>
        </w:rPr>
        <w:t xml:space="preserve"> % din PIB – 2020</w:t>
      </w:r>
      <w:r w:rsidRPr="008F3FD2">
        <w:rPr>
          <w:rStyle w:val="FootnoteReference"/>
          <w:rFonts w:asciiTheme="majorHAnsi" w:hAnsiTheme="majorHAnsi"/>
          <w:b/>
        </w:rPr>
        <w:footnoteReference w:id="2"/>
      </w:r>
      <w:r w:rsidRPr="008F3FD2">
        <w:rPr>
          <w:rFonts w:asciiTheme="majorHAnsi" w:hAnsiTheme="majorHAnsi"/>
        </w:rPr>
        <w:t xml:space="preserve">, în </w:t>
      </w:r>
      <w:r w:rsidRPr="008F3FD2">
        <w:rPr>
          <w:rFonts w:asciiTheme="majorHAnsi" w:hAnsiTheme="majorHAnsi"/>
          <w:b/>
        </w:rPr>
        <w:t>creștere</w:t>
      </w:r>
      <w:r w:rsidRPr="008F3FD2">
        <w:rPr>
          <w:rFonts w:asciiTheme="majorHAnsi" w:hAnsiTheme="majorHAnsi"/>
        </w:rPr>
        <w:t xml:space="preserve"> cu suma de </w:t>
      </w:r>
      <w:r w:rsidRPr="008F3FD2">
        <w:rPr>
          <w:rFonts w:asciiTheme="majorHAnsi" w:hAnsiTheme="majorHAnsi"/>
          <w:b/>
        </w:rPr>
        <w:t>651.556 mii lei</w:t>
      </w:r>
      <w:r w:rsidRPr="008F3FD2">
        <w:rPr>
          <w:rFonts w:asciiTheme="majorHAnsi" w:hAnsiTheme="majorHAnsi"/>
        </w:rPr>
        <w:t xml:space="preserve"> față de</w:t>
      </w:r>
      <w:r>
        <w:rPr>
          <w:rFonts w:asciiTheme="majorHAnsi" w:hAnsiTheme="majorHAnsi"/>
        </w:rPr>
        <w:t xml:space="preserve"> 31</w:t>
      </w:r>
      <w:r w:rsidRPr="008F3FD2">
        <w:rPr>
          <w:rFonts w:asciiTheme="majorHAnsi" w:hAnsiTheme="majorHAnsi"/>
        </w:rPr>
        <w:t>.1</w:t>
      </w:r>
      <w:r>
        <w:rPr>
          <w:rFonts w:asciiTheme="majorHAnsi" w:hAnsiTheme="majorHAnsi"/>
        </w:rPr>
        <w:t>2</w:t>
      </w:r>
      <w:r w:rsidRPr="008F3FD2">
        <w:rPr>
          <w:rFonts w:asciiTheme="majorHAnsi" w:hAnsiTheme="majorHAnsi"/>
        </w:rPr>
        <w:t>.20</w:t>
      </w:r>
      <w:r>
        <w:rPr>
          <w:rFonts w:asciiTheme="majorHAnsi" w:hAnsiTheme="majorHAnsi"/>
        </w:rPr>
        <w:t>19</w:t>
      </w:r>
      <w:r w:rsidRPr="008F3FD2">
        <w:rPr>
          <w:rFonts w:asciiTheme="majorHAnsi" w:hAnsiTheme="majorHAnsi"/>
        </w:rPr>
        <w:t xml:space="preserve"> și </w:t>
      </w:r>
    </w:p>
    <w:p w14:paraId="510C15DD" w14:textId="77777777" w:rsidR="00366C04" w:rsidRPr="008F3FD2" w:rsidRDefault="00366C04" w:rsidP="00F26763">
      <w:pPr>
        <w:pStyle w:val="ListParagraph"/>
        <w:numPr>
          <w:ilvl w:val="0"/>
          <w:numId w:val="21"/>
        </w:numPr>
        <w:spacing w:before="0" w:after="240"/>
        <w:ind w:left="360"/>
        <w:jc w:val="both"/>
        <w:rPr>
          <w:rFonts w:asciiTheme="majorHAnsi" w:hAnsiTheme="majorHAnsi"/>
        </w:rPr>
      </w:pPr>
      <w:r w:rsidRPr="008F3FD2">
        <w:rPr>
          <w:rFonts w:asciiTheme="majorHAnsi" w:hAnsiTheme="majorHAnsi"/>
        </w:rPr>
        <w:t xml:space="preserve">persoane juridice și fizice dețineau participații în sumă totală de 23.078.635 mii lei în scădere cu suma de 61.525 mii lei față de </w:t>
      </w:r>
      <w:r>
        <w:rPr>
          <w:rFonts w:asciiTheme="majorHAnsi" w:hAnsiTheme="majorHAnsi"/>
        </w:rPr>
        <w:t>3</w:t>
      </w:r>
      <w:r w:rsidRPr="008F3FD2">
        <w:rPr>
          <w:rFonts w:asciiTheme="majorHAnsi" w:hAnsiTheme="majorHAnsi"/>
        </w:rPr>
        <w:t>1.1</w:t>
      </w:r>
      <w:r>
        <w:rPr>
          <w:rFonts w:asciiTheme="majorHAnsi" w:hAnsiTheme="majorHAnsi"/>
        </w:rPr>
        <w:t>2</w:t>
      </w:r>
      <w:r w:rsidRPr="008F3FD2">
        <w:rPr>
          <w:rFonts w:asciiTheme="majorHAnsi" w:hAnsiTheme="majorHAnsi"/>
        </w:rPr>
        <w:t>.20</w:t>
      </w:r>
      <w:r>
        <w:rPr>
          <w:rFonts w:asciiTheme="majorHAnsi" w:hAnsiTheme="majorHAnsi"/>
        </w:rPr>
        <w:t>19</w:t>
      </w:r>
      <w:r w:rsidRPr="008F3FD2">
        <w:rPr>
          <w:rFonts w:asciiTheme="majorHAnsi" w:hAnsiTheme="majorHAnsi"/>
        </w:rPr>
        <w:t>.</w:t>
      </w:r>
    </w:p>
    <w:p w14:paraId="57AFAD21" w14:textId="77777777" w:rsidR="00366C04" w:rsidRDefault="00366C04" w:rsidP="00366C04">
      <w:pPr>
        <w:spacing w:after="0"/>
        <w:jc w:val="both"/>
        <w:rPr>
          <w:rFonts w:asciiTheme="majorHAnsi" w:hAnsiTheme="majorHAnsi" w:cstheme="majorHAnsi"/>
        </w:rPr>
      </w:pPr>
      <w:r w:rsidRPr="008F3FD2">
        <w:rPr>
          <w:rFonts w:asciiTheme="majorHAnsi" w:hAnsiTheme="majorHAnsi" w:cstheme="majorHAnsi"/>
        </w:rPr>
        <w:t xml:space="preserve">Din punct de vedere al autorității (centrale sau locale) care deține participații, al tipului de participații deținute (majoritare sau minoritare) și al sumei participațiilor deținute de APTC și APTL la întreprinderi, situația la </w:t>
      </w:r>
      <w:r>
        <w:rPr>
          <w:rFonts w:asciiTheme="majorHAnsi" w:hAnsiTheme="majorHAnsi" w:cstheme="majorHAnsi"/>
        </w:rPr>
        <w:t>3</w:t>
      </w:r>
      <w:r w:rsidRPr="008F3FD2">
        <w:rPr>
          <w:rFonts w:asciiTheme="majorHAnsi" w:hAnsiTheme="majorHAnsi" w:cstheme="majorHAnsi"/>
        </w:rPr>
        <w:t>1.1</w:t>
      </w:r>
      <w:r>
        <w:rPr>
          <w:rFonts w:asciiTheme="majorHAnsi" w:hAnsiTheme="majorHAnsi" w:cstheme="majorHAnsi"/>
        </w:rPr>
        <w:t>2</w:t>
      </w:r>
      <w:r w:rsidRPr="008F3FD2">
        <w:rPr>
          <w:rFonts w:asciiTheme="majorHAnsi" w:hAnsiTheme="majorHAnsi" w:cstheme="majorHAnsi"/>
        </w:rPr>
        <w:t>.202</w:t>
      </w:r>
      <w:r>
        <w:rPr>
          <w:rFonts w:asciiTheme="majorHAnsi" w:hAnsiTheme="majorHAnsi" w:cstheme="majorHAnsi"/>
        </w:rPr>
        <w:t>0</w:t>
      </w:r>
      <w:r w:rsidRPr="008F3FD2">
        <w:rPr>
          <w:rFonts w:asciiTheme="majorHAnsi" w:hAnsiTheme="majorHAnsi" w:cstheme="majorHAnsi"/>
        </w:rPr>
        <w:t xml:space="preserve"> se prezintă după cum urmează:</w:t>
      </w:r>
    </w:p>
    <w:p w14:paraId="0991AFC5" w14:textId="77777777" w:rsidR="00767E6B" w:rsidRPr="008F3FD2" w:rsidRDefault="00767E6B" w:rsidP="00366C04">
      <w:pPr>
        <w:spacing w:after="0"/>
        <w:jc w:val="both"/>
        <w:rPr>
          <w:rFonts w:asciiTheme="majorHAnsi" w:hAnsiTheme="majorHAnsi" w:cstheme="majorHAnsi"/>
        </w:rPr>
      </w:pPr>
    </w:p>
    <w:p w14:paraId="3510D7CF" w14:textId="77777777" w:rsidR="00366C04" w:rsidRPr="008F3FD2" w:rsidRDefault="00366C04" w:rsidP="00366C04">
      <w:pPr>
        <w:pStyle w:val="ListParagraph"/>
        <w:numPr>
          <w:ilvl w:val="0"/>
          <w:numId w:val="4"/>
        </w:numPr>
        <w:spacing w:before="0" w:after="0"/>
        <w:ind w:left="270" w:hanging="270"/>
        <w:jc w:val="both"/>
        <w:rPr>
          <w:rFonts w:asciiTheme="majorHAnsi" w:hAnsiTheme="majorHAnsi" w:cstheme="majorHAnsi"/>
          <w:szCs w:val="22"/>
        </w:rPr>
      </w:pPr>
      <w:r w:rsidRPr="008F3FD2">
        <w:rPr>
          <w:rFonts w:asciiTheme="majorHAnsi" w:hAnsiTheme="majorHAnsi" w:cstheme="majorHAnsi"/>
          <w:szCs w:val="22"/>
        </w:rPr>
        <w:t xml:space="preserve">la un număr de </w:t>
      </w:r>
      <w:r w:rsidRPr="008F3FD2">
        <w:rPr>
          <w:rFonts w:asciiTheme="majorHAnsi" w:hAnsiTheme="majorHAnsi" w:cstheme="majorHAnsi"/>
          <w:b/>
          <w:szCs w:val="22"/>
        </w:rPr>
        <w:t xml:space="preserve">860 </w:t>
      </w:r>
      <w:r w:rsidRPr="008F3FD2">
        <w:rPr>
          <w:rFonts w:asciiTheme="majorHAnsi" w:hAnsiTheme="majorHAnsi" w:cstheme="majorHAnsi"/>
          <w:b/>
          <w:bCs/>
          <w:szCs w:val="22"/>
        </w:rPr>
        <w:t xml:space="preserve">întreprinderi autoritățile publice centrale </w:t>
      </w:r>
      <w:r w:rsidRPr="008F3FD2">
        <w:rPr>
          <w:rFonts w:asciiTheme="majorHAnsi" w:hAnsiTheme="majorHAnsi" w:cstheme="majorHAnsi"/>
          <w:szCs w:val="22"/>
        </w:rPr>
        <w:t>dețin participații în valoare totală de</w:t>
      </w:r>
      <w:r w:rsidRPr="008F3FD2">
        <w:rPr>
          <w:rFonts w:asciiTheme="majorHAnsi" w:hAnsiTheme="majorHAnsi" w:cstheme="majorHAnsi"/>
          <w:b/>
          <w:bCs/>
          <w:szCs w:val="22"/>
        </w:rPr>
        <w:t xml:space="preserve">  41.118.969 mii lei</w:t>
      </w:r>
      <w:r w:rsidRPr="008F3FD2">
        <w:rPr>
          <w:rFonts w:asciiTheme="majorHAnsi" w:hAnsiTheme="majorHAnsi" w:cstheme="majorHAnsi"/>
          <w:szCs w:val="22"/>
        </w:rPr>
        <w:t>,</w:t>
      </w:r>
      <w:r w:rsidRPr="008F3FD2">
        <w:rPr>
          <w:rFonts w:asciiTheme="majorHAnsi" w:hAnsiTheme="majorHAnsi" w:cstheme="majorHAnsi"/>
          <w:b/>
          <w:bCs/>
          <w:szCs w:val="22"/>
        </w:rPr>
        <w:t xml:space="preserve"> </w:t>
      </w:r>
      <w:r w:rsidRPr="008F3FD2">
        <w:rPr>
          <w:rFonts w:asciiTheme="majorHAnsi" w:hAnsiTheme="majorHAnsi" w:cstheme="majorHAnsi"/>
          <w:szCs w:val="22"/>
        </w:rPr>
        <w:t>din care:</w:t>
      </w:r>
    </w:p>
    <w:p w14:paraId="6233DF5D" w14:textId="77777777" w:rsidR="00366C04" w:rsidRPr="008F3FD2" w:rsidRDefault="00366C04" w:rsidP="00F26763">
      <w:pPr>
        <w:pStyle w:val="ListParagraph"/>
        <w:numPr>
          <w:ilvl w:val="0"/>
          <w:numId w:val="22"/>
        </w:numPr>
        <w:spacing w:before="0" w:after="0"/>
        <w:ind w:left="630" w:hanging="270"/>
        <w:jc w:val="both"/>
        <w:rPr>
          <w:rFonts w:asciiTheme="majorHAnsi" w:hAnsiTheme="majorHAnsi" w:cstheme="majorHAnsi"/>
          <w:szCs w:val="22"/>
        </w:rPr>
      </w:pPr>
      <w:r w:rsidRPr="008F3FD2">
        <w:rPr>
          <w:rFonts w:asciiTheme="majorHAnsi" w:hAnsiTheme="majorHAnsi" w:cstheme="majorHAnsi"/>
          <w:szCs w:val="22"/>
        </w:rPr>
        <w:t xml:space="preserve">la un număr de </w:t>
      </w:r>
      <w:r w:rsidRPr="008F3FD2">
        <w:rPr>
          <w:rFonts w:asciiTheme="majorHAnsi" w:hAnsiTheme="majorHAnsi" w:cstheme="majorHAnsi"/>
          <w:b/>
          <w:bCs/>
          <w:szCs w:val="22"/>
        </w:rPr>
        <w:t xml:space="preserve">410 </w:t>
      </w:r>
      <w:r w:rsidRPr="008F3FD2">
        <w:rPr>
          <w:rFonts w:asciiTheme="majorHAnsi" w:hAnsiTheme="majorHAnsi" w:cstheme="majorHAnsi"/>
          <w:bCs/>
          <w:szCs w:val="22"/>
        </w:rPr>
        <w:t>de întreprinderi dețin</w:t>
      </w:r>
      <w:r w:rsidRPr="008F3FD2">
        <w:rPr>
          <w:rFonts w:asciiTheme="majorHAnsi" w:hAnsiTheme="majorHAnsi" w:cstheme="majorHAnsi"/>
          <w:b/>
          <w:bCs/>
          <w:szCs w:val="22"/>
        </w:rPr>
        <w:t xml:space="preserve"> participații majoritare </w:t>
      </w:r>
      <w:r w:rsidRPr="008F3FD2">
        <w:rPr>
          <w:rFonts w:asciiTheme="majorHAnsi" w:hAnsiTheme="majorHAnsi" w:cstheme="majorHAnsi"/>
          <w:bCs/>
          <w:szCs w:val="22"/>
        </w:rPr>
        <w:t>în valoare totală de 34.808.975 mii lei,</w:t>
      </w:r>
      <w:r w:rsidRPr="008F3FD2">
        <w:rPr>
          <w:rFonts w:asciiTheme="majorHAnsi" w:hAnsiTheme="majorHAnsi" w:cstheme="majorHAnsi"/>
          <w:b/>
          <w:bCs/>
          <w:szCs w:val="22"/>
        </w:rPr>
        <w:t xml:space="preserve"> </w:t>
      </w:r>
      <w:r w:rsidRPr="008F3FD2">
        <w:rPr>
          <w:rFonts w:asciiTheme="majorHAnsi" w:hAnsiTheme="majorHAnsi" w:cstheme="majorHAnsi"/>
          <w:szCs w:val="22"/>
        </w:rPr>
        <w:t>încadrate în categoria</w:t>
      </w:r>
      <w:r w:rsidRPr="008F3FD2">
        <w:rPr>
          <w:rFonts w:asciiTheme="majorHAnsi" w:hAnsiTheme="majorHAnsi" w:cstheme="majorHAnsi"/>
          <w:b/>
          <w:bCs/>
          <w:szCs w:val="22"/>
        </w:rPr>
        <w:t xml:space="preserve"> întreprinderilor publice</w:t>
      </w:r>
      <w:r w:rsidRPr="008F3FD2">
        <w:rPr>
          <w:rFonts w:asciiTheme="majorHAnsi" w:hAnsiTheme="majorHAnsi" w:cstheme="majorHAnsi"/>
          <w:szCs w:val="22"/>
        </w:rPr>
        <w:t>;</w:t>
      </w:r>
    </w:p>
    <w:p w14:paraId="7B0CD157" w14:textId="77777777" w:rsidR="00366C04" w:rsidRDefault="00366C04" w:rsidP="00F26763">
      <w:pPr>
        <w:pStyle w:val="ListParagraph"/>
        <w:numPr>
          <w:ilvl w:val="0"/>
          <w:numId w:val="22"/>
        </w:numPr>
        <w:spacing w:before="0" w:after="0"/>
        <w:ind w:left="630" w:hanging="270"/>
        <w:jc w:val="both"/>
        <w:rPr>
          <w:rFonts w:asciiTheme="majorHAnsi" w:hAnsiTheme="majorHAnsi" w:cstheme="majorHAnsi"/>
          <w:szCs w:val="22"/>
        </w:rPr>
      </w:pPr>
      <w:r w:rsidRPr="008F3FD2">
        <w:rPr>
          <w:rFonts w:asciiTheme="majorHAnsi" w:hAnsiTheme="majorHAnsi" w:cstheme="majorHAnsi"/>
          <w:szCs w:val="22"/>
        </w:rPr>
        <w:t xml:space="preserve">la un număr de </w:t>
      </w:r>
      <w:r w:rsidRPr="008F3FD2">
        <w:rPr>
          <w:rFonts w:asciiTheme="majorHAnsi" w:hAnsiTheme="majorHAnsi" w:cstheme="majorHAnsi"/>
          <w:b/>
          <w:bCs/>
          <w:szCs w:val="22"/>
        </w:rPr>
        <w:t xml:space="preserve">450 întreprinderi </w:t>
      </w:r>
      <w:r w:rsidRPr="008F3FD2">
        <w:rPr>
          <w:rFonts w:asciiTheme="majorHAnsi" w:hAnsiTheme="majorHAnsi" w:cstheme="majorHAnsi"/>
          <w:szCs w:val="22"/>
        </w:rPr>
        <w:t xml:space="preserve">dețin </w:t>
      </w:r>
      <w:r w:rsidRPr="008F3FD2">
        <w:rPr>
          <w:rFonts w:asciiTheme="majorHAnsi" w:hAnsiTheme="majorHAnsi" w:cstheme="majorHAnsi"/>
          <w:b/>
          <w:bCs/>
          <w:szCs w:val="22"/>
        </w:rPr>
        <w:t xml:space="preserve">participații minoritare </w:t>
      </w:r>
      <w:r w:rsidRPr="008F3FD2">
        <w:rPr>
          <w:rFonts w:asciiTheme="majorHAnsi" w:hAnsiTheme="majorHAnsi" w:cstheme="majorHAnsi"/>
          <w:bCs/>
          <w:szCs w:val="22"/>
        </w:rPr>
        <w:t>în valoare totală de 6.309.994 mii lei,</w:t>
      </w:r>
      <w:r w:rsidRPr="008F3FD2">
        <w:rPr>
          <w:rFonts w:asciiTheme="majorHAnsi" w:hAnsiTheme="majorHAnsi" w:cstheme="majorHAnsi"/>
          <w:b/>
          <w:bCs/>
          <w:szCs w:val="22"/>
        </w:rPr>
        <w:t xml:space="preserve">  </w:t>
      </w:r>
      <w:r w:rsidRPr="008F3FD2">
        <w:rPr>
          <w:rFonts w:asciiTheme="majorHAnsi" w:hAnsiTheme="majorHAnsi" w:cstheme="majorHAnsi"/>
          <w:szCs w:val="22"/>
        </w:rPr>
        <w:t xml:space="preserve">încadrate în categoria </w:t>
      </w:r>
      <w:r w:rsidRPr="008F3FD2">
        <w:rPr>
          <w:rFonts w:asciiTheme="majorHAnsi" w:hAnsiTheme="majorHAnsi" w:cstheme="majorHAnsi"/>
          <w:b/>
          <w:bCs/>
          <w:szCs w:val="22"/>
        </w:rPr>
        <w:t>întreprinderilor private</w:t>
      </w:r>
      <w:r w:rsidRPr="008F3FD2">
        <w:rPr>
          <w:rFonts w:asciiTheme="majorHAnsi" w:hAnsiTheme="majorHAnsi" w:cstheme="majorHAnsi"/>
          <w:szCs w:val="22"/>
        </w:rPr>
        <w:t>;</w:t>
      </w:r>
    </w:p>
    <w:p w14:paraId="35C7FFA6" w14:textId="77777777" w:rsidR="00767E6B" w:rsidRPr="008F3FD2" w:rsidRDefault="00767E6B" w:rsidP="00767E6B">
      <w:pPr>
        <w:pStyle w:val="ListParagraph"/>
        <w:spacing w:before="0" w:after="0"/>
        <w:ind w:left="630"/>
        <w:jc w:val="both"/>
        <w:rPr>
          <w:rFonts w:asciiTheme="majorHAnsi" w:hAnsiTheme="majorHAnsi" w:cstheme="majorHAnsi"/>
          <w:szCs w:val="22"/>
        </w:rPr>
      </w:pPr>
    </w:p>
    <w:p w14:paraId="54A765AF" w14:textId="77777777" w:rsidR="00366C04" w:rsidRPr="008F3FD2" w:rsidRDefault="00366C04" w:rsidP="00366C04">
      <w:pPr>
        <w:pStyle w:val="ListParagraph"/>
        <w:numPr>
          <w:ilvl w:val="0"/>
          <w:numId w:val="4"/>
        </w:numPr>
        <w:spacing w:before="0" w:after="0"/>
        <w:ind w:left="270" w:hanging="270"/>
        <w:jc w:val="both"/>
        <w:rPr>
          <w:rFonts w:asciiTheme="majorHAnsi" w:hAnsiTheme="majorHAnsi" w:cstheme="majorHAnsi"/>
          <w:szCs w:val="22"/>
        </w:rPr>
      </w:pPr>
      <w:r w:rsidRPr="008F3FD2">
        <w:rPr>
          <w:rFonts w:asciiTheme="majorHAnsi" w:hAnsiTheme="majorHAnsi" w:cstheme="majorHAnsi"/>
          <w:szCs w:val="22"/>
        </w:rPr>
        <w:t xml:space="preserve">la un număr de </w:t>
      </w:r>
      <w:r w:rsidRPr="008F3FD2">
        <w:rPr>
          <w:rFonts w:asciiTheme="majorHAnsi" w:hAnsiTheme="majorHAnsi" w:cstheme="majorHAnsi"/>
          <w:b/>
          <w:bCs/>
          <w:szCs w:val="22"/>
        </w:rPr>
        <w:t>1.558</w:t>
      </w:r>
      <w:r w:rsidRPr="008F3FD2">
        <w:rPr>
          <w:rFonts w:asciiTheme="majorHAnsi" w:hAnsiTheme="majorHAnsi" w:cstheme="majorHAnsi"/>
          <w:bCs/>
          <w:szCs w:val="22"/>
        </w:rPr>
        <w:t xml:space="preserve"> întreprinderi</w:t>
      </w:r>
      <w:r w:rsidRPr="008F3FD2">
        <w:rPr>
          <w:rFonts w:asciiTheme="majorHAnsi" w:hAnsiTheme="majorHAnsi" w:cstheme="majorHAnsi"/>
          <w:szCs w:val="22"/>
        </w:rPr>
        <w:t xml:space="preserve"> </w:t>
      </w:r>
      <w:r w:rsidRPr="008F3FD2">
        <w:rPr>
          <w:rFonts w:asciiTheme="majorHAnsi" w:hAnsiTheme="majorHAnsi" w:cstheme="majorHAnsi"/>
          <w:b/>
          <w:szCs w:val="22"/>
        </w:rPr>
        <w:t xml:space="preserve">autoritățile publice </w:t>
      </w:r>
      <w:r w:rsidRPr="008F3FD2">
        <w:rPr>
          <w:rFonts w:asciiTheme="majorHAnsi" w:hAnsiTheme="majorHAnsi" w:cstheme="majorHAnsi"/>
          <w:b/>
          <w:bCs/>
          <w:szCs w:val="22"/>
        </w:rPr>
        <w:t xml:space="preserve">locale  </w:t>
      </w:r>
      <w:r w:rsidRPr="008F3FD2">
        <w:rPr>
          <w:rFonts w:asciiTheme="majorHAnsi" w:hAnsiTheme="majorHAnsi" w:cstheme="majorHAnsi"/>
          <w:bCs/>
          <w:szCs w:val="22"/>
        </w:rPr>
        <w:t xml:space="preserve">dețin participații în valoare totală de </w:t>
      </w:r>
      <w:r w:rsidRPr="008F3FD2">
        <w:rPr>
          <w:rFonts w:asciiTheme="majorHAnsi" w:hAnsiTheme="majorHAnsi" w:cstheme="majorHAnsi"/>
          <w:b/>
          <w:bCs/>
          <w:szCs w:val="22"/>
        </w:rPr>
        <w:t>6.455.342 mii lei</w:t>
      </w:r>
      <w:r w:rsidRPr="008F3FD2">
        <w:rPr>
          <w:rFonts w:asciiTheme="majorHAnsi" w:hAnsiTheme="majorHAnsi" w:cstheme="majorHAnsi"/>
          <w:szCs w:val="22"/>
        </w:rPr>
        <w:t>, din care:</w:t>
      </w:r>
    </w:p>
    <w:p w14:paraId="34F4D75F" w14:textId="77777777" w:rsidR="00366C04" w:rsidRPr="008F3FD2" w:rsidRDefault="00366C04" w:rsidP="00F26763">
      <w:pPr>
        <w:pStyle w:val="ListParagraph"/>
        <w:numPr>
          <w:ilvl w:val="0"/>
          <w:numId w:val="23"/>
        </w:numPr>
        <w:spacing w:before="0" w:after="0"/>
        <w:ind w:left="630" w:hanging="270"/>
        <w:jc w:val="both"/>
        <w:rPr>
          <w:rFonts w:asciiTheme="majorHAnsi" w:hAnsiTheme="majorHAnsi" w:cstheme="majorHAnsi"/>
          <w:szCs w:val="22"/>
        </w:rPr>
      </w:pPr>
      <w:r w:rsidRPr="008F3FD2">
        <w:rPr>
          <w:rFonts w:asciiTheme="majorHAnsi" w:hAnsiTheme="majorHAnsi" w:cstheme="majorHAnsi"/>
          <w:szCs w:val="22"/>
        </w:rPr>
        <w:t xml:space="preserve">la un număr de </w:t>
      </w:r>
      <w:r w:rsidRPr="008F3FD2">
        <w:rPr>
          <w:rFonts w:asciiTheme="majorHAnsi" w:hAnsiTheme="majorHAnsi" w:cstheme="majorHAnsi"/>
          <w:b/>
          <w:bCs/>
          <w:szCs w:val="22"/>
        </w:rPr>
        <w:t xml:space="preserve">1.439 </w:t>
      </w:r>
      <w:r w:rsidRPr="008F3FD2">
        <w:rPr>
          <w:rFonts w:asciiTheme="majorHAnsi" w:hAnsiTheme="majorHAnsi" w:cstheme="majorHAnsi"/>
          <w:szCs w:val="22"/>
        </w:rPr>
        <w:t xml:space="preserve">de întreprinderi dețin </w:t>
      </w:r>
      <w:r w:rsidRPr="008F3FD2">
        <w:rPr>
          <w:rFonts w:asciiTheme="majorHAnsi" w:hAnsiTheme="majorHAnsi" w:cstheme="majorHAnsi"/>
          <w:b/>
          <w:bCs/>
          <w:szCs w:val="22"/>
        </w:rPr>
        <w:t xml:space="preserve">participații majoritare </w:t>
      </w:r>
      <w:r w:rsidRPr="008F3FD2">
        <w:rPr>
          <w:rFonts w:asciiTheme="majorHAnsi" w:hAnsiTheme="majorHAnsi" w:cstheme="majorHAnsi"/>
          <w:bCs/>
          <w:szCs w:val="22"/>
        </w:rPr>
        <w:t>în sumă totală de 6.273.078 mii lei, încadrate</w:t>
      </w:r>
      <w:r w:rsidRPr="008F3FD2">
        <w:rPr>
          <w:rFonts w:asciiTheme="majorHAnsi" w:hAnsiTheme="majorHAnsi" w:cstheme="majorHAnsi"/>
          <w:szCs w:val="22"/>
        </w:rPr>
        <w:t xml:space="preserve"> în categoria </w:t>
      </w:r>
      <w:r w:rsidRPr="008F3FD2">
        <w:rPr>
          <w:rFonts w:asciiTheme="majorHAnsi" w:hAnsiTheme="majorHAnsi" w:cstheme="majorHAnsi"/>
          <w:b/>
          <w:bCs/>
          <w:szCs w:val="22"/>
        </w:rPr>
        <w:t>întreprinderilor publice</w:t>
      </w:r>
      <w:r w:rsidRPr="008F3FD2">
        <w:rPr>
          <w:rFonts w:asciiTheme="majorHAnsi" w:hAnsiTheme="majorHAnsi" w:cstheme="majorHAnsi"/>
          <w:szCs w:val="22"/>
        </w:rPr>
        <w:t>;</w:t>
      </w:r>
    </w:p>
    <w:p w14:paraId="2FF72776" w14:textId="77777777" w:rsidR="00366C04" w:rsidRPr="008F3FD2" w:rsidRDefault="00366C04" w:rsidP="00F26763">
      <w:pPr>
        <w:pStyle w:val="ListParagraph"/>
        <w:numPr>
          <w:ilvl w:val="0"/>
          <w:numId w:val="23"/>
        </w:numPr>
        <w:spacing w:before="0" w:after="0"/>
        <w:ind w:left="630" w:hanging="270"/>
        <w:jc w:val="both"/>
        <w:rPr>
          <w:rFonts w:asciiTheme="majorHAnsi" w:hAnsiTheme="majorHAnsi" w:cstheme="majorHAnsi"/>
          <w:szCs w:val="22"/>
        </w:rPr>
      </w:pPr>
      <w:r w:rsidRPr="008F3FD2">
        <w:rPr>
          <w:rFonts w:asciiTheme="majorHAnsi" w:hAnsiTheme="majorHAnsi" w:cstheme="majorHAnsi"/>
          <w:szCs w:val="22"/>
        </w:rPr>
        <w:t xml:space="preserve">la un număr de </w:t>
      </w:r>
      <w:r w:rsidRPr="008F3FD2">
        <w:rPr>
          <w:rFonts w:asciiTheme="majorHAnsi" w:hAnsiTheme="majorHAnsi" w:cstheme="majorHAnsi"/>
          <w:b/>
          <w:bCs/>
          <w:szCs w:val="22"/>
        </w:rPr>
        <w:t xml:space="preserve">119  </w:t>
      </w:r>
      <w:r w:rsidRPr="008F3FD2">
        <w:rPr>
          <w:rFonts w:asciiTheme="majorHAnsi" w:hAnsiTheme="majorHAnsi" w:cstheme="majorHAnsi"/>
          <w:szCs w:val="22"/>
        </w:rPr>
        <w:t xml:space="preserve">întreprinderi dețin </w:t>
      </w:r>
      <w:r w:rsidRPr="008F3FD2">
        <w:rPr>
          <w:rFonts w:asciiTheme="majorHAnsi" w:hAnsiTheme="majorHAnsi" w:cstheme="majorHAnsi"/>
          <w:b/>
          <w:bCs/>
          <w:szCs w:val="22"/>
        </w:rPr>
        <w:t xml:space="preserve">participații minoritare </w:t>
      </w:r>
      <w:r w:rsidRPr="008F3FD2">
        <w:rPr>
          <w:rFonts w:asciiTheme="majorHAnsi" w:hAnsiTheme="majorHAnsi" w:cstheme="majorHAnsi"/>
          <w:bCs/>
          <w:szCs w:val="22"/>
        </w:rPr>
        <w:t>în sumă totală de 182.264 mii lei</w:t>
      </w:r>
      <w:r w:rsidRPr="008F3FD2">
        <w:rPr>
          <w:rFonts w:asciiTheme="majorHAnsi" w:hAnsiTheme="majorHAnsi" w:cstheme="majorHAnsi"/>
          <w:szCs w:val="22"/>
        </w:rPr>
        <w:t xml:space="preserve">, încadrate în categoria </w:t>
      </w:r>
      <w:r w:rsidRPr="008F3FD2">
        <w:rPr>
          <w:rFonts w:asciiTheme="majorHAnsi" w:hAnsiTheme="majorHAnsi" w:cstheme="majorHAnsi"/>
          <w:b/>
          <w:bCs/>
          <w:szCs w:val="22"/>
        </w:rPr>
        <w:t>întreprinderilor private</w:t>
      </w:r>
      <w:r w:rsidRPr="008F3FD2">
        <w:rPr>
          <w:rFonts w:asciiTheme="majorHAnsi" w:hAnsiTheme="majorHAnsi" w:cstheme="majorHAnsi"/>
          <w:szCs w:val="22"/>
        </w:rPr>
        <w:t>.</w:t>
      </w:r>
    </w:p>
    <w:p w14:paraId="37B1AC70" w14:textId="77777777" w:rsidR="00024C62" w:rsidRPr="00D95C57" w:rsidRDefault="00366C04" w:rsidP="00D447BC">
      <w:pPr>
        <w:rPr>
          <w:rFonts w:asciiTheme="majorHAnsi" w:hAnsiTheme="majorHAnsi"/>
          <w:bCs/>
        </w:rPr>
      </w:pPr>
      <w:r>
        <w:rPr>
          <w:rFonts w:asciiTheme="majorHAnsi" w:hAnsiTheme="majorHAnsi"/>
          <w:bCs/>
          <w:noProof/>
          <w:lang w:val="en-US"/>
        </w:rPr>
        <w:drawing>
          <wp:inline distT="0" distB="0" distL="0" distR="0" wp14:anchorId="095EF7E6" wp14:editId="1B58F59E">
            <wp:extent cx="5661329" cy="387850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3536" cy="3880013"/>
                    </a:xfrm>
                    <a:prstGeom prst="rect">
                      <a:avLst/>
                    </a:prstGeom>
                    <a:noFill/>
                  </pic:spPr>
                </pic:pic>
              </a:graphicData>
            </a:graphic>
          </wp:inline>
        </w:drawing>
      </w:r>
      <w:r w:rsidR="00024C62" w:rsidRPr="00D95C57">
        <w:rPr>
          <w:rFonts w:asciiTheme="majorHAnsi" w:hAnsiTheme="majorHAnsi"/>
          <w:bCs/>
        </w:rPr>
        <w:t xml:space="preserve">Din cele </w:t>
      </w:r>
      <w:r w:rsidR="00635DE9">
        <w:rPr>
          <w:rFonts w:asciiTheme="majorHAnsi" w:hAnsiTheme="majorHAnsi"/>
          <w:b/>
          <w:bCs/>
        </w:rPr>
        <w:t>4</w:t>
      </w:r>
      <w:r>
        <w:rPr>
          <w:rFonts w:asciiTheme="majorHAnsi" w:hAnsiTheme="majorHAnsi"/>
          <w:b/>
          <w:bCs/>
        </w:rPr>
        <w:t>10</w:t>
      </w:r>
      <w:r w:rsidR="00024C62" w:rsidRPr="00D95C57">
        <w:rPr>
          <w:rFonts w:asciiTheme="majorHAnsi" w:hAnsiTheme="majorHAnsi"/>
          <w:b/>
          <w:bCs/>
        </w:rPr>
        <w:t xml:space="preserve"> </w:t>
      </w:r>
      <w:r w:rsidR="00024C62" w:rsidRPr="00D95C57">
        <w:rPr>
          <w:rFonts w:asciiTheme="majorHAnsi" w:hAnsiTheme="majorHAnsi"/>
          <w:bCs/>
        </w:rPr>
        <w:t xml:space="preserve">de întreprinderi </w:t>
      </w:r>
      <w:r w:rsidR="007C5C24" w:rsidRPr="00D95C57">
        <w:rPr>
          <w:rFonts w:asciiTheme="majorHAnsi" w:hAnsiTheme="majorHAnsi"/>
          <w:bCs/>
        </w:rPr>
        <w:t xml:space="preserve">la care APT centrale </w:t>
      </w:r>
      <w:r w:rsidR="00024C62" w:rsidRPr="00D95C57">
        <w:rPr>
          <w:rFonts w:asciiTheme="majorHAnsi" w:hAnsiTheme="majorHAnsi"/>
          <w:bCs/>
        </w:rPr>
        <w:t>dețin</w:t>
      </w:r>
      <w:r w:rsidR="00024C62" w:rsidRPr="00D95C57">
        <w:rPr>
          <w:rFonts w:asciiTheme="majorHAnsi" w:hAnsiTheme="majorHAnsi"/>
          <w:b/>
          <w:bCs/>
        </w:rPr>
        <w:t xml:space="preserve"> participații majoritare</w:t>
      </w:r>
      <w:r w:rsidR="00024C62" w:rsidRPr="00D95C57">
        <w:rPr>
          <w:rFonts w:asciiTheme="majorHAnsi" w:hAnsiTheme="majorHAnsi"/>
          <w:bCs/>
        </w:rPr>
        <w:t xml:space="preserve">, un număr de </w:t>
      </w:r>
      <w:r w:rsidR="00635DE9" w:rsidRPr="00635DE9">
        <w:rPr>
          <w:rFonts w:asciiTheme="majorHAnsi" w:hAnsiTheme="majorHAnsi"/>
          <w:b/>
          <w:bCs/>
        </w:rPr>
        <w:t>24</w:t>
      </w:r>
      <w:r w:rsidR="00767E6B">
        <w:rPr>
          <w:rFonts w:asciiTheme="majorHAnsi" w:hAnsiTheme="majorHAnsi"/>
          <w:b/>
          <w:bCs/>
        </w:rPr>
        <w:t>7</w:t>
      </w:r>
      <w:r w:rsidR="00024C62" w:rsidRPr="00D95C57">
        <w:rPr>
          <w:rFonts w:asciiTheme="majorHAnsi" w:hAnsiTheme="majorHAnsi"/>
          <w:b/>
          <w:bCs/>
        </w:rPr>
        <w:t xml:space="preserve"> sunt monitorizate la nivelul M</w:t>
      </w:r>
      <w:r w:rsidR="00767E6B">
        <w:rPr>
          <w:rFonts w:asciiTheme="majorHAnsi" w:hAnsiTheme="majorHAnsi"/>
          <w:b/>
          <w:bCs/>
        </w:rPr>
        <w:t xml:space="preserve">inisterului </w:t>
      </w:r>
      <w:r w:rsidR="00024C62" w:rsidRPr="00D95C57">
        <w:rPr>
          <w:rFonts w:asciiTheme="majorHAnsi" w:hAnsiTheme="majorHAnsi"/>
          <w:b/>
          <w:bCs/>
        </w:rPr>
        <w:t>F</w:t>
      </w:r>
      <w:r w:rsidR="00767E6B">
        <w:rPr>
          <w:rFonts w:asciiTheme="majorHAnsi" w:hAnsiTheme="majorHAnsi"/>
          <w:b/>
          <w:bCs/>
        </w:rPr>
        <w:t>inanțelor</w:t>
      </w:r>
      <w:r w:rsidR="00024C62" w:rsidRPr="00D95C57">
        <w:rPr>
          <w:rFonts w:asciiTheme="majorHAnsi" w:hAnsiTheme="majorHAnsi"/>
          <w:bCs/>
        </w:rPr>
        <w:t xml:space="preserve">, iar </w:t>
      </w:r>
      <w:r w:rsidR="00635DE9">
        <w:rPr>
          <w:rFonts w:asciiTheme="majorHAnsi" w:hAnsiTheme="majorHAnsi"/>
          <w:bCs/>
        </w:rPr>
        <w:t>1</w:t>
      </w:r>
      <w:r w:rsidR="00767E6B">
        <w:rPr>
          <w:rFonts w:asciiTheme="majorHAnsi" w:hAnsiTheme="majorHAnsi"/>
          <w:bCs/>
        </w:rPr>
        <w:t>63</w:t>
      </w:r>
      <w:r w:rsidR="00024C62" w:rsidRPr="00D95C57">
        <w:rPr>
          <w:rFonts w:asciiTheme="majorHAnsi" w:hAnsiTheme="majorHAnsi"/>
          <w:bCs/>
        </w:rPr>
        <w:t xml:space="preserve"> </w:t>
      </w:r>
      <w:r w:rsidR="00767E6B">
        <w:rPr>
          <w:rFonts w:asciiTheme="majorHAnsi" w:hAnsiTheme="majorHAnsi"/>
          <w:bCs/>
        </w:rPr>
        <w:t>Î</w:t>
      </w:r>
      <w:r w:rsidR="00024C62" w:rsidRPr="00D95C57">
        <w:rPr>
          <w:rFonts w:asciiTheme="majorHAnsi" w:hAnsiTheme="majorHAnsi"/>
          <w:bCs/>
        </w:rPr>
        <w:t>PC nu întrunesc condiții</w:t>
      </w:r>
      <w:r w:rsidR="002033CD" w:rsidRPr="00D95C57">
        <w:rPr>
          <w:rFonts w:asciiTheme="majorHAnsi" w:hAnsiTheme="majorHAnsi"/>
          <w:bCs/>
        </w:rPr>
        <w:t xml:space="preserve">le de a fi monitorizate, </w:t>
      </w:r>
      <w:r w:rsidR="00024C62" w:rsidRPr="00D95C57">
        <w:rPr>
          <w:rFonts w:asciiTheme="majorHAnsi" w:hAnsiTheme="majorHAnsi"/>
        </w:rPr>
        <w:t>afl</w:t>
      </w:r>
      <w:r w:rsidR="002033CD" w:rsidRPr="00D95C57">
        <w:rPr>
          <w:rFonts w:asciiTheme="majorHAnsi" w:hAnsiTheme="majorHAnsi"/>
        </w:rPr>
        <w:t>ându-se</w:t>
      </w:r>
      <w:r w:rsidR="00024C62" w:rsidRPr="00D95C57">
        <w:rPr>
          <w:rFonts w:asciiTheme="majorHAnsi" w:hAnsiTheme="majorHAnsi"/>
        </w:rPr>
        <w:t xml:space="preserve"> în diverse stadii prevăzute de Legea nr. 85/2014</w:t>
      </w:r>
      <w:r w:rsidR="002033CD" w:rsidRPr="00D95C57">
        <w:rPr>
          <w:rFonts w:asciiTheme="majorHAnsi" w:hAnsiTheme="majorHAnsi"/>
        </w:rPr>
        <w:t xml:space="preserve"> (faliment, lichidare, dizolvare)</w:t>
      </w:r>
      <w:r w:rsidR="00024C62" w:rsidRPr="00D95C57">
        <w:rPr>
          <w:rFonts w:asciiTheme="majorHAnsi" w:hAnsiTheme="majorHAnsi"/>
        </w:rPr>
        <w:t xml:space="preserve">; </w:t>
      </w:r>
    </w:p>
    <w:p w14:paraId="363124F9" w14:textId="77777777" w:rsidR="002033CD" w:rsidRPr="00D95C57" w:rsidRDefault="007C5C24" w:rsidP="002033CD">
      <w:pPr>
        <w:jc w:val="both"/>
        <w:rPr>
          <w:rFonts w:asciiTheme="majorHAnsi" w:hAnsiTheme="majorHAnsi"/>
          <w:bCs/>
        </w:rPr>
      </w:pPr>
      <w:r w:rsidRPr="00D95C57">
        <w:rPr>
          <w:rFonts w:asciiTheme="majorHAnsi" w:hAnsiTheme="majorHAnsi"/>
          <w:bCs/>
        </w:rPr>
        <w:t xml:space="preserve">Din cele </w:t>
      </w:r>
      <w:r w:rsidRPr="00D95C57">
        <w:rPr>
          <w:rFonts w:asciiTheme="majorHAnsi" w:hAnsiTheme="majorHAnsi"/>
          <w:b/>
          <w:bCs/>
        </w:rPr>
        <w:t>1</w:t>
      </w:r>
      <w:r w:rsidR="00767E6B">
        <w:rPr>
          <w:rFonts w:asciiTheme="majorHAnsi" w:hAnsiTheme="majorHAnsi"/>
          <w:b/>
          <w:bCs/>
        </w:rPr>
        <w:t>.558</w:t>
      </w:r>
      <w:r w:rsidRPr="00D95C57">
        <w:rPr>
          <w:rFonts w:asciiTheme="majorHAnsi" w:hAnsiTheme="majorHAnsi"/>
          <w:b/>
          <w:bCs/>
        </w:rPr>
        <w:t xml:space="preserve">. </w:t>
      </w:r>
      <w:r w:rsidRPr="00D95C57">
        <w:rPr>
          <w:rFonts w:asciiTheme="majorHAnsi" w:hAnsiTheme="majorHAnsi"/>
          <w:bCs/>
        </w:rPr>
        <w:t>de întreprinderi la care APT locale dețin</w:t>
      </w:r>
      <w:r w:rsidRPr="00D95C57">
        <w:rPr>
          <w:rFonts w:asciiTheme="majorHAnsi" w:hAnsiTheme="majorHAnsi"/>
          <w:b/>
          <w:bCs/>
        </w:rPr>
        <w:t xml:space="preserve"> participații majoritare</w:t>
      </w:r>
      <w:r w:rsidRPr="00D95C57">
        <w:rPr>
          <w:rFonts w:asciiTheme="majorHAnsi" w:hAnsiTheme="majorHAnsi"/>
          <w:bCs/>
        </w:rPr>
        <w:t xml:space="preserve">, un număr de </w:t>
      </w:r>
      <w:r w:rsidRPr="00D95C57">
        <w:rPr>
          <w:rFonts w:asciiTheme="majorHAnsi" w:hAnsiTheme="majorHAnsi"/>
          <w:b/>
          <w:bCs/>
        </w:rPr>
        <w:t>1.</w:t>
      </w:r>
      <w:r w:rsidR="00767E6B">
        <w:rPr>
          <w:rFonts w:asciiTheme="majorHAnsi" w:hAnsiTheme="majorHAnsi"/>
          <w:b/>
          <w:bCs/>
        </w:rPr>
        <w:t>269</w:t>
      </w:r>
      <w:r w:rsidRPr="00D95C57">
        <w:rPr>
          <w:rFonts w:asciiTheme="majorHAnsi" w:hAnsiTheme="majorHAnsi"/>
          <w:b/>
          <w:bCs/>
        </w:rPr>
        <w:t xml:space="preserve"> sunt monitorizate la nivelul </w:t>
      </w:r>
      <w:r w:rsidR="00767E6B" w:rsidRPr="00767E6B">
        <w:rPr>
          <w:rFonts w:asciiTheme="majorHAnsi" w:hAnsiTheme="majorHAnsi"/>
          <w:b/>
          <w:bCs/>
        </w:rPr>
        <w:t>Ministerului Finanțelor</w:t>
      </w:r>
      <w:r w:rsidRPr="00D95C57">
        <w:rPr>
          <w:rFonts w:asciiTheme="majorHAnsi" w:hAnsiTheme="majorHAnsi"/>
          <w:b/>
          <w:bCs/>
        </w:rPr>
        <w:t xml:space="preserve">, </w:t>
      </w:r>
      <w:r w:rsidRPr="00D95C57">
        <w:rPr>
          <w:rFonts w:asciiTheme="majorHAnsi" w:hAnsiTheme="majorHAnsi"/>
          <w:bCs/>
        </w:rPr>
        <w:t xml:space="preserve">iar </w:t>
      </w:r>
      <w:r w:rsidR="00767E6B">
        <w:rPr>
          <w:rFonts w:asciiTheme="majorHAnsi" w:hAnsiTheme="majorHAnsi"/>
          <w:bCs/>
        </w:rPr>
        <w:t>288</w:t>
      </w:r>
      <w:r w:rsidRPr="00D95C57">
        <w:rPr>
          <w:rFonts w:asciiTheme="majorHAnsi" w:hAnsiTheme="majorHAnsi"/>
          <w:bCs/>
        </w:rPr>
        <w:t xml:space="preserve"> </w:t>
      </w:r>
      <w:r w:rsidR="00767E6B">
        <w:rPr>
          <w:rFonts w:asciiTheme="majorHAnsi" w:hAnsiTheme="majorHAnsi"/>
          <w:bCs/>
        </w:rPr>
        <w:t>Î</w:t>
      </w:r>
      <w:r w:rsidRPr="00D95C57">
        <w:rPr>
          <w:rFonts w:asciiTheme="majorHAnsi" w:hAnsiTheme="majorHAnsi"/>
          <w:bCs/>
        </w:rPr>
        <w:t xml:space="preserve">PL nu întrunesc condițiile de a fi monitorizate, </w:t>
      </w:r>
      <w:r w:rsidR="002033CD" w:rsidRPr="00D95C57">
        <w:rPr>
          <w:rFonts w:asciiTheme="majorHAnsi" w:hAnsiTheme="majorHAnsi"/>
        </w:rPr>
        <w:t xml:space="preserve">aflându-se în diverse stadii prevăzute de Legea nr. 85/2014 (faliment, lichidare, dizolvare); </w:t>
      </w:r>
    </w:p>
    <w:p w14:paraId="16642798" w14:textId="77777777" w:rsidR="004B2F14" w:rsidRPr="00D95C57" w:rsidRDefault="00E005A3" w:rsidP="007044FF">
      <w:pPr>
        <w:jc w:val="both"/>
        <w:rPr>
          <w:rFonts w:asciiTheme="majorHAnsi" w:hAnsiTheme="majorHAnsi"/>
          <w:bCs/>
        </w:rPr>
      </w:pPr>
      <w:r w:rsidRPr="00D95C57">
        <w:rPr>
          <w:rFonts w:asciiTheme="majorHAnsi" w:hAnsiTheme="majorHAnsi"/>
          <w:bCs/>
        </w:rPr>
        <w:t>Î</w:t>
      </w:r>
      <w:r w:rsidR="004B2F14" w:rsidRPr="00D95C57">
        <w:rPr>
          <w:rFonts w:asciiTheme="majorHAnsi" w:hAnsiTheme="majorHAnsi"/>
          <w:bCs/>
        </w:rPr>
        <w:t xml:space="preserve">n temeiul </w:t>
      </w:r>
      <w:r w:rsidR="004B2F14" w:rsidRPr="00D95C57">
        <w:rPr>
          <w:rFonts w:asciiTheme="majorHAnsi" w:hAnsiTheme="majorHAnsi"/>
          <w:b/>
          <w:bCs/>
        </w:rPr>
        <w:t>O.G. nr. 26/2013</w:t>
      </w:r>
      <w:r w:rsidR="00CB7BC5" w:rsidRPr="00D95C57">
        <w:rPr>
          <w:rFonts w:asciiTheme="majorHAnsi" w:hAnsiTheme="majorHAnsi"/>
          <w:b/>
          <w:bCs/>
        </w:rPr>
        <w:t>,</w:t>
      </w:r>
      <w:r w:rsidR="004B2F14" w:rsidRPr="00D95C57">
        <w:rPr>
          <w:rFonts w:asciiTheme="majorHAnsi" w:hAnsiTheme="majorHAnsi"/>
          <w:bCs/>
        </w:rPr>
        <w:t xml:space="preserve"> </w:t>
      </w:r>
      <w:r w:rsidR="008614D8" w:rsidRPr="00D95C57">
        <w:rPr>
          <w:rFonts w:asciiTheme="majorHAnsi" w:hAnsiTheme="majorHAnsi"/>
          <w:bCs/>
        </w:rPr>
        <w:t xml:space="preserve">la nivelul </w:t>
      </w:r>
      <w:r w:rsidR="00767E6B" w:rsidRPr="00767E6B">
        <w:rPr>
          <w:rFonts w:asciiTheme="majorHAnsi" w:hAnsiTheme="majorHAnsi"/>
          <w:bCs/>
        </w:rPr>
        <w:t>Ministerului Finanțelor</w:t>
      </w:r>
      <w:r w:rsidR="008614D8" w:rsidRPr="00D95C57">
        <w:rPr>
          <w:rFonts w:asciiTheme="majorHAnsi" w:hAnsiTheme="majorHAnsi"/>
          <w:bCs/>
        </w:rPr>
        <w:t xml:space="preserve"> </w:t>
      </w:r>
      <w:r w:rsidR="004B2F14" w:rsidRPr="00D95C57">
        <w:rPr>
          <w:rFonts w:asciiTheme="majorHAnsi" w:hAnsiTheme="majorHAnsi"/>
          <w:bCs/>
        </w:rPr>
        <w:t xml:space="preserve">sunt monitorizate </w:t>
      </w:r>
      <w:r w:rsidR="00793D2A" w:rsidRPr="00D95C57">
        <w:rPr>
          <w:rFonts w:asciiTheme="majorHAnsi" w:hAnsiTheme="majorHAnsi"/>
          <w:bCs/>
        </w:rPr>
        <w:t xml:space="preserve">din punct de vedere al respectării disciplinei financiare </w:t>
      </w:r>
      <w:r w:rsidR="004B2F14" w:rsidRPr="00D95C57">
        <w:rPr>
          <w:rFonts w:asciiTheme="majorHAnsi" w:hAnsiTheme="majorHAnsi"/>
          <w:bCs/>
        </w:rPr>
        <w:t xml:space="preserve">un număr total de </w:t>
      </w:r>
      <w:r w:rsidR="004B2F14" w:rsidRPr="00D95C57">
        <w:rPr>
          <w:rFonts w:asciiTheme="majorHAnsi" w:hAnsiTheme="majorHAnsi"/>
          <w:b/>
          <w:bCs/>
        </w:rPr>
        <w:t>1.</w:t>
      </w:r>
      <w:r w:rsidR="00767E6B">
        <w:rPr>
          <w:rFonts w:asciiTheme="majorHAnsi" w:hAnsiTheme="majorHAnsi"/>
          <w:b/>
          <w:bCs/>
        </w:rPr>
        <w:t>516</w:t>
      </w:r>
      <w:r w:rsidR="004B2F14" w:rsidRPr="00D95C57">
        <w:rPr>
          <w:rFonts w:asciiTheme="majorHAnsi" w:hAnsiTheme="majorHAnsi"/>
          <w:b/>
          <w:bCs/>
        </w:rPr>
        <w:t xml:space="preserve"> ÎP</w:t>
      </w:r>
      <w:r w:rsidR="00E342B5" w:rsidRPr="00D95C57">
        <w:rPr>
          <w:rFonts w:asciiTheme="majorHAnsi" w:hAnsiTheme="majorHAnsi"/>
          <w:b/>
          <w:bCs/>
        </w:rPr>
        <w:t xml:space="preserve"> </w:t>
      </w:r>
      <w:r w:rsidR="004B2F14" w:rsidRPr="00D95C57">
        <w:rPr>
          <w:rFonts w:asciiTheme="majorHAnsi" w:hAnsiTheme="majorHAnsi"/>
          <w:bCs/>
        </w:rPr>
        <w:t>grupate după cum urmează:</w:t>
      </w:r>
    </w:p>
    <w:p w14:paraId="1B4FC278" w14:textId="77777777" w:rsidR="002033CD" w:rsidRPr="00D95C57" w:rsidRDefault="00635DE9" w:rsidP="00F26763">
      <w:pPr>
        <w:pStyle w:val="ListParagraph"/>
        <w:numPr>
          <w:ilvl w:val="0"/>
          <w:numId w:val="11"/>
        </w:numPr>
        <w:ind w:left="270" w:hanging="270"/>
        <w:jc w:val="both"/>
        <w:rPr>
          <w:rFonts w:asciiTheme="majorHAnsi" w:hAnsiTheme="majorHAnsi"/>
          <w:b/>
          <w:bCs/>
        </w:rPr>
      </w:pPr>
      <w:r>
        <w:rPr>
          <w:rFonts w:asciiTheme="majorHAnsi" w:hAnsiTheme="majorHAnsi"/>
          <w:b/>
          <w:bCs/>
        </w:rPr>
        <w:t>24</w:t>
      </w:r>
      <w:r w:rsidR="00767E6B">
        <w:rPr>
          <w:rFonts w:asciiTheme="majorHAnsi" w:hAnsiTheme="majorHAnsi"/>
          <w:b/>
          <w:bCs/>
        </w:rPr>
        <w:t>7</w:t>
      </w:r>
      <w:r w:rsidR="002033CD" w:rsidRPr="00D95C57">
        <w:rPr>
          <w:rFonts w:asciiTheme="majorHAnsi" w:hAnsiTheme="majorHAnsi"/>
          <w:b/>
          <w:bCs/>
        </w:rPr>
        <w:t xml:space="preserve"> întreprinderi publice centrale</w:t>
      </w:r>
      <w:r w:rsidR="007C73D3" w:rsidRPr="00D95C57">
        <w:rPr>
          <w:rFonts w:asciiTheme="majorHAnsi" w:hAnsiTheme="majorHAnsi"/>
          <w:b/>
          <w:bCs/>
        </w:rPr>
        <w:t>,</w:t>
      </w:r>
      <w:r w:rsidR="002033CD" w:rsidRPr="00D95C57">
        <w:rPr>
          <w:rFonts w:asciiTheme="majorHAnsi" w:hAnsiTheme="majorHAnsi"/>
          <w:b/>
          <w:bCs/>
        </w:rPr>
        <w:t xml:space="preserve"> din care:</w:t>
      </w:r>
    </w:p>
    <w:p w14:paraId="5DE43DAC" w14:textId="77777777" w:rsidR="004B2F14" w:rsidRPr="00D95C57" w:rsidRDefault="001C6135" w:rsidP="00F26763">
      <w:pPr>
        <w:pStyle w:val="ListParagraph"/>
        <w:numPr>
          <w:ilvl w:val="0"/>
          <w:numId w:val="17"/>
        </w:numPr>
        <w:jc w:val="both"/>
        <w:rPr>
          <w:rFonts w:asciiTheme="majorHAnsi" w:hAnsiTheme="majorHAnsi"/>
          <w:bCs/>
        </w:rPr>
      </w:pPr>
      <w:r w:rsidRPr="00D95C57">
        <w:rPr>
          <w:rFonts w:asciiTheme="majorHAnsi" w:hAnsiTheme="majorHAnsi"/>
          <w:b/>
          <w:bCs/>
        </w:rPr>
        <w:t>22</w:t>
      </w:r>
      <w:r w:rsidR="00767E6B">
        <w:rPr>
          <w:rFonts w:asciiTheme="majorHAnsi" w:hAnsiTheme="majorHAnsi"/>
          <w:b/>
          <w:bCs/>
        </w:rPr>
        <w:t>6</w:t>
      </w:r>
      <w:r w:rsidR="00E005A3" w:rsidRPr="00D95C57">
        <w:rPr>
          <w:rFonts w:asciiTheme="majorHAnsi" w:hAnsiTheme="majorHAnsi"/>
          <w:bCs/>
        </w:rPr>
        <w:t xml:space="preserve"> </w:t>
      </w:r>
      <w:bookmarkStart w:id="15" w:name="_Hlk493089223"/>
      <w:r w:rsidR="00E005A3" w:rsidRPr="00D95C57">
        <w:rPr>
          <w:rFonts w:asciiTheme="majorHAnsi" w:hAnsiTheme="majorHAnsi"/>
          <w:bCs/>
        </w:rPr>
        <w:t>întreprinderi</w:t>
      </w:r>
      <w:r w:rsidR="004B2F14" w:rsidRPr="00D95C57">
        <w:rPr>
          <w:rFonts w:asciiTheme="majorHAnsi" w:hAnsiTheme="majorHAnsi"/>
          <w:bCs/>
        </w:rPr>
        <w:t xml:space="preserve"> </w:t>
      </w:r>
      <w:r w:rsidR="00110AFD" w:rsidRPr="00D95C57">
        <w:rPr>
          <w:rFonts w:asciiTheme="majorHAnsi" w:hAnsiTheme="majorHAnsi"/>
          <w:bCs/>
        </w:rPr>
        <w:t>publice centrale</w:t>
      </w:r>
      <w:r w:rsidR="004B2F14" w:rsidRPr="00D95C57">
        <w:rPr>
          <w:rFonts w:asciiTheme="majorHAnsi" w:hAnsiTheme="majorHAnsi"/>
          <w:b/>
          <w:bCs/>
        </w:rPr>
        <w:t xml:space="preserve"> </w:t>
      </w:r>
      <w:r w:rsidR="007044FF" w:rsidRPr="00D95C57">
        <w:rPr>
          <w:rFonts w:asciiTheme="majorHAnsi" w:hAnsiTheme="majorHAnsi"/>
          <w:b/>
          <w:bCs/>
        </w:rPr>
        <w:t>active</w:t>
      </w:r>
      <w:r w:rsidR="007044FF" w:rsidRPr="00D95C57">
        <w:rPr>
          <w:rFonts w:asciiTheme="majorHAnsi" w:hAnsiTheme="majorHAnsi"/>
          <w:bCs/>
        </w:rPr>
        <w:t xml:space="preserve"> </w:t>
      </w:r>
      <w:r w:rsidR="00793D2A" w:rsidRPr="00D95C57">
        <w:rPr>
          <w:rFonts w:asciiTheme="majorHAnsi" w:hAnsiTheme="majorHAnsi"/>
          <w:bCs/>
        </w:rPr>
        <w:t>aflate în subordine</w:t>
      </w:r>
      <w:r w:rsidR="00E04C4D" w:rsidRPr="00D95C57">
        <w:rPr>
          <w:rFonts w:asciiTheme="majorHAnsi" w:hAnsiTheme="majorHAnsi"/>
          <w:bCs/>
        </w:rPr>
        <w:t>a</w:t>
      </w:r>
      <w:r w:rsidR="00793D2A" w:rsidRPr="00D95C57">
        <w:rPr>
          <w:rFonts w:asciiTheme="majorHAnsi" w:hAnsiTheme="majorHAnsi"/>
          <w:bCs/>
        </w:rPr>
        <w:t>, în coordonare</w:t>
      </w:r>
      <w:r w:rsidR="00E04C4D" w:rsidRPr="00D95C57">
        <w:rPr>
          <w:rFonts w:asciiTheme="majorHAnsi" w:hAnsiTheme="majorHAnsi"/>
          <w:bCs/>
        </w:rPr>
        <w:t>a,</w:t>
      </w:r>
      <w:r w:rsidR="00793D2A" w:rsidRPr="00D95C57">
        <w:rPr>
          <w:rFonts w:asciiTheme="majorHAnsi" w:hAnsiTheme="majorHAnsi"/>
          <w:bCs/>
        </w:rPr>
        <w:t xml:space="preserve"> sub autoritatea</w:t>
      </w:r>
      <w:r w:rsidR="00E04C4D" w:rsidRPr="00D95C57">
        <w:rPr>
          <w:rFonts w:asciiTheme="majorHAnsi" w:hAnsiTheme="majorHAnsi"/>
          <w:bCs/>
        </w:rPr>
        <w:t xml:space="preserve"> ori în portofoliul</w:t>
      </w:r>
      <w:r w:rsidR="004B2F14" w:rsidRPr="00D95C57">
        <w:rPr>
          <w:rFonts w:asciiTheme="majorHAnsi" w:hAnsiTheme="majorHAnsi"/>
          <w:bCs/>
        </w:rPr>
        <w:t xml:space="preserve"> autorităților publice tutelare centrale</w:t>
      </w:r>
      <w:bookmarkEnd w:id="15"/>
      <w:r w:rsidR="00BE63E5" w:rsidRPr="00D95C57">
        <w:rPr>
          <w:rFonts w:asciiTheme="majorHAnsi" w:hAnsiTheme="majorHAnsi"/>
          <w:bCs/>
          <w:lang w:val="en-US"/>
        </w:rPr>
        <w:t>;</w:t>
      </w:r>
    </w:p>
    <w:p w14:paraId="181EE5A6" w14:textId="77777777" w:rsidR="002033CD" w:rsidRPr="00D95C57" w:rsidRDefault="00635DE9" w:rsidP="00F26763">
      <w:pPr>
        <w:pStyle w:val="ListParagraph"/>
        <w:numPr>
          <w:ilvl w:val="0"/>
          <w:numId w:val="17"/>
        </w:numPr>
        <w:jc w:val="both"/>
        <w:rPr>
          <w:rFonts w:asciiTheme="majorHAnsi" w:hAnsiTheme="majorHAnsi"/>
          <w:bCs/>
        </w:rPr>
      </w:pPr>
      <w:r>
        <w:rPr>
          <w:rFonts w:asciiTheme="majorHAnsi" w:hAnsiTheme="majorHAnsi"/>
          <w:b/>
          <w:bCs/>
          <w:lang w:val="en-US"/>
        </w:rPr>
        <w:t>2</w:t>
      </w:r>
      <w:r w:rsidR="00767E6B">
        <w:rPr>
          <w:rFonts w:asciiTheme="majorHAnsi" w:hAnsiTheme="majorHAnsi"/>
          <w:b/>
          <w:bCs/>
          <w:lang w:val="en-US"/>
        </w:rPr>
        <w:t>1</w:t>
      </w:r>
      <w:r w:rsidR="002033CD" w:rsidRPr="00D95C57">
        <w:rPr>
          <w:rFonts w:asciiTheme="majorHAnsi" w:hAnsiTheme="majorHAnsi"/>
          <w:bCs/>
          <w:lang w:val="en-US"/>
        </w:rPr>
        <w:t xml:space="preserve"> </w:t>
      </w:r>
      <w:r w:rsidR="002033CD" w:rsidRPr="00D95C57">
        <w:rPr>
          <w:rFonts w:asciiTheme="majorHAnsi" w:hAnsiTheme="majorHAnsi"/>
          <w:bCs/>
        </w:rPr>
        <w:t>întreprinderi publice centrale</w:t>
      </w:r>
      <w:r w:rsidR="002033CD" w:rsidRPr="00D95C57">
        <w:rPr>
          <w:rFonts w:asciiTheme="majorHAnsi" w:hAnsiTheme="majorHAnsi"/>
          <w:b/>
          <w:bCs/>
        </w:rPr>
        <w:t xml:space="preserve"> inactive</w:t>
      </w:r>
      <w:r w:rsidR="002033CD" w:rsidRPr="00D95C57">
        <w:rPr>
          <w:rFonts w:asciiTheme="majorHAnsi" w:hAnsiTheme="majorHAnsi"/>
          <w:bCs/>
        </w:rPr>
        <w:t xml:space="preserve"> aflate în subordinea, în coordonarea, sub autoritatea ori în portofoliul autorităților publice tutelare centrale</w:t>
      </w:r>
      <w:r w:rsidR="002033CD" w:rsidRPr="00D95C57">
        <w:rPr>
          <w:rFonts w:asciiTheme="majorHAnsi" w:hAnsiTheme="majorHAnsi"/>
          <w:bCs/>
          <w:lang w:val="en-US"/>
        </w:rPr>
        <w:t>;</w:t>
      </w:r>
    </w:p>
    <w:p w14:paraId="745CD5F0" w14:textId="77777777" w:rsidR="002033CD" w:rsidRPr="00D95C57" w:rsidRDefault="002033CD" w:rsidP="00F26763">
      <w:pPr>
        <w:pStyle w:val="ListParagraph"/>
        <w:numPr>
          <w:ilvl w:val="0"/>
          <w:numId w:val="11"/>
        </w:numPr>
        <w:ind w:left="284" w:hanging="284"/>
        <w:rPr>
          <w:rFonts w:asciiTheme="majorHAnsi" w:hAnsiTheme="majorHAnsi"/>
          <w:b/>
          <w:bCs/>
        </w:rPr>
      </w:pPr>
      <w:r w:rsidRPr="00D95C57">
        <w:rPr>
          <w:rFonts w:asciiTheme="majorHAnsi" w:hAnsiTheme="majorHAnsi"/>
          <w:b/>
          <w:bCs/>
        </w:rPr>
        <w:t>1.</w:t>
      </w:r>
      <w:r w:rsidR="00767E6B">
        <w:rPr>
          <w:rFonts w:asciiTheme="majorHAnsi" w:hAnsiTheme="majorHAnsi"/>
          <w:b/>
          <w:bCs/>
        </w:rPr>
        <w:t>269</w:t>
      </w:r>
      <w:r w:rsidRPr="00D95C57">
        <w:rPr>
          <w:rFonts w:asciiTheme="majorHAnsi" w:hAnsiTheme="majorHAnsi"/>
          <w:b/>
          <w:bCs/>
        </w:rPr>
        <w:t xml:space="preserve"> întreprinderi publice locale</w:t>
      </w:r>
      <w:r w:rsidR="007C73D3" w:rsidRPr="00D95C57">
        <w:rPr>
          <w:rFonts w:asciiTheme="majorHAnsi" w:hAnsiTheme="majorHAnsi"/>
          <w:b/>
          <w:bCs/>
        </w:rPr>
        <w:t>,</w:t>
      </w:r>
      <w:r w:rsidRPr="00D95C57">
        <w:rPr>
          <w:rFonts w:asciiTheme="majorHAnsi" w:hAnsiTheme="majorHAnsi"/>
          <w:b/>
          <w:bCs/>
        </w:rPr>
        <w:t xml:space="preserve"> din care:</w:t>
      </w:r>
    </w:p>
    <w:p w14:paraId="288840B7" w14:textId="77777777" w:rsidR="002033CD" w:rsidRPr="00D95C57" w:rsidRDefault="002033CD" w:rsidP="00F26763">
      <w:pPr>
        <w:pStyle w:val="ListParagraph"/>
        <w:numPr>
          <w:ilvl w:val="0"/>
          <w:numId w:val="17"/>
        </w:numPr>
        <w:rPr>
          <w:rFonts w:asciiTheme="majorHAnsi" w:hAnsiTheme="majorHAnsi"/>
          <w:bCs/>
        </w:rPr>
      </w:pPr>
      <w:r w:rsidRPr="00D95C57">
        <w:rPr>
          <w:rFonts w:asciiTheme="majorHAnsi" w:hAnsiTheme="majorHAnsi"/>
          <w:b/>
          <w:bCs/>
        </w:rPr>
        <w:t>1.2</w:t>
      </w:r>
      <w:r w:rsidR="00635DE9">
        <w:rPr>
          <w:rFonts w:asciiTheme="majorHAnsi" w:hAnsiTheme="majorHAnsi"/>
          <w:b/>
          <w:bCs/>
        </w:rPr>
        <w:t>3</w:t>
      </w:r>
      <w:r w:rsidR="00767E6B">
        <w:rPr>
          <w:rFonts w:asciiTheme="majorHAnsi" w:hAnsiTheme="majorHAnsi"/>
          <w:b/>
          <w:bCs/>
        </w:rPr>
        <w:t>8</w:t>
      </w:r>
      <w:r w:rsidRPr="00D95C57">
        <w:rPr>
          <w:rFonts w:asciiTheme="majorHAnsi" w:hAnsiTheme="majorHAnsi"/>
          <w:b/>
          <w:bCs/>
        </w:rPr>
        <w:t xml:space="preserve"> </w:t>
      </w:r>
      <w:r w:rsidRPr="00D95C57">
        <w:rPr>
          <w:rFonts w:asciiTheme="majorHAnsi" w:hAnsiTheme="majorHAnsi"/>
          <w:bCs/>
        </w:rPr>
        <w:t xml:space="preserve"> întreprinderi publice locale</w:t>
      </w:r>
      <w:r w:rsidRPr="00D95C57">
        <w:rPr>
          <w:rFonts w:asciiTheme="majorHAnsi" w:hAnsiTheme="majorHAnsi"/>
          <w:b/>
          <w:bCs/>
        </w:rPr>
        <w:t xml:space="preserve"> active</w:t>
      </w:r>
      <w:r w:rsidRPr="00D95C57">
        <w:rPr>
          <w:rFonts w:asciiTheme="majorHAnsi" w:hAnsiTheme="majorHAnsi"/>
          <w:bCs/>
        </w:rPr>
        <w:t xml:space="preserve"> aflate în subordinea, în coordonarea, sub autoritatea ori în portofoliul autorităților publice tutelare locale.</w:t>
      </w:r>
    </w:p>
    <w:p w14:paraId="0E276EF2" w14:textId="77777777" w:rsidR="002033CD" w:rsidRPr="00D95C57" w:rsidRDefault="00635DE9" w:rsidP="00F26763">
      <w:pPr>
        <w:pStyle w:val="ListParagraph"/>
        <w:numPr>
          <w:ilvl w:val="0"/>
          <w:numId w:val="17"/>
        </w:numPr>
        <w:rPr>
          <w:rFonts w:asciiTheme="majorHAnsi" w:hAnsiTheme="majorHAnsi"/>
          <w:bCs/>
        </w:rPr>
      </w:pPr>
      <w:r>
        <w:rPr>
          <w:rFonts w:asciiTheme="majorHAnsi" w:hAnsiTheme="majorHAnsi"/>
          <w:b/>
          <w:bCs/>
        </w:rPr>
        <w:t>3</w:t>
      </w:r>
      <w:r w:rsidR="00767E6B">
        <w:rPr>
          <w:rFonts w:asciiTheme="majorHAnsi" w:hAnsiTheme="majorHAnsi"/>
          <w:b/>
          <w:bCs/>
        </w:rPr>
        <w:t>1</w:t>
      </w:r>
      <w:r w:rsidR="002033CD" w:rsidRPr="00D95C57">
        <w:rPr>
          <w:rFonts w:asciiTheme="majorHAnsi" w:hAnsiTheme="majorHAnsi"/>
          <w:bCs/>
        </w:rPr>
        <w:t xml:space="preserve"> întreprinderi publice locale</w:t>
      </w:r>
      <w:r w:rsidR="002033CD" w:rsidRPr="00D95C57">
        <w:rPr>
          <w:rFonts w:asciiTheme="majorHAnsi" w:hAnsiTheme="majorHAnsi"/>
          <w:b/>
          <w:bCs/>
        </w:rPr>
        <w:t xml:space="preserve"> inactive</w:t>
      </w:r>
      <w:r w:rsidR="002033CD" w:rsidRPr="00D95C57">
        <w:rPr>
          <w:rFonts w:asciiTheme="majorHAnsi" w:hAnsiTheme="majorHAnsi"/>
          <w:bCs/>
        </w:rPr>
        <w:t xml:space="preserve"> aflate în subordinea, în coordonarea, sub autoritatea ori în portofoliul autorităților publice tutelare locale.</w:t>
      </w:r>
    </w:p>
    <w:p w14:paraId="19D7F1D0" w14:textId="77777777" w:rsidR="004D7139" w:rsidRPr="00D95C57" w:rsidRDefault="000E34FC" w:rsidP="004D7139">
      <w:pPr>
        <w:jc w:val="both"/>
        <w:rPr>
          <w:rFonts w:asciiTheme="majorHAnsi" w:hAnsiTheme="majorHAnsi"/>
          <w:b/>
          <w:bCs/>
          <w:lang w:val="en-US"/>
        </w:rPr>
      </w:pPr>
      <w:r w:rsidRPr="00D95C57">
        <w:rPr>
          <w:rFonts w:asciiTheme="majorHAnsi" w:hAnsiTheme="majorHAnsi"/>
          <w:b/>
          <w:bCs/>
        </w:rPr>
        <w:t>P</w:t>
      </w:r>
      <w:r w:rsidR="004D7139" w:rsidRPr="00D95C57">
        <w:rPr>
          <w:rFonts w:asciiTheme="majorHAnsi" w:hAnsiTheme="majorHAnsi"/>
          <w:b/>
          <w:bCs/>
        </w:rPr>
        <w:t xml:space="preserve">rezentul Raport </w:t>
      </w:r>
      <w:r w:rsidRPr="00D95C57">
        <w:rPr>
          <w:rFonts w:asciiTheme="majorHAnsi" w:hAnsiTheme="majorHAnsi"/>
          <w:b/>
          <w:bCs/>
        </w:rPr>
        <w:t>este structurat</w:t>
      </w:r>
      <w:r w:rsidR="00583F00" w:rsidRPr="00D95C57">
        <w:rPr>
          <w:rFonts w:asciiTheme="majorHAnsi" w:hAnsiTheme="majorHAnsi"/>
          <w:b/>
          <w:bCs/>
        </w:rPr>
        <w:t xml:space="preserve"> în</w:t>
      </w:r>
      <w:r w:rsidR="004D7139" w:rsidRPr="00D95C57">
        <w:rPr>
          <w:rFonts w:asciiTheme="majorHAnsi" w:hAnsiTheme="majorHAnsi"/>
          <w:b/>
          <w:bCs/>
        </w:rPr>
        <w:t xml:space="preserve"> două părți </w:t>
      </w:r>
      <w:r w:rsidR="00583F00" w:rsidRPr="00D95C57">
        <w:rPr>
          <w:rFonts w:asciiTheme="majorHAnsi" w:hAnsiTheme="majorHAnsi"/>
          <w:b/>
          <w:bCs/>
        </w:rPr>
        <w:t>intitulate astfel</w:t>
      </w:r>
      <w:r w:rsidR="00583F00" w:rsidRPr="00D95C57">
        <w:rPr>
          <w:rFonts w:asciiTheme="majorHAnsi" w:hAnsiTheme="majorHAnsi"/>
          <w:b/>
          <w:bCs/>
          <w:lang w:val="en-US"/>
        </w:rPr>
        <w:t>:</w:t>
      </w:r>
    </w:p>
    <w:p w14:paraId="0C647F60" w14:textId="77777777" w:rsidR="002B75E4" w:rsidRPr="00D95C57" w:rsidRDefault="004D7139" w:rsidP="0035306D">
      <w:pPr>
        <w:jc w:val="both"/>
        <w:rPr>
          <w:rFonts w:asciiTheme="majorHAnsi" w:hAnsiTheme="majorHAnsi"/>
        </w:rPr>
      </w:pPr>
      <w:r w:rsidRPr="00D95C57">
        <w:rPr>
          <w:rFonts w:asciiTheme="majorHAnsi" w:hAnsiTheme="majorHAnsi"/>
          <w:b/>
          <w:bCs/>
          <w:color w:val="0F6FC6" w:themeColor="accent1"/>
        </w:rPr>
        <w:t>PARTEA I</w:t>
      </w:r>
      <w:r w:rsidRPr="00D95C57">
        <w:rPr>
          <w:rFonts w:asciiTheme="majorHAnsi" w:hAnsiTheme="majorHAnsi"/>
          <w:color w:val="0F6FC6" w:themeColor="accent1"/>
        </w:rPr>
        <w:t xml:space="preserve"> </w:t>
      </w:r>
      <w:r w:rsidRPr="00D95C57">
        <w:rPr>
          <w:rFonts w:asciiTheme="majorHAnsi" w:hAnsiTheme="majorHAnsi"/>
          <w:b/>
          <w:color w:val="0F6FC6" w:themeColor="accent1"/>
        </w:rPr>
        <w:t xml:space="preserve">– </w:t>
      </w:r>
      <w:bookmarkStart w:id="16" w:name="_Hlk493091114"/>
      <w:r w:rsidR="00583F00" w:rsidRPr="00D95C57">
        <w:rPr>
          <w:rFonts w:asciiTheme="majorHAnsi" w:hAnsiTheme="majorHAnsi"/>
          <w:b/>
          <w:color w:val="0F6FC6" w:themeColor="accent1"/>
        </w:rPr>
        <w:t xml:space="preserve">RAPORT PRIVIND ACTIVITATEA ÎNTREPRINDERILOR </w:t>
      </w:r>
      <w:r w:rsidR="00110AFD" w:rsidRPr="00D95C57">
        <w:rPr>
          <w:rFonts w:asciiTheme="majorHAnsi" w:hAnsiTheme="majorHAnsi"/>
          <w:b/>
          <w:color w:val="0F6FC6" w:themeColor="accent1"/>
        </w:rPr>
        <w:t>PUBLICE CENTRALE</w:t>
      </w:r>
      <w:r w:rsidR="00583F00" w:rsidRPr="00D95C57">
        <w:rPr>
          <w:rFonts w:asciiTheme="majorHAnsi" w:hAnsiTheme="majorHAnsi"/>
          <w:b/>
          <w:color w:val="0F6FC6" w:themeColor="accent1"/>
        </w:rPr>
        <w:t xml:space="preserve"> ÎN ANUL </w:t>
      </w:r>
      <w:bookmarkEnd w:id="16"/>
      <w:r w:rsidR="00583F00" w:rsidRPr="00D95C57">
        <w:rPr>
          <w:rFonts w:asciiTheme="majorHAnsi" w:hAnsiTheme="majorHAnsi"/>
          <w:b/>
          <w:color w:val="0F6FC6" w:themeColor="accent1"/>
        </w:rPr>
        <w:t>20</w:t>
      </w:r>
      <w:r w:rsidR="00767E6B">
        <w:rPr>
          <w:rFonts w:asciiTheme="majorHAnsi" w:hAnsiTheme="majorHAnsi"/>
          <w:b/>
          <w:color w:val="0F6FC6" w:themeColor="accent1"/>
        </w:rPr>
        <w:t>20</w:t>
      </w:r>
      <w:r w:rsidR="00895516" w:rsidRPr="00D95C57">
        <w:rPr>
          <w:rFonts w:asciiTheme="majorHAnsi" w:hAnsiTheme="majorHAnsi"/>
          <w:b/>
        </w:rPr>
        <w:t>,</w:t>
      </w:r>
      <w:r w:rsidR="00583F00" w:rsidRPr="00D95C57">
        <w:rPr>
          <w:rFonts w:asciiTheme="majorHAnsi" w:hAnsiTheme="majorHAnsi"/>
        </w:rPr>
        <w:t xml:space="preserve"> </w:t>
      </w:r>
      <w:bookmarkStart w:id="17" w:name="_Hlk493091164"/>
      <w:r w:rsidR="00583F00" w:rsidRPr="00D95C57">
        <w:rPr>
          <w:rFonts w:asciiTheme="majorHAnsi" w:hAnsiTheme="majorHAnsi"/>
        </w:rPr>
        <w:t xml:space="preserve">care cuprinde </w:t>
      </w:r>
      <w:r w:rsidRPr="00D95C57">
        <w:rPr>
          <w:rFonts w:asciiTheme="majorHAnsi" w:hAnsiTheme="majorHAnsi"/>
        </w:rPr>
        <w:t>o prezentare a principalilor indicatori economico-financiari</w:t>
      </w:r>
      <w:r w:rsidR="00583F00" w:rsidRPr="00D95C57">
        <w:rPr>
          <w:rFonts w:asciiTheme="majorHAnsi" w:hAnsiTheme="majorHAnsi"/>
        </w:rPr>
        <w:t xml:space="preserve"> realiz</w:t>
      </w:r>
      <w:r w:rsidRPr="00D95C57">
        <w:rPr>
          <w:rFonts w:asciiTheme="majorHAnsi" w:hAnsiTheme="majorHAnsi"/>
        </w:rPr>
        <w:t xml:space="preserve">ați </w:t>
      </w:r>
      <w:r w:rsidR="00895516" w:rsidRPr="00D95C57">
        <w:rPr>
          <w:rFonts w:asciiTheme="majorHAnsi" w:hAnsiTheme="majorHAnsi"/>
        </w:rPr>
        <w:t xml:space="preserve">de </w:t>
      </w:r>
      <w:r w:rsidRPr="00D95C57">
        <w:rPr>
          <w:rFonts w:asciiTheme="majorHAnsi" w:hAnsiTheme="majorHAnsi"/>
          <w:b/>
          <w:bCs/>
        </w:rPr>
        <w:t>întreprinderi</w:t>
      </w:r>
      <w:r w:rsidR="00895516" w:rsidRPr="00D95C57">
        <w:rPr>
          <w:rFonts w:asciiTheme="majorHAnsi" w:hAnsiTheme="majorHAnsi"/>
          <w:b/>
          <w:bCs/>
        </w:rPr>
        <w:t>le</w:t>
      </w:r>
      <w:r w:rsidRPr="00D95C57">
        <w:rPr>
          <w:rFonts w:asciiTheme="majorHAnsi" w:hAnsiTheme="majorHAnsi"/>
          <w:b/>
          <w:bCs/>
        </w:rPr>
        <w:t xml:space="preserve"> publice deținute de administrația publică centrală</w:t>
      </w:r>
      <w:r w:rsidR="00895516" w:rsidRPr="00D95C57">
        <w:rPr>
          <w:rFonts w:asciiTheme="majorHAnsi" w:hAnsiTheme="majorHAnsi"/>
        </w:rPr>
        <w:t>.</w:t>
      </w:r>
      <w:bookmarkEnd w:id="17"/>
    </w:p>
    <w:p w14:paraId="06772BF1" w14:textId="77777777" w:rsidR="00502114" w:rsidRPr="00767E6B" w:rsidRDefault="004D7139" w:rsidP="00767E6B">
      <w:pPr>
        <w:jc w:val="both"/>
        <w:rPr>
          <w:rFonts w:asciiTheme="majorHAnsi" w:hAnsiTheme="majorHAnsi"/>
          <w:b/>
          <w:bCs/>
        </w:rPr>
      </w:pPr>
      <w:r w:rsidRPr="00D95C57">
        <w:rPr>
          <w:rFonts w:asciiTheme="majorHAnsi" w:hAnsiTheme="majorHAnsi"/>
          <w:b/>
          <w:bCs/>
          <w:color w:val="0F6FC6" w:themeColor="accent1"/>
        </w:rPr>
        <w:t>PARTEA II</w:t>
      </w:r>
      <w:r w:rsidRPr="00D95C57">
        <w:rPr>
          <w:rFonts w:asciiTheme="majorHAnsi" w:hAnsiTheme="majorHAnsi"/>
          <w:b/>
          <w:color w:val="0F6FC6" w:themeColor="accent1"/>
        </w:rPr>
        <w:t xml:space="preserve"> – </w:t>
      </w:r>
      <w:r w:rsidR="00895516" w:rsidRPr="00D95C57">
        <w:rPr>
          <w:rFonts w:asciiTheme="majorHAnsi" w:hAnsiTheme="majorHAnsi"/>
          <w:b/>
          <w:color w:val="0F6FC6" w:themeColor="accent1"/>
        </w:rPr>
        <w:t>RAPORT PRIVIND ACTIVITATEA ÎNTREPRINDERILOR PUBLICE LOCALE ÎN ANUL 20</w:t>
      </w:r>
      <w:r w:rsidR="00767E6B">
        <w:rPr>
          <w:rFonts w:asciiTheme="majorHAnsi" w:hAnsiTheme="majorHAnsi"/>
          <w:b/>
          <w:color w:val="0F6FC6" w:themeColor="accent1"/>
        </w:rPr>
        <w:t>20</w:t>
      </w:r>
      <w:r w:rsidR="00895516" w:rsidRPr="00D95C57">
        <w:rPr>
          <w:rFonts w:asciiTheme="majorHAnsi" w:hAnsiTheme="majorHAnsi"/>
          <w:b/>
        </w:rPr>
        <w:t>,</w:t>
      </w:r>
      <w:r w:rsidR="00895516" w:rsidRPr="00D95C57">
        <w:rPr>
          <w:rFonts w:asciiTheme="majorHAnsi" w:hAnsiTheme="majorHAnsi"/>
        </w:rPr>
        <w:t xml:space="preserve">  care cuprinde o prezentare a principalilor indicatori economico-financiari realizați de</w:t>
      </w:r>
      <w:r w:rsidR="00895516" w:rsidRPr="00D95C57">
        <w:rPr>
          <w:rFonts w:asciiTheme="majorHAnsi" w:hAnsiTheme="majorHAnsi"/>
          <w:b/>
        </w:rPr>
        <w:t xml:space="preserve"> întreprinderile publice</w:t>
      </w:r>
      <w:r w:rsidR="00895516" w:rsidRPr="00D95C57">
        <w:rPr>
          <w:rFonts w:asciiTheme="majorHAnsi" w:hAnsiTheme="majorHAnsi"/>
        </w:rPr>
        <w:t xml:space="preserve"> </w:t>
      </w:r>
      <w:r w:rsidR="00895516" w:rsidRPr="00D95C57">
        <w:rPr>
          <w:rFonts w:asciiTheme="majorHAnsi" w:hAnsiTheme="majorHAnsi"/>
          <w:b/>
        </w:rPr>
        <w:t xml:space="preserve">deținute de administrația publică </w:t>
      </w:r>
      <w:r w:rsidR="004E1C87" w:rsidRPr="00D95C57">
        <w:rPr>
          <w:rFonts w:asciiTheme="majorHAnsi" w:hAnsiTheme="majorHAnsi"/>
          <w:b/>
        </w:rPr>
        <w:t>loc</w:t>
      </w:r>
      <w:r w:rsidR="00895516" w:rsidRPr="00D95C57">
        <w:rPr>
          <w:rFonts w:asciiTheme="majorHAnsi" w:hAnsiTheme="majorHAnsi"/>
          <w:b/>
        </w:rPr>
        <w:t>ală</w:t>
      </w:r>
      <w:r w:rsidR="00895516" w:rsidRPr="00D95C57">
        <w:rPr>
          <w:rFonts w:asciiTheme="majorHAnsi" w:hAnsiTheme="majorHAnsi"/>
        </w:rPr>
        <w:t>.</w:t>
      </w:r>
      <w:r w:rsidR="008169C5" w:rsidRPr="00D95C57">
        <w:rPr>
          <w:rFonts w:asciiTheme="majorHAnsi" w:hAnsiTheme="majorHAnsi"/>
          <w:b/>
          <w:bCs/>
        </w:rPr>
        <w:t xml:space="preserve"> </w:t>
      </w:r>
    </w:p>
    <w:p w14:paraId="24DD7A85" w14:textId="77777777" w:rsidR="00F1374E" w:rsidRPr="00767E6B" w:rsidRDefault="00F1374E" w:rsidP="00767E6B">
      <w:pPr>
        <w:pStyle w:val="Style1"/>
        <w:ind w:right="-144"/>
        <w:rPr>
          <w:rFonts w:asciiTheme="majorHAnsi" w:hAnsiTheme="majorHAnsi"/>
          <w:b/>
          <w:bCs/>
          <w:sz w:val="36"/>
          <w:szCs w:val="36"/>
        </w:rPr>
      </w:pPr>
      <w:bookmarkStart w:id="18" w:name="_Toc490763510"/>
      <w:bookmarkStart w:id="19" w:name="_Toc490763691"/>
      <w:bookmarkStart w:id="20" w:name="_Toc490763859"/>
      <w:bookmarkStart w:id="21" w:name="_Toc87875943"/>
      <w:r w:rsidRPr="00767E6B">
        <w:rPr>
          <w:rFonts w:asciiTheme="majorHAnsi" w:hAnsiTheme="majorHAnsi"/>
          <w:b/>
          <w:bCs/>
          <w:sz w:val="36"/>
          <w:szCs w:val="36"/>
        </w:rPr>
        <w:t>PARTEA I</w:t>
      </w:r>
      <w:r w:rsidR="00767E6B" w:rsidRPr="00767E6B">
        <w:rPr>
          <w:rFonts w:asciiTheme="majorHAnsi" w:hAnsiTheme="majorHAnsi"/>
          <w:b/>
          <w:bCs/>
          <w:sz w:val="36"/>
          <w:szCs w:val="36"/>
        </w:rPr>
        <w:t xml:space="preserve"> </w:t>
      </w:r>
      <w:r w:rsidRPr="00767E6B">
        <w:rPr>
          <w:rFonts w:asciiTheme="majorHAnsi" w:hAnsiTheme="majorHAnsi"/>
          <w:b/>
          <w:bCs/>
          <w:sz w:val="36"/>
          <w:szCs w:val="36"/>
        </w:rPr>
        <w:t>–</w:t>
      </w:r>
      <w:r w:rsidR="00767E6B" w:rsidRPr="00767E6B">
        <w:rPr>
          <w:rFonts w:asciiTheme="majorHAnsi" w:hAnsiTheme="majorHAnsi"/>
          <w:b/>
          <w:bCs/>
          <w:sz w:val="36"/>
          <w:szCs w:val="36"/>
        </w:rPr>
        <w:t xml:space="preserve"> </w:t>
      </w:r>
      <w:r w:rsidRPr="00767E6B">
        <w:rPr>
          <w:rFonts w:asciiTheme="majorHAnsi" w:hAnsiTheme="majorHAnsi"/>
          <w:b/>
          <w:bCs/>
          <w:sz w:val="36"/>
          <w:szCs w:val="36"/>
        </w:rPr>
        <w:t>Raport privind</w:t>
      </w:r>
      <w:r w:rsidR="00335D60" w:rsidRPr="00767E6B">
        <w:rPr>
          <w:rFonts w:asciiTheme="majorHAnsi" w:hAnsiTheme="majorHAnsi"/>
          <w:b/>
          <w:bCs/>
          <w:sz w:val="36"/>
          <w:szCs w:val="36"/>
        </w:rPr>
        <w:t xml:space="preserve"> </w:t>
      </w:r>
      <w:r w:rsidRPr="00767E6B">
        <w:rPr>
          <w:rFonts w:asciiTheme="majorHAnsi" w:hAnsiTheme="majorHAnsi"/>
          <w:b/>
          <w:bCs/>
          <w:sz w:val="36"/>
          <w:szCs w:val="36"/>
        </w:rPr>
        <w:t xml:space="preserve">activitatea </w:t>
      </w:r>
      <w:bookmarkEnd w:id="18"/>
      <w:bookmarkEnd w:id="19"/>
      <w:bookmarkEnd w:id="20"/>
      <w:r w:rsidR="00044239" w:rsidRPr="00767E6B">
        <w:rPr>
          <w:rFonts w:asciiTheme="majorHAnsi" w:hAnsiTheme="majorHAnsi"/>
          <w:b/>
          <w:bCs/>
          <w:sz w:val="36"/>
          <w:szCs w:val="36"/>
        </w:rPr>
        <w:t xml:space="preserve">ÎNTREPRINDERILOR </w:t>
      </w:r>
      <w:r w:rsidR="00110AFD" w:rsidRPr="00767E6B">
        <w:rPr>
          <w:rFonts w:asciiTheme="majorHAnsi" w:hAnsiTheme="majorHAnsi"/>
          <w:b/>
          <w:bCs/>
          <w:sz w:val="36"/>
          <w:szCs w:val="36"/>
        </w:rPr>
        <w:t>PUBLICE CENTRALE</w:t>
      </w:r>
      <w:r w:rsidR="00767E6B" w:rsidRPr="00767E6B">
        <w:rPr>
          <w:rFonts w:asciiTheme="majorHAnsi" w:hAnsiTheme="majorHAnsi"/>
          <w:b/>
          <w:bCs/>
          <w:sz w:val="36"/>
          <w:szCs w:val="36"/>
        </w:rPr>
        <w:t xml:space="preserve"> ÎN anul 2020</w:t>
      </w:r>
      <w:r w:rsidR="00CC3A5F" w:rsidRPr="00767E6B">
        <w:rPr>
          <w:rStyle w:val="FootnoteReference"/>
          <w:rFonts w:asciiTheme="majorHAnsi" w:hAnsiTheme="majorHAnsi"/>
          <w:b/>
          <w:bCs/>
          <w:sz w:val="36"/>
          <w:szCs w:val="36"/>
        </w:rPr>
        <w:footnoteReference w:id="3"/>
      </w:r>
      <w:r w:rsidR="00415D70" w:rsidRPr="00767E6B">
        <w:rPr>
          <w:rFonts w:asciiTheme="majorHAnsi" w:hAnsiTheme="majorHAnsi"/>
          <w:b/>
          <w:bCs/>
          <w:sz w:val="36"/>
          <w:szCs w:val="36"/>
        </w:rPr>
        <w:t>*</w:t>
      </w:r>
      <w:bookmarkEnd w:id="21"/>
    </w:p>
    <w:p w14:paraId="5FB1FC1C" w14:textId="77777777" w:rsidR="00335D60" w:rsidRPr="00D95C57" w:rsidRDefault="00335D60" w:rsidP="001E6CFA">
      <w:pPr>
        <w:spacing w:before="0" w:after="160" w:line="259" w:lineRule="auto"/>
        <w:jc w:val="both"/>
        <w:rPr>
          <w:rFonts w:asciiTheme="majorHAnsi" w:hAnsiTheme="majorHAnsi" w:cstheme="majorBidi"/>
          <w:noProof/>
          <w:color w:val="0F6FC6" w:themeColor="accent1"/>
          <w:lang w:eastAsia="ro-RO"/>
        </w:rPr>
      </w:pPr>
    </w:p>
    <w:p w14:paraId="4A219610" w14:textId="77777777" w:rsidR="00D22078" w:rsidRPr="00D95C57" w:rsidRDefault="00860356" w:rsidP="00D91ABA">
      <w:pPr>
        <w:rPr>
          <w:rFonts w:asciiTheme="majorHAnsi" w:hAnsiTheme="majorHAnsi"/>
          <w:b/>
          <w:bCs/>
          <w:color w:val="0F6FC6" w:themeColor="accent1"/>
          <w:sz w:val="32"/>
          <w:szCs w:val="32"/>
        </w:rPr>
      </w:pPr>
      <w:r w:rsidRPr="00D95C57">
        <w:rPr>
          <w:rFonts w:asciiTheme="majorHAnsi" w:hAnsiTheme="majorHAnsi"/>
          <w:b/>
          <w:bCs/>
          <w:color w:val="0F6FC6" w:themeColor="accent1"/>
          <w:sz w:val="32"/>
          <w:szCs w:val="32"/>
        </w:rPr>
        <w:t>INTRODUCERE</w:t>
      </w:r>
    </w:p>
    <w:p w14:paraId="0586C021" w14:textId="77777777" w:rsidR="000A46AC" w:rsidRPr="00D95C57" w:rsidRDefault="000A46AC" w:rsidP="00F62DBA">
      <w:pPr>
        <w:jc w:val="both"/>
        <w:rPr>
          <w:rFonts w:asciiTheme="majorHAnsi" w:hAnsiTheme="majorHAnsi"/>
        </w:rPr>
      </w:pPr>
    </w:p>
    <w:p w14:paraId="1D855D13" w14:textId="77777777" w:rsidR="001E6CFA" w:rsidRPr="00767E6B" w:rsidRDefault="0063280E" w:rsidP="00F62DBA">
      <w:pPr>
        <w:jc w:val="both"/>
        <w:rPr>
          <w:rFonts w:asciiTheme="majorHAnsi" w:hAnsiTheme="majorHAnsi"/>
        </w:rPr>
      </w:pPr>
      <w:r w:rsidRPr="00767E6B">
        <w:rPr>
          <w:rFonts w:asciiTheme="majorHAnsi" w:hAnsiTheme="majorHAnsi"/>
        </w:rPr>
        <w:t>Întreprinderile Publice Centrale</w:t>
      </w:r>
      <w:r w:rsidR="001E6CFA" w:rsidRPr="00767E6B">
        <w:rPr>
          <w:rFonts w:asciiTheme="majorHAnsi" w:hAnsiTheme="majorHAnsi"/>
        </w:rPr>
        <w:t xml:space="preserve"> furnizează o gamă largă de produse și servicii, precum și servicii universale fundamentale pentru funcționarea și siguranța societății în ansamblul său</w:t>
      </w:r>
      <w:r w:rsidR="00D91ABA" w:rsidRPr="00767E6B">
        <w:rPr>
          <w:rFonts w:asciiTheme="majorHAnsi" w:hAnsiTheme="majorHAnsi"/>
        </w:rPr>
        <w:t xml:space="preserve"> și,</w:t>
      </w:r>
      <w:r w:rsidR="001E6CFA" w:rsidRPr="00767E6B">
        <w:rPr>
          <w:rFonts w:asciiTheme="majorHAnsi" w:hAnsiTheme="majorHAnsi"/>
        </w:rPr>
        <w:t xml:space="preserve"> </w:t>
      </w:r>
      <w:r w:rsidR="00D91ABA" w:rsidRPr="00767E6B">
        <w:rPr>
          <w:rFonts w:asciiTheme="majorHAnsi" w:hAnsiTheme="majorHAnsi"/>
        </w:rPr>
        <w:t>n</w:t>
      </w:r>
      <w:r w:rsidR="001E6CFA" w:rsidRPr="00767E6B">
        <w:rPr>
          <w:rFonts w:asciiTheme="majorHAnsi" w:hAnsiTheme="majorHAnsi"/>
        </w:rPr>
        <w:t xml:space="preserve">u în ultimul rând, prin intermediul lor statul controlează și gestionează direct accesul la resurse naturale importante, iar întreprinderile publice din sectoare precum energia, transportul și protecția mediului afectează în mod semnificativ implementarea politicilor publice în aceste sectoare. </w:t>
      </w:r>
      <w:r w:rsidRPr="00767E6B">
        <w:rPr>
          <w:rFonts w:asciiTheme="majorHAnsi" w:hAnsiTheme="majorHAnsi"/>
        </w:rPr>
        <w:t xml:space="preserve">La cele </w:t>
      </w:r>
      <w:r w:rsidR="00767E6B" w:rsidRPr="00767E6B">
        <w:rPr>
          <w:rFonts w:asciiTheme="majorHAnsi" w:hAnsiTheme="majorHAnsi"/>
          <w:b/>
        </w:rPr>
        <w:t>2</w:t>
      </w:r>
      <w:r w:rsidR="0054644F">
        <w:rPr>
          <w:rFonts w:asciiTheme="majorHAnsi" w:hAnsiTheme="majorHAnsi"/>
          <w:b/>
        </w:rPr>
        <w:t>26</w:t>
      </w:r>
      <w:r w:rsidR="00767E6B" w:rsidRPr="00767E6B">
        <w:rPr>
          <w:rFonts w:asciiTheme="majorHAnsi" w:hAnsiTheme="majorHAnsi"/>
          <w:b/>
        </w:rPr>
        <w:t xml:space="preserve"> </w:t>
      </w:r>
      <w:r w:rsidRPr="00767E6B">
        <w:rPr>
          <w:rFonts w:asciiTheme="majorHAnsi" w:hAnsiTheme="majorHAnsi"/>
        </w:rPr>
        <w:t>de întreprinderi publice centrale din România, autoritățile publice tutelare centrale dețin participații care reprezintă o pondere</w:t>
      </w:r>
      <w:r w:rsidRPr="0054644F">
        <w:rPr>
          <w:rFonts w:asciiTheme="majorHAnsi" w:hAnsiTheme="majorHAnsi"/>
        </w:rPr>
        <w:t xml:space="preserve"> de </w:t>
      </w:r>
      <w:r w:rsidR="00C7702D" w:rsidRPr="0054644F">
        <w:rPr>
          <w:rFonts w:asciiTheme="majorHAnsi" w:hAnsiTheme="majorHAnsi"/>
          <w:b/>
        </w:rPr>
        <w:t>2</w:t>
      </w:r>
      <w:r w:rsidRPr="0054644F">
        <w:rPr>
          <w:rFonts w:asciiTheme="majorHAnsi" w:hAnsiTheme="majorHAnsi"/>
          <w:b/>
          <w:bCs/>
        </w:rPr>
        <w:t>,</w:t>
      </w:r>
      <w:r w:rsidR="0054644F" w:rsidRPr="0054644F">
        <w:rPr>
          <w:rFonts w:asciiTheme="majorHAnsi" w:hAnsiTheme="majorHAnsi"/>
          <w:b/>
          <w:bCs/>
        </w:rPr>
        <w:t>61</w:t>
      </w:r>
      <w:r w:rsidRPr="0054644F">
        <w:rPr>
          <w:rFonts w:asciiTheme="majorHAnsi" w:hAnsiTheme="majorHAnsi"/>
          <w:b/>
          <w:bCs/>
        </w:rPr>
        <w:t xml:space="preserve">% </w:t>
      </w:r>
      <w:r w:rsidRPr="00767E6B">
        <w:rPr>
          <w:rFonts w:asciiTheme="majorHAnsi" w:hAnsiTheme="majorHAnsi"/>
        </w:rPr>
        <w:t>în PIB contribuind astfel la dezvoltarea economică națională.</w:t>
      </w:r>
      <w:r w:rsidR="00C7702D" w:rsidRPr="00767E6B">
        <w:t xml:space="preserve"> </w:t>
      </w:r>
    </w:p>
    <w:p w14:paraId="20506664" w14:textId="77777777" w:rsidR="00D91ABA" w:rsidRPr="00767E6B" w:rsidRDefault="00D91ABA" w:rsidP="007B2F3F">
      <w:pPr>
        <w:jc w:val="both"/>
        <w:rPr>
          <w:rFonts w:asciiTheme="majorHAnsi" w:hAnsiTheme="majorHAnsi"/>
        </w:rPr>
      </w:pPr>
      <w:r w:rsidRPr="00767E6B">
        <w:rPr>
          <w:rFonts w:asciiTheme="majorHAnsi" w:hAnsiTheme="majorHAnsi"/>
        </w:rPr>
        <w:t xml:space="preserve">Faptul că mari companii din România își mențin un acționariat </w:t>
      </w:r>
      <w:r w:rsidR="007B2F3F" w:rsidRPr="00767E6B">
        <w:rPr>
          <w:rFonts w:asciiTheme="majorHAnsi" w:hAnsiTheme="majorHAnsi"/>
        </w:rPr>
        <w:t xml:space="preserve">public </w:t>
      </w:r>
      <w:r w:rsidRPr="00767E6B">
        <w:rPr>
          <w:rFonts w:asciiTheme="majorHAnsi" w:hAnsiTheme="majorHAnsi"/>
        </w:rPr>
        <w:t xml:space="preserve">semnificativ trebuie să reprezinte o garanție că valoarea economică este creată și menținută în beneficiul cetățenilor români. Provocarea generală </w:t>
      </w:r>
      <w:r w:rsidR="00CB764F" w:rsidRPr="00767E6B">
        <w:rPr>
          <w:rFonts w:asciiTheme="majorHAnsi" w:hAnsiTheme="majorHAnsi"/>
        </w:rPr>
        <w:t>a statului în calitatea de acționar la întreprinderile publice</w:t>
      </w:r>
      <w:r w:rsidR="0003694D" w:rsidRPr="00767E6B">
        <w:rPr>
          <w:rFonts w:asciiTheme="majorHAnsi" w:hAnsiTheme="majorHAnsi"/>
        </w:rPr>
        <w:t>,</w:t>
      </w:r>
      <w:r w:rsidRPr="00767E6B">
        <w:rPr>
          <w:rFonts w:asciiTheme="majorHAnsi" w:hAnsiTheme="majorHAnsi"/>
        </w:rPr>
        <w:t xml:space="preserve"> </w:t>
      </w:r>
      <w:r w:rsidR="00CB764F" w:rsidRPr="00767E6B">
        <w:rPr>
          <w:rFonts w:asciiTheme="majorHAnsi" w:hAnsiTheme="majorHAnsi"/>
        </w:rPr>
        <w:t>constă în</w:t>
      </w:r>
      <w:r w:rsidRPr="00767E6B">
        <w:rPr>
          <w:rFonts w:asciiTheme="majorHAnsi" w:hAnsiTheme="majorHAnsi"/>
        </w:rPr>
        <w:t xml:space="preserve"> </w:t>
      </w:r>
      <w:r w:rsidR="00CB764F" w:rsidRPr="00767E6B">
        <w:rPr>
          <w:rFonts w:asciiTheme="majorHAnsi" w:hAnsiTheme="majorHAnsi"/>
        </w:rPr>
        <w:t>realizarea</w:t>
      </w:r>
      <w:r w:rsidRPr="00767E6B">
        <w:rPr>
          <w:rFonts w:asciiTheme="majorHAnsi" w:hAnsiTheme="majorHAnsi"/>
        </w:rPr>
        <w:t xml:space="preserve"> unui echilibru între </w:t>
      </w:r>
      <w:r w:rsidR="00CB764F" w:rsidRPr="00767E6B">
        <w:rPr>
          <w:rFonts w:asciiTheme="majorHAnsi" w:hAnsiTheme="majorHAnsi"/>
        </w:rPr>
        <w:t xml:space="preserve">profitabilitate sustenabilă </w:t>
      </w:r>
      <w:r w:rsidRPr="00767E6B">
        <w:rPr>
          <w:rFonts w:asciiTheme="majorHAnsi" w:hAnsiTheme="majorHAnsi"/>
        </w:rPr>
        <w:t xml:space="preserve">și </w:t>
      </w:r>
      <w:r w:rsidR="00CB764F" w:rsidRPr="00767E6B">
        <w:rPr>
          <w:rFonts w:asciiTheme="majorHAnsi" w:hAnsiTheme="majorHAnsi"/>
        </w:rPr>
        <w:t>îndeplinirea</w:t>
      </w:r>
      <w:r w:rsidRPr="00767E6B">
        <w:rPr>
          <w:rFonts w:asciiTheme="majorHAnsi" w:hAnsiTheme="majorHAnsi"/>
        </w:rPr>
        <w:t xml:space="preserve"> obiectivelor de politică publică. </w:t>
      </w:r>
    </w:p>
    <w:p w14:paraId="4774BE8E" w14:textId="77777777" w:rsidR="00C22538" w:rsidRPr="00767E6B" w:rsidRDefault="00C22538" w:rsidP="006C3652">
      <w:pPr>
        <w:jc w:val="both"/>
        <w:rPr>
          <w:rFonts w:asciiTheme="majorHAnsi" w:hAnsiTheme="majorHAnsi"/>
        </w:rPr>
      </w:pPr>
      <w:r w:rsidRPr="00767E6B">
        <w:rPr>
          <w:rFonts w:asciiTheme="majorHAnsi" w:hAnsiTheme="majorHAnsi"/>
        </w:rPr>
        <w:t xml:space="preserve">Așadar în baza considerentelor prezentate mai sus, în Partea I a Raportului vom trata distinct </w:t>
      </w:r>
      <w:r w:rsidR="00110AFD" w:rsidRPr="00767E6B">
        <w:rPr>
          <w:rFonts w:asciiTheme="majorHAnsi" w:hAnsiTheme="majorHAnsi"/>
        </w:rPr>
        <w:t>ÎPC</w:t>
      </w:r>
      <w:r w:rsidRPr="00767E6B">
        <w:rPr>
          <w:rFonts w:asciiTheme="majorHAnsi" w:hAnsiTheme="majorHAnsi"/>
        </w:rPr>
        <w:t xml:space="preserve"> din punct de vedere al respectării disciplinei financiare</w:t>
      </w:r>
      <w:r w:rsidR="00391748" w:rsidRPr="00767E6B">
        <w:rPr>
          <w:rFonts w:asciiTheme="majorHAnsi" w:hAnsiTheme="majorHAnsi"/>
        </w:rPr>
        <w:t xml:space="preserve"> și</w:t>
      </w:r>
      <w:r w:rsidRPr="00767E6B">
        <w:rPr>
          <w:rFonts w:asciiTheme="majorHAnsi" w:hAnsiTheme="majorHAnsi"/>
        </w:rPr>
        <w:t xml:space="preserve"> al modificărilor participațiilor statului. </w:t>
      </w:r>
    </w:p>
    <w:p w14:paraId="64BF1836" w14:textId="77777777" w:rsidR="006B117A" w:rsidRDefault="006B117A" w:rsidP="006B117A">
      <w:pPr>
        <w:pStyle w:val="ListParagraph"/>
        <w:ind w:left="0"/>
        <w:jc w:val="both"/>
        <w:rPr>
          <w:rFonts w:asciiTheme="majorHAnsi" w:hAnsiTheme="majorHAnsi"/>
          <w:b/>
          <w:bCs/>
        </w:rPr>
      </w:pPr>
    </w:p>
    <w:p w14:paraId="1210CC87" w14:textId="77777777" w:rsidR="00767E6B" w:rsidRDefault="00767E6B" w:rsidP="006B117A">
      <w:pPr>
        <w:pStyle w:val="ListParagraph"/>
        <w:ind w:left="0"/>
        <w:jc w:val="both"/>
        <w:rPr>
          <w:rFonts w:asciiTheme="majorHAnsi" w:hAnsiTheme="majorHAnsi"/>
          <w:b/>
          <w:bCs/>
        </w:rPr>
      </w:pPr>
    </w:p>
    <w:p w14:paraId="298302A7" w14:textId="77777777" w:rsidR="00D447BC" w:rsidRDefault="00D447BC" w:rsidP="006B117A">
      <w:pPr>
        <w:pStyle w:val="ListParagraph"/>
        <w:ind w:left="0"/>
        <w:jc w:val="both"/>
        <w:rPr>
          <w:rFonts w:asciiTheme="majorHAnsi" w:hAnsiTheme="majorHAnsi"/>
          <w:b/>
          <w:bCs/>
        </w:rPr>
      </w:pPr>
    </w:p>
    <w:p w14:paraId="22098F92" w14:textId="77777777" w:rsidR="00D447BC" w:rsidRDefault="00D447BC" w:rsidP="006B117A">
      <w:pPr>
        <w:pStyle w:val="ListParagraph"/>
        <w:ind w:left="0"/>
        <w:jc w:val="both"/>
        <w:rPr>
          <w:rFonts w:asciiTheme="majorHAnsi" w:hAnsiTheme="majorHAnsi"/>
          <w:b/>
          <w:bCs/>
        </w:rPr>
      </w:pPr>
    </w:p>
    <w:p w14:paraId="63D591C7" w14:textId="77777777" w:rsidR="00D447BC" w:rsidRDefault="00D447BC" w:rsidP="006B117A">
      <w:pPr>
        <w:pStyle w:val="ListParagraph"/>
        <w:ind w:left="0"/>
        <w:jc w:val="both"/>
        <w:rPr>
          <w:rFonts w:asciiTheme="majorHAnsi" w:hAnsiTheme="majorHAnsi"/>
          <w:b/>
          <w:bCs/>
        </w:rPr>
      </w:pPr>
    </w:p>
    <w:p w14:paraId="134672E9" w14:textId="77777777" w:rsidR="00D447BC" w:rsidRDefault="00D447BC" w:rsidP="006B117A">
      <w:pPr>
        <w:pStyle w:val="ListParagraph"/>
        <w:ind w:left="0"/>
        <w:jc w:val="both"/>
        <w:rPr>
          <w:rFonts w:asciiTheme="majorHAnsi" w:hAnsiTheme="majorHAnsi"/>
          <w:b/>
          <w:bCs/>
        </w:rPr>
      </w:pPr>
    </w:p>
    <w:p w14:paraId="10B3128A" w14:textId="77777777" w:rsidR="00D447BC" w:rsidRDefault="00D447BC" w:rsidP="006B117A">
      <w:pPr>
        <w:pStyle w:val="ListParagraph"/>
        <w:ind w:left="0"/>
        <w:jc w:val="both"/>
        <w:rPr>
          <w:rFonts w:asciiTheme="majorHAnsi" w:hAnsiTheme="majorHAnsi"/>
          <w:b/>
          <w:bCs/>
        </w:rPr>
      </w:pPr>
    </w:p>
    <w:p w14:paraId="40DAECF5" w14:textId="77777777" w:rsidR="00D447BC" w:rsidRDefault="00D447BC" w:rsidP="006B117A">
      <w:pPr>
        <w:pStyle w:val="ListParagraph"/>
        <w:ind w:left="0"/>
        <w:jc w:val="both"/>
        <w:rPr>
          <w:rFonts w:asciiTheme="majorHAnsi" w:hAnsiTheme="majorHAnsi"/>
          <w:b/>
          <w:bCs/>
        </w:rPr>
      </w:pPr>
    </w:p>
    <w:p w14:paraId="29C14F04" w14:textId="77777777" w:rsidR="00D447BC" w:rsidRDefault="00D447BC" w:rsidP="006B117A">
      <w:pPr>
        <w:pStyle w:val="ListParagraph"/>
        <w:ind w:left="0"/>
        <w:jc w:val="both"/>
        <w:rPr>
          <w:rFonts w:asciiTheme="majorHAnsi" w:hAnsiTheme="majorHAnsi"/>
          <w:b/>
          <w:bCs/>
        </w:rPr>
      </w:pPr>
    </w:p>
    <w:p w14:paraId="78012863" w14:textId="77777777" w:rsidR="00D447BC" w:rsidRDefault="00D447BC" w:rsidP="006B117A">
      <w:pPr>
        <w:pStyle w:val="ListParagraph"/>
        <w:ind w:left="0"/>
        <w:jc w:val="both"/>
        <w:rPr>
          <w:rFonts w:asciiTheme="majorHAnsi" w:hAnsiTheme="majorHAnsi"/>
          <w:b/>
          <w:bCs/>
        </w:rPr>
      </w:pPr>
    </w:p>
    <w:p w14:paraId="5F77594C" w14:textId="77777777" w:rsidR="00D447BC" w:rsidRDefault="00D447BC" w:rsidP="006B117A">
      <w:pPr>
        <w:pStyle w:val="ListParagraph"/>
        <w:ind w:left="0"/>
        <w:jc w:val="both"/>
        <w:rPr>
          <w:rFonts w:asciiTheme="majorHAnsi" w:hAnsiTheme="majorHAnsi"/>
          <w:b/>
          <w:bCs/>
        </w:rPr>
      </w:pPr>
    </w:p>
    <w:p w14:paraId="00A991DA" w14:textId="77777777" w:rsidR="00D447BC" w:rsidRDefault="00D447BC" w:rsidP="006B117A">
      <w:pPr>
        <w:pStyle w:val="ListParagraph"/>
        <w:ind w:left="0"/>
        <w:jc w:val="both"/>
        <w:rPr>
          <w:rFonts w:asciiTheme="majorHAnsi" w:hAnsiTheme="majorHAnsi"/>
          <w:b/>
          <w:bCs/>
        </w:rPr>
      </w:pPr>
    </w:p>
    <w:p w14:paraId="044D187D" w14:textId="77777777" w:rsidR="00D447BC" w:rsidRDefault="00D447BC" w:rsidP="006B117A">
      <w:pPr>
        <w:pStyle w:val="ListParagraph"/>
        <w:ind w:left="0"/>
        <w:jc w:val="both"/>
        <w:rPr>
          <w:rFonts w:asciiTheme="majorHAnsi" w:hAnsiTheme="majorHAnsi"/>
          <w:b/>
          <w:bCs/>
        </w:rPr>
      </w:pPr>
    </w:p>
    <w:p w14:paraId="1CB1210C" w14:textId="77777777" w:rsidR="00D447BC" w:rsidRDefault="00D447BC" w:rsidP="006B117A">
      <w:pPr>
        <w:pStyle w:val="ListParagraph"/>
        <w:ind w:left="0"/>
        <w:jc w:val="both"/>
        <w:rPr>
          <w:rFonts w:asciiTheme="majorHAnsi" w:hAnsiTheme="majorHAnsi"/>
          <w:b/>
          <w:bCs/>
        </w:rPr>
      </w:pPr>
    </w:p>
    <w:p w14:paraId="524D79B8" w14:textId="77777777" w:rsidR="00D447BC" w:rsidRDefault="00D447BC" w:rsidP="006B117A">
      <w:pPr>
        <w:pStyle w:val="ListParagraph"/>
        <w:ind w:left="0"/>
        <w:jc w:val="both"/>
        <w:rPr>
          <w:rFonts w:asciiTheme="majorHAnsi" w:hAnsiTheme="majorHAnsi"/>
          <w:b/>
          <w:bCs/>
        </w:rPr>
      </w:pPr>
    </w:p>
    <w:p w14:paraId="014376C7" w14:textId="77777777" w:rsidR="00D447BC" w:rsidRDefault="00D447BC" w:rsidP="006B117A">
      <w:pPr>
        <w:pStyle w:val="ListParagraph"/>
        <w:ind w:left="0"/>
        <w:jc w:val="both"/>
        <w:rPr>
          <w:rFonts w:asciiTheme="majorHAnsi" w:hAnsiTheme="majorHAnsi"/>
          <w:b/>
          <w:bCs/>
        </w:rPr>
      </w:pPr>
    </w:p>
    <w:p w14:paraId="143073E2" w14:textId="77777777" w:rsidR="00D447BC" w:rsidRDefault="00D447BC" w:rsidP="006B117A">
      <w:pPr>
        <w:pStyle w:val="ListParagraph"/>
        <w:ind w:left="0"/>
        <w:jc w:val="both"/>
        <w:rPr>
          <w:rFonts w:asciiTheme="majorHAnsi" w:hAnsiTheme="majorHAnsi"/>
          <w:b/>
          <w:bCs/>
        </w:rPr>
      </w:pPr>
    </w:p>
    <w:p w14:paraId="21DA5270" w14:textId="77777777" w:rsidR="00D447BC" w:rsidRDefault="00D447BC" w:rsidP="006B117A">
      <w:pPr>
        <w:pStyle w:val="ListParagraph"/>
        <w:ind w:left="0"/>
        <w:jc w:val="both"/>
        <w:rPr>
          <w:rFonts w:asciiTheme="majorHAnsi" w:hAnsiTheme="majorHAnsi"/>
          <w:b/>
          <w:bCs/>
        </w:rPr>
      </w:pPr>
    </w:p>
    <w:p w14:paraId="4F994D8B" w14:textId="77777777" w:rsidR="00D447BC" w:rsidRDefault="00D447BC" w:rsidP="006B117A">
      <w:pPr>
        <w:pStyle w:val="ListParagraph"/>
        <w:ind w:left="0"/>
        <w:jc w:val="both"/>
        <w:rPr>
          <w:rFonts w:asciiTheme="majorHAnsi" w:hAnsiTheme="majorHAnsi"/>
          <w:b/>
          <w:bCs/>
        </w:rPr>
      </w:pPr>
    </w:p>
    <w:p w14:paraId="4740AE31" w14:textId="77777777" w:rsidR="00D447BC" w:rsidRDefault="00D447BC" w:rsidP="006B117A">
      <w:pPr>
        <w:pStyle w:val="ListParagraph"/>
        <w:ind w:left="0"/>
        <w:jc w:val="both"/>
        <w:rPr>
          <w:rFonts w:asciiTheme="majorHAnsi" w:hAnsiTheme="majorHAnsi"/>
          <w:b/>
          <w:bCs/>
        </w:rPr>
      </w:pPr>
    </w:p>
    <w:p w14:paraId="1767641F" w14:textId="77777777" w:rsidR="00D447BC" w:rsidRDefault="00D447BC" w:rsidP="006B117A">
      <w:pPr>
        <w:pStyle w:val="ListParagraph"/>
        <w:ind w:left="0"/>
        <w:jc w:val="both"/>
        <w:rPr>
          <w:rFonts w:asciiTheme="majorHAnsi" w:hAnsiTheme="majorHAnsi"/>
          <w:b/>
          <w:bCs/>
        </w:rPr>
      </w:pPr>
    </w:p>
    <w:p w14:paraId="7478B653" w14:textId="77777777" w:rsidR="00D447BC" w:rsidRDefault="00D447BC" w:rsidP="006B117A">
      <w:pPr>
        <w:pStyle w:val="ListParagraph"/>
        <w:ind w:left="0"/>
        <w:jc w:val="both"/>
        <w:rPr>
          <w:rFonts w:asciiTheme="majorHAnsi" w:hAnsiTheme="majorHAnsi"/>
          <w:b/>
          <w:bCs/>
        </w:rPr>
      </w:pPr>
    </w:p>
    <w:p w14:paraId="55F78FC7" w14:textId="77777777" w:rsidR="00D447BC" w:rsidRDefault="00D447BC" w:rsidP="006B117A">
      <w:pPr>
        <w:pStyle w:val="ListParagraph"/>
        <w:ind w:left="0"/>
        <w:jc w:val="both"/>
        <w:rPr>
          <w:rFonts w:asciiTheme="majorHAnsi" w:hAnsiTheme="majorHAnsi"/>
          <w:b/>
          <w:bCs/>
        </w:rPr>
      </w:pPr>
    </w:p>
    <w:p w14:paraId="1553A86D" w14:textId="77777777" w:rsidR="00767E6B" w:rsidRDefault="00767E6B" w:rsidP="006B117A">
      <w:pPr>
        <w:pStyle w:val="ListParagraph"/>
        <w:ind w:left="0"/>
        <w:jc w:val="both"/>
        <w:rPr>
          <w:rFonts w:asciiTheme="majorHAnsi" w:hAnsiTheme="majorHAnsi"/>
          <w:b/>
          <w:bCs/>
        </w:rPr>
      </w:pPr>
    </w:p>
    <w:p w14:paraId="45711CFD" w14:textId="77777777" w:rsidR="00767E6B" w:rsidRPr="00D95C57" w:rsidRDefault="00767E6B" w:rsidP="006B117A">
      <w:pPr>
        <w:pStyle w:val="ListParagraph"/>
        <w:ind w:left="0"/>
        <w:jc w:val="both"/>
        <w:rPr>
          <w:rFonts w:asciiTheme="majorHAnsi" w:hAnsiTheme="majorHAnsi"/>
          <w:b/>
          <w:bCs/>
        </w:rPr>
      </w:pPr>
    </w:p>
    <w:p w14:paraId="1F71E304" w14:textId="77777777" w:rsidR="00D22078" w:rsidRPr="00D95C57" w:rsidRDefault="00C22538" w:rsidP="007044FF">
      <w:pPr>
        <w:rPr>
          <w:rFonts w:asciiTheme="majorHAnsi" w:hAnsiTheme="majorHAnsi"/>
          <w:b/>
          <w:bCs/>
          <w:color w:val="0F6FC6" w:themeColor="accent1"/>
          <w:sz w:val="28"/>
          <w:szCs w:val="28"/>
        </w:rPr>
      </w:pPr>
      <w:r w:rsidRPr="00D95C57">
        <w:rPr>
          <w:rFonts w:asciiTheme="majorHAnsi" w:hAnsiTheme="majorHAnsi"/>
          <w:b/>
          <w:bCs/>
          <w:color w:val="0F6FC6" w:themeColor="accent1"/>
          <w:sz w:val="28"/>
          <w:szCs w:val="28"/>
        </w:rPr>
        <w:t xml:space="preserve">Cifre cheie realizate </w:t>
      </w:r>
      <w:r w:rsidR="00B832B2" w:rsidRPr="00D95C57">
        <w:rPr>
          <w:rFonts w:asciiTheme="majorHAnsi" w:hAnsiTheme="majorHAnsi"/>
          <w:b/>
          <w:bCs/>
          <w:color w:val="0F6FC6" w:themeColor="accent1"/>
          <w:sz w:val="28"/>
          <w:szCs w:val="28"/>
        </w:rPr>
        <w:t>în anul 20</w:t>
      </w:r>
      <w:r w:rsidR="00767E6B">
        <w:rPr>
          <w:rFonts w:asciiTheme="majorHAnsi" w:hAnsiTheme="majorHAnsi"/>
          <w:b/>
          <w:bCs/>
          <w:color w:val="0F6FC6" w:themeColor="accent1"/>
          <w:sz w:val="28"/>
          <w:szCs w:val="28"/>
        </w:rPr>
        <w:t>20</w:t>
      </w:r>
      <w:r w:rsidR="007044FF" w:rsidRPr="00D95C57">
        <w:rPr>
          <w:rFonts w:asciiTheme="majorHAnsi" w:hAnsiTheme="majorHAnsi"/>
          <w:b/>
          <w:bCs/>
          <w:color w:val="0F6FC6" w:themeColor="accent1"/>
          <w:sz w:val="28"/>
          <w:szCs w:val="28"/>
        </w:rPr>
        <w:t xml:space="preserve"> </w:t>
      </w:r>
      <w:r w:rsidRPr="00D95C57">
        <w:rPr>
          <w:rFonts w:asciiTheme="majorHAnsi" w:hAnsiTheme="majorHAnsi"/>
          <w:b/>
          <w:bCs/>
          <w:color w:val="0F6FC6" w:themeColor="accent1"/>
          <w:sz w:val="28"/>
          <w:szCs w:val="28"/>
        </w:rPr>
        <w:t xml:space="preserve">de </w:t>
      </w:r>
      <w:r w:rsidR="00634ED2" w:rsidRPr="00D95C57">
        <w:rPr>
          <w:rFonts w:asciiTheme="majorHAnsi" w:hAnsiTheme="majorHAnsi"/>
          <w:b/>
          <w:bCs/>
          <w:color w:val="0F6FC6" w:themeColor="accent1"/>
          <w:sz w:val="28"/>
          <w:szCs w:val="28"/>
        </w:rPr>
        <w:t xml:space="preserve">întreprinderile </w:t>
      </w:r>
      <w:r w:rsidR="00110AFD" w:rsidRPr="00D95C57">
        <w:rPr>
          <w:rFonts w:asciiTheme="majorHAnsi" w:hAnsiTheme="majorHAnsi"/>
          <w:b/>
          <w:bCs/>
          <w:color w:val="0F6FC6" w:themeColor="accent1"/>
          <w:sz w:val="28"/>
          <w:szCs w:val="28"/>
        </w:rPr>
        <w:t>publice centrale</w:t>
      </w:r>
      <w:r w:rsidR="007044FF" w:rsidRPr="00D95C57">
        <w:rPr>
          <w:rFonts w:asciiTheme="majorHAnsi" w:hAnsiTheme="majorHAnsi"/>
          <w:b/>
          <w:bCs/>
          <w:color w:val="0F6FC6" w:themeColor="accent1"/>
          <w:sz w:val="28"/>
          <w:szCs w:val="28"/>
        </w:rPr>
        <w:t xml:space="preserve"> active</w:t>
      </w:r>
      <w:r w:rsidRPr="00D95C57">
        <w:rPr>
          <w:rFonts w:asciiTheme="majorHAnsi" w:hAnsiTheme="majorHAnsi"/>
          <w:b/>
          <w:bCs/>
          <w:color w:val="0F6FC6" w:themeColor="accent1"/>
          <w:sz w:val="28"/>
          <w:szCs w:val="28"/>
        </w:rPr>
        <w:t xml:space="preserve"> </w:t>
      </w:r>
    </w:p>
    <w:p w14:paraId="6F1EC068" w14:textId="77777777" w:rsidR="007B1518" w:rsidRDefault="007919B7" w:rsidP="00144DBD">
      <w:r w:rsidRPr="00D95C57">
        <w:rPr>
          <w:rFonts w:asciiTheme="majorHAnsi" w:hAnsiTheme="majorHAnsi" w:cstheme="majorBidi"/>
          <w:b/>
          <w:bCs/>
          <w:noProof/>
          <w:sz w:val="24"/>
          <w:szCs w:val="24"/>
          <w:lang w:val="en-US"/>
        </w:rPr>
        <w:drawing>
          <wp:inline distT="0" distB="0" distL="0" distR="0" wp14:anchorId="3ED377AE" wp14:editId="51A31A6A">
            <wp:extent cx="5698490" cy="3189605"/>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9C83937" w14:textId="77777777" w:rsidR="00915604" w:rsidRDefault="00915604" w:rsidP="00144DBD"/>
    <w:tbl>
      <w:tblPr>
        <w:tblW w:w="9105" w:type="dxa"/>
        <w:tblInd w:w="93" w:type="dxa"/>
        <w:tblLayout w:type="fixed"/>
        <w:tblLook w:val="04A0" w:firstRow="1" w:lastRow="0" w:firstColumn="1" w:lastColumn="0" w:noHBand="0" w:noVBand="1"/>
      </w:tblPr>
      <w:tblGrid>
        <w:gridCol w:w="4103"/>
        <w:gridCol w:w="676"/>
        <w:gridCol w:w="788"/>
        <w:gridCol w:w="1265"/>
        <w:gridCol w:w="1066"/>
        <w:gridCol w:w="1207"/>
      </w:tblGrid>
      <w:tr w:rsidR="00B00311" w:rsidRPr="00B00311" w14:paraId="15032598" w14:textId="77777777" w:rsidTr="00B00311">
        <w:trPr>
          <w:trHeight w:val="411"/>
        </w:trPr>
        <w:tc>
          <w:tcPr>
            <w:tcW w:w="9105" w:type="dxa"/>
            <w:gridSpan w:val="6"/>
            <w:tcBorders>
              <w:top w:val="nil"/>
              <w:left w:val="single" w:sz="8" w:space="0" w:color="FFFFFF"/>
              <w:bottom w:val="single" w:sz="4" w:space="0" w:color="5B9BD5"/>
              <w:right w:val="nil"/>
            </w:tcBorders>
            <w:shd w:val="clear" w:color="auto" w:fill="auto"/>
            <w:hideMark/>
          </w:tcPr>
          <w:p w14:paraId="6147A7F4" w14:textId="77777777" w:rsidR="00B00311" w:rsidRPr="00B00311" w:rsidRDefault="00B00311" w:rsidP="00B00311">
            <w:pPr>
              <w:spacing w:before="0" w:after="0" w:line="240" w:lineRule="auto"/>
              <w:rPr>
                <w:rFonts w:ascii="Calibri" w:eastAsia="Times New Roman" w:hAnsi="Calibri" w:cs="Calibri"/>
                <w:color w:val="5B9BD5"/>
                <w:lang w:val="en-US"/>
              </w:rPr>
            </w:pPr>
            <w:r w:rsidRPr="00B00311">
              <w:rPr>
                <w:rFonts w:ascii="Calibri" w:eastAsia="Times New Roman" w:hAnsi="Calibri" w:cs="Calibri"/>
                <w:lang w:val="en-US"/>
              </w:rPr>
              <w:t>TABEL – Indicatori economico-financiari înregistrați de întreprinderile publice centrale la 31 decembrie 2020</w:t>
            </w:r>
          </w:p>
        </w:tc>
      </w:tr>
      <w:tr w:rsidR="00B00311" w:rsidRPr="00B00311" w14:paraId="017C1FF8" w14:textId="77777777" w:rsidTr="00915604">
        <w:trPr>
          <w:trHeight w:val="224"/>
        </w:trPr>
        <w:tc>
          <w:tcPr>
            <w:tcW w:w="4103" w:type="dxa"/>
            <w:vMerge w:val="restart"/>
            <w:tcBorders>
              <w:top w:val="nil"/>
              <w:left w:val="single" w:sz="4" w:space="0" w:color="FFFFFF"/>
              <w:bottom w:val="single" w:sz="4" w:space="0" w:color="5B9BD5"/>
              <w:right w:val="single" w:sz="4" w:space="0" w:color="FFFFFF"/>
            </w:tcBorders>
            <w:shd w:val="clear" w:color="000000" w:fill="FFFFFF"/>
            <w:hideMark/>
          </w:tcPr>
          <w:p w14:paraId="34C5E58D" w14:textId="77777777" w:rsidR="00B00311" w:rsidRPr="00B00311" w:rsidRDefault="00B00311" w:rsidP="00B00311">
            <w:pPr>
              <w:spacing w:before="0" w:after="0" w:line="240" w:lineRule="auto"/>
              <w:rPr>
                <w:rFonts w:ascii="Calibri" w:eastAsia="Times New Roman" w:hAnsi="Calibri" w:cs="Calibri"/>
                <w:color w:val="0F6FC6" w:themeColor="accent1"/>
                <w:sz w:val="16"/>
                <w:szCs w:val="16"/>
                <w:lang w:val="en-US"/>
              </w:rPr>
            </w:pPr>
            <w:r w:rsidRPr="00B00311">
              <w:rPr>
                <w:rFonts w:ascii="Calibri" w:eastAsia="Times New Roman" w:hAnsi="Calibri" w:cs="Calibri"/>
                <w:color w:val="0F6FC6" w:themeColor="accent1"/>
                <w:sz w:val="16"/>
                <w:szCs w:val="16"/>
                <w:lang w:val="en-US"/>
              </w:rPr>
              <w:t>Indicatori economico-financiari</w:t>
            </w:r>
          </w:p>
        </w:tc>
        <w:tc>
          <w:tcPr>
            <w:tcW w:w="676" w:type="dxa"/>
            <w:vMerge w:val="restart"/>
            <w:tcBorders>
              <w:top w:val="nil"/>
              <w:left w:val="single" w:sz="4" w:space="0" w:color="FFFFFF"/>
              <w:bottom w:val="single" w:sz="4" w:space="0" w:color="5B9BD5"/>
              <w:right w:val="single" w:sz="4" w:space="0" w:color="FFFFFF"/>
            </w:tcBorders>
            <w:shd w:val="clear" w:color="000000" w:fill="FFFFFF"/>
            <w:noWrap/>
            <w:hideMark/>
          </w:tcPr>
          <w:p w14:paraId="270427F1"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r w:rsidRPr="00B00311">
              <w:rPr>
                <w:rFonts w:ascii="Calibri" w:eastAsia="Times New Roman" w:hAnsi="Calibri" w:cs="Calibri"/>
                <w:color w:val="0F6FC6" w:themeColor="accent1"/>
                <w:sz w:val="16"/>
                <w:szCs w:val="16"/>
                <w:lang w:val="en-US"/>
              </w:rPr>
              <w:t>U.M.</w:t>
            </w:r>
          </w:p>
        </w:tc>
        <w:tc>
          <w:tcPr>
            <w:tcW w:w="788" w:type="dxa"/>
            <w:vMerge w:val="restart"/>
            <w:tcBorders>
              <w:top w:val="nil"/>
              <w:left w:val="single" w:sz="4" w:space="0" w:color="FFFFFF"/>
              <w:bottom w:val="single" w:sz="4" w:space="0" w:color="5B9BD5"/>
              <w:right w:val="single" w:sz="4" w:space="0" w:color="FFFFFF"/>
            </w:tcBorders>
            <w:shd w:val="clear" w:color="000000" w:fill="FFFFFF"/>
            <w:noWrap/>
            <w:hideMark/>
          </w:tcPr>
          <w:p w14:paraId="657D1A98"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r w:rsidRPr="00B00311">
              <w:rPr>
                <w:rFonts w:ascii="Calibri" w:eastAsia="Times New Roman" w:hAnsi="Calibri" w:cs="Calibri"/>
                <w:color w:val="0F6FC6" w:themeColor="accent1"/>
                <w:sz w:val="16"/>
                <w:szCs w:val="16"/>
                <w:lang w:val="en-US"/>
              </w:rPr>
              <w:t>Anul</w:t>
            </w:r>
          </w:p>
        </w:tc>
        <w:tc>
          <w:tcPr>
            <w:tcW w:w="1265" w:type="dxa"/>
            <w:tcBorders>
              <w:top w:val="nil"/>
              <w:left w:val="nil"/>
              <w:bottom w:val="single" w:sz="4" w:space="0" w:color="5B9BD5"/>
              <w:right w:val="single" w:sz="4" w:space="0" w:color="FFFFFF"/>
            </w:tcBorders>
            <w:shd w:val="clear" w:color="000000" w:fill="FFFFFF"/>
            <w:hideMark/>
          </w:tcPr>
          <w:p w14:paraId="0B723574"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r w:rsidRPr="00B00311">
              <w:rPr>
                <w:rFonts w:ascii="Calibri" w:eastAsia="Times New Roman" w:hAnsi="Calibri" w:cs="Calibri"/>
                <w:color w:val="0F6FC6" w:themeColor="accent1"/>
                <w:sz w:val="16"/>
                <w:szCs w:val="16"/>
                <w:lang w:val="en-US"/>
              </w:rPr>
              <w:t>ÎPC Active</w:t>
            </w:r>
          </w:p>
        </w:tc>
        <w:tc>
          <w:tcPr>
            <w:tcW w:w="1066" w:type="dxa"/>
            <w:tcBorders>
              <w:top w:val="nil"/>
              <w:left w:val="nil"/>
              <w:bottom w:val="single" w:sz="4" w:space="0" w:color="5B9BD5"/>
              <w:right w:val="single" w:sz="4" w:space="0" w:color="FFFFFF"/>
            </w:tcBorders>
            <w:shd w:val="clear" w:color="000000" w:fill="FFFFFF"/>
            <w:hideMark/>
          </w:tcPr>
          <w:p w14:paraId="37795CC3"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r w:rsidRPr="00B00311">
              <w:rPr>
                <w:rFonts w:ascii="Calibri" w:eastAsia="Times New Roman" w:hAnsi="Calibri" w:cs="Calibri"/>
                <w:color w:val="0F6FC6" w:themeColor="accent1"/>
                <w:sz w:val="16"/>
                <w:szCs w:val="16"/>
                <w:lang w:val="en-US"/>
              </w:rPr>
              <w:t>ÎPC Inactive</w:t>
            </w:r>
          </w:p>
        </w:tc>
        <w:tc>
          <w:tcPr>
            <w:tcW w:w="1207" w:type="dxa"/>
            <w:tcBorders>
              <w:top w:val="nil"/>
              <w:left w:val="nil"/>
              <w:bottom w:val="single" w:sz="4" w:space="0" w:color="5B9BD5"/>
              <w:right w:val="single" w:sz="4" w:space="0" w:color="FFFFFF"/>
            </w:tcBorders>
            <w:shd w:val="clear" w:color="000000" w:fill="FFFFFF"/>
            <w:hideMark/>
          </w:tcPr>
          <w:p w14:paraId="45E87277"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r w:rsidRPr="00B00311">
              <w:rPr>
                <w:rFonts w:ascii="Calibri" w:eastAsia="Times New Roman" w:hAnsi="Calibri" w:cs="Calibri"/>
                <w:color w:val="0F6FC6" w:themeColor="accent1"/>
                <w:sz w:val="16"/>
                <w:szCs w:val="16"/>
                <w:lang w:val="en-US"/>
              </w:rPr>
              <w:t>Total general</w:t>
            </w:r>
          </w:p>
        </w:tc>
      </w:tr>
      <w:tr w:rsidR="00B00311" w:rsidRPr="00B00311" w14:paraId="64BA062B" w14:textId="77777777" w:rsidTr="00B00311">
        <w:trPr>
          <w:trHeight w:val="210"/>
        </w:trPr>
        <w:tc>
          <w:tcPr>
            <w:tcW w:w="4103" w:type="dxa"/>
            <w:vMerge/>
            <w:tcBorders>
              <w:top w:val="nil"/>
              <w:left w:val="single" w:sz="4" w:space="0" w:color="FFFFFF"/>
              <w:bottom w:val="single" w:sz="4" w:space="0" w:color="5B9BD5"/>
              <w:right w:val="single" w:sz="4" w:space="0" w:color="FFFFFF"/>
            </w:tcBorders>
            <w:hideMark/>
          </w:tcPr>
          <w:p w14:paraId="11E30D51" w14:textId="77777777" w:rsidR="00B00311" w:rsidRPr="00B00311" w:rsidRDefault="00B00311" w:rsidP="00B00311">
            <w:pPr>
              <w:spacing w:before="0" w:after="0" w:line="240" w:lineRule="auto"/>
              <w:rPr>
                <w:rFonts w:ascii="Calibri" w:eastAsia="Times New Roman" w:hAnsi="Calibri" w:cs="Calibri"/>
                <w:color w:val="0F6FC6" w:themeColor="accent1"/>
                <w:sz w:val="16"/>
                <w:szCs w:val="16"/>
                <w:lang w:val="en-US"/>
              </w:rPr>
            </w:pPr>
          </w:p>
        </w:tc>
        <w:tc>
          <w:tcPr>
            <w:tcW w:w="676" w:type="dxa"/>
            <w:vMerge/>
            <w:tcBorders>
              <w:top w:val="nil"/>
              <w:left w:val="single" w:sz="4" w:space="0" w:color="FFFFFF"/>
              <w:bottom w:val="single" w:sz="4" w:space="0" w:color="5B9BD5"/>
              <w:right w:val="single" w:sz="4" w:space="0" w:color="FFFFFF"/>
            </w:tcBorders>
            <w:hideMark/>
          </w:tcPr>
          <w:p w14:paraId="4E8293F3"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p>
        </w:tc>
        <w:tc>
          <w:tcPr>
            <w:tcW w:w="788" w:type="dxa"/>
            <w:vMerge/>
            <w:tcBorders>
              <w:top w:val="nil"/>
              <w:left w:val="single" w:sz="4" w:space="0" w:color="FFFFFF"/>
              <w:bottom w:val="single" w:sz="4" w:space="0" w:color="5B9BD5"/>
              <w:right w:val="single" w:sz="4" w:space="0" w:color="FFFFFF"/>
            </w:tcBorders>
            <w:hideMark/>
          </w:tcPr>
          <w:p w14:paraId="0272A71D" w14:textId="77777777" w:rsidR="00B00311" w:rsidRPr="00B00311" w:rsidRDefault="00B00311" w:rsidP="00B00311">
            <w:pPr>
              <w:spacing w:before="0" w:after="0" w:line="240" w:lineRule="auto"/>
              <w:jc w:val="right"/>
              <w:rPr>
                <w:rFonts w:ascii="Calibri" w:eastAsia="Times New Roman" w:hAnsi="Calibri" w:cs="Calibri"/>
                <w:color w:val="0F6FC6" w:themeColor="accent1"/>
                <w:sz w:val="16"/>
                <w:szCs w:val="16"/>
                <w:lang w:val="en-US"/>
              </w:rPr>
            </w:pPr>
          </w:p>
        </w:tc>
        <w:tc>
          <w:tcPr>
            <w:tcW w:w="1265" w:type="dxa"/>
            <w:tcBorders>
              <w:top w:val="nil"/>
              <w:left w:val="nil"/>
              <w:bottom w:val="single" w:sz="4" w:space="0" w:color="5B9BD5"/>
              <w:right w:val="single" w:sz="4" w:space="0" w:color="FFFFFF"/>
            </w:tcBorders>
            <w:shd w:val="clear" w:color="000000" w:fill="FFFFFF"/>
            <w:hideMark/>
          </w:tcPr>
          <w:p w14:paraId="0381A675" w14:textId="77777777" w:rsidR="00B00311" w:rsidRPr="00B00311" w:rsidRDefault="00B00311" w:rsidP="00B00311">
            <w:pPr>
              <w:spacing w:before="0" w:after="0" w:line="240" w:lineRule="auto"/>
              <w:jc w:val="right"/>
              <w:rPr>
                <w:rFonts w:ascii="Calibri" w:eastAsia="Times New Roman" w:hAnsi="Calibri" w:cs="Calibri"/>
                <w:b/>
                <w:bCs/>
                <w:i/>
                <w:iCs/>
                <w:color w:val="0F6FC6" w:themeColor="accent1"/>
                <w:sz w:val="14"/>
                <w:szCs w:val="14"/>
                <w:lang w:val="en-US"/>
              </w:rPr>
            </w:pPr>
            <w:r w:rsidRPr="00B00311">
              <w:rPr>
                <w:rFonts w:ascii="Calibri" w:eastAsia="Times New Roman" w:hAnsi="Calibri" w:cs="Calibri"/>
                <w:b/>
                <w:bCs/>
                <w:i/>
                <w:iCs/>
                <w:color w:val="0F6FC6" w:themeColor="accent1"/>
                <w:sz w:val="14"/>
                <w:szCs w:val="14"/>
                <w:lang w:val="en-US"/>
              </w:rPr>
              <w:t>1</w:t>
            </w:r>
          </w:p>
        </w:tc>
        <w:tc>
          <w:tcPr>
            <w:tcW w:w="1066" w:type="dxa"/>
            <w:tcBorders>
              <w:top w:val="nil"/>
              <w:left w:val="nil"/>
              <w:bottom w:val="single" w:sz="4" w:space="0" w:color="5B9BD5"/>
              <w:right w:val="single" w:sz="4" w:space="0" w:color="FFFFFF"/>
            </w:tcBorders>
            <w:shd w:val="clear" w:color="000000" w:fill="FFFFFF"/>
            <w:hideMark/>
          </w:tcPr>
          <w:p w14:paraId="1FDB7C59" w14:textId="77777777" w:rsidR="00B00311" w:rsidRPr="00B00311" w:rsidRDefault="00B00311" w:rsidP="00B00311">
            <w:pPr>
              <w:spacing w:before="0" w:after="0" w:line="240" w:lineRule="auto"/>
              <w:jc w:val="right"/>
              <w:rPr>
                <w:rFonts w:ascii="Calibri" w:eastAsia="Times New Roman" w:hAnsi="Calibri" w:cs="Calibri"/>
                <w:b/>
                <w:bCs/>
                <w:i/>
                <w:iCs/>
                <w:color w:val="0F6FC6" w:themeColor="accent1"/>
                <w:sz w:val="14"/>
                <w:szCs w:val="14"/>
                <w:lang w:val="en-US"/>
              </w:rPr>
            </w:pPr>
            <w:r w:rsidRPr="00B00311">
              <w:rPr>
                <w:rFonts w:ascii="Calibri" w:eastAsia="Times New Roman" w:hAnsi="Calibri" w:cs="Calibri"/>
                <w:b/>
                <w:bCs/>
                <w:i/>
                <w:iCs/>
                <w:color w:val="0F6FC6" w:themeColor="accent1"/>
                <w:sz w:val="14"/>
                <w:szCs w:val="14"/>
                <w:lang w:val="en-US"/>
              </w:rPr>
              <w:t>2</w:t>
            </w:r>
          </w:p>
        </w:tc>
        <w:tc>
          <w:tcPr>
            <w:tcW w:w="1207" w:type="dxa"/>
            <w:tcBorders>
              <w:top w:val="nil"/>
              <w:left w:val="nil"/>
              <w:bottom w:val="single" w:sz="4" w:space="0" w:color="5B9BD5"/>
              <w:right w:val="single" w:sz="4" w:space="0" w:color="FFFFFF"/>
            </w:tcBorders>
            <w:shd w:val="clear" w:color="000000" w:fill="FFFFFF"/>
            <w:hideMark/>
          </w:tcPr>
          <w:p w14:paraId="423E2263" w14:textId="77777777" w:rsidR="00B00311" w:rsidRPr="00B00311" w:rsidRDefault="00B00311" w:rsidP="00B00311">
            <w:pPr>
              <w:spacing w:before="0" w:after="0" w:line="240" w:lineRule="auto"/>
              <w:jc w:val="right"/>
              <w:rPr>
                <w:rFonts w:ascii="Calibri" w:eastAsia="Times New Roman" w:hAnsi="Calibri" w:cs="Calibri"/>
                <w:b/>
                <w:bCs/>
                <w:i/>
                <w:iCs/>
                <w:color w:val="0F6FC6" w:themeColor="accent1"/>
                <w:sz w:val="14"/>
                <w:szCs w:val="14"/>
                <w:lang w:val="en-US"/>
              </w:rPr>
            </w:pPr>
            <w:r w:rsidRPr="00B00311">
              <w:rPr>
                <w:rFonts w:ascii="Calibri" w:eastAsia="Times New Roman" w:hAnsi="Calibri" w:cs="Calibri"/>
                <w:b/>
                <w:bCs/>
                <w:i/>
                <w:iCs/>
                <w:color w:val="0F6FC6" w:themeColor="accent1"/>
                <w:sz w:val="14"/>
                <w:szCs w:val="14"/>
                <w:lang w:val="en-US"/>
              </w:rPr>
              <w:t>3=1+2</w:t>
            </w:r>
          </w:p>
        </w:tc>
      </w:tr>
      <w:tr w:rsidR="00B00311" w:rsidRPr="00B00311" w14:paraId="304BAA9D" w14:textId="77777777" w:rsidTr="00915604">
        <w:trPr>
          <w:trHeight w:val="215"/>
        </w:trPr>
        <w:tc>
          <w:tcPr>
            <w:tcW w:w="4103" w:type="dxa"/>
            <w:tcBorders>
              <w:top w:val="nil"/>
              <w:left w:val="single" w:sz="8" w:space="0" w:color="FFFFFF"/>
              <w:bottom w:val="nil"/>
              <w:right w:val="single" w:sz="8" w:space="0" w:color="FFFFFF"/>
            </w:tcBorders>
            <w:shd w:val="clear" w:color="000000" w:fill="FFFFFF"/>
            <w:hideMark/>
          </w:tcPr>
          <w:p w14:paraId="4F8B8BD1"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Nr întreprinderi publice</w:t>
            </w:r>
          </w:p>
        </w:tc>
        <w:tc>
          <w:tcPr>
            <w:tcW w:w="676" w:type="dxa"/>
            <w:tcBorders>
              <w:top w:val="nil"/>
              <w:left w:val="nil"/>
              <w:bottom w:val="nil"/>
              <w:right w:val="single" w:sz="8" w:space="0" w:color="FFFFFF"/>
            </w:tcBorders>
            <w:shd w:val="clear" w:color="000000" w:fill="FFFFFF"/>
            <w:hideMark/>
          </w:tcPr>
          <w:p w14:paraId="377FB5DB"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nr. ÎPC</w:t>
            </w:r>
          </w:p>
        </w:tc>
        <w:tc>
          <w:tcPr>
            <w:tcW w:w="788" w:type="dxa"/>
            <w:tcBorders>
              <w:top w:val="nil"/>
              <w:left w:val="nil"/>
              <w:bottom w:val="nil"/>
              <w:right w:val="single" w:sz="8" w:space="0" w:color="FFFFFF"/>
            </w:tcBorders>
            <w:shd w:val="clear" w:color="000000" w:fill="FFFFFF"/>
            <w:hideMark/>
          </w:tcPr>
          <w:p w14:paraId="39705FB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27158C96"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226</w:t>
            </w:r>
          </w:p>
        </w:tc>
        <w:tc>
          <w:tcPr>
            <w:tcW w:w="1066" w:type="dxa"/>
            <w:tcBorders>
              <w:top w:val="nil"/>
              <w:left w:val="nil"/>
              <w:bottom w:val="nil"/>
              <w:right w:val="nil"/>
            </w:tcBorders>
            <w:shd w:val="clear" w:color="auto" w:fill="auto"/>
            <w:noWrap/>
            <w:hideMark/>
          </w:tcPr>
          <w:p w14:paraId="00BF0F7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21</w:t>
            </w:r>
          </w:p>
        </w:tc>
        <w:tc>
          <w:tcPr>
            <w:tcW w:w="1207" w:type="dxa"/>
            <w:tcBorders>
              <w:top w:val="nil"/>
              <w:left w:val="nil"/>
              <w:bottom w:val="nil"/>
              <w:right w:val="nil"/>
            </w:tcBorders>
            <w:shd w:val="clear" w:color="auto" w:fill="auto"/>
            <w:noWrap/>
            <w:hideMark/>
          </w:tcPr>
          <w:p w14:paraId="3CC01753"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247</w:t>
            </w:r>
          </w:p>
        </w:tc>
      </w:tr>
      <w:tr w:rsidR="00B00311" w:rsidRPr="00B00311" w14:paraId="620D992E"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61DD17B5"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Cifra de afaceri netă</w:t>
            </w:r>
          </w:p>
        </w:tc>
        <w:tc>
          <w:tcPr>
            <w:tcW w:w="676" w:type="dxa"/>
            <w:tcBorders>
              <w:top w:val="nil"/>
              <w:left w:val="nil"/>
              <w:bottom w:val="nil"/>
              <w:right w:val="single" w:sz="8" w:space="0" w:color="FFFFFF"/>
            </w:tcBorders>
            <w:shd w:val="clear" w:color="000000" w:fill="FFFFFF"/>
            <w:hideMark/>
          </w:tcPr>
          <w:p w14:paraId="79E37050"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2558AD0B"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55F33BC3"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35.199.453</w:t>
            </w:r>
          </w:p>
        </w:tc>
        <w:tc>
          <w:tcPr>
            <w:tcW w:w="1066" w:type="dxa"/>
            <w:tcBorders>
              <w:top w:val="nil"/>
              <w:left w:val="nil"/>
              <w:bottom w:val="nil"/>
              <w:right w:val="nil"/>
            </w:tcBorders>
            <w:shd w:val="clear" w:color="auto" w:fill="auto"/>
            <w:noWrap/>
            <w:hideMark/>
          </w:tcPr>
          <w:p w14:paraId="6F488D97"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2.356.149</w:t>
            </w:r>
          </w:p>
        </w:tc>
        <w:tc>
          <w:tcPr>
            <w:tcW w:w="1207" w:type="dxa"/>
            <w:tcBorders>
              <w:top w:val="nil"/>
              <w:left w:val="nil"/>
              <w:bottom w:val="nil"/>
              <w:right w:val="nil"/>
            </w:tcBorders>
            <w:shd w:val="clear" w:color="auto" w:fill="auto"/>
            <w:noWrap/>
            <w:hideMark/>
          </w:tcPr>
          <w:p w14:paraId="4D6CCD52"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37.555.602</w:t>
            </w:r>
          </w:p>
        </w:tc>
      </w:tr>
      <w:tr w:rsidR="00B00311" w:rsidRPr="00B00311" w14:paraId="235BECFD" w14:textId="77777777" w:rsidTr="00915604">
        <w:trPr>
          <w:trHeight w:val="234"/>
        </w:trPr>
        <w:tc>
          <w:tcPr>
            <w:tcW w:w="4103" w:type="dxa"/>
            <w:tcBorders>
              <w:top w:val="nil"/>
              <w:left w:val="single" w:sz="8" w:space="0" w:color="FFFFFF"/>
              <w:bottom w:val="nil"/>
              <w:right w:val="single" w:sz="8" w:space="0" w:color="FFFFFF"/>
            </w:tcBorders>
            <w:shd w:val="clear" w:color="000000" w:fill="FFFFFF"/>
            <w:hideMark/>
          </w:tcPr>
          <w:p w14:paraId="3EBA641C"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Rezultat din exploatare (EBIT)</w:t>
            </w:r>
          </w:p>
        </w:tc>
        <w:tc>
          <w:tcPr>
            <w:tcW w:w="676" w:type="dxa"/>
            <w:tcBorders>
              <w:top w:val="nil"/>
              <w:left w:val="nil"/>
              <w:bottom w:val="nil"/>
              <w:right w:val="single" w:sz="8" w:space="0" w:color="FFFFFF"/>
            </w:tcBorders>
            <w:shd w:val="clear" w:color="000000" w:fill="FFFFFF"/>
            <w:hideMark/>
          </w:tcPr>
          <w:p w14:paraId="0F9F5D51"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6FCBA96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732F422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1.784.589</w:t>
            </w:r>
          </w:p>
        </w:tc>
        <w:tc>
          <w:tcPr>
            <w:tcW w:w="1066" w:type="dxa"/>
            <w:tcBorders>
              <w:top w:val="nil"/>
              <w:left w:val="nil"/>
              <w:bottom w:val="nil"/>
              <w:right w:val="nil"/>
            </w:tcBorders>
            <w:shd w:val="clear" w:color="auto" w:fill="auto"/>
            <w:noWrap/>
            <w:hideMark/>
          </w:tcPr>
          <w:p w14:paraId="770A2C6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-645.818</w:t>
            </w:r>
          </w:p>
        </w:tc>
        <w:tc>
          <w:tcPr>
            <w:tcW w:w="1207" w:type="dxa"/>
            <w:tcBorders>
              <w:top w:val="nil"/>
              <w:left w:val="nil"/>
              <w:bottom w:val="nil"/>
              <w:right w:val="nil"/>
            </w:tcBorders>
            <w:shd w:val="clear" w:color="auto" w:fill="auto"/>
            <w:noWrap/>
            <w:hideMark/>
          </w:tcPr>
          <w:p w14:paraId="5C577CC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1.138.771</w:t>
            </w:r>
          </w:p>
        </w:tc>
      </w:tr>
      <w:tr w:rsidR="00B00311" w:rsidRPr="00B00311" w14:paraId="5C9A1B3A"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189F6CF2"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Amortizare</w:t>
            </w:r>
          </w:p>
        </w:tc>
        <w:tc>
          <w:tcPr>
            <w:tcW w:w="676" w:type="dxa"/>
            <w:tcBorders>
              <w:top w:val="nil"/>
              <w:left w:val="nil"/>
              <w:bottom w:val="nil"/>
              <w:right w:val="single" w:sz="8" w:space="0" w:color="FFFFFF"/>
            </w:tcBorders>
            <w:shd w:val="clear" w:color="000000" w:fill="FFFFFF"/>
            <w:hideMark/>
          </w:tcPr>
          <w:p w14:paraId="37233AE2"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5D96C81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7C861774"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6.826.412</w:t>
            </w:r>
          </w:p>
        </w:tc>
        <w:tc>
          <w:tcPr>
            <w:tcW w:w="1066" w:type="dxa"/>
            <w:tcBorders>
              <w:top w:val="nil"/>
              <w:left w:val="nil"/>
              <w:bottom w:val="nil"/>
              <w:right w:val="nil"/>
            </w:tcBorders>
            <w:shd w:val="clear" w:color="auto" w:fill="auto"/>
            <w:noWrap/>
            <w:hideMark/>
          </w:tcPr>
          <w:p w14:paraId="3F3EB0D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260.547</w:t>
            </w:r>
          </w:p>
        </w:tc>
        <w:tc>
          <w:tcPr>
            <w:tcW w:w="1207" w:type="dxa"/>
            <w:tcBorders>
              <w:top w:val="nil"/>
              <w:left w:val="nil"/>
              <w:bottom w:val="nil"/>
              <w:right w:val="nil"/>
            </w:tcBorders>
            <w:shd w:val="clear" w:color="auto" w:fill="auto"/>
            <w:noWrap/>
            <w:hideMark/>
          </w:tcPr>
          <w:p w14:paraId="6312A03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7.086.960</w:t>
            </w:r>
          </w:p>
        </w:tc>
      </w:tr>
      <w:tr w:rsidR="00B00311" w:rsidRPr="00B00311" w14:paraId="2892A541" w14:textId="77777777" w:rsidTr="00915604">
        <w:trPr>
          <w:trHeight w:val="243"/>
        </w:trPr>
        <w:tc>
          <w:tcPr>
            <w:tcW w:w="4103" w:type="dxa"/>
            <w:tcBorders>
              <w:top w:val="nil"/>
              <w:left w:val="single" w:sz="8" w:space="0" w:color="FFFFFF"/>
              <w:bottom w:val="nil"/>
              <w:right w:val="single" w:sz="8" w:space="0" w:color="FFFFFF"/>
            </w:tcBorders>
            <w:shd w:val="clear" w:color="000000" w:fill="FFFFFF"/>
            <w:hideMark/>
          </w:tcPr>
          <w:p w14:paraId="1F135C76"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EBITDA</w:t>
            </w:r>
          </w:p>
        </w:tc>
        <w:tc>
          <w:tcPr>
            <w:tcW w:w="676" w:type="dxa"/>
            <w:tcBorders>
              <w:top w:val="nil"/>
              <w:left w:val="nil"/>
              <w:bottom w:val="nil"/>
              <w:right w:val="single" w:sz="8" w:space="0" w:color="FFFFFF"/>
            </w:tcBorders>
            <w:shd w:val="clear" w:color="000000" w:fill="FFFFFF"/>
            <w:hideMark/>
          </w:tcPr>
          <w:p w14:paraId="44CECCEB"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4C983A19"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06F9AC0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8.377.674</w:t>
            </w:r>
          </w:p>
        </w:tc>
        <w:tc>
          <w:tcPr>
            <w:tcW w:w="1066" w:type="dxa"/>
            <w:tcBorders>
              <w:top w:val="nil"/>
              <w:left w:val="nil"/>
              <w:bottom w:val="nil"/>
              <w:right w:val="nil"/>
            </w:tcBorders>
            <w:shd w:val="clear" w:color="auto" w:fill="auto"/>
            <w:noWrap/>
            <w:hideMark/>
          </w:tcPr>
          <w:p w14:paraId="334A0F78"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-385.270</w:t>
            </w:r>
          </w:p>
        </w:tc>
        <w:tc>
          <w:tcPr>
            <w:tcW w:w="1207" w:type="dxa"/>
            <w:tcBorders>
              <w:top w:val="nil"/>
              <w:left w:val="nil"/>
              <w:bottom w:val="nil"/>
              <w:right w:val="nil"/>
            </w:tcBorders>
            <w:shd w:val="clear" w:color="auto" w:fill="auto"/>
            <w:noWrap/>
            <w:hideMark/>
          </w:tcPr>
          <w:p w14:paraId="3B403088"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7.992.403</w:t>
            </w:r>
          </w:p>
        </w:tc>
      </w:tr>
      <w:tr w:rsidR="00B00311" w:rsidRPr="00B00311" w14:paraId="70DB9D28"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1CDA6BE8"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Venituri totale</w:t>
            </w:r>
          </w:p>
        </w:tc>
        <w:tc>
          <w:tcPr>
            <w:tcW w:w="676" w:type="dxa"/>
            <w:tcBorders>
              <w:top w:val="nil"/>
              <w:left w:val="nil"/>
              <w:bottom w:val="nil"/>
              <w:right w:val="single" w:sz="8" w:space="0" w:color="FFFFFF"/>
            </w:tcBorders>
            <w:shd w:val="clear" w:color="000000" w:fill="FFFFFF"/>
            <w:hideMark/>
          </w:tcPr>
          <w:p w14:paraId="026A6D17"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47E7BB9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2015289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49.382.389</w:t>
            </w:r>
          </w:p>
        </w:tc>
        <w:tc>
          <w:tcPr>
            <w:tcW w:w="1066" w:type="dxa"/>
            <w:tcBorders>
              <w:top w:val="nil"/>
              <w:left w:val="nil"/>
              <w:bottom w:val="nil"/>
              <w:right w:val="nil"/>
            </w:tcBorders>
            <w:shd w:val="clear" w:color="auto" w:fill="auto"/>
            <w:noWrap/>
            <w:hideMark/>
          </w:tcPr>
          <w:p w14:paraId="66C3F0D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3.195.047</w:t>
            </w:r>
          </w:p>
        </w:tc>
        <w:tc>
          <w:tcPr>
            <w:tcW w:w="1207" w:type="dxa"/>
            <w:tcBorders>
              <w:top w:val="nil"/>
              <w:left w:val="nil"/>
              <w:bottom w:val="nil"/>
              <w:right w:val="nil"/>
            </w:tcBorders>
            <w:shd w:val="clear" w:color="auto" w:fill="auto"/>
            <w:noWrap/>
            <w:hideMark/>
          </w:tcPr>
          <w:p w14:paraId="05FA5D58"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52.577.436</w:t>
            </w:r>
          </w:p>
        </w:tc>
      </w:tr>
      <w:tr w:rsidR="00B00311" w:rsidRPr="00B00311" w14:paraId="24EDB28E"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3428FD78"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 xml:space="preserve">Cheltuieli totale </w:t>
            </w:r>
          </w:p>
        </w:tc>
        <w:tc>
          <w:tcPr>
            <w:tcW w:w="676" w:type="dxa"/>
            <w:tcBorders>
              <w:top w:val="nil"/>
              <w:left w:val="nil"/>
              <w:bottom w:val="nil"/>
              <w:right w:val="single" w:sz="8" w:space="0" w:color="FFFFFF"/>
            </w:tcBorders>
            <w:shd w:val="clear" w:color="000000" w:fill="FFFFFF"/>
            <w:hideMark/>
          </w:tcPr>
          <w:p w14:paraId="2390BAD7"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025C803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31AF2A47"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46.834.568</w:t>
            </w:r>
          </w:p>
        </w:tc>
        <w:tc>
          <w:tcPr>
            <w:tcW w:w="1066" w:type="dxa"/>
            <w:tcBorders>
              <w:top w:val="nil"/>
              <w:left w:val="nil"/>
              <w:bottom w:val="nil"/>
              <w:right w:val="nil"/>
            </w:tcBorders>
            <w:shd w:val="clear" w:color="auto" w:fill="auto"/>
            <w:noWrap/>
            <w:hideMark/>
          </w:tcPr>
          <w:p w14:paraId="27F5A20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3.873.366</w:t>
            </w:r>
          </w:p>
        </w:tc>
        <w:tc>
          <w:tcPr>
            <w:tcW w:w="1207" w:type="dxa"/>
            <w:tcBorders>
              <w:top w:val="nil"/>
              <w:left w:val="nil"/>
              <w:bottom w:val="nil"/>
              <w:right w:val="nil"/>
            </w:tcBorders>
            <w:shd w:val="clear" w:color="auto" w:fill="auto"/>
            <w:noWrap/>
            <w:hideMark/>
          </w:tcPr>
          <w:p w14:paraId="1556259D"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50.707.935</w:t>
            </w:r>
          </w:p>
        </w:tc>
      </w:tr>
      <w:tr w:rsidR="00B00311" w:rsidRPr="00B00311" w14:paraId="73E494D0"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4DE7C61B"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Profit brut</w:t>
            </w:r>
          </w:p>
        </w:tc>
        <w:tc>
          <w:tcPr>
            <w:tcW w:w="676" w:type="dxa"/>
            <w:tcBorders>
              <w:top w:val="nil"/>
              <w:left w:val="nil"/>
              <w:bottom w:val="nil"/>
              <w:right w:val="single" w:sz="8" w:space="0" w:color="FFFFFF"/>
            </w:tcBorders>
            <w:shd w:val="clear" w:color="000000" w:fill="FFFFFF"/>
            <w:hideMark/>
          </w:tcPr>
          <w:p w14:paraId="4FA7CF73"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73CE6037"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4F4E1E5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5.974.177</w:t>
            </w:r>
          </w:p>
        </w:tc>
        <w:tc>
          <w:tcPr>
            <w:tcW w:w="1066" w:type="dxa"/>
            <w:tcBorders>
              <w:top w:val="nil"/>
              <w:left w:val="nil"/>
              <w:bottom w:val="nil"/>
              <w:right w:val="nil"/>
            </w:tcBorders>
            <w:shd w:val="clear" w:color="auto" w:fill="auto"/>
            <w:noWrap/>
            <w:hideMark/>
          </w:tcPr>
          <w:p w14:paraId="02EE829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438.877</w:t>
            </w:r>
          </w:p>
        </w:tc>
        <w:tc>
          <w:tcPr>
            <w:tcW w:w="1207" w:type="dxa"/>
            <w:tcBorders>
              <w:top w:val="nil"/>
              <w:left w:val="nil"/>
              <w:bottom w:val="nil"/>
              <w:right w:val="nil"/>
            </w:tcBorders>
            <w:shd w:val="clear" w:color="auto" w:fill="auto"/>
            <w:noWrap/>
            <w:hideMark/>
          </w:tcPr>
          <w:p w14:paraId="1313A66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6.413.054</w:t>
            </w:r>
          </w:p>
        </w:tc>
      </w:tr>
      <w:tr w:rsidR="00B00311" w:rsidRPr="00B00311" w14:paraId="67399636"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232DF204"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Pierdere brută</w:t>
            </w:r>
          </w:p>
        </w:tc>
        <w:tc>
          <w:tcPr>
            <w:tcW w:w="676" w:type="dxa"/>
            <w:tcBorders>
              <w:top w:val="nil"/>
              <w:left w:val="nil"/>
              <w:bottom w:val="nil"/>
              <w:right w:val="single" w:sz="8" w:space="0" w:color="FFFFFF"/>
            </w:tcBorders>
            <w:shd w:val="clear" w:color="000000" w:fill="FFFFFF"/>
            <w:hideMark/>
          </w:tcPr>
          <w:p w14:paraId="34AA4012"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0268CA5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0927DA68"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3.426.356</w:t>
            </w:r>
          </w:p>
        </w:tc>
        <w:tc>
          <w:tcPr>
            <w:tcW w:w="1066" w:type="dxa"/>
            <w:tcBorders>
              <w:top w:val="nil"/>
              <w:left w:val="nil"/>
              <w:bottom w:val="nil"/>
              <w:right w:val="nil"/>
            </w:tcBorders>
            <w:shd w:val="clear" w:color="auto" w:fill="auto"/>
            <w:noWrap/>
            <w:hideMark/>
          </w:tcPr>
          <w:p w14:paraId="58F276FD"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1.117.196</w:t>
            </w:r>
          </w:p>
        </w:tc>
        <w:tc>
          <w:tcPr>
            <w:tcW w:w="1207" w:type="dxa"/>
            <w:tcBorders>
              <w:top w:val="nil"/>
              <w:left w:val="nil"/>
              <w:bottom w:val="nil"/>
              <w:right w:val="nil"/>
            </w:tcBorders>
            <w:shd w:val="clear" w:color="auto" w:fill="auto"/>
            <w:noWrap/>
            <w:hideMark/>
          </w:tcPr>
          <w:p w14:paraId="68CBA303"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4.543.552</w:t>
            </w:r>
          </w:p>
        </w:tc>
      </w:tr>
      <w:tr w:rsidR="00B00311" w:rsidRPr="00B00311" w14:paraId="314F432B"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27447394"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Rezultat Brut (EBT)</w:t>
            </w:r>
          </w:p>
        </w:tc>
        <w:tc>
          <w:tcPr>
            <w:tcW w:w="676" w:type="dxa"/>
            <w:tcBorders>
              <w:top w:val="nil"/>
              <w:left w:val="nil"/>
              <w:bottom w:val="nil"/>
              <w:right w:val="single" w:sz="8" w:space="0" w:color="FFFFFF"/>
            </w:tcBorders>
            <w:shd w:val="clear" w:color="000000" w:fill="FFFFFF"/>
            <w:hideMark/>
          </w:tcPr>
          <w:p w14:paraId="0812C611"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534530B9"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206B0C0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2.547.821</w:t>
            </w:r>
          </w:p>
        </w:tc>
        <w:tc>
          <w:tcPr>
            <w:tcW w:w="1066" w:type="dxa"/>
            <w:tcBorders>
              <w:top w:val="nil"/>
              <w:left w:val="nil"/>
              <w:bottom w:val="nil"/>
              <w:right w:val="nil"/>
            </w:tcBorders>
            <w:shd w:val="clear" w:color="auto" w:fill="auto"/>
            <w:noWrap/>
            <w:hideMark/>
          </w:tcPr>
          <w:p w14:paraId="45B9A583"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-678.319</w:t>
            </w:r>
          </w:p>
        </w:tc>
        <w:tc>
          <w:tcPr>
            <w:tcW w:w="1207" w:type="dxa"/>
            <w:tcBorders>
              <w:top w:val="nil"/>
              <w:left w:val="nil"/>
              <w:bottom w:val="nil"/>
              <w:right w:val="nil"/>
            </w:tcBorders>
            <w:shd w:val="clear" w:color="auto" w:fill="auto"/>
            <w:noWrap/>
            <w:hideMark/>
          </w:tcPr>
          <w:p w14:paraId="7E0F702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1.869.502</w:t>
            </w:r>
          </w:p>
        </w:tc>
      </w:tr>
      <w:tr w:rsidR="00B00311" w:rsidRPr="00B00311" w14:paraId="7F9DA77E"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48D093C6"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Profit net</w:t>
            </w:r>
          </w:p>
        </w:tc>
        <w:tc>
          <w:tcPr>
            <w:tcW w:w="676" w:type="dxa"/>
            <w:tcBorders>
              <w:top w:val="nil"/>
              <w:left w:val="nil"/>
              <w:bottom w:val="nil"/>
              <w:right w:val="single" w:sz="8" w:space="0" w:color="FFFFFF"/>
            </w:tcBorders>
            <w:shd w:val="clear" w:color="000000" w:fill="FFFFFF"/>
            <w:hideMark/>
          </w:tcPr>
          <w:p w14:paraId="04C1F3E4"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1FB626F4"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2A01302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5.123.218</w:t>
            </w:r>
          </w:p>
        </w:tc>
        <w:tc>
          <w:tcPr>
            <w:tcW w:w="1066" w:type="dxa"/>
            <w:tcBorders>
              <w:top w:val="nil"/>
              <w:left w:val="nil"/>
              <w:bottom w:val="nil"/>
              <w:right w:val="nil"/>
            </w:tcBorders>
            <w:shd w:val="clear" w:color="auto" w:fill="auto"/>
            <w:noWrap/>
            <w:hideMark/>
          </w:tcPr>
          <w:p w14:paraId="0AA186B7"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445.300</w:t>
            </w:r>
          </w:p>
        </w:tc>
        <w:tc>
          <w:tcPr>
            <w:tcW w:w="1207" w:type="dxa"/>
            <w:tcBorders>
              <w:top w:val="nil"/>
              <w:left w:val="nil"/>
              <w:bottom w:val="nil"/>
              <w:right w:val="nil"/>
            </w:tcBorders>
            <w:shd w:val="clear" w:color="auto" w:fill="auto"/>
            <w:noWrap/>
            <w:hideMark/>
          </w:tcPr>
          <w:p w14:paraId="71B9CA9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5.568.518</w:t>
            </w:r>
          </w:p>
        </w:tc>
      </w:tr>
      <w:tr w:rsidR="00B00311" w:rsidRPr="00B00311" w14:paraId="79FFB8AA"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5E2F863B"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Pierdere netă</w:t>
            </w:r>
          </w:p>
        </w:tc>
        <w:tc>
          <w:tcPr>
            <w:tcW w:w="676" w:type="dxa"/>
            <w:tcBorders>
              <w:top w:val="nil"/>
              <w:left w:val="nil"/>
              <w:bottom w:val="nil"/>
              <w:right w:val="single" w:sz="8" w:space="0" w:color="FFFFFF"/>
            </w:tcBorders>
            <w:shd w:val="clear" w:color="000000" w:fill="FFFFFF"/>
            <w:hideMark/>
          </w:tcPr>
          <w:p w14:paraId="603D7034"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300674E0"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02BE842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3.385.723</w:t>
            </w:r>
          </w:p>
        </w:tc>
        <w:tc>
          <w:tcPr>
            <w:tcW w:w="1066" w:type="dxa"/>
            <w:tcBorders>
              <w:top w:val="nil"/>
              <w:left w:val="nil"/>
              <w:bottom w:val="nil"/>
              <w:right w:val="nil"/>
            </w:tcBorders>
            <w:shd w:val="clear" w:color="auto" w:fill="auto"/>
            <w:noWrap/>
            <w:hideMark/>
          </w:tcPr>
          <w:p w14:paraId="61DF95C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1.117.217</w:t>
            </w:r>
          </w:p>
        </w:tc>
        <w:tc>
          <w:tcPr>
            <w:tcW w:w="1207" w:type="dxa"/>
            <w:tcBorders>
              <w:top w:val="nil"/>
              <w:left w:val="nil"/>
              <w:bottom w:val="nil"/>
              <w:right w:val="nil"/>
            </w:tcBorders>
            <w:shd w:val="clear" w:color="auto" w:fill="auto"/>
            <w:noWrap/>
            <w:hideMark/>
          </w:tcPr>
          <w:p w14:paraId="5982623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4.502.939</w:t>
            </w:r>
          </w:p>
        </w:tc>
      </w:tr>
      <w:tr w:rsidR="00B00311" w:rsidRPr="00B00311" w14:paraId="234EADB2"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625C5149"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Rezultat Net</w:t>
            </w:r>
          </w:p>
        </w:tc>
        <w:tc>
          <w:tcPr>
            <w:tcW w:w="676" w:type="dxa"/>
            <w:tcBorders>
              <w:top w:val="nil"/>
              <w:left w:val="nil"/>
              <w:bottom w:val="nil"/>
              <w:right w:val="single" w:sz="8" w:space="0" w:color="FFFFFF"/>
            </w:tcBorders>
            <w:shd w:val="clear" w:color="000000" w:fill="FFFFFF"/>
            <w:hideMark/>
          </w:tcPr>
          <w:p w14:paraId="0AA73D5B"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4CE98BB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36A3075D"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1.737.495</w:t>
            </w:r>
          </w:p>
        </w:tc>
        <w:tc>
          <w:tcPr>
            <w:tcW w:w="1066" w:type="dxa"/>
            <w:tcBorders>
              <w:top w:val="nil"/>
              <w:left w:val="nil"/>
              <w:bottom w:val="nil"/>
              <w:right w:val="nil"/>
            </w:tcBorders>
            <w:shd w:val="clear" w:color="auto" w:fill="auto"/>
            <w:noWrap/>
            <w:hideMark/>
          </w:tcPr>
          <w:p w14:paraId="275E409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-671.917</w:t>
            </w:r>
          </w:p>
        </w:tc>
        <w:tc>
          <w:tcPr>
            <w:tcW w:w="1207" w:type="dxa"/>
            <w:tcBorders>
              <w:top w:val="nil"/>
              <w:left w:val="nil"/>
              <w:bottom w:val="nil"/>
              <w:right w:val="nil"/>
            </w:tcBorders>
            <w:shd w:val="clear" w:color="auto" w:fill="auto"/>
            <w:noWrap/>
            <w:hideMark/>
          </w:tcPr>
          <w:p w14:paraId="65E1D253"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1.065.579</w:t>
            </w:r>
          </w:p>
        </w:tc>
      </w:tr>
      <w:tr w:rsidR="00B00311" w:rsidRPr="00B00311" w14:paraId="3E0E63DE"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1C6A3C97"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Capitaluri proprii</w:t>
            </w:r>
          </w:p>
        </w:tc>
        <w:tc>
          <w:tcPr>
            <w:tcW w:w="676" w:type="dxa"/>
            <w:tcBorders>
              <w:top w:val="nil"/>
              <w:left w:val="nil"/>
              <w:bottom w:val="nil"/>
              <w:right w:val="single" w:sz="8" w:space="0" w:color="FFFFFF"/>
            </w:tcBorders>
            <w:shd w:val="clear" w:color="000000" w:fill="FFFFFF"/>
            <w:hideMark/>
          </w:tcPr>
          <w:p w14:paraId="32A325CD"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37EE051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4146E2A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70.472.560</w:t>
            </w:r>
          </w:p>
        </w:tc>
        <w:tc>
          <w:tcPr>
            <w:tcW w:w="1066" w:type="dxa"/>
            <w:tcBorders>
              <w:top w:val="nil"/>
              <w:left w:val="nil"/>
              <w:bottom w:val="nil"/>
              <w:right w:val="nil"/>
            </w:tcBorders>
            <w:shd w:val="clear" w:color="auto" w:fill="auto"/>
            <w:noWrap/>
            <w:hideMark/>
          </w:tcPr>
          <w:p w14:paraId="57712410"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-4.889.149</w:t>
            </w:r>
          </w:p>
        </w:tc>
        <w:tc>
          <w:tcPr>
            <w:tcW w:w="1207" w:type="dxa"/>
            <w:tcBorders>
              <w:top w:val="nil"/>
              <w:left w:val="nil"/>
              <w:bottom w:val="nil"/>
              <w:right w:val="nil"/>
            </w:tcBorders>
            <w:shd w:val="clear" w:color="auto" w:fill="auto"/>
            <w:noWrap/>
            <w:hideMark/>
          </w:tcPr>
          <w:p w14:paraId="2A815108"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65.583.411</w:t>
            </w:r>
          </w:p>
        </w:tc>
      </w:tr>
      <w:tr w:rsidR="00B00311" w:rsidRPr="00B00311" w14:paraId="4150DD87"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491A0BD2"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Total active circulante</w:t>
            </w:r>
          </w:p>
        </w:tc>
        <w:tc>
          <w:tcPr>
            <w:tcW w:w="676" w:type="dxa"/>
            <w:tcBorders>
              <w:top w:val="nil"/>
              <w:left w:val="nil"/>
              <w:bottom w:val="nil"/>
              <w:right w:val="single" w:sz="8" w:space="0" w:color="FFFFFF"/>
            </w:tcBorders>
            <w:shd w:val="clear" w:color="000000" w:fill="FFFFFF"/>
            <w:hideMark/>
          </w:tcPr>
          <w:p w14:paraId="07445EC5"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64F4591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0D0BE4E3"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51.533.983</w:t>
            </w:r>
          </w:p>
        </w:tc>
        <w:tc>
          <w:tcPr>
            <w:tcW w:w="1066" w:type="dxa"/>
            <w:tcBorders>
              <w:top w:val="nil"/>
              <w:left w:val="nil"/>
              <w:bottom w:val="nil"/>
              <w:right w:val="nil"/>
            </w:tcBorders>
            <w:shd w:val="clear" w:color="auto" w:fill="auto"/>
            <w:noWrap/>
            <w:hideMark/>
          </w:tcPr>
          <w:p w14:paraId="1C589E27"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1.968.515</w:t>
            </w:r>
          </w:p>
        </w:tc>
        <w:tc>
          <w:tcPr>
            <w:tcW w:w="1207" w:type="dxa"/>
            <w:tcBorders>
              <w:top w:val="nil"/>
              <w:left w:val="nil"/>
              <w:bottom w:val="nil"/>
              <w:right w:val="nil"/>
            </w:tcBorders>
            <w:shd w:val="clear" w:color="auto" w:fill="auto"/>
            <w:noWrap/>
            <w:hideMark/>
          </w:tcPr>
          <w:p w14:paraId="0EB7EECD"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53.502.498</w:t>
            </w:r>
          </w:p>
        </w:tc>
      </w:tr>
      <w:tr w:rsidR="00B00311" w:rsidRPr="00B00311" w14:paraId="4332B8BF" w14:textId="77777777" w:rsidTr="00915604">
        <w:trPr>
          <w:trHeight w:val="162"/>
        </w:trPr>
        <w:tc>
          <w:tcPr>
            <w:tcW w:w="4103" w:type="dxa"/>
            <w:tcBorders>
              <w:top w:val="nil"/>
              <w:left w:val="single" w:sz="8" w:space="0" w:color="FFFFFF"/>
              <w:bottom w:val="nil"/>
              <w:right w:val="single" w:sz="8" w:space="0" w:color="FFFFFF"/>
            </w:tcBorders>
            <w:shd w:val="clear" w:color="000000" w:fill="FFFFFF"/>
            <w:hideMark/>
          </w:tcPr>
          <w:p w14:paraId="564F6094"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Total active imobilizate</w:t>
            </w:r>
          </w:p>
        </w:tc>
        <w:tc>
          <w:tcPr>
            <w:tcW w:w="676" w:type="dxa"/>
            <w:tcBorders>
              <w:top w:val="nil"/>
              <w:left w:val="nil"/>
              <w:bottom w:val="nil"/>
              <w:right w:val="single" w:sz="8" w:space="0" w:color="FFFFFF"/>
            </w:tcBorders>
            <w:shd w:val="clear" w:color="000000" w:fill="FFFFFF"/>
            <w:hideMark/>
          </w:tcPr>
          <w:p w14:paraId="3E38F41E"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29FA0162"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7713E850"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167.042.271</w:t>
            </w:r>
          </w:p>
        </w:tc>
        <w:tc>
          <w:tcPr>
            <w:tcW w:w="1066" w:type="dxa"/>
            <w:tcBorders>
              <w:top w:val="nil"/>
              <w:left w:val="nil"/>
              <w:bottom w:val="nil"/>
              <w:right w:val="nil"/>
            </w:tcBorders>
            <w:shd w:val="clear" w:color="auto" w:fill="auto"/>
            <w:noWrap/>
            <w:hideMark/>
          </w:tcPr>
          <w:p w14:paraId="51C42B7D"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4.600.826</w:t>
            </w:r>
          </w:p>
        </w:tc>
        <w:tc>
          <w:tcPr>
            <w:tcW w:w="1207" w:type="dxa"/>
            <w:tcBorders>
              <w:top w:val="nil"/>
              <w:left w:val="nil"/>
              <w:bottom w:val="nil"/>
              <w:right w:val="nil"/>
            </w:tcBorders>
            <w:shd w:val="clear" w:color="auto" w:fill="auto"/>
            <w:noWrap/>
            <w:hideMark/>
          </w:tcPr>
          <w:p w14:paraId="6DC53FE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171.643.097</w:t>
            </w:r>
          </w:p>
        </w:tc>
      </w:tr>
      <w:tr w:rsidR="00B00311" w:rsidRPr="00B00311" w14:paraId="142C2973"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0BE65A38"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Cheltuieli în avans</w:t>
            </w:r>
          </w:p>
        </w:tc>
        <w:tc>
          <w:tcPr>
            <w:tcW w:w="676" w:type="dxa"/>
            <w:tcBorders>
              <w:top w:val="nil"/>
              <w:left w:val="nil"/>
              <w:bottom w:val="nil"/>
              <w:right w:val="single" w:sz="8" w:space="0" w:color="FFFFFF"/>
            </w:tcBorders>
            <w:shd w:val="clear" w:color="000000" w:fill="FFFFFF"/>
            <w:hideMark/>
          </w:tcPr>
          <w:p w14:paraId="1F1FE03A"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24E9C84B"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37B5BA11"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285.812</w:t>
            </w:r>
          </w:p>
        </w:tc>
        <w:tc>
          <w:tcPr>
            <w:tcW w:w="1066" w:type="dxa"/>
            <w:tcBorders>
              <w:top w:val="nil"/>
              <w:left w:val="nil"/>
              <w:bottom w:val="nil"/>
              <w:right w:val="nil"/>
            </w:tcBorders>
            <w:shd w:val="clear" w:color="auto" w:fill="auto"/>
            <w:noWrap/>
            <w:hideMark/>
          </w:tcPr>
          <w:p w14:paraId="51AFE954"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6.840</w:t>
            </w:r>
          </w:p>
        </w:tc>
        <w:tc>
          <w:tcPr>
            <w:tcW w:w="1207" w:type="dxa"/>
            <w:tcBorders>
              <w:top w:val="nil"/>
              <w:left w:val="nil"/>
              <w:bottom w:val="nil"/>
              <w:right w:val="nil"/>
            </w:tcBorders>
            <w:shd w:val="clear" w:color="auto" w:fill="auto"/>
            <w:noWrap/>
            <w:hideMark/>
          </w:tcPr>
          <w:p w14:paraId="64971C79"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292.652</w:t>
            </w:r>
          </w:p>
        </w:tc>
      </w:tr>
      <w:tr w:rsidR="00B00311" w:rsidRPr="00B00311" w14:paraId="312328D6"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7D3ECBEF"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Total active</w:t>
            </w:r>
          </w:p>
        </w:tc>
        <w:tc>
          <w:tcPr>
            <w:tcW w:w="676" w:type="dxa"/>
            <w:tcBorders>
              <w:top w:val="nil"/>
              <w:left w:val="nil"/>
              <w:bottom w:val="nil"/>
              <w:right w:val="single" w:sz="8" w:space="0" w:color="FFFFFF"/>
            </w:tcBorders>
            <w:shd w:val="clear" w:color="000000" w:fill="FFFFFF"/>
            <w:hideMark/>
          </w:tcPr>
          <w:p w14:paraId="6D2281A3"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5FD4471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6DB9424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218.862.066</w:t>
            </w:r>
          </w:p>
        </w:tc>
        <w:tc>
          <w:tcPr>
            <w:tcW w:w="1066" w:type="dxa"/>
            <w:tcBorders>
              <w:top w:val="nil"/>
              <w:left w:val="nil"/>
              <w:bottom w:val="nil"/>
              <w:right w:val="nil"/>
            </w:tcBorders>
            <w:shd w:val="clear" w:color="auto" w:fill="auto"/>
            <w:noWrap/>
            <w:hideMark/>
          </w:tcPr>
          <w:p w14:paraId="7731A690"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6.576.182</w:t>
            </w:r>
          </w:p>
        </w:tc>
        <w:tc>
          <w:tcPr>
            <w:tcW w:w="1207" w:type="dxa"/>
            <w:tcBorders>
              <w:top w:val="nil"/>
              <w:left w:val="nil"/>
              <w:bottom w:val="nil"/>
              <w:right w:val="nil"/>
            </w:tcBorders>
            <w:shd w:val="clear" w:color="auto" w:fill="auto"/>
            <w:noWrap/>
            <w:hideMark/>
          </w:tcPr>
          <w:p w14:paraId="46CFE8C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225.438.248</w:t>
            </w:r>
          </w:p>
        </w:tc>
      </w:tr>
      <w:tr w:rsidR="00B00311" w:rsidRPr="00B00311" w14:paraId="6356AD61"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2CE27934"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Datorii totale</w:t>
            </w:r>
          </w:p>
        </w:tc>
        <w:tc>
          <w:tcPr>
            <w:tcW w:w="676" w:type="dxa"/>
            <w:tcBorders>
              <w:top w:val="nil"/>
              <w:left w:val="nil"/>
              <w:bottom w:val="nil"/>
              <w:right w:val="single" w:sz="8" w:space="0" w:color="FFFFFF"/>
            </w:tcBorders>
            <w:shd w:val="clear" w:color="000000" w:fill="FFFFFF"/>
            <w:hideMark/>
          </w:tcPr>
          <w:p w14:paraId="0750831B"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36C253AA"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581064B7"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95.694.382</w:t>
            </w:r>
          </w:p>
        </w:tc>
        <w:tc>
          <w:tcPr>
            <w:tcW w:w="1066" w:type="dxa"/>
            <w:tcBorders>
              <w:top w:val="nil"/>
              <w:left w:val="nil"/>
              <w:bottom w:val="nil"/>
              <w:right w:val="nil"/>
            </w:tcBorders>
            <w:shd w:val="clear" w:color="auto" w:fill="auto"/>
            <w:noWrap/>
            <w:hideMark/>
          </w:tcPr>
          <w:p w14:paraId="07F4B70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6.064.918</w:t>
            </w:r>
          </w:p>
        </w:tc>
        <w:tc>
          <w:tcPr>
            <w:tcW w:w="1207" w:type="dxa"/>
            <w:tcBorders>
              <w:top w:val="nil"/>
              <w:left w:val="nil"/>
              <w:bottom w:val="nil"/>
              <w:right w:val="nil"/>
            </w:tcBorders>
            <w:shd w:val="clear" w:color="auto" w:fill="auto"/>
            <w:noWrap/>
            <w:hideMark/>
          </w:tcPr>
          <w:p w14:paraId="521DFBE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101.759.300</w:t>
            </w:r>
          </w:p>
        </w:tc>
      </w:tr>
      <w:tr w:rsidR="00B00311" w:rsidRPr="00B00311" w14:paraId="130B48CD" w14:textId="77777777" w:rsidTr="00915604">
        <w:trPr>
          <w:trHeight w:val="234"/>
        </w:trPr>
        <w:tc>
          <w:tcPr>
            <w:tcW w:w="4103" w:type="dxa"/>
            <w:tcBorders>
              <w:top w:val="nil"/>
              <w:left w:val="single" w:sz="8" w:space="0" w:color="FFFFFF"/>
              <w:bottom w:val="nil"/>
              <w:right w:val="single" w:sz="8" w:space="0" w:color="FFFFFF"/>
            </w:tcBorders>
            <w:shd w:val="clear" w:color="000000" w:fill="FFFFFF"/>
            <w:hideMark/>
          </w:tcPr>
          <w:p w14:paraId="0F464CDD"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Datorii mai mari de 1 an</w:t>
            </w:r>
          </w:p>
        </w:tc>
        <w:tc>
          <w:tcPr>
            <w:tcW w:w="676" w:type="dxa"/>
            <w:tcBorders>
              <w:top w:val="nil"/>
              <w:left w:val="nil"/>
              <w:bottom w:val="nil"/>
              <w:right w:val="single" w:sz="8" w:space="0" w:color="FFFFFF"/>
            </w:tcBorders>
            <w:shd w:val="clear" w:color="000000" w:fill="FFFFFF"/>
            <w:hideMark/>
          </w:tcPr>
          <w:p w14:paraId="16FF7FF9"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62DD241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58BE3569"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73.948.901</w:t>
            </w:r>
          </w:p>
        </w:tc>
        <w:tc>
          <w:tcPr>
            <w:tcW w:w="1066" w:type="dxa"/>
            <w:tcBorders>
              <w:top w:val="nil"/>
              <w:left w:val="nil"/>
              <w:bottom w:val="nil"/>
              <w:right w:val="nil"/>
            </w:tcBorders>
            <w:shd w:val="clear" w:color="auto" w:fill="auto"/>
            <w:noWrap/>
            <w:hideMark/>
          </w:tcPr>
          <w:p w14:paraId="1413D9A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910.020</w:t>
            </w:r>
          </w:p>
        </w:tc>
        <w:tc>
          <w:tcPr>
            <w:tcW w:w="1207" w:type="dxa"/>
            <w:tcBorders>
              <w:top w:val="nil"/>
              <w:left w:val="nil"/>
              <w:bottom w:val="nil"/>
              <w:right w:val="nil"/>
            </w:tcBorders>
            <w:shd w:val="clear" w:color="auto" w:fill="auto"/>
            <w:noWrap/>
            <w:hideMark/>
          </w:tcPr>
          <w:p w14:paraId="5892CE90"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74.858.921</w:t>
            </w:r>
          </w:p>
        </w:tc>
      </w:tr>
      <w:tr w:rsidR="00B00311" w:rsidRPr="00B00311" w14:paraId="6AC94F3E" w14:textId="77777777" w:rsidTr="00915604">
        <w:trPr>
          <w:trHeight w:val="90"/>
        </w:trPr>
        <w:tc>
          <w:tcPr>
            <w:tcW w:w="4103" w:type="dxa"/>
            <w:tcBorders>
              <w:top w:val="nil"/>
              <w:left w:val="single" w:sz="8" w:space="0" w:color="FFFFFF"/>
              <w:bottom w:val="nil"/>
              <w:right w:val="single" w:sz="8" w:space="0" w:color="FFFFFF"/>
            </w:tcBorders>
            <w:shd w:val="clear" w:color="000000" w:fill="FFFFFF"/>
            <w:hideMark/>
          </w:tcPr>
          <w:p w14:paraId="32F495D3"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Datorii mai mici de 1 an</w:t>
            </w:r>
          </w:p>
        </w:tc>
        <w:tc>
          <w:tcPr>
            <w:tcW w:w="676" w:type="dxa"/>
            <w:tcBorders>
              <w:top w:val="nil"/>
              <w:left w:val="nil"/>
              <w:bottom w:val="nil"/>
              <w:right w:val="single" w:sz="8" w:space="0" w:color="FFFFFF"/>
            </w:tcBorders>
            <w:shd w:val="clear" w:color="000000" w:fill="FFFFFF"/>
            <w:hideMark/>
          </w:tcPr>
          <w:p w14:paraId="6C247FB7"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4F4474E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1046CC92"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21.745.482</w:t>
            </w:r>
          </w:p>
        </w:tc>
        <w:tc>
          <w:tcPr>
            <w:tcW w:w="1066" w:type="dxa"/>
            <w:tcBorders>
              <w:top w:val="nil"/>
              <w:left w:val="nil"/>
              <w:bottom w:val="nil"/>
              <w:right w:val="nil"/>
            </w:tcBorders>
            <w:shd w:val="clear" w:color="auto" w:fill="auto"/>
            <w:noWrap/>
            <w:hideMark/>
          </w:tcPr>
          <w:p w14:paraId="0722A50E"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5.154.898</w:t>
            </w:r>
          </w:p>
        </w:tc>
        <w:tc>
          <w:tcPr>
            <w:tcW w:w="1207" w:type="dxa"/>
            <w:tcBorders>
              <w:top w:val="nil"/>
              <w:left w:val="nil"/>
              <w:bottom w:val="nil"/>
              <w:right w:val="nil"/>
            </w:tcBorders>
            <w:shd w:val="clear" w:color="auto" w:fill="auto"/>
            <w:noWrap/>
            <w:hideMark/>
          </w:tcPr>
          <w:p w14:paraId="5722BD69"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26.900.379</w:t>
            </w:r>
          </w:p>
        </w:tc>
      </w:tr>
      <w:tr w:rsidR="00B00311" w:rsidRPr="00B00311" w14:paraId="7991F34B" w14:textId="77777777" w:rsidTr="00B00311">
        <w:trPr>
          <w:trHeight w:val="210"/>
        </w:trPr>
        <w:tc>
          <w:tcPr>
            <w:tcW w:w="4103" w:type="dxa"/>
            <w:tcBorders>
              <w:top w:val="nil"/>
              <w:left w:val="single" w:sz="8" w:space="0" w:color="FFFFFF"/>
              <w:bottom w:val="nil"/>
              <w:right w:val="single" w:sz="8" w:space="0" w:color="FFFFFF"/>
            </w:tcBorders>
            <w:shd w:val="clear" w:color="000000" w:fill="FFFFFF"/>
            <w:hideMark/>
          </w:tcPr>
          <w:p w14:paraId="47F1DF28"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Plăți restante</w:t>
            </w:r>
          </w:p>
        </w:tc>
        <w:tc>
          <w:tcPr>
            <w:tcW w:w="676" w:type="dxa"/>
            <w:tcBorders>
              <w:top w:val="nil"/>
              <w:left w:val="nil"/>
              <w:bottom w:val="nil"/>
              <w:right w:val="single" w:sz="8" w:space="0" w:color="FFFFFF"/>
            </w:tcBorders>
            <w:shd w:val="clear" w:color="000000" w:fill="FFFFFF"/>
            <w:hideMark/>
          </w:tcPr>
          <w:p w14:paraId="250ACF16"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mii lei</w:t>
            </w:r>
          </w:p>
        </w:tc>
        <w:tc>
          <w:tcPr>
            <w:tcW w:w="788" w:type="dxa"/>
            <w:tcBorders>
              <w:top w:val="nil"/>
              <w:left w:val="nil"/>
              <w:bottom w:val="nil"/>
              <w:right w:val="single" w:sz="8" w:space="0" w:color="FFFFFF"/>
            </w:tcBorders>
            <w:shd w:val="clear" w:color="000000" w:fill="FFFFFF"/>
            <w:hideMark/>
          </w:tcPr>
          <w:p w14:paraId="2AB7326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nil"/>
              <w:right w:val="nil"/>
            </w:tcBorders>
            <w:shd w:val="clear" w:color="auto" w:fill="auto"/>
            <w:noWrap/>
            <w:hideMark/>
          </w:tcPr>
          <w:p w14:paraId="5115176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7.614.588</w:t>
            </w:r>
          </w:p>
        </w:tc>
        <w:tc>
          <w:tcPr>
            <w:tcW w:w="1066" w:type="dxa"/>
            <w:tcBorders>
              <w:top w:val="nil"/>
              <w:left w:val="nil"/>
              <w:bottom w:val="nil"/>
              <w:right w:val="nil"/>
            </w:tcBorders>
            <w:shd w:val="clear" w:color="auto" w:fill="auto"/>
            <w:noWrap/>
            <w:hideMark/>
          </w:tcPr>
          <w:p w14:paraId="312F5B34"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3.598.082</w:t>
            </w:r>
          </w:p>
        </w:tc>
        <w:tc>
          <w:tcPr>
            <w:tcW w:w="1207" w:type="dxa"/>
            <w:tcBorders>
              <w:top w:val="nil"/>
              <w:left w:val="nil"/>
              <w:bottom w:val="nil"/>
              <w:right w:val="nil"/>
            </w:tcBorders>
            <w:shd w:val="clear" w:color="auto" w:fill="auto"/>
            <w:noWrap/>
            <w:hideMark/>
          </w:tcPr>
          <w:p w14:paraId="00CAA7BF"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11.212.670</w:t>
            </w:r>
          </w:p>
        </w:tc>
      </w:tr>
      <w:tr w:rsidR="00B00311" w:rsidRPr="00B00311" w14:paraId="38AA4F3F" w14:textId="77777777" w:rsidTr="00B00311">
        <w:trPr>
          <w:trHeight w:val="210"/>
        </w:trPr>
        <w:tc>
          <w:tcPr>
            <w:tcW w:w="4103" w:type="dxa"/>
            <w:tcBorders>
              <w:top w:val="nil"/>
              <w:left w:val="single" w:sz="8" w:space="0" w:color="FFFFFF"/>
              <w:bottom w:val="single" w:sz="4" w:space="0" w:color="9BC2E6"/>
              <w:right w:val="single" w:sz="4" w:space="0" w:color="FFFFFF"/>
            </w:tcBorders>
            <w:shd w:val="clear" w:color="000000" w:fill="FFFFFF"/>
            <w:hideMark/>
          </w:tcPr>
          <w:p w14:paraId="6F2F8B31" w14:textId="77777777" w:rsidR="00B00311" w:rsidRPr="00915604" w:rsidRDefault="00B00311" w:rsidP="00B00311">
            <w:pPr>
              <w:spacing w:before="0" w:after="0" w:line="240" w:lineRule="auto"/>
              <w:rPr>
                <w:rFonts w:eastAsia="Times New Roman" w:cstheme="minorHAnsi"/>
                <w:sz w:val="16"/>
                <w:szCs w:val="16"/>
                <w:lang w:val="en-US"/>
              </w:rPr>
            </w:pPr>
            <w:r w:rsidRPr="00915604">
              <w:rPr>
                <w:rFonts w:eastAsia="Times New Roman" w:cstheme="minorHAnsi"/>
                <w:sz w:val="16"/>
                <w:szCs w:val="16"/>
                <w:lang w:val="en-US"/>
              </w:rPr>
              <w:t>Nr. efectiv de personal</w:t>
            </w:r>
          </w:p>
        </w:tc>
        <w:tc>
          <w:tcPr>
            <w:tcW w:w="676" w:type="dxa"/>
            <w:tcBorders>
              <w:top w:val="nil"/>
              <w:left w:val="nil"/>
              <w:bottom w:val="single" w:sz="4" w:space="0" w:color="9BC2E6"/>
              <w:right w:val="single" w:sz="4" w:space="0" w:color="FFFFFF"/>
            </w:tcBorders>
            <w:shd w:val="clear" w:color="000000" w:fill="FFFFFF"/>
            <w:hideMark/>
          </w:tcPr>
          <w:p w14:paraId="0DFBC16D" w14:textId="77777777" w:rsidR="00B00311" w:rsidRPr="00915604" w:rsidRDefault="00B00311" w:rsidP="00B00311">
            <w:pPr>
              <w:spacing w:before="0" w:after="0" w:line="240" w:lineRule="auto"/>
              <w:jc w:val="right"/>
              <w:rPr>
                <w:rFonts w:eastAsia="Times New Roman" w:cstheme="minorHAnsi"/>
                <w:i/>
                <w:iCs/>
                <w:sz w:val="14"/>
                <w:szCs w:val="14"/>
                <w:lang w:val="en-US"/>
              </w:rPr>
            </w:pPr>
            <w:r w:rsidRPr="00915604">
              <w:rPr>
                <w:rFonts w:eastAsia="Times New Roman" w:cstheme="minorHAnsi"/>
                <w:i/>
                <w:iCs/>
                <w:sz w:val="14"/>
                <w:szCs w:val="14"/>
                <w:lang w:val="en-US"/>
              </w:rPr>
              <w:t>nr. pers</w:t>
            </w:r>
          </w:p>
        </w:tc>
        <w:tc>
          <w:tcPr>
            <w:tcW w:w="788" w:type="dxa"/>
            <w:tcBorders>
              <w:top w:val="nil"/>
              <w:left w:val="nil"/>
              <w:bottom w:val="single" w:sz="4" w:space="0" w:color="9BC2E6"/>
              <w:right w:val="single" w:sz="8" w:space="0" w:color="FFFFFF"/>
            </w:tcBorders>
            <w:shd w:val="clear" w:color="000000" w:fill="FFFFFF"/>
            <w:hideMark/>
          </w:tcPr>
          <w:p w14:paraId="0E38385C"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2020</w:t>
            </w:r>
          </w:p>
        </w:tc>
        <w:tc>
          <w:tcPr>
            <w:tcW w:w="1265" w:type="dxa"/>
            <w:tcBorders>
              <w:top w:val="nil"/>
              <w:left w:val="nil"/>
              <w:bottom w:val="single" w:sz="4" w:space="0" w:color="9BC2E6"/>
              <w:right w:val="nil"/>
            </w:tcBorders>
            <w:shd w:val="clear" w:color="auto" w:fill="auto"/>
            <w:noWrap/>
            <w:hideMark/>
          </w:tcPr>
          <w:p w14:paraId="1DD6D905"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173.421</w:t>
            </w:r>
          </w:p>
        </w:tc>
        <w:tc>
          <w:tcPr>
            <w:tcW w:w="1066" w:type="dxa"/>
            <w:tcBorders>
              <w:top w:val="nil"/>
              <w:left w:val="nil"/>
              <w:bottom w:val="single" w:sz="4" w:space="0" w:color="9BC2E6"/>
              <w:right w:val="nil"/>
            </w:tcBorders>
            <w:shd w:val="clear" w:color="auto" w:fill="auto"/>
            <w:noWrap/>
            <w:hideMark/>
          </w:tcPr>
          <w:p w14:paraId="5650661D"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9.041</w:t>
            </w:r>
          </w:p>
        </w:tc>
        <w:tc>
          <w:tcPr>
            <w:tcW w:w="1207" w:type="dxa"/>
            <w:tcBorders>
              <w:top w:val="nil"/>
              <w:left w:val="nil"/>
              <w:bottom w:val="single" w:sz="4" w:space="0" w:color="9BC2E6"/>
              <w:right w:val="nil"/>
            </w:tcBorders>
            <w:shd w:val="clear" w:color="auto" w:fill="auto"/>
            <w:noWrap/>
            <w:hideMark/>
          </w:tcPr>
          <w:p w14:paraId="656A4372" w14:textId="77777777" w:rsidR="00B00311" w:rsidRPr="00915604" w:rsidRDefault="00B00311" w:rsidP="00B00311">
            <w:pPr>
              <w:spacing w:before="0" w:after="0" w:line="240" w:lineRule="auto"/>
              <w:jc w:val="right"/>
              <w:rPr>
                <w:rFonts w:eastAsia="Times New Roman" w:cstheme="minorHAnsi"/>
                <w:sz w:val="16"/>
                <w:szCs w:val="16"/>
                <w:lang w:val="en-US"/>
              </w:rPr>
            </w:pPr>
            <w:r w:rsidRPr="00915604">
              <w:rPr>
                <w:rFonts w:eastAsia="Times New Roman" w:cstheme="minorHAnsi"/>
                <w:sz w:val="16"/>
                <w:szCs w:val="16"/>
                <w:lang w:val="en-US"/>
              </w:rPr>
              <w:t>182.462</w:t>
            </w:r>
          </w:p>
        </w:tc>
      </w:tr>
      <w:tr w:rsidR="00B00311" w:rsidRPr="00B00311" w14:paraId="69E455C9" w14:textId="77777777" w:rsidTr="00B00311">
        <w:trPr>
          <w:trHeight w:val="210"/>
        </w:trPr>
        <w:tc>
          <w:tcPr>
            <w:tcW w:w="9105" w:type="dxa"/>
            <w:gridSpan w:val="6"/>
            <w:tcBorders>
              <w:top w:val="single" w:sz="4" w:space="0" w:color="5B9BD5"/>
              <w:left w:val="nil"/>
              <w:bottom w:val="nil"/>
              <w:right w:val="nil"/>
            </w:tcBorders>
            <w:shd w:val="clear" w:color="auto" w:fill="auto"/>
            <w:noWrap/>
            <w:vAlign w:val="bottom"/>
            <w:hideMark/>
          </w:tcPr>
          <w:p w14:paraId="78AEEDC3" w14:textId="77777777" w:rsidR="00B00311" w:rsidRPr="00B00311" w:rsidRDefault="00B00311" w:rsidP="00B00311">
            <w:pPr>
              <w:spacing w:before="0" w:after="0" w:line="240" w:lineRule="auto"/>
              <w:rPr>
                <w:rFonts w:ascii="Calibri" w:eastAsia="Times New Roman" w:hAnsi="Calibri" w:cs="Calibri"/>
                <w:color w:val="000000"/>
                <w:sz w:val="22"/>
                <w:szCs w:val="22"/>
                <w:lang w:val="en-US"/>
              </w:rPr>
            </w:pPr>
            <w:r w:rsidRPr="00B00311">
              <w:rPr>
                <w:rFonts w:ascii="Calibri Light" w:eastAsia="Times New Roman" w:hAnsi="Calibri Light" w:cs="Calibri Light"/>
                <w:color w:val="000000"/>
                <w:sz w:val="16"/>
                <w:szCs w:val="16"/>
                <w:lang w:val="en-US"/>
              </w:rPr>
              <w:t>Notă: în tabel  s-a folosit starea ÎP la anul raportării.</w:t>
            </w:r>
          </w:p>
        </w:tc>
      </w:tr>
    </w:tbl>
    <w:p w14:paraId="77BBFB46" w14:textId="77777777" w:rsidR="00915604" w:rsidRDefault="00915604" w:rsidP="00012B0A">
      <w:pPr>
        <w:pStyle w:val="ListParagraph"/>
        <w:ind w:left="0"/>
        <w:jc w:val="both"/>
        <w:rPr>
          <w:rFonts w:asciiTheme="majorHAnsi" w:hAnsiTheme="majorHAnsi"/>
          <w:b/>
        </w:rPr>
      </w:pPr>
      <w:bookmarkStart w:id="22" w:name="_Toc490763511"/>
      <w:bookmarkStart w:id="23" w:name="_Toc490763692"/>
      <w:bookmarkStart w:id="24" w:name="_Toc490763860"/>
    </w:p>
    <w:p w14:paraId="01A3A4EB" w14:textId="77777777" w:rsidR="00B832B2" w:rsidRPr="00B00311" w:rsidRDefault="00B832B2" w:rsidP="00012B0A">
      <w:pPr>
        <w:pStyle w:val="ListParagraph"/>
        <w:ind w:left="0"/>
        <w:jc w:val="both"/>
        <w:rPr>
          <w:rFonts w:asciiTheme="majorHAnsi" w:hAnsiTheme="majorHAnsi"/>
          <w:b/>
        </w:rPr>
      </w:pPr>
      <w:r w:rsidRPr="00B00311">
        <w:rPr>
          <w:rFonts w:asciiTheme="majorHAnsi" w:hAnsiTheme="majorHAnsi"/>
          <w:b/>
        </w:rPr>
        <w:t xml:space="preserve">NOTĂ: </w:t>
      </w:r>
    </w:p>
    <w:p w14:paraId="7DFA81D7" w14:textId="77777777" w:rsidR="00B832B2" w:rsidRPr="00B00311" w:rsidRDefault="00B832B2" w:rsidP="00012B0A">
      <w:pPr>
        <w:pStyle w:val="ListParagraph"/>
        <w:ind w:left="0"/>
        <w:jc w:val="both"/>
        <w:rPr>
          <w:rFonts w:asciiTheme="majorHAnsi" w:hAnsiTheme="majorHAnsi"/>
        </w:rPr>
      </w:pPr>
      <w:r w:rsidRPr="00B00311">
        <w:rPr>
          <w:rFonts w:asciiTheme="majorHAnsi" w:hAnsiTheme="majorHAnsi"/>
        </w:rPr>
        <w:t xml:space="preserve">La finalul anului </w:t>
      </w:r>
      <w:r w:rsidR="0003694D" w:rsidRPr="00B00311">
        <w:rPr>
          <w:rFonts w:asciiTheme="majorHAnsi" w:hAnsiTheme="majorHAnsi"/>
        </w:rPr>
        <w:t>20</w:t>
      </w:r>
      <w:r w:rsidR="00B00311" w:rsidRPr="00B00311">
        <w:rPr>
          <w:rFonts w:asciiTheme="majorHAnsi" w:hAnsiTheme="majorHAnsi"/>
        </w:rPr>
        <w:t>20</w:t>
      </w:r>
      <w:r w:rsidR="0003694D" w:rsidRPr="00B00311">
        <w:rPr>
          <w:rFonts w:asciiTheme="majorHAnsi" w:hAnsiTheme="majorHAnsi"/>
        </w:rPr>
        <w:t xml:space="preserve"> </w:t>
      </w:r>
      <w:r w:rsidRPr="00B00311">
        <w:rPr>
          <w:rFonts w:asciiTheme="majorHAnsi" w:hAnsiTheme="majorHAnsi"/>
        </w:rPr>
        <w:t xml:space="preserve">APTC dețineau participații majoritare la </w:t>
      </w:r>
      <w:r w:rsidR="00786B64" w:rsidRPr="00B00311">
        <w:rPr>
          <w:rFonts w:asciiTheme="majorHAnsi" w:hAnsiTheme="majorHAnsi"/>
        </w:rPr>
        <w:t>2</w:t>
      </w:r>
      <w:r w:rsidR="00B00311" w:rsidRPr="00B00311">
        <w:rPr>
          <w:rFonts w:asciiTheme="majorHAnsi" w:hAnsiTheme="majorHAnsi"/>
        </w:rPr>
        <w:t>1</w:t>
      </w:r>
      <w:r w:rsidRPr="00B00311">
        <w:rPr>
          <w:rFonts w:asciiTheme="majorHAnsi" w:hAnsiTheme="majorHAnsi"/>
        </w:rPr>
        <w:t xml:space="preserve"> ÎPC inactive din care</w:t>
      </w:r>
      <w:r w:rsidRPr="00B00311">
        <w:rPr>
          <w:rFonts w:asciiTheme="majorHAnsi" w:hAnsiTheme="majorHAnsi"/>
          <w:lang w:val="en-US"/>
        </w:rPr>
        <w:t>:</w:t>
      </w:r>
      <w:r w:rsidRPr="00B00311">
        <w:rPr>
          <w:rFonts w:asciiTheme="majorHAnsi" w:hAnsiTheme="majorHAnsi"/>
        </w:rPr>
        <w:t xml:space="preserve"> </w:t>
      </w:r>
    </w:p>
    <w:p w14:paraId="0E541756" w14:textId="77777777" w:rsidR="00B832B2" w:rsidRPr="00B00311" w:rsidRDefault="00B832B2" w:rsidP="00F26763">
      <w:pPr>
        <w:pStyle w:val="ListParagraph"/>
        <w:numPr>
          <w:ilvl w:val="0"/>
          <w:numId w:val="16"/>
        </w:numPr>
        <w:spacing w:beforeAutospacing="1" w:after="100" w:afterAutospacing="1" w:line="240" w:lineRule="auto"/>
        <w:ind w:left="284" w:hanging="284"/>
        <w:jc w:val="both"/>
        <w:rPr>
          <w:rFonts w:asciiTheme="majorHAnsi" w:hAnsiTheme="majorHAnsi"/>
        </w:rPr>
      </w:pPr>
      <w:r w:rsidRPr="00B00311">
        <w:rPr>
          <w:rFonts w:asciiTheme="majorHAnsi" w:hAnsiTheme="majorHAnsi"/>
        </w:rPr>
        <w:t xml:space="preserve">un număr de </w:t>
      </w:r>
      <w:r w:rsidR="007D7E1D" w:rsidRPr="00B00311">
        <w:rPr>
          <w:rFonts w:asciiTheme="majorHAnsi" w:hAnsiTheme="majorHAnsi"/>
        </w:rPr>
        <w:t>2</w:t>
      </w:r>
      <w:r w:rsidR="00B00311" w:rsidRPr="00B00311">
        <w:rPr>
          <w:rFonts w:asciiTheme="majorHAnsi" w:hAnsiTheme="majorHAnsi"/>
        </w:rPr>
        <w:t>0</w:t>
      </w:r>
      <w:r w:rsidRPr="00B00311">
        <w:rPr>
          <w:rFonts w:asciiTheme="majorHAnsi" w:hAnsiTheme="majorHAnsi"/>
        </w:rPr>
        <w:t xml:space="preserve"> ÎPC se aflau în proceduri de reorganizare și insolvență</w:t>
      </w:r>
      <w:r w:rsidRPr="00B00311">
        <w:t xml:space="preserve"> </w:t>
      </w:r>
      <w:r w:rsidRPr="00B00311">
        <w:rPr>
          <w:rFonts w:asciiTheme="majorHAnsi" w:hAnsiTheme="majorHAnsi"/>
        </w:rPr>
        <w:t>prevăzute de Legea nr. 85/2014</w:t>
      </w:r>
      <w:r w:rsidRPr="00B00311">
        <w:rPr>
          <w:rFonts w:asciiTheme="majorHAnsi" w:hAnsiTheme="majorHAnsi"/>
          <w:lang w:val="en-US"/>
        </w:rPr>
        <w:t>;</w:t>
      </w:r>
    </w:p>
    <w:p w14:paraId="4B0FF16B" w14:textId="77777777" w:rsidR="00B832B2" w:rsidRPr="00B00311" w:rsidRDefault="00B832B2" w:rsidP="00F26763">
      <w:pPr>
        <w:pStyle w:val="ListParagraph"/>
        <w:numPr>
          <w:ilvl w:val="0"/>
          <w:numId w:val="16"/>
        </w:numPr>
        <w:spacing w:beforeAutospacing="1" w:after="100" w:afterAutospacing="1" w:line="240" w:lineRule="auto"/>
        <w:ind w:left="284" w:hanging="284"/>
        <w:jc w:val="both"/>
        <w:rPr>
          <w:rFonts w:asciiTheme="majorHAnsi" w:hAnsiTheme="majorHAnsi"/>
        </w:rPr>
      </w:pPr>
      <w:r w:rsidRPr="00B00311">
        <w:rPr>
          <w:rFonts w:asciiTheme="majorHAnsi" w:hAnsiTheme="majorHAnsi"/>
        </w:rPr>
        <w:t>un număr de 1</w:t>
      </w:r>
      <w:r w:rsidR="007D7E1D" w:rsidRPr="00B00311">
        <w:rPr>
          <w:rFonts w:asciiTheme="majorHAnsi" w:hAnsiTheme="majorHAnsi"/>
        </w:rPr>
        <w:t xml:space="preserve"> </w:t>
      </w:r>
      <w:r w:rsidRPr="00B00311">
        <w:rPr>
          <w:rFonts w:asciiTheme="majorHAnsi" w:hAnsiTheme="majorHAnsi"/>
        </w:rPr>
        <w:t>ÎPC se aflau în procedur</w:t>
      </w:r>
      <w:r w:rsidR="007D7E1D" w:rsidRPr="00B00311">
        <w:rPr>
          <w:rFonts w:asciiTheme="majorHAnsi" w:hAnsiTheme="majorHAnsi"/>
        </w:rPr>
        <w:t xml:space="preserve">ă de insolvabilitate </w:t>
      </w:r>
      <w:r w:rsidRPr="00B00311">
        <w:rPr>
          <w:rFonts w:asciiTheme="majorHAnsi" w:hAnsiTheme="majorHAnsi"/>
        </w:rPr>
        <w:t>prevăzute de Legea nr. 85/2014</w:t>
      </w:r>
      <w:r w:rsidRPr="00B00311">
        <w:rPr>
          <w:rFonts w:asciiTheme="majorHAnsi" w:hAnsiTheme="majorHAnsi"/>
          <w:lang w:val="en-US"/>
        </w:rPr>
        <w:t>.</w:t>
      </w:r>
    </w:p>
    <w:p w14:paraId="3DAD7209" w14:textId="77777777" w:rsidR="00B832B2" w:rsidRDefault="00B832B2" w:rsidP="00012B0A">
      <w:pPr>
        <w:pStyle w:val="ListParagraph"/>
        <w:ind w:left="0"/>
        <w:jc w:val="both"/>
        <w:rPr>
          <w:rFonts w:asciiTheme="majorHAnsi" w:hAnsiTheme="majorHAnsi"/>
        </w:rPr>
      </w:pPr>
    </w:p>
    <w:p w14:paraId="41FC86C8" w14:textId="77777777" w:rsidR="00915604" w:rsidRPr="00B00311" w:rsidRDefault="00915604" w:rsidP="00012B0A">
      <w:pPr>
        <w:pStyle w:val="ListParagraph"/>
        <w:ind w:left="0"/>
        <w:jc w:val="both"/>
        <w:rPr>
          <w:rFonts w:asciiTheme="majorHAnsi" w:hAnsiTheme="majorHAnsi"/>
        </w:rPr>
      </w:pPr>
    </w:p>
    <w:p w14:paraId="0FCB7363" w14:textId="77777777" w:rsidR="00B00311" w:rsidRPr="00B00311" w:rsidRDefault="007A109A" w:rsidP="00651101">
      <w:pPr>
        <w:pStyle w:val="ListParagraph"/>
        <w:ind w:left="0"/>
        <w:jc w:val="both"/>
        <w:rPr>
          <w:rFonts w:asciiTheme="majorHAnsi" w:hAnsiTheme="majorHAnsi"/>
        </w:rPr>
      </w:pPr>
      <w:r w:rsidRPr="00B00311">
        <w:rPr>
          <w:rFonts w:asciiTheme="majorHAnsi" w:hAnsiTheme="majorHAnsi"/>
        </w:rPr>
        <w:t>În tabelul de mai sus</w:t>
      </w:r>
      <w:r w:rsidR="00B832B2" w:rsidRPr="00B00311">
        <w:rPr>
          <w:rFonts w:asciiTheme="majorHAnsi" w:hAnsiTheme="majorHAnsi"/>
        </w:rPr>
        <w:t xml:space="preserve"> este prezentată o parte a indicatorilor economico-financiari realizați de ÎPC inactive în anul 20</w:t>
      </w:r>
      <w:r w:rsidR="00B00311" w:rsidRPr="00B00311">
        <w:rPr>
          <w:rFonts w:asciiTheme="majorHAnsi" w:hAnsiTheme="majorHAnsi"/>
        </w:rPr>
        <w:t>20</w:t>
      </w:r>
      <w:r w:rsidR="00B832B2" w:rsidRPr="00B00311">
        <w:rPr>
          <w:rFonts w:asciiTheme="majorHAnsi" w:hAnsiTheme="majorHAnsi"/>
        </w:rPr>
        <w:t xml:space="preserve"> conform datelor extrase din raportările contabile depuse de acestea la </w:t>
      </w:r>
      <w:r w:rsidR="00B00311" w:rsidRPr="00B00311">
        <w:rPr>
          <w:rFonts w:asciiTheme="majorHAnsi" w:hAnsiTheme="majorHAnsi"/>
        </w:rPr>
        <w:t>Ministerul Finanțelor</w:t>
      </w:r>
      <w:r w:rsidR="00B832B2" w:rsidRPr="00B00311">
        <w:rPr>
          <w:rFonts w:asciiTheme="majorHAnsi" w:hAnsiTheme="majorHAnsi"/>
        </w:rPr>
        <w:t xml:space="preserve"> pentru anul 20</w:t>
      </w:r>
      <w:r w:rsidR="00B00311" w:rsidRPr="00B00311">
        <w:rPr>
          <w:rFonts w:asciiTheme="majorHAnsi" w:hAnsiTheme="majorHAnsi"/>
        </w:rPr>
        <w:t>20</w:t>
      </w:r>
      <w:r w:rsidR="00B832B2" w:rsidRPr="00B00311">
        <w:rPr>
          <w:rFonts w:asciiTheme="majorHAnsi" w:hAnsiTheme="majorHAnsi"/>
        </w:rPr>
        <w:t>.</w:t>
      </w:r>
      <w:r w:rsidR="00651101">
        <w:rPr>
          <w:rFonts w:asciiTheme="majorHAnsi" w:hAnsiTheme="majorHAnsi"/>
        </w:rPr>
        <w:t xml:space="preserve"> </w:t>
      </w:r>
      <w:r w:rsidR="00B00311" w:rsidRPr="00B00311">
        <w:rPr>
          <w:rFonts w:asciiTheme="majorHAnsi" w:hAnsiTheme="majorHAnsi"/>
        </w:rPr>
        <w:t>Printre cele mai importante ÎPC care se află în proceduri prevăzute de Legea nr. 85/2014 amintim:</w:t>
      </w:r>
    </w:p>
    <w:p w14:paraId="0B165072" w14:textId="77777777" w:rsidR="00B832B2" w:rsidRDefault="00B00311" w:rsidP="007B25D5">
      <w:pPr>
        <w:pStyle w:val="ListParagraph"/>
        <w:spacing w:before="0" w:after="0"/>
        <w:ind w:left="0"/>
        <w:jc w:val="both"/>
        <w:rPr>
          <w:rFonts w:asciiTheme="majorHAnsi" w:hAnsiTheme="majorHAnsi"/>
        </w:rPr>
      </w:pPr>
      <w:r w:rsidRPr="00B00311">
        <w:rPr>
          <w:rFonts w:asciiTheme="majorHAnsi" w:hAnsiTheme="majorHAnsi"/>
        </w:rPr>
        <w:t>Societatea Complexul Energetic Hunedoara S.A.; Electrocentrale București S.A.; Electrocentrale Galați S.A.; Electrocentrale Constanța S.A.; Societatea de Servicii Hidroenergetice Hidroserv S.A.; Compania Națională a Imprimeriilor Coresi S.A..</w:t>
      </w:r>
    </w:p>
    <w:p w14:paraId="7218D0B8" w14:textId="77777777" w:rsidR="00B00311" w:rsidRDefault="00B00311" w:rsidP="00B00311">
      <w:pPr>
        <w:pStyle w:val="ListParagraph"/>
        <w:ind w:left="0"/>
        <w:jc w:val="both"/>
        <w:rPr>
          <w:rFonts w:asciiTheme="majorHAnsi" w:hAnsiTheme="majorHAnsi"/>
        </w:rPr>
      </w:pPr>
    </w:p>
    <w:p w14:paraId="3D0C2299" w14:textId="77777777" w:rsidR="00B00311" w:rsidRPr="00D95C57" w:rsidRDefault="00B00311" w:rsidP="00B00311">
      <w:pPr>
        <w:pStyle w:val="ListParagraph"/>
        <w:ind w:left="0"/>
        <w:rPr>
          <w:rFonts w:asciiTheme="majorHAnsi" w:hAnsiTheme="majorHAnsi"/>
        </w:rPr>
      </w:pPr>
    </w:p>
    <w:p w14:paraId="159815E3" w14:textId="77777777" w:rsidR="003F0480" w:rsidRPr="00D95C57" w:rsidRDefault="003F0480" w:rsidP="003F0480">
      <w:pPr>
        <w:pStyle w:val="ListParagraph"/>
        <w:ind w:left="0" w:right="-286"/>
        <w:outlineLvl w:val="1"/>
        <w:rPr>
          <w:rStyle w:val="ListParagraphChar"/>
          <w:rFonts w:asciiTheme="majorHAnsi" w:hAnsiTheme="majorHAnsi"/>
          <w:b/>
          <w:bCs/>
          <w:color w:val="0F6FC6" w:themeColor="accent1"/>
          <w:sz w:val="32"/>
          <w:szCs w:val="32"/>
        </w:rPr>
      </w:pPr>
      <w:bookmarkStart w:id="25" w:name="_Toc519186382"/>
      <w:bookmarkStart w:id="26" w:name="_Toc87875944"/>
      <w:r w:rsidRPr="00D95C57">
        <w:rPr>
          <w:rFonts w:asciiTheme="majorHAnsi" w:hAnsiTheme="majorHAnsi"/>
          <w:b/>
          <w:bCs/>
          <w:color w:val="0F6FC6" w:themeColor="accent1"/>
          <w:sz w:val="32"/>
          <w:szCs w:val="32"/>
        </w:rPr>
        <w:t>Capitolul 1 –</w:t>
      </w:r>
      <w:r w:rsidRPr="00D95C57">
        <w:rPr>
          <w:rStyle w:val="ListParagraphChar"/>
          <w:rFonts w:asciiTheme="majorHAnsi" w:hAnsiTheme="majorHAnsi"/>
          <w:b/>
          <w:bCs/>
          <w:color w:val="0F6FC6" w:themeColor="accent1"/>
          <w:sz w:val="32"/>
          <w:szCs w:val="32"/>
        </w:rPr>
        <w:t xml:space="preserve"> Evoluția numărului întreprinderilor publice centrale deținute de autoritățile publice centrale pe parcursul anului 20</w:t>
      </w:r>
      <w:bookmarkEnd w:id="25"/>
      <w:r w:rsidR="00B00311">
        <w:rPr>
          <w:rStyle w:val="ListParagraphChar"/>
          <w:rFonts w:asciiTheme="majorHAnsi" w:hAnsiTheme="majorHAnsi"/>
          <w:b/>
          <w:bCs/>
          <w:color w:val="0F6FC6" w:themeColor="accent1"/>
          <w:sz w:val="32"/>
          <w:szCs w:val="32"/>
        </w:rPr>
        <w:t>20</w:t>
      </w:r>
      <w:bookmarkEnd w:id="26"/>
    </w:p>
    <w:tbl>
      <w:tblPr>
        <w:tblW w:w="9211" w:type="dxa"/>
        <w:tblInd w:w="110" w:type="dxa"/>
        <w:tblLook w:val="04A0" w:firstRow="1" w:lastRow="0" w:firstColumn="1" w:lastColumn="0" w:noHBand="0" w:noVBand="1"/>
      </w:tblPr>
      <w:tblGrid>
        <w:gridCol w:w="3510"/>
        <w:gridCol w:w="1530"/>
        <w:gridCol w:w="1053"/>
        <w:gridCol w:w="905"/>
        <w:gridCol w:w="1054"/>
        <w:gridCol w:w="1159"/>
      </w:tblGrid>
      <w:tr w:rsidR="007B25D5" w:rsidRPr="00CB3392" w14:paraId="29A1F666" w14:textId="77777777" w:rsidTr="007B25D5">
        <w:trPr>
          <w:trHeight w:val="675"/>
        </w:trPr>
        <w:tc>
          <w:tcPr>
            <w:tcW w:w="8052" w:type="dxa"/>
            <w:gridSpan w:val="5"/>
            <w:tcBorders>
              <w:top w:val="nil"/>
              <w:left w:val="single" w:sz="8" w:space="0" w:color="FFFFFF"/>
              <w:bottom w:val="nil"/>
              <w:right w:val="nil"/>
            </w:tcBorders>
            <w:shd w:val="clear" w:color="000000" w:fill="FFFFFF"/>
            <w:noWrap/>
            <w:vAlign w:val="center"/>
            <w:hideMark/>
          </w:tcPr>
          <w:p w14:paraId="068C51D4" w14:textId="77777777" w:rsidR="007B25D5" w:rsidRPr="007B25D5" w:rsidRDefault="007B25D5" w:rsidP="004C7E6F">
            <w:pPr>
              <w:spacing w:before="0" w:after="0" w:line="240" w:lineRule="auto"/>
              <w:rPr>
                <w:rFonts w:ascii="Calibri Light" w:eastAsia="Times New Roman" w:hAnsi="Calibri Light" w:cs="Calibri Light"/>
                <w:lang w:eastAsia="ro-RO"/>
              </w:rPr>
            </w:pPr>
          </w:p>
          <w:p w14:paraId="502BD382" w14:textId="77777777" w:rsidR="007B25D5" w:rsidRPr="007B25D5" w:rsidRDefault="007B25D5" w:rsidP="007B25D5">
            <w:pPr>
              <w:spacing w:before="0" w:after="0" w:line="240" w:lineRule="auto"/>
              <w:ind w:hanging="110"/>
              <w:rPr>
                <w:rFonts w:ascii="Calibri Light" w:eastAsia="Times New Roman" w:hAnsi="Calibri Light" w:cs="Calibri Light"/>
                <w:lang w:eastAsia="ro-RO"/>
              </w:rPr>
            </w:pPr>
            <w:r w:rsidRPr="007B25D5">
              <w:rPr>
                <w:rFonts w:ascii="Calibri Light" w:eastAsia="Times New Roman" w:hAnsi="Calibri Light" w:cs="Calibri Light"/>
                <w:lang w:eastAsia="ro-RO"/>
              </w:rPr>
              <w:t>TABEL – Evoluția numărului ÎPC active în perioada 2018-2020</w:t>
            </w:r>
          </w:p>
          <w:p w14:paraId="3C5E037C" w14:textId="77777777" w:rsidR="007B25D5" w:rsidRPr="007B25D5" w:rsidRDefault="007B25D5" w:rsidP="004C7E6F">
            <w:pPr>
              <w:spacing w:before="0" w:after="0" w:line="240" w:lineRule="auto"/>
              <w:rPr>
                <w:rFonts w:ascii="Calibri Light" w:eastAsia="Times New Roman" w:hAnsi="Calibri Light" w:cs="Calibri Light"/>
                <w:color w:val="5B9BD5"/>
                <w:lang w:eastAsia="ro-RO"/>
              </w:rPr>
            </w:pPr>
          </w:p>
        </w:tc>
        <w:tc>
          <w:tcPr>
            <w:tcW w:w="1159" w:type="dxa"/>
            <w:tcBorders>
              <w:top w:val="nil"/>
              <w:left w:val="nil"/>
              <w:bottom w:val="nil"/>
              <w:right w:val="nil"/>
            </w:tcBorders>
            <w:shd w:val="clear" w:color="000000" w:fill="FFFFFF"/>
            <w:noWrap/>
            <w:vAlign w:val="center"/>
            <w:hideMark/>
          </w:tcPr>
          <w:p w14:paraId="7DB87D0A" w14:textId="77777777" w:rsidR="007B25D5" w:rsidRPr="00CB3392" w:rsidRDefault="007B25D5" w:rsidP="004C7E6F">
            <w:pPr>
              <w:spacing w:before="0" w:after="0" w:line="240" w:lineRule="auto"/>
              <w:rPr>
                <w:rFonts w:ascii="Calibri" w:eastAsia="Times New Roman" w:hAnsi="Calibri" w:cs="Times New Roman"/>
                <w:color w:val="5B9BD5"/>
                <w:lang w:eastAsia="ro-RO"/>
              </w:rPr>
            </w:pPr>
            <w:r w:rsidRPr="00CB3392">
              <w:rPr>
                <w:rFonts w:ascii="Calibri" w:eastAsia="Times New Roman" w:hAnsi="Calibri" w:cs="Times New Roman"/>
                <w:color w:val="5B9BD5"/>
                <w:lang w:eastAsia="ro-RO"/>
              </w:rPr>
              <w:t> </w:t>
            </w:r>
          </w:p>
        </w:tc>
      </w:tr>
      <w:tr w:rsidR="007B25D5" w:rsidRPr="00CB3392" w14:paraId="07A9C547" w14:textId="77777777" w:rsidTr="007B25D5">
        <w:trPr>
          <w:trHeight w:val="476"/>
        </w:trPr>
        <w:tc>
          <w:tcPr>
            <w:tcW w:w="3510" w:type="dxa"/>
            <w:vMerge w:val="restart"/>
            <w:tcBorders>
              <w:top w:val="single" w:sz="4" w:space="0" w:color="5B9BD5"/>
              <w:left w:val="single" w:sz="4" w:space="0" w:color="FFFFFF"/>
              <w:bottom w:val="single" w:sz="4" w:space="0" w:color="5B9BD5"/>
              <w:right w:val="single" w:sz="4" w:space="0" w:color="FFFFFF"/>
            </w:tcBorders>
            <w:shd w:val="clear" w:color="000000" w:fill="FFFFFF"/>
            <w:noWrap/>
            <w:hideMark/>
          </w:tcPr>
          <w:p w14:paraId="45767402" w14:textId="77777777" w:rsidR="007B25D5" w:rsidRPr="00CB3392" w:rsidRDefault="007B25D5" w:rsidP="007B25D5">
            <w:pPr>
              <w:spacing w:before="0" w:after="0" w:line="240" w:lineRule="auto"/>
              <w:rPr>
                <w:rFonts w:ascii="Calibri Light" w:eastAsia="Times New Roman" w:hAnsi="Calibri Light" w:cs="Times New Roman"/>
                <w:color w:val="5B9BD5"/>
                <w:sz w:val="16"/>
                <w:szCs w:val="16"/>
                <w:lang w:eastAsia="ro-RO"/>
              </w:rPr>
            </w:pPr>
            <w:r w:rsidRPr="00CB3392">
              <w:rPr>
                <w:rFonts w:ascii="Calibri Light" w:eastAsia="Times New Roman" w:hAnsi="Calibri Light" w:cs="Times New Roman"/>
                <w:color w:val="5B9BD5"/>
                <w:sz w:val="16"/>
                <w:szCs w:val="16"/>
                <w:lang w:eastAsia="ro-RO"/>
              </w:rPr>
              <w:t>Anul</w:t>
            </w:r>
          </w:p>
        </w:tc>
        <w:tc>
          <w:tcPr>
            <w:tcW w:w="1530" w:type="dxa"/>
            <w:vMerge w:val="restart"/>
            <w:tcBorders>
              <w:top w:val="single" w:sz="4" w:space="0" w:color="5B9BD5"/>
              <w:left w:val="single" w:sz="4" w:space="0" w:color="FFFFFF"/>
              <w:bottom w:val="single" w:sz="4" w:space="0" w:color="5B9BD5"/>
              <w:right w:val="single" w:sz="4" w:space="0" w:color="FFFFFF"/>
            </w:tcBorders>
            <w:shd w:val="clear" w:color="000000" w:fill="FFFFFF"/>
            <w:hideMark/>
          </w:tcPr>
          <w:p w14:paraId="6C4D391B"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r w:rsidRPr="007B25D5">
              <w:rPr>
                <w:rFonts w:ascii="Calibri Light" w:eastAsia="Times New Roman" w:hAnsi="Calibri Light" w:cs="Times New Roman"/>
                <w:color w:val="0F6FC6" w:themeColor="accent1"/>
                <w:sz w:val="16"/>
                <w:szCs w:val="16"/>
                <w:lang w:eastAsia="ro-RO"/>
              </w:rPr>
              <w:t>Total ÎPC aflate în stare de funcțiune</w:t>
            </w:r>
          </w:p>
        </w:tc>
        <w:tc>
          <w:tcPr>
            <w:tcW w:w="4171" w:type="dxa"/>
            <w:gridSpan w:val="4"/>
            <w:tcBorders>
              <w:top w:val="single" w:sz="4" w:space="0" w:color="5B9BD5"/>
              <w:left w:val="nil"/>
              <w:bottom w:val="single" w:sz="4" w:space="0" w:color="5B9BD5"/>
              <w:right w:val="single" w:sz="4" w:space="0" w:color="FFFFFF"/>
            </w:tcBorders>
            <w:shd w:val="clear" w:color="000000" w:fill="FFFFFF"/>
            <w:hideMark/>
          </w:tcPr>
          <w:p w14:paraId="6994AC7A"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r w:rsidRPr="007B25D5">
              <w:rPr>
                <w:rFonts w:ascii="Calibri Light" w:eastAsia="Times New Roman" w:hAnsi="Calibri Light" w:cs="Times New Roman"/>
                <w:color w:val="0F6FC6" w:themeColor="accent1"/>
                <w:sz w:val="16"/>
                <w:szCs w:val="16"/>
                <w:lang w:eastAsia="ro-RO"/>
              </w:rPr>
              <w:t>ÎPC aflate în stare de funcțiune, după forma juridică de organizare</w:t>
            </w:r>
          </w:p>
        </w:tc>
      </w:tr>
      <w:tr w:rsidR="007B25D5" w:rsidRPr="00CB3392" w14:paraId="07D733D9" w14:textId="77777777" w:rsidTr="007B25D5">
        <w:trPr>
          <w:trHeight w:val="187"/>
        </w:trPr>
        <w:tc>
          <w:tcPr>
            <w:tcW w:w="3510" w:type="dxa"/>
            <w:vMerge/>
            <w:tcBorders>
              <w:top w:val="single" w:sz="4" w:space="0" w:color="5B9BD5"/>
              <w:left w:val="single" w:sz="4" w:space="0" w:color="FFFFFF"/>
              <w:bottom w:val="single" w:sz="4" w:space="0" w:color="5B9BD5"/>
              <w:right w:val="single" w:sz="4" w:space="0" w:color="FFFFFF"/>
            </w:tcBorders>
            <w:vAlign w:val="center"/>
            <w:hideMark/>
          </w:tcPr>
          <w:p w14:paraId="1701D910" w14:textId="77777777" w:rsidR="007B25D5" w:rsidRPr="00CB3392" w:rsidRDefault="007B25D5" w:rsidP="004C7E6F">
            <w:pPr>
              <w:spacing w:before="0" w:after="0" w:line="240" w:lineRule="auto"/>
              <w:rPr>
                <w:rFonts w:ascii="Calibri Light" w:eastAsia="Times New Roman" w:hAnsi="Calibri Light" w:cs="Times New Roman"/>
                <w:color w:val="5B9BD5"/>
                <w:sz w:val="16"/>
                <w:szCs w:val="16"/>
                <w:lang w:eastAsia="ro-RO"/>
              </w:rPr>
            </w:pPr>
          </w:p>
        </w:tc>
        <w:tc>
          <w:tcPr>
            <w:tcW w:w="1530" w:type="dxa"/>
            <w:vMerge/>
            <w:tcBorders>
              <w:top w:val="single" w:sz="4" w:space="0" w:color="5B9BD5"/>
              <w:left w:val="single" w:sz="4" w:space="0" w:color="FFFFFF"/>
              <w:bottom w:val="single" w:sz="4" w:space="0" w:color="5B9BD5"/>
              <w:right w:val="single" w:sz="4" w:space="0" w:color="FFFFFF"/>
            </w:tcBorders>
            <w:hideMark/>
          </w:tcPr>
          <w:p w14:paraId="3CF0EAFE"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p>
        </w:tc>
        <w:tc>
          <w:tcPr>
            <w:tcW w:w="1053" w:type="dxa"/>
            <w:tcBorders>
              <w:top w:val="nil"/>
              <w:left w:val="nil"/>
              <w:bottom w:val="single" w:sz="4" w:space="0" w:color="5B9BD5"/>
              <w:right w:val="single" w:sz="4" w:space="0" w:color="FFFFFF"/>
            </w:tcBorders>
            <w:shd w:val="clear" w:color="000000" w:fill="FFFFFF"/>
            <w:hideMark/>
          </w:tcPr>
          <w:p w14:paraId="0173E440"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r w:rsidRPr="007B25D5">
              <w:rPr>
                <w:rFonts w:ascii="Calibri Light" w:eastAsia="Times New Roman" w:hAnsi="Calibri Light" w:cs="Times New Roman"/>
                <w:color w:val="0F6FC6" w:themeColor="accent1"/>
                <w:sz w:val="16"/>
                <w:szCs w:val="16"/>
                <w:lang w:eastAsia="ro-RO"/>
              </w:rPr>
              <w:t>SOC</w:t>
            </w:r>
          </w:p>
        </w:tc>
        <w:tc>
          <w:tcPr>
            <w:tcW w:w="905" w:type="dxa"/>
            <w:tcBorders>
              <w:top w:val="nil"/>
              <w:left w:val="nil"/>
              <w:bottom w:val="single" w:sz="4" w:space="0" w:color="5B9BD5"/>
              <w:right w:val="single" w:sz="4" w:space="0" w:color="FFFFFF"/>
            </w:tcBorders>
            <w:shd w:val="clear" w:color="000000" w:fill="FFFFFF"/>
            <w:hideMark/>
          </w:tcPr>
          <w:p w14:paraId="560813C9"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r w:rsidRPr="007B25D5">
              <w:rPr>
                <w:rFonts w:ascii="Calibri Light" w:eastAsia="Times New Roman" w:hAnsi="Calibri Light" w:cs="Times New Roman"/>
                <w:color w:val="0F6FC6" w:themeColor="accent1"/>
                <w:sz w:val="16"/>
                <w:szCs w:val="16"/>
                <w:lang w:eastAsia="ro-RO"/>
              </w:rPr>
              <w:t>RA</w:t>
            </w:r>
          </w:p>
        </w:tc>
        <w:tc>
          <w:tcPr>
            <w:tcW w:w="1054" w:type="dxa"/>
            <w:tcBorders>
              <w:top w:val="nil"/>
              <w:left w:val="nil"/>
              <w:bottom w:val="single" w:sz="4" w:space="0" w:color="5B9BD5"/>
              <w:right w:val="single" w:sz="4" w:space="0" w:color="FFFFFF"/>
            </w:tcBorders>
            <w:shd w:val="clear" w:color="000000" w:fill="FFFFFF"/>
            <w:hideMark/>
          </w:tcPr>
          <w:p w14:paraId="0EEBEA21"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r w:rsidRPr="007B25D5">
              <w:rPr>
                <w:rFonts w:ascii="Calibri Light" w:eastAsia="Times New Roman" w:hAnsi="Calibri Light" w:cs="Times New Roman"/>
                <w:color w:val="0F6FC6" w:themeColor="accent1"/>
                <w:sz w:val="16"/>
                <w:szCs w:val="16"/>
                <w:lang w:eastAsia="ro-RO"/>
              </w:rPr>
              <w:t>INST</w:t>
            </w:r>
          </w:p>
        </w:tc>
        <w:tc>
          <w:tcPr>
            <w:tcW w:w="1159" w:type="dxa"/>
            <w:tcBorders>
              <w:top w:val="nil"/>
              <w:left w:val="nil"/>
              <w:bottom w:val="single" w:sz="4" w:space="0" w:color="5B9BD5"/>
              <w:right w:val="nil"/>
            </w:tcBorders>
            <w:shd w:val="clear" w:color="000000" w:fill="FFFFFF"/>
            <w:hideMark/>
          </w:tcPr>
          <w:p w14:paraId="0B81A658" w14:textId="77777777" w:rsidR="007B25D5" w:rsidRPr="007B25D5" w:rsidRDefault="007B25D5" w:rsidP="007B25D5">
            <w:pPr>
              <w:spacing w:before="0" w:after="0" w:line="240" w:lineRule="auto"/>
              <w:jc w:val="right"/>
              <w:rPr>
                <w:rFonts w:ascii="Calibri Light" w:eastAsia="Times New Roman" w:hAnsi="Calibri Light" w:cs="Times New Roman"/>
                <w:color w:val="0F6FC6" w:themeColor="accent1"/>
                <w:sz w:val="16"/>
                <w:szCs w:val="16"/>
                <w:lang w:eastAsia="ro-RO"/>
              </w:rPr>
            </w:pPr>
            <w:r w:rsidRPr="007B25D5">
              <w:rPr>
                <w:rFonts w:ascii="Calibri Light" w:eastAsia="Times New Roman" w:hAnsi="Calibri Light" w:cs="Times New Roman"/>
                <w:color w:val="0F6FC6" w:themeColor="accent1"/>
                <w:sz w:val="16"/>
                <w:szCs w:val="16"/>
                <w:lang w:eastAsia="ro-RO"/>
              </w:rPr>
              <w:t>FIL</w:t>
            </w:r>
          </w:p>
        </w:tc>
      </w:tr>
      <w:tr w:rsidR="007B25D5" w:rsidRPr="00CB3392" w14:paraId="43CF074C" w14:textId="77777777" w:rsidTr="007B25D5">
        <w:trPr>
          <w:trHeight w:val="220"/>
        </w:trPr>
        <w:tc>
          <w:tcPr>
            <w:tcW w:w="3510" w:type="dxa"/>
            <w:vMerge/>
            <w:tcBorders>
              <w:top w:val="single" w:sz="4" w:space="0" w:color="5B9BD5"/>
              <w:left w:val="single" w:sz="4" w:space="0" w:color="FFFFFF"/>
              <w:bottom w:val="single" w:sz="4" w:space="0" w:color="5B9BD5"/>
              <w:right w:val="single" w:sz="4" w:space="0" w:color="FFFFFF"/>
            </w:tcBorders>
            <w:vAlign w:val="center"/>
            <w:hideMark/>
          </w:tcPr>
          <w:p w14:paraId="65ECAFF2" w14:textId="77777777" w:rsidR="007B25D5" w:rsidRPr="00CB3392" w:rsidRDefault="007B25D5" w:rsidP="004C7E6F">
            <w:pPr>
              <w:spacing w:before="0" w:after="0" w:line="240" w:lineRule="auto"/>
              <w:rPr>
                <w:rFonts w:ascii="Calibri Light" w:eastAsia="Times New Roman" w:hAnsi="Calibri Light" w:cs="Times New Roman"/>
                <w:color w:val="5B9BD5"/>
                <w:sz w:val="16"/>
                <w:szCs w:val="16"/>
                <w:lang w:eastAsia="ro-RO"/>
              </w:rPr>
            </w:pPr>
          </w:p>
        </w:tc>
        <w:tc>
          <w:tcPr>
            <w:tcW w:w="1530" w:type="dxa"/>
            <w:tcBorders>
              <w:top w:val="nil"/>
              <w:left w:val="nil"/>
              <w:bottom w:val="single" w:sz="4" w:space="0" w:color="5B9BD5"/>
              <w:right w:val="single" w:sz="4" w:space="0" w:color="FFFFFF"/>
            </w:tcBorders>
            <w:shd w:val="clear" w:color="000000" w:fill="FFFFFF"/>
            <w:hideMark/>
          </w:tcPr>
          <w:p w14:paraId="4426C5E2"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Nr ÎPC</w:t>
            </w:r>
          </w:p>
        </w:tc>
        <w:tc>
          <w:tcPr>
            <w:tcW w:w="1053" w:type="dxa"/>
            <w:tcBorders>
              <w:top w:val="nil"/>
              <w:left w:val="nil"/>
              <w:bottom w:val="single" w:sz="4" w:space="0" w:color="5B9BD5"/>
              <w:right w:val="single" w:sz="4" w:space="0" w:color="FFFFFF"/>
            </w:tcBorders>
            <w:shd w:val="clear" w:color="000000" w:fill="FFFFFF"/>
            <w:noWrap/>
            <w:hideMark/>
          </w:tcPr>
          <w:p w14:paraId="1E824951"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Nr ÎPC</w:t>
            </w:r>
          </w:p>
        </w:tc>
        <w:tc>
          <w:tcPr>
            <w:tcW w:w="905" w:type="dxa"/>
            <w:tcBorders>
              <w:top w:val="nil"/>
              <w:left w:val="nil"/>
              <w:bottom w:val="single" w:sz="4" w:space="0" w:color="5B9BD5"/>
              <w:right w:val="single" w:sz="4" w:space="0" w:color="FFFFFF"/>
            </w:tcBorders>
            <w:shd w:val="clear" w:color="000000" w:fill="FFFFFF"/>
            <w:noWrap/>
            <w:hideMark/>
          </w:tcPr>
          <w:p w14:paraId="07437694"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Nr ÎPC</w:t>
            </w:r>
          </w:p>
        </w:tc>
        <w:tc>
          <w:tcPr>
            <w:tcW w:w="1054" w:type="dxa"/>
            <w:tcBorders>
              <w:top w:val="nil"/>
              <w:left w:val="nil"/>
              <w:bottom w:val="single" w:sz="4" w:space="0" w:color="5B9BD5"/>
              <w:right w:val="single" w:sz="4" w:space="0" w:color="FFFFFF"/>
            </w:tcBorders>
            <w:shd w:val="clear" w:color="000000" w:fill="FFFFFF"/>
            <w:noWrap/>
            <w:hideMark/>
          </w:tcPr>
          <w:p w14:paraId="4228D08D"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Nr ÎPC</w:t>
            </w:r>
          </w:p>
        </w:tc>
        <w:tc>
          <w:tcPr>
            <w:tcW w:w="1159" w:type="dxa"/>
            <w:tcBorders>
              <w:top w:val="nil"/>
              <w:left w:val="nil"/>
              <w:bottom w:val="single" w:sz="4" w:space="0" w:color="5B9BD5"/>
              <w:right w:val="nil"/>
            </w:tcBorders>
            <w:shd w:val="clear" w:color="000000" w:fill="FFFFFF"/>
            <w:noWrap/>
            <w:hideMark/>
          </w:tcPr>
          <w:p w14:paraId="32D58152"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Nr ÎPC</w:t>
            </w:r>
          </w:p>
        </w:tc>
      </w:tr>
      <w:tr w:rsidR="007B25D5" w:rsidRPr="00CB3392" w14:paraId="0A51B683" w14:textId="77777777" w:rsidTr="007B25D5">
        <w:trPr>
          <w:trHeight w:val="97"/>
        </w:trPr>
        <w:tc>
          <w:tcPr>
            <w:tcW w:w="3510" w:type="dxa"/>
            <w:vMerge/>
            <w:tcBorders>
              <w:top w:val="single" w:sz="4" w:space="0" w:color="5B9BD5"/>
              <w:left w:val="single" w:sz="4" w:space="0" w:color="FFFFFF"/>
              <w:bottom w:val="single" w:sz="4" w:space="0" w:color="5B9BD5"/>
              <w:right w:val="single" w:sz="4" w:space="0" w:color="FFFFFF"/>
            </w:tcBorders>
            <w:vAlign w:val="center"/>
            <w:hideMark/>
          </w:tcPr>
          <w:p w14:paraId="7857C6A6" w14:textId="77777777" w:rsidR="007B25D5" w:rsidRPr="00CB3392" w:rsidRDefault="007B25D5" w:rsidP="004C7E6F">
            <w:pPr>
              <w:spacing w:before="0" w:after="0" w:line="240" w:lineRule="auto"/>
              <w:rPr>
                <w:rFonts w:ascii="Calibri Light" w:eastAsia="Times New Roman" w:hAnsi="Calibri Light" w:cs="Times New Roman"/>
                <w:color w:val="5B9BD5"/>
                <w:sz w:val="16"/>
                <w:szCs w:val="16"/>
                <w:lang w:eastAsia="ro-RO"/>
              </w:rPr>
            </w:pPr>
          </w:p>
        </w:tc>
        <w:tc>
          <w:tcPr>
            <w:tcW w:w="1530" w:type="dxa"/>
            <w:tcBorders>
              <w:top w:val="nil"/>
              <w:left w:val="nil"/>
              <w:bottom w:val="single" w:sz="4" w:space="0" w:color="5B9BD5"/>
              <w:right w:val="single" w:sz="4" w:space="0" w:color="FFFFFF"/>
            </w:tcBorders>
            <w:shd w:val="clear" w:color="000000" w:fill="FFFFFF"/>
            <w:hideMark/>
          </w:tcPr>
          <w:p w14:paraId="5A6CB88D"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1=2+3+4+5</w:t>
            </w:r>
          </w:p>
        </w:tc>
        <w:tc>
          <w:tcPr>
            <w:tcW w:w="1053" w:type="dxa"/>
            <w:tcBorders>
              <w:top w:val="nil"/>
              <w:left w:val="nil"/>
              <w:bottom w:val="single" w:sz="4" w:space="0" w:color="5B9BD5"/>
              <w:right w:val="single" w:sz="4" w:space="0" w:color="FFFFFF"/>
            </w:tcBorders>
            <w:shd w:val="clear" w:color="000000" w:fill="FFFFFF"/>
            <w:noWrap/>
            <w:hideMark/>
          </w:tcPr>
          <w:p w14:paraId="17F0E8F2"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2</w:t>
            </w:r>
          </w:p>
        </w:tc>
        <w:tc>
          <w:tcPr>
            <w:tcW w:w="905" w:type="dxa"/>
            <w:tcBorders>
              <w:top w:val="nil"/>
              <w:left w:val="nil"/>
              <w:bottom w:val="single" w:sz="4" w:space="0" w:color="5B9BD5"/>
              <w:right w:val="single" w:sz="4" w:space="0" w:color="FFFFFF"/>
            </w:tcBorders>
            <w:shd w:val="clear" w:color="000000" w:fill="FFFFFF"/>
            <w:noWrap/>
            <w:hideMark/>
          </w:tcPr>
          <w:p w14:paraId="102538B9"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3</w:t>
            </w:r>
          </w:p>
        </w:tc>
        <w:tc>
          <w:tcPr>
            <w:tcW w:w="1054" w:type="dxa"/>
            <w:tcBorders>
              <w:top w:val="nil"/>
              <w:left w:val="nil"/>
              <w:bottom w:val="single" w:sz="4" w:space="0" w:color="5B9BD5"/>
              <w:right w:val="single" w:sz="4" w:space="0" w:color="FFFFFF"/>
            </w:tcBorders>
            <w:shd w:val="clear" w:color="000000" w:fill="FFFFFF"/>
            <w:noWrap/>
            <w:hideMark/>
          </w:tcPr>
          <w:p w14:paraId="7EFDDC82"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4</w:t>
            </w:r>
          </w:p>
        </w:tc>
        <w:tc>
          <w:tcPr>
            <w:tcW w:w="1159" w:type="dxa"/>
            <w:tcBorders>
              <w:top w:val="nil"/>
              <w:left w:val="nil"/>
              <w:bottom w:val="single" w:sz="4" w:space="0" w:color="5B9BD5"/>
              <w:right w:val="nil"/>
            </w:tcBorders>
            <w:shd w:val="clear" w:color="000000" w:fill="FFFFFF"/>
            <w:noWrap/>
            <w:hideMark/>
          </w:tcPr>
          <w:p w14:paraId="6C01561E" w14:textId="77777777" w:rsidR="007B25D5" w:rsidRPr="007B25D5" w:rsidRDefault="007B25D5" w:rsidP="007B25D5">
            <w:pPr>
              <w:spacing w:before="0" w:after="0" w:line="240" w:lineRule="auto"/>
              <w:jc w:val="right"/>
              <w:rPr>
                <w:rFonts w:ascii="Calibri Light" w:eastAsia="Times New Roman" w:hAnsi="Calibri Light" w:cs="Times New Roman"/>
                <w:i/>
                <w:iCs/>
                <w:color w:val="0F6FC6" w:themeColor="accent1"/>
                <w:sz w:val="14"/>
                <w:szCs w:val="14"/>
                <w:lang w:eastAsia="ro-RO"/>
              </w:rPr>
            </w:pPr>
            <w:r w:rsidRPr="007B25D5">
              <w:rPr>
                <w:rFonts w:ascii="Calibri Light" w:eastAsia="Times New Roman" w:hAnsi="Calibri Light" w:cs="Times New Roman"/>
                <w:i/>
                <w:iCs/>
                <w:color w:val="0F6FC6" w:themeColor="accent1"/>
                <w:sz w:val="14"/>
                <w:szCs w:val="14"/>
                <w:lang w:eastAsia="ro-RO"/>
              </w:rPr>
              <w:t>5</w:t>
            </w:r>
          </w:p>
        </w:tc>
      </w:tr>
      <w:tr w:rsidR="007B25D5" w:rsidRPr="00CB3392" w14:paraId="613F0466" w14:textId="77777777" w:rsidTr="007B25D5">
        <w:trPr>
          <w:trHeight w:val="220"/>
        </w:trPr>
        <w:tc>
          <w:tcPr>
            <w:tcW w:w="3510" w:type="dxa"/>
            <w:tcBorders>
              <w:top w:val="nil"/>
              <w:left w:val="nil"/>
              <w:bottom w:val="nil"/>
              <w:right w:val="nil"/>
            </w:tcBorders>
            <w:shd w:val="clear" w:color="auto" w:fill="auto"/>
            <w:noWrap/>
            <w:vAlign w:val="bottom"/>
            <w:hideMark/>
          </w:tcPr>
          <w:p w14:paraId="7BD36B92" w14:textId="77777777" w:rsidR="007B25D5" w:rsidRPr="007B25D5" w:rsidRDefault="007B25D5" w:rsidP="007B25D5">
            <w:pPr>
              <w:spacing w:before="0" w:after="0" w:line="240" w:lineRule="auto"/>
              <w:rPr>
                <w:rFonts w:ascii="Calibri Light" w:eastAsia="Times New Roman" w:hAnsi="Calibri Light" w:cs="Times New Roman"/>
                <w:sz w:val="16"/>
                <w:szCs w:val="16"/>
                <w:lang w:eastAsia="ro-RO"/>
              </w:rPr>
            </w:pPr>
            <w:r w:rsidRPr="007B25D5">
              <w:rPr>
                <w:rFonts w:ascii="Calibri Light" w:eastAsia="Times New Roman" w:hAnsi="Calibri Light" w:cs="Times New Roman"/>
                <w:sz w:val="16"/>
                <w:szCs w:val="16"/>
                <w:lang w:eastAsia="ro-RO"/>
              </w:rPr>
              <w:t>2018</w:t>
            </w:r>
          </w:p>
        </w:tc>
        <w:tc>
          <w:tcPr>
            <w:tcW w:w="1530" w:type="dxa"/>
            <w:tcBorders>
              <w:top w:val="nil"/>
              <w:left w:val="nil"/>
              <w:bottom w:val="nil"/>
              <w:right w:val="nil"/>
            </w:tcBorders>
            <w:shd w:val="clear" w:color="D9D9D9" w:fill="FFFFFF"/>
            <w:noWrap/>
            <w:vAlign w:val="bottom"/>
            <w:hideMark/>
          </w:tcPr>
          <w:p w14:paraId="78D2B1C7" w14:textId="77777777" w:rsidR="007B25D5" w:rsidRPr="007B25D5" w:rsidRDefault="007B25D5" w:rsidP="004C7E6F">
            <w:pPr>
              <w:spacing w:before="0" w:after="0" w:line="240" w:lineRule="auto"/>
              <w:jc w:val="right"/>
              <w:rPr>
                <w:rFonts w:ascii="Calibri" w:eastAsia="Times New Roman" w:hAnsi="Calibri" w:cs="Times New Roman"/>
                <w:b/>
                <w:bCs/>
                <w:sz w:val="16"/>
                <w:szCs w:val="16"/>
                <w:lang w:eastAsia="ro-RO"/>
              </w:rPr>
            </w:pPr>
            <w:r w:rsidRPr="007B25D5">
              <w:rPr>
                <w:rFonts w:ascii="Calibri" w:eastAsia="Times New Roman" w:hAnsi="Calibri" w:cs="Times New Roman"/>
                <w:b/>
                <w:bCs/>
                <w:sz w:val="16"/>
                <w:szCs w:val="16"/>
                <w:lang w:eastAsia="ro-RO"/>
              </w:rPr>
              <w:t>225</w:t>
            </w:r>
          </w:p>
        </w:tc>
        <w:tc>
          <w:tcPr>
            <w:tcW w:w="1053" w:type="dxa"/>
            <w:tcBorders>
              <w:top w:val="nil"/>
              <w:left w:val="nil"/>
              <w:bottom w:val="nil"/>
              <w:right w:val="nil"/>
            </w:tcBorders>
            <w:shd w:val="clear" w:color="auto" w:fill="auto"/>
            <w:noWrap/>
            <w:vAlign w:val="bottom"/>
            <w:hideMark/>
          </w:tcPr>
          <w:p w14:paraId="45FB154E"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83</w:t>
            </w:r>
          </w:p>
        </w:tc>
        <w:tc>
          <w:tcPr>
            <w:tcW w:w="905" w:type="dxa"/>
            <w:tcBorders>
              <w:top w:val="nil"/>
              <w:left w:val="nil"/>
              <w:bottom w:val="nil"/>
              <w:right w:val="nil"/>
            </w:tcBorders>
            <w:shd w:val="clear" w:color="auto" w:fill="auto"/>
            <w:noWrap/>
            <w:vAlign w:val="bottom"/>
            <w:hideMark/>
          </w:tcPr>
          <w:p w14:paraId="4C6D2E79"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13</w:t>
            </w:r>
          </w:p>
        </w:tc>
        <w:tc>
          <w:tcPr>
            <w:tcW w:w="1054" w:type="dxa"/>
            <w:tcBorders>
              <w:top w:val="nil"/>
              <w:left w:val="nil"/>
              <w:bottom w:val="nil"/>
              <w:right w:val="nil"/>
            </w:tcBorders>
            <w:shd w:val="clear" w:color="auto" w:fill="auto"/>
            <w:noWrap/>
            <w:vAlign w:val="bottom"/>
            <w:hideMark/>
          </w:tcPr>
          <w:p w14:paraId="139CA955"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50</w:t>
            </w:r>
          </w:p>
        </w:tc>
        <w:tc>
          <w:tcPr>
            <w:tcW w:w="1159" w:type="dxa"/>
            <w:tcBorders>
              <w:top w:val="nil"/>
              <w:left w:val="nil"/>
              <w:bottom w:val="nil"/>
              <w:right w:val="nil"/>
            </w:tcBorders>
            <w:shd w:val="clear" w:color="auto" w:fill="auto"/>
            <w:noWrap/>
            <w:vAlign w:val="bottom"/>
            <w:hideMark/>
          </w:tcPr>
          <w:p w14:paraId="7C18DF64"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79</w:t>
            </w:r>
          </w:p>
        </w:tc>
      </w:tr>
      <w:tr w:rsidR="007B25D5" w:rsidRPr="00CB3392" w14:paraId="4806584D" w14:textId="77777777" w:rsidTr="007B25D5">
        <w:trPr>
          <w:trHeight w:val="220"/>
        </w:trPr>
        <w:tc>
          <w:tcPr>
            <w:tcW w:w="3510" w:type="dxa"/>
            <w:tcBorders>
              <w:top w:val="nil"/>
              <w:left w:val="nil"/>
              <w:bottom w:val="nil"/>
              <w:right w:val="nil"/>
            </w:tcBorders>
            <w:shd w:val="clear" w:color="auto" w:fill="auto"/>
            <w:noWrap/>
            <w:vAlign w:val="bottom"/>
            <w:hideMark/>
          </w:tcPr>
          <w:p w14:paraId="4998ADAC" w14:textId="77777777" w:rsidR="007B25D5" w:rsidRPr="007B25D5" w:rsidRDefault="007B25D5" w:rsidP="007B25D5">
            <w:pPr>
              <w:spacing w:before="0" w:after="0" w:line="240" w:lineRule="auto"/>
              <w:rPr>
                <w:rFonts w:ascii="Calibri Light" w:eastAsia="Times New Roman" w:hAnsi="Calibri Light" w:cs="Times New Roman"/>
                <w:sz w:val="16"/>
                <w:szCs w:val="16"/>
                <w:lang w:eastAsia="ro-RO"/>
              </w:rPr>
            </w:pPr>
            <w:r w:rsidRPr="007B25D5">
              <w:rPr>
                <w:rFonts w:ascii="Calibri Light" w:eastAsia="Times New Roman" w:hAnsi="Calibri Light" w:cs="Times New Roman"/>
                <w:sz w:val="16"/>
                <w:szCs w:val="16"/>
                <w:lang w:eastAsia="ro-RO"/>
              </w:rPr>
              <w:t>2019</w:t>
            </w:r>
          </w:p>
        </w:tc>
        <w:tc>
          <w:tcPr>
            <w:tcW w:w="1530" w:type="dxa"/>
            <w:tcBorders>
              <w:top w:val="nil"/>
              <w:left w:val="nil"/>
              <w:bottom w:val="nil"/>
              <w:right w:val="nil"/>
            </w:tcBorders>
            <w:shd w:val="clear" w:color="D9D9D9" w:fill="FFFFFF"/>
            <w:noWrap/>
            <w:vAlign w:val="bottom"/>
            <w:hideMark/>
          </w:tcPr>
          <w:p w14:paraId="014B798D" w14:textId="77777777" w:rsidR="007B25D5" w:rsidRPr="007B25D5" w:rsidRDefault="007B25D5" w:rsidP="004C7E6F">
            <w:pPr>
              <w:spacing w:before="0" w:after="0" w:line="240" w:lineRule="auto"/>
              <w:jc w:val="right"/>
              <w:rPr>
                <w:rFonts w:ascii="Calibri" w:eastAsia="Times New Roman" w:hAnsi="Calibri" w:cs="Times New Roman"/>
                <w:b/>
                <w:bCs/>
                <w:sz w:val="16"/>
                <w:szCs w:val="16"/>
                <w:lang w:eastAsia="ro-RO"/>
              </w:rPr>
            </w:pPr>
            <w:r w:rsidRPr="007B25D5">
              <w:rPr>
                <w:rFonts w:ascii="Calibri" w:eastAsia="Times New Roman" w:hAnsi="Calibri" w:cs="Times New Roman"/>
                <w:b/>
                <w:bCs/>
                <w:sz w:val="16"/>
                <w:szCs w:val="16"/>
                <w:lang w:eastAsia="ro-RO"/>
              </w:rPr>
              <w:t>223</w:t>
            </w:r>
          </w:p>
        </w:tc>
        <w:tc>
          <w:tcPr>
            <w:tcW w:w="1053" w:type="dxa"/>
            <w:tcBorders>
              <w:top w:val="nil"/>
              <w:left w:val="nil"/>
              <w:bottom w:val="nil"/>
              <w:right w:val="nil"/>
            </w:tcBorders>
            <w:shd w:val="clear" w:color="auto" w:fill="auto"/>
            <w:noWrap/>
            <w:vAlign w:val="bottom"/>
            <w:hideMark/>
          </w:tcPr>
          <w:p w14:paraId="4782D670"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82</w:t>
            </w:r>
          </w:p>
        </w:tc>
        <w:tc>
          <w:tcPr>
            <w:tcW w:w="905" w:type="dxa"/>
            <w:tcBorders>
              <w:top w:val="nil"/>
              <w:left w:val="nil"/>
              <w:bottom w:val="nil"/>
              <w:right w:val="nil"/>
            </w:tcBorders>
            <w:shd w:val="clear" w:color="auto" w:fill="auto"/>
            <w:noWrap/>
            <w:vAlign w:val="bottom"/>
            <w:hideMark/>
          </w:tcPr>
          <w:p w14:paraId="016953B8"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13</w:t>
            </w:r>
          </w:p>
        </w:tc>
        <w:tc>
          <w:tcPr>
            <w:tcW w:w="1054" w:type="dxa"/>
            <w:tcBorders>
              <w:top w:val="nil"/>
              <w:left w:val="nil"/>
              <w:bottom w:val="nil"/>
              <w:right w:val="nil"/>
            </w:tcBorders>
            <w:shd w:val="clear" w:color="auto" w:fill="auto"/>
            <w:noWrap/>
            <w:vAlign w:val="bottom"/>
            <w:hideMark/>
          </w:tcPr>
          <w:p w14:paraId="40BD6E4B"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50</w:t>
            </w:r>
          </w:p>
        </w:tc>
        <w:tc>
          <w:tcPr>
            <w:tcW w:w="1159" w:type="dxa"/>
            <w:tcBorders>
              <w:top w:val="nil"/>
              <w:left w:val="nil"/>
              <w:bottom w:val="nil"/>
              <w:right w:val="nil"/>
            </w:tcBorders>
            <w:shd w:val="clear" w:color="auto" w:fill="auto"/>
            <w:noWrap/>
            <w:vAlign w:val="bottom"/>
            <w:hideMark/>
          </w:tcPr>
          <w:p w14:paraId="3E3D12C8"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78</w:t>
            </w:r>
          </w:p>
        </w:tc>
      </w:tr>
      <w:tr w:rsidR="007B25D5" w:rsidRPr="00CB3392" w14:paraId="64132134" w14:textId="77777777" w:rsidTr="007B25D5">
        <w:trPr>
          <w:trHeight w:val="220"/>
        </w:trPr>
        <w:tc>
          <w:tcPr>
            <w:tcW w:w="3510" w:type="dxa"/>
            <w:tcBorders>
              <w:top w:val="dashed" w:sz="4" w:space="0" w:color="5B9BD5"/>
              <w:left w:val="nil"/>
              <w:bottom w:val="single" w:sz="4" w:space="0" w:color="5B9BD5"/>
              <w:right w:val="nil"/>
            </w:tcBorders>
            <w:shd w:val="clear" w:color="auto" w:fill="auto"/>
            <w:noWrap/>
            <w:vAlign w:val="bottom"/>
            <w:hideMark/>
          </w:tcPr>
          <w:p w14:paraId="36764D0D" w14:textId="77777777" w:rsidR="007B25D5" w:rsidRPr="007B25D5" w:rsidRDefault="007B25D5" w:rsidP="007B25D5">
            <w:pPr>
              <w:spacing w:before="0" w:after="0" w:line="240" w:lineRule="auto"/>
              <w:rPr>
                <w:rFonts w:ascii="Calibri Light" w:eastAsia="Times New Roman" w:hAnsi="Calibri Light" w:cs="Times New Roman"/>
                <w:sz w:val="16"/>
                <w:szCs w:val="16"/>
                <w:lang w:eastAsia="ro-RO"/>
              </w:rPr>
            </w:pPr>
            <w:r w:rsidRPr="007B25D5">
              <w:rPr>
                <w:rFonts w:ascii="Calibri Light" w:eastAsia="Times New Roman" w:hAnsi="Calibri Light" w:cs="Times New Roman"/>
                <w:sz w:val="16"/>
                <w:szCs w:val="16"/>
                <w:lang w:eastAsia="ro-RO"/>
              </w:rPr>
              <w:t>2020</w:t>
            </w:r>
          </w:p>
        </w:tc>
        <w:tc>
          <w:tcPr>
            <w:tcW w:w="1530" w:type="dxa"/>
            <w:tcBorders>
              <w:top w:val="dashed" w:sz="4" w:space="0" w:color="5B9BD5"/>
              <w:left w:val="nil"/>
              <w:bottom w:val="single" w:sz="4" w:space="0" w:color="5B9BD5"/>
              <w:right w:val="nil"/>
            </w:tcBorders>
            <w:shd w:val="clear" w:color="D9D9D9" w:fill="FFFFFF"/>
            <w:noWrap/>
            <w:vAlign w:val="bottom"/>
            <w:hideMark/>
          </w:tcPr>
          <w:p w14:paraId="7376C5B5" w14:textId="77777777" w:rsidR="007B25D5" w:rsidRPr="007B25D5" w:rsidRDefault="007B25D5" w:rsidP="004C7E6F">
            <w:pPr>
              <w:spacing w:before="0" w:after="0" w:line="240" w:lineRule="auto"/>
              <w:jc w:val="right"/>
              <w:rPr>
                <w:rFonts w:ascii="Calibri" w:eastAsia="Times New Roman" w:hAnsi="Calibri" w:cs="Times New Roman"/>
                <w:b/>
                <w:bCs/>
                <w:sz w:val="16"/>
                <w:szCs w:val="16"/>
                <w:lang w:eastAsia="ro-RO"/>
              </w:rPr>
            </w:pPr>
            <w:r w:rsidRPr="007B25D5">
              <w:rPr>
                <w:rFonts w:ascii="Calibri" w:eastAsia="Times New Roman" w:hAnsi="Calibri" w:cs="Times New Roman"/>
                <w:b/>
                <w:bCs/>
                <w:sz w:val="16"/>
                <w:szCs w:val="16"/>
                <w:lang w:eastAsia="ro-RO"/>
              </w:rPr>
              <w:t>226</w:t>
            </w:r>
          </w:p>
        </w:tc>
        <w:tc>
          <w:tcPr>
            <w:tcW w:w="1053" w:type="dxa"/>
            <w:tcBorders>
              <w:top w:val="dashed" w:sz="4" w:space="0" w:color="5B9BD5"/>
              <w:left w:val="nil"/>
              <w:bottom w:val="single" w:sz="4" w:space="0" w:color="5B9BD5"/>
              <w:right w:val="nil"/>
            </w:tcBorders>
            <w:shd w:val="clear" w:color="auto" w:fill="auto"/>
            <w:noWrap/>
            <w:vAlign w:val="bottom"/>
            <w:hideMark/>
          </w:tcPr>
          <w:p w14:paraId="2E8BB6BA"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89</w:t>
            </w:r>
          </w:p>
        </w:tc>
        <w:tc>
          <w:tcPr>
            <w:tcW w:w="905" w:type="dxa"/>
            <w:tcBorders>
              <w:top w:val="dashed" w:sz="4" w:space="0" w:color="5B9BD5"/>
              <w:left w:val="nil"/>
              <w:bottom w:val="single" w:sz="4" w:space="0" w:color="5B9BD5"/>
              <w:right w:val="nil"/>
            </w:tcBorders>
            <w:shd w:val="clear" w:color="auto" w:fill="auto"/>
            <w:noWrap/>
            <w:vAlign w:val="bottom"/>
            <w:hideMark/>
          </w:tcPr>
          <w:p w14:paraId="40EDCEB8"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13</w:t>
            </w:r>
          </w:p>
        </w:tc>
        <w:tc>
          <w:tcPr>
            <w:tcW w:w="1054" w:type="dxa"/>
            <w:tcBorders>
              <w:top w:val="dashed" w:sz="4" w:space="0" w:color="5B9BD5"/>
              <w:left w:val="nil"/>
              <w:bottom w:val="single" w:sz="4" w:space="0" w:color="5B9BD5"/>
              <w:right w:val="nil"/>
            </w:tcBorders>
            <w:shd w:val="clear" w:color="auto" w:fill="auto"/>
            <w:noWrap/>
            <w:vAlign w:val="bottom"/>
            <w:hideMark/>
          </w:tcPr>
          <w:p w14:paraId="7E2037D1"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50</w:t>
            </w:r>
          </w:p>
        </w:tc>
        <w:tc>
          <w:tcPr>
            <w:tcW w:w="1159" w:type="dxa"/>
            <w:tcBorders>
              <w:top w:val="dashed" w:sz="4" w:space="0" w:color="5B9BD5"/>
              <w:left w:val="nil"/>
              <w:bottom w:val="single" w:sz="4" w:space="0" w:color="5B9BD5"/>
              <w:right w:val="nil"/>
            </w:tcBorders>
            <w:shd w:val="clear" w:color="auto" w:fill="auto"/>
            <w:noWrap/>
            <w:vAlign w:val="bottom"/>
            <w:hideMark/>
          </w:tcPr>
          <w:p w14:paraId="350A3800" w14:textId="77777777" w:rsidR="007B25D5" w:rsidRPr="007B25D5" w:rsidRDefault="007B25D5" w:rsidP="004C7E6F">
            <w:pPr>
              <w:spacing w:before="0" w:after="0" w:line="240" w:lineRule="auto"/>
              <w:jc w:val="right"/>
              <w:rPr>
                <w:rFonts w:ascii="Calibri" w:eastAsia="Times New Roman" w:hAnsi="Calibri" w:cs="Times New Roman"/>
                <w:sz w:val="16"/>
                <w:szCs w:val="16"/>
                <w:lang w:eastAsia="ro-RO"/>
              </w:rPr>
            </w:pPr>
            <w:r w:rsidRPr="007B25D5">
              <w:rPr>
                <w:rFonts w:ascii="Calibri" w:eastAsia="Times New Roman" w:hAnsi="Calibri" w:cs="Times New Roman"/>
                <w:sz w:val="16"/>
                <w:szCs w:val="16"/>
                <w:lang w:eastAsia="ro-RO"/>
              </w:rPr>
              <w:t>74</w:t>
            </w:r>
          </w:p>
        </w:tc>
      </w:tr>
      <w:tr w:rsidR="007B25D5" w:rsidRPr="00CB3392" w14:paraId="15849FCA" w14:textId="77777777" w:rsidTr="004C7E6F">
        <w:trPr>
          <w:trHeight w:val="220"/>
        </w:trPr>
        <w:tc>
          <w:tcPr>
            <w:tcW w:w="9211" w:type="dxa"/>
            <w:gridSpan w:val="6"/>
            <w:tcBorders>
              <w:top w:val="nil"/>
              <w:left w:val="nil"/>
              <w:bottom w:val="nil"/>
              <w:right w:val="nil"/>
            </w:tcBorders>
            <w:shd w:val="clear" w:color="auto" w:fill="auto"/>
            <w:noWrap/>
            <w:vAlign w:val="bottom"/>
            <w:hideMark/>
          </w:tcPr>
          <w:p w14:paraId="4CEDB37D" w14:textId="77777777" w:rsidR="007B25D5" w:rsidRPr="00CB3392" w:rsidRDefault="007B25D5" w:rsidP="004C7E6F">
            <w:pPr>
              <w:spacing w:before="0" w:after="0" w:line="240" w:lineRule="auto"/>
              <w:rPr>
                <w:rFonts w:ascii="Calibri Light" w:eastAsia="Times New Roman" w:hAnsi="Calibri Light" w:cs="Times New Roman"/>
                <w:color w:val="000000"/>
                <w:sz w:val="16"/>
                <w:szCs w:val="16"/>
                <w:lang w:eastAsia="ro-RO"/>
              </w:rPr>
            </w:pPr>
            <w:r w:rsidRPr="00CB3392">
              <w:rPr>
                <w:rFonts w:ascii="Calibri Light" w:eastAsia="Times New Roman" w:hAnsi="Calibri Light" w:cs="Times New Roman"/>
                <w:color w:val="000000"/>
                <w:sz w:val="16"/>
                <w:szCs w:val="16"/>
                <w:lang w:eastAsia="ro-RO"/>
              </w:rPr>
              <w:t>Notă: în tabel  s-a folosit starea ÎP la anul raportării.</w:t>
            </w:r>
          </w:p>
          <w:p w14:paraId="560B95F4" w14:textId="77777777" w:rsidR="007B25D5" w:rsidRPr="00CB3392" w:rsidRDefault="007B25D5" w:rsidP="004C7E6F">
            <w:pPr>
              <w:spacing w:before="0" w:after="0" w:line="240" w:lineRule="auto"/>
              <w:rPr>
                <w:rFonts w:ascii="Times New Roman" w:eastAsia="Times New Roman" w:hAnsi="Times New Roman" w:cs="Times New Roman"/>
                <w:lang w:eastAsia="ro-RO"/>
              </w:rPr>
            </w:pPr>
            <w:r w:rsidRPr="00CB3392">
              <w:rPr>
                <w:rFonts w:ascii="Calibri" w:eastAsia="Times New Roman" w:hAnsi="Calibri" w:cs="Times New Roman"/>
                <w:b/>
                <w:bCs/>
                <w:color w:val="000000"/>
                <w:sz w:val="16"/>
                <w:szCs w:val="16"/>
                <w:lang w:eastAsia="ro-RO"/>
              </w:rPr>
              <w:t> </w:t>
            </w:r>
          </w:p>
        </w:tc>
      </w:tr>
    </w:tbl>
    <w:p w14:paraId="1BF2BC50" w14:textId="77777777" w:rsidR="007B25D5" w:rsidRPr="007B25D5" w:rsidRDefault="007B25D5" w:rsidP="007B25D5">
      <w:pPr>
        <w:jc w:val="both"/>
        <w:rPr>
          <w:rFonts w:asciiTheme="majorHAnsi" w:hAnsiTheme="majorHAnsi"/>
        </w:rPr>
      </w:pPr>
      <w:r w:rsidRPr="007B25D5">
        <w:rPr>
          <w:rFonts w:asciiTheme="majorHAnsi" w:hAnsiTheme="majorHAnsi"/>
        </w:rPr>
        <w:t>Ca urmare a acțiunii permanente de identificare a entităților care îndeplinesc condițiile prevăzute în articolul 1 al Ordonanței Guvernului nr. 26/2013</w:t>
      </w:r>
      <w:r w:rsidRPr="007B25D5">
        <w:rPr>
          <w:rStyle w:val="FootnoteReference"/>
          <w:rFonts w:asciiTheme="majorHAnsi" w:hAnsiTheme="majorHAnsi"/>
        </w:rPr>
        <w:footnoteReference w:id="4"/>
      </w:r>
      <w:r w:rsidRPr="007B25D5">
        <w:rPr>
          <w:rFonts w:asciiTheme="majorHAnsi" w:hAnsiTheme="majorHAnsi"/>
        </w:rPr>
        <w:t xml:space="preserve">, față de numărul de </w:t>
      </w:r>
      <w:bookmarkStart w:id="27" w:name="_Hlk53652338"/>
      <w:r w:rsidRPr="007B25D5">
        <w:rPr>
          <w:rFonts w:asciiTheme="majorHAnsi" w:hAnsiTheme="majorHAnsi"/>
        </w:rPr>
        <w:t>223 ÎPC active monitorizate la nivelul M</w:t>
      </w:r>
      <w:r>
        <w:rPr>
          <w:rFonts w:asciiTheme="majorHAnsi" w:hAnsiTheme="majorHAnsi"/>
        </w:rPr>
        <w:t xml:space="preserve">inisterului </w:t>
      </w:r>
      <w:r w:rsidRPr="007B25D5">
        <w:rPr>
          <w:rFonts w:asciiTheme="majorHAnsi" w:hAnsiTheme="majorHAnsi"/>
        </w:rPr>
        <w:t>F</w:t>
      </w:r>
      <w:r>
        <w:rPr>
          <w:rFonts w:asciiTheme="majorHAnsi" w:hAnsiTheme="majorHAnsi"/>
        </w:rPr>
        <w:t>inanțelor</w:t>
      </w:r>
      <w:r w:rsidRPr="007B25D5">
        <w:rPr>
          <w:rFonts w:asciiTheme="majorHAnsi" w:hAnsiTheme="majorHAnsi"/>
        </w:rPr>
        <w:t xml:space="preserve"> </w:t>
      </w:r>
      <w:bookmarkEnd w:id="27"/>
      <w:r w:rsidRPr="007B25D5">
        <w:rPr>
          <w:rFonts w:asciiTheme="majorHAnsi" w:hAnsiTheme="majorHAnsi"/>
        </w:rPr>
        <w:t>în anul 2019, în anul 2020 au fost incluse 7 ÎPC active și au fost eliminate 4 ÎPC active, astfel</w:t>
      </w:r>
      <w:r w:rsidRPr="007B25D5">
        <w:rPr>
          <w:rFonts w:asciiTheme="majorHAnsi" w:hAnsiTheme="majorHAnsi"/>
          <w:lang w:val="en-US"/>
        </w:rPr>
        <w:t>:</w:t>
      </w:r>
      <w:r w:rsidRPr="007B25D5">
        <w:rPr>
          <w:rFonts w:asciiTheme="majorHAnsi" w:hAnsiTheme="majorHAnsi"/>
        </w:rPr>
        <w:t xml:space="preserve">  </w:t>
      </w:r>
    </w:p>
    <w:p w14:paraId="4A2EF7D1" w14:textId="77777777" w:rsidR="007B25D5" w:rsidRPr="007B25D5" w:rsidRDefault="007B25D5" w:rsidP="00F26763">
      <w:pPr>
        <w:pStyle w:val="ListParagraph"/>
        <w:numPr>
          <w:ilvl w:val="0"/>
          <w:numId w:val="24"/>
        </w:numPr>
        <w:spacing w:before="0" w:after="0"/>
        <w:ind w:left="270" w:hanging="270"/>
        <w:jc w:val="both"/>
        <w:rPr>
          <w:rFonts w:asciiTheme="majorHAnsi" w:hAnsiTheme="majorHAnsi" w:cstheme="majorBidi"/>
          <w:kern w:val="20"/>
          <w:lang w:eastAsia="ja-JP"/>
        </w:rPr>
      </w:pPr>
      <w:r>
        <w:rPr>
          <w:rFonts w:asciiTheme="majorHAnsi" w:hAnsiTheme="majorHAnsi" w:cstheme="majorBidi"/>
          <w:b/>
          <w:kern w:val="20"/>
          <w:lang w:eastAsia="ja-JP"/>
        </w:rPr>
        <w:t xml:space="preserve"> </w:t>
      </w:r>
      <w:r w:rsidRPr="007B25D5">
        <w:rPr>
          <w:rFonts w:asciiTheme="majorHAnsi" w:hAnsiTheme="majorHAnsi" w:cstheme="majorBidi"/>
          <w:b/>
          <w:kern w:val="20"/>
          <w:lang w:eastAsia="ja-JP"/>
        </w:rPr>
        <w:t>ÎPC incluse</w:t>
      </w:r>
      <w:r w:rsidRPr="007B25D5">
        <w:rPr>
          <w:rFonts w:asciiTheme="majorHAnsi" w:hAnsiTheme="majorHAnsi" w:cstheme="majorBidi"/>
          <w:kern w:val="20"/>
          <w:lang w:eastAsia="ja-JP"/>
        </w:rPr>
        <w:t xml:space="preserve"> în acțiunea de monitorizare pe parcursul anului 2020</w:t>
      </w:r>
      <w:r w:rsidR="009C0D07">
        <w:rPr>
          <w:rFonts w:asciiTheme="majorHAnsi" w:hAnsiTheme="majorHAnsi" w:cstheme="majorBidi"/>
          <w:kern w:val="20"/>
          <w:lang w:eastAsia="ja-JP"/>
        </w:rPr>
        <w:t>.</w:t>
      </w:r>
    </w:p>
    <w:p w14:paraId="06E5F3F5" w14:textId="77777777" w:rsidR="007B25D5" w:rsidRPr="007B25D5" w:rsidRDefault="007B25D5" w:rsidP="00651101">
      <w:pPr>
        <w:spacing w:before="0" w:after="0"/>
        <w:jc w:val="both"/>
        <w:rPr>
          <w:rFonts w:asciiTheme="majorHAnsi" w:hAnsiTheme="majorHAnsi" w:cstheme="majorBidi"/>
          <w:kern w:val="20"/>
          <w:lang w:eastAsia="ja-JP"/>
        </w:rPr>
      </w:pPr>
      <w:r w:rsidRPr="007B25D5">
        <w:rPr>
          <w:rFonts w:asciiTheme="majorHAnsi" w:hAnsiTheme="majorHAnsi" w:cstheme="majorBidi"/>
          <w:kern w:val="20"/>
          <w:lang w:eastAsia="ja-JP"/>
        </w:rPr>
        <w:t>În acțiunea de monitorizare au fost incluse un număr de 7 ÎPC active, după cum urmează:</w:t>
      </w:r>
    </w:p>
    <w:p w14:paraId="3ECCA81D" w14:textId="77777777" w:rsidR="007B25D5" w:rsidRPr="007B25D5" w:rsidRDefault="007B25D5" w:rsidP="00F26763">
      <w:pPr>
        <w:pStyle w:val="ListParagraph"/>
        <w:numPr>
          <w:ilvl w:val="0"/>
          <w:numId w:val="19"/>
        </w:numPr>
        <w:spacing w:before="0" w:after="0"/>
        <w:ind w:left="270" w:hanging="270"/>
        <w:jc w:val="both"/>
        <w:rPr>
          <w:rFonts w:asciiTheme="majorHAnsi" w:hAnsiTheme="majorHAnsi" w:cstheme="majorBidi"/>
          <w:kern w:val="20"/>
          <w:lang w:eastAsia="ja-JP"/>
        </w:rPr>
      </w:pPr>
      <w:r w:rsidRPr="007B25D5">
        <w:rPr>
          <w:rFonts w:asciiTheme="majorHAnsi" w:hAnsiTheme="majorHAnsi" w:cstheme="majorBidi"/>
          <w:kern w:val="20"/>
          <w:lang w:eastAsia="ja-JP"/>
        </w:rPr>
        <w:t xml:space="preserve">3 SOC </w:t>
      </w:r>
      <w:r>
        <w:rPr>
          <w:rFonts w:asciiTheme="majorHAnsi" w:hAnsiTheme="majorHAnsi" w:cstheme="majorBidi"/>
          <w:kern w:val="20"/>
          <w:lang w:eastAsia="ja-JP"/>
        </w:rPr>
        <w:t>ș</w:t>
      </w:r>
      <w:r w:rsidRPr="007B25D5">
        <w:rPr>
          <w:rFonts w:asciiTheme="majorHAnsi" w:hAnsiTheme="majorHAnsi" w:cstheme="majorBidi"/>
          <w:kern w:val="20"/>
          <w:lang w:eastAsia="ja-JP"/>
        </w:rPr>
        <w:t xml:space="preserve">i 1 FIL  </w:t>
      </w:r>
      <w:r w:rsidRPr="007B25D5">
        <w:rPr>
          <w:rFonts w:asciiTheme="majorHAnsi" w:hAnsiTheme="majorHAnsi" w:cstheme="majorBidi"/>
          <w:b/>
          <w:bCs/>
          <w:kern w:val="20"/>
          <w:lang w:eastAsia="ja-JP"/>
        </w:rPr>
        <w:t>active nou identificate</w:t>
      </w:r>
      <w:r w:rsidRPr="007B25D5">
        <w:rPr>
          <w:rFonts w:asciiTheme="majorHAnsi" w:hAnsiTheme="majorHAnsi" w:cstheme="majorBidi"/>
          <w:kern w:val="20"/>
          <w:lang w:eastAsia="ja-JP"/>
        </w:rPr>
        <w:t xml:space="preserve">, Agromec Moldova </w:t>
      </w:r>
      <w:r w:rsidR="00B10A59" w:rsidRPr="007B25D5">
        <w:rPr>
          <w:rFonts w:asciiTheme="majorHAnsi" w:hAnsiTheme="majorHAnsi" w:cstheme="majorBidi"/>
          <w:kern w:val="20"/>
          <w:lang w:eastAsia="ja-JP"/>
        </w:rPr>
        <w:t>Nou</w:t>
      </w:r>
      <w:r w:rsidR="00B10A59">
        <w:rPr>
          <w:rFonts w:asciiTheme="majorHAnsi" w:hAnsiTheme="majorHAnsi" w:cstheme="majorBidi"/>
          <w:kern w:val="20"/>
          <w:lang w:eastAsia="ja-JP"/>
        </w:rPr>
        <w:t>ă</w:t>
      </w:r>
      <w:r w:rsidR="00B10A59" w:rsidRPr="007B25D5">
        <w:rPr>
          <w:rFonts w:asciiTheme="majorHAnsi" w:hAnsiTheme="majorHAnsi" w:cstheme="majorBidi"/>
          <w:kern w:val="20"/>
          <w:lang w:eastAsia="ja-JP"/>
        </w:rPr>
        <w:t xml:space="preserve"> </w:t>
      </w:r>
      <w:r w:rsidRPr="007B25D5">
        <w:rPr>
          <w:rFonts w:asciiTheme="majorHAnsi" w:hAnsiTheme="majorHAnsi" w:cstheme="majorBidi"/>
          <w:kern w:val="20"/>
          <w:lang w:eastAsia="ja-JP"/>
        </w:rPr>
        <w:t>SA, Transauto SA, Recons  SA, Titan Power SA</w:t>
      </w:r>
      <w:r>
        <w:rPr>
          <w:rFonts w:asciiTheme="majorHAnsi" w:hAnsiTheme="majorHAnsi" w:cstheme="majorBidi"/>
          <w:kern w:val="20"/>
          <w:lang w:val="en-US" w:eastAsia="ja-JP"/>
        </w:rPr>
        <w:t>;</w:t>
      </w:r>
    </w:p>
    <w:p w14:paraId="4C5A3D85" w14:textId="77777777" w:rsidR="007B25D5" w:rsidRPr="007B25D5" w:rsidRDefault="007B25D5" w:rsidP="00F26763">
      <w:pPr>
        <w:pStyle w:val="ListParagraph"/>
        <w:numPr>
          <w:ilvl w:val="0"/>
          <w:numId w:val="19"/>
        </w:numPr>
        <w:spacing w:before="0" w:after="0"/>
        <w:ind w:left="270" w:hanging="270"/>
        <w:jc w:val="both"/>
        <w:rPr>
          <w:rFonts w:asciiTheme="majorHAnsi" w:hAnsiTheme="majorHAnsi" w:cstheme="majorBidi"/>
          <w:kern w:val="20"/>
          <w:lang w:eastAsia="ja-JP"/>
        </w:rPr>
      </w:pPr>
      <w:r w:rsidRPr="007B25D5">
        <w:rPr>
          <w:rFonts w:asciiTheme="majorHAnsi" w:hAnsiTheme="majorHAnsi" w:cstheme="majorBidi"/>
          <w:kern w:val="20"/>
          <w:lang w:eastAsia="ja-JP"/>
        </w:rPr>
        <w:t xml:space="preserve">1 SOC și 2 FIL </w:t>
      </w:r>
      <w:r w:rsidRPr="007B25D5">
        <w:rPr>
          <w:rFonts w:asciiTheme="majorHAnsi" w:hAnsiTheme="majorHAnsi" w:cstheme="majorBidi"/>
          <w:b/>
          <w:bCs/>
          <w:kern w:val="20"/>
          <w:lang w:eastAsia="ja-JP"/>
        </w:rPr>
        <w:t>au devenit active</w:t>
      </w:r>
      <w:r w:rsidRPr="007B25D5">
        <w:rPr>
          <w:rFonts w:asciiTheme="majorHAnsi" w:hAnsiTheme="majorHAnsi" w:cstheme="majorBidi"/>
          <w:kern w:val="20"/>
          <w:lang w:eastAsia="ja-JP"/>
        </w:rPr>
        <w:t xml:space="preserve"> în anul 2020 –Arcadia 2000 SA, Societatea </w:t>
      </w:r>
      <w:r w:rsidR="00B10A59">
        <w:rPr>
          <w:rFonts w:asciiTheme="majorHAnsi" w:hAnsiTheme="majorHAnsi" w:cstheme="majorBidi"/>
          <w:kern w:val="20"/>
          <w:lang w:eastAsia="ja-JP"/>
        </w:rPr>
        <w:t>Î</w:t>
      </w:r>
      <w:r w:rsidR="00B10A59" w:rsidRPr="007B25D5">
        <w:rPr>
          <w:rFonts w:asciiTheme="majorHAnsi" w:hAnsiTheme="majorHAnsi" w:cstheme="majorBidi"/>
          <w:kern w:val="20"/>
          <w:lang w:eastAsia="ja-JP"/>
        </w:rPr>
        <w:t xml:space="preserve">ntretinere </w:t>
      </w:r>
      <w:r w:rsidR="00B10A59">
        <w:rPr>
          <w:rFonts w:asciiTheme="majorHAnsi" w:hAnsiTheme="majorHAnsi" w:cstheme="majorBidi"/>
          <w:kern w:val="20"/>
          <w:lang w:eastAsia="ja-JP"/>
        </w:rPr>
        <w:t>ș</w:t>
      </w:r>
      <w:r w:rsidR="00B10A59" w:rsidRPr="007B25D5">
        <w:rPr>
          <w:rFonts w:asciiTheme="majorHAnsi" w:hAnsiTheme="majorHAnsi" w:cstheme="majorBidi"/>
          <w:kern w:val="20"/>
          <w:lang w:eastAsia="ja-JP"/>
        </w:rPr>
        <w:t>i Repara</w:t>
      </w:r>
      <w:r w:rsidR="00B10A59">
        <w:rPr>
          <w:rFonts w:asciiTheme="majorHAnsi" w:hAnsiTheme="majorHAnsi" w:cstheme="majorBidi"/>
          <w:kern w:val="20"/>
          <w:lang w:eastAsia="ja-JP"/>
        </w:rPr>
        <w:t>ț</w:t>
      </w:r>
      <w:r w:rsidR="00B10A59" w:rsidRPr="007B25D5">
        <w:rPr>
          <w:rFonts w:asciiTheme="majorHAnsi" w:hAnsiTheme="majorHAnsi" w:cstheme="majorBidi"/>
          <w:kern w:val="20"/>
          <w:lang w:eastAsia="ja-JP"/>
        </w:rPr>
        <w:t xml:space="preserve">ii </w:t>
      </w:r>
      <w:r w:rsidRPr="007B25D5">
        <w:rPr>
          <w:rFonts w:asciiTheme="majorHAnsi" w:hAnsiTheme="majorHAnsi" w:cstheme="majorBidi"/>
          <w:kern w:val="20"/>
          <w:lang w:eastAsia="ja-JP"/>
        </w:rPr>
        <w:t xml:space="preserve">Locomotive </w:t>
      </w:r>
      <w:r w:rsidR="00B10A59">
        <w:rPr>
          <w:rFonts w:asciiTheme="majorHAnsi" w:hAnsiTheme="majorHAnsi" w:cstheme="majorBidi"/>
          <w:kern w:val="20"/>
          <w:lang w:eastAsia="ja-JP"/>
        </w:rPr>
        <w:t>ș</w:t>
      </w:r>
      <w:r w:rsidR="00B10A59" w:rsidRPr="007B25D5">
        <w:rPr>
          <w:rFonts w:asciiTheme="majorHAnsi" w:hAnsiTheme="majorHAnsi" w:cstheme="majorBidi"/>
          <w:kern w:val="20"/>
          <w:lang w:eastAsia="ja-JP"/>
        </w:rPr>
        <w:t xml:space="preserve">i </w:t>
      </w:r>
      <w:r w:rsidRPr="007B25D5">
        <w:rPr>
          <w:rFonts w:asciiTheme="majorHAnsi" w:hAnsiTheme="majorHAnsi" w:cstheme="majorBidi"/>
          <w:kern w:val="20"/>
          <w:lang w:eastAsia="ja-JP"/>
        </w:rPr>
        <w:t>Utilaje - C.F.R. IRLU SA, Telegondola-Mamaia SRL</w:t>
      </w:r>
      <w:r>
        <w:rPr>
          <w:rFonts w:asciiTheme="majorHAnsi" w:hAnsiTheme="majorHAnsi" w:cstheme="majorBidi"/>
          <w:kern w:val="20"/>
          <w:lang w:eastAsia="ja-JP"/>
        </w:rPr>
        <w:t>;</w:t>
      </w:r>
    </w:p>
    <w:p w14:paraId="3CF7011E" w14:textId="77777777" w:rsidR="007B25D5" w:rsidRPr="007B25D5" w:rsidRDefault="007B25D5" w:rsidP="00F26763">
      <w:pPr>
        <w:pStyle w:val="ListParagraph"/>
        <w:numPr>
          <w:ilvl w:val="0"/>
          <w:numId w:val="24"/>
        </w:numPr>
        <w:spacing w:before="0" w:after="0"/>
        <w:ind w:left="270" w:hanging="270"/>
        <w:jc w:val="both"/>
        <w:rPr>
          <w:rFonts w:asciiTheme="majorHAnsi" w:hAnsiTheme="majorHAnsi" w:cstheme="majorBidi"/>
          <w:kern w:val="20"/>
          <w:lang w:eastAsia="ja-JP"/>
        </w:rPr>
      </w:pPr>
      <w:r>
        <w:rPr>
          <w:rFonts w:asciiTheme="majorHAnsi" w:hAnsiTheme="majorHAnsi" w:cstheme="majorBidi"/>
          <w:b/>
          <w:kern w:val="20"/>
          <w:lang w:eastAsia="ja-JP"/>
        </w:rPr>
        <w:t xml:space="preserve"> </w:t>
      </w:r>
      <w:r w:rsidRPr="007B25D5">
        <w:rPr>
          <w:rFonts w:asciiTheme="majorHAnsi" w:hAnsiTheme="majorHAnsi" w:cstheme="majorBidi"/>
          <w:b/>
          <w:kern w:val="20"/>
          <w:lang w:eastAsia="ja-JP"/>
        </w:rPr>
        <w:t>ÎPC eliminate</w:t>
      </w:r>
      <w:r w:rsidRPr="007B25D5">
        <w:rPr>
          <w:rFonts w:asciiTheme="majorHAnsi" w:hAnsiTheme="majorHAnsi" w:cstheme="majorBidi"/>
          <w:kern w:val="20"/>
          <w:lang w:eastAsia="ja-JP"/>
        </w:rPr>
        <w:t xml:space="preserve"> din acțiunea de monitorizare pe parcursul anului 2020</w:t>
      </w:r>
      <w:r w:rsidR="00B10A59">
        <w:rPr>
          <w:rFonts w:asciiTheme="majorHAnsi" w:hAnsiTheme="majorHAnsi" w:cstheme="majorBidi"/>
          <w:kern w:val="20"/>
          <w:lang w:eastAsia="ja-JP"/>
        </w:rPr>
        <w:t>.</w:t>
      </w:r>
    </w:p>
    <w:p w14:paraId="6AF2A1A8" w14:textId="77777777" w:rsidR="007B25D5" w:rsidRPr="007B25D5" w:rsidRDefault="007B25D5" w:rsidP="00651101">
      <w:pPr>
        <w:spacing w:before="0" w:after="0"/>
        <w:jc w:val="both"/>
        <w:rPr>
          <w:rFonts w:asciiTheme="majorHAnsi" w:hAnsiTheme="majorHAnsi" w:cstheme="majorBidi"/>
          <w:kern w:val="20"/>
          <w:lang w:eastAsia="ja-JP"/>
        </w:rPr>
      </w:pPr>
      <w:r w:rsidRPr="007B25D5">
        <w:rPr>
          <w:rFonts w:asciiTheme="majorHAnsi" w:hAnsiTheme="majorHAnsi" w:cstheme="majorBidi"/>
          <w:kern w:val="20"/>
          <w:lang w:eastAsia="ja-JP"/>
        </w:rPr>
        <w:t>Din acțiunea de monitorizare au fost eliminate 4 ÎPC, după cum urmează:</w:t>
      </w:r>
    </w:p>
    <w:p w14:paraId="793087FD" w14:textId="74250335" w:rsidR="007B25D5" w:rsidRPr="007B25D5" w:rsidRDefault="00B06C32" w:rsidP="00F26763">
      <w:pPr>
        <w:pStyle w:val="ListParagraph"/>
        <w:numPr>
          <w:ilvl w:val="0"/>
          <w:numId w:val="19"/>
        </w:numPr>
        <w:spacing w:before="0" w:after="0"/>
        <w:ind w:left="270" w:hanging="270"/>
        <w:jc w:val="both"/>
        <w:rPr>
          <w:rFonts w:asciiTheme="majorHAnsi" w:hAnsiTheme="majorHAnsi" w:cstheme="majorBidi"/>
          <w:b/>
          <w:kern w:val="20"/>
          <w:lang w:eastAsia="ja-JP"/>
        </w:rPr>
      </w:pPr>
      <w:r>
        <w:rPr>
          <w:rFonts w:asciiTheme="majorHAnsi" w:hAnsiTheme="majorHAnsi" w:cstheme="majorBidi"/>
          <w:kern w:val="20"/>
          <w:lang w:eastAsia="ja-JP"/>
        </w:rPr>
        <w:t>2 SOC au devenit în anul 2020</w:t>
      </w:r>
      <w:r w:rsidR="007B25D5" w:rsidRPr="007B25D5">
        <w:rPr>
          <w:rFonts w:asciiTheme="majorHAnsi" w:hAnsiTheme="majorHAnsi" w:cstheme="majorBidi"/>
          <w:kern w:val="20"/>
          <w:lang w:eastAsia="ja-JP"/>
        </w:rPr>
        <w:t xml:space="preserve"> </w:t>
      </w:r>
      <w:r w:rsidR="007B25D5" w:rsidRPr="007B25D5">
        <w:rPr>
          <w:rFonts w:asciiTheme="majorHAnsi" w:hAnsiTheme="majorHAnsi" w:cstheme="majorBidi"/>
          <w:b/>
          <w:bCs/>
          <w:kern w:val="20"/>
          <w:lang w:eastAsia="ja-JP"/>
        </w:rPr>
        <w:t xml:space="preserve">cu capital minoritar de stat </w:t>
      </w:r>
      <w:r w:rsidR="007B25D5" w:rsidRPr="007B25D5">
        <w:rPr>
          <w:rFonts w:asciiTheme="majorHAnsi" w:hAnsiTheme="majorHAnsi" w:cstheme="majorBidi"/>
          <w:kern w:val="20"/>
          <w:lang w:eastAsia="ja-JP"/>
        </w:rPr>
        <w:t xml:space="preserve"> Agromec Utvin SA sau </w:t>
      </w:r>
      <w:r w:rsidR="007B25D5" w:rsidRPr="007B25D5">
        <w:rPr>
          <w:rFonts w:asciiTheme="majorHAnsi" w:hAnsiTheme="majorHAnsi" w:cstheme="majorBidi"/>
          <w:b/>
          <w:kern w:val="20"/>
          <w:lang w:eastAsia="ja-JP"/>
        </w:rPr>
        <w:t xml:space="preserve">cu capital integral privat  </w:t>
      </w:r>
      <w:r w:rsidR="007B25D5" w:rsidRPr="007B25D5">
        <w:rPr>
          <w:rFonts w:asciiTheme="majorHAnsi" w:hAnsiTheme="majorHAnsi" w:cstheme="majorBidi"/>
          <w:kern w:val="20"/>
          <w:lang w:eastAsia="ja-JP"/>
        </w:rPr>
        <w:t>S</w:t>
      </w:r>
      <w:r w:rsidR="007B25D5">
        <w:rPr>
          <w:rFonts w:asciiTheme="majorHAnsi" w:hAnsiTheme="majorHAnsi" w:cstheme="majorBidi"/>
          <w:kern w:val="20"/>
          <w:lang w:eastAsia="ja-JP"/>
        </w:rPr>
        <w:t>istemplast</w:t>
      </w:r>
      <w:r w:rsidR="007B25D5" w:rsidRPr="007B25D5">
        <w:rPr>
          <w:rFonts w:asciiTheme="majorHAnsi" w:hAnsiTheme="majorHAnsi" w:cstheme="majorBidi"/>
          <w:kern w:val="20"/>
          <w:lang w:eastAsia="ja-JP"/>
        </w:rPr>
        <w:t xml:space="preserve"> SA</w:t>
      </w:r>
      <w:r w:rsidR="007B25D5">
        <w:rPr>
          <w:rFonts w:asciiTheme="majorHAnsi" w:hAnsiTheme="majorHAnsi" w:cstheme="majorBidi"/>
          <w:kern w:val="20"/>
          <w:lang w:val="en-US" w:eastAsia="ja-JP"/>
        </w:rPr>
        <w:t>;</w:t>
      </w:r>
    </w:p>
    <w:p w14:paraId="55DDECB8" w14:textId="77777777" w:rsidR="007B25D5" w:rsidRPr="007B25D5" w:rsidRDefault="007B25D5" w:rsidP="00F26763">
      <w:pPr>
        <w:pStyle w:val="ListParagraph"/>
        <w:numPr>
          <w:ilvl w:val="0"/>
          <w:numId w:val="19"/>
        </w:numPr>
        <w:spacing w:before="0" w:after="0"/>
        <w:ind w:left="270" w:hanging="270"/>
        <w:jc w:val="both"/>
        <w:rPr>
          <w:rFonts w:asciiTheme="majorHAnsi" w:hAnsiTheme="majorHAnsi" w:cstheme="majorBidi"/>
          <w:kern w:val="20"/>
          <w:lang w:eastAsia="ja-JP"/>
        </w:rPr>
      </w:pPr>
      <w:r w:rsidRPr="007B25D5">
        <w:rPr>
          <w:rFonts w:asciiTheme="majorHAnsi" w:hAnsiTheme="majorHAnsi" w:cstheme="majorBidi"/>
          <w:kern w:val="20"/>
          <w:lang w:eastAsia="ja-JP"/>
        </w:rPr>
        <w:t xml:space="preserve">2 FIL </w:t>
      </w:r>
      <w:bookmarkStart w:id="28" w:name="_Hlk53655704"/>
      <w:r w:rsidRPr="007B25D5">
        <w:rPr>
          <w:rFonts w:asciiTheme="majorHAnsi" w:hAnsiTheme="majorHAnsi" w:cstheme="majorBidi"/>
          <w:b/>
          <w:bCs/>
          <w:kern w:val="20"/>
          <w:lang w:eastAsia="ja-JP"/>
        </w:rPr>
        <w:t xml:space="preserve">au fost radiate  </w:t>
      </w:r>
      <w:r w:rsidRPr="007B25D5">
        <w:rPr>
          <w:rFonts w:asciiTheme="majorHAnsi" w:hAnsiTheme="majorHAnsi" w:cstheme="majorBidi"/>
          <w:kern w:val="20"/>
          <w:lang w:eastAsia="ja-JP"/>
        </w:rPr>
        <w:t xml:space="preserve">în anul 2020 -  </w:t>
      </w:r>
      <w:bookmarkEnd w:id="28"/>
      <w:r w:rsidRPr="007B25D5">
        <w:rPr>
          <w:rFonts w:asciiTheme="majorHAnsi" w:hAnsiTheme="majorHAnsi" w:cstheme="majorBidi"/>
          <w:kern w:val="20"/>
          <w:lang w:eastAsia="ja-JP"/>
        </w:rPr>
        <w:t xml:space="preserve">Fondul Local de Garantare Craiova SA si Fondul Local de Garantare </w:t>
      </w:r>
      <w:r w:rsidR="00B10A59" w:rsidRPr="007B25D5">
        <w:rPr>
          <w:rFonts w:asciiTheme="majorHAnsi" w:hAnsiTheme="majorHAnsi" w:cstheme="majorBidi"/>
          <w:kern w:val="20"/>
          <w:lang w:eastAsia="ja-JP"/>
        </w:rPr>
        <w:t>Sf</w:t>
      </w:r>
      <w:r w:rsidR="00B10A59">
        <w:rPr>
          <w:rFonts w:asciiTheme="majorHAnsi" w:hAnsiTheme="majorHAnsi" w:cstheme="majorBidi"/>
          <w:kern w:val="20"/>
          <w:lang w:eastAsia="ja-JP"/>
        </w:rPr>
        <w:t>â</w:t>
      </w:r>
      <w:r w:rsidR="00B10A59" w:rsidRPr="007B25D5">
        <w:rPr>
          <w:rFonts w:asciiTheme="majorHAnsi" w:hAnsiTheme="majorHAnsi" w:cstheme="majorBidi"/>
          <w:kern w:val="20"/>
          <w:lang w:eastAsia="ja-JP"/>
        </w:rPr>
        <w:t xml:space="preserve">ntu </w:t>
      </w:r>
      <w:r w:rsidRPr="007B25D5">
        <w:rPr>
          <w:rFonts w:asciiTheme="majorHAnsi" w:hAnsiTheme="majorHAnsi" w:cstheme="majorBidi"/>
          <w:kern w:val="20"/>
          <w:lang w:eastAsia="ja-JP"/>
        </w:rPr>
        <w:t>Gheorghe SA</w:t>
      </w:r>
      <w:r>
        <w:rPr>
          <w:rFonts w:asciiTheme="majorHAnsi" w:hAnsiTheme="majorHAnsi" w:cstheme="majorBidi"/>
          <w:kern w:val="20"/>
          <w:lang w:eastAsia="ja-JP"/>
        </w:rPr>
        <w:t>.</w:t>
      </w:r>
    </w:p>
    <w:p w14:paraId="3DCF39C4" w14:textId="77777777" w:rsidR="007B25D5" w:rsidRPr="00CC405B" w:rsidRDefault="007B25D5" w:rsidP="007B25D5">
      <w:pPr>
        <w:spacing w:before="0" w:after="0" w:line="240" w:lineRule="auto"/>
        <w:jc w:val="both"/>
        <w:rPr>
          <w:rFonts w:asciiTheme="majorHAnsi" w:hAnsiTheme="majorHAnsi" w:cstheme="majorBidi"/>
          <w:color w:val="000000" w:themeColor="text1"/>
          <w:kern w:val="20"/>
          <w:lang w:eastAsia="ja-JP"/>
        </w:rPr>
      </w:pPr>
    </w:p>
    <w:p w14:paraId="51E7F5C2" w14:textId="77777777" w:rsidR="007B25D5" w:rsidRPr="009C5FD8" w:rsidRDefault="007B25D5" w:rsidP="007B25D5">
      <w:pPr>
        <w:spacing w:before="0" w:after="0" w:line="240" w:lineRule="auto"/>
        <w:jc w:val="both"/>
        <w:rPr>
          <w:rFonts w:asciiTheme="majorHAnsi" w:hAnsiTheme="majorHAnsi" w:cstheme="majorBidi"/>
          <w:kern w:val="20"/>
          <w:lang w:eastAsia="ja-JP"/>
        </w:rPr>
      </w:pPr>
      <w:r w:rsidRPr="00CC405B">
        <w:rPr>
          <w:rFonts w:asciiTheme="majorHAnsi" w:hAnsiTheme="majorHAnsi" w:cstheme="majorBidi"/>
          <w:color w:val="000000" w:themeColor="text1"/>
          <w:kern w:val="20"/>
          <w:lang w:eastAsia="ja-JP"/>
        </w:rPr>
        <w:t xml:space="preserve">Statul român, prin autoritățile publice tutelare centrale, deține participații în proporție majoritară, fapt care îi asigură controlul la un număr de </w:t>
      </w:r>
      <w:r w:rsidRPr="00CC405B">
        <w:rPr>
          <w:rFonts w:asciiTheme="majorHAnsi" w:hAnsiTheme="majorHAnsi" w:cstheme="majorBidi"/>
          <w:b/>
          <w:color w:val="000000" w:themeColor="text1"/>
          <w:kern w:val="20"/>
          <w:lang w:eastAsia="ja-JP"/>
        </w:rPr>
        <w:t>22</w:t>
      </w:r>
      <w:r>
        <w:rPr>
          <w:rFonts w:asciiTheme="majorHAnsi" w:hAnsiTheme="majorHAnsi" w:cstheme="majorBidi"/>
          <w:b/>
          <w:color w:val="000000" w:themeColor="text1"/>
          <w:kern w:val="20"/>
          <w:lang w:eastAsia="ja-JP"/>
        </w:rPr>
        <w:t>6</w:t>
      </w:r>
      <w:r w:rsidRPr="00CC405B">
        <w:rPr>
          <w:rFonts w:asciiTheme="majorHAnsi" w:hAnsiTheme="majorHAnsi" w:cstheme="majorBidi"/>
          <w:b/>
          <w:color w:val="000000" w:themeColor="text1"/>
          <w:kern w:val="20"/>
          <w:lang w:eastAsia="ja-JP"/>
        </w:rPr>
        <w:t xml:space="preserve"> ÎPC</w:t>
      </w:r>
      <w:r w:rsidRPr="00CC405B">
        <w:rPr>
          <w:rFonts w:asciiTheme="majorHAnsi" w:hAnsiTheme="majorHAnsi" w:cstheme="majorBidi"/>
          <w:color w:val="000000" w:themeColor="text1"/>
          <w:kern w:val="20"/>
          <w:lang w:eastAsia="ja-JP"/>
        </w:rPr>
        <w:t xml:space="preserve">  active constituite după cum urmează</w:t>
      </w:r>
      <w:r w:rsidRPr="00CC405B">
        <w:rPr>
          <w:rFonts w:asciiTheme="majorHAnsi" w:hAnsiTheme="majorHAnsi" w:cstheme="majorBidi"/>
          <w:kern w:val="20"/>
          <w:lang w:eastAsia="ja-JP"/>
        </w:rPr>
        <w:t>:</w:t>
      </w:r>
    </w:p>
    <w:p w14:paraId="4ACC0059" w14:textId="77777777" w:rsidR="007B25D5" w:rsidRPr="009C5FD8" w:rsidRDefault="007B25D5" w:rsidP="007B25D5">
      <w:pPr>
        <w:spacing w:before="0" w:after="0" w:line="240" w:lineRule="auto"/>
        <w:jc w:val="both"/>
        <w:rPr>
          <w:rFonts w:asciiTheme="majorHAnsi" w:hAnsiTheme="majorHAnsi" w:cstheme="majorBidi"/>
          <w:kern w:val="20"/>
          <w:lang w:eastAsia="ja-JP"/>
        </w:rPr>
      </w:pPr>
    </w:p>
    <w:p w14:paraId="0F362D41" w14:textId="77777777" w:rsidR="007B25D5" w:rsidRPr="009C5FD8" w:rsidRDefault="007B25D5" w:rsidP="00F26763">
      <w:pPr>
        <w:numPr>
          <w:ilvl w:val="0"/>
          <w:numId w:val="5"/>
        </w:numPr>
        <w:spacing w:before="0" w:after="0"/>
        <w:ind w:left="284" w:hanging="284"/>
        <w:contextualSpacing/>
        <w:jc w:val="both"/>
        <w:rPr>
          <w:rFonts w:asciiTheme="majorHAnsi" w:hAnsiTheme="majorHAnsi" w:cstheme="majorBidi"/>
          <w:kern w:val="20"/>
          <w:lang w:eastAsia="ja-JP"/>
        </w:rPr>
      </w:pPr>
      <w:r w:rsidRPr="009C5FD8">
        <w:rPr>
          <w:rFonts w:asciiTheme="majorHAnsi" w:hAnsiTheme="majorHAnsi" w:cstheme="majorBidi"/>
          <w:kern w:val="20"/>
          <w:lang w:eastAsia="ja-JP"/>
        </w:rPr>
        <w:t>8</w:t>
      </w:r>
      <w:r>
        <w:rPr>
          <w:rFonts w:asciiTheme="majorHAnsi" w:hAnsiTheme="majorHAnsi" w:cstheme="majorBidi"/>
          <w:kern w:val="20"/>
          <w:lang w:eastAsia="ja-JP"/>
        </w:rPr>
        <w:t>9</w:t>
      </w:r>
      <w:r w:rsidRPr="009C5FD8">
        <w:rPr>
          <w:rFonts w:asciiTheme="majorHAnsi" w:hAnsiTheme="majorHAnsi" w:cstheme="majorBidi"/>
          <w:kern w:val="20"/>
          <w:lang w:eastAsia="ja-JP"/>
        </w:rPr>
        <w:t xml:space="preserve"> ÎPC organizate ca societăți/companii naționale/societăți naționale și sunt deținute de stat prin APTC în proporție majoritară sau integrală;</w:t>
      </w:r>
    </w:p>
    <w:p w14:paraId="2C72BEB4" w14:textId="77777777" w:rsidR="007B25D5" w:rsidRPr="008C6972" w:rsidRDefault="007B25D5" w:rsidP="00F26763">
      <w:pPr>
        <w:numPr>
          <w:ilvl w:val="0"/>
          <w:numId w:val="5"/>
        </w:numPr>
        <w:spacing w:before="0" w:after="0"/>
        <w:ind w:left="284" w:hanging="284"/>
        <w:contextualSpacing/>
        <w:jc w:val="both"/>
        <w:rPr>
          <w:rFonts w:asciiTheme="majorHAnsi" w:hAnsiTheme="majorHAnsi" w:cstheme="majorBidi"/>
          <w:kern w:val="20"/>
          <w:lang w:eastAsia="ja-JP"/>
        </w:rPr>
      </w:pPr>
      <w:r w:rsidRPr="008C6972">
        <w:rPr>
          <w:rFonts w:asciiTheme="majorHAnsi" w:hAnsiTheme="majorHAnsi" w:cstheme="majorBidi"/>
          <w:kern w:val="20"/>
          <w:lang w:eastAsia="ja-JP"/>
        </w:rPr>
        <w:t>13 ÎPC organizate ca regii autonome și sunt deținute de stat prin APTC în proporție integrală;</w:t>
      </w:r>
    </w:p>
    <w:p w14:paraId="490AB9AF" w14:textId="77777777" w:rsidR="007B25D5" w:rsidRPr="008C6972" w:rsidRDefault="007B25D5" w:rsidP="00F26763">
      <w:pPr>
        <w:numPr>
          <w:ilvl w:val="0"/>
          <w:numId w:val="5"/>
        </w:numPr>
        <w:spacing w:before="0" w:after="0"/>
        <w:ind w:left="284" w:hanging="284"/>
        <w:contextualSpacing/>
        <w:jc w:val="both"/>
        <w:rPr>
          <w:rFonts w:asciiTheme="majorHAnsi" w:hAnsiTheme="majorHAnsi" w:cstheme="majorBidi"/>
          <w:kern w:val="20"/>
          <w:lang w:eastAsia="ja-JP"/>
        </w:rPr>
      </w:pPr>
      <w:r w:rsidRPr="008C6972">
        <w:rPr>
          <w:rFonts w:asciiTheme="majorHAnsi" w:hAnsiTheme="majorHAnsi" w:cstheme="majorBidi"/>
          <w:kern w:val="20"/>
          <w:lang w:eastAsia="ja-JP"/>
        </w:rPr>
        <w:t>50 ÎPC organizate ca Institute Naționale de Cercetare-Dezvoltare și sunt deținute de stat prin APTC în proporție integrală;</w:t>
      </w:r>
    </w:p>
    <w:p w14:paraId="3B82548D" w14:textId="77777777" w:rsidR="007B25D5" w:rsidRPr="008C6972" w:rsidRDefault="007B25D5" w:rsidP="00F26763">
      <w:pPr>
        <w:numPr>
          <w:ilvl w:val="0"/>
          <w:numId w:val="5"/>
        </w:numPr>
        <w:spacing w:before="0" w:after="0"/>
        <w:ind w:left="284" w:hanging="284"/>
        <w:contextualSpacing/>
        <w:jc w:val="both"/>
        <w:rPr>
          <w:rFonts w:asciiTheme="majorHAnsi" w:hAnsiTheme="majorHAnsi" w:cstheme="majorBidi"/>
          <w:kern w:val="20"/>
          <w:lang w:eastAsia="ja-JP"/>
        </w:rPr>
      </w:pPr>
      <w:r w:rsidRPr="008C6972">
        <w:rPr>
          <w:rFonts w:asciiTheme="majorHAnsi" w:hAnsiTheme="majorHAnsi" w:cstheme="majorBidi"/>
          <w:kern w:val="20"/>
          <w:lang w:eastAsia="ja-JP"/>
        </w:rPr>
        <w:t>7</w:t>
      </w:r>
      <w:r>
        <w:rPr>
          <w:rFonts w:asciiTheme="majorHAnsi" w:hAnsiTheme="majorHAnsi" w:cstheme="majorBidi"/>
          <w:kern w:val="20"/>
          <w:lang w:eastAsia="ja-JP"/>
        </w:rPr>
        <w:t>4</w:t>
      </w:r>
      <w:r w:rsidRPr="008C6972">
        <w:rPr>
          <w:rFonts w:asciiTheme="majorHAnsi" w:hAnsiTheme="majorHAnsi" w:cstheme="majorBidi"/>
          <w:kern w:val="20"/>
          <w:lang w:eastAsia="ja-JP"/>
        </w:rPr>
        <w:t xml:space="preserve"> ÎPC organizate ca filiale ale societăților/companiilor naționale/societăților naționale/regiilor autonome/ Institutelor naționale de cercetare-dezvoltare la care acestea dețin o participație majoritară fapt care le asigură controlul.</w:t>
      </w:r>
    </w:p>
    <w:bookmarkEnd w:id="22"/>
    <w:bookmarkEnd w:id="23"/>
    <w:bookmarkEnd w:id="24"/>
    <w:p w14:paraId="11F2873B" w14:textId="77777777" w:rsidR="00370CFA" w:rsidRPr="00D95C57" w:rsidRDefault="00370CFA" w:rsidP="00012B0A">
      <w:pPr>
        <w:spacing w:before="0" w:after="100" w:afterAutospacing="1"/>
        <w:jc w:val="both"/>
        <w:rPr>
          <w:rFonts w:asciiTheme="majorHAnsi" w:hAnsiTheme="majorHAnsi"/>
        </w:rPr>
      </w:pPr>
    </w:p>
    <w:p w14:paraId="203AAC64" w14:textId="77777777" w:rsidR="00677FE9" w:rsidRPr="00D95C57" w:rsidRDefault="005D2E7D" w:rsidP="007B25D5">
      <w:pPr>
        <w:pStyle w:val="ListParagraph"/>
        <w:ind w:left="0"/>
        <w:jc w:val="both"/>
        <w:outlineLvl w:val="1"/>
        <w:rPr>
          <w:rFonts w:asciiTheme="majorHAnsi" w:hAnsiTheme="majorHAnsi"/>
          <w:b/>
          <w:bCs/>
          <w:color w:val="0F6FC6" w:themeColor="accent1"/>
          <w:sz w:val="32"/>
          <w:szCs w:val="32"/>
        </w:rPr>
      </w:pPr>
      <w:bookmarkStart w:id="29" w:name="_Toc490763513"/>
      <w:bookmarkStart w:id="30" w:name="_Toc490763694"/>
      <w:bookmarkStart w:id="31" w:name="_Toc490763862"/>
      <w:bookmarkStart w:id="32" w:name="_Toc87875945"/>
      <w:r w:rsidRPr="00D95C57">
        <w:rPr>
          <w:rFonts w:asciiTheme="majorHAnsi" w:hAnsiTheme="majorHAnsi"/>
          <w:b/>
          <w:bCs/>
          <w:color w:val="0F6FC6" w:themeColor="accent1"/>
          <w:sz w:val="32"/>
          <w:szCs w:val="32"/>
        </w:rPr>
        <w:t xml:space="preserve">Capitolul </w:t>
      </w:r>
      <w:r w:rsidR="00847504" w:rsidRPr="00D95C57">
        <w:rPr>
          <w:rFonts w:asciiTheme="majorHAnsi" w:hAnsiTheme="majorHAnsi"/>
          <w:b/>
          <w:bCs/>
          <w:color w:val="0F6FC6" w:themeColor="accent1"/>
          <w:sz w:val="32"/>
          <w:szCs w:val="32"/>
        </w:rPr>
        <w:t>2</w:t>
      </w:r>
      <w:r w:rsidR="00F1374E" w:rsidRPr="00D95C57">
        <w:rPr>
          <w:rFonts w:asciiTheme="majorHAnsi" w:hAnsiTheme="majorHAnsi"/>
          <w:b/>
          <w:bCs/>
          <w:color w:val="0F6FC6" w:themeColor="accent1"/>
          <w:sz w:val="32"/>
          <w:szCs w:val="32"/>
        </w:rPr>
        <w:t xml:space="preserve"> – Evoluția participațiilor statului la </w:t>
      </w:r>
      <w:r w:rsidR="00044239" w:rsidRPr="00D95C57">
        <w:rPr>
          <w:rFonts w:asciiTheme="majorHAnsi" w:hAnsiTheme="majorHAnsi"/>
          <w:b/>
          <w:bCs/>
          <w:color w:val="0F6FC6" w:themeColor="accent1"/>
          <w:sz w:val="32"/>
          <w:szCs w:val="32"/>
        </w:rPr>
        <w:t xml:space="preserve">întreprinderile </w:t>
      </w:r>
      <w:r w:rsidR="00110AFD" w:rsidRPr="00D95C57">
        <w:rPr>
          <w:rFonts w:asciiTheme="majorHAnsi" w:hAnsiTheme="majorHAnsi"/>
          <w:b/>
          <w:bCs/>
          <w:color w:val="0F6FC6" w:themeColor="accent1"/>
          <w:sz w:val="32"/>
          <w:szCs w:val="32"/>
        </w:rPr>
        <w:t>publice centrale</w:t>
      </w:r>
      <w:r w:rsidR="00F1374E" w:rsidRPr="00D95C57">
        <w:rPr>
          <w:rFonts w:asciiTheme="majorHAnsi" w:hAnsiTheme="majorHAnsi"/>
          <w:b/>
          <w:bCs/>
          <w:color w:val="0F6FC6" w:themeColor="accent1"/>
          <w:sz w:val="32"/>
          <w:szCs w:val="32"/>
        </w:rPr>
        <w:t xml:space="preserve"> </w:t>
      </w:r>
      <w:r w:rsidR="00677FE9" w:rsidRPr="00D95C57">
        <w:rPr>
          <w:rFonts w:asciiTheme="majorHAnsi" w:hAnsiTheme="majorHAnsi"/>
          <w:b/>
          <w:bCs/>
          <w:color w:val="0F6FC6" w:themeColor="accent1"/>
          <w:sz w:val="32"/>
          <w:szCs w:val="32"/>
        </w:rPr>
        <w:t xml:space="preserve">deținute de </w:t>
      </w:r>
      <w:bookmarkEnd w:id="29"/>
      <w:bookmarkEnd w:id="30"/>
      <w:bookmarkEnd w:id="31"/>
      <w:r w:rsidR="00044239" w:rsidRPr="00D95C57">
        <w:rPr>
          <w:rFonts w:asciiTheme="majorHAnsi" w:hAnsiTheme="majorHAnsi"/>
          <w:b/>
          <w:bCs/>
          <w:color w:val="0F6FC6" w:themeColor="accent1"/>
          <w:sz w:val="32"/>
          <w:szCs w:val="32"/>
        </w:rPr>
        <w:t>autoritățile publice tutelare centrale</w:t>
      </w:r>
      <w:bookmarkEnd w:id="32"/>
    </w:p>
    <w:p w14:paraId="05F43686" w14:textId="77777777" w:rsidR="00D17930" w:rsidRPr="00C17B35" w:rsidRDefault="00D17930" w:rsidP="00D17930">
      <w:pPr>
        <w:spacing w:before="0" w:after="0"/>
        <w:jc w:val="both"/>
        <w:rPr>
          <w:rFonts w:asciiTheme="majorHAnsi" w:hAnsiTheme="majorHAnsi" w:cstheme="majorBidi"/>
          <w:kern w:val="20"/>
          <w:lang w:eastAsia="ja-JP"/>
        </w:rPr>
      </w:pPr>
      <w:r w:rsidRPr="00C17B35">
        <w:rPr>
          <w:rFonts w:asciiTheme="majorHAnsi" w:hAnsiTheme="majorHAnsi" w:cstheme="majorBidi"/>
          <w:kern w:val="20"/>
          <w:lang w:eastAsia="ja-JP"/>
        </w:rPr>
        <w:t xml:space="preserve">Statul român, prin autoritățile publice tutelare centrale, deține participații în proporție majoritară, fapt care îi asigură controlul la un număr de </w:t>
      </w:r>
      <w:r w:rsidRPr="00C17B35">
        <w:rPr>
          <w:rFonts w:asciiTheme="majorHAnsi" w:hAnsiTheme="majorHAnsi" w:cstheme="majorBidi"/>
          <w:b/>
          <w:kern w:val="20"/>
          <w:lang w:eastAsia="ja-JP"/>
        </w:rPr>
        <w:t>22</w:t>
      </w:r>
      <w:r w:rsidR="00C17B35" w:rsidRPr="00C17B35">
        <w:rPr>
          <w:rFonts w:asciiTheme="majorHAnsi" w:hAnsiTheme="majorHAnsi" w:cstheme="majorBidi"/>
          <w:b/>
          <w:kern w:val="20"/>
          <w:lang w:eastAsia="ja-JP"/>
        </w:rPr>
        <w:t>6</w:t>
      </w:r>
      <w:r w:rsidRPr="00C17B35">
        <w:rPr>
          <w:rFonts w:asciiTheme="majorHAnsi" w:hAnsiTheme="majorHAnsi" w:cstheme="majorBidi"/>
          <w:b/>
          <w:kern w:val="20"/>
          <w:lang w:eastAsia="ja-JP"/>
        </w:rPr>
        <w:t xml:space="preserve"> ÎPC</w:t>
      </w:r>
      <w:r w:rsidRPr="00C17B35">
        <w:rPr>
          <w:rFonts w:asciiTheme="majorHAnsi" w:hAnsiTheme="majorHAnsi" w:cstheme="majorBidi"/>
          <w:kern w:val="20"/>
          <w:lang w:eastAsia="ja-JP"/>
        </w:rPr>
        <w:t xml:space="preserve"> active după cum urmează:</w:t>
      </w:r>
    </w:p>
    <w:p w14:paraId="04DC5D05" w14:textId="77777777" w:rsidR="00D17930" w:rsidRPr="00C17B35" w:rsidRDefault="00D17930" w:rsidP="00F26763">
      <w:pPr>
        <w:numPr>
          <w:ilvl w:val="0"/>
          <w:numId w:val="5"/>
        </w:numPr>
        <w:spacing w:before="0" w:after="0"/>
        <w:ind w:left="270" w:hanging="270"/>
        <w:contextualSpacing/>
        <w:jc w:val="both"/>
        <w:rPr>
          <w:rFonts w:asciiTheme="majorHAnsi" w:hAnsiTheme="majorHAnsi" w:cstheme="majorBidi"/>
          <w:kern w:val="20"/>
          <w:lang w:eastAsia="ja-JP"/>
        </w:rPr>
      </w:pPr>
      <w:r w:rsidRPr="00C17B35">
        <w:rPr>
          <w:rFonts w:asciiTheme="majorHAnsi" w:hAnsiTheme="majorHAnsi" w:cstheme="majorBidi"/>
          <w:kern w:val="20"/>
          <w:lang w:eastAsia="ja-JP"/>
        </w:rPr>
        <w:t>12</w:t>
      </w:r>
      <w:r w:rsidR="00FD6E69" w:rsidRPr="00C17B35">
        <w:rPr>
          <w:rFonts w:asciiTheme="majorHAnsi" w:hAnsiTheme="majorHAnsi" w:cstheme="majorBidi"/>
          <w:kern w:val="20"/>
          <w:lang w:eastAsia="ja-JP"/>
        </w:rPr>
        <w:t>9</w:t>
      </w:r>
      <w:r w:rsidRPr="00C17B35">
        <w:rPr>
          <w:rFonts w:asciiTheme="majorHAnsi" w:hAnsiTheme="majorHAnsi" w:cstheme="majorBidi"/>
          <w:kern w:val="20"/>
          <w:lang w:eastAsia="ja-JP"/>
        </w:rPr>
        <w:t xml:space="preserve"> ÎPC organizate ca societăți pe acțiuni și sunt deținute de stat prin APTC în proporție majoritară sau integrală</w:t>
      </w:r>
      <w:r w:rsidRPr="00C17B35">
        <w:rPr>
          <w:rFonts w:asciiTheme="majorHAnsi" w:hAnsiTheme="majorHAnsi" w:cstheme="majorBidi"/>
          <w:kern w:val="20"/>
          <w:lang w:val="en-US" w:eastAsia="ja-JP"/>
        </w:rPr>
        <w:t>;</w:t>
      </w:r>
    </w:p>
    <w:p w14:paraId="14E92DFC" w14:textId="77777777" w:rsidR="00D17930" w:rsidRPr="00C17B35" w:rsidRDefault="00D17930" w:rsidP="00F26763">
      <w:pPr>
        <w:numPr>
          <w:ilvl w:val="0"/>
          <w:numId w:val="5"/>
        </w:numPr>
        <w:spacing w:before="0" w:after="0"/>
        <w:ind w:left="270" w:hanging="270"/>
        <w:contextualSpacing/>
        <w:jc w:val="both"/>
        <w:rPr>
          <w:rFonts w:asciiTheme="majorHAnsi" w:hAnsiTheme="majorHAnsi" w:cstheme="majorBidi"/>
          <w:kern w:val="20"/>
          <w:lang w:eastAsia="ja-JP"/>
        </w:rPr>
      </w:pPr>
      <w:r w:rsidRPr="00C17B35">
        <w:rPr>
          <w:rFonts w:asciiTheme="majorHAnsi" w:hAnsiTheme="majorHAnsi" w:cstheme="majorBidi"/>
          <w:kern w:val="20"/>
          <w:lang w:eastAsia="ja-JP"/>
        </w:rPr>
        <w:t>1</w:t>
      </w:r>
      <w:r w:rsidR="00C17B35" w:rsidRPr="00C17B35">
        <w:rPr>
          <w:rFonts w:asciiTheme="majorHAnsi" w:hAnsiTheme="majorHAnsi" w:cstheme="majorBidi"/>
          <w:kern w:val="20"/>
          <w:lang w:eastAsia="ja-JP"/>
        </w:rPr>
        <w:t>1</w:t>
      </w:r>
      <w:r w:rsidRPr="00C17B35">
        <w:rPr>
          <w:rFonts w:asciiTheme="majorHAnsi" w:hAnsiTheme="majorHAnsi" w:cstheme="majorBidi"/>
          <w:kern w:val="20"/>
          <w:lang w:eastAsia="ja-JP"/>
        </w:rPr>
        <w:t xml:space="preserve"> ÎPC organizate ca societăți cu răspundere limitată și sunt deținute de stat prin APTC în proporție majoritară sau integrală</w:t>
      </w:r>
      <w:r w:rsidRPr="00C17B35">
        <w:rPr>
          <w:rFonts w:asciiTheme="majorHAnsi" w:hAnsiTheme="majorHAnsi" w:cstheme="majorBidi"/>
          <w:kern w:val="20"/>
          <w:lang w:val="en-US" w:eastAsia="ja-JP"/>
        </w:rPr>
        <w:t>;</w:t>
      </w:r>
    </w:p>
    <w:p w14:paraId="5095D39E" w14:textId="77777777" w:rsidR="00D17930" w:rsidRDefault="00D17930" w:rsidP="00F26763">
      <w:pPr>
        <w:numPr>
          <w:ilvl w:val="0"/>
          <w:numId w:val="5"/>
        </w:numPr>
        <w:spacing w:before="0" w:after="0"/>
        <w:ind w:left="270" w:hanging="270"/>
        <w:contextualSpacing/>
        <w:jc w:val="both"/>
        <w:rPr>
          <w:rFonts w:asciiTheme="majorHAnsi" w:hAnsiTheme="majorHAnsi" w:cstheme="majorBidi"/>
          <w:kern w:val="20"/>
          <w:lang w:eastAsia="ja-JP"/>
        </w:rPr>
      </w:pPr>
      <w:r w:rsidRPr="00C17B35">
        <w:rPr>
          <w:rFonts w:asciiTheme="majorHAnsi" w:hAnsiTheme="majorHAnsi" w:cstheme="majorBidi"/>
          <w:kern w:val="20"/>
          <w:lang w:eastAsia="ja-JP"/>
        </w:rPr>
        <w:t>86 ÎPC organizate ca regii autonome și sunt deținute de stat p</w:t>
      </w:r>
      <w:r w:rsidR="008546B5">
        <w:rPr>
          <w:rFonts w:asciiTheme="majorHAnsi" w:hAnsiTheme="majorHAnsi" w:cstheme="majorBidi"/>
          <w:kern w:val="20"/>
          <w:lang w:eastAsia="ja-JP"/>
        </w:rPr>
        <w:t>rin APTC în proporție integrală.</w:t>
      </w:r>
    </w:p>
    <w:p w14:paraId="1EE441A5" w14:textId="77777777" w:rsidR="008546B5" w:rsidRPr="00C17B35" w:rsidRDefault="008546B5" w:rsidP="008546B5">
      <w:pPr>
        <w:spacing w:before="0" w:after="0"/>
        <w:contextualSpacing/>
        <w:jc w:val="both"/>
        <w:rPr>
          <w:rFonts w:asciiTheme="majorHAnsi" w:hAnsiTheme="majorHAnsi" w:cstheme="majorBidi"/>
          <w:kern w:val="20"/>
          <w:lang w:eastAsia="ja-JP"/>
        </w:rPr>
      </w:pPr>
    </w:p>
    <w:p w14:paraId="35B72A56" w14:textId="77777777" w:rsidR="00C17B35" w:rsidRPr="00C17B35" w:rsidRDefault="00C17B35" w:rsidP="00C17B35">
      <w:pPr>
        <w:spacing w:before="0" w:after="0"/>
        <w:contextualSpacing/>
        <w:jc w:val="both"/>
        <w:rPr>
          <w:rFonts w:asciiTheme="majorHAnsi" w:hAnsiTheme="majorHAnsi" w:cstheme="majorBidi"/>
          <w:kern w:val="20"/>
          <w:lang w:eastAsia="ja-JP"/>
        </w:rPr>
      </w:pPr>
    </w:p>
    <w:tbl>
      <w:tblPr>
        <w:tblW w:w="9112" w:type="dxa"/>
        <w:tblInd w:w="198" w:type="dxa"/>
        <w:tblLook w:val="04A0" w:firstRow="1" w:lastRow="0" w:firstColumn="1" w:lastColumn="0" w:noHBand="0" w:noVBand="1"/>
      </w:tblPr>
      <w:tblGrid>
        <w:gridCol w:w="2177"/>
        <w:gridCol w:w="873"/>
        <w:gridCol w:w="873"/>
        <w:gridCol w:w="951"/>
        <w:gridCol w:w="1219"/>
        <w:gridCol w:w="1782"/>
        <w:gridCol w:w="1237"/>
      </w:tblGrid>
      <w:tr w:rsidR="00C17B35" w:rsidRPr="00C17B35" w14:paraId="7A127E11" w14:textId="77777777" w:rsidTr="00C17B35">
        <w:trPr>
          <w:trHeight w:val="194"/>
        </w:trPr>
        <w:tc>
          <w:tcPr>
            <w:tcW w:w="9112" w:type="dxa"/>
            <w:gridSpan w:val="7"/>
            <w:tcBorders>
              <w:top w:val="single" w:sz="8" w:space="0" w:color="FFFFFF"/>
              <w:left w:val="single" w:sz="8" w:space="0" w:color="FFFFFF"/>
              <w:bottom w:val="nil"/>
              <w:right w:val="nil"/>
            </w:tcBorders>
            <w:shd w:val="clear" w:color="auto" w:fill="auto"/>
            <w:noWrap/>
            <w:vAlign w:val="center"/>
            <w:hideMark/>
          </w:tcPr>
          <w:p w14:paraId="4EE00573" w14:textId="77777777" w:rsidR="00C17B35" w:rsidRPr="00C17B35" w:rsidRDefault="00C17B35" w:rsidP="00C17B35">
            <w:pPr>
              <w:spacing w:before="0" w:after="0" w:line="240" w:lineRule="auto"/>
              <w:rPr>
                <w:rFonts w:ascii="Calibri Light" w:eastAsia="Times New Roman" w:hAnsi="Calibri Light" w:cs="Calibri Light"/>
                <w:lang w:val="en-US"/>
              </w:rPr>
            </w:pPr>
            <w:r w:rsidRPr="00C17B35">
              <w:rPr>
                <w:rFonts w:ascii="Calibri Light" w:eastAsia="Times New Roman" w:hAnsi="Calibri Light" w:cs="Calibri Light"/>
                <w:lang w:val="en-US"/>
              </w:rPr>
              <w:t>TABEL – Structura participațiilor deținute de Stat prin APTC la ÎPC active în anul 2020</w:t>
            </w:r>
          </w:p>
          <w:p w14:paraId="033DEF50" w14:textId="77777777" w:rsidR="00C17B35" w:rsidRPr="00C17B35" w:rsidRDefault="00C17B35" w:rsidP="00C17B35">
            <w:pPr>
              <w:spacing w:before="0" w:after="0" w:line="240" w:lineRule="auto"/>
              <w:rPr>
                <w:rFonts w:ascii="Calibri Light" w:eastAsia="Times New Roman" w:hAnsi="Calibri Light" w:cs="Calibri Light"/>
                <w:lang w:val="en-US"/>
              </w:rPr>
            </w:pPr>
          </w:p>
        </w:tc>
      </w:tr>
      <w:tr w:rsidR="00C17B35" w:rsidRPr="00C17B35" w14:paraId="6B0AD663" w14:textId="77777777" w:rsidTr="00C17B35">
        <w:trPr>
          <w:trHeight w:val="1311"/>
        </w:trPr>
        <w:tc>
          <w:tcPr>
            <w:tcW w:w="2177" w:type="dxa"/>
            <w:vMerge w:val="restart"/>
            <w:tcBorders>
              <w:top w:val="single" w:sz="4" w:space="0" w:color="5B9BD5"/>
              <w:left w:val="single" w:sz="8" w:space="0" w:color="FFFFFF"/>
              <w:bottom w:val="nil"/>
              <w:right w:val="nil"/>
            </w:tcBorders>
            <w:shd w:val="clear" w:color="000000" w:fill="FFFFFF"/>
            <w:hideMark/>
          </w:tcPr>
          <w:p w14:paraId="327B4040"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Mod organizare societăți</w:t>
            </w:r>
          </w:p>
        </w:tc>
        <w:tc>
          <w:tcPr>
            <w:tcW w:w="873" w:type="dxa"/>
            <w:vMerge w:val="restart"/>
            <w:tcBorders>
              <w:top w:val="single" w:sz="4" w:space="0" w:color="5B9BD5"/>
              <w:left w:val="nil"/>
              <w:bottom w:val="nil"/>
              <w:right w:val="nil"/>
            </w:tcBorders>
            <w:shd w:val="clear" w:color="000000" w:fill="FFFFFF"/>
            <w:hideMark/>
          </w:tcPr>
          <w:p w14:paraId="3D5C9B36" w14:textId="77777777" w:rsidR="00C17B35" w:rsidRPr="00C17B35" w:rsidRDefault="00C17B35" w:rsidP="00C17B35">
            <w:pPr>
              <w:spacing w:before="0" w:after="0" w:line="240" w:lineRule="auto"/>
              <w:jc w:val="right"/>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Anul</w:t>
            </w:r>
          </w:p>
        </w:tc>
        <w:tc>
          <w:tcPr>
            <w:tcW w:w="873" w:type="dxa"/>
            <w:vMerge w:val="restart"/>
            <w:tcBorders>
              <w:top w:val="single" w:sz="4" w:space="0" w:color="5B9BD5"/>
              <w:left w:val="nil"/>
              <w:bottom w:val="nil"/>
              <w:right w:val="nil"/>
            </w:tcBorders>
            <w:shd w:val="clear" w:color="000000" w:fill="FFFFFF"/>
            <w:hideMark/>
          </w:tcPr>
          <w:p w14:paraId="24BB36CB" w14:textId="77777777" w:rsidR="00C17B35" w:rsidRPr="00C17B35" w:rsidRDefault="00C17B35" w:rsidP="00C17B35">
            <w:pPr>
              <w:spacing w:before="0" w:after="0" w:line="240" w:lineRule="auto"/>
              <w:jc w:val="right"/>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Nr ÎPC active</w:t>
            </w:r>
          </w:p>
        </w:tc>
        <w:tc>
          <w:tcPr>
            <w:tcW w:w="951" w:type="dxa"/>
            <w:tcBorders>
              <w:top w:val="single" w:sz="4" w:space="0" w:color="5B9BD5"/>
              <w:left w:val="nil"/>
              <w:bottom w:val="nil"/>
              <w:right w:val="nil"/>
            </w:tcBorders>
            <w:shd w:val="clear" w:color="000000" w:fill="FFFFFF"/>
            <w:hideMark/>
          </w:tcPr>
          <w:p w14:paraId="3D31CADC" w14:textId="77777777" w:rsidR="00C17B35" w:rsidRPr="00C17B35" w:rsidRDefault="00C17B35" w:rsidP="00C17B35">
            <w:pPr>
              <w:spacing w:before="0" w:after="0" w:line="240" w:lineRule="auto"/>
              <w:jc w:val="right"/>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Valoare capital social, părți sociale sau patrimoniu deținut de STAT</w:t>
            </w:r>
          </w:p>
        </w:tc>
        <w:tc>
          <w:tcPr>
            <w:tcW w:w="1219" w:type="dxa"/>
            <w:tcBorders>
              <w:top w:val="single" w:sz="4" w:space="0" w:color="5B9BD5"/>
              <w:left w:val="nil"/>
              <w:bottom w:val="nil"/>
              <w:right w:val="nil"/>
            </w:tcBorders>
            <w:shd w:val="clear" w:color="000000" w:fill="FFFFFF"/>
            <w:hideMark/>
          </w:tcPr>
          <w:p w14:paraId="3A402DD8" w14:textId="77777777" w:rsidR="00C17B35" w:rsidRPr="00C17B35" w:rsidRDefault="00C17B35" w:rsidP="00C17B35">
            <w:pPr>
              <w:spacing w:before="0" w:after="0" w:line="240" w:lineRule="auto"/>
              <w:jc w:val="right"/>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Valoare capital social  sau părți sociale deținut de PERSOANE JURIDICE ȘI FIZICE</w:t>
            </w:r>
          </w:p>
        </w:tc>
        <w:tc>
          <w:tcPr>
            <w:tcW w:w="1782" w:type="dxa"/>
            <w:tcBorders>
              <w:top w:val="single" w:sz="4" w:space="0" w:color="5B9BD5"/>
              <w:left w:val="nil"/>
              <w:bottom w:val="nil"/>
              <w:right w:val="nil"/>
            </w:tcBorders>
            <w:shd w:val="clear" w:color="000000" w:fill="FFFFFF"/>
            <w:hideMark/>
          </w:tcPr>
          <w:p w14:paraId="4B2B7BBA" w14:textId="77777777" w:rsidR="00C17B35" w:rsidRPr="00C17B35" w:rsidRDefault="00C17B35" w:rsidP="00C17B35">
            <w:pPr>
              <w:spacing w:before="0" w:after="0" w:line="240" w:lineRule="auto"/>
              <w:jc w:val="right"/>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Nr total acțiuni sau părți sociale deținute de STAT</w:t>
            </w:r>
          </w:p>
        </w:tc>
        <w:tc>
          <w:tcPr>
            <w:tcW w:w="1237" w:type="dxa"/>
            <w:tcBorders>
              <w:top w:val="single" w:sz="4" w:space="0" w:color="5B9BD5"/>
              <w:left w:val="nil"/>
              <w:bottom w:val="nil"/>
              <w:right w:val="nil"/>
            </w:tcBorders>
            <w:shd w:val="clear" w:color="000000" w:fill="FFFFFF"/>
            <w:hideMark/>
          </w:tcPr>
          <w:p w14:paraId="5E367A9E" w14:textId="77777777" w:rsidR="00C17B35" w:rsidRPr="00C17B35" w:rsidRDefault="00C17B35" w:rsidP="00C17B35">
            <w:pPr>
              <w:spacing w:before="0" w:after="0" w:line="240" w:lineRule="auto"/>
              <w:jc w:val="right"/>
              <w:rPr>
                <w:rFonts w:ascii="Calibri" w:eastAsia="Times New Roman" w:hAnsi="Calibri" w:cs="Calibri"/>
                <w:color w:val="0F6FC6" w:themeColor="accent1"/>
                <w:sz w:val="16"/>
                <w:szCs w:val="16"/>
                <w:lang w:val="en-US"/>
              </w:rPr>
            </w:pPr>
            <w:r w:rsidRPr="00C17B35">
              <w:rPr>
                <w:rFonts w:ascii="Calibri" w:eastAsia="Times New Roman" w:hAnsi="Calibri" w:cs="Calibri"/>
                <w:color w:val="0F6FC6" w:themeColor="accent1"/>
                <w:sz w:val="16"/>
                <w:szCs w:val="16"/>
                <w:lang w:val="en-US"/>
              </w:rPr>
              <w:t>Valoare nominală medie estimată pe acțiune/ parte socială</w:t>
            </w:r>
          </w:p>
        </w:tc>
      </w:tr>
      <w:tr w:rsidR="00C17B35" w:rsidRPr="00C17B35" w14:paraId="3293BF79" w14:textId="77777777" w:rsidTr="00C17B35">
        <w:trPr>
          <w:trHeight w:val="233"/>
        </w:trPr>
        <w:tc>
          <w:tcPr>
            <w:tcW w:w="2177" w:type="dxa"/>
            <w:vMerge/>
            <w:tcBorders>
              <w:top w:val="single" w:sz="4" w:space="0" w:color="5B9BD5"/>
              <w:left w:val="single" w:sz="8" w:space="0" w:color="FFFFFF"/>
              <w:bottom w:val="nil"/>
              <w:right w:val="nil"/>
            </w:tcBorders>
            <w:vAlign w:val="center"/>
            <w:hideMark/>
          </w:tcPr>
          <w:p w14:paraId="19CF8FC0"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p>
        </w:tc>
        <w:tc>
          <w:tcPr>
            <w:tcW w:w="873" w:type="dxa"/>
            <w:vMerge/>
            <w:tcBorders>
              <w:top w:val="single" w:sz="4" w:space="0" w:color="5B9BD5"/>
              <w:left w:val="nil"/>
              <w:bottom w:val="nil"/>
              <w:right w:val="nil"/>
            </w:tcBorders>
            <w:vAlign w:val="center"/>
            <w:hideMark/>
          </w:tcPr>
          <w:p w14:paraId="4ACA6EEC"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p>
        </w:tc>
        <w:tc>
          <w:tcPr>
            <w:tcW w:w="873" w:type="dxa"/>
            <w:vMerge/>
            <w:tcBorders>
              <w:top w:val="single" w:sz="4" w:space="0" w:color="5B9BD5"/>
              <w:left w:val="nil"/>
              <w:bottom w:val="nil"/>
              <w:right w:val="nil"/>
            </w:tcBorders>
            <w:vAlign w:val="center"/>
            <w:hideMark/>
          </w:tcPr>
          <w:p w14:paraId="530E3A16"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p>
        </w:tc>
        <w:tc>
          <w:tcPr>
            <w:tcW w:w="951" w:type="dxa"/>
            <w:tcBorders>
              <w:top w:val="single" w:sz="4" w:space="0" w:color="5B9BD5"/>
              <w:left w:val="nil"/>
              <w:bottom w:val="single" w:sz="4" w:space="0" w:color="5B9BD5"/>
              <w:right w:val="nil"/>
            </w:tcBorders>
            <w:shd w:val="clear" w:color="000000" w:fill="FFFFFF"/>
            <w:hideMark/>
          </w:tcPr>
          <w:p w14:paraId="63D73C7A"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mii lei</w:t>
            </w:r>
          </w:p>
        </w:tc>
        <w:tc>
          <w:tcPr>
            <w:tcW w:w="1219" w:type="dxa"/>
            <w:tcBorders>
              <w:top w:val="single" w:sz="4" w:space="0" w:color="5B9BD5"/>
              <w:left w:val="nil"/>
              <w:bottom w:val="single" w:sz="4" w:space="0" w:color="5B9BD5"/>
              <w:right w:val="nil"/>
            </w:tcBorders>
            <w:shd w:val="clear" w:color="000000" w:fill="FFFFFF"/>
            <w:hideMark/>
          </w:tcPr>
          <w:p w14:paraId="5337F008"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mii lei</w:t>
            </w:r>
          </w:p>
        </w:tc>
        <w:tc>
          <w:tcPr>
            <w:tcW w:w="1782" w:type="dxa"/>
            <w:tcBorders>
              <w:top w:val="single" w:sz="4" w:space="0" w:color="5B9BD5"/>
              <w:left w:val="nil"/>
              <w:bottom w:val="single" w:sz="4" w:space="0" w:color="5B9BD5"/>
              <w:right w:val="nil"/>
            </w:tcBorders>
            <w:shd w:val="clear" w:color="000000" w:fill="FFFFFF"/>
            <w:hideMark/>
          </w:tcPr>
          <w:p w14:paraId="24004956"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nr</w:t>
            </w:r>
          </w:p>
        </w:tc>
        <w:tc>
          <w:tcPr>
            <w:tcW w:w="1237" w:type="dxa"/>
            <w:tcBorders>
              <w:top w:val="single" w:sz="4" w:space="0" w:color="5B9BD5"/>
              <w:left w:val="nil"/>
              <w:bottom w:val="single" w:sz="4" w:space="0" w:color="5B9BD5"/>
              <w:right w:val="nil"/>
            </w:tcBorders>
            <w:shd w:val="clear" w:color="000000" w:fill="FFFFFF"/>
            <w:hideMark/>
          </w:tcPr>
          <w:p w14:paraId="3A0A2755"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lei/acțiune sau parte socială</w:t>
            </w:r>
          </w:p>
        </w:tc>
      </w:tr>
      <w:tr w:rsidR="00C17B35" w:rsidRPr="00C17B35" w14:paraId="2E7FEB36" w14:textId="77777777" w:rsidTr="00C17B35">
        <w:trPr>
          <w:trHeight w:val="194"/>
        </w:trPr>
        <w:tc>
          <w:tcPr>
            <w:tcW w:w="2177" w:type="dxa"/>
            <w:vMerge/>
            <w:tcBorders>
              <w:top w:val="single" w:sz="4" w:space="0" w:color="5B9BD5"/>
              <w:left w:val="single" w:sz="8" w:space="0" w:color="FFFFFF"/>
              <w:bottom w:val="nil"/>
              <w:right w:val="nil"/>
            </w:tcBorders>
            <w:vAlign w:val="center"/>
            <w:hideMark/>
          </w:tcPr>
          <w:p w14:paraId="69254565"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p>
        </w:tc>
        <w:tc>
          <w:tcPr>
            <w:tcW w:w="873" w:type="dxa"/>
            <w:vMerge/>
            <w:tcBorders>
              <w:top w:val="single" w:sz="4" w:space="0" w:color="5B9BD5"/>
              <w:left w:val="nil"/>
              <w:bottom w:val="nil"/>
              <w:right w:val="nil"/>
            </w:tcBorders>
            <w:vAlign w:val="center"/>
            <w:hideMark/>
          </w:tcPr>
          <w:p w14:paraId="55E4159F"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p>
        </w:tc>
        <w:tc>
          <w:tcPr>
            <w:tcW w:w="873" w:type="dxa"/>
            <w:vMerge/>
            <w:tcBorders>
              <w:top w:val="single" w:sz="4" w:space="0" w:color="5B9BD5"/>
              <w:left w:val="nil"/>
              <w:bottom w:val="nil"/>
              <w:right w:val="nil"/>
            </w:tcBorders>
            <w:vAlign w:val="center"/>
            <w:hideMark/>
          </w:tcPr>
          <w:p w14:paraId="2A1E5E1D" w14:textId="77777777" w:rsidR="00C17B35" w:rsidRPr="00C17B35" w:rsidRDefault="00C17B35" w:rsidP="00C17B35">
            <w:pPr>
              <w:spacing w:before="0" w:after="0" w:line="240" w:lineRule="auto"/>
              <w:rPr>
                <w:rFonts w:ascii="Calibri" w:eastAsia="Times New Roman" w:hAnsi="Calibri" w:cs="Calibri"/>
                <w:color w:val="0F6FC6" w:themeColor="accent1"/>
                <w:sz w:val="16"/>
                <w:szCs w:val="16"/>
                <w:lang w:val="en-US"/>
              </w:rPr>
            </w:pPr>
          </w:p>
        </w:tc>
        <w:tc>
          <w:tcPr>
            <w:tcW w:w="951" w:type="dxa"/>
            <w:tcBorders>
              <w:top w:val="nil"/>
              <w:left w:val="nil"/>
              <w:bottom w:val="nil"/>
              <w:right w:val="nil"/>
            </w:tcBorders>
            <w:shd w:val="clear" w:color="000000" w:fill="FFFFFF"/>
            <w:hideMark/>
          </w:tcPr>
          <w:p w14:paraId="6A0D40D8"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1</w:t>
            </w:r>
          </w:p>
        </w:tc>
        <w:tc>
          <w:tcPr>
            <w:tcW w:w="1219" w:type="dxa"/>
            <w:tcBorders>
              <w:top w:val="nil"/>
              <w:left w:val="nil"/>
              <w:bottom w:val="nil"/>
              <w:right w:val="nil"/>
            </w:tcBorders>
            <w:shd w:val="clear" w:color="000000" w:fill="FFFFFF"/>
            <w:hideMark/>
          </w:tcPr>
          <w:p w14:paraId="197D9528"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2</w:t>
            </w:r>
          </w:p>
        </w:tc>
        <w:tc>
          <w:tcPr>
            <w:tcW w:w="1782" w:type="dxa"/>
            <w:tcBorders>
              <w:top w:val="nil"/>
              <w:left w:val="nil"/>
              <w:bottom w:val="nil"/>
              <w:right w:val="nil"/>
            </w:tcBorders>
            <w:shd w:val="clear" w:color="000000" w:fill="FFFFFF"/>
            <w:hideMark/>
          </w:tcPr>
          <w:p w14:paraId="01CFEE96"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3</w:t>
            </w:r>
          </w:p>
        </w:tc>
        <w:tc>
          <w:tcPr>
            <w:tcW w:w="1237" w:type="dxa"/>
            <w:tcBorders>
              <w:top w:val="nil"/>
              <w:left w:val="nil"/>
              <w:bottom w:val="nil"/>
              <w:right w:val="nil"/>
            </w:tcBorders>
            <w:shd w:val="clear" w:color="000000" w:fill="FFFFFF"/>
            <w:hideMark/>
          </w:tcPr>
          <w:p w14:paraId="210095CF" w14:textId="77777777" w:rsidR="00C17B35" w:rsidRPr="00C17B35" w:rsidRDefault="00C17B35" w:rsidP="00C17B35">
            <w:pPr>
              <w:spacing w:before="0" w:after="0" w:line="240" w:lineRule="auto"/>
              <w:jc w:val="right"/>
              <w:rPr>
                <w:rFonts w:ascii="Calibri" w:eastAsia="Times New Roman" w:hAnsi="Calibri" w:cs="Calibri"/>
                <w:i/>
                <w:iCs/>
                <w:color w:val="0F6FC6" w:themeColor="accent1"/>
                <w:sz w:val="14"/>
                <w:szCs w:val="14"/>
                <w:lang w:val="en-US"/>
              </w:rPr>
            </w:pPr>
            <w:r w:rsidRPr="00C17B35">
              <w:rPr>
                <w:rFonts w:ascii="Calibri" w:eastAsia="Times New Roman" w:hAnsi="Calibri" w:cs="Calibri"/>
                <w:i/>
                <w:iCs/>
                <w:color w:val="0F6FC6" w:themeColor="accent1"/>
                <w:sz w:val="14"/>
                <w:szCs w:val="14"/>
                <w:lang w:val="en-US"/>
              </w:rPr>
              <w:t>4</w:t>
            </w:r>
          </w:p>
        </w:tc>
      </w:tr>
      <w:tr w:rsidR="00C17B35" w:rsidRPr="00C17B35" w14:paraId="05C49420" w14:textId="77777777" w:rsidTr="00C17B35">
        <w:trPr>
          <w:trHeight w:val="194"/>
        </w:trPr>
        <w:tc>
          <w:tcPr>
            <w:tcW w:w="2177" w:type="dxa"/>
            <w:vMerge w:val="restart"/>
            <w:tcBorders>
              <w:top w:val="single" w:sz="4" w:space="0" w:color="5B9BD5"/>
              <w:left w:val="nil"/>
              <w:bottom w:val="single" w:sz="4" w:space="0" w:color="5B9BD5"/>
              <w:right w:val="nil"/>
            </w:tcBorders>
            <w:shd w:val="clear" w:color="000000" w:fill="FFFFFF"/>
            <w:vAlign w:val="center"/>
            <w:hideMark/>
          </w:tcPr>
          <w:p w14:paraId="7C6F4C42" w14:textId="77777777" w:rsidR="00C17B35" w:rsidRPr="00C17B35" w:rsidRDefault="00C17B35" w:rsidP="00C17B35">
            <w:pPr>
              <w:spacing w:before="0" w:after="0" w:line="240" w:lineRule="auto"/>
              <w:rPr>
                <w:rFonts w:ascii="Calibri" w:eastAsia="Times New Roman" w:hAnsi="Calibri" w:cs="Calibri"/>
                <w:b/>
                <w:bCs/>
                <w:sz w:val="16"/>
                <w:szCs w:val="16"/>
                <w:lang w:val="en-US"/>
              </w:rPr>
            </w:pPr>
            <w:r w:rsidRPr="00C17B35">
              <w:rPr>
                <w:rFonts w:ascii="Calibri" w:eastAsia="Times New Roman" w:hAnsi="Calibri" w:cs="Calibri"/>
                <w:sz w:val="16"/>
                <w:szCs w:val="16"/>
                <w:lang w:val="en-US"/>
              </w:rPr>
              <w:t>Societăți pe acțiuni la care statul deține</w:t>
            </w:r>
            <w:r w:rsidRPr="00C17B35">
              <w:rPr>
                <w:rFonts w:ascii="Calibri" w:eastAsia="Times New Roman" w:hAnsi="Calibri" w:cs="Calibri"/>
                <w:b/>
                <w:bCs/>
                <w:sz w:val="16"/>
                <w:szCs w:val="16"/>
                <w:lang w:val="en-US"/>
              </w:rPr>
              <w:t xml:space="preserve"> capital social</w:t>
            </w:r>
          </w:p>
        </w:tc>
        <w:tc>
          <w:tcPr>
            <w:tcW w:w="873" w:type="dxa"/>
            <w:tcBorders>
              <w:top w:val="single" w:sz="4" w:space="0" w:color="5B9BD5"/>
              <w:left w:val="nil"/>
              <w:bottom w:val="nil"/>
              <w:right w:val="nil"/>
            </w:tcBorders>
            <w:shd w:val="clear" w:color="000000" w:fill="FFFFFF"/>
            <w:noWrap/>
            <w:vAlign w:val="center"/>
            <w:hideMark/>
          </w:tcPr>
          <w:p w14:paraId="54CD716B"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2018</w:t>
            </w:r>
          </w:p>
        </w:tc>
        <w:tc>
          <w:tcPr>
            <w:tcW w:w="873" w:type="dxa"/>
            <w:tcBorders>
              <w:top w:val="single" w:sz="4" w:space="0" w:color="5B9BD5"/>
              <w:left w:val="nil"/>
              <w:bottom w:val="nil"/>
              <w:right w:val="nil"/>
            </w:tcBorders>
            <w:shd w:val="clear" w:color="000000" w:fill="FFFFFF"/>
            <w:noWrap/>
            <w:vAlign w:val="center"/>
            <w:hideMark/>
          </w:tcPr>
          <w:p w14:paraId="6884F002"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128</w:t>
            </w:r>
          </w:p>
        </w:tc>
        <w:tc>
          <w:tcPr>
            <w:tcW w:w="951" w:type="dxa"/>
            <w:tcBorders>
              <w:top w:val="single" w:sz="4" w:space="0" w:color="5B9BD5"/>
              <w:left w:val="nil"/>
              <w:bottom w:val="nil"/>
              <w:right w:val="nil"/>
            </w:tcBorders>
            <w:shd w:val="clear" w:color="000000" w:fill="FFFFFF"/>
            <w:noWrap/>
            <w:vAlign w:val="center"/>
            <w:hideMark/>
          </w:tcPr>
          <w:p w14:paraId="4EF86A45"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25.534.116</w:t>
            </w:r>
          </w:p>
        </w:tc>
        <w:tc>
          <w:tcPr>
            <w:tcW w:w="1219" w:type="dxa"/>
            <w:tcBorders>
              <w:top w:val="single" w:sz="4" w:space="0" w:color="5B9BD5"/>
              <w:left w:val="nil"/>
              <w:bottom w:val="nil"/>
              <w:right w:val="nil"/>
            </w:tcBorders>
            <w:shd w:val="clear" w:color="000000" w:fill="FFFFFF"/>
            <w:noWrap/>
            <w:vAlign w:val="center"/>
            <w:hideMark/>
          </w:tcPr>
          <w:p w14:paraId="2B11C856"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2.517.601</w:t>
            </w:r>
          </w:p>
        </w:tc>
        <w:tc>
          <w:tcPr>
            <w:tcW w:w="1782" w:type="dxa"/>
            <w:tcBorders>
              <w:top w:val="single" w:sz="4" w:space="0" w:color="5B9BD5"/>
              <w:left w:val="nil"/>
              <w:bottom w:val="nil"/>
              <w:right w:val="nil"/>
            </w:tcBorders>
            <w:shd w:val="clear" w:color="000000" w:fill="FFFFFF"/>
            <w:noWrap/>
            <w:vAlign w:val="center"/>
            <w:hideMark/>
          </w:tcPr>
          <w:p w14:paraId="643F5AF7"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7.660.498.095</w:t>
            </w:r>
          </w:p>
        </w:tc>
        <w:tc>
          <w:tcPr>
            <w:tcW w:w="1237" w:type="dxa"/>
            <w:tcBorders>
              <w:top w:val="single" w:sz="4" w:space="0" w:color="5B9BD5"/>
              <w:left w:val="nil"/>
              <w:bottom w:val="nil"/>
              <w:right w:val="nil"/>
            </w:tcBorders>
            <w:shd w:val="clear" w:color="000000" w:fill="FFFFFF"/>
            <w:noWrap/>
            <w:vAlign w:val="center"/>
            <w:hideMark/>
          </w:tcPr>
          <w:p w14:paraId="6D9199C2"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3,20</w:t>
            </w:r>
          </w:p>
        </w:tc>
      </w:tr>
      <w:tr w:rsidR="00C17B35" w:rsidRPr="00C17B35" w14:paraId="191A3079" w14:textId="77777777" w:rsidTr="00C17B35">
        <w:trPr>
          <w:trHeight w:val="194"/>
        </w:trPr>
        <w:tc>
          <w:tcPr>
            <w:tcW w:w="2177" w:type="dxa"/>
            <w:vMerge/>
            <w:tcBorders>
              <w:top w:val="single" w:sz="4" w:space="0" w:color="5B9BD5"/>
              <w:left w:val="nil"/>
              <w:bottom w:val="single" w:sz="4" w:space="0" w:color="5B9BD5"/>
              <w:right w:val="nil"/>
            </w:tcBorders>
            <w:vAlign w:val="center"/>
            <w:hideMark/>
          </w:tcPr>
          <w:p w14:paraId="617351C9"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nil"/>
              <w:right w:val="nil"/>
            </w:tcBorders>
            <w:shd w:val="clear" w:color="000000" w:fill="FFFFFF"/>
            <w:noWrap/>
            <w:vAlign w:val="center"/>
            <w:hideMark/>
          </w:tcPr>
          <w:p w14:paraId="201574C6"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2019</w:t>
            </w:r>
          </w:p>
        </w:tc>
        <w:tc>
          <w:tcPr>
            <w:tcW w:w="873" w:type="dxa"/>
            <w:tcBorders>
              <w:top w:val="nil"/>
              <w:left w:val="nil"/>
              <w:bottom w:val="nil"/>
              <w:right w:val="nil"/>
            </w:tcBorders>
            <w:shd w:val="clear" w:color="000000" w:fill="FFFFFF"/>
            <w:noWrap/>
            <w:vAlign w:val="center"/>
            <w:hideMark/>
          </w:tcPr>
          <w:p w14:paraId="722D80DB"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127</w:t>
            </w:r>
          </w:p>
        </w:tc>
        <w:tc>
          <w:tcPr>
            <w:tcW w:w="951" w:type="dxa"/>
            <w:tcBorders>
              <w:top w:val="nil"/>
              <w:left w:val="nil"/>
              <w:bottom w:val="nil"/>
              <w:right w:val="nil"/>
            </w:tcBorders>
            <w:shd w:val="clear" w:color="000000" w:fill="FFFFFF"/>
            <w:noWrap/>
            <w:vAlign w:val="center"/>
            <w:hideMark/>
          </w:tcPr>
          <w:p w14:paraId="56B542D9"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25.680.262</w:t>
            </w:r>
          </w:p>
        </w:tc>
        <w:tc>
          <w:tcPr>
            <w:tcW w:w="1219" w:type="dxa"/>
            <w:tcBorders>
              <w:top w:val="nil"/>
              <w:left w:val="nil"/>
              <w:bottom w:val="nil"/>
              <w:right w:val="nil"/>
            </w:tcBorders>
            <w:shd w:val="clear" w:color="000000" w:fill="FFFFFF"/>
            <w:noWrap/>
            <w:vAlign w:val="center"/>
            <w:hideMark/>
          </w:tcPr>
          <w:p w14:paraId="02D27140"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2.558.199</w:t>
            </w:r>
          </w:p>
        </w:tc>
        <w:tc>
          <w:tcPr>
            <w:tcW w:w="1782" w:type="dxa"/>
            <w:tcBorders>
              <w:top w:val="nil"/>
              <w:left w:val="nil"/>
              <w:bottom w:val="nil"/>
              <w:right w:val="nil"/>
            </w:tcBorders>
            <w:shd w:val="clear" w:color="000000" w:fill="FFFFFF"/>
            <w:noWrap/>
            <w:vAlign w:val="center"/>
            <w:hideMark/>
          </w:tcPr>
          <w:p w14:paraId="5E4F65BC"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7.977.473.221</w:t>
            </w:r>
          </w:p>
        </w:tc>
        <w:tc>
          <w:tcPr>
            <w:tcW w:w="1237" w:type="dxa"/>
            <w:tcBorders>
              <w:top w:val="nil"/>
              <w:left w:val="nil"/>
              <w:bottom w:val="nil"/>
              <w:right w:val="nil"/>
            </w:tcBorders>
            <w:shd w:val="clear" w:color="000000" w:fill="FFFFFF"/>
            <w:noWrap/>
            <w:vAlign w:val="center"/>
            <w:hideMark/>
          </w:tcPr>
          <w:p w14:paraId="26FED410"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3,22</w:t>
            </w:r>
          </w:p>
        </w:tc>
      </w:tr>
      <w:tr w:rsidR="00C17B35" w:rsidRPr="00C17B35" w14:paraId="1E5A3FFE" w14:textId="77777777" w:rsidTr="00C17B35">
        <w:trPr>
          <w:trHeight w:val="194"/>
        </w:trPr>
        <w:tc>
          <w:tcPr>
            <w:tcW w:w="2177" w:type="dxa"/>
            <w:vMerge/>
            <w:tcBorders>
              <w:top w:val="single" w:sz="4" w:space="0" w:color="5B9BD5"/>
              <w:left w:val="nil"/>
              <w:bottom w:val="single" w:sz="4" w:space="0" w:color="5B9BD5"/>
              <w:right w:val="nil"/>
            </w:tcBorders>
            <w:vAlign w:val="center"/>
            <w:hideMark/>
          </w:tcPr>
          <w:p w14:paraId="1CC25073"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single" w:sz="4" w:space="0" w:color="5B9BD5"/>
              <w:right w:val="nil"/>
            </w:tcBorders>
            <w:shd w:val="clear" w:color="000000" w:fill="FFFFFF"/>
            <w:noWrap/>
            <w:vAlign w:val="center"/>
            <w:hideMark/>
          </w:tcPr>
          <w:p w14:paraId="659511FC"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2020</w:t>
            </w:r>
          </w:p>
        </w:tc>
        <w:tc>
          <w:tcPr>
            <w:tcW w:w="873" w:type="dxa"/>
            <w:tcBorders>
              <w:top w:val="nil"/>
              <w:left w:val="nil"/>
              <w:bottom w:val="single" w:sz="4" w:space="0" w:color="5B9BD5"/>
              <w:right w:val="nil"/>
            </w:tcBorders>
            <w:shd w:val="clear" w:color="000000" w:fill="FFFFFF"/>
            <w:noWrap/>
            <w:vAlign w:val="center"/>
            <w:hideMark/>
          </w:tcPr>
          <w:p w14:paraId="22DFD1F5"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129</w:t>
            </w:r>
          </w:p>
        </w:tc>
        <w:tc>
          <w:tcPr>
            <w:tcW w:w="951" w:type="dxa"/>
            <w:tcBorders>
              <w:top w:val="nil"/>
              <w:left w:val="nil"/>
              <w:bottom w:val="single" w:sz="4" w:space="0" w:color="5B9BD5"/>
              <w:right w:val="nil"/>
            </w:tcBorders>
            <w:shd w:val="clear" w:color="000000" w:fill="FFFFFF"/>
            <w:noWrap/>
            <w:vAlign w:val="center"/>
            <w:hideMark/>
          </w:tcPr>
          <w:p w14:paraId="7F865C92"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26.426.886</w:t>
            </w:r>
          </w:p>
        </w:tc>
        <w:tc>
          <w:tcPr>
            <w:tcW w:w="1219" w:type="dxa"/>
            <w:tcBorders>
              <w:top w:val="nil"/>
              <w:left w:val="nil"/>
              <w:bottom w:val="single" w:sz="4" w:space="0" w:color="5B9BD5"/>
              <w:right w:val="nil"/>
            </w:tcBorders>
            <w:shd w:val="clear" w:color="000000" w:fill="FFFFFF"/>
            <w:noWrap/>
            <w:vAlign w:val="center"/>
            <w:hideMark/>
          </w:tcPr>
          <w:p w14:paraId="609A528F"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2.559.741</w:t>
            </w:r>
          </w:p>
        </w:tc>
        <w:tc>
          <w:tcPr>
            <w:tcW w:w="1782" w:type="dxa"/>
            <w:tcBorders>
              <w:top w:val="nil"/>
              <w:left w:val="nil"/>
              <w:bottom w:val="single" w:sz="4" w:space="0" w:color="5B9BD5"/>
              <w:right w:val="nil"/>
            </w:tcBorders>
            <w:shd w:val="clear" w:color="000000" w:fill="FFFFFF"/>
            <w:noWrap/>
            <w:vAlign w:val="center"/>
            <w:hideMark/>
          </w:tcPr>
          <w:p w14:paraId="1B5E2C2A"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8.254.499.381</w:t>
            </w:r>
          </w:p>
        </w:tc>
        <w:tc>
          <w:tcPr>
            <w:tcW w:w="1237" w:type="dxa"/>
            <w:tcBorders>
              <w:top w:val="nil"/>
              <w:left w:val="nil"/>
              <w:bottom w:val="single" w:sz="4" w:space="0" w:color="5B9BD5"/>
              <w:right w:val="nil"/>
            </w:tcBorders>
            <w:shd w:val="clear" w:color="000000" w:fill="FFFFFF"/>
            <w:noWrap/>
            <w:vAlign w:val="center"/>
            <w:hideMark/>
          </w:tcPr>
          <w:p w14:paraId="06D11689"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3,16</w:t>
            </w:r>
          </w:p>
        </w:tc>
      </w:tr>
      <w:tr w:rsidR="00C17B35" w:rsidRPr="00C17B35" w14:paraId="4AE76596" w14:textId="77777777" w:rsidTr="00C17B35">
        <w:trPr>
          <w:trHeight w:val="194"/>
        </w:trPr>
        <w:tc>
          <w:tcPr>
            <w:tcW w:w="2177" w:type="dxa"/>
            <w:vMerge w:val="restart"/>
            <w:tcBorders>
              <w:top w:val="nil"/>
              <w:left w:val="nil"/>
              <w:bottom w:val="single" w:sz="4" w:space="0" w:color="5B9BD5"/>
              <w:right w:val="nil"/>
            </w:tcBorders>
            <w:shd w:val="clear" w:color="000000" w:fill="FFFFFF"/>
            <w:vAlign w:val="center"/>
            <w:hideMark/>
          </w:tcPr>
          <w:p w14:paraId="0755ABEC" w14:textId="77777777" w:rsidR="00C17B35" w:rsidRPr="00C17B35" w:rsidRDefault="00C17B35" w:rsidP="00C17B35">
            <w:pPr>
              <w:spacing w:before="0" w:after="0" w:line="240" w:lineRule="auto"/>
              <w:rPr>
                <w:rFonts w:ascii="Calibri" w:eastAsia="Times New Roman" w:hAnsi="Calibri" w:cs="Calibri"/>
                <w:b/>
                <w:bCs/>
                <w:sz w:val="16"/>
                <w:szCs w:val="16"/>
                <w:lang w:val="en-US"/>
              </w:rPr>
            </w:pPr>
            <w:r w:rsidRPr="00C17B35">
              <w:rPr>
                <w:rFonts w:ascii="Calibri" w:eastAsia="Times New Roman" w:hAnsi="Calibri" w:cs="Calibri"/>
                <w:sz w:val="16"/>
                <w:szCs w:val="16"/>
                <w:lang w:val="en-US"/>
              </w:rPr>
              <w:t>Societăți cu răspundere limitată la care statul deține</w:t>
            </w:r>
            <w:r w:rsidRPr="00C17B35">
              <w:rPr>
                <w:rFonts w:ascii="Calibri" w:eastAsia="Times New Roman" w:hAnsi="Calibri" w:cs="Calibri"/>
                <w:b/>
                <w:bCs/>
                <w:sz w:val="16"/>
                <w:szCs w:val="16"/>
                <w:lang w:val="en-US"/>
              </w:rPr>
              <w:t xml:space="preserve"> părți sociale</w:t>
            </w:r>
          </w:p>
        </w:tc>
        <w:tc>
          <w:tcPr>
            <w:tcW w:w="873" w:type="dxa"/>
            <w:tcBorders>
              <w:top w:val="nil"/>
              <w:left w:val="nil"/>
              <w:bottom w:val="nil"/>
              <w:right w:val="nil"/>
            </w:tcBorders>
            <w:shd w:val="clear" w:color="000000" w:fill="FFFFFF"/>
            <w:noWrap/>
            <w:vAlign w:val="center"/>
            <w:hideMark/>
          </w:tcPr>
          <w:p w14:paraId="7CB13C7F"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2018</w:t>
            </w:r>
          </w:p>
        </w:tc>
        <w:tc>
          <w:tcPr>
            <w:tcW w:w="873" w:type="dxa"/>
            <w:tcBorders>
              <w:top w:val="nil"/>
              <w:left w:val="nil"/>
              <w:bottom w:val="nil"/>
              <w:right w:val="nil"/>
            </w:tcBorders>
            <w:shd w:val="clear" w:color="000000" w:fill="FFFFFF"/>
            <w:noWrap/>
            <w:vAlign w:val="center"/>
            <w:hideMark/>
          </w:tcPr>
          <w:p w14:paraId="366AC415"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11</w:t>
            </w:r>
          </w:p>
        </w:tc>
        <w:tc>
          <w:tcPr>
            <w:tcW w:w="951" w:type="dxa"/>
            <w:tcBorders>
              <w:top w:val="nil"/>
              <w:left w:val="nil"/>
              <w:bottom w:val="nil"/>
              <w:right w:val="nil"/>
            </w:tcBorders>
            <w:shd w:val="clear" w:color="000000" w:fill="FFFFFF"/>
            <w:noWrap/>
            <w:vAlign w:val="center"/>
            <w:hideMark/>
          </w:tcPr>
          <w:p w14:paraId="38F11B7E"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68.505</w:t>
            </w:r>
          </w:p>
        </w:tc>
        <w:tc>
          <w:tcPr>
            <w:tcW w:w="1219" w:type="dxa"/>
            <w:tcBorders>
              <w:top w:val="nil"/>
              <w:left w:val="nil"/>
              <w:bottom w:val="nil"/>
              <w:right w:val="nil"/>
            </w:tcBorders>
            <w:shd w:val="clear" w:color="000000" w:fill="FFFFFF"/>
            <w:noWrap/>
            <w:vAlign w:val="center"/>
            <w:hideMark/>
          </w:tcPr>
          <w:p w14:paraId="14B87DA7"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0</w:t>
            </w:r>
          </w:p>
        </w:tc>
        <w:tc>
          <w:tcPr>
            <w:tcW w:w="1782" w:type="dxa"/>
            <w:tcBorders>
              <w:top w:val="nil"/>
              <w:left w:val="nil"/>
              <w:bottom w:val="nil"/>
              <w:right w:val="nil"/>
            </w:tcBorders>
            <w:shd w:val="clear" w:color="000000" w:fill="FFFFFF"/>
            <w:noWrap/>
            <w:vAlign w:val="center"/>
            <w:hideMark/>
          </w:tcPr>
          <w:p w14:paraId="04B93116"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166.293</w:t>
            </w:r>
          </w:p>
        </w:tc>
        <w:tc>
          <w:tcPr>
            <w:tcW w:w="1237" w:type="dxa"/>
            <w:tcBorders>
              <w:top w:val="nil"/>
              <w:left w:val="nil"/>
              <w:bottom w:val="nil"/>
              <w:right w:val="nil"/>
            </w:tcBorders>
            <w:shd w:val="clear" w:color="000000" w:fill="FFFFFF"/>
            <w:noWrap/>
            <w:vAlign w:val="center"/>
            <w:hideMark/>
          </w:tcPr>
          <w:p w14:paraId="4F9CBC0F"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10,30</w:t>
            </w:r>
          </w:p>
        </w:tc>
      </w:tr>
      <w:tr w:rsidR="00C17B35" w:rsidRPr="00C17B35" w14:paraId="55357F28" w14:textId="77777777" w:rsidTr="00C17B35">
        <w:trPr>
          <w:trHeight w:val="194"/>
        </w:trPr>
        <w:tc>
          <w:tcPr>
            <w:tcW w:w="2177" w:type="dxa"/>
            <w:vMerge/>
            <w:tcBorders>
              <w:top w:val="nil"/>
              <w:left w:val="nil"/>
              <w:bottom w:val="single" w:sz="4" w:space="0" w:color="5B9BD5"/>
              <w:right w:val="nil"/>
            </w:tcBorders>
            <w:vAlign w:val="center"/>
            <w:hideMark/>
          </w:tcPr>
          <w:p w14:paraId="2A31190A"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nil"/>
              <w:right w:val="nil"/>
            </w:tcBorders>
            <w:shd w:val="clear" w:color="000000" w:fill="FFFFFF"/>
            <w:noWrap/>
            <w:vAlign w:val="center"/>
            <w:hideMark/>
          </w:tcPr>
          <w:p w14:paraId="389A5D8A"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2019</w:t>
            </w:r>
          </w:p>
        </w:tc>
        <w:tc>
          <w:tcPr>
            <w:tcW w:w="873" w:type="dxa"/>
            <w:tcBorders>
              <w:top w:val="nil"/>
              <w:left w:val="nil"/>
              <w:bottom w:val="nil"/>
              <w:right w:val="nil"/>
            </w:tcBorders>
            <w:shd w:val="clear" w:color="000000" w:fill="FFFFFF"/>
            <w:noWrap/>
            <w:vAlign w:val="center"/>
            <w:hideMark/>
          </w:tcPr>
          <w:p w14:paraId="150346DC"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10</w:t>
            </w:r>
          </w:p>
        </w:tc>
        <w:tc>
          <w:tcPr>
            <w:tcW w:w="951" w:type="dxa"/>
            <w:tcBorders>
              <w:top w:val="nil"/>
              <w:left w:val="nil"/>
              <w:bottom w:val="nil"/>
              <w:right w:val="nil"/>
            </w:tcBorders>
            <w:shd w:val="clear" w:color="000000" w:fill="FFFFFF"/>
            <w:noWrap/>
            <w:vAlign w:val="center"/>
            <w:hideMark/>
          </w:tcPr>
          <w:p w14:paraId="39C22397"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68.503</w:t>
            </w:r>
          </w:p>
        </w:tc>
        <w:tc>
          <w:tcPr>
            <w:tcW w:w="1219" w:type="dxa"/>
            <w:tcBorders>
              <w:top w:val="nil"/>
              <w:left w:val="nil"/>
              <w:bottom w:val="nil"/>
              <w:right w:val="nil"/>
            </w:tcBorders>
            <w:shd w:val="clear" w:color="000000" w:fill="FFFFFF"/>
            <w:noWrap/>
            <w:vAlign w:val="center"/>
            <w:hideMark/>
          </w:tcPr>
          <w:p w14:paraId="67DC1E23"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0</w:t>
            </w:r>
          </w:p>
        </w:tc>
        <w:tc>
          <w:tcPr>
            <w:tcW w:w="1782" w:type="dxa"/>
            <w:tcBorders>
              <w:top w:val="nil"/>
              <w:left w:val="nil"/>
              <w:bottom w:val="nil"/>
              <w:right w:val="nil"/>
            </w:tcBorders>
            <w:shd w:val="clear" w:color="000000" w:fill="FFFFFF"/>
            <w:noWrap/>
            <w:vAlign w:val="center"/>
            <w:hideMark/>
          </w:tcPr>
          <w:p w14:paraId="027D0D18"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6.651.890</w:t>
            </w:r>
          </w:p>
        </w:tc>
        <w:tc>
          <w:tcPr>
            <w:tcW w:w="1237" w:type="dxa"/>
            <w:tcBorders>
              <w:top w:val="nil"/>
              <w:left w:val="nil"/>
              <w:bottom w:val="nil"/>
              <w:right w:val="nil"/>
            </w:tcBorders>
            <w:shd w:val="clear" w:color="000000" w:fill="FFFFFF"/>
            <w:noWrap/>
            <w:vAlign w:val="center"/>
            <w:hideMark/>
          </w:tcPr>
          <w:p w14:paraId="126C062C"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10,33</w:t>
            </w:r>
          </w:p>
        </w:tc>
      </w:tr>
      <w:tr w:rsidR="00C17B35" w:rsidRPr="00C17B35" w14:paraId="5F2FD682" w14:textId="77777777" w:rsidTr="00C17B35">
        <w:trPr>
          <w:trHeight w:val="194"/>
        </w:trPr>
        <w:tc>
          <w:tcPr>
            <w:tcW w:w="2177" w:type="dxa"/>
            <w:vMerge/>
            <w:tcBorders>
              <w:top w:val="nil"/>
              <w:left w:val="nil"/>
              <w:bottom w:val="single" w:sz="4" w:space="0" w:color="5B9BD5"/>
              <w:right w:val="nil"/>
            </w:tcBorders>
            <w:vAlign w:val="center"/>
            <w:hideMark/>
          </w:tcPr>
          <w:p w14:paraId="005C02B8"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single" w:sz="4" w:space="0" w:color="5B9BD5"/>
              <w:right w:val="nil"/>
            </w:tcBorders>
            <w:shd w:val="clear" w:color="000000" w:fill="FFFFFF"/>
            <w:noWrap/>
            <w:vAlign w:val="center"/>
            <w:hideMark/>
          </w:tcPr>
          <w:p w14:paraId="64E0F082"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2020</w:t>
            </w:r>
          </w:p>
        </w:tc>
        <w:tc>
          <w:tcPr>
            <w:tcW w:w="873" w:type="dxa"/>
            <w:tcBorders>
              <w:top w:val="nil"/>
              <w:left w:val="nil"/>
              <w:bottom w:val="single" w:sz="4" w:space="0" w:color="5B9BD5"/>
              <w:right w:val="nil"/>
            </w:tcBorders>
            <w:shd w:val="clear" w:color="000000" w:fill="FFFFFF"/>
            <w:noWrap/>
            <w:vAlign w:val="center"/>
            <w:hideMark/>
          </w:tcPr>
          <w:p w14:paraId="247796C1"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11</w:t>
            </w:r>
          </w:p>
        </w:tc>
        <w:tc>
          <w:tcPr>
            <w:tcW w:w="951" w:type="dxa"/>
            <w:tcBorders>
              <w:top w:val="nil"/>
              <w:left w:val="nil"/>
              <w:bottom w:val="single" w:sz="4" w:space="0" w:color="5B9BD5"/>
              <w:right w:val="nil"/>
            </w:tcBorders>
            <w:shd w:val="clear" w:color="000000" w:fill="FFFFFF"/>
            <w:noWrap/>
            <w:vAlign w:val="center"/>
            <w:hideMark/>
          </w:tcPr>
          <w:p w14:paraId="1ADF1EB7"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74.222</w:t>
            </w:r>
          </w:p>
        </w:tc>
        <w:tc>
          <w:tcPr>
            <w:tcW w:w="1219" w:type="dxa"/>
            <w:tcBorders>
              <w:top w:val="nil"/>
              <w:left w:val="nil"/>
              <w:bottom w:val="single" w:sz="4" w:space="0" w:color="5B9BD5"/>
              <w:right w:val="nil"/>
            </w:tcBorders>
            <w:shd w:val="clear" w:color="000000" w:fill="FFFFFF"/>
            <w:noWrap/>
            <w:vAlign w:val="center"/>
            <w:hideMark/>
          </w:tcPr>
          <w:p w14:paraId="7CAA1996"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4.973</w:t>
            </w:r>
          </w:p>
        </w:tc>
        <w:tc>
          <w:tcPr>
            <w:tcW w:w="1782" w:type="dxa"/>
            <w:tcBorders>
              <w:top w:val="nil"/>
              <w:left w:val="nil"/>
              <w:bottom w:val="single" w:sz="4" w:space="0" w:color="5B9BD5"/>
              <w:right w:val="nil"/>
            </w:tcBorders>
            <w:shd w:val="clear" w:color="000000" w:fill="FFFFFF"/>
            <w:noWrap/>
            <w:vAlign w:val="center"/>
            <w:hideMark/>
          </w:tcPr>
          <w:p w14:paraId="24A477CB"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6.651.875</w:t>
            </w:r>
          </w:p>
        </w:tc>
        <w:tc>
          <w:tcPr>
            <w:tcW w:w="1237" w:type="dxa"/>
            <w:tcBorders>
              <w:top w:val="nil"/>
              <w:left w:val="nil"/>
              <w:bottom w:val="single" w:sz="4" w:space="0" w:color="5B9BD5"/>
              <w:right w:val="nil"/>
            </w:tcBorders>
            <w:shd w:val="clear" w:color="000000" w:fill="FFFFFF"/>
            <w:noWrap/>
            <w:vAlign w:val="center"/>
            <w:hideMark/>
          </w:tcPr>
          <w:p w14:paraId="54947A97"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11,15</w:t>
            </w:r>
          </w:p>
        </w:tc>
      </w:tr>
      <w:tr w:rsidR="00C17B35" w:rsidRPr="00C17B35" w14:paraId="55DFFF20" w14:textId="77777777" w:rsidTr="00C17B35">
        <w:trPr>
          <w:trHeight w:val="194"/>
        </w:trPr>
        <w:tc>
          <w:tcPr>
            <w:tcW w:w="2177" w:type="dxa"/>
            <w:vMerge w:val="restart"/>
            <w:tcBorders>
              <w:top w:val="nil"/>
              <w:left w:val="nil"/>
              <w:bottom w:val="single" w:sz="4" w:space="0" w:color="5B9BD5"/>
              <w:right w:val="nil"/>
            </w:tcBorders>
            <w:shd w:val="clear" w:color="000000" w:fill="FFFFFF"/>
            <w:vAlign w:val="center"/>
            <w:hideMark/>
          </w:tcPr>
          <w:p w14:paraId="49452965" w14:textId="77777777" w:rsidR="00C17B35" w:rsidRPr="00C17B35" w:rsidRDefault="00C17B35" w:rsidP="00C17B35">
            <w:pPr>
              <w:spacing w:before="0" w:after="0" w:line="240" w:lineRule="auto"/>
              <w:rPr>
                <w:rFonts w:ascii="Calibri" w:eastAsia="Times New Roman" w:hAnsi="Calibri" w:cs="Calibri"/>
                <w:b/>
                <w:bCs/>
                <w:sz w:val="16"/>
                <w:szCs w:val="16"/>
                <w:lang w:val="en-US"/>
              </w:rPr>
            </w:pPr>
            <w:r w:rsidRPr="00C17B35">
              <w:rPr>
                <w:rFonts w:ascii="Calibri" w:eastAsia="Times New Roman" w:hAnsi="Calibri" w:cs="Calibri"/>
                <w:sz w:val="16"/>
                <w:szCs w:val="16"/>
                <w:lang w:val="en-US"/>
              </w:rPr>
              <w:t>Regii autonome la care statul deține</w:t>
            </w:r>
            <w:r w:rsidRPr="00C17B35">
              <w:rPr>
                <w:rFonts w:ascii="Calibri" w:eastAsia="Times New Roman" w:hAnsi="Calibri" w:cs="Calibri"/>
                <w:b/>
                <w:bCs/>
                <w:sz w:val="16"/>
                <w:szCs w:val="16"/>
                <w:lang w:val="en-US"/>
              </w:rPr>
              <w:t xml:space="preserve"> patrimoniu</w:t>
            </w:r>
          </w:p>
        </w:tc>
        <w:tc>
          <w:tcPr>
            <w:tcW w:w="873" w:type="dxa"/>
            <w:tcBorders>
              <w:top w:val="nil"/>
              <w:left w:val="nil"/>
              <w:bottom w:val="nil"/>
              <w:right w:val="nil"/>
            </w:tcBorders>
            <w:shd w:val="clear" w:color="000000" w:fill="FFFFFF"/>
            <w:noWrap/>
            <w:vAlign w:val="center"/>
            <w:hideMark/>
          </w:tcPr>
          <w:p w14:paraId="7D51DE4E"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2018</w:t>
            </w:r>
          </w:p>
        </w:tc>
        <w:tc>
          <w:tcPr>
            <w:tcW w:w="873" w:type="dxa"/>
            <w:tcBorders>
              <w:top w:val="nil"/>
              <w:left w:val="nil"/>
              <w:bottom w:val="nil"/>
              <w:right w:val="nil"/>
            </w:tcBorders>
            <w:shd w:val="clear" w:color="000000" w:fill="FFFFFF"/>
            <w:noWrap/>
            <w:vAlign w:val="center"/>
            <w:hideMark/>
          </w:tcPr>
          <w:p w14:paraId="48CA55A4"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86</w:t>
            </w:r>
          </w:p>
        </w:tc>
        <w:tc>
          <w:tcPr>
            <w:tcW w:w="951" w:type="dxa"/>
            <w:tcBorders>
              <w:top w:val="nil"/>
              <w:left w:val="nil"/>
              <w:bottom w:val="nil"/>
              <w:right w:val="nil"/>
            </w:tcBorders>
            <w:shd w:val="clear" w:color="000000" w:fill="FFFFFF"/>
            <w:noWrap/>
            <w:vAlign w:val="center"/>
            <w:hideMark/>
          </w:tcPr>
          <w:p w14:paraId="15443F6F"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680.579</w:t>
            </w:r>
          </w:p>
        </w:tc>
        <w:tc>
          <w:tcPr>
            <w:tcW w:w="1219" w:type="dxa"/>
            <w:tcBorders>
              <w:top w:val="nil"/>
              <w:left w:val="nil"/>
              <w:bottom w:val="nil"/>
              <w:right w:val="nil"/>
            </w:tcBorders>
            <w:shd w:val="clear" w:color="000000" w:fill="FFFFFF"/>
            <w:noWrap/>
            <w:vAlign w:val="center"/>
            <w:hideMark/>
          </w:tcPr>
          <w:p w14:paraId="76424A68"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0</w:t>
            </w:r>
          </w:p>
        </w:tc>
        <w:tc>
          <w:tcPr>
            <w:tcW w:w="1782" w:type="dxa"/>
            <w:tcBorders>
              <w:top w:val="nil"/>
              <w:left w:val="nil"/>
              <w:bottom w:val="nil"/>
              <w:right w:val="nil"/>
            </w:tcBorders>
            <w:shd w:val="clear" w:color="000000" w:fill="FFFFFF"/>
            <w:noWrap/>
            <w:vAlign w:val="center"/>
            <w:hideMark/>
          </w:tcPr>
          <w:p w14:paraId="682D63C0"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N/A</w:t>
            </w:r>
          </w:p>
        </w:tc>
        <w:tc>
          <w:tcPr>
            <w:tcW w:w="1237" w:type="dxa"/>
            <w:tcBorders>
              <w:top w:val="nil"/>
              <w:left w:val="nil"/>
              <w:bottom w:val="nil"/>
              <w:right w:val="nil"/>
            </w:tcBorders>
            <w:shd w:val="clear" w:color="000000" w:fill="FFFFFF"/>
            <w:noWrap/>
            <w:vAlign w:val="center"/>
            <w:hideMark/>
          </w:tcPr>
          <w:p w14:paraId="3058B337"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N/A</w:t>
            </w:r>
          </w:p>
        </w:tc>
      </w:tr>
      <w:tr w:rsidR="00C17B35" w:rsidRPr="00C17B35" w14:paraId="6D81A203" w14:textId="77777777" w:rsidTr="00C17B35">
        <w:trPr>
          <w:trHeight w:val="194"/>
        </w:trPr>
        <w:tc>
          <w:tcPr>
            <w:tcW w:w="2177" w:type="dxa"/>
            <w:vMerge/>
            <w:tcBorders>
              <w:top w:val="nil"/>
              <w:left w:val="nil"/>
              <w:bottom w:val="single" w:sz="4" w:space="0" w:color="5B9BD5"/>
              <w:right w:val="nil"/>
            </w:tcBorders>
            <w:vAlign w:val="center"/>
            <w:hideMark/>
          </w:tcPr>
          <w:p w14:paraId="0D4B46AB"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nil"/>
              <w:right w:val="nil"/>
            </w:tcBorders>
            <w:shd w:val="clear" w:color="000000" w:fill="FFFFFF"/>
            <w:noWrap/>
            <w:vAlign w:val="center"/>
            <w:hideMark/>
          </w:tcPr>
          <w:p w14:paraId="1BE2D202"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2019</w:t>
            </w:r>
          </w:p>
        </w:tc>
        <w:tc>
          <w:tcPr>
            <w:tcW w:w="873" w:type="dxa"/>
            <w:tcBorders>
              <w:top w:val="nil"/>
              <w:left w:val="nil"/>
              <w:bottom w:val="nil"/>
              <w:right w:val="nil"/>
            </w:tcBorders>
            <w:shd w:val="clear" w:color="000000" w:fill="FFFFFF"/>
            <w:noWrap/>
            <w:vAlign w:val="center"/>
            <w:hideMark/>
          </w:tcPr>
          <w:p w14:paraId="679F5FEE"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86</w:t>
            </w:r>
          </w:p>
        </w:tc>
        <w:tc>
          <w:tcPr>
            <w:tcW w:w="951" w:type="dxa"/>
            <w:tcBorders>
              <w:top w:val="nil"/>
              <w:left w:val="nil"/>
              <w:bottom w:val="nil"/>
              <w:right w:val="nil"/>
            </w:tcBorders>
            <w:shd w:val="clear" w:color="000000" w:fill="FFFFFF"/>
            <w:noWrap/>
            <w:vAlign w:val="center"/>
            <w:hideMark/>
          </w:tcPr>
          <w:p w14:paraId="6830190E"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680.579</w:t>
            </w:r>
          </w:p>
        </w:tc>
        <w:tc>
          <w:tcPr>
            <w:tcW w:w="1219" w:type="dxa"/>
            <w:tcBorders>
              <w:top w:val="nil"/>
              <w:left w:val="nil"/>
              <w:bottom w:val="nil"/>
              <w:right w:val="nil"/>
            </w:tcBorders>
            <w:shd w:val="clear" w:color="000000" w:fill="FFFFFF"/>
            <w:noWrap/>
            <w:vAlign w:val="center"/>
            <w:hideMark/>
          </w:tcPr>
          <w:p w14:paraId="183E27FF"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0</w:t>
            </w:r>
          </w:p>
        </w:tc>
        <w:tc>
          <w:tcPr>
            <w:tcW w:w="1782" w:type="dxa"/>
            <w:tcBorders>
              <w:top w:val="nil"/>
              <w:left w:val="nil"/>
              <w:bottom w:val="nil"/>
              <w:right w:val="nil"/>
            </w:tcBorders>
            <w:shd w:val="clear" w:color="000000" w:fill="FFFFFF"/>
            <w:noWrap/>
            <w:vAlign w:val="center"/>
            <w:hideMark/>
          </w:tcPr>
          <w:p w14:paraId="2391296C"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N/A</w:t>
            </w:r>
          </w:p>
        </w:tc>
        <w:tc>
          <w:tcPr>
            <w:tcW w:w="1237" w:type="dxa"/>
            <w:tcBorders>
              <w:top w:val="nil"/>
              <w:left w:val="nil"/>
              <w:bottom w:val="nil"/>
              <w:right w:val="nil"/>
            </w:tcBorders>
            <w:shd w:val="clear" w:color="000000" w:fill="FFFFFF"/>
            <w:noWrap/>
            <w:vAlign w:val="center"/>
            <w:hideMark/>
          </w:tcPr>
          <w:p w14:paraId="12EEC82A"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N/A</w:t>
            </w:r>
          </w:p>
        </w:tc>
      </w:tr>
      <w:tr w:rsidR="00C17B35" w:rsidRPr="00C17B35" w14:paraId="76192249" w14:textId="77777777" w:rsidTr="00C17B35">
        <w:trPr>
          <w:trHeight w:val="194"/>
        </w:trPr>
        <w:tc>
          <w:tcPr>
            <w:tcW w:w="2177" w:type="dxa"/>
            <w:vMerge/>
            <w:tcBorders>
              <w:top w:val="nil"/>
              <w:left w:val="nil"/>
              <w:bottom w:val="single" w:sz="4" w:space="0" w:color="5B9BD5"/>
              <w:right w:val="nil"/>
            </w:tcBorders>
            <w:vAlign w:val="center"/>
            <w:hideMark/>
          </w:tcPr>
          <w:p w14:paraId="2131341E"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single" w:sz="4" w:space="0" w:color="5B9BD5"/>
              <w:right w:val="nil"/>
            </w:tcBorders>
            <w:shd w:val="clear" w:color="000000" w:fill="FFFFFF"/>
            <w:noWrap/>
            <w:vAlign w:val="center"/>
            <w:hideMark/>
          </w:tcPr>
          <w:p w14:paraId="77A93371"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2020</w:t>
            </w:r>
          </w:p>
        </w:tc>
        <w:tc>
          <w:tcPr>
            <w:tcW w:w="873" w:type="dxa"/>
            <w:tcBorders>
              <w:top w:val="nil"/>
              <w:left w:val="nil"/>
              <w:bottom w:val="single" w:sz="4" w:space="0" w:color="5B9BD5"/>
              <w:right w:val="nil"/>
            </w:tcBorders>
            <w:shd w:val="clear" w:color="000000" w:fill="FFFFFF"/>
            <w:noWrap/>
            <w:vAlign w:val="center"/>
            <w:hideMark/>
          </w:tcPr>
          <w:p w14:paraId="3127805F"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86</w:t>
            </w:r>
          </w:p>
        </w:tc>
        <w:tc>
          <w:tcPr>
            <w:tcW w:w="951" w:type="dxa"/>
            <w:tcBorders>
              <w:top w:val="nil"/>
              <w:left w:val="nil"/>
              <w:bottom w:val="single" w:sz="4" w:space="0" w:color="5B9BD5"/>
              <w:right w:val="nil"/>
            </w:tcBorders>
            <w:shd w:val="clear" w:color="000000" w:fill="FFFFFF"/>
            <w:noWrap/>
            <w:vAlign w:val="center"/>
            <w:hideMark/>
          </w:tcPr>
          <w:p w14:paraId="53747BFA"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1.081.288</w:t>
            </w:r>
          </w:p>
        </w:tc>
        <w:tc>
          <w:tcPr>
            <w:tcW w:w="1219" w:type="dxa"/>
            <w:tcBorders>
              <w:top w:val="nil"/>
              <w:left w:val="nil"/>
              <w:bottom w:val="single" w:sz="4" w:space="0" w:color="5B9BD5"/>
              <w:right w:val="nil"/>
            </w:tcBorders>
            <w:shd w:val="clear" w:color="000000" w:fill="FFFFFF"/>
            <w:noWrap/>
            <w:vAlign w:val="center"/>
            <w:hideMark/>
          </w:tcPr>
          <w:p w14:paraId="36C4F9E4"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0</w:t>
            </w:r>
          </w:p>
        </w:tc>
        <w:tc>
          <w:tcPr>
            <w:tcW w:w="1782" w:type="dxa"/>
            <w:tcBorders>
              <w:top w:val="nil"/>
              <w:left w:val="nil"/>
              <w:bottom w:val="single" w:sz="4" w:space="0" w:color="5B9BD5"/>
              <w:right w:val="nil"/>
            </w:tcBorders>
            <w:shd w:val="clear" w:color="000000" w:fill="FFFFFF"/>
            <w:noWrap/>
            <w:vAlign w:val="center"/>
            <w:hideMark/>
          </w:tcPr>
          <w:p w14:paraId="3DB37206"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N/A</w:t>
            </w:r>
          </w:p>
        </w:tc>
        <w:tc>
          <w:tcPr>
            <w:tcW w:w="1237" w:type="dxa"/>
            <w:tcBorders>
              <w:top w:val="nil"/>
              <w:left w:val="nil"/>
              <w:bottom w:val="single" w:sz="4" w:space="0" w:color="5B9BD5"/>
              <w:right w:val="nil"/>
            </w:tcBorders>
            <w:shd w:val="clear" w:color="000000" w:fill="FFFFFF"/>
            <w:noWrap/>
            <w:vAlign w:val="center"/>
            <w:hideMark/>
          </w:tcPr>
          <w:p w14:paraId="282A33FC"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N/A</w:t>
            </w:r>
          </w:p>
        </w:tc>
      </w:tr>
      <w:tr w:rsidR="00C17B35" w:rsidRPr="00C17B35" w14:paraId="59F98CA8" w14:textId="77777777" w:rsidTr="00C17B35">
        <w:trPr>
          <w:trHeight w:val="194"/>
        </w:trPr>
        <w:tc>
          <w:tcPr>
            <w:tcW w:w="2177" w:type="dxa"/>
            <w:vMerge w:val="restart"/>
            <w:tcBorders>
              <w:top w:val="nil"/>
              <w:left w:val="nil"/>
              <w:bottom w:val="single" w:sz="4" w:space="0" w:color="5B9BD5"/>
              <w:right w:val="nil"/>
            </w:tcBorders>
            <w:shd w:val="clear" w:color="000000" w:fill="FFFFFF"/>
            <w:vAlign w:val="center"/>
            <w:hideMark/>
          </w:tcPr>
          <w:p w14:paraId="3D453F42" w14:textId="77777777" w:rsidR="00C17B35" w:rsidRPr="00C17B35" w:rsidRDefault="00C17B35" w:rsidP="00C17B35">
            <w:pPr>
              <w:spacing w:before="0" w:after="0" w:line="240" w:lineRule="auto"/>
              <w:rPr>
                <w:rFonts w:ascii="Calibri" w:eastAsia="Times New Roman" w:hAnsi="Calibri" w:cs="Calibri"/>
                <w:bCs/>
                <w:sz w:val="16"/>
                <w:szCs w:val="16"/>
                <w:lang w:val="en-US"/>
              </w:rPr>
            </w:pPr>
            <w:r w:rsidRPr="00C17B35">
              <w:rPr>
                <w:rFonts w:ascii="Calibri" w:eastAsia="Times New Roman" w:hAnsi="Calibri" w:cs="Calibri"/>
                <w:bCs/>
                <w:sz w:val="16"/>
                <w:szCs w:val="16"/>
                <w:lang w:val="en-US"/>
              </w:rPr>
              <w:t>TOTAL GENERAL PE ANI</w:t>
            </w:r>
          </w:p>
        </w:tc>
        <w:tc>
          <w:tcPr>
            <w:tcW w:w="873" w:type="dxa"/>
            <w:tcBorders>
              <w:top w:val="nil"/>
              <w:left w:val="nil"/>
              <w:bottom w:val="nil"/>
              <w:right w:val="nil"/>
            </w:tcBorders>
            <w:shd w:val="clear" w:color="000000" w:fill="FFFFFF"/>
            <w:noWrap/>
            <w:vAlign w:val="center"/>
            <w:hideMark/>
          </w:tcPr>
          <w:p w14:paraId="2498A0D1"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2018</w:t>
            </w:r>
          </w:p>
        </w:tc>
        <w:tc>
          <w:tcPr>
            <w:tcW w:w="873" w:type="dxa"/>
            <w:tcBorders>
              <w:top w:val="nil"/>
              <w:left w:val="nil"/>
              <w:bottom w:val="nil"/>
              <w:right w:val="nil"/>
            </w:tcBorders>
            <w:shd w:val="clear" w:color="000000" w:fill="FFFFFF"/>
            <w:noWrap/>
            <w:vAlign w:val="center"/>
            <w:hideMark/>
          </w:tcPr>
          <w:p w14:paraId="0E5E439A"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225</w:t>
            </w:r>
          </w:p>
        </w:tc>
        <w:tc>
          <w:tcPr>
            <w:tcW w:w="951" w:type="dxa"/>
            <w:tcBorders>
              <w:top w:val="nil"/>
              <w:left w:val="nil"/>
              <w:bottom w:val="nil"/>
              <w:right w:val="nil"/>
            </w:tcBorders>
            <w:shd w:val="clear" w:color="000000" w:fill="FFFFFF"/>
            <w:noWrap/>
            <w:vAlign w:val="center"/>
            <w:hideMark/>
          </w:tcPr>
          <w:p w14:paraId="51541DF9"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26.283.200</w:t>
            </w:r>
          </w:p>
        </w:tc>
        <w:tc>
          <w:tcPr>
            <w:tcW w:w="1219" w:type="dxa"/>
            <w:tcBorders>
              <w:top w:val="nil"/>
              <w:left w:val="nil"/>
              <w:bottom w:val="nil"/>
              <w:right w:val="nil"/>
            </w:tcBorders>
            <w:shd w:val="clear" w:color="000000" w:fill="FFFFFF"/>
            <w:noWrap/>
            <w:vAlign w:val="center"/>
            <w:hideMark/>
          </w:tcPr>
          <w:p w14:paraId="230EA7AF"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2.517.601</w:t>
            </w:r>
          </w:p>
        </w:tc>
        <w:tc>
          <w:tcPr>
            <w:tcW w:w="1782" w:type="dxa"/>
            <w:tcBorders>
              <w:top w:val="nil"/>
              <w:left w:val="nil"/>
              <w:bottom w:val="nil"/>
              <w:right w:val="nil"/>
            </w:tcBorders>
            <w:shd w:val="clear" w:color="000000" w:fill="FFFFFF"/>
            <w:noWrap/>
            <w:vAlign w:val="center"/>
            <w:hideMark/>
          </w:tcPr>
          <w:p w14:paraId="0443B055"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7.660.664.389</w:t>
            </w:r>
          </w:p>
        </w:tc>
        <w:tc>
          <w:tcPr>
            <w:tcW w:w="1237" w:type="dxa"/>
            <w:tcBorders>
              <w:top w:val="nil"/>
              <w:left w:val="nil"/>
              <w:bottom w:val="nil"/>
              <w:right w:val="nil"/>
            </w:tcBorders>
            <w:shd w:val="clear" w:color="000000" w:fill="FFFFFF"/>
            <w:noWrap/>
            <w:vAlign w:val="center"/>
            <w:hideMark/>
          </w:tcPr>
          <w:p w14:paraId="33D0527E"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3,21</w:t>
            </w:r>
          </w:p>
        </w:tc>
      </w:tr>
      <w:tr w:rsidR="00C17B35" w:rsidRPr="00C17B35" w14:paraId="02A753E7" w14:textId="77777777" w:rsidTr="00C17B35">
        <w:trPr>
          <w:trHeight w:val="194"/>
        </w:trPr>
        <w:tc>
          <w:tcPr>
            <w:tcW w:w="2177" w:type="dxa"/>
            <w:vMerge/>
            <w:tcBorders>
              <w:top w:val="nil"/>
              <w:left w:val="nil"/>
              <w:bottom w:val="single" w:sz="4" w:space="0" w:color="5B9BD5"/>
              <w:right w:val="nil"/>
            </w:tcBorders>
            <w:vAlign w:val="center"/>
            <w:hideMark/>
          </w:tcPr>
          <w:p w14:paraId="5595DD8D"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nil"/>
              <w:right w:val="nil"/>
            </w:tcBorders>
            <w:shd w:val="clear" w:color="000000" w:fill="FFFFFF"/>
            <w:noWrap/>
            <w:vAlign w:val="center"/>
            <w:hideMark/>
          </w:tcPr>
          <w:p w14:paraId="71613FDD"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2019</w:t>
            </w:r>
          </w:p>
        </w:tc>
        <w:tc>
          <w:tcPr>
            <w:tcW w:w="873" w:type="dxa"/>
            <w:tcBorders>
              <w:top w:val="nil"/>
              <w:left w:val="nil"/>
              <w:bottom w:val="nil"/>
              <w:right w:val="nil"/>
            </w:tcBorders>
            <w:shd w:val="clear" w:color="000000" w:fill="FFFFFF"/>
            <w:noWrap/>
            <w:vAlign w:val="center"/>
            <w:hideMark/>
          </w:tcPr>
          <w:p w14:paraId="3ADBF2BA"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223</w:t>
            </w:r>
          </w:p>
        </w:tc>
        <w:tc>
          <w:tcPr>
            <w:tcW w:w="951" w:type="dxa"/>
            <w:tcBorders>
              <w:top w:val="nil"/>
              <w:left w:val="nil"/>
              <w:bottom w:val="nil"/>
              <w:right w:val="nil"/>
            </w:tcBorders>
            <w:shd w:val="clear" w:color="000000" w:fill="FFFFFF"/>
            <w:noWrap/>
            <w:vAlign w:val="center"/>
            <w:hideMark/>
          </w:tcPr>
          <w:p w14:paraId="22FBA3B6"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26.429.344</w:t>
            </w:r>
          </w:p>
        </w:tc>
        <w:tc>
          <w:tcPr>
            <w:tcW w:w="1219" w:type="dxa"/>
            <w:tcBorders>
              <w:top w:val="nil"/>
              <w:left w:val="nil"/>
              <w:bottom w:val="nil"/>
              <w:right w:val="nil"/>
            </w:tcBorders>
            <w:shd w:val="clear" w:color="000000" w:fill="FFFFFF"/>
            <w:noWrap/>
            <w:vAlign w:val="center"/>
            <w:hideMark/>
          </w:tcPr>
          <w:p w14:paraId="2AC4444D"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2.558.199</w:t>
            </w:r>
          </w:p>
        </w:tc>
        <w:tc>
          <w:tcPr>
            <w:tcW w:w="1782" w:type="dxa"/>
            <w:tcBorders>
              <w:top w:val="nil"/>
              <w:left w:val="nil"/>
              <w:bottom w:val="nil"/>
              <w:right w:val="nil"/>
            </w:tcBorders>
            <w:shd w:val="clear" w:color="000000" w:fill="FFFFFF"/>
            <w:noWrap/>
            <w:vAlign w:val="center"/>
            <w:hideMark/>
          </w:tcPr>
          <w:p w14:paraId="467D06E1"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7.984.125.113</w:t>
            </w:r>
          </w:p>
        </w:tc>
        <w:tc>
          <w:tcPr>
            <w:tcW w:w="1237" w:type="dxa"/>
            <w:tcBorders>
              <w:top w:val="nil"/>
              <w:left w:val="nil"/>
              <w:bottom w:val="nil"/>
              <w:right w:val="nil"/>
            </w:tcBorders>
            <w:shd w:val="clear" w:color="000000" w:fill="FFFFFF"/>
            <w:noWrap/>
            <w:vAlign w:val="center"/>
            <w:hideMark/>
          </w:tcPr>
          <w:p w14:paraId="457DB576" w14:textId="77777777" w:rsidR="00C17B35" w:rsidRPr="00C17B35" w:rsidRDefault="00C17B35" w:rsidP="00C17B35">
            <w:pPr>
              <w:spacing w:before="0" w:after="0" w:line="240" w:lineRule="auto"/>
              <w:jc w:val="right"/>
              <w:rPr>
                <w:rFonts w:ascii="Calibri" w:eastAsia="Times New Roman" w:hAnsi="Calibri" w:cs="Calibri"/>
                <w:sz w:val="16"/>
                <w:szCs w:val="16"/>
                <w:lang w:val="en-US"/>
              </w:rPr>
            </w:pPr>
            <w:r w:rsidRPr="00C17B35">
              <w:rPr>
                <w:rFonts w:ascii="Calibri" w:eastAsia="Times New Roman" w:hAnsi="Calibri" w:cs="Calibri"/>
                <w:sz w:val="16"/>
                <w:szCs w:val="16"/>
                <w:lang w:val="en-US"/>
              </w:rPr>
              <w:t>3,23</w:t>
            </w:r>
          </w:p>
        </w:tc>
      </w:tr>
      <w:tr w:rsidR="00C17B35" w:rsidRPr="00C17B35" w14:paraId="0E5A280B" w14:textId="77777777" w:rsidTr="00C17B35">
        <w:trPr>
          <w:trHeight w:val="194"/>
        </w:trPr>
        <w:tc>
          <w:tcPr>
            <w:tcW w:w="2177" w:type="dxa"/>
            <w:vMerge/>
            <w:tcBorders>
              <w:top w:val="nil"/>
              <w:left w:val="nil"/>
              <w:bottom w:val="single" w:sz="4" w:space="0" w:color="5B9BD5"/>
              <w:right w:val="nil"/>
            </w:tcBorders>
            <w:vAlign w:val="center"/>
            <w:hideMark/>
          </w:tcPr>
          <w:p w14:paraId="684A64D6" w14:textId="77777777" w:rsidR="00C17B35" w:rsidRPr="00C17B35" w:rsidRDefault="00C17B35" w:rsidP="00C17B35">
            <w:pPr>
              <w:spacing w:before="0" w:after="0" w:line="240" w:lineRule="auto"/>
              <w:rPr>
                <w:rFonts w:ascii="Calibri" w:eastAsia="Times New Roman" w:hAnsi="Calibri" w:cs="Calibri"/>
                <w:b/>
                <w:bCs/>
                <w:sz w:val="16"/>
                <w:szCs w:val="16"/>
                <w:lang w:val="en-US"/>
              </w:rPr>
            </w:pPr>
          </w:p>
        </w:tc>
        <w:tc>
          <w:tcPr>
            <w:tcW w:w="873" w:type="dxa"/>
            <w:tcBorders>
              <w:top w:val="nil"/>
              <w:left w:val="nil"/>
              <w:bottom w:val="single" w:sz="4" w:space="0" w:color="5B9BD5"/>
              <w:right w:val="nil"/>
            </w:tcBorders>
            <w:shd w:val="clear" w:color="000000" w:fill="FFFFFF"/>
            <w:noWrap/>
            <w:vAlign w:val="center"/>
            <w:hideMark/>
          </w:tcPr>
          <w:p w14:paraId="090B4E20"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2020</w:t>
            </w:r>
          </w:p>
        </w:tc>
        <w:tc>
          <w:tcPr>
            <w:tcW w:w="873" w:type="dxa"/>
            <w:tcBorders>
              <w:top w:val="nil"/>
              <w:left w:val="nil"/>
              <w:bottom w:val="single" w:sz="4" w:space="0" w:color="5B9BD5"/>
              <w:right w:val="nil"/>
            </w:tcBorders>
            <w:shd w:val="clear" w:color="000000" w:fill="FFFFFF"/>
            <w:noWrap/>
            <w:vAlign w:val="center"/>
            <w:hideMark/>
          </w:tcPr>
          <w:p w14:paraId="11C0C6B8"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226</w:t>
            </w:r>
          </w:p>
        </w:tc>
        <w:tc>
          <w:tcPr>
            <w:tcW w:w="951" w:type="dxa"/>
            <w:tcBorders>
              <w:top w:val="nil"/>
              <w:left w:val="nil"/>
              <w:bottom w:val="single" w:sz="4" w:space="0" w:color="5B9BD5"/>
              <w:right w:val="nil"/>
            </w:tcBorders>
            <w:shd w:val="clear" w:color="000000" w:fill="FFFFFF"/>
            <w:noWrap/>
            <w:vAlign w:val="center"/>
            <w:hideMark/>
          </w:tcPr>
          <w:p w14:paraId="2B9430F3"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27.582.396</w:t>
            </w:r>
          </w:p>
        </w:tc>
        <w:tc>
          <w:tcPr>
            <w:tcW w:w="1219" w:type="dxa"/>
            <w:tcBorders>
              <w:top w:val="nil"/>
              <w:left w:val="nil"/>
              <w:bottom w:val="single" w:sz="4" w:space="0" w:color="5B9BD5"/>
              <w:right w:val="nil"/>
            </w:tcBorders>
            <w:shd w:val="clear" w:color="000000" w:fill="FFFFFF"/>
            <w:noWrap/>
            <w:vAlign w:val="center"/>
            <w:hideMark/>
          </w:tcPr>
          <w:p w14:paraId="6F26A547"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2.564.714</w:t>
            </w:r>
          </w:p>
        </w:tc>
        <w:tc>
          <w:tcPr>
            <w:tcW w:w="1782" w:type="dxa"/>
            <w:tcBorders>
              <w:top w:val="nil"/>
              <w:left w:val="nil"/>
              <w:bottom w:val="single" w:sz="4" w:space="0" w:color="5B9BD5"/>
              <w:right w:val="nil"/>
            </w:tcBorders>
            <w:shd w:val="clear" w:color="000000" w:fill="FFFFFF"/>
            <w:noWrap/>
            <w:vAlign w:val="center"/>
            <w:hideMark/>
          </w:tcPr>
          <w:p w14:paraId="389F8E2D"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8.261.151.258</w:t>
            </w:r>
          </w:p>
        </w:tc>
        <w:tc>
          <w:tcPr>
            <w:tcW w:w="1237" w:type="dxa"/>
            <w:tcBorders>
              <w:top w:val="nil"/>
              <w:left w:val="nil"/>
              <w:bottom w:val="single" w:sz="4" w:space="0" w:color="5B9BD5"/>
              <w:right w:val="nil"/>
            </w:tcBorders>
            <w:shd w:val="clear" w:color="000000" w:fill="FFFFFF"/>
            <w:noWrap/>
            <w:vAlign w:val="center"/>
            <w:hideMark/>
          </w:tcPr>
          <w:p w14:paraId="5C1E3813" w14:textId="77777777" w:rsidR="00C17B35" w:rsidRPr="00C17B35" w:rsidRDefault="00C17B35" w:rsidP="00C17B35">
            <w:pPr>
              <w:spacing w:before="0" w:after="0" w:line="240" w:lineRule="auto"/>
              <w:jc w:val="right"/>
              <w:rPr>
                <w:rFonts w:ascii="Calibri" w:eastAsia="Times New Roman" w:hAnsi="Calibri" w:cs="Calibri"/>
                <w:b/>
                <w:bCs/>
                <w:sz w:val="16"/>
                <w:szCs w:val="16"/>
                <w:lang w:val="en-US"/>
              </w:rPr>
            </w:pPr>
            <w:r w:rsidRPr="00C17B35">
              <w:rPr>
                <w:rFonts w:ascii="Calibri" w:eastAsia="Times New Roman" w:hAnsi="Calibri" w:cs="Calibri"/>
                <w:b/>
                <w:bCs/>
                <w:sz w:val="16"/>
                <w:szCs w:val="16"/>
                <w:lang w:val="en-US"/>
              </w:rPr>
              <w:t>3,17</w:t>
            </w:r>
          </w:p>
        </w:tc>
      </w:tr>
    </w:tbl>
    <w:p w14:paraId="33BEDA21" w14:textId="77777777" w:rsidR="00C17B35" w:rsidRDefault="00C17B35" w:rsidP="00C17B35">
      <w:pPr>
        <w:spacing w:before="0" w:after="0"/>
        <w:contextualSpacing/>
        <w:jc w:val="both"/>
        <w:rPr>
          <w:rFonts w:asciiTheme="majorHAnsi" w:hAnsiTheme="majorHAnsi" w:cstheme="majorBidi"/>
          <w:kern w:val="20"/>
          <w:lang w:eastAsia="ja-JP"/>
        </w:rPr>
      </w:pPr>
    </w:p>
    <w:p w14:paraId="3BC2FD4E" w14:textId="77777777" w:rsidR="008546B5" w:rsidRDefault="008546B5" w:rsidP="001C0AE1">
      <w:pPr>
        <w:jc w:val="both"/>
        <w:rPr>
          <w:rFonts w:asciiTheme="majorHAnsi" w:hAnsiTheme="majorHAnsi"/>
          <w:b/>
        </w:rPr>
      </w:pPr>
      <w:r>
        <w:rPr>
          <w:rFonts w:asciiTheme="majorHAnsi" w:hAnsiTheme="majorHAnsi"/>
          <w:noProof/>
          <w:lang w:val="en-US"/>
        </w:rPr>
        <w:drawing>
          <wp:inline distT="0" distB="0" distL="0" distR="0" wp14:anchorId="793923EE" wp14:editId="20244FFC">
            <wp:extent cx="2834640" cy="29260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r>
        <w:rPr>
          <w:rFonts w:asciiTheme="majorHAnsi" w:hAnsiTheme="majorHAnsi"/>
          <w:b/>
          <w:noProof/>
          <w:lang w:val="en-US"/>
        </w:rPr>
        <w:drawing>
          <wp:inline distT="0" distB="0" distL="0" distR="0" wp14:anchorId="2C1D2707" wp14:editId="756EFF06">
            <wp:extent cx="2834640" cy="293243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2932430"/>
                    </a:xfrm>
                    <a:prstGeom prst="rect">
                      <a:avLst/>
                    </a:prstGeom>
                    <a:noFill/>
                  </pic:spPr>
                </pic:pic>
              </a:graphicData>
            </a:graphic>
          </wp:inline>
        </w:drawing>
      </w:r>
    </w:p>
    <w:p w14:paraId="427C6098" w14:textId="77777777" w:rsidR="008546B5" w:rsidRDefault="008546B5" w:rsidP="001C0AE1">
      <w:pPr>
        <w:jc w:val="both"/>
        <w:rPr>
          <w:rFonts w:asciiTheme="majorHAnsi" w:hAnsiTheme="majorHAnsi"/>
          <w:b/>
        </w:rPr>
      </w:pPr>
    </w:p>
    <w:p w14:paraId="38927718" w14:textId="77777777" w:rsidR="004D2939" w:rsidRPr="00D95C57" w:rsidRDefault="004D2939" w:rsidP="001C0AE1">
      <w:pPr>
        <w:jc w:val="both"/>
        <w:rPr>
          <w:rFonts w:asciiTheme="majorHAnsi" w:hAnsiTheme="majorHAnsi"/>
        </w:rPr>
      </w:pPr>
      <w:r w:rsidRPr="00D95C57">
        <w:rPr>
          <w:rFonts w:asciiTheme="majorHAnsi" w:hAnsiTheme="majorHAnsi"/>
          <w:b/>
        </w:rPr>
        <w:t xml:space="preserve">Din datele înscrise în tabelul prezentat mai sus evoluția participațiilor </w:t>
      </w:r>
      <w:r w:rsidR="006E0C11" w:rsidRPr="00D95C57">
        <w:rPr>
          <w:rFonts w:asciiTheme="majorHAnsi" w:hAnsiTheme="majorHAnsi"/>
          <w:b/>
        </w:rPr>
        <w:t xml:space="preserve">deținute de </w:t>
      </w:r>
      <w:r w:rsidRPr="00D95C57">
        <w:rPr>
          <w:rFonts w:asciiTheme="majorHAnsi" w:hAnsiTheme="majorHAnsi"/>
          <w:b/>
        </w:rPr>
        <w:t>stat</w:t>
      </w:r>
      <w:r w:rsidR="006E0C11" w:rsidRPr="00D95C57">
        <w:rPr>
          <w:rFonts w:asciiTheme="majorHAnsi" w:hAnsiTheme="majorHAnsi"/>
          <w:b/>
        </w:rPr>
        <w:t xml:space="preserve"> prin APTC </w:t>
      </w:r>
      <w:r w:rsidRPr="00D95C57">
        <w:rPr>
          <w:rFonts w:asciiTheme="majorHAnsi" w:hAnsiTheme="majorHAnsi"/>
          <w:b/>
        </w:rPr>
        <w:t xml:space="preserve">la </w:t>
      </w:r>
      <w:r w:rsidR="00110AFD" w:rsidRPr="00D95C57">
        <w:rPr>
          <w:rFonts w:asciiTheme="majorHAnsi" w:hAnsiTheme="majorHAnsi"/>
          <w:b/>
        </w:rPr>
        <w:t>ÎPC</w:t>
      </w:r>
      <w:r w:rsidRPr="00D95C57">
        <w:rPr>
          <w:rFonts w:asciiTheme="majorHAnsi" w:hAnsiTheme="majorHAnsi"/>
          <w:b/>
        </w:rPr>
        <w:t xml:space="preserve"> în anul 20</w:t>
      </w:r>
      <w:r w:rsidR="00C17B35">
        <w:rPr>
          <w:rFonts w:asciiTheme="majorHAnsi" w:hAnsiTheme="majorHAnsi"/>
          <w:b/>
        </w:rPr>
        <w:t>20</w:t>
      </w:r>
      <w:r w:rsidRPr="00D95C57">
        <w:rPr>
          <w:rFonts w:asciiTheme="majorHAnsi" w:hAnsiTheme="majorHAnsi"/>
          <w:b/>
        </w:rPr>
        <w:t xml:space="preserve"> față de finalul anului 201</w:t>
      </w:r>
      <w:r w:rsidR="00C17B35">
        <w:rPr>
          <w:rFonts w:asciiTheme="majorHAnsi" w:hAnsiTheme="majorHAnsi"/>
          <w:b/>
        </w:rPr>
        <w:t>9</w:t>
      </w:r>
      <w:r w:rsidRPr="00D95C57">
        <w:rPr>
          <w:rFonts w:asciiTheme="majorHAnsi" w:hAnsiTheme="majorHAnsi"/>
        </w:rPr>
        <w:t xml:space="preserve"> rezultă că</w:t>
      </w:r>
      <w:r w:rsidR="00864006" w:rsidRPr="00D95C57">
        <w:rPr>
          <w:rFonts w:asciiTheme="majorHAnsi" w:hAnsiTheme="majorHAnsi"/>
        </w:rPr>
        <w:t>,</w:t>
      </w:r>
      <w:r w:rsidRPr="00D95C57">
        <w:rPr>
          <w:rFonts w:asciiTheme="majorHAnsi" w:hAnsiTheme="majorHAnsi"/>
        </w:rPr>
        <w:t xml:space="preserve"> </w:t>
      </w:r>
      <w:r w:rsidRPr="00D95C57">
        <w:rPr>
          <w:rFonts w:asciiTheme="majorHAnsi" w:hAnsiTheme="majorHAnsi"/>
          <w:b/>
          <w:bCs/>
        </w:rPr>
        <w:t>la</w:t>
      </w:r>
      <w:r w:rsidRPr="00D95C57">
        <w:rPr>
          <w:rFonts w:asciiTheme="majorHAnsi" w:hAnsiTheme="majorHAnsi"/>
          <w:b/>
        </w:rPr>
        <w:t xml:space="preserve"> sfârșitul anului 20</w:t>
      </w:r>
      <w:r w:rsidR="00C17B35">
        <w:rPr>
          <w:rFonts w:asciiTheme="majorHAnsi" w:hAnsiTheme="majorHAnsi"/>
          <w:b/>
        </w:rPr>
        <w:t>20</w:t>
      </w:r>
      <w:r w:rsidRPr="00D95C57">
        <w:rPr>
          <w:rFonts w:asciiTheme="majorHAnsi" w:hAnsiTheme="majorHAnsi"/>
        </w:rPr>
        <w:t xml:space="preserve">, valoarea patrimoniului/capitalului social deținut de stat prin APTC la </w:t>
      </w:r>
      <w:r w:rsidR="00110AFD" w:rsidRPr="00D95C57">
        <w:rPr>
          <w:rFonts w:asciiTheme="majorHAnsi" w:hAnsiTheme="majorHAnsi"/>
        </w:rPr>
        <w:t>ÎPC</w:t>
      </w:r>
      <w:r w:rsidRPr="00D95C57">
        <w:rPr>
          <w:rFonts w:asciiTheme="majorHAnsi" w:hAnsiTheme="majorHAnsi"/>
        </w:rPr>
        <w:t xml:space="preserve"> este în sumă de </w:t>
      </w:r>
      <w:r w:rsidR="00CD68D2" w:rsidRPr="00D95C57">
        <w:rPr>
          <w:rFonts w:asciiTheme="majorHAnsi" w:hAnsiTheme="majorHAnsi"/>
          <w:b/>
          <w:bCs/>
        </w:rPr>
        <w:t>2</w:t>
      </w:r>
      <w:r w:rsidR="00FD6E69">
        <w:rPr>
          <w:rFonts w:asciiTheme="majorHAnsi" w:hAnsiTheme="majorHAnsi"/>
          <w:b/>
          <w:bCs/>
        </w:rPr>
        <w:t>7</w:t>
      </w:r>
      <w:r w:rsidR="00CD68D2" w:rsidRPr="00D95C57">
        <w:rPr>
          <w:rFonts w:asciiTheme="majorHAnsi" w:hAnsiTheme="majorHAnsi"/>
          <w:b/>
          <w:bCs/>
        </w:rPr>
        <w:t>.</w:t>
      </w:r>
      <w:r w:rsidR="00C17B35">
        <w:rPr>
          <w:rFonts w:asciiTheme="majorHAnsi" w:hAnsiTheme="majorHAnsi"/>
          <w:b/>
          <w:bCs/>
        </w:rPr>
        <w:t>582.396</w:t>
      </w:r>
      <w:r w:rsidR="00CD68D2" w:rsidRPr="00D95C57">
        <w:rPr>
          <w:rFonts w:asciiTheme="majorHAnsi" w:hAnsiTheme="majorHAnsi"/>
          <w:b/>
          <w:bCs/>
        </w:rPr>
        <w:t xml:space="preserve"> </w:t>
      </w:r>
      <w:r w:rsidR="001C0AE1" w:rsidRPr="00D95C57">
        <w:rPr>
          <w:rFonts w:asciiTheme="majorHAnsi" w:hAnsiTheme="majorHAnsi"/>
          <w:b/>
          <w:bCs/>
        </w:rPr>
        <w:t xml:space="preserve"> </w:t>
      </w:r>
      <w:r w:rsidRPr="00D95C57">
        <w:rPr>
          <w:rFonts w:asciiTheme="majorHAnsi" w:hAnsiTheme="majorHAnsi"/>
          <w:b/>
          <w:bCs/>
        </w:rPr>
        <w:t>mii lei,</w:t>
      </w:r>
      <w:r w:rsidRPr="00D95C57">
        <w:rPr>
          <w:rFonts w:asciiTheme="majorHAnsi" w:hAnsiTheme="majorHAnsi"/>
        </w:rPr>
        <w:t xml:space="preserve"> în creștere </w:t>
      </w:r>
      <w:r w:rsidRPr="00D95C57">
        <w:rPr>
          <w:rFonts w:asciiTheme="majorHAnsi" w:hAnsiTheme="majorHAnsi"/>
          <w:b/>
          <w:bCs/>
        </w:rPr>
        <w:t xml:space="preserve">cu suma de </w:t>
      </w:r>
      <w:r w:rsidR="00C17B35" w:rsidRPr="00C17B35">
        <w:rPr>
          <w:rFonts w:asciiTheme="majorHAnsi" w:hAnsiTheme="majorHAnsi"/>
          <w:b/>
          <w:bCs/>
        </w:rPr>
        <w:t>1.153.052</w:t>
      </w:r>
      <w:r w:rsidR="00C17B35">
        <w:rPr>
          <w:rFonts w:asciiTheme="majorHAnsi" w:hAnsiTheme="majorHAnsi"/>
          <w:b/>
          <w:bCs/>
        </w:rPr>
        <w:t xml:space="preserve"> </w:t>
      </w:r>
      <w:r w:rsidRPr="00D95C57">
        <w:rPr>
          <w:rFonts w:asciiTheme="majorHAnsi" w:hAnsiTheme="majorHAnsi"/>
          <w:b/>
          <w:bCs/>
        </w:rPr>
        <w:t xml:space="preserve">mii </w:t>
      </w:r>
      <w:r w:rsidRPr="00D95C57">
        <w:rPr>
          <w:rFonts w:asciiTheme="majorHAnsi" w:hAnsiTheme="majorHAnsi"/>
        </w:rPr>
        <w:t xml:space="preserve">lei </w:t>
      </w:r>
      <w:r w:rsidR="006B7C38" w:rsidRPr="00D95C57">
        <w:rPr>
          <w:rFonts w:asciiTheme="majorHAnsi" w:hAnsiTheme="majorHAnsi"/>
          <w:b/>
          <w:bCs/>
        </w:rPr>
        <w:t>(</w:t>
      </w:r>
      <w:r w:rsidR="00C17B35">
        <w:rPr>
          <w:rFonts w:asciiTheme="majorHAnsi" w:hAnsiTheme="majorHAnsi"/>
          <w:b/>
          <w:bCs/>
        </w:rPr>
        <w:t>4</w:t>
      </w:r>
      <w:r w:rsidRPr="00D95C57">
        <w:rPr>
          <w:rFonts w:asciiTheme="majorHAnsi" w:hAnsiTheme="majorHAnsi"/>
          <w:b/>
          <w:bCs/>
        </w:rPr>
        <w:t>,</w:t>
      </w:r>
      <w:r w:rsidR="00C17B35">
        <w:rPr>
          <w:rFonts w:asciiTheme="majorHAnsi" w:hAnsiTheme="majorHAnsi"/>
          <w:b/>
          <w:bCs/>
        </w:rPr>
        <w:t>36</w:t>
      </w:r>
      <w:r w:rsidRPr="00D95C57">
        <w:rPr>
          <w:rFonts w:asciiTheme="majorHAnsi" w:hAnsiTheme="majorHAnsi"/>
          <w:b/>
          <w:bCs/>
        </w:rPr>
        <w:t xml:space="preserve">%) </w:t>
      </w:r>
      <w:r w:rsidRPr="00D95C57">
        <w:rPr>
          <w:rFonts w:asciiTheme="majorHAnsi" w:hAnsiTheme="majorHAnsi"/>
        </w:rPr>
        <w:t>față de finalul anului 201</w:t>
      </w:r>
      <w:r w:rsidR="00C17B35">
        <w:rPr>
          <w:rFonts w:asciiTheme="majorHAnsi" w:hAnsiTheme="majorHAnsi"/>
        </w:rPr>
        <w:t>9</w:t>
      </w:r>
      <w:r w:rsidR="006E0C11" w:rsidRPr="00D95C57">
        <w:rPr>
          <w:rFonts w:asciiTheme="majorHAnsi" w:hAnsiTheme="majorHAnsi"/>
        </w:rPr>
        <w:t>,</w:t>
      </w:r>
      <w:r w:rsidRPr="00D95C57">
        <w:rPr>
          <w:rFonts w:asciiTheme="majorHAnsi" w:hAnsiTheme="majorHAnsi"/>
        </w:rPr>
        <w:t xml:space="preserve"> iar valoarea medie estimată pe acțiune/parte socială </w:t>
      </w:r>
      <w:r w:rsidR="006E0C11" w:rsidRPr="00D95C57">
        <w:rPr>
          <w:rFonts w:asciiTheme="majorHAnsi" w:hAnsiTheme="majorHAnsi"/>
        </w:rPr>
        <w:t>înregistrează la finalul anului 201</w:t>
      </w:r>
      <w:r w:rsidR="00FD6E69">
        <w:rPr>
          <w:rFonts w:asciiTheme="majorHAnsi" w:hAnsiTheme="majorHAnsi"/>
        </w:rPr>
        <w:t>9</w:t>
      </w:r>
      <w:r w:rsidR="006E0C11" w:rsidRPr="00D95C57">
        <w:rPr>
          <w:rFonts w:asciiTheme="majorHAnsi" w:hAnsiTheme="majorHAnsi"/>
        </w:rPr>
        <w:t xml:space="preserve"> </w:t>
      </w:r>
      <w:r w:rsidR="003B7EA3" w:rsidRPr="00D95C57">
        <w:rPr>
          <w:rFonts w:asciiTheme="majorHAnsi" w:hAnsiTheme="majorHAnsi"/>
        </w:rPr>
        <w:t>o medie</w:t>
      </w:r>
      <w:r w:rsidR="006E0C11" w:rsidRPr="00D95C57">
        <w:rPr>
          <w:rFonts w:asciiTheme="majorHAnsi" w:hAnsiTheme="majorHAnsi"/>
        </w:rPr>
        <w:t xml:space="preserve"> de </w:t>
      </w:r>
      <w:r w:rsidRPr="00D95C57">
        <w:rPr>
          <w:rFonts w:asciiTheme="majorHAnsi" w:hAnsiTheme="majorHAnsi"/>
        </w:rPr>
        <w:t>3,</w:t>
      </w:r>
      <w:r w:rsidR="00C17B35">
        <w:rPr>
          <w:rFonts w:asciiTheme="majorHAnsi" w:hAnsiTheme="majorHAnsi"/>
        </w:rPr>
        <w:t>17</w:t>
      </w:r>
      <w:r w:rsidR="003B7EA3" w:rsidRPr="00D95C57">
        <w:rPr>
          <w:rFonts w:asciiTheme="majorHAnsi" w:hAnsiTheme="majorHAnsi"/>
        </w:rPr>
        <w:t xml:space="preserve"> </w:t>
      </w:r>
      <w:r w:rsidRPr="00D95C57">
        <w:rPr>
          <w:rFonts w:asciiTheme="majorHAnsi" w:hAnsiTheme="majorHAnsi"/>
        </w:rPr>
        <w:t xml:space="preserve">lei pe acțiune/parte socială. Valoarea totală a capitalului social/patrimoniului deținut de APTC la </w:t>
      </w:r>
      <w:r w:rsidR="00110AFD" w:rsidRPr="00D95C57">
        <w:rPr>
          <w:rFonts w:asciiTheme="majorHAnsi" w:hAnsiTheme="majorHAnsi"/>
        </w:rPr>
        <w:t>ÎPC</w:t>
      </w:r>
      <w:r w:rsidR="001C0AE1" w:rsidRPr="00D95C57">
        <w:rPr>
          <w:rFonts w:asciiTheme="majorHAnsi" w:hAnsiTheme="majorHAnsi"/>
        </w:rPr>
        <w:t xml:space="preserve"> </w:t>
      </w:r>
      <w:r w:rsidR="001C0AE1" w:rsidRPr="00D95C57">
        <w:rPr>
          <w:rFonts w:asciiTheme="majorHAnsi" w:hAnsiTheme="majorHAnsi"/>
          <w:b/>
          <w:bCs/>
        </w:rPr>
        <w:t>active</w:t>
      </w:r>
      <w:r w:rsidRPr="00D95C57">
        <w:rPr>
          <w:rFonts w:asciiTheme="majorHAnsi" w:hAnsiTheme="majorHAnsi"/>
        </w:rPr>
        <w:t xml:space="preserve"> înregistrează în anul 20</w:t>
      </w:r>
      <w:r w:rsidR="00C17B35">
        <w:rPr>
          <w:rFonts w:asciiTheme="majorHAnsi" w:hAnsiTheme="majorHAnsi"/>
        </w:rPr>
        <w:t>20</w:t>
      </w:r>
      <w:r w:rsidRPr="00D95C57">
        <w:rPr>
          <w:rFonts w:asciiTheme="majorHAnsi" w:hAnsiTheme="majorHAnsi"/>
        </w:rPr>
        <w:t xml:space="preserve"> o pondere de </w:t>
      </w:r>
      <w:r w:rsidR="00FD6E69">
        <w:rPr>
          <w:rFonts w:asciiTheme="majorHAnsi" w:hAnsiTheme="majorHAnsi"/>
          <w:b/>
          <w:bCs/>
        </w:rPr>
        <w:t>2,6</w:t>
      </w:r>
      <w:r w:rsidR="00C17B35">
        <w:rPr>
          <w:rFonts w:asciiTheme="majorHAnsi" w:hAnsiTheme="majorHAnsi"/>
          <w:b/>
          <w:bCs/>
        </w:rPr>
        <w:t>1</w:t>
      </w:r>
      <w:r w:rsidR="006E0C11" w:rsidRPr="00D95C57">
        <w:rPr>
          <w:rFonts w:asciiTheme="majorHAnsi" w:hAnsiTheme="majorHAnsi"/>
          <w:b/>
          <w:bCs/>
        </w:rPr>
        <w:t>%</w:t>
      </w:r>
      <w:r w:rsidRPr="00D95C57">
        <w:rPr>
          <w:rFonts w:asciiTheme="majorHAnsi" w:hAnsiTheme="majorHAnsi"/>
          <w:b/>
          <w:bCs/>
        </w:rPr>
        <w:t xml:space="preserve"> din PIB</w:t>
      </w:r>
      <w:r w:rsidR="00FD6E69">
        <w:rPr>
          <w:rStyle w:val="FootnoteReference"/>
          <w:rFonts w:asciiTheme="majorHAnsi" w:hAnsiTheme="majorHAnsi"/>
          <w:b/>
          <w:bCs/>
        </w:rPr>
        <w:footnoteReference w:id="5"/>
      </w:r>
      <w:r w:rsidR="006E0C11" w:rsidRPr="00D95C57">
        <w:rPr>
          <w:rFonts w:asciiTheme="majorHAnsi" w:hAnsiTheme="majorHAnsi"/>
        </w:rPr>
        <w:t>.</w:t>
      </w:r>
    </w:p>
    <w:p w14:paraId="65EF9F52" w14:textId="77777777" w:rsidR="004D2939" w:rsidRPr="00D95C57" w:rsidRDefault="004D2939" w:rsidP="003B7EA3">
      <w:pPr>
        <w:jc w:val="both"/>
        <w:rPr>
          <w:rFonts w:asciiTheme="majorHAnsi" w:hAnsiTheme="majorHAnsi"/>
        </w:rPr>
      </w:pPr>
      <w:r w:rsidRPr="00D95C57">
        <w:rPr>
          <w:rFonts w:asciiTheme="majorHAnsi" w:hAnsiTheme="majorHAnsi"/>
        </w:rPr>
        <w:t xml:space="preserve">Creșterea volumului participațiilor </w:t>
      </w:r>
      <w:r w:rsidR="006E0C11" w:rsidRPr="00D95C57">
        <w:rPr>
          <w:rFonts w:asciiTheme="majorHAnsi" w:hAnsiTheme="majorHAnsi"/>
        </w:rPr>
        <w:t>deținute de sta</w:t>
      </w:r>
      <w:r w:rsidR="00FB53B6" w:rsidRPr="00D95C57">
        <w:rPr>
          <w:rFonts w:asciiTheme="majorHAnsi" w:hAnsiTheme="majorHAnsi"/>
        </w:rPr>
        <w:t>t</w:t>
      </w:r>
      <w:r w:rsidR="006E0C11" w:rsidRPr="00D95C57">
        <w:rPr>
          <w:rFonts w:asciiTheme="majorHAnsi" w:hAnsiTheme="majorHAnsi"/>
        </w:rPr>
        <w:t xml:space="preserve"> prin </w:t>
      </w:r>
      <w:r w:rsidRPr="00D95C57">
        <w:rPr>
          <w:rFonts w:asciiTheme="majorHAnsi" w:hAnsiTheme="majorHAnsi"/>
        </w:rPr>
        <w:t xml:space="preserve">APTC la </w:t>
      </w:r>
      <w:r w:rsidR="00110AFD" w:rsidRPr="00D95C57">
        <w:rPr>
          <w:rFonts w:asciiTheme="majorHAnsi" w:hAnsiTheme="majorHAnsi"/>
        </w:rPr>
        <w:t>ÎPC</w:t>
      </w:r>
      <w:r w:rsidR="001C0AE1" w:rsidRPr="00D95C57">
        <w:rPr>
          <w:rFonts w:asciiTheme="majorHAnsi" w:hAnsiTheme="majorHAnsi"/>
        </w:rPr>
        <w:t xml:space="preserve"> active</w:t>
      </w:r>
      <w:r w:rsidRPr="00D95C57">
        <w:rPr>
          <w:rFonts w:asciiTheme="majorHAnsi" w:hAnsiTheme="majorHAnsi"/>
        </w:rPr>
        <w:t xml:space="preserve"> în anul 20</w:t>
      </w:r>
      <w:r w:rsidR="00C17B35">
        <w:rPr>
          <w:rFonts w:asciiTheme="majorHAnsi" w:hAnsiTheme="majorHAnsi"/>
        </w:rPr>
        <w:t>20</w:t>
      </w:r>
      <w:r w:rsidRPr="00D95C57">
        <w:rPr>
          <w:rFonts w:asciiTheme="majorHAnsi" w:hAnsiTheme="majorHAnsi"/>
        </w:rPr>
        <w:t xml:space="preserve"> se dat</w:t>
      </w:r>
      <w:r w:rsidR="00CB766A" w:rsidRPr="00D95C57">
        <w:rPr>
          <w:rFonts w:asciiTheme="majorHAnsi" w:hAnsiTheme="majorHAnsi"/>
        </w:rPr>
        <w:t>orează, în principal</w:t>
      </w:r>
      <w:r w:rsidRPr="00D95C57">
        <w:rPr>
          <w:rFonts w:asciiTheme="majorHAnsi" w:hAnsiTheme="majorHAnsi"/>
        </w:rPr>
        <w:t>:</w:t>
      </w:r>
    </w:p>
    <w:p w14:paraId="34BFF132" w14:textId="77777777" w:rsidR="003B7EA3" w:rsidRPr="008546B5" w:rsidRDefault="005E4E8E" w:rsidP="00F26763">
      <w:pPr>
        <w:pStyle w:val="ListParagraph"/>
        <w:numPr>
          <w:ilvl w:val="1"/>
          <w:numId w:val="25"/>
        </w:numPr>
        <w:spacing w:before="0" w:after="0"/>
        <w:ind w:left="270" w:hanging="270"/>
        <w:jc w:val="both"/>
        <w:rPr>
          <w:rFonts w:asciiTheme="majorHAnsi" w:hAnsiTheme="majorHAnsi"/>
        </w:rPr>
      </w:pPr>
      <w:r w:rsidRPr="008546B5">
        <w:rPr>
          <w:rFonts w:asciiTheme="majorHAnsi" w:hAnsiTheme="majorHAnsi"/>
          <w:b/>
          <w:bCs/>
        </w:rPr>
        <w:t>Creșter</w:t>
      </w:r>
      <w:r w:rsidR="006A70B2" w:rsidRPr="008546B5">
        <w:rPr>
          <w:rFonts w:asciiTheme="majorHAnsi" w:hAnsiTheme="majorHAnsi"/>
          <w:b/>
          <w:bCs/>
        </w:rPr>
        <w:t>ii</w:t>
      </w:r>
      <w:r w:rsidRPr="008546B5">
        <w:rPr>
          <w:rFonts w:asciiTheme="majorHAnsi" w:hAnsiTheme="majorHAnsi"/>
          <w:b/>
          <w:bCs/>
        </w:rPr>
        <w:t xml:space="preserve"> participațiilor deținute de stat prin APTC la </w:t>
      </w:r>
      <w:r w:rsidR="00110AFD" w:rsidRPr="008546B5">
        <w:rPr>
          <w:rFonts w:asciiTheme="majorHAnsi" w:hAnsiTheme="majorHAnsi"/>
          <w:b/>
          <w:bCs/>
        </w:rPr>
        <w:t>ÎPC</w:t>
      </w:r>
      <w:r w:rsidR="009A1E2E" w:rsidRPr="008546B5">
        <w:rPr>
          <w:rFonts w:asciiTheme="majorHAnsi" w:hAnsiTheme="majorHAnsi"/>
          <w:b/>
          <w:bCs/>
        </w:rPr>
        <w:t xml:space="preserve"> active</w:t>
      </w:r>
      <w:r w:rsidR="00FB46AD" w:rsidRPr="008546B5">
        <w:rPr>
          <w:rFonts w:asciiTheme="majorHAnsi" w:hAnsiTheme="majorHAnsi"/>
          <w:b/>
          <w:bCs/>
        </w:rPr>
        <w:t>,</w:t>
      </w:r>
      <w:r w:rsidRPr="008546B5">
        <w:rPr>
          <w:rFonts w:asciiTheme="majorHAnsi" w:hAnsiTheme="majorHAnsi"/>
        </w:rPr>
        <w:t xml:space="preserve"> </w:t>
      </w:r>
      <w:r w:rsidR="00875176" w:rsidRPr="008546B5">
        <w:rPr>
          <w:rFonts w:asciiTheme="majorHAnsi" w:hAnsiTheme="majorHAnsi"/>
        </w:rPr>
        <w:t xml:space="preserve">ca </w:t>
      </w:r>
      <w:r w:rsidR="009009AC" w:rsidRPr="008546B5">
        <w:rPr>
          <w:rFonts w:asciiTheme="majorHAnsi" w:hAnsiTheme="majorHAnsi"/>
        </w:rPr>
        <w:t xml:space="preserve">urmare </w:t>
      </w:r>
      <w:r w:rsidR="00875176" w:rsidRPr="008546B5">
        <w:rPr>
          <w:rFonts w:asciiTheme="majorHAnsi" w:hAnsiTheme="majorHAnsi"/>
        </w:rPr>
        <w:t xml:space="preserve">a </w:t>
      </w:r>
      <w:r w:rsidR="009009AC" w:rsidRPr="008546B5">
        <w:rPr>
          <w:rFonts w:asciiTheme="majorHAnsi" w:hAnsiTheme="majorHAnsi"/>
          <w:b/>
        </w:rPr>
        <w:t>majorării</w:t>
      </w:r>
      <w:r w:rsidR="009009AC" w:rsidRPr="008546B5">
        <w:rPr>
          <w:rFonts w:asciiTheme="majorHAnsi" w:hAnsiTheme="majorHAnsi"/>
        </w:rPr>
        <w:t xml:space="preserve"> capitalului social la </w:t>
      </w:r>
      <w:r w:rsidR="00C17B35" w:rsidRPr="008546B5">
        <w:rPr>
          <w:rFonts w:asciiTheme="majorHAnsi" w:hAnsiTheme="majorHAnsi"/>
        </w:rPr>
        <w:t xml:space="preserve">un număr de </w:t>
      </w:r>
      <w:r w:rsidR="00C17B35" w:rsidRPr="008546B5">
        <w:rPr>
          <w:rFonts w:asciiTheme="majorHAnsi" w:hAnsiTheme="majorHAnsi"/>
          <w:b/>
        </w:rPr>
        <w:t>36 ÎPC</w:t>
      </w:r>
      <w:r w:rsidR="00C17B35" w:rsidRPr="008546B5">
        <w:rPr>
          <w:rFonts w:asciiTheme="majorHAnsi" w:hAnsiTheme="majorHAnsi"/>
        </w:rPr>
        <w:t xml:space="preserve"> active  cu suma de </w:t>
      </w:r>
      <w:r w:rsidR="00C17B35" w:rsidRPr="008546B5">
        <w:rPr>
          <w:rFonts w:asciiTheme="majorHAnsi" w:hAnsiTheme="majorHAnsi"/>
          <w:b/>
        </w:rPr>
        <w:t>1.102.097 mii lei</w:t>
      </w:r>
      <w:r w:rsidR="00C17B35" w:rsidRPr="008546B5">
        <w:rPr>
          <w:rFonts w:asciiTheme="majorHAnsi" w:hAnsiTheme="majorHAnsi"/>
        </w:rPr>
        <w:t xml:space="preserve"> și</w:t>
      </w:r>
      <w:r w:rsidR="00692477" w:rsidRPr="008546B5">
        <w:rPr>
          <w:rFonts w:asciiTheme="majorHAnsi" w:hAnsiTheme="majorHAnsi"/>
        </w:rPr>
        <w:t xml:space="preserve"> </w:t>
      </w:r>
      <w:r w:rsidR="00875176" w:rsidRPr="008546B5">
        <w:rPr>
          <w:rFonts w:asciiTheme="majorHAnsi" w:hAnsiTheme="majorHAnsi"/>
        </w:rPr>
        <w:t xml:space="preserve">a </w:t>
      </w:r>
      <w:r w:rsidR="003B7EA3" w:rsidRPr="008546B5">
        <w:rPr>
          <w:rFonts w:asciiTheme="majorHAnsi" w:hAnsiTheme="majorHAnsi"/>
          <w:b/>
          <w:bCs/>
        </w:rPr>
        <w:t>i</w:t>
      </w:r>
      <w:r w:rsidR="001C0AE1" w:rsidRPr="008546B5">
        <w:rPr>
          <w:rFonts w:asciiTheme="majorHAnsi" w:hAnsiTheme="majorHAnsi"/>
          <w:b/>
          <w:bCs/>
        </w:rPr>
        <w:t xml:space="preserve">ncluderii în acțiunea de monitorizare </w:t>
      </w:r>
      <w:r w:rsidR="001C0AE1" w:rsidRPr="008546B5">
        <w:rPr>
          <w:rFonts w:asciiTheme="majorHAnsi" w:hAnsiTheme="majorHAnsi"/>
          <w:bCs/>
        </w:rPr>
        <w:t>a</w:t>
      </w:r>
      <w:r w:rsidR="003B7EA3" w:rsidRPr="008546B5">
        <w:rPr>
          <w:rFonts w:asciiTheme="majorHAnsi" w:hAnsiTheme="majorHAnsi"/>
        </w:rPr>
        <w:t xml:space="preserve"> unui număr de</w:t>
      </w:r>
      <w:r w:rsidR="00ED0AB2" w:rsidRPr="008546B5">
        <w:rPr>
          <w:rFonts w:asciiTheme="majorHAnsi" w:hAnsiTheme="majorHAnsi"/>
        </w:rPr>
        <w:t xml:space="preserve"> </w:t>
      </w:r>
      <w:r w:rsidR="00C17B35" w:rsidRPr="008546B5">
        <w:rPr>
          <w:rFonts w:asciiTheme="majorHAnsi" w:hAnsiTheme="majorHAnsi"/>
          <w:b/>
        </w:rPr>
        <w:t>7</w:t>
      </w:r>
      <w:r w:rsidR="00ED0AB2" w:rsidRPr="008546B5">
        <w:rPr>
          <w:rFonts w:asciiTheme="majorHAnsi" w:hAnsiTheme="majorHAnsi"/>
          <w:b/>
          <w:bCs/>
        </w:rPr>
        <w:t xml:space="preserve"> </w:t>
      </w:r>
      <w:r w:rsidR="003B7EA3" w:rsidRPr="008546B5">
        <w:rPr>
          <w:rFonts w:asciiTheme="majorHAnsi" w:hAnsiTheme="majorHAnsi"/>
          <w:b/>
          <w:bCs/>
        </w:rPr>
        <w:t>ÎPC</w:t>
      </w:r>
      <w:r w:rsidR="00370CFA" w:rsidRPr="008546B5">
        <w:rPr>
          <w:rFonts w:asciiTheme="majorHAnsi" w:hAnsiTheme="majorHAnsi"/>
          <w:b/>
          <w:bCs/>
        </w:rPr>
        <w:t xml:space="preserve"> </w:t>
      </w:r>
      <w:r w:rsidR="00C17B35" w:rsidRPr="008546B5">
        <w:rPr>
          <w:rFonts w:asciiTheme="majorHAnsi" w:hAnsiTheme="majorHAnsi"/>
          <w:bCs/>
        </w:rPr>
        <w:t xml:space="preserve">nou identificate </w:t>
      </w:r>
      <w:r w:rsidR="00ED0AB2" w:rsidRPr="008546B5">
        <w:rPr>
          <w:rFonts w:asciiTheme="majorHAnsi" w:hAnsiTheme="majorHAnsi"/>
        </w:rPr>
        <w:t xml:space="preserve">cu suma de </w:t>
      </w:r>
      <w:r w:rsidR="00C17B35" w:rsidRPr="008546B5">
        <w:rPr>
          <w:rFonts w:asciiTheme="majorHAnsi" w:hAnsiTheme="majorHAnsi"/>
          <w:b/>
          <w:bCs/>
        </w:rPr>
        <w:t xml:space="preserve">101.829 </w:t>
      </w:r>
      <w:r w:rsidR="00ED0AB2" w:rsidRPr="008546B5">
        <w:rPr>
          <w:rFonts w:asciiTheme="majorHAnsi" w:hAnsiTheme="majorHAnsi"/>
          <w:b/>
          <w:bCs/>
        </w:rPr>
        <w:t>mii lei</w:t>
      </w:r>
      <w:r w:rsidR="00C17B35" w:rsidRPr="008546B5">
        <w:rPr>
          <w:rFonts w:asciiTheme="majorHAnsi" w:hAnsiTheme="majorHAnsi"/>
          <w:b/>
          <w:bCs/>
        </w:rPr>
        <w:t>.</w:t>
      </w:r>
    </w:p>
    <w:p w14:paraId="4294CDED" w14:textId="77777777" w:rsidR="00476E1F" w:rsidRPr="008546B5" w:rsidRDefault="005E4E8E" w:rsidP="00F26763">
      <w:pPr>
        <w:pStyle w:val="ListParagraph"/>
        <w:numPr>
          <w:ilvl w:val="1"/>
          <w:numId w:val="25"/>
        </w:numPr>
        <w:spacing w:before="0" w:after="0"/>
        <w:ind w:left="270" w:hanging="270"/>
        <w:jc w:val="both"/>
        <w:rPr>
          <w:rFonts w:asciiTheme="majorHAnsi" w:hAnsiTheme="majorHAnsi"/>
        </w:rPr>
      </w:pPr>
      <w:r w:rsidRPr="008546B5">
        <w:rPr>
          <w:rFonts w:asciiTheme="majorHAnsi" w:hAnsiTheme="majorHAnsi"/>
          <w:b/>
        </w:rPr>
        <w:t xml:space="preserve">Diminuări ale participațiilor deținute de stat prin APTC la </w:t>
      </w:r>
      <w:r w:rsidR="00110AFD" w:rsidRPr="008546B5">
        <w:rPr>
          <w:rFonts w:asciiTheme="majorHAnsi" w:hAnsiTheme="majorHAnsi"/>
          <w:b/>
        </w:rPr>
        <w:t>ÎPC</w:t>
      </w:r>
      <w:r w:rsidR="009A1E2E" w:rsidRPr="008546B5">
        <w:rPr>
          <w:rFonts w:asciiTheme="majorHAnsi" w:hAnsiTheme="majorHAnsi"/>
          <w:b/>
        </w:rPr>
        <w:t xml:space="preserve"> active</w:t>
      </w:r>
      <w:r w:rsidR="00C17B35" w:rsidRPr="008546B5">
        <w:rPr>
          <w:rFonts w:asciiTheme="majorHAnsi" w:hAnsiTheme="majorHAnsi"/>
          <w:b/>
        </w:rPr>
        <w:t xml:space="preserve"> </w:t>
      </w:r>
      <w:r w:rsidR="00C17B35" w:rsidRPr="008546B5">
        <w:rPr>
          <w:rFonts w:asciiTheme="majorHAnsi" w:hAnsiTheme="majorHAnsi"/>
        </w:rPr>
        <w:t xml:space="preserve">ca urmare a </w:t>
      </w:r>
      <w:r w:rsidR="00156292" w:rsidRPr="008546B5">
        <w:rPr>
          <w:rFonts w:asciiTheme="majorHAnsi" w:hAnsiTheme="majorHAnsi"/>
        </w:rPr>
        <w:t>diminu</w:t>
      </w:r>
      <w:r w:rsidR="00C17B35" w:rsidRPr="008546B5">
        <w:rPr>
          <w:rFonts w:asciiTheme="majorHAnsi" w:hAnsiTheme="majorHAnsi"/>
        </w:rPr>
        <w:t>ării</w:t>
      </w:r>
      <w:r w:rsidR="00156292" w:rsidRPr="008546B5">
        <w:rPr>
          <w:rFonts w:asciiTheme="majorHAnsi" w:hAnsiTheme="majorHAnsi"/>
        </w:rPr>
        <w:t xml:space="preserve"> capitalului social</w:t>
      </w:r>
      <w:r w:rsidR="00E30DD8" w:rsidRPr="008546B5">
        <w:rPr>
          <w:rFonts w:asciiTheme="majorHAnsi" w:hAnsiTheme="majorHAnsi"/>
        </w:rPr>
        <w:t>/patrimoniu</w:t>
      </w:r>
      <w:r w:rsidR="00156292" w:rsidRPr="008546B5">
        <w:rPr>
          <w:rFonts w:asciiTheme="majorHAnsi" w:hAnsiTheme="majorHAnsi"/>
        </w:rPr>
        <w:t xml:space="preserve"> deținut de APTC la </w:t>
      </w:r>
      <w:r w:rsidR="00C17B35" w:rsidRPr="008546B5">
        <w:rPr>
          <w:rFonts w:asciiTheme="majorHAnsi" w:hAnsiTheme="majorHAnsi"/>
          <w:b/>
        </w:rPr>
        <w:t>7</w:t>
      </w:r>
      <w:r w:rsidR="00156292" w:rsidRPr="008546B5">
        <w:rPr>
          <w:rFonts w:asciiTheme="majorHAnsi" w:hAnsiTheme="majorHAnsi"/>
          <w:b/>
        </w:rPr>
        <w:t xml:space="preserve"> ÎPC</w:t>
      </w:r>
      <w:r w:rsidR="00156292" w:rsidRPr="008546B5">
        <w:rPr>
          <w:rFonts w:asciiTheme="majorHAnsi" w:hAnsiTheme="majorHAnsi"/>
        </w:rPr>
        <w:t xml:space="preserve"> active cu suma totală de </w:t>
      </w:r>
      <w:r w:rsidR="00C17B35" w:rsidRPr="008546B5">
        <w:rPr>
          <w:rFonts w:asciiTheme="majorHAnsi" w:hAnsiTheme="majorHAnsi"/>
        </w:rPr>
        <w:t xml:space="preserve"> </w:t>
      </w:r>
      <w:r w:rsidR="00C17B35" w:rsidRPr="008546B5">
        <w:rPr>
          <w:rFonts w:asciiTheme="majorHAnsi" w:hAnsiTheme="majorHAnsi"/>
          <w:b/>
        </w:rPr>
        <w:t xml:space="preserve">27.776 </w:t>
      </w:r>
      <w:r w:rsidR="00156292" w:rsidRPr="008546B5">
        <w:rPr>
          <w:rFonts w:asciiTheme="majorHAnsi" w:hAnsiTheme="majorHAnsi"/>
          <w:b/>
        </w:rPr>
        <w:t>mii lei</w:t>
      </w:r>
      <w:r w:rsidR="00E404E5" w:rsidRPr="008546B5">
        <w:rPr>
          <w:rFonts w:asciiTheme="majorHAnsi" w:hAnsiTheme="majorHAnsi"/>
          <w:b/>
        </w:rPr>
        <w:t xml:space="preserve"> </w:t>
      </w:r>
      <w:r w:rsidR="00C17B35" w:rsidRPr="008546B5">
        <w:rPr>
          <w:rFonts w:asciiTheme="majorHAnsi" w:hAnsiTheme="majorHAnsi"/>
        </w:rPr>
        <w:t xml:space="preserve">și a </w:t>
      </w:r>
      <w:r w:rsidR="00476E1F" w:rsidRPr="008546B5">
        <w:rPr>
          <w:rFonts w:asciiTheme="majorHAnsi" w:hAnsiTheme="majorHAnsi"/>
          <w:b/>
        </w:rPr>
        <w:t>elimin</w:t>
      </w:r>
      <w:r w:rsidR="00C17B35" w:rsidRPr="008546B5">
        <w:rPr>
          <w:rFonts w:asciiTheme="majorHAnsi" w:hAnsiTheme="majorHAnsi"/>
          <w:b/>
        </w:rPr>
        <w:t xml:space="preserve">ării </w:t>
      </w:r>
      <w:r w:rsidR="00476E1F" w:rsidRPr="008546B5">
        <w:rPr>
          <w:rFonts w:asciiTheme="majorHAnsi" w:hAnsiTheme="majorHAnsi"/>
          <w:b/>
        </w:rPr>
        <w:t xml:space="preserve">din acțiunea de monitorizare a unui număr de </w:t>
      </w:r>
      <w:r w:rsidR="002C1EF8" w:rsidRPr="008546B5">
        <w:rPr>
          <w:rFonts w:asciiTheme="majorHAnsi" w:hAnsiTheme="majorHAnsi"/>
          <w:b/>
        </w:rPr>
        <w:t>4</w:t>
      </w:r>
      <w:r w:rsidR="00476E1F" w:rsidRPr="008546B5">
        <w:rPr>
          <w:rFonts w:asciiTheme="majorHAnsi" w:hAnsiTheme="majorHAnsi"/>
          <w:b/>
        </w:rPr>
        <w:t xml:space="preserve"> ÎPC</w:t>
      </w:r>
      <w:r w:rsidR="00476E1F" w:rsidRPr="008546B5">
        <w:rPr>
          <w:rFonts w:asciiTheme="majorHAnsi" w:hAnsiTheme="majorHAnsi"/>
        </w:rPr>
        <w:t xml:space="preserve"> </w:t>
      </w:r>
      <w:r w:rsidR="008546B5">
        <w:rPr>
          <w:rFonts w:asciiTheme="majorHAnsi" w:hAnsiTheme="majorHAnsi"/>
        </w:rPr>
        <w:t>l</w:t>
      </w:r>
      <w:r w:rsidR="00476E1F" w:rsidRPr="008546B5">
        <w:rPr>
          <w:rFonts w:asciiTheme="majorHAnsi" w:hAnsiTheme="majorHAnsi"/>
        </w:rPr>
        <w:t xml:space="preserve">a care APTC dețineau participații în sumă totală de </w:t>
      </w:r>
      <w:r w:rsidR="008546B5" w:rsidRPr="008546B5">
        <w:rPr>
          <w:rFonts w:asciiTheme="majorHAnsi" w:hAnsiTheme="majorHAnsi"/>
          <w:b/>
        </w:rPr>
        <w:t xml:space="preserve">23.097 </w:t>
      </w:r>
      <w:r w:rsidR="00476E1F" w:rsidRPr="008546B5">
        <w:rPr>
          <w:rFonts w:asciiTheme="majorHAnsi" w:hAnsiTheme="majorHAnsi"/>
          <w:b/>
        </w:rPr>
        <w:t>mii lei</w:t>
      </w:r>
      <w:r w:rsidR="008546B5" w:rsidRPr="008546B5">
        <w:rPr>
          <w:rFonts w:asciiTheme="majorHAnsi" w:hAnsiTheme="majorHAnsi"/>
        </w:rPr>
        <w:t>.</w:t>
      </w:r>
    </w:p>
    <w:p w14:paraId="61ACD0DE" w14:textId="77777777" w:rsidR="0047703A" w:rsidRDefault="0047703A" w:rsidP="0095406E">
      <w:pPr>
        <w:jc w:val="both"/>
        <w:rPr>
          <w:rFonts w:asciiTheme="majorHAnsi" w:hAnsiTheme="majorHAnsi"/>
        </w:rPr>
      </w:pPr>
    </w:p>
    <w:p w14:paraId="3DD5B156" w14:textId="77777777" w:rsidR="008546B5" w:rsidRDefault="008546B5" w:rsidP="0095406E">
      <w:pPr>
        <w:jc w:val="both"/>
        <w:rPr>
          <w:rFonts w:asciiTheme="majorHAnsi" w:hAnsiTheme="majorHAnsi"/>
        </w:rPr>
      </w:pPr>
    </w:p>
    <w:p w14:paraId="4A00FE2B" w14:textId="77777777" w:rsidR="008546B5" w:rsidRDefault="008546B5" w:rsidP="0095406E">
      <w:pPr>
        <w:jc w:val="both"/>
        <w:rPr>
          <w:rFonts w:asciiTheme="majorHAnsi" w:hAnsiTheme="majorHAnsi"/>
        </w:rPr>
      </w:pPr>
    </w:p>
    <w:p w14:paraId="23238DDE" w14:textId="77777777" w:rsidR="008546B5" w:rsidRDefault="008546B5" w:rsidP="0095406E">
      <w:pPr>
        <w:jc w:val="both"/>
        <w:rPr>
          <w:rFonts w:asciiTheme="majorHAnsi" w:hAnsiTheme="majorHAnsi"/>
        </w:rPr>
      </w:pPr>
    </w:p>
    <w:p w14:paraId="260633C0" w14:textId="77777777" w:rsidR="008546B5" w:rsidRDefault="008546B5" w:rsidP="0095406E">
      <w:pPr>
        <w:jc w:val="both"/>
        <w:rPr>
          <w:rFonts w:asciiTheme="majorHAnsi" w:hAnsiTheme="majorHAnsi"/>
        </w:rPr>
      </w:pPr>
    </w:p>
    <w:p w14:paraId="56FC05C5" w14:textId="77777777" w:rsidR="008546B5" w:rsidRDefault="008546B5" w:rsidP="0095406E">
      <w:pPr>
        <w:jc w:val="both"/>
        <w:rPr>
          <w:rFonts w:asciiTheme="majorHAnsi" w:hAnsiTheme="majorHAnsi"/>
        </w:rPr>
      </w:pPr>
    </w:p>
    <w:p w14:paraId="1D76392D" w14:textId="77777777" w:rsidR="008546B5" w:rsidRDefault="008546B5" w:rsidP="0095406E">
      <w:pPr>
        <w:jc w:val="both"/>
        <w:rPr>
          <w:rFonts w:asciiTheme="majorHAnsi" w:hAnsiTheme="majorHAnsi"/>
        </w:rPr>
      </w:pPr>
    </w:p>
    <w:p w14:paraId="5B7C2852" w14:textId="77777777" w:rsidR="008546B5" w:rsidRDefault="008546B5" w:rsidP="0095406E">
      <w:pPr>
        <w:jc w:val="both"/>
        <w:rPr>
          <w:rFonts w:asciiTheme="majorHAnsi" w:hAnsiTheme="majorHAnsi"/>
        </w:rPr>
      </w:pPr>
    </w:p>
    <w:p w14:paraId="4523BBBD" w14:textId="77777777" w:rsidR="008546B5" w:rsidRDefault="008546B5" w:rsidP="0095406E">
      <w:pPr>
        <w:jc w:val="both"/>
        <w:rPr>
          <w:rFonts w:asciiTheme="majorHAnsi" w:hAnsiTheme="majorHAnsi"/>
        </w:rPr>
      </w:pPr>
    </w:p>
    <w:p w14:paraId="06E6155C" w14:textId="77777777" w:rsidR="008546B5" w:rsidRDefault="008546B5" w:rsidP="0095406E">
      <w:pPr>
        <w:jc w:val="both"/>
        <w:rPr>
          <w:rFonts w:asciiTheme="majorHAnsi" w:hAnsiTheme="majorHAnsi"/>
        </w:rPr>
      </w:pPr>
    </w:p>
    <w:p w14:paraId="43CE19C7" w14:textId="77777777" w:rsidR="008546B5" w:rsidRDefault="008546B5" w:rsidP="0095406E">
      <w:pPr>
        <w:jc w:val="both"/>
        <w:rPr>
          <w:rFonts w:asciiTheme="majorHAnsi" w:hAnsiTheme="majorHAnsi"/>
        </w:rPr>
      </w:pPr>
    </w:p>
    <w:p w14:paraId="54BFB957" w14:textId="77777777" w:rsidR="008546B5" w:rsidRDefault="008546B5" w:rsidP="0095406E">
      <w:pPr>
        <w:jc w:val="both"/>
        <w:rPr>
          <w:rFonts w:asciiTheme="majorHAnsi" w:hAnsiTheme="majorHAnsi"/>
        </w:rPr>
      </w:pPr>
    </w:p>
    <w:p w14:paraId="5A361479" w14:textId="77777777" w:rsidR="008546B5" w:rsidRDefault="008546B5" w:rsidP="0095406E">
      <w:pPr>
        <w:jc w:val="both"/>
        <w:rPr>
          <w:rFonts w:asciiTheme="majorHAnsi" w:hAnsiTheme="majorHAnsi"/>
        </w:rPr>
      </w:pPr>
    </w:p>
    <w:p w14:paraId="67BC45F0" w14:textId="77777777" w:rsidR="008546B5" w:rsidRDefault="008546B5" w:rsidP="0095406E">
      <w:pPr>
        <w:jc w:val="both"/>
        <w:rPr>
          <w:rFonts w:asciiTheme="majorHAnsi" w:hAnsiTheme="majorHAnsi"/>
        </w:rPr>
      </w:pPr>
    </w:p>
    <w:p w14:paraId="3CD3FC2D" w14:textId="77777777" w:rsidR="008546B5" w:rsidRDefault="008546B5" w:rsidP="0095406E">
      <w:pPr>
        <w:jc w:val="both"/>
        <w:rPr>
          <w:rFonts w:asciiTheme="majorHAnsi" w:hAnsiTheme="majorHAnsi"/>
        </w:rPr>
      </w:pPr>
    </w:p>
    <w:p w14:paraId="2B7E2B15" w14:textId="77777777" w:rsidR="008546B5" w:rsidRDefault="008546B5" w:rsidP="0095406E">
      <w:pPr>
        <w:jc w:val="both"/>
        <w:rPr>
          <w:rFonts w:asciiTheme="majorHAnsi" w:hAnsiTheme="majorHAnsi"/>
        </w:rPr>
      </w:pPr>
    </w:p>
    <w:p w14:paraId="22478B37" w14:textId="77777777" w:rsidR="008546B5" w:rsidRDefault="008546B5" w:rsidP="0095406E">
      <w:pPr>
        <w:jc w:val="both"/>
        <w:rPr>
          <w:rFonts w:asciiTheme="majorHAnsi" w:hAnsiTheme="majorHAnsi"/>
        </w:rPr>
      </w:pPr>
    </w:p>
    <w:p w14:paraId="2DB47481" w14:textId="77777777" w:rsidR="008546B5" w:rsidRPr="00D95C57" w:rsidRDefault="008546B5" w:rsidP="0095406E">
      <w:pPr>
        <w:jc w:val="both"/>
        <w:rPr>
          <w:rFonts w:asciiTheme="majorHAnsi" w:hAnsiTheme="majorHAnsi"/>
        </w:rPr>
      </w:pPr>
    </w:p>
    <w:p w14:paraId="7EE64330" w14:textId="77777777" w:rsidR="0095406E" w:rsidRPr="00D95C57" w:rsidRDefault="0095406E" w:rsidP="0095406E">
      <w:pPr>
        <w:jc w:val="both"/>
        <w:rPr>
          <w:rFonts w:asciiTheme="majorHAnsi" w:hAnsiTheme="majorHAnsi"/>
        </w:rPr>
      </w:pPr>
    </w:p>
    <w:p w14:paraId="62AC8FD5" w14:textId="77777777" w:rsidR="00F1374E" w:rsidRPr="00D95C57" w:rsidRDefault="001B08EB" w:rsidP="00C14854">
      <w:pPr>
        <w:pStyle w:val="ListParagraph"/>
        <w:spacing w:line="240" w:lineRule="auto"/>
        <w:ind w:left="0"/>
        <w:jc w:val="both"/>
        <w:outlineLvl w:val="1"/>
        <w:rPr>
          <w:rFonts w:asciiTheme="majorHAnsi" w:hAnsiTheme="majorHAnsi"/>
          <w:b/>
          <w:bCs/>
          <w:color w:val="0F6FC6" w:themeColor="accent1"/>
          <w:sz w:val="32"/>
          <w:szCs w:val="32"/>
        </w:rPr>
      </w:pPr>
      <w:bookmarkStart w:id="33" w:name="_Toc490763518"/>
      <w:bookmarkStart w:id="34" w:name="_Toc490763699"/>
      <w:bookmarkStart w:id="35" w:name="_Toc490763867"/>
      <w:bookmarkStart w:id="36" w:name="_Toc87875946"/>
      <w:r w:rsidRPr="00D95C57">
        <w:rPr>
          <w:rFonts w:asciiTheme="majorHAnsi" w:hAnsiTheme="majorHAnsi"/>
          <w:b/>
          <w:bCs/>
          <w:color w:val="0F6FC6" w:themeColor="accent1"/>
          <w:sz w:val="32"/>
          <w:szCs w:val="32"/>
        </w:rPr>
        <w:t xml:space="preserve">Capitolul </w:t>
      </w:r>
      <w:r w:rsidR="004F0014">
        <w:rPr>
          <w:rFonts w:asciiTheme="majorHAnsi" w:hAnsiTheme="majorHAnsi"/>
          <w:b/>
          <w:bCs/>
          <w:color w:val="0F6FC6" w:themeColor="accent1"/>
          <w:sz w:val="32"/>
          <w:szCs w:val="32"/>
        </w:rPr>
        <w:t>3</w:t>
      </w:r>
      <w:r w:rsidR="00F1374E" w:rsidRPr="00D95C57">
        <w:rPr>
          <w:rFonts w:asciiTheme="majorHAnsi" w:hAnsiTheme="majorHAnsi"/>
          <w:b/>
          <w:bCs/>
          <w:color w:val="0F6FC6" w:themeColor="accent1"/>
          <w:sz w:val="32"/>
          <w:szCs w:val="32"/>
        </w:rPr>
        <w:t xml:space="preserve"> – Principalii indicatori economico-fina</w:t>
      </w:r>
      <w:r w:rsidR="007B25D5">
        <w:rPr>
          <w:rFonts w:asciiTheme="majorHAnsi" w:hAnsiTheme="majorHAnsi"/>
          <w:b/>
          <w:bCs/>
          <w:color w:val="0F6FC6" w:themeColor="accent1"/>
          <w:sz w:val="32"/>
          <w:szCs w:val="32"/>
        </w:rPr>
        <w:t>nciari înregistrați în anul 2020</w:t>
      </w:r>
      <w:r w:rsidR="00F1374E" w:rsidRPr="00D95C57">
        <w:rPr>
          <w:rFonts w:asciiTheme="majorHAnsi" w:hAnsiTheme="majorHAnsi"/>
          <w:b/>
          <w:bCs/>
          <w:color w:val="0F6FC6" w:themeColor="accent1"/>
          <w:sz w:val="32"/>
          <w:szCs w:val="32"/>
        </w:rPr>
        <w:t xml:space="preserve"> de </w:t>
      </w:r>
      <w:bookmarkEnd w:id="33"/>
      <w:bookmarkEnd w:id="34"/>
      <w:bookmarkEnd w:id="35"/>
      <w:r w:rsidR="00C5496F" w:rsidRPr="00D95C57">
        <w:rPr>
          <w:rFonts w:asciiTheme="majorHAnsi" w:hAnsiTheme="majorHAnsi"/>
          <w:b/>
          <w:bCs/>
          <w:color w:val="0F6FC6" w:themeColor="accent1"/>
          <w:sz w:val="32"/>
          <w:szCs w:val="32"/>
        </w:rPr>
        <w:t xml:space="preserve">întreprinderile </w:t>
      </w:r>
      <w:r w:rsidR="00110AFD" w:rsidRPr="00D95C57">
        <w:rPr>
          <w:rFonts w:asciiTheme="majorHAnsi" w:hAnsiTheme="majorHAnsi"/>
          <w:b/>
          <w:bCs/>
          <w:color w:val="0F6FC6" w:themeColor="accent1"/>
          <w:sz w:val="32"/>
          <w:szCs w:val="32"/>
        </w:rPr>
        <w:t>publice centrale</w:t>
      </w:r>
      <w:bookmarkEnd w:id="36"/>
      <w:r w:rsidR="00466473" w:rsidRPr="00D95C57">
        <w:rPr>
          <w:rFonts w:asciiTheme="majorHAnsi" w:hAnsiTheme="majorHAnsi"/>
          <w:b/>
          <w:bCs/>
          <w:color w:val="0F6FC6" w:themeColor="accent1"/>
          <w:sz w:val="32"/>
          <w:szCs w:val="32"/>
        </w:rPr>
        <w:t xml:space="preserve"> </w:t>
      </w:r>
    </w:p>
    <w:p w14:paraId="1116C0EA" w14:textId="77777777" w:rsidR="0095406E" w:rsidRPr="00D95C57" w:rsidRDefault="0095406E" w:rsidP="00C14854">
      <w:pPr>
        <w:pStyle w:val="ListParagraph"/>
        <w:spacing w:line="240" w:lineRule="auto"/>
        <w:rPr>
          <w:rFonts w:asciiTheme="majorHAnsi" w:hAnsiTheme="majorHAnsi" w:cstheme="majorBidi"/>
          <w:color w:val="0F6FC6" w:themeColor="accent1"/>
        </w:rPr>
      </w:pPr>
    </w:p>
    <w:p w14:paraId="30F37F04" w14:textId="77777777" w:rsidR="00500D2F" w:rsidRPr="00D95C57" w:rsidRDefault="004F0014" w:rsidP="00C14854">
      <w:pPr>
        <w:pStyle w:val="ListParagraph"/>
        <w:spacing w:line="240" w:lineRule="auto"/>
        <w:ind w:left="0" w:right="-144"/>
        <w:outlineLvl w:val="2"/>
        <w:rPr>
          <w:rFonts w:asciiTheme="majorHAnsi" w:hAnsiTheme="majorHAnsi"/>
          <w:b/>
          <w:bCs/>
          <w:color w:val="0F6FC6" w:themeColor="accent1"/>
          <w:sz w:val="28"/>
          <w:szCs w:val="28"/>
        </w:rPr>
      </w:pPr>
      <w:bookmarkStart w:id="37" w:name="_Toc87875947"/>
      <w:r>
        <w:rPr>
          <w:rFonts w:asciiTheme="majorHAnsi" w:hAnsiTheme="majorHAnsi"/>
          <w:b/>
          <w:bCs/>
          <w:color w:val="0F6FC6" w:themeColor="accent1"/>
          <w:sz w:val="28"/>
          <w:szCs w:val="28"/>
        </w:rPr>
        <w:t>3</w:t>
      </w:r>
      <w:r w:rsidR="00500D2F" w:rsidRPr="00D95C57">
        <w:rPr>
          <w:rFonts w:asciiTheme="majorHAnsi" w:hAnsiTheme="majorHAnsi"/>
          <w:b/>
          <w:bCs/>
          <w:color w:val="0F6FC6" w:themeColor="accent1"/>
          <w:sz w:val="28"/>
          <w:szCs w:val="28"/>
        </w:rPr>
        <w:t>.1 – Principalii indicatori economico-financiari ai întreprinderilor publice centrale active</w:t>
      </w:r>
      <w:bookmarkEnd w:id="37"/>
    </w:p>
    <w:p w14:paraId="085C842A" w14:textId="77777777" w:rsidR="004C7E6F" w:rsidRPr="004C7E6F" w:rsidRDefault="004C7E6F" w:rsidP="004C7E6F">
      <w:pPr>
        <w:spacing w:line="240" w:lineRule="auto"/>
        <w:rPr>
          <w:rFonts w:asciiTheme="majorHAnsi" w:eastAsia="Times New Roman" w:hAnsiTheme="majorHAnsi" w:cs="Times New Roman"/>
          <w:lang w:eastAsia="ro-RO"/>
        </w:rPr>
      </w:pPr>
      <w:r w:rsidRPr="004C7E6F">
        <w:rPr>
          <w:rFonts w:asciiTheme="majorHAnsi" w:eastAsia="Times New Roman" w:hAnsiTheme="majorHAnsi" w:cs="Times New Roman"/>
          <w:lang w:eastAsia="ro-RO"/>
        </w:rPr>
        <w:t>TABEL - Evoluția unor indicatori economico-financiari înregistrați de ÎPC la 31 decembrie 2020 în perioada 2018-2020, determinată prin însumarea datelor din situațiile financiare anuale:</w:t>
      </w:r>
    </w:p>
    <w:tbl>
      <w:tblPr>
        <w:tblW w:w="9114" w:type="dxa"/>
        <w:tblInd w:w="108" w:type="dxa"/>
        <w:tblLook w:val="04A0" w:firstRow="1" w:lastRow="0" w:firstColumn="1" w:lastColumn="0" w:noHBand="0" w:noVBand="1"/>
      </w:tblPr>
      <w:tblGrid>
        <w:gridCol w:w="3600"/>
        <w:gridCol w:w="1033"/>
        <w:gridCol w:w="581"/>
        <w:gridCol w:w="1439"/>
        <w:gridCol w:w="1439"/>
        <w:gridCol w:w="1022"/>
      </w:tblGrid>
      <w:tr w:rsidR="004C7E6F" w:rsidRPr="00E14BDC" w14:paraId="4F982F2B" w14:textId="77777777" w:rsidTr="004C7E6F">
        <w:trPr>
          <w:trHeight w:val="581"/>
        </w:trPr>
        <w:tc>
          <w:tcPr>
            <w:tcW w:w="3600" w:type="dxa"/>
            <w:vMerge w:val="restart"/>
            <w:tcBorders>
              <w:top w:val="single" w:sz="4" w:space="0" w:color="9BC2E6"/>
              <w:left w:val="single" w:sz="4" w:space="0" w:color="FFFFFF"/>
              <w:bottom w:val="single" w:sz="4" w:space="0" w:color="FFFFFF"/>
              <w:right w:val="nil"/>
            </w:tcBorders>
            <w:shd w:val="clear" w:color="187672" w:fill="FFFFFF"/>
            <w:hideMark/>
          </w:tcPr>
          <w:p w14:paraId="6046EC37" w14:textId="77777777" w:rsidR="004C7E6F" w:rsidRPr="004C7E6F" w:rsidRDefault="004C7E6F" w:rsidP="004C7E6F">
            <w:pPr>
              <w:spacing w:before="0" w:after="0" w:line="240" w:lineRule="auto"/>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Indicatori economico-financiari</w:t>
            </w:r>
          </w:p>
        </w:tc>
        <w:tc>
          <w:tcPr>
            <w:tcW w:w="1033" w:type="dxa"/>
            <w:vMerge w:val="restart"/>
            <w:tcBorders>
              <w:top w:val="single" w:sz="4" w:space="0" w:color="9BC2E6"/>
              <w:left w:val="nil"/>
              <w:bottom w:val="single" w:sz="4" w:space="0" w:color="9BC2E6"/>
              <w:right w:val="nil"/>
            </w:tcBorders>
            <w:shd w:val="clear" w:color="000000" w:fill="FFFFFF"/>
            <w:noWrap/>
            <w:hideMark/>
          </w:tcPr>
          <w:p w14:paraId="1BE0D339" w14:textId="77777777" w:rsidR="004C7E6F" w:rsidRPr="004C7E6F" w:rsidRDefault="004C7E6F" w:rsidP="004C7E6F">
            <w:pPr>
              <w:spacing w:before="0" w:after="0" w:line="240" w:lineRule="auto"/>
              <w:jc w:val="right"/>
              <w:rPr>
                <w:rFonts w:ascii="Calibri" w:eastAsia="Times New Roman" w:hAnsi="Calibri" w:cs="Times New Roman"/>
                <w:b/>
                <w:bCs/>
                <w:color w:val="0F6FC6" w:themeColor="accent1"/>
                <w:sz w:val="14"/>
                <w:szCs w:val="14"/>
                <w:lang w:eastAsia="ro-RO"/>
              </w:rPr>
            </w:pPr>
            <w:r w:rsidRPr="004C7E6F">
              <w:rPr>
                <w:rFonts w:ascii="Calibri" w:eastAsia="Times New Roman" w:hAnsi="Calibri" w:cs="Times New Roman"/>
                <w:b/>
                <w:bCs/>
                <w:color w:val="0F6FC6" w:themeColor="accent1"/>
                <w:sz w:val="14"/>
                <w:szCs w:val="14"/>
                <w:lang w:eastAsia="ro-RO"/>
              </w:rPr>
              <w:t>U.M.</w:t>
            </w:r>
          </w:p>
        </w:tc>
        <w:tc>
          <w:tcPr>
            <w:tcW w:w="581" w:type="dxa"/>
            <w:vMerge w:val="restart"/>
            <w:tcBorders>
              <w:top w:val="single" w:sz="4" w:space="0" w:color="9BC2E6"/>
              <w:left w:val="single" w:sz="4" w:space="0" w:color="FFFFFF"/>
              <w:bottom w:val="single" w:sz="4" w:space="0" w:color="9BC2E6"/>
              <w:right w:val="nil"/>
            </w:tcBorders>
            <w:shd w:val="clear" w:color="187672" w:fill="FFFFFF"/>
            <w:hideMark/>
          </w:tcPr>
          <w:p w14:paraId="1B13F200"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Anul</w:t>
            </w:r>
          </w:p>
        </w:tc>
        <w:tc>
          <w:tcPr>
            <w:tcW w:w="1439" w:type="dxa"/>
            <w:vMerge w:val="restart"/>
            <w:tcBorders>
              <w:top w:val="single" w:sz="4" w:space="0" w:color="9BC2E6"/>
              <w:left w:val="single" w:sz="4" w:space="0" w:color="FFFFFF"/>
              <w:bottom w:val="single" w:sz="4" w:space="0" w:color="9BC2E6"/>
              <w:right w:val="nil"/>
            </w:tcBorders>
            <w:shd w:val="clear" w:color="187672" w:fill="FFFFFF"/>
            <w:hideMark/>
          </w:tcPr>
          <w:p w14:paraId="673797A1"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 xml:space="preserve">Întreprinderi publice care au date comparative pe întreaga perioadă </w:t>
            </w:r>
          </w:p>
        </w:tc>
        <w:tc>
          <w:tcPr>
            <w:tcW w:w="1439" w:type="dxa"/>
            <w:vMerge w:val="restart"/>
            <w:tcBorders>
              <w:top w:val="single" w:sz="4" w:space="0" w:color="9BC2E6"/>
              <w:left w:val="single" w:sz="4" w:space="0" w:color="FFFFFF"/>
              <w:bottom w:val="single" w:sz="4" w:space="0" w:color="9BC2E6"/>
              <w:right w:val="nil"/>
            </w:tcBorders>
            <w:shd w:val="clear" w:color="187672" w:fill="FFFFFF"/>
            <w:hideMark/>
          </w:tcPr>
          <w:p w14:paraId="5AC0ED14"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Întreprinderi publice care nu au date comparative pe întreaga perioadă</w:t>
            </w:r>
          </w:p>
        </w:tc>
        <w:tc>
          <w:tcPr>
            <w:tcW w:w="1022" w:type="dxa"/>
            <w:vMerge w:val="restart"/>
            <w:tcBorders>
              <w:top w:val="single" w:sz="4" w:space="0" w:color="9BC2E6"/>
              <w:left w:val="single" w:sz="4" w:space="0" w:color="FFFFFF"/>
              <w:bottom w:val="single" w:sz="4" w:space="0" w:color="9BC2E6"/>
              <w:right w:val="nil"/>
            </w:tcBorders>
            <w:shd w:val="clear" w:color="187672" w:fill="FFFFFF"/>
            <w:hideMark/>
          </w:tcPr>
          <w:p w14:paraId="36540031"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Total general ÎPC Active</w:t>
            </w:r>
          </w:p>
        </w:tc>
      </w:tr>
      <w:tr w:rsidR="004C7E6F" w:rsidRPr="00E14BDC" w14:paraId="1E45652E" w14:textId="77777777" w:rsidTr="004C7E6F">
        <w:trPr>
          <w:trHeight w:val="581"/>
        </w:trPr>
        <w:tc>
          <w:tcPr>
            <w:tcW w:w="3600" w:type="dxa"/>
            <w:vMerge/>
            <w:tcBorders>
              <w:top w:val="single" w:sz="4" w:space="0" w:color="9BC2E6"/>
              <w:left w:val="single" w:sz="4" w:space="0" w:color="FFFFFF"/>
              <w:bottom w:val="single" w:sz="4" w:space="0" w:color="FFFFFF"/>
              <w:right w:val="nil"/>
            </w:tcBorders>
            <w:hideMark/>
          </w:tcPr>
          <w:p w14:paraId="1C565685"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p>
        </w:tc>
        <w:tc>
          <w:tcPr>
            <w:tcW w:w="1033" w:type="dxa"/>
            <w:vMerge/>
            <w:tcBorders>
              <w:top w:val="single" w:sz="4" w:space="0" w:color="9BC2E6"/>
              <w:left w:val="nil"/>
              <w:bottom w:val="single" w:sz="4" w:space="0" w:color="9BC2E6"/>
              <w:right w:val="nil"/>
            </w:tcBorders>
            <w:hideMark/>
          </w:tcPr>
          <w:p w14:paraId="3741F440" w14:textId="77777777" w:rsidR="004C7E6F" w:rsidRPr="004C7E6F" w:rsidRDefault="004C7E6F" w:rsidP="004C7E6F">
            <w:pPr>
              <w:spacing w:before="0" w:after="0" w:line="240" w:lineRule="auto"/>
              <w:jc w:val="right"/>
              <w:rPr>
                <w:rFonts w:ascii="Calibri" w:eastAsia="Times New Roman" w:hAnsi="Calibri" w:cs="Times New Roman"/>
                <w:b/>
                <w:bCs/>
                <w:color w:val="0F6FC6" w:themeColor="accent1"/>
                <w:sz w:val="14"/>
                <w:szCs w:val="14"/>
                <w:lang w:eastAsia="ro-RO"/>
              </w:rPr>
            </w:pPr>
          </w:p>
        </w:tc>
        <w:tc>
          <w:tcPr>
            <w:tcW w:w="581" w:type="dxa"/>
            <w:vMerge/>
            <w:tcBorders>
              <w:top w:val="single" w:sz="4" w:space="0" w:color="9BC2E6"/>
              <w:left w:val="single" w:sz="4" w:space="0" w:color="FFFFFF"/>
              <w:bottom w:val="single" w:sz="4" w:space="0" w:color="9BC2E6"/>
              <w:right w:val="nil"/>
            </w:tcBorders>
            <w:hideMark/>
          </w:tcPr>
          <w:p w14:paraId="7843FD1C"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p>
        </w:tc>
        <w:tc>
          <w:tcPr>
            <w:tcW w:w="1439" w:type="dxa"/>
            <w:vMerge/>
            <w:tcBorders>
              <w:top w:val="single" w:sz="4" w:space="0" w:color="9BC2E6"/>
              <w:left w:val="single" w:sz="4" w:space="0" w:color="FFFFFF"/>
              <w:bottom w:val="single" w:sz="4" w:space="0" w:color="9BC2E6"/>
              <w:right w:val="nil"/>
            </w:tcBorders>
            <w:hideMark/>
          </w:tcPr>
          <w:p w14:paraId="63520E69"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p>
        </w:tc>
        <w:tc>
          <w:tcPr>
            <w:tcW w:w="1439" w:type="dxa"/>
            <w:vMerge/>
            <w:tcBorders>
              <w:top w:val="single" w:sz="4" w:space="0" w:color="9BC2E6"/>
              <w:left w:val="single" w:sz="4" w:space="0" w:color="FFFFFF"/>
              <w:bottom w:val="single" w:sz="4" w:space="0" w:color="9BC2E6"/>
              <w:right w:val="nil"/>
            </w:tcBorders>
            <w:hideMark/>
          </w:tcPr>
          <w:p w14:paraId="5DFFBA12"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p>
        </w:tc>
        <w:tc>
          <w:tcPr>
            <w:tcW w:w="1022" w:type="dxa"/>
            <w:vMerge/>
            <w:tcBorders>
              <w:top w:val="single" w:sz="4" w:space="0" w:color="9BC2E6"/>
              <w:left w:val="single" w:sz="4" w:space="0" w:color="FFFFFF"/>
              <w:bottom w:val="single" w:sz="4" w:space="0" w:color="9BC2E6"/>
              <w:right w:val="nil"/>
            </w:tcBorders>
            <w:hideMark/>
          </w:tcPr>
          <w:p w14:paraId="36921BE8"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p>
        </w:tc>
      </w:tr>
      <w:tr w:rsidR="004C7E6F" w:rsidRPr="00E14BDC" w14:paraId="3451182D" w14:textId="77777777" w:rsidTr="004C7E6F">
        <w:trPr>
          <w:trHeight w:val="251"/>
        </w:trPr>
        <w:tc>
          <w:tcPr>
            <w:tcW w:w="3600" w:type="dxa"/>
            <w:tcBorders>
              <w:top w:val="nil"/>
              <w:left w:val="single" w:sz="4" w:space="0" w:color="FFFFFF"/>
              <w:bottom w:val="nil"/>
              <w:right w:val="nil"/>
            </w:tcBorders>
            <w:shd w:val="clear" w:color="187672" w:fill="FFFFFF"/>
            <w:hideMark/>
          </w:tcPr>
          <w:p w14:paraId="67475DA4"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 </w:t>
            </w:r>
          </w:p>
        </w:tc>
        <w:tc>
          <w:tcPr>
            <w:tcW w:w="1033" w:type="dxa"/>
            <w:vMerge/>
            <w:tcBorders>
              <w:top w:val="single" w:sz="4" w:space="0" w:color="9BC2E6"/>
              <w:left w:val="nil"/>
              <w:bottom w:val="single" w:sz="4" w:space="0" w:color="9BC2E6"/>
              <w:right w:val="nil"/>
            </w:tcBorders>
            <w:hideMark/>
          </w:tcPr>
          <w:p w14:paraId="37E044CE" w14:textId="77777777" w:rsidR="004C7E6F" w:rsidRPr="004C7E6F" w:rsidRDefault="004C7E6F" w:rsidP="004C7E6F">
            <w:pPr>
              <w:spacing w:before="0" w:after="0" w:line="240" w:lineRule="auto"/>
              <w:jc w:val="right"/>
              <w:rPr>
                <w:rFonts w:ascii="Calibri" w:eastAsia="Times New Roman" w:hAnsi="Calibri" w:cs="Times New Roman"/>
                <w:b/>
                <w:bCs/>
                <w:color w:val="0F6FC6" w:themeColor="accent1"/>
                <w:sz w:val="14"/>
                <w:szCs w:val="14"/>
                <w:lang w:eastAsia="ro-RO"/>
              </w:rPr>
            </w:pPr>
          </w:p>
        </w:tc>
        <w:tc>
          <w:tcPr>
            <w:tcW w:w="581" w:type="dxa"/>
            <w:tcBorders>
              <w:top w:val="nil"/>
              <w:left w:val="single" w:sz="4" w:space="0" w:color="FFFFFF"/>
              <w:bottom w:val="nil"/>
              <w:right w:val="nil"/>
            </w:tcBorders>
            <w:shd w:val="clear" w:color="187672" w:fill="FFFFFF"/>
            <w:hideMark/>
          </w:tcPr>
          <w:p w14:paraId="31BC5FB7" w14:textId="77777777" w:rsidR="004C7E6F" w:rsidRPr="004C7E6F" w:rsidRDefault="004C7E6F" w:rsidP="004C7E6F">
            <w:pPr>
              <w:spacing w:before="0" w:after="0" w:line="240" w:lineRule="auto"/>
              <w:jc w:val="right"/>
              <w:rPr>
                <w:rFonts w:ascii="Calibri" w:eastAsia="Times New Roman" w:hAnsi="Calibri" w:cs="Times New Roman"/>
                <w:color w:val="0F6FC6" w:themeColor="accent1"/>
                <w:sz w:val="16"/>
                <w:szCs w:val="16"/>
                <w:lang w:eastAsia="ro-RO"/>
              </w:rPr>
            </w:pPr>
            <w:r w:rsidRPr="004C7E6F">
              <w:rPr>
                <w:rFonts w:ascii="Calibri" w:eastAsia="Times New Roman" w:hAnsi="Calibri" w:cs="Times New Roman"/>
                <w:color w:val="0F6FC6" w:themeColor="accent1"/>
                <w:sz w:val="16"/>
                <w:szCs w:val="16"/>
                <w:lang w:eastAsia="ro-RO"/>
              </w:rPr>
              <w:t> </w:t>
            </w:r>
          </w:p>
        </w:tc>
        <w:tc>
          <w:tcPr>
            <w:tcW w:w="1439" w:type="dxa"/>
            <w:tcBorders>
              <w:top w:val="nil"/>
              <w:left w:val="nil"/>
              <w:bottom w:val="nil"/>
              <w:right w:val="nil"/>
            </w:tcBorders>
            <w:shd w:val="clear" w:color="000000" w:fill="FFFFFF"/>
            <w:hideMark/>
          </w:tcPr>
          <w:p w14:paraId="22B0B0E5" w14:textId="77777777" w:rsidR="004C7E6F" w:rsidRPr="004C7E6F" w:rsidRDefault="004C7E6F" w:rsidP="004C7E6F">
            <w:pPr>
              <w:spacing w:before="0" w:after="0" w:line="240" w:lineRule="auto"/>
              <w:jc w:val="right"/>
              <w:rPr>
                <w:rFonts w:ascii="Calibri" w:eastAsia="Times New Roman" w:hAnsi="Calibri" w:cs="Times New Roman"/>
                <w:b/>
                <w:bCs/>
                <w:i/>
                <w:iCs/>
                <w:color w:val="0F6FC6" w:themeColor="accent1"/>
                <w:sz w:val="14"/>
                <w:szCs w:val="14"/>
                <w:lang w:eastAsia="ro-RO"/>
              </w:rPr>
            </w:pPr>
            <w:r w:rsidRPr="004C7E6F">
              <w:rPr>
                <w:rFonts w:ascii="Calibri" w:eastAsia="Times New Roman" w:hAnsi="Calibri" w:cs="Times New Roman"/>
                <w:b/>
                <w:bCs/>
                <w:i/>
                <w:iCs/>
                <w:color w:val="0F6FC6" w:themeColor="accent1"/>
                <w:sz w:val="14"/>
                <w:szCs w:val="14"/>
                <w:lang w:eastAsia="ro-RO"/>
              </w:rPr>
              <w:t>1</w:t>
            </w:r>
          </w:p>
        </w:tc>
        <w:tc>
          <w:tcPr>
            <w:tcW w:w="1439" w:type="dxa"/>
            <w:tcBorders>
              <w:top w:val="nil"/>
              <w:left w:val="nil"/>
              <w:bottom w:val="nil"/>
              <w:right w:val="nil"/>
            </w:tcBorders>
            <w:shd w:val="clear" w:color="000000" w:fill="FFFFFF"/>
            <w:hideMark/>
          </w:tcPr>
          <w:p w14:paraId="6F7F0A9E" w14:textId="77777777" w:rsidR="004C7E6F" w:rsidRPr="004C7E6F" w:rsidRDefault="004C7E6F" w:rsidP="004C7E6F">
            <w:pPr>
              <w:spacing w:before="0" w:after="0" w:line="240" w:lineRule="auto"/>
              <w:jc w:val="right"/>
              <w:rPr>
                <w:rFonts w:ascii="Calibri" w:eastAsia="Times New Roman" w:hAnsi="Calibri" w:cs="Times New Roman"/>
                <w:b/>
                <w:bCs/>
                <w:i/>
                <w:iCs/>
                <w:color w:val="0F6FC6" w:themeColor="accent1"/>
                <w:sz w:val="14"/>
                <w:szCs w:val="14"/>
                <w:lang w:eastAsia="ro-RO"/>
              </w:rPr>
            </w:pPr>
            <w:r w:rsidRPr="004C7E6F">
              <w:rPr>
                <w:rFonts w:ascii="Calibri" w:eastAsia="Times New Roman" w:hAnsi="Calibri" w:cs="Times New Roman"/>
                <w:b/>
                <w:bCs/>
                <w:i/>
                <w:iCs/>
                <w:color w:val="0F6FC6" w:themeColor="accent1"/>
                <w:sz w:val="14"/>
                <w:szCs w:val="14"/>
                <w:lang w:eastAsia="ro-RO"/>
              </w:rPr>
              <w:t>2</w:t>
            </w:r>
          </w:p>
        </w:tc>
        <w:tc>
          <w:tcPr>
            <w:tcW w:w="1022" w:type="dxa"/>
            <w:tcBorders>
              <w:top w:val="nil"/>
              <w:left w:val="nil"/>
              <w:bottom w:val="nil"/>
              <w:right w:val="nil"/>
            </w:tcBorders>
            <w:shd w:val="clear" w:color="000000" w:fill="FFFFFF"/>
            <w:hideMark/>
          </w:tcPr>
          <w:p w14:paraId="77C74FE6" w14:textId="77777777" w:rsidR="004C7E6F" w:rsidRPr="004C7E6F" w:rsidRDefault="004C7E6F" w:rsidP="004C7E6F">
            <w:pPr>
              <w:spacing w:before="0" w:after="0" w:line="240" w:lineRule="auto"/>
              <w:jc w:val="right"/>
              <w:rPr>
                <w:rFonts w:ascii="Calibri" w:eastAsia="Times New Roman" w:hAnsi="Calibri" w:cs="Times New Roman"/>
                <w:i/>
                <w:iCs/>
                <w:color w:val="0F6FC6" w:themeColor="accent1"/>
                <w:sz w:val="14"/>
                <w:szCs w:val="14"/>
                <w:lang w:eastAsia="ro-RO"/>
              </w:rPr>
            </w:pPr>
            <w:r w:rsidRPr="004C7E6F">
              <w:rPr>
                <w:rFonts w:ascii="Calibri" w:eastAsia="Times New Roman" w:hAnsi="Calibri" w:cs="Times New Roman"/>
                <w:i/>
                <w:iCs/>
                <w:color w:val="0F6FC6" w:themeColor="accent1"/>
                <w:sz w:val="14"/>
                <w:szCs w:val="14"/>
                <w:lang w:eastAsia="ro-RO"/>
              </w:rPr>
              <w:t>3=1+2</w:t>
            </w:r>
          </w:p>
        </w:tc>
      </w:tr>
      <w:tr w:rsidR="004C7E6F" w:rsidRPr="00E14BDC" w14:paraId="67B2A86A" w14:textId="77777777" w:rsidTr="004C7E6F">
        <w:trPr>
          <w:trHeight w:val="204"/>
        </w:trPr>
        <w:tc>
          <w:tcPr>
            <w:tcW w:w="3600" w:type="dxa"/>
            <w:vMerge w:val="restart"/>
            <w:tcBorders>
              <w:top w:val="single" w:sz="4" w:space="0" w:color="9BC2E6"/>
              <w:left w:val="nil"/>
              <w:bottom w:val="single" w:sz="4" w:space="0" w:color="9BC2E6"/>
              <w:right w:val="single" w:sz="4" w:space="0" w:color="DDEBF7"/>
            </w:tcBorders>
            <w:shd w:val="clear" w:color="000000" w:fill="FFFFFF"/>
            <w:hideMark/>
          </w:tcPr>
          <w:p w14:paraId="2619464C"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Număr întreprinderi publice</w:t>
            </w:r>
          </w:p>
        </w:tc>
        <w:tc>
          <w:tcPr>
            <w:tcW w:w="1033" w:type="dxa"/>
            <w:tcBorders>
              <w:top w:val="nil"/>
              <w:left w:val="nil"/>
              <w:bottom w:val="single" w:sz="4" w:space="0" w:color="9BC2E6"/>
              <w:right w:val="single" w:sz="4" w:space="0" w:color="DDEBF7"/>
            </w:tcBorders>
            <w:shd w:val="clear" w:color="000000" w:fill="FFFFFF"/>
            <w:vAlign w:val="center"/>
            <w:hideMark/>
          </w:tcPr>
          <w:p w14:paraId="32AAA42E"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nr. ÎPC</w:t>
            </w:r>
          </w:p>
        </w:tc>
        <w:tc>
          <w:tcPr>
            <w:tcW w:w="581" w:type="dxa"/>
            <w:tcBorders>
              <w:top w:val="single" w:sz="4" w:space="0" w:color="9BC2E6"/>
              <w:left w:val="nil"/>
              <w:bottom w:val="single" w:sz="4" w:space="0" w:color="9BC2E6"/>
              <w:right w:val="single" w:sz="4" w:space="0" w:color="DDEBF7"/>
            </w:tcBorders>
            <w:shd w:val="clear" w:color="000000" w:fill="FFFFFF"/>
            <w:vAlign w:val="center"/>
            <w:hideMark/>
          </w:tcPr>
          <w:p w14:paraId="576958FE"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single" w:sz="4" w:space="0" w:color="9BC2E6"/>
              <w:left w:val="nil"/>
              <w:bottom w:val="single" w:sz="4" w:space="0" w:color="9BC2E6"/>
              <w:right w:val="single" w:sz="4" w:space="0" w:color="DDEBF7"/>
            </w:tcBorders>
            <w:shd w:val="clear" w:color="000000" w:fill="FFFFFF"/>
            <w:noWrap/>
            <w:vAlign w:val="center"/>
            <w:hideMark/>
          </w:tcPr>
          <w:p w14:paraId="7F87F1C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220</w:t>
            </w:r>
          </w:p>
        </w:tc>
        <w:tc>
          <w:tcPr>
            <w:tcW w:w="1439" w:type="dxa"/>
            <w:tcBorders>
              <w:top w:val="single" w:sz="4" w:space="0" w:color="9BC2E6"/>
              <w:left w:val="nil"/>
              <w:bottom w:val="single" w:sz="4" w:space="0" w:color="9BC2E6"/>
              <w:right w:val="single" w:sz="4" w:space="0" w:color="DDEBF7"/>
            </w:tcBorders>
            <w:shd w:val="clear" w:color="000000" w:fill="FFFFFF"/>
            <w:noWrap/>
            <w:vAlign w:val="center"/>
            <w:hideMark/>
          </w:tcPr>
          <w:p w14:paraId="1D53092E"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single" w:sz="4" w:space="0" w:color="9BC2E6"/>
              <w:left w:val="nil"/>
              <w:bottom w:val="single" w:sz="4" w:space="0" w:color="9BC2E6"/>
              <w:right w:val="single" w:sz="4" w:space="0" w:color="DDEBF7"/>
            </w:tcBorders>
            <w:shd w:val="clear" w:color="000000" w:fill="FFFFFF"/>
            <w:noWrap/>
            <w:vAlign w:val="center"/>
            <w:hideMark/>
          </w:tcPr>
          <w:p w14:paraId="1593F1D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220</w:t>
            </w:r>
          </w:p>
        </w:tc>
      </w:tr>
      <w:tr w:rsidR="004C7E6F" w:rsidRPr="00E14BDC" w14:paraId="3C8136D1" w14:textId="77777777" w:rsidTr="004C7E6F">
        <w:trPr>
          <w:trHeight w:val="204"/>
        </w:trPr>
        <w:tc>
          <w:tcPr>
            <w:tcW w:w="3600" w:type="dxa"/>
            <w:vMerge/>
            <w:tcBorders>
              <w:top w:val="single" w:sz="4" w:space="0" w:color="9BC2E6"/>
              <w:left w:val="nil"/>
              <w:bottom w:val="single" w:sz="4" w:space="0" w:color="9BC2E6"/>
              <w:right w:val="single" w:sz="4" w:space="0" w:color="DDEBF7"/>
            </w:tcBorders>
            <w:vAlign w:val="center"/>
            <w:hideMark/>
          </w:tcPr>
          <w:p w14:paraId="4BF3D162"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DDEBF7"/>
            </w:tcBorders>
            <w:shd w:val="clear" w:color="000000" w:fill="FFFFFF"/>
            <w:vAlign w:val="center"/>
            <w:hideMark/>
          </w:tcPr>
          <w:p w14:paraId="63B48580"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nr. ÎPC</w:t>
            </w:r>
          </w:p>
        </w:tc>
        <w:tc>
          <w:tcPr>
            <w:tcW w:w="581" w:type="dxa"/>
            <w:tcBorders>
              <w:top w:val="nil"/>
              <w:left w:val="nil"/>
              <w:bottom w:val="single" w:sz="4" w:space="0" w:color="9BC2E6"/>
              <w:right w:val="single" w:sz="4" w:space="0" w:color="DDEBF7"/>
            </w:tcBorders>
            <w:shd w:val="clear" w:color="000000" w:fill="FFFFFF"/>
            <w:vAlign w:val="center"/>
            <w:hideMark/>
          </w:tcPr>
          <w:p w14:paraId="1F7264BB"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DDEBF7"/>
            </w:tcBorders>
            <w:shd w:val="clear" w:color="000000" w:fill="FFFFFF"/>
            <w:noWrap/>
            <w:vAlign w:val="center"/>
            <w:hideMark/>
          </w:tcPr>
          <w:p w14:paraId="028F1CA0"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220</w:t>
            </w:r>
          </w:p>
        </w:tc>
        <w:tc>
          <w:tcPr>
            <w:tcW w:w="1439" w:type="dxa"/>
            <w:tcBorders>
              <w:top w:val="nil"/>
              <w:left w:val="nil"/>
              <w:bottom w:val="single" w:sz="4" w:space="0" w:color="9BC2E6"/>
              <w:right w:val="single" w:sz="4" w:space="0" w:color="DDEBF7"/>
            </w:tcBorders>
            <w:shd w:val="clear" w:color="000000" w:fill="FFFFFF"/>
            <w:noWrap/>
            <w:vAlign w:val="center"/>
            <w:hideMark/>
          </w:tcPr>
          <w:p w14:paraId="4749CC90"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w:t>
            </w:r>
          </w:p>
        </w:tc>
        <w:tc>
          <w:tcPr>
            <w:tcW w:w="1022" w:type="dxa"/>
            <w:tcBorders>
              <w:top w:val="nil"/>
              <w:left w:val="nil"/>
              <w:bottom w:val="single" w:sz="4" w:space="0" w:color="9BC2E6"/>
              <w:right w:val="single" w:sz="4" w:space="0" w:color="DDEBF7"/>
            </w:tcBorders>
            <w:shd w:val="clear" w:color="000000" w:fill="FFFFFF"/>
            <w:noWrap/>
            <w:vAlign w:val="center"/>
            <w:hideMark/>
          </w:tcPr>
          <w:p w14:paraId="7539911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222</w:t>
            </w:r>
          </w:p>
        </w:tc>
      </w:tr>
      <w:tr w:rsidR="004C7E6F" w:rsidRPr="00E14BDC" w14:paraId="480FE9DA" w14:textId="77777777" w:rsidTr="004C7E6F">
        <w:trPr>
          <w:trHeight w:val="204"/>
        </w:trPr>
        <w:tc>
          <w:tcPr>
            <w:tcW w:w="3600" w:type="dxa"/>
            <w:vMerge/>
            <w:tcBorders>
              <w:top w:val="single" w:sz="4" w:space="0" w:color="9BC2E6"/>
              <w:left w:val="nil"/>
              <w:bottom w:val="single" w:sz="4" w:space="0" w:color="9BC2E6"/>
              <w:right w:val="single" w:sz="4" w:space="0" w:color="DDEBF7"/>
            </w:tcBorders>
            <w:vAlign w:val="center"/>
            <w:hideMark/>
          </w:tcPr>
          <w:p w14:paraId="4420C0C6"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DDEBF7"/>
            </w:tcBorders>
            <w:shd w:val="clear" w:color="000000" w:fill="FFFFFF"/>
            <w:vAlign w:val="center"/>
            <w:hideMark/>
          </w:tcPr>
          <w:p w14:paraId="37904565"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nr. ÎPC</w:t>
            </w:r>
          </w:p>
        </w:tc>
        <w:tc>
          <w:tcPr>
            <w:tcW w:w="581" w:type="dxa"/>
            <w:tcBorders>
              <w:top w:val="nil"/>
              <w:left w:val="nil"/>
              <w:bottom w:val="single" w:sz="4" w:space="0" w:color="9BC2E6"/>
              <w:right w:val="single" w:sz="4" w:space="0" w:color="DDEBF7"/>
            </w:tcBorders>
            <w:shd w:val="clear" w:color="000000" w:fill="FFFFFF"/>
            <w:vAlign w:val="center"/>
            <w:hideMark/>
          </w:tcPr>
          <w:p w14:paraId="34C308E3"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DDEBF7"/>
            </w:tcBorders>
            <w:shd w:val="clear" w:color="000000" w:fill="FFFFFF"/>
            <w:noWrap/>
            <w:vAlign w:val="center"/>
            <w:hideMark/>
          </w:tcPr>
          <w:p w14:paraId="3938B419"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220</w:t>
            </w:r>
          </w:p>
        </w:tc>
        <w:tc>
          <w:tcPr>
            <w:tcW w:w="1439" w:type="dxa"/>
            <w:tcBorders>
              <w:top w:val="nil"/>
              <w:left w:val="nil"/>
              <w:bottom w:val="single" w:sz="4" w:space="0" w:color="9BC2E6"/>
              <w:right w:val="single" w:sz="4" w:space="0" w:color="DDEBF7"/>
            </w:tcBorders>
            <w:shd w:val="clear" w:color="000000" w:fill="FFFFFF"/>
            <w:noWrap/>
            <w:vAlign w:val="center"/>
            <w:hideMark/>
          </w:tcPr>
          <w:p w14:paraId="4F61EF6F"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6</w:t>
            </w:r>
          </w:p>
        </w:tc>
        <w:tc>
          <w:tcPr>
            <w:tcW w:w="1022" w:type="dxa"/>
            <w:tcBorders>
              <w:top w:val="nil"/>
              <w:left w:val="nil"/>
              <w:bottom w:val="single" w:sz="4" w:space="0" w:color="9BC2E6"/>
              <w:right w:val="single" w:sz="4" w:space="0" w:color="DDEBF7"/>
            </w:tcBorders>
            <w:shd w:val="clear" w:color="000000" w:fill="FFFFFF"/>
            <w:noWrap/>
            <w:vAlign w:val="center"/>
            <w:hideMark/>
          </w:tcPr>
          <w:p w14:paraId="7B2B52AE"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226</w:t>
            </w:r>
          </w:p>
        </w:tc>
      </w:tr>
      <w:tr w:rsidR="004C7E6F" w:rsidRPr="00E14BDC" w14:paraId="7ED2CE5C"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258B27CA"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Rezultat din exploatare (EBIT)</w:t>
            </w:r>
          </w:p>
        </w:tc>
        <w:tc>
          <w:tcPr>
            <w:tcW w:w="1033" w:type="dxa"/>
            <w:tcBorders>
              <w:top w:val="nil"/>
              <w:left w:val="nil"/>
              <w:bottom w:val="single" w:sz="4" w:space="0" w:color="9BC2E6"/>
              <w:right w:val="single" w:sz="4" w:space="0" w:color="FFFFFF"/>
            </w:tcBorders>
            <w:shd w:val="clear" w:color="000000" w:fill="FFFFFF"/>
            <w:vAlign w:val="center"/>
            <w:hideMark/>
          </w:tcPr>
          <w:p w14:paraId="668230D2"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2B97CA3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7935AFB1"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4.764.006</w:t>
            </w:r>
          </w:p>
        </w:tc>
        <w:tc>
          <w:tcPr>
            <w:tcW w:w="1439" w:type="dxa"/>
            <w:tcBorders>
              <w:top w:val="nil"/>
              <w:left w:val="nil"/>
              <w:bottom w:val="single" w:sz="4" w:space="0" w:color="9BC2E6"/>
              <w:right w:val="single" w:sz="4" w:space="0" w:color="FFFFFF"/>
            </w:tcBorders>
            <w:shd w:val="clear" w:color="000000" w:fill="FFFFFF"/>
            <w:noWrap/>
            <w:vAlign w:val="center"/>
            <w:hideMark/>
          </w:tcPr>
          <w:p w14:paraId="1BA201F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3132A438"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4.764.006</w:t>
            </w:r>
          </w:p>
        </w:tc>
      </w:tr>
      <w:tr w:rsidR="004C7E6F" w:rsidRPr="00E14BDC" w14:paraId="497F9375"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78438D57"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52922E6D"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4D0BF41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5EA1320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4.245.947</w:t>
            </w:r>
          </w:p>
        </w:tc>
        <w:tc>
          <w:tcPr>
            <w:tcW w:w="1439" w:type="dxa"/>
            <w:tcBorders>
              <w:top w:val="nil"/>
              <w:left w:val="nil"/>
              <w:bottom w:val="single" w:sz="4" w:space="0" w:color="9BC2E6"/>
              <w:right w:val="single" w:sz="4" w:space="0" w:color="FFFFFF"/>
            </w:tcBorders>
            <w:shd w:val="clear" w:color="000000" w:fill="FFFFFF"/>
            <w:noWrap/>
            <w:vAlign w:val="center"/>
            <w:hideMark/>
          </w:tcPr>
          <w:p w14:paraId="69087461"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-151.889</w:t>
            </w:r>
          </w:p>
        </w:tc>
        <w:tc>
          <w:tcPr>
            <w:tcW w:w="1022" w:type="dxa"/>
            <w:tcBorders>
              <w:top w:val="nil"/>
              <w:left w:val="nil"/>
              <w:bottom w:val="single" w:sz="4" w:space="0" w:color="9BC2E6"/>
              <w:right w:val="single" w:sz="4" w:space="0" w:color="FFFFFF"/>
            </w:tcBorders>
            <w:shd w:val="clear" w:color="000000" w:fill="FFFFFF"/>
            <w:noWrap/>
            <w:vAlign w:val="center"/>
            <w:hideMark/>
          </w:tcPr>
          <w:p w14:paraId="04659E8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4.094.059</w:t>
            </w:r>
          </w:p>
        </w:tc>
      </w:tr>
      <w:tr w:rsidR="004C7E6F" w:rsidRPr="00E14BDC" w14:paraId="75ACF89C"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3E48D75B"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0B7A8E76"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77B7F485"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672C803C"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1.792.124</w:t>
            </w:r>
          </w:p>
        </w:tc>
        <w:tc>
          <w:tcPr>
            <w:tcW w:w="1439" w:type="dxa"/>
            <w:tcBorders>
              <w:top w:val="nil"/>
              <w:left w:val="nil"/>
              <w:bottom w:val="single" w:sz="4" w:space="0" w:color="9BC2E6"/>
              <w:right w:val="single" w:sz="4" w:space="0" w:color="FFFFFF"/>
            </w:tcBorders>
            <w:shd w:val="clear" w:color="000000" w:fill="FFFFFF"/>
            <w:noWrap/>
            <w:vAlign w:val="center"/>
            <w:hideMark/>
          </w:tcPr>
          <w:p w14:paraId="3140699F"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-7.535</w:t>
            </w:r>
          </w:p>
        </w:tc>
        <w:tc>
          <w:tcPr>
            <w:tcW w:w="1022" w:type="dxa"/>
            <w:tcBorders>
              <w:top w:val="nil"/>
              <w:left w:val="nil"/>
              <w:bottom w:val="single" w:sz="4" w:space="0" w:color="9BC2E6"/>
              <w:right w:val="single" w:sz="4" w:space="0" w:color="FFFFFF"/>
            </w:tcBorders>
            <w:shd w:val="clear" w:color="000000" w:fill="FFFFFF"/>
            <w:noWrap/>
            <w:vAlign w:val="center"/>
            <w:hideMark/>
          </w:tcPr>
          <w:p w14:paraId="0F20BADA"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1.784.589</w:t>
            </w:r>
          </w:p>
        </w:tc>
      </w:tr>
      <w:tr w:rsidR="004C7E6F" w:rsidRPr="00E14BDC" w14:paraId="5C7B39C5" w14:textId="77777777" w:rsidTr="004C7E6F">
        <w:trPr>
          <w:trHeight w:val="204"/>
        </w:trPr>
        <w:tc>
          <w:tcPr>
            <w:tcW w:w="3600" w:type="dxa"/>
            <w:vMerge w:val="restart"/>
            <w:tcBorders>
              <w:top w:val="nil"/>
              <w:left w:val="nil"/>
              <w:bottom w:val="single" w:sz="4" w:space="0" w:color="9BC2E6"/>
              <w:right w:val="nil"/>
            </w:tcBorders>
            <w:shd w:val="clear" w:color="000000" w:fill="FFFFFF"/>
            <w:hideMark/>
          </w:tcPr>
          <w:p w14:paraId="07CA7A74"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EBITDA</w:t>
            </w:r>
          </w:p>
        </w:tc>
        <w:tc>
          <w:tcPr>
            <w:tcW w:w="1033" w:type="dxa"/>
            <w:tcBorders>
              <w:top w:val="nil"/>
              <w:left w:val="nil"/>
              <w:bottom w:val="single" w:sz="4" w:space="0" w:color="9BC2E6"/>
              <w:right w:val="nil"/>
            </w:tcBorders>
            <w:shd w:val="clear" w:color="000000" w:fill="FFFFFF"/>
            <w:vAlign w:val="center"/>
            <w:hideMark/>
          </w:tcPr>
          <w:p w14:paraId="7DC85854"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nil"/>
            </w:tcBorders>
            <w:shd w:val="clear" w:color="000000" w:fill="FFFFFF"/>
            <w:vAlign w:val="center"/>
            <w:hideMark/>
          </w:tcPr>
          <w:p w14:paraId="09F1847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nil"/>
            </w:tcBorders>
            <w:shd w:val="clear" w:color="000000" w:fill="FFFFFF"/>
            <w:noWrap/>
            <w:vAlign w:val="center"/>
            <w:hideMark/>
          </w:tcPr>
          <w:p w14:paraId="11732C6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9.617.383</w:t>
            </w:r>
          </w:p>
        </w:tc>
        <w:tc>
          <w:tcPr>
            <w:tcW w:w="1439" w:type="dxa"/>
            <w:tcBorders>
              <w:top w:val="nil"/>
              <w:left w:val="nil"/>
              <w:bottom w:val="single" w:sz="4" w:space="0" w:color="9BC2E6"/>
              <w:right w:val="nil"/>
            </w:tcBorders>
            <w:shd w:val="clear" w:color="000000" w:fill="FFFFFF"/>
            <w:noWrap/>
            <w:vAlign w:val="center"/>
            <w:hideMark/>
          </w:tcPr>
          <w:p w14:paraId="0A7A8811"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19C2AD3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9.617.383</w:t>
            </w:r>
          </w:p>
        </w:tc>
      </w:tr>
      <w:tr w:rsidR="004C7E6F" w:rsidRPr="00E14BDC" w14:paraId="7919182C" w14:textId="77777777" w:rsidTr="004C7E6F">
        <w:trPr>
          <w:trHeight w:val="204"/>
        </w:trPr>
        <w:tc>
          <w:tcPr>
            <w:tcW w:w="3600" w:type="dxa"/>
            <w:vMerge/>
            <w:tcBorders>
              <w:top w:val="nil"/>
              <w:left w:val="nil"/>
              <w:bottom w:val="single" w:sz="4" w:space="0" w:color="9BC2E6"/>
              <w:right w:val="nil"/>
            </w:tcBorders>
            <w:vAlign w:val="center"/>
            <w:hideMark/>
          </w:tcPr>
          <w:p w14:paraId="7E6415E7"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nil"/>
            </w:tcBorders>
            <w:shd w:val="clear" w:color="000000" w:fill="FFFFFF"/>
            <w:vAlign w:val="center"/>
            <w:hideMark/>
          </w:tcPr>
          <w:p w14:paraId="60A928DD"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nil"/>
            </w:tcBorders>
            <w:shd w:val="clear" w:color="000000" w:fill="FFFFFF"/>
            <w:vAlign w:val="center"/>
            <w:hideMark/>
          </w:tcPr>
          <w:p w14:paraId="5491A07E"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nil"/>
            </w:tcBorders>
            <w:shd w:val="clear" w:color="000000" w:fill="FFFFFF"/>
            <w:noWrap/>
            <w:vAlign w:val="center"/>
            <w:hideMark/>
          </w:tcPr>
          <w:p w14:paraId="71C6E56D"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11.733.234</w:t>
            </w:r>
          </w:p>
        </w:tc>
        <w:tc>
          <w:tcPr>
            <w:tcW w:w="1439" w:type="dxa"/>
            <w:tcBorders>
              <w:top w:val="nil"/>
              <w:left w:val="nil"/>
              <w:bottom w:val="single" w:sz="4" w:space="0" w:color="9BC2E6"/>
              <w:right w:val="nil"/>
            </w:tcBorders>
            <w:shd w:val="clear" w:color="000000" w:fill="FFFFFF"/>
            <w:noWrap/>
            <w:vAlign w:val="center"/>
            <w:hideMark/>
          </w:tcPr>
          <w:p w14:paraId="765C76C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-133.924</w:t>
            </w:r>
          </w:p>
        </w:tc>
        <w:tc>
          <w:tcPr>
            <w:tcW w:w="1022" w:type="dxa"/>
            <w:tcBorders>
              <w:top w:val="nil"/>
              <w:left w:val="nil"/>
              <w:bottom w:val="single" w:sz="4" w:space="0" w:color="9BC2E6"/>
              <w:right w:val="single" w:sz="4" w:space="0" w:color="FFFFFF"/>
            </w:tcBorders>
            <w:shd w:val="clear" w:color="000000" w:fill="FFFFFF"/>
            <w:noWrap/>
            <w:vAlign w:val="center"/>
            <w:hideMark/>
          </w:tcPr>
          <w:p w14:paraId="544513E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11.599.309</w:t>
            </w:r>
          </w:p>
        </w:tc>
      </w:tr>
      <w:tr w:rsidR="004C7E6F" w:rsidRPr="00E14BDC" w14:paraId="5C9483C1" w14:textId="77777777" w:rsidTr="004C7E6F">
        <w:trPr>
          <w:trHeight w:val="204"/>
        </w:trPr>
        <w:tc>
          <w:tcPr>
            <w:tcW w:w="3600" w:type="dxa"/>
            <w:vMerge/>
            <w:tcBorders>
              <w:top w:val="nil"/>
              <w:left w:val="nil"/>
              <w:bottom w:val="single" w:sz="4" w:space="0" w:color="9BC2E6"/>
              <w:right w:val="nil"/>
            </w:tcBorders>
            <w:vAlign w:val="center"/>
            <w:hideMark/>
          </w:tcPr>
          <w:p w14:paraId="52C143F9"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nil"/>
            </w:tcBorders>
            <w:shd w:val="clear" w:color="000000" w:fill="FFFFFF"/>
            <w:vAlign w:val="center"/>
            <w:hideMark/>
          </w:tcPr>
          <w:p w14:paraId="5B598830"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nil"/>
            </w:tcBorders>
            <w:shd w:val="clear" w:color="000000" w:fill="FFFFFF"/>
            <w:vAlign w:val="center"/>
            <w:hideMark/>
          </w:tcPr>
          <w:p w14:paraId="14CA8663"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nil"/>
            </w:tcBorders>
            <w:shd w:val="clear" w:color="000000" w:fill="FFFFFF"/>
            <w:noWrap/>
            <w:vAlign w:val="center"/>
            <w:hideMark/>
          </w:tcPr>
          <w:p w14:paraId="38923B7D"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8.385.058</w:t>
            </w:r>
          </w:p>
        </w:tc>
        <w:tc>
          <w:tcPr>
            <w:tcW w:w="1439" w:type="dxa"/>
            <w:tcBorders>
              <w:top w:val="nil"/>
              <w:left w:val="nil"/>
              <w:bottom w:val="single" w:sz="4" w:space="0" w:color="9BC2E6"/>
              <w:right w:val="nil"/>
            </w:tcBorders>
            <w:shd w:val="clear" w:color="000000" w:fill="FFFFFF"/>
            <w:noWrap/>
            <w:vAlign w:val="center"/>
            <w:hideMark/>
          </w:tcPr>
          <w:p w14:paraId="5D00F4BD"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-7.384</w:t>
            </w:r>
          </w:p>
        </w:tc>
        <w:tc>
          <w:tcPr>
            <w:tcW w:w="1022" w:type="dxa"/>
            <w:tcBorders>
              <w:top w:val="nil"/>
              <w:left w:val="nil"/>
              <w:bottom w:val="single" w:sz="4" w:space="0" w:color="9BC2E6"/>
              <w:right w:val="single" w:sz="4" w:space="0" w:color="FFFFFF"/>
            </w:tcBorders>
            <w:shd w:val="clear" w:color="000000" w:fill="FFFFFF"/>
            <w:noWrap/>
            <w:vAlign w:val="center"/>
            <w:hideMark/>
          </w:tcPr>
          <w:p w14:paraId="08B9D7B2"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8.377.674</w:t>
            </w:r>
          </w:p>
        </w:tc>
      </w:tr>
      <w:tr w:rsidR="004C7E6F" w:rsidRPr="00E14BDC" w14:paraId="52291184"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488F76E1"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Profit brut</w:t>
            </w:r>
          </w:p>
        </w:tc>
        <w:tc>
          <w:tcPr>
            <w:tcW w:w="1033" w:type="dxa"/>
            <w:tcBorders>
              <w:top w:val="nil"/>
              <w:left w:val="nil"/>
              <w:bottom w:val="single" w:sz="4" w:space="0" w:color="9BC2E6"/>
              <w:right w:val="single" w:sz="4" w:space="0" w:color="FFFFFF"/>
            </w:tcBorders>
            <w:shd w:val="clear" w:color="000000" w:fill="FFFFFF"/>
            <w:vAlign w:val="center"/>
            <w:hideMark/>
          </w:tcPr>
          <w:p w14:paraId="42D06191"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4F3BCA9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43D91286"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7.121.956</w:t>
            </w:r>
          </w:p>
        </w:tc>
        <w:tc>
          <w:tcPr>
            <w:tcW w:w="1439" w:type="dxa"/>
            <w:tcBorders>
              <w:top w:val="nil"/>
              <w:left w:val="nil"/>
              <w:bottom w:val="single" w:sz="4" w:space="0" w:color="9BC2E6"/>
              <w:right w:val="single" w:sz="4" w:space="0" w:color="FFFFFF"/>
            </w:tcBorders>
            <w:shd w:val="clear" w:color="000000" w:fill="FFFFFF"/>
            <w:noWrap/>
            <w:vAlign w:val="center"/>
            <w:hideMark/>
          </w:tcPr>
          <w:p w14:paraId="79A8739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4E66A086"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7.121.956</w:t>
            </w:r>
          </w:p>
        </w:tc>
      </w:tr>
      <w:tr w:rsidR="004C7E6F" w:rsidRPr="00E14BDC" w14:paraId="0CBC6E3E"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0C91D0D2"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5104AFED"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3BDDF44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4CF2530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6.530.162</w:t>
            </w:r>
          </w:p>
        </w:tc>
        <w:tc>
          <w:tcPr>
            <w:tcW w:w="1439" w:type="dxa"/>
            <w:tcBorders>
              <w:top w:val="nil"/>
              <w:left w:val="nil"/>
              <w:bottom w:val="single" w:sz="4" w:space="0" w:color="9BC2E6"/>
              <w:right w:val="single" w:sz="4" w:space="0" w:color="FFFFFF"/>
            </w:tcBorders>
            <w:shd w:val="clear" w:color="000000" w:fill="FFFFFF"/>
            <w:noWrap/>
            <w:vAlign w:val="center"/>
            <w:hideMark/>
          </w:tcPr>
          <w:p w14:paraId="0768866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4FF8896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6.530.162</w:t>
            </w:r>
          </w:p>
        </w:tc>
      </w:tr>
      <w:tr w:rsidR="004C7E6F" w:rsidRPr="00E14BDC" w14:paraId="3A36E143"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33DE05FC"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679856A2"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5A4066A2"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73AE3043"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5.974.177</w:t>
            </w:r>
          </w:p>
        </w:tc>
        <w:tc>
          <w:tcPr>
            <w:tcW w:w="1439" w:type="dxa"/>
            <w:tcBorders>
              <w:top w:val="nil"/>
              <w:left w:val="nil"/>
              <w:bottom w:val="single" w:sz="4" w:space="0" w:color="9BC2E6"/>
              <w:right w:val="single" w:sz="4" w:space="0" w:color="FFFFFF"/>
            </w:tcBorders>
            <w:shd w:val="clear" w:color="000000" w:fill="FFFFFF"/>
            <w:noWrap/>
            <w:vAlign w:val="center"/>
            <w:hideMark/>
          </w:tcPr>
          <w:p w14:paraId="7C7E6B41"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18E592A1"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5.974.177</w:t>
            </w:r>
          </w:p>
        </w:tc>
      </w:tr>
      <w:tr w:rsidR="004C7E6F" w:rsidRPr="00E14BDC" w14:paraId="6E67BE2C"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666C98B6"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Pierdere brută</w:t>
            </w:r>
          </w:p>
        </w:tc>
        <w:tc>
          <w:tcPr>
            <w:tcW w:w="1033" w:type="dxa"/>
            <w:tcBorders>
              <w:top w:val="nil"/>
              <w:left w:val="nil"/>
              <w:bottom w:val="single" w:sz="4" w:space="0" w:color="9BC2E6"/>
              <w:right w:val="single" w:sz="4" w:space="0" w:color="FFFFFF"/>
            </w:tcBorders>
            <w:shd w:val="clear" w:color="000000" w:fill="FFFFFF"/>
            <w:vAlign w:val="center"/>
            <w:hideMark/>
          </w:tcPr>
          <w:p w14:paraId="6F2B61FE"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6E5B5258"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4072EA96"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2.259.842</w:t>
            </w:r>
          </w:p>
        </w:tc>
        <w:tc>
          <w:tcPr>
            <w:tcW w:w="1439" w:type="dxa"/>
            <w:tcBorders>
              <w:top w:val="nil"/>
              <w:left w:val="nil"/>
              <w:bottom w:val="single" w:sz="4" w:space="0" w:color="9BC2E6"/>
              <w:right w:val="single" w:sz="4" w:space="0" w:color="FFFFFF"/>
            </w:tcBorders>
            <w:shd w:val="clear" w:color="000000" w:fill="FFFFFF"/>
            <w:noWrap/>
            <w:vAlign w:val="center"/>
            <w:hideMark/>
          </w:tcPr>
          <w:p w14:paraId="139E56A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3C6E4C0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2.259.842</w:t>
            </w:r>
          </w:p>
        </w:tc>
      </w:tr>
      <w:tr w:rsidR="004C7E6F" w:rsidRPr="00E14BDC" w14:paraId="37872615"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1CF79413"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60F85A91"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32B7595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3EEA872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2.048.919</w:t>
            </w:r>
          </w:p>
        </w:tc>
        <w:tc>
          <w:tcPr>
            <w:tcW w:w="1439" w:type="dxa"/>
            <w:tcBorders>
              <w:top w:val="nil"/>
              <w:left w:val="nil"/>
              <w:bottom w:val="single" w:sz="4" w:space="0" w:color="9BC2E6"/>
              <w:right w:val="single" w:sz="4" w:space="0" w:color="FFFFFF"/>
            </w:tcBorders>
            <w:shd w:val="clear" w:color="000000" w:fill="FFFFFF"/>
            <w:noWrap/>
            <w:vAlign w:val="center"/>
            <w:hideMark/>
          </w:tcPr>
          <w:p w14:paraId="4650311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151.838</w:t>
            </w:r>
          </w:p>
        </w:tc>
        <w:tc>
          <w:tcPr>
            <w:tcW w:w="1022" w:type="dxa"/>
            <w:tcBorders>
              <w:top w:val="nil"/>
              <w:left w:val="nil"/>
              <w:bottom w:val="single" w:sz="4" w:space="0" w:color="9BC2E6"/>
              <w:right w:val="single" w:sz="4" w:space="0" w:color="FFFFFF"/>
            </w:tcBorders>
            <w:shd w:val="clear" w:color="000000" w:fill="FFFFFF"/>
            <w:noWrap/>
            <w:vAlign w:val="center"/>
            <w:hideMark/>
          </w:tcPr>
          <w:p w14:paraId="0D775F1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2.200.757</w:t>
            </w:r>
          </w:p>
        </w:tc>
      </w:tr>
      <w:tr w:rsidR="004C7E6F" w:rsidRPr="00E14BDC" w14:paraId="26D10B11"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56CCC6B9"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08F091E9"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101A3DF0"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59C6CCB2"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3.420.926</w:t>
            </w:r>
          </w:p>
        </w:tc>
        <w:tc>
          <w:tcPr>
            <w:tcW w:w="1439" w:type="dxa"/>
            <w:tcBorders>
              <w:top w:val="nil"/>
              <w:left w:val="nil"/>
              <w:bottom w:val="single" w:sz="4" w:space="0" w:color="9BC2E6"/>
              <w:right w:val="single" w:sz="4" w:space="0" w:color="FFFFFF"/>
            </w:tcBorders>
            <w:shd w:val="clear" w:color="000000" w:fill="FFFFFF"/>
            <w:noWrap/>
            <w:vAlign w:val="center"/>
            <w:hideMark/>
          </w:tcPr>
          <w:p w14:paraId="3AA79E75"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5.429</w:t>
            </w:r>
          </w:p>
        </w:tc>
        <w:tc>
          <w:tcPr>
            <w:tcW w:w="1022" w:type="dxa"/>
            <w:tcBorders>
              <w:top w:val="nil"/>
              <w:left w:val="nil"/>
              <w:bottom w:val="single" w:sz="4" w:space="0" w:color="9BC2E6"/>
              <w:right w:val="single" w:sz="4" w:space="0" w:color="FFFFFF"/>
            </w:tcBorders>
            <w:shd w:val="clear" w:color="000000" w:fill="FFFFFF"/>
            <w:noWrap/>
            <w:vAlign w:val="center"/>
            <w:hideMark/>
          </w:tcPr>
          <w:p w14:paraId="4B76C785"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3.426.356</w:t>
            </w:r>
          </w:p>
        </w:tc>
      </w:tr>
      <w:tr w:rsidR="004C7E6F" w:rsidRPr="00E14BDC" w14:paraId="5F632411"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3CA2452C"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Rezultat Brut (EBT)</w:t>
            </w:r>
          </w:p>
        </w:tc>
        <w:tc>
          <w:tcPr>
            <w:tcW w:w="1033" w:type="dxa"/>
            <w:tcBorders>
              <w:top w:val="nil"/>
              <w:left w:val="nil"/>
              <w:bottom w:val="single" w:sz="4" w:space="0" w:color="9BC2E6"/>
              <w:right w:val="single" w:sz="4" w:space="0" w:color="FFFFFF"/>
            </w:tcBorders>
            <w:shd w:val="clear" w:color="000000" w:fill="FFFFFF"/>
            <w:vAlign w:val="center"/>
            <w:hideMark/>
          </w:tcPr>
          <w:p w14:paraId="38447317"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3500057C"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5CDF2E80"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4.862.115</w:t>
            </w:r>
          </w:p>
        </w:tc>
        <w:tc>
          <w:tcPr>
            <w:tcW w:w="1439" w:type="dxa"/>
            <w:tcBorders>
              <w:top w:val="nil"/>
              <w:left w:val="nil"/>
              <w:bottom w:val="single" w:sz="4" w:space="0" w:color="9BC2E6"/>
              <w:right w:val="single" w:sz="4" w:space="0" w:color="FFFFFF"/>
            </w:tcBorders>
            <w:shd w:val="clear" w:color="000000" w:fill="FFFFFF"/>
            <w:noWrap/>
            <w:vAlign w:val="center"/>
            <w:hideMark/>
          </w:tcPr>
          <w:p w14:paraId="7907D72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3CD5567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4.862.115</w:t>
            </w:r>
          </w:p>
        </w:tc>
      </w:tr>
      <w:tr w:rsidR="004C7E6F" w:rsidRPr="00E14BDC" w14:paraId="5CC8D2CF"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796B7E48"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2BD895C1"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2EF5E1DC"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29E6791C"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4.481.243</w:t>
            </w:r>
          </w:p>
        </w:tc>
        <w:tc>
          <w:tcPr>
            <w:tcW w:w="1439" w:type="dxa"/>
            <w:tcBorders>
              <w:top w:val="nil"/>
              <w:left w:val="nil"/>
              <w:bottom w:val="single" w:sz="4" w:space="0" w:color="9BC2E6"/>
              <w:right w:val="single" w:sz="4" w:space="0" w:color="FFFFFF"/>
            </w:tcBorders>
            <w:shd w:val="clear" w:color="000000" w:fill="FFFFFF"/>
            <w:noWrap/>
            <w:vAlign w:val="center"/>
            <w:hideMark/>
          </w:tcPr>
          <w:p w14:paraId="09C0E5E4"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-151.838</w:t>
            </w:r>
          </w:p>
        </w:tc>
        <w:tc>
          <w:tcPr>
            <w:tcW w:w="1022" w:type="dxa"/>
            <w:tcBorders>
              <w:top w:val="nil"/>
              <w:left w:val="nil"/>
              <w:bottom w:val="single" w:sz="4" w:space="0" w:color="9BC2E6"/>
              <w:right w:val="single" w:sz="4" w:space="0" w:color="FFFFFF"/>
            </w:tcBorders>
            <w:shd w:val="clear" w:color="000000" w:fill="FFFFFF"/>
            <w:noWrap/>
            <w:vAlign w:val="center"/>
            <w:hideMark/>
          </w:tcPr>
          <w:p w14:paraId="48401094"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4.329.405</w:t>
            </w:r>
          </w:p>
        </w:tc>
      </w:tr>
      <w:tr w:rsidR="004C7E6F" w:rsidRPr="00E14BDC" w14:paraId="4D87770B"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1F4C2F42"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48BDCB92"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34377CA7"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4FB5D9A0"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2.553.250</w:t>
            </w:r>
          </w:p>
        </w:tc>
        <w:tc>
          <w:tcPr>
            <w:tcW w:w="1439" w:type="dxa"/>
            <w:tcBorders>
              <w:top w:val="nil"/>
              <w:left w:val="nil"/>
              <w:bottom w:val="single" w:sz="4" w:space="0" w:color="9BC2E6"/>
              <w:right w:val="single" w:sz="4" w:space="0" w:color="FFFFFF"/>
            </w:tcBorders>
            <w:shd w:val="clear" w:color="000000" w:fill="FFFFFF"/>
            <w:noWrap/>
            <w:vAlign w:val="center"/>
            <w:hideMark/>
          </w:tcPr>
          <w:p w14:paraId="0E6AA97E"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-5.429</w:t>
            </w:r>
          </w:p>
        </w:tc>
        <w:tc>
          <w:tcPr>
            <w:tcW w:w="1022" w:type="dxa"/>
            <w:tcBorders>
              <w:top w:val="nil"/>
              <w:left w:val="nil"/>
              <w:bottom w:val="single" w:sz="4" w:space="0" w:color="9BC2E6"/>
              <w:right w:val="single" w:sz="4" w:space="0" w:color="FFFFFF"/>
            </w:tcBorders>
            <w:shd w:val="clear" w:color="000000" w:fill="FFFFFF"/>
            <w:noWrap/>
            <w:vAlign w:val="center"/>
            <w:hideMark/>
          </w:tcPr>
          <w:p w14:paraId="2CF4FC80"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2.547.821</w:t>
            </w:r>
          </w:p>
        </w:tc>
      </w:tr>
      <w:tr w:rsidR="004C7E6F" w:rsidRPr="00E14BDC" w14:paraId="0265149D"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60EEB1D8"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Rezultat Net</w:t>
            </w:r>
          </w:p>
        </w:tc>
        <w:tc>
          <w:tcPr>
            <w:tcW w:w="1033" w:type="dxa"/>
            <w:tcBorders>
              <w:top w:val="nil"/>
              <w:left w:val="nil"/>
              <w:bottom w:val="single" w:sz="4" w:space="0" w:color="9BC2E6"/>
              <w:right w:val="single" w:sz="4" w:space="0" w:color="FFFFFF"/>
            </w:tcBorders>
            <w:shd w:val="clear" w:color="000000" w:fill="FFFFFF"/>
            <w:vAlign w:val="center"/>
            <w:hideMark/>
          </w:tcPr>
          <w:p w14:paraId="402984EF"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13DD9A0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376A797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3.727.694</w:t>
            </w:r>
          </w:p>
        </w:tc>
        <w:tc>
          <w:tcPr>
            <w:tcW w:w="1439" w:type="dxa"/>
            <w:tcBorders>
              <w:top w:val="nil"/>
              <w:left w:val="nil"/>
              <w:bottom w:val="single" w:sz="4" w:space="0" w:color="9BC2E6"/>
              <w:right w:val="single" w:sz="4" w:space="0" w:color="FFFFFF"/>
            </w:tcBorders>
            <w:shd w:val="clear" w:color="000000" w:fill="FFFFFF"/>
            <w:noWrap/>
            <w:vAlign w:val="center"/>
            <w:hideMark/>
          </w:tcPr>
          <w:p w14:paraId="0AC1FD2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4F18B85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3.727.694</w:t>
            </w:r>
          </w:p>
        </w:tc>
      </w:tr>
      <w:tr w:rsidR="004C7E6F" w:rsidRPr="00E14BDC" w14:paraId="7ACBD487"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7AD47C2F"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44AD1D46"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4048DD1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4657CE2B"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3.112.562</w:t>
            </w:r>
          </w:p>
        </w:tc>
        <w:tc>
          <w:tcPr>
            <w:tcW w:w="1439" w:type="dxa"/>
            <w:tcBorders>
              <w:top w:val="nil"/>
              <w:left w:val="nil"/>
              <w:bottom w:val="single" w:sz="4" w:space="0" w:color="9BC2E6"/>
              <w:right w:val="single" w:sz="4" w:space="0" w:color="FFFFFF"/>
            </w:tcBorders>
            <w:shd w:val="clear" w:color="000000" w:fill="FFFFFF"/>
            <w:noWrap/>
            <w:vAlign w:val="center"/>
            <w:hideMark/>
          </w:tcPr>
          <w:p w14:paraId="318D34A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-151.838</w:t>
            </w:r>
          </w:p>
        </w:tc>
        <w:tc>
          <w:tcPr>
            <w:tcW w:w="1022" w:type="dxa"/>
            <w:tcBorders>
              <w:top w:val="nil"/>
              <w:left w:val="nil"/>
              <w:bottom w:val="single" w:sz="4" w:space="0" w:color="9BC2E6"/>
              <w:right w:val="single" w:sz="4" w:space="0" w:color="FFFFFF"/>
            </w:tcBorders>
            <w:shd w:val="clear" w:color="000000" w:fill="FFFFFF"/>
            <w:noWrap/>
            <w:vAlign w:val="center"/>
            <w:hideMark/>
          </w:tcPr>
          <w:p w14:paraId="11295C6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2.960.724</w:t>
            </w:r>
          </w:p>
        </w:tc>
      </w:tr>
      <w:tr w:rsidR="004C7E6F" w:rsidRPr="00E14BDC" w14:paraId="4E77C676"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78A546CF"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779A787E"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7C0D7F5E"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2CDC3442"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1.742.926</w:t>
            </w:r>
          </w:p>
        </w:tc>
        <w:tc>
          <w:tcPr>
            <w:tcW w:w="1439" w:type="dxa"/>
            <w:tcBorders>
              <w:top w:val="nil"/>
              <w:left w:val="nil"/>
              <w:bottom w:val="single" w:sz="4" w:space="0" w:color="9BC2E6"/>
              <w:right w:val="single" w:sz="4" w:space="0" w:color="FFFFFF"/>
            </w:tcBorders>
            <w:shd w:val="clear" w:color="000000" w:fill="FFFFFF"/>
            <w:noWrap/>
            <w:vAlign w:val="center"/>
            <w:hideMark/>
          </w:tcPr>
          <w:p w14:paraId="16CD8C3D"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-5.431</w:t>
            </w:r>
          </w:p>
        </w:tc>
        <w:tc>
          <w:tcPr>
            <w:tcW w:w="1022" w:type="dxa"/>
            <w:tcBorders>
              <w:top w:val="nil"/>
              <w:left w:val="nil"/>
              <w:bottom w:val="single" w:sz="4" w:space="0" w:color="9BC2E6"/>
              <w:right w:val="single" w:sz="4" w:space="0" w:color="FFFFFF"/>
            </w:tcBorders>
            <w:shd w:val="clear" w:color="000000" w:fill="FFFFFF"/>
            <w:noWrap/>
            <w:vAlign w:val="center"/>
            <w:hideMark/>
          </w:tcPr>
          <w:p w14:paraId="6689C5D7"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1.737.495</w:t>
            </w:r>
          </w:p>
        </w:tc>
      </w:tr>
      <w:tr w:rsidR="004C7E6F" w:rsidRPr="00E14BDC" w14:paraId="6B0F66CE"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64057249"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Cifra de afaceri netă</w:t>
            </w:r>
          </w:p>
        </w:tc>
        <w:tc>
          <w:tcPr>
            <w:tcW w:w="1033" w:type="dxa"/>
            <w:tcBorders>
              <w:top w:val="nil"/>
              <w:left w:val="nil"/>
              <w:bottom w:val="single" w:sz="4" w:space="0" w:color="9BC2E6"/>
              <w:right w:val="single" w:sz="4" w:space="0" w:color="FFFFFF"/>
            </w:tcBorders>
            <w:shd w:val="clear" w:color="000000" w:fill="FFFFFF"/>
            <w:vAlign w:val="center"/>
            <w:hideMark/>
          </w:tcPr>
          <w:p w14:paraId="3FFE370E"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1692FA71"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1F9E792D"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38.576.588</w:t>
            </w:r>
          </w:p>
        </w:tc>
        <w:tc>
          <w:tcPr>
            <w:tcW w:w="1439" w:type="dxa"/>
            <w:tcBorders>
              <w:top w:val="nil"/>
              <w:left w:val="nil"/>
              <w:bottom w:val="single" w:sz="4" w:space="0" w:color="9BC2E6"/>
              <w:right w:val="single" w:sz="4" w:space="0" w:color="FFFFFF"/>
            </w:tcBorders>
            <w:shd w:val="clear" w:color="000000" w:fill="FFFFFF"/>
            <w:noWrap/>
            <w:vAlign w:val="center"/>
            <w:hideMark/>
          </w:tcPr>
          <w:p w14:paraId="1D9B68B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6E0C5B17"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38.576.588</w:t>
            </w:r>
          </w:p>
        </w:tc>
      </w:tr>
      <w:tr w:rsidR="004C7E6F" w:rsidRPr="00E14BDC" w14:paraId="2B648CCE"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48E7EAF1"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042CEE01"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4AB356A8"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5D10510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41.317.312</w:t>
            </w:r>
          </w:p>
        </w:tc>
        <w:tc>
          <w:tcPr>
            <w:tcW w:w="1439" w:type="dxa"/>
            <w:tcBorders>
              <w:top w:val="nil"/>
              <w:left w:val="nil"/>
              <w:bottom w:val="single" w:sz="4" w:space="0" w:color="9BC2E6"/>
              <w:right w:val="single" w:sz="4" w:space="0" w:color="FFFFFF"/>
            </w:tcBorders>
            <w:shd w:val="clear" w:color="000000" w:fill="FFFFFF"/>
            <w:noWrap/>
            <w:vAlign w:val="center"/>
            <w:hideMark/>
          </w:tcPr>
          <w:p w14:paraId="56009BBB"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131.060</w:t>
            </w:r>
          </w:p>
        </w:tc>
        <w:tc>
          <w:tcPr>
            <w:tcW w:w="1022" w:type="dxa"/>
            <w:tcBorders>
              <w:top w:val="nil"/>
              <w:left w:val="nil"/>
              <w:bottom w:val="single" w:sz="4" w:space="0" w:color="9BC2E6"/>
              <w:right w:val="single" w:sz="4" w:space="0" w:color="FFFFFF"/>
            </w:tcBorders>
            <w:shd w:val="clear" w:color="000000" w:fill="FFFFFF"/>
            <w:noWrap/>
            <w:vAlign w:val="center"/>
            <w:hideMark/>
          </w:tcPr>
          <w:p w14:paraId="70634540"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41.448.372</w:t>
            </w:r>
          </w:p>
        </w:tc>
      </w:tr>
      <w:tr w:rsidR="004C7E6F" w:rsidRPr="00E14BDC" w14:paraId="0BBF0A9C"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4B7A8BAF"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374D920A"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35E85ED4"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2E8AB2A6"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35.198.567</w:t>
            </w:r>
          </w:p>
        </w:tc>
        <w:tc>
          <w:tcPr>
            <w:tcW w:w="1439" w:type="dxa"/>
            <w:tcBorders>
              <w:top w:val="nil"/>
              <w:left w:val="nil"/>
              <w:bottom w:val="single" w:sz="4" w:space="0" w:color="9BC2E6"/>
              <w:right w:val="single" w:sz="4" w:space="0" w:color="FFFFFF"/>
            </w:tcBorders>
            <w:shd w:val="clear" w:color="000000" w:fill="FFFFFF"/>
            <w:noWrap/>
            <w:vAlign w:val="center"/>
            <w:hideMark/>
          </w:tcPr>
          <w:p w14:paraId="19F456A9"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886</w:t>
            </w:r>
          </w:p>
        </w:tc>
        <w:tc>
          <w:tcPr>
            <w:tcW w:w="1022" w:type="dxa"/>
            <w:tcBorders>
              <w:top w:val="nil"/>
              <w:left w:val="nil"/>
              <w:bottom w:val="single" w:sz="4" w:space="0" w:color="9BC2E6"/>
              <w:right w:val="single" w:sz="4" w:space="0" w:color="FFFFFF"/>
            </w:tcBorders>
            <w:shd w:val="clear" w:color="000000" w:fill="FFFFFF"/>
            <w:noWrap/>
            <w:vAlign w:val="center"/>
            <w:hideMark/>
          </w:tcPr>
          <w:p w14:paraId="4DAD4864"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35.199.453</w:t>
            </w:r>
          </w:p>
        </w:tc>
      </w:tr>
      <w:tr w:rsidR="004C7E6F" w:rsidRPr="00E14BDC" w14:paraId="53FAD70F"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3B06B3D3"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Capitaluri proprii</w:t>
            </w:r>
          </w:p>
        </w:tc>
        <w:tc>
          <w:tcPr>
            <w:tcW w:w="1033" w:type="dxa"/>
            <w:tcBorders>
              <w:top w:val="nil"/>
              <w:left w:val="nil"/>
              <w:bottom w:val="single" w:sz="4" w:space="0" w:color="9BC2E6"/>
              <w:right w:val="single" w:sz="4" w:space="0" w:color="FFFFFF"/>
            </w:tcBorders>
            <w:shd w:val="clear" w:color="000000" w:fill="FFFFFF"/>
            <w:vAlign w:val="center"/>
            <w:hideMark/>
          </w:tcPr>
          <w:p w14:paraId="0B2D857D"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6C66CC1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3EB0C40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68.151.476</w:t>
            </w:r>
          </w:p>
        </w:tc>
        <w:tc>
          <w:tcPr>
            <w:tcW w:w="1439" w:type="dxa"/>
            <w:tcBorders>
              <w:top w:val="nil"/>
              <w:left w:val="nil"/>
              <w:bottom w:val="single" w:sz="4" w:space="0" w:color="9BC2E6"/>
              <w:right w:val="single" w:sz="4" w:space="0" w:color="FFFFFF"/>
            </w:tcBorders>
            <w:shd w:val="clear" w:color="000000" w:fill="FFFFFF"/>
            <w:noWrap/>
            <w:vAlign w:val="center"/>
            <w:hideMark/>
          </w:tcPr>
          <w:p w14:paraId="1E5E395C"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1FCB43F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68.151.476</w:t>
            </w:r>
          </w:p>
        </w:tc>
      </w:tr>
      <w:tr w:rsidR="004C7E6F" w:rsidRPr="00E14BDC" w14:paraId="015F4B2B"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5919381C"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378A65F6"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53765566"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7DB70B6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71.932.493</w:t>
            </w:r>
          </w:p>
        </w:tc>
        <w:tc>
          <w:tcPr>
            <w:tcW w:w="1439" w:type="dxa"/>
            <w:tcBorders>
              <w:top w:val="nil"/>
              <w:left w:val="nil"/>
              <w:bottom w:val="single" w:sz="4" w:space="0" w:color="9BC2E6"/>
              <w:right w:val="single" w:sz="4" w:space="0" w:color="FFFFFF"/>
            </w:tcBorders>
            <w:shd w:val="clear" w:color="000000" w:fill="FFFFFF"/>
            <w:noWrap/>
            <w:vAlign w:val="center"/>
            <w:hideMark/>
          </w:tcPr>
          <w:p w14:paraId="723CACEE"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-153.035</w:t>
            </w:r>
          </w:p>
        </w:tc>
        <w:tc>
          <w:tcPr>
            <w:tcW w:w="1022" w:type="dxa"/>
            <w:tcBorders>
              <w:top w:val="nil"/>
              <w:left w:val="nil"/>
              <w:bottom w:val="single" w:sz="4" w:space="0" w:color="9BC2E6"/>
              <w:right w:val="single" w:sz="4" w:space="0" w:color="FFFFFF"/>
            </w:tcBorders>
            <w:shd w:val="clear" w:color="000000" w:fill="FFFFFF"/>
            <w:noWrap/>
            <w:vAlign w:val="center"/>
            <w:hideMark/>
          </w:tcPr>
          <w:p w14:paraId="1CC309E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71.779.458</w:t>
            </w:r>
          </w:p>
        </w:tc>
      </w:tr>
      <w:tr w:rsidR="004C7E6F" w:rsidRPr="00E14BDC" w14:paraId="6A573759"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3FD37435"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2E1DE8F4"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4C7E9375"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2EEBDFE6"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70.296.690</w:t>
            </w:r>
          </w:p>
        </w:tc>
        <w:tc>
          <w:tcPr>
            <w:tcW w:w="1439" w:type="dxa"/>
            <w:tcBorders>
              <w:top w:val="nil"/>
              <w:left w:val="nil"/>
              <w:bottom w:val="single" w:sz="4" w:space="0" w:color="9BC2E6"/>
              <w:right w:val="single" w:sz="4" w:space="0" w:color="FFFFFF"/>
            </w:tcBorders>
            <w:shd w:val="clear" w:color="000000" w:fill="FFFFFF"/>
            <w:noWrap/>
            <w:vAlign w:val="center"/>
            <w:hideMark/>
          </w:tcPr>
          <w:p w14:paraId="29F93FB7"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175.870</w:t>
            </w:r>
          </w:p>
        </w:tc>
        <w:tc>
          <w:tcPr>
            <w:tcW w:w="1022" w:type="dxa"/>
            <w:tcBorders>
              <w:top w:val="nil"/>
              <w:left w:val="nil"/>
              <w:bottom w:val="single" w:sz="4" w:space="0" w:color="9BC2E6"/>
              <w:right w:val="single" w:sz="4" w:space="0" w:color="FFFFFF"/>
            </w:tcBorders>
            <w:shd w:val="clear" w:color="000000" w:fill="FFFFFF"/>
            <w:noWrap/>
            <w:vAlign w:val="center"/>
            <w:hideMark/>
          </w:tcPr>
          <w:p w14:paraId="5A0E1C0E"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70.472.560</w:t>
            </w:r>
          </w:p>
        </w:tc>
      </w:tr>
      <w:tr w:rsidR="004C7E6F" w:rsidRPr="00E14BDC" w14:paraId="77170EC7"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2EF3519C" w14:textId="77777777" w:rsidR="004C7E6F" w:rsidRPr="004C7E6F" w:rsidRDefault="004C7E6F" w:rsidP="004C7E6F">
            <w:pPr>
              <w:spacing w:before="0" w:after="0" w:line="240" w:lineRule="auto"/>
              <w:rPr>
                <w:rFonts w:ascii="Calibri" w:eastAsia="Times New Roman" w:hAnsi="Calibri" w:cs="Times New Roman"/>
                <w:b/>
                <w:bCs/>
                <w:sz w:val="13"/>
                <w:szCs w:val="13"/>
                <w:lang w:eastAsia="ro-RO"/>
              </w:rPr>
            </w:pPr>
            <w:r w:rsidRPr="004C7E6F">
              <w:rPr>
                <w:rFonts w:ascii="Calibri" w:eastAsia="Times New Roman" w:hAnsi="Calibri" w:cs="Times New Roman"/>
                <w:b/>
                <w:bCs/>
                <w:sz w:val="13"/>
                <w:szCs w:val="13"/>
                <w:lang w:eastAsia="ro-RO"/>
              </w:rPr>
              <w:t>TOTAL ACTIVE = Active imobilizate + Active circulante + Cheltuieli în avans</w:t>
            </w:r>
          </w:p>
        </w:tc>
        <w:tc>
          <w:tcPr>
            <w:tcW w:w="1033" w:type="dxa"/>
            <w:tcBorders>
              <w:top w:val="nil"/>
              <w:left w:val="nil"/>
              <w:bottom w:val="single" w:sz="4" w:space="0" w:color="9BC2E6"/>
              <w:right w:val="single" w:sz="4" w:space="0" w:color="FFFFFF"/>
            </w:tcBorders>
            <w:shd w:val="clear" w:color="000000" w:fill="FFFFFF"/>
            <w:vAlign w:val="center"/>
            <w:hideMark/>
          </w:tcPr>
          <w:p w14:paraId="478EA650"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468F205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7BD82B7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123.526.279</w:t>
            </w:r>
          </w:p>
        </w:tc>
        <w:tc>
          <w:tcPr>
            <w:tcW w:w="1439" w:type="dxa"/>
            <w:tcBorders>
              <w:top w:val="nil"/>
              <w:left w:val="nil"/>
              <w:bottom w:val="single" w:sz="4" w:space="0" w:color="9BC2E6"/>
              <w:right w:val="single" w:sz="4" w:space="0" w:color="FFFFFF"/>
            </w:tcBorders>
            <w:shd w:val="clear" w:color="000000" w:fill="FFFFFF"/>
            <w:noWrap/>
            <w:vAlign w:val="center"/>
            <w:hideMark/>
          </w:tcPr>
          <w:p w14:paraId="2F08D5E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01034FB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123.526.279</w:t>
            </w:r>
          </w:p>
        </w:tc>
      </w:tr>
      <w:tr w:rsidR="004C7E6F" w:rsidRPr="00E14BDC" w14:paraId="4756BFE2"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4A9ED191" w14:textId="77777777" w:rsidR="004C7E6F" w:rsidRPr="004C7E6F" w:rsidRDefault="004C7E6F" w:rsidP="004C7E6F">
            <w:pPr>
              <w:spacing w:before="0" w:after="0" w:line="240" w:lineRule="auto"/>
              <w:rPr>
                <w:rFonts w:ascii="Calibri" w:eastAsia="Times New Roman" w:hAnsi="Calibri" w:cs="Times New Roman"/>
                <w:b/>
                <w:bCs/>
                <w:sz w:val="13"/>
                <w:szCs w:val="13"/>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49DA94FF"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6192D500"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59023D16"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209.775.176</w:t>
            </w:r>
          </w:p>
        </w:tc>
        <w:tc>
          <w:tcPr>
            <w:tcW w:w="1439" w:type="dxa"/>
            <w:tcBorders>
              <w:top w:val="nil"/>
              <w:left w:val="nil"/>
              <w:bottom w:val="single" w:sz="4" w:space="0" w:color="9BC2E6"/>
              <w:right w:val="single" w:sz="4" w:space="0" w:color="FFFFFF"/>
            </w:tcBorders>
            <w:shd w:val="clear" w:color="000000" w:fill="FFFFFF"/>
            <w:noWrap/>
            <w:vAlign w:val="center"/>
            <w:hideMark/>
          </w:tcPr>
          <w:p w14:paraId="45EE57E6"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552.461</w:t>
            </w:r>
          </w:p>
        </w:tc>
        <w:tc>
          <w:tcPr>
            <w:tcW w:w="1022" w:type="dxa"/>
            <w:tcBorders>
              <w:top w:val="nil"/>
              <w:left w:val="nil"/>
              <w:bottom w:val="single" w:sz="4" w:space="0" w:color="9BC2E6"/>
              <w:right w:val="single" w:sz="4" w:space="0" w:color="FFFFFF"/>
            </w:tcBorders>
            <w:shd w:val="clear" w:color="000000" w:fill="FFFFFF"/>
            <w:noWrap/>
            <w:vAlign w:val="center"/>
            <w:hideMark/>
          </w:tcPr>
          <w:p w14:paraId="63AEE367"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210.327.637</w:t>
            </w:r>
          </w:p>
        </w:tc>
      </w:tr>
      <w:tr w:rsidR="004C7E6F" w:rsidRPr="00E14BDC" w14:paraId="26A98A2C"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660C164B" w14:textId="77777777" w:rsidR="004C7E6F" w:rsidRPr="004C7E6F" w:rsidRDefault="004C7E6F" w:rsidP="004C7E6F">
            <w:pPr>
              <w:spacing w:before="0" w:after="0" w:line="240" w:lineRule="auto"/>
              <w:rPr>
                <w:rFonts w:ascii="Calibri" w:eastAsia="Times New Roman" w:hAnsi="Calibri" w:cs="Times New Roman"/>
                <w:b/>
                <w:bCs/>
                <w:sz w:val="13"/>
                <w:szCs w:val="13"/>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78C0293D"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7EFAFBDF"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7D9D9DCF"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218.685.775</w:t>
            </w:r>
          </w:p>
        </w:tc>
        <w:tc>
          <w:tcPr>
            <w:tcW w:w="1439" w:type="dxa"/>
            <w:tcBorders>
              <w:top w:val="nil"/>
              <w:left w:val="nil"/>
              <w:bottom w:val="single" w:sz="4" w:space="0" w:color="9BC2E6"/>
              <w:right w:val="single" w:sz="4" w:space="0" w:color="FFFFFF"/>
            </w:tcBorders>
            <w:shd w:val="clear" w:color="000000" w:fill="FFFFFF"/>
            <w:noWrap/>
            <w:vAlign w:val="center"/>
            <w:hideMark/>
          </w:tcPr>
          <w:p w14:paraId="22BBFB86"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176.291</w:t>
            </w:r>
          </w:p>
        </w:tc>
        <w:tc>
          <w:tcPr>
            <w:tcW w:w="1022" w:type="dxa"/>
            <w:tcBorders>
              <w:top w:val="nil"/>
              <w:left w:val="nil"/>
              <w:bottom w:val="single" w:sz="4" w:space="0" w:color="9BC2E6"/>
              <w:right w:val="single" w:sz="4" w:space="0" w:color="FFFFFF"/>
            </w:tcBorders>
            <w:shd w:val="clear" w:color="000000" w:fill="FFFFFF"/>
            <w:noWrap/>
            <w:vAlign w:val="center"/>
            <w:hideMark/>
          </w:tcPr>
          <w:p w14:paraId="20ACF7C2"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218.862.066</w:t>
            </w:r>
          </w:p>
        </w:tc>
      </w:tr>
      <w:tr w:rsidR="004C7E6F" w:rsidRPr="00E14BDC" w14:paraId="732B22F6"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51267268"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Datorii totale</w:t>
            </w:r>
          </w:p>
        </w:tc>
        <w:tc>
          <w:tcPr>
            <w:tcW w:w="1033" w:type="dxa"/>
            <w:tcBorders>
              <w:top w:val="nil"/>
              <w:left w:val="nil"/>
              <w:bottom w:val="single" w:sz="4" w:space="0" w:color="9BC2E6"/>
              <w:right w:val="single" w:sz="4" w:space="0" w:color="FFFFFF"/>
            </w:tcBorders>
            <w:shd w:val="clear" w:color="000000" w:fill="FFFFFF"/>
            <w:vAlign w:val="center"/>
            <w:hideMark/>
          </w:tcPr>
          <w:p w14:paraId="4AFFD101"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5301E94E"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0B603C4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21.893.373</w:t>
            </w:r>
          </w:p>
        </w:tc>
        <w:tc>
          <w:tcPr>
            <w:tcW w:w="1439" w:type="dxa"/>
            <w:tcBorders>
              <w:top w:val="nil"/>
              <w:left w:val="nil"/>
              <w:bottom w:val="single" w:sz="4" w:space="0" w:color="9BC2E6"/>
              <w:right w:val="single" w:sz="4" w:space="0" w:color="FFFFFF"/>
            </w:tcBorders>
            <w:shd w:val="clear" w:color="000000" w:fill="FFFFFF"/>
            <w:noWrap/>
            <w:vAlign w:val="center"/>
            <w:hideMark/>
          </w:tcPr>
          <w:p w14:paraId="05F5AC64"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3CE3331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21.893.373</w:t>
            </w:r>
          </w:p>
        </w:tc>
      </w:tr>
      <w:tr w:rsidR="004C7E6F" w:rsidRPr="00E14BDC" w14:paraId="4CC602F1"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58E92702"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038A6A72"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70224E6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6F26F86B"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89.590.537</w:t>
            </w:r>
          </w:p>
        </w:tc>
        <w:tc>
          <w:tcPr>
            <w:tcW w:w="1439" w:type="dxa"/>
            <w:tcBorders>
              <w:top w:val="nil"/>
              <w:left w:val="nil"/>
              <w:bottom w:val="single" w:sz="4" w:space="0" w:color="9BC2E6"/>
              <w:right w:val="single" w:sz="4" w:space="0" w:color="FFFFFF"/>
            </w:tcBorders>
            <w:shd w:val="clear" w:color="000000" w:fill="FFFFFF"/>
            <w:noWrap/>
            <w:vAlign w:val="center"/>
            <w:hideMark/>
          </w:tcPr>
          <w:p w14:paraId="45151ED3"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576.472</w:t>
            </w:r>
          </w:p>
        </w:tc>
        <w:tc>
          <w:tcPr>
            <w:tcW w:w="1022" w:type="dxa"/>
            <w:tcBorders>
              <w:top w:val="nil"/>
              <w:left w:val="nil"/>
              <w:bottom w:val="single" w:sz="4" w:space="0" w:color="9BC2E6"/>
              <w:right w:val="single" w:sz="4" w:space="0" w:color="FFFFFF"/>
            </w:tcBorders>
            <w:shd w:val="clear" w:color="000000" w:fill="FFFFFF"/>
            <w:noWrap/>
            <w:vAlign w:val="center"/>
            <w:hideMark/>
          </w:tcPr>
          <w:p w14:paraId="564C6B87"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90.167.009</w:t>
            </w:r>
          </w:p>
        </w:tc>
      </w:tr>
      <w:tr w:rsidR="004C7E6F" w:rsidRPr="00E14BDC" w14:paraId="4EBEB27D"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636BBCC7"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37360758"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2EC487C6"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44997160"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95.694.000</w:t>
            </w:r>
          </w:p>
        </w:tc>
        <w:tc>
          <w:tcPr>
            <w:tcW w:w="1439" w:type="dxa"/>
            <w:tcBorders>
              <w:top w:val="nil"/>
              <w:left w:val="nil"/>
              <w:bottom w:val="single" w:sz="4" w:space="0" w:color="9BC2E6"/>
              <w:right w:val="single" w:sz="4" w:space="0" w:color="FFFFFF"/>
            </w:tcBorders>
            <w:shd w:val="clear" w:color="000000" w:fill="FFFFFF"/>
            <w:noWrap/>
            <w:vAlign w:val="center"/>
            <w:hideMark/>
          </w:tcPr>
          <w:p w14:paraId="4D9F3D6D"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383</w:t>
            </w:r>
          </w:p>
        </w:tc>
        <w:tc>
          <w:tcPr>
            <w:tcW w:w="1022" w:type="dxa"/>
            <w:tcBorders>
              <w:top w:val="nil"/>
              <w:left w:val="nil"/>
              <w:bottom w:val="single" w:sz="4" w:space="0" w:color="9BC2E6"/>
              <w:right w:val="single" w:sz="4" w:space="0" w:color="FFFFFF"/>
            </w:tcBorders>
            <w:shd w:val="clear" w:color="000000" w:fill="FFFFFF"/>
            <w:noWrap/>
            <w:vAlign w:val="center"/>
            <w:hideMark/>
          </w:tcPr>
          <w:p w14:paraId="7104585C"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95.694.382</w:t>
            </w:r>
          </w:p>
        </w:tc>
      </w:tr>
      <w:tr w:rsidR="004C7E6F" w:rsidRPr="00E14BDC" w14:paraId="5E0F9D2A" w14:textId="77777777" w:rsidTr="004C7E6F">
        <w:trPr>
          <w:trHeight w:val="204"/>
        </w:trPr>
        <w:tc>
          <w:tcPr>
            <w:tcW w:w="3600" w:type="dxa"/>
            <w:vMerge w:val="restart"/>
            <w:tcBorders>
              <w:top w:val="nil"/>
              <w:left w:val="nil"/>
              <w:bottom w:val="single" w:sz="4" w:space="0" w:color="9BC2E6"/>
              <w:right w:val="single" w:sz="4" w:space="0" w:color="FFFFFF"/>
            </w:tcBorders>
            <w:shd w:val="clear" w:color="000000" w:fill="FFFFFF"/>
            <w:hideMark/>
          </w:tcPr>
          <w:p w14:paraId="04D24300"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Plăți restante</w:t>
            </w:r>
          </w:p>
        </w:tc>
        <w:tc>
          <w:tcPr>
            <w:tcW w:w="1033" w:type="dxa"/>
            <w:tcBorders>
              <w:top w:val="nil"/>
              <w:left w:val="nil"/>
              <w:bottom w:val="single" w:sz="4" w:space="0" w:color="9BC2E6"/>
              <w:right w:val="single" w:sz="4" w:space="0" w:color="FFFFFF"/>
            </w:tcBorders>
            <w:shd w:val="clear" w:color="000000" w:fill="FFFFFF"/>
            <w:vAlign w:val="center"/>
            <w:hideMark/>
          </w:tcPr>
          <w:p w14:paraId="11610575"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521B24A8"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765A21FC"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2.785.649</w:t>
            </w:r>
          </w:p>
        </w:tc>
        <w:tc>
          <w:tcPr>
            <w:tcW w:w="1439" w:type="dxa"/>
            <w:tcBorders>
              <w:top w:val="nil"/>
              <w:left w:val="nil"/>
              <w:bottom w:val="single" w:sz="4" w:space="0" w:color="9BC2E6"/>
              <w:right w:val="single" w:sz="4" w:space="0" w:color="FFFFFF"/>
            </w:tcBorders>
            <w:shd w:val="clear" w:color="000000" w:fill="FFFFFF"/>
            <w:noWrap/>
            <w:vAlign w:val="center"/>
            <w:hideMark/>
          </w:tcPr>
          <w:p w14:paraId="7AD6C265"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1BEC94A7"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2.785.649</w:t>
            </w:r>
          </w:p>
        </w:tc>
      </w:tr>
      <w:tr w:rsidR="004C7E6F" w:rsidRPr="00E14BDC" w14:paraId="3BFC979B"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180D2D93"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4C9A27A9"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50F04E44"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2DF778AC"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3.020.328</w:t>
            </w:r>
          </w:p>
        </w:tc>
        <w:tc>
          <w:tcPr>
            <w:tcW w:w="1439" w:type="dxa"/>
            <w:tcBorders>
              <w:top w:val="nil"/>
              <w:left w:val="nil"/>
              <w:bottom w:val="single" w:sz="4" w:space="0" w:color="9BC2E6"/>
              <w:right w:val="single" w:sz="4" w:space="0" w:color="FFFFFF"/>
            </w:tcBorders>
            <w:shd w:val="clear" w:color="000000" w:fill="FFFFFF"/>
            <w:noWrap/>
            <w:vAlign w:val="center"/>
            <w:hideMark/>
          </w:tcPr>
          <w:p w14:paraId="09DD1C87"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251.681</w:t>
            </w:r>
          </w:p>
        </w:tc>
        <w:tc>
          <w:tcPr>
            <w:tcW w:w="1022" w:type="dxa"/>
            <w:tcBorders>
              <w:top w:val="nil"/>
              <w:left w:val="nil"/>
              <w:bottom w:val="single" w:sz="4" w:space="0" w:color="9BC2E6"/>
              <w:right w:val="single" w:sz="4" w:space="0" w:color="FFFFFF"/>
            </w:tcBorders>
            <w:shd w:val="clear" w:color="000000" w:fill="FFFFFF"/>
            <w:noWrap/>
            <w:vAlign w:val="center"/>
            <w:hideMark/>
          </w:tcPr>
          <w:p w14:paraId="029C29CF"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3.272.009</w:t>
            </w:r>
          </w:p>
        </w:tc>
      </w:tr>
      <w:tr w:rsidR="004C7E6F" w:rsidRPr="00E14BDC" w14:paraId="587E051A" w14:textId="77777777" w:rsidTr="004C7E6F">
        <w:trPr>
          <w:trHeight w:val="204"/>
        </w:trPr>
        <w:tc>
          <w:tcPr>
            <w:tcW w:w="3600" w:type="dxa"/>
            <w:vMerge/>
            <w:tcBorders>
              <w:top w:val="nil"/>
              <w:left w:val="nil"/>
              <w:bottom w:val="single" w:sz="4" w:space="0" w:color="9BC2E6"/>
              <w:right w:val="single" w:sz="4" w:space="0" w:color="FFFFFF"/>
            </w:tcBorders>
            <w:vAlign w:val="center"/>
            <w:hideMark/>
          </w:tcPr>
          <w:p w14:paraId="6450F1FF"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1060A891"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mii lei</w:t>
            </w:r>
          </w:p>
        </w:tc>
        <w:tc>
          <w:tcPr>
            <w:tcW w:w="581" w:type="dxa"/>
            <w:tcBorders>
              <w:top w:val="nil"/>
              <w:left w:val="nil"/>
              <w:bottom w:val="single" w:sz="4" w:space="0" w:color="9BC2E6"/>
              <w:right w:val="single" w:sz="4" w:space="0" w:color="FFFFFF"/>
            </w:tcBorders>
            <w:shd w:val="clear" w:color="000000" w:fill="FFFFFF"/>
            <w:vAlign w:val="center"/>
            <w:hideMark/>
          </w:tcPr>
          <w:p w14:paraId="672F8FDA"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26AE7B7C"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7.070.644</w:t>
            </w:r>
          </w:p>
        </w:tc>
        <w:tc>
          <w:tcPr>
            <w:tcW w:w="1439" w:type="dxa"/>
            <w:tcBorders>
              <w:top w:val="nil"/>
              <w:left w:val="nil"/>
              <w:bottom w:val="single" w:sz="4" w:space="0" w:color="9BC2E6"/>
              <w:right w:val="single" w:sz="4" w:space="0" w:color="FFFFFF"/>
            </w:tcBorders>
            <w:shd w:val="clear" w:color="000000" w:fill="FFFFFF"/>
            <w:noWrap/>
            <w:vAlign w:val="center"/>
            <w:hideMark/>
          </w:tcPr>
          <w:p w14:paraId="0EC3FCFF"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543.944</w:t>
            </w:r>
          </w:p>
        </w:tc>
        <w:tc>
          <w:tcPr>
            <w:tcW w:w="1022" w:type="dxa"/>
            <w:tcBorders>
              <w:top w:val="nil"/>
              <w:left w:val="nil"/>
              <w:bottom w:val="single" w:sz="4" w:space="0" w:color="9BC2E6"/>
              <w:right w:val="single" w:sz="4" w:space="0" w:color="FFFFFF"/>
            </w:tcBorders>
            <w:shd w:val="clear" w:color="000000" w:fill="FFFFFF"/>
            <w:noWrap/>
            <w:vAlign w:val="center"/>
            <w:hideMark/>
          </w:tcPr>
          <w:p w14:paraId="0FCD77EA"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7.614.588</w:t>
            </w:r>
          </w:p>
        </w:tc>
      </w:tr>
      <w:tr w:rsidR="004C7E6F" w:rsidRPr="00E14BDC" w14:paraId="15B50FD0" w14:textId="77777777" w:rsidTr="004C7E6F">
        <w:trPr>
          <w:trHeight w:val="204"/>
        </w:trPr>
        <w:tc>
          <w:tcPr>
            <w:tcW w:w="3600" w:type="dxa"/>
            <w:vMerge w:val="restart"/>
            <w:tcBorders>
              <w:top w:val="nil"/>
              <w:left w:val="nil"/>
              <w:bottom w:val="nil"/>
              <w:right w:val="single" w:sz="4" w:space="0" w:color="FFFFFF"/>
            </w:tcBorders>
            <w:shd w:val="clear" w:color="000000" w:fill="FFFFFF"/>
            <w:hideMark/>
          </w:tcPr>
          <w:p w14:paraId="7596A004"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Nr efectiv de personal</w:t>
            </w:r>
          </w:p>
        </w:tc>
        <w:tc>
          <w:tcPr>
            <w:tcW w:w="1033" w:type="dxa"/>
            <w:tcBorders>
              <w:top w:val="nil"/>
              <w:left w:val="nil"/>
              <w:bottom w:val="single" w:sz="4" w:space="0" w:color="9BC2E6"/>
              <w:right w:val="single" w:sz="4" w:space="0" w:color="FFFFFF"/>
            </w:tcBorders>
            <w:shd w:val="clear" w:color="000000" w:fill="FFFFFF"/>
            <w:vAlign w:val="center"/>
            <w:hideMark/>
          </w:tcPr>
          <w:p w14:paraId="2E85B709"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nr. pers.</w:t>
            </w:r>
          </w:p>
        </w:tc>
        <w:tc>
          <w:tcPr>
            <w:tcW w:w="581" w:type="dxa"/>
            <w:tcBorders>
              <w:top w:val="nil"/>
              <w:left w:val="nil"/>
              <w:bottom w:val="single" w:sz="4" w:space="0" w:color="9BC2E6"/>
              <w:right w:val="single" w:sz="4" w:space="0" w:color="FFFFFF"/>
            </w:tcBorders>
            <w:shd w:val="clear" w:color="000000" w:fill="FFFFFF"/>
            <w:vAlign w:val="center"/>
            <w:hideMark/>
          </w:tcPr>
          <w:p w14:paraId="5ACB983A"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2018</w:t>
            </w:r>
          </w:p>
        </w:tc>
        <w:tc>
          <w:tcPr>
            <w:tcW w:w="1439" w:type="dxa"/>
            <w:tcBorders>
              <w:top w:val="nil"/>
              <w:left w:val="nil"/>
              <w:bottom w:val="single" w:sz="4" w:space="0" w:color="9BC2E6"/>
              <w:right w:val="single" w:sz="4" w:space="0" w:color="FFFFFF"/>
            </w:tcBorders>
            <w:shd w:val="clear" w:color="000000" w:fill="FFFFFF"/>
            <w:noWrap/>
            <w:vAlign w:val="center"/>
            <w:hideMark/>
          </w:tcPr>
          <w:p w14:paraId="4F9BDF9B"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180.122</w:t>
            </w:r>
          </w:p>
        </w:tc>
        <w:tc>
          <w:tcPr>
            <w:tcW w:w="1439" w:type="dxa"/>
            <w:tcBorders>
              <w:top w:val="nil"/>
              <w:left w:val="nil"/>
              <w:bottom w:val="single" w:sz="4" w:space="0" w:color="9BC2E6"/>
              <w:right w:val="single" w:sz="4" w:space="0" w:color="FFFFFF"/>
            </w:tcBorders>
            <w:shd w:val="clear" w:color="000000" w:fill="FFFFFF"/>
            <w:noWrap/>
            <w:vAlign w:val="center"/>
            <w:hideMark/>
          </w:tcPr>
          <w:p w14:paraId="29DE24C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0</w:t>
            </w:r>
          </w:p>
        </w:tc>
        <w:tc>
          <w:tcPr>
            <w:tcW w:w="1022" w:type="dxa"/>
            <w:tcBorders>
              <w:top w:val="nil"/>
              <w:left w:val="nil"/>
              <w:bottom w:val="single" w:sz="4" w:space="0" w:color="9BC2E6"/>
              <w:right w:val="single" w:sz="4" w:space="0" w:color="FFFFFF"/>
            </w:tcBorders>
            <w:shd w:val="clear" w:color="000000" w:fill="FFFFFF"/>
            <w:noWrap/>
            <w:vAlign w:val="center"/>
            <w:hideMark/>
          </w:tcPr>
          <w:p w14:paraId="4A3606F0"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180.122</w:t>
            </w:r>
          </w:p>
        </w:tc>
      </w:tr>
      <w:tr w:rsidR="004C7E6F" w:rsidRPr="00E14BDC" w14:paraId="4CB390C1" w14:textId="77777777" w:rsidTr="004C7E6F">
        <w:trPr>
          <w:trHeight w:val="204"/>
        </w:trPr>
        <w:tc>
          <w:tcPr>
            <w:tcW w:w="3600" w:type="dxa"/>
            <w:vMerge/>
            <w:tcBorders>
              <w:top w:val="nil"/>
              <w:left w:val="nil"/>
              <w:bottom w:val="nil"/>
              <w:right w:val="single" w:sz="4" w:space="0" w:color="FFFFFF"/>
            </w:tcBorders>
            <w:vAlign w:val="center"/>
            <w:hideMark/>
          </w:tcPr>
          <w:p w14:paraId="5E2C643F"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680E9BE0" w14:textId="77777777" w:rsidR="004C7E6F" w:rsidRPr="004C7E6F" w:rsidRDefault="004C7E6F" w:rsidP="004C7E6F">
            <w:pPr>
              <w:spacing w:before="0" w:after="0" w:line="240" w:lineRule="auto"/>
              <w:jc w:val="right"/>
              <w:rPr>
                <w:rFonts w:ascii="Calibri" w:eastAsia="Times New Roman" w:hAnsi="Calibri" w:cs="Times New Roman"/>
                <w:i/>
                <w:iCs/>
                <w:sz w:val="14"/>
                <w:szCs w:val="14"/>
                <w:lang w:eastAsia="ro-RO"/>
              </w:rPr>
            </w:pPr>
            <w:r w:rsidRPr="004C7E6F">
              <w:rPr>
                <w:rFonts w:ascii="Calibri" w:eastAsia="Times New Roman" w:hAnsi="Calibri" w:cs="Times New Roman"/>
                <w:i/>
                <w:iCs/>
                <w:sz w:val="14"/>
                <w:szCs w:val="14"/>
                <w:lang w:eastAsia="ro-RO"/>
              </w:rPr>
              <w:t>nr. pers.</w:t>
            </w:r>
          </w:p>
        </w:tc>
        <w:tc>
          <w:tcPr>
            <w:tcW w:w="581" w:type="dxa"/>
            <w:tcBorders>
              <w:top w:val="nil"/>
              <w:left w:val="nil"/>
              <w:bottom w:val="single" w:sz="4" w:space="0" w:color="9BC2E6"/>
              <w:right w:val="single" w:sz="4" w:space="0" w:color="FFFFFF"/>
            </w:tcBorders>
            <w:shd w:val="clear" w:color="000000" w:fill="FFFFFF"/>
            <w:vAlign w:val="center"/>
            <w:hideMark/>
          </w:tcPr>
          <w:p w14:paraId="137EDC29"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2019</w:t>
            </w:r>
          </w:p>
        </w:tc>
        <w:tc>
          <w:tcPr>
            <w:tcW w:w="1439" w:type="dxa"/>
            <w:tcBorders>
              <w:top w:val="nil"/>
              <w:left w:val="nil"/>
              <w:bottom w:val="single" w:sz="4" w:space="0" w:color="9BC2E6"/>
              <w:right w:val="single" w:sz="4" w:space="0" w:color="FFFFFF"/>
            </w:tcBorders>
            <w:shd w:val="clear" w:color="000000" w:fill="FFFFFF"/>
            <w:noWrap/>
            <w:vAlign w:val="center"/>
            <w:hideMark/>
          </w:tcPr>
          <w:p w14:paraId="04D0C712"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179.672</w:t>
            </w:r>
          </w:p>
        </w:tc>
        <w:tc>
          <w:tcPr>
            <w:tcW w:w="1439" w:type="dxa"/>
            <w:tcBorders>
              <w:top w:val="nil"/>
              <w:left w:val="nil"/>
              <w:bottom w:val="single" w:sz="4" w:space="0" w:color="9BC2E6"/>
              <w:right w:val="single" w:sz="4" w:space="0" w:color="FFFFFF"/>
            </w:tcBorders>
            <w:shd w:val="clear" w:color="000000" w:fill="FFFFFF"/>
            <w:noWrap/>
            <w:vAlign w:val="center"/>
            <w:hideMark/>
          </w:tcPr>
          <w:p w14:paraId="5871BD87"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1.914</w:t>
            </w:r>
          </w:p>
        </w:tc>
        <w:tc>
          <w:tcPr>
            <w:tcW w:w="1022" w:type="dxa"/>
            <w:tcBorders>
              <w:top w:val="nil"/>
              <w:left w:val="nil"/>
              <w:bottom w:val="single" w:sz="4" w:space="0" w:color="9BC2E6"/>
              <w:right w:val="single" w:sz="4" w:space="0" w:color="FFFFFF"/>
            </w:tcBorders>
            <w:shd w:val="clear" w:color="000000" w:fill="FFFFFF"/>
            <w:noWrap/>
            <w:vAlign w:val="center"/>
            <w:hideMark/>
          </w:tcPr>
          <w:p w14:paraId="1E80C288" w14:textId="77777777" w:rsidR="004C7E6F" w:rsidRPr="004C7E6F" w:rsidRDefault="004C7E6F" w:rsidP="004C7E6F">
            <w:pPr>
              <w:spacing w:before="0" w:after="0" w:line="240" w:lineRule="auto"/>
              <w:jc w:val="right"/>
              <w:rPr>
                <w:rFonts w:ascii="Calibri" w:eastAsia="Times New Roman" w:hAnsi="Calibri" w:cs="Times New Roman"/>
                <w:sz w:val="14"/>
                <w:szCs w:val="14"/>
                <w:lang w:eastAsia="ro-RO"/>
              </w:rPr>
            </w:pPr>
            <w:r w:rsidRPr="004C7E6F">
              <w:rPr>
                <w:rFonts w:ascii="Calibri" w:eastAsia="Times New Roman" w:hAnsi="Calibri" w:cs="Times New Roman"/>
                <w:sz w:val="14"/>
                <w:szCs w:val="14"/>
                <w:lang w:eastAsia="ro-RO"/>
              </w:rPr>
              <w:t>181.586</w:t>
            </w:r>
          </w:p>
        </w:tc>
      </w:tr>
      <w:tr w:rsidR="004C7E6F" w:rsidRPr="00E14BDC" w14:paraId="054A8707" w14:textId="77777777" w:rsidTr="004C7E6F">
        <w:trPr>
          <w:trHeight w:val="204"/>
        </w:trPr>
        <w:tc>
          <w:tcPr>
            <w:tcW w:w="3600" w:type="dxa"/>
            <w:vMerge/>
            <w:tcBorders>
              <w:top w:val="nil"/>
              <w:left w:val="nil"/>
              <w:bottom w:val="nil"/>
              <w:right w:val="single" w:sz="4" w:space="0" w:color="FFFFFF"/>
            </w:tcBorders>
            <w:vAlign w:val="center"/>
            <w:hideMark/>
          </w:tcPr>
          <w:p w14:paraId="1FC5228B" w14:textId="77777777" w:rsidR="004C7E6F" w:rsidRPr="004C7E6F" w:rsidRDefault="004C7E6F" w:rsidP="004C7E6F">
            <w:pPr>
              <w:spacing w:before="0" w:after="0" w:line="240" w:lineRule="auto"/>
              <w:rPr>
                <w:rFonts w:ascii="Calibri" w:eastAsia="Times New Roman" w:hAnsi="Calibri" w:cs="Times New Roman"/>
                <w:b/>
                <w:bCs/>
                <w:sz w:val="14"/>
                <w:szCs w:val="14"/>
                <w:lang w:eastAsia="ro-RO"/>
              </w:rPr>
            </w:pPr>
          </w:p>
        </w:tc>
        <w:tc>
          <w:tcPr>
            <w:tcW w:w="1033" w:type="dxa"/>
            <w:tcBorders>
              <w:top w:val="nil"/>
              <w:left w:val="nil"/>
              <w:bottom w:val="single" w:sz="4" w:space="0" w:color="9BC2E6"/>
              <w:right w:val="single" w:sz="4" w:space="0" w:color="FFFFFF"/>
            </w:tcBorders>
            <w:shd w:val="clear" w:color="000000" w:fill="FFFFFF"/>
            <w:vAlign w:val="center"/>
            <w:hideMark/>
          </w:tcPr>
          <w:p w14:paraId="68CAED95" w14:textId="77777777" w:rsidR="004C7E6F" w:rsidRPr="004C7E6F" w:rsidRDefault="004C7E6F" w:rsidP="004C7E6F">
            <w:pPr>
              <w:spacing w:before="0" w:after="0" w:line="240" w:lineRule="auto"/>
              <w:jc w:val="right"/>
              <w:rPr>
                <w:rFonts w:ascii="Calibri" w:eastAsia="Times New Roman" w:hAnsi="Calibri" w:cs="Times New Roman"/>
                <w:b/>
                <w:bCs/>
                <w:i/>
                <w:iCs/>
                <w:sz w:val="14"/>
                <w:szCs w:val="14"/>
                <w:lang w:eastAsia="ro-RO"/>
              </w:rPr>
            </w:pPr>
            <w:r w:rsidRPr="004C7E6F">
              <w:rPr>
                <w:rFonts w:ascii="Calibri" w:eastAsia="Times New Roman" w:hAnsi="Calibri" w:cs="Times New Roman"/>
                <w:b/>
                <w:bCs/>
                <w:i/>
                <w:iCs/>
                <w:sz w:val="14"/>
                <w:szCs w:val="14"/>
                <w:lang w:eastAsia="ro-RO"/>
              </w:rPr>
              <w:t>nr. pers.</w:t>
            </w:r>
          </w:p>
        </w:tc>
        <w:tc>
          <w:tcPr>
            <w:tcW w:w="581" w:type="dxa"/>
            <w:tcBorders>
              <w:top w:val="nil"/>
              <w:left w:val="nil"/>
              <w:bottom w:val="single" w:sz="4" w:space="0" w:color="9BC2E6"/>
              <w:right w:val="single" w:sz="4" w:space="0" w:color="FFFFFF"/>
            </w:tcBorders>
            <w:shd w:val="clear" w:color="000000" w:fill="FFFFFF"/>
            <w:vAlign w:val="center"/>
            <w:hideMark/>
          </w:tcPr>
          <w:p w14:paraId="4C096B15"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2020</w:t>
            </w:r>
          </w:p>
        </w:tc>
        <w:tc>
          <w:tcPr>
            <w:tcW w:w="1439" w:type="dxa"/>
            <w:tcBorders>
              <w:top w:val="nil"/>
              <w:left w:val="nil"/>
              <w:bottom w:val="single" w:sz="4" w:space="0" w:color="9BC2E6"/>
              <w:right w:val="single" w:sz="4" w:space="0" w:color="FFFFFF"/>
            </w:tcBorders>
            <w:shd w:val="clear" w:color="000000" w:fill="FFFFFF"/>
            <w:noWrap/>
            <w:vAlign w:val="center"/>
            <w:hideMark/>
          </w:tcPr>
          <w:p w14:paraId="205DEB6F"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173.396</w:t>
            </w:r>
          </w:p>
        </w:tc>
        <w:tc>
          <w:tcPr>
            <w:tcW w:w="1439" w:type="dxa"/>
            <w:tcBorders>
              <w:top w:val="nil"/>
              <w:left w:val="nil"/>
              <w:bottom w:val="single" w:sz="4" w:space="0" w:color="9BC2E6"/>
              <w:right w:val="single" w:sz="4" w:space="0" w:color="FFFFFF"/>
            </w:tcBorders>
            <w:shd w:val="clear" w:color="000000" w:fill="FFFFFF"/>
            <w:noWrap/>
            <w:vAlign w:val="center"/>
            <w:hideMark/>
          </w:tcPr>
          <w:p w14:paraId="4E1DBCE4"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25</w:t>
            </w:r>
          </w:p>
        </w:tc>
        <w:tc>
          <w:tcPr>
            <w:tcW w:w="1022" w:type="dxa"/>
            <w:tcBorders>
              <w:top w:val="nil"/>
              <w:left w:val="nil"/>
              <w:bottom w:val="single" w:sz="4" w:space="0" w:color="9BC2E6"/>
              <w:right w:val="single" w:sz="4" w:space="0" w:color="FFFFFF"/>
            </w:tcBorders>
            <w:shd w:val="clear" w:color="000000" w:fill="FFFFFF"/>
            <w:noWrap/>
            <w:vAlign w:val="center"/>
            <w:hideMark/>
          </w:tcPr>
          <w:p w14:paraId="65E4602D" w14:textId="77777777" w:rsidR="004C7E6F" w:rsidRPr="004C7E6F" w:rsidRDefault="004C7E6F" w:rsidP="004C7E6F">
            <w:pPr>
              <w:spacing w:before="0" w:after="0" w:line="240" w:lineRule="auto"/>
              <w:jc w:val="right"/>
              <w:rPr>
                <w:rFonts w:ascii="Calibri" w:eastAsia="Times New Roman" w:hAnsi="Calibri" w:cs="Times New Roman"/>
                <w:b/>
                <w:bCs/>
                <w:sz w:val="14"/>
                <w:szCs w:val="14"/>
                <w:lang w:eastAsia="ro-RO"/>
              </w:rPr>
            </w:pPr>
            <w:r w:rsidRPr="004C7E6F">
              <w:rPr>
                <w:rFonts w:ascii="Calibri" w:eastAsia="Times New Roman" w:hAnsi="Calibri" w:cs="Times New Roman"/>
                <w:b/>
                <w:bCs/>
                <w:sz w:val="14"/>
                <w:szCs w:val="14"/>
                <w:lang w:eastAsia="ro-RO"/>
              </w:rPr>
              <w:t>173.421</w:t>
            </w:r>
          </w:p>
        </w:tc>
      </w:tr>
      <w:tr w:rsidR="004C7E6F" w:rsidRPr="00E14BDC" w14:paraId="5E4E40E9" w14:textId="77777777" w:rsidTr="004C7E6F">
        <w:trPr>
          <w:trHeight w:val="204"/>
        </w:trPr>
        <w:tc>
          <w:tcPr>
            <w:tcW w:w="9114" w:type="dxa"/>
            <w:gridSpan w:val="6"/>
            <w:tcBorders>
              <w:top w:val="single" w:sz="4" w:space="0" w:color="5B9BD5"/>
              <w:left w:val="nil"/>
              <w:bottom w:val="nil"/>
              <w:right w:val="single" w:sz="4" w:space="0" w:color="FFFFFF"/>
            </w:tcBorders>
            <w:shd w:val="clear" w:color="000000" w:fill="FFFFFF"/>
            <w:noWrap/>
            <w:vAlign w:val="bottom"/>
            <w:hideMark/>
          </w:tcPr>
          <w:p w14:paraId="172AC181" w14:textId="77777777" w:rsidR="004C7E6F" w:rsidRPr="004C7E6F" w:rsidRDefault="004C7E6F" w:rsidP="004C7E6F">
            <w:pPr>
              <w:spacing w:before="0" w:after="0" w:line="240" w:lineRule="auto"/>
              <w:rPr>
                <w:rFonts w:ascii="Calibri Light" w:eastAsia="Times New Roman" w:hAnsi="Calibri Light" w:cs="Times New Roman"/>
                <w:color w:val="000000"/>
                <w:sz w:val="16"/>
                <w:szCs w:val="16"/>
                <w:lang w:eastAsia="ro-RO"/>
              </w:rPr>
            </w:pPr>
            <w:r w:rsidRPr="004C7E6F">
              <w:rPr>
                <w:rFonts w:ascii="Calibri Light" w:eastAsia="Times New Roman" w:hAnsi="Calibri Light" w:cs="Times New Roman"/>
                <w:sz w:val="16"/>
                <w:szCs w:val="16"/>
                <w:lang w:eastAsia="ro-RO"/>
              </w:rPr>
              <w:t>Notă: în tabel  s-a folosit starea ÎP la finele anului 2020.</w:t>
            </w:r>
            <w:r w:rsidRPr="004C7E6F">
              <w:rPr>
                <w:rFonts w:ascii="Calibri" w:eastAsia="Times New Roman" w:hAnsi="Calibri" w:cs="Times New Roman"/>
                <w:b/>
                <w:bCs/>
                <w:sz w:val="14"/>
                <w:szCs w:val="14"/>
                <w:lang w:eastAsia="ro-RO"/>
              </w:rPr>
              <w:t> </w:t>
            </w:r>
          </w:p>
        </w:tc>
      </w:tr>
    </w:tbl>
    <w:p w14:paraId="7B1D1CAF" w14:textId="77777777" w:rsidR="004C7E6F" w:rsidRDefault="004C7E6F" w:rsidP="004C7E6F">
      <w:pPr>
        <w:spacing w:before="0" w:after="0"/>
        <w:contextualSpacing/>
        <w:rPr>
          <w:rFonts w:asciiTheme="majorHAnsi" w:hAnsiTheme="majorHAnsi" w:cs="Times New Roman"/>
          <w:bCs/>
        </w:rPr>
      </w:pPr>
    </w:p>
    <w:p w14:paraId="26E250F3" w14:textId="77777777" w:rsidR="004C7E6F" w:rsidRPr="004C7E6F" w:rsidRDefault="004C7E6F" w:rsidP="004C7E6F">
      <w:pPr>
        <w:spacing w:before="0" w:after="0"/>
        <w:contextualSpacing/>
        <w:rPr>
          <w:rFonts w:asciiTheme="majorHAnsi" w:hAnsiTheme="majorHAnsi" w:cs="Times New Roman"/>
          <w:b/>
          <w:bCs/>
        </w:rPr>
      </w:pPr>
    </w:p>
    <w:p w14:paraId="534838FE" w14:textId="77777777" w:rsidR="004C7E6F" w:rsidRPr="004C7E6F" w:rsidRDefault="004C7E6F" w:rsidP="004C7E6F">
      <w:pPr>
        <w:spacing w:before="0" w:after="0"/>
        <w:contextualSpacing/>
        <w:rPr>
          <w:rFonts w:asciiTheme="majorHAnsi" w:hAnsiTheme="majorHAnsi" w:cs="Times New Roman"/>
          <w:b/>
          <w:bCs/>
        </w:rPr>
      </w:pPr>
      <w:r w:rsidRPr="004C7E6F">
        <w:rPr>
          <w:rFonts w:asciiTheme="majorHAnsi" w:hAnsiTheme="majorHAnsi" w:cs="Times New Roman"/>
          <w:b/>
          <w:bCs/>
        </w:rPr>
        <w:t>NOTĂ:</w:t>
      </w:r>
    </w:p>
    <w:p w14:paraId="14BF4364" w14:textId="77777777" w:rsidR="004C7E6F" w:rsidRPr="008C6972" w:rsidRDefault="004C7E6F" w:rsidP="004C7E6F">
      <w:pPr>
        <w:spacing w:before="0" w:after="0"/>
        <w:contextualSpacing/>
        <w:jc w:val="both"/>
        <w:rPr>
          <w:rFonts w:asciiTheme="majorHAnsi" w:hAnsiTheme="majorHAnsi" w:cs="Times New Roman"/>
          <w:bCs/>
          <w:lang w:val="en-US"/>
        </w:rPr>
      </w:pPr>
      <w:r w:rsidRPr="008C6972">
        <w:rPr>
          <w:rFonts w:asciiTheme="majorHAnsi" w:hAnsiTheme="majorHAnsi" w:cs="Times New Roman"/>
          <w:bCs/>
        </w:rPr>
        <w:t>În scopul stabilirii unor date comparative privind evoluția indicatorilor economico-financiari în perioada 201</w:t>
      </w:r>
      <w:r>
        <w:rPr>
          <w:rFonts w:asciiTheme="majorHAnsi" w:hAnsiTheme="majorHAnsi" w:cs="Times New Roman"/>
          <w:bCs/>
        </w:rPr>
        <w:t>8</w:t>
      </w:r>
      <w:r w:rsidRPr="008C6972">
        <w:rPr>
          <w:rFonts w:asciiTheme="majorHAnsi" w:hAnsiTheme="majorHAnsi" w:cs="Times New Roman"/>
          <w:bCs/>
        </w:rPr>
        <w:t>-20</w:t>
      </w:r>
      <w:r>
        <w:rPr>
          <w:rFonts w:asciiTheme="majorHAnsi" w:hAnsiTheme="majorHAnsi" w:cs="Times New Roman"/>
          <w:bCs/>
        </w:rPr>
        <w:t>20</w:t>
      </w:r>
      <w:r w:rsidRPr="008C6972">
        <w:rPr>
          <w:rFonts w:asciiTheme="majorHAnsi" w:hAnsiTheme="majorHAnsi" w:cs="Times New Roman"/>
          <w:bCs/>
        </w:rPr>
        <w:t>, indicatorii economico-financiari au fost grupați în funcție de ÎPC care au date comparative pe întreaga perioadă, respectiv au existat în activitatea de monitorizare pe parcursul ultimilor 3 ani.</w:t>
      </w:r>
    </w:p>
    <w:p w14:paraId="08890203" w14:textId="77777777" w:rsidR="004C7E6F" w:rsidRDefault="004C7E6F" w:rsidP="004C7E6F">
      <w:pPr>
        <w:spacing w:before="0" w:after="0"/>
        <w:jc w:val="both"/>
        <w:rPr>
          <w:rFonts w:asciiTheme="majorHAnsi" w:hAnsiTheme="majorHAnsi" w:cs="Times New Roman"/>
          <w:b/>
        </w:rPr>
      </w:pPr>
    </w:p>
    <w:p w14:paraId="0B1EE6CA" w14:textId="77777777" w:rsidR="004C7E6F" w:rsidRPr="008C6972" w:rsidRDefault="004C7E6F" w:rsidP="004C7E6F">
      <w:pPr>
        <w:spacing w:before="0" w:after="0"/>
        <w:jc w:val="both"/>
        <w:rPr>
          <w:rFonts w:asciiTheme="majorHAnsi" w:hAnsiTheme="majorHAnsi" w:cs="Times New Roman"/>
          <w:bCs/>
        </w:rPr>
      </w:pPr>
      <w:r w:rsidRPr="008C6972">
        <w:rPr>
          <w:rFonts w:asciiTheme="majorHAnsi" w:hAnsiTheme="majorHAnsi" w:cs="Times New Roman"/>
          <w:b/>
        </w:rPr>
        <w:t>Din cele 22</w:t>
      </w:r>
      <w:r>
        <w:rPr>
          <w:rFonts w:asciiTheme="majorHAnsi" w:hAnsiTheme="majorHAnsi" w:cs="Times New Roman"/>
          <w:b/>
        </w:rPr>
        <w:t>6</w:t>
      </w:r>
      <w:r w:rsidRPr="008C6972">
        <w:rPr>
          <w:rFonts w:asciiTheme="majorHAnsi" w:hAnsiTheme="majorHAnsi" w:cs="Times New Roman"/>
          <w:b/>
        </w:rPr>
        <w:t xml:space="preserve"> ÎPC active</w:t>
      </w:r>
      <w:r w:rsidRPr="008C6972">
        <w:rPr>
          <w:rFonts w:asciiTheme="majorHAnsi" w:hAnsiTheme="majorHAnsi" w:cs="Times New Roman"/>
          <w:bCs/>
        </w:rPr>
        <w:t xml:space="preserve"> la 31.12.20</w:t>
      </w:r>
      <w:r>
        <w:rPr>
          <w:rFonts w:asciiTheme="majorHAnsi" w:hAnsiTheme="majorHAnsi" w:cs="Times New Roman"/>
          <w:bCs/>
        </w:rPr>
        <w:t>20</w:t>
      </w:r>
      <w:r w:rsidRPr="008C6972">
        <w:rPr>
          <w:rFonts w:asciiTheme="majorHAnsi" w:hAnsiTheme="majorHAnsi" w:cs="Times New Roman"/>
          <w:bCs/>
        </w:rPr>
        <w:t xml:space="preserve">  au fost grupate </w:t>
      </w:r>
      <w:r w:rsidRPr="008C6972">
        <w:rPr>
          <w:rFonts w:asciiTheme="majorHAnsi" w:hAnsiTheme="majorHAnsi" w:cs="Times New Roman"/>
          <w:b/>
        </w:rPr>
        <w:t>în 2</w:t>
      </w:r>
      <w:r>
        <w:rPr>
          <w:rFonts w:asciiTheme="majorHAnsi" w:hAnsiTheme="majorHAnsi" w:cs="Times New Roman"/>
          <w:b/>
        </w:rPr>
        <w:t>20</w:t>
      </w:r>
      <w:r w:rsidRPr="008C6972">
        <w:rPr>
          <w:rFonts w:asciiTheme="majorHAnsi" w:hAnsiTheme="majorHAnsi" w:cs="Times New Roman"/>
          <w:b/>
        </w:rPr>
        <w:t xml:space="preserve"> ÎPC</w:t>
      </w:r>
      <w:r w:rsidRPr="008C6972">
        <w:rPr>
          <w:rFonts w:asciiTheme="majorHAnsi" w:hAnsiTheme="majorHAnsi" w:cs="Times New Roman"/>
          <w:bCs/>
        </w:rPr>
        <w:t xml:space="preserve"> </w:t>
      </w:r>
      <w:r w:rsidRPr="008C6972">
        <w:rPr>
          <w:rFonts w:asciiTheme="majorHAnsi" w:hAnsiTheme="majorHAnsi" w:cs="Times New Roman"/>
          <w:b/>
        </w:rPr>
        <w:t>active</w:t>
      </w:r>
      <w:r w:rsidRPr="008C6972">
        <w:rPr>
          <w:rFonts w:asciiTheme="majorHAnsi" w:hAnsiTheme="majorHAnsi" w:cs="Times New Roman"/>
          <w:bCs/>
        </w:rPr>
        <w:t xml:space="preserve"> care au existat în activitatea de monitorizare și au date comparative pe ultimii 3 ani și </w:t>
      </w:r>
      <w:r w:rsidRPr="008C6972">
        <w:rPr>
          <w:rFonts w:asciiTheme="majorHAnsi" w:hAnsiTheme="majorHAnsi" w:cs="Times New Roman"/>
          <w:b/>
        </w:rPr>
        <w:t xml:space="preserve">6 ÎPC active </w:t>
      </w:r>
      <w:r w:rsidRPr="008C6972">
        <w:rPr>
          <w:rFonts w:asciiTheme="majorHAnsi" w:hAnsiTheme="majorHAnsi" w:cs="Times New Roman"/>
          <w:bCs/>
        </w:rPr>
        <w:t xml:space="preserve">care </w:t>
      </w:r>
      <w:r w:rsidRPr="008C6972">
        <w:rPr>
          <w:rFonts w:asciiTheme="majorHAnsi" w:hAnsiTheme="majorHAnsi" w:cs="Times New Roman"/>
          <w:b/>
        </w:rPr>
        <w:t>nu</w:t>
      </w:r>
      <w:r w:rsidRPr="008C6972">
        <w:rPr>
          <w:rFonts w:asciiTheme="majorHAnsi" w:hAnsiTheme="majorHAnsi" w:cs="Times New Roman"/>
          <w:bCs/>
        </w:rPr>
        <w:t xml:space="preserve"> au date comparative pe ultimii 3 ani datorită intrării în activitatea de monitorizare urmare identificării acestora, sau datorită ieșirii din activitate de monitorizare datorită radierii de la Oficiul Național al Registrului Comerțului sau a privatizării lor</w:t>
      </w:r>
      <w:r w:rsidRPr="008C6972">
        <w:rPr>
          <w:rFonts w:asciiTheme="majorHAnsi" w:hAnsiTheme="majorHAnsi" w:cs="Times New Roman"/>
          <w:bCs/>
          <w:lang w:val="en-US"/>
        </w:rPr>
        <w:t>.</w:t>
      </w:r>
    </w:p>
    <w:p w14:paraId="3B88819D" w14:textId="77777777" w:rsidR="00864FB5" w:rsidRDefault="00864FB5" w:rsidP="00500D2F">
      <w:pPr>
        <w:pStyle w:val="ListParagraph"/>
        <w:ind w:left="0"/>
        <w:rPr>
          <w:rFonts w:asciiTheme="majorHAnsi" w:hAnsiTheme="majorHAnsi"/>
          <w:b/>
          <w:bCs/>
          <w:color w:val="0F6FC6" w:themeColor="accent1"/>
          <w:sz w:val="22"/>
          <w:szCs w:val="24"/>
        </w:rPr>
      </w:pPr>
      <w:bookmarkStart w:id="38" w:name="_Toc490763520"/>
      <w:bookmarkStart w:id="39" w:name="_Toc490763701"/>
      <w:bookmarkStart w:id="40" w:name="_Toc490763869"/>
    </w:p>
    <w:p w14:paraId="7EE140A5" w14:textId="77777777" w:rsidR="00864FB5" w:rsidRDefault="00864FB5" w:rsidP="00500D2F">
      <w:pPr>
        <w:pStyle w:val="ListParagraph"/>
        <w:ind w:left="0"/>
        <w:rPr>
          <w:rFonts w:asciiTheme="majorHAnsi" w:hAnsiTheme="majorHAnsi"/>
          <w:b/>
          <w:bCs/>
          <w:color w:val="0F6FC6" w:themeColor="accent1"/>
          <w:sz w:val="22"/>
          <w:szCs w:val="24"/>
        </w:rPr>
      </w:pPr>
    </w:p>
    <w:p w14:paraId="2279E744" w14:textId="77777777" w:rsidR="00500D2F" w:rsidRPr="00305132" w:rsidRDefault="00500D2F" w:rsidP="00500D2F">
      <w:pPr>
        <w:pStyle w:val="ListParagraph"/>
        <w:ind w:left="0"/>
        <w:rPr>
          <w:rFonts w:asciiTheme="majorHAnsi" w:hAnsiTheme="majorHAnsi"/>
          <w:bCs/>
          <w:color w:val="0F6FC6" w:themeColor="accent1"/>
          <w:szCs w:val="24"/>
          <w:u w:val="single"/>
        </w:rPr>
      </w:pPr>
      <w:r w:rsidRPr="00305132">
        <w:rPr>
          <w:rFonts w:asciiTheme="majorHAnsi" w:hAnsiTheme="majorHAnsi"/>
          <w:bCs/>
          <w:color w:val="0F6FC6" w:themeColor="accent1"/>
          <w:szCs w:val="24"/>
        </w:rPr>
        <w:t>Rezultatele înregistrate în perioada 20</w:t>
      </w:r>
      <w:r w:rsidR="00305132" w:rsidRPr="00305132">
        <w:rPr>
          <w:rFonts w:asciiTheme="majorHAnsi" w:hAnsiTheme="majorHAnsi"/>
          <w:bCs/>
          <w:color w:val="0F6FC6" w:themeColor="accent1"/>
          <w:szCs w:val="24"/>
        </w:rPr>
        <w:t>18</w:t>
      </w:r>
      <w:r w:rsidRPr="00305132">
        <w:rPr>
          <w:rFonts w:asciiTheme="majorHAnsi" w:hAnsiTheme="majorHAnsi"/>
          <w:bCs/>
          <w:color w:val="0F6FC6" w:themeColor="accent1"/>
          <w:szCs w:val="24"/>
        </w:rPr>
        <w:t xml:space="preserve"> - 20</w:t>
      </w:r>
      <w:r w:rsidR="00305132" w:rsidRPr="00305132">
        <w:rPr>
          <w:rFonts w:asciiTheme="majorHAnsi" w:hAnsiTheme="majorHAnsi"/>
          <w:bCs/>
          <w:color w:val="0F6FC6" w:themeColor="accent1"/>
          <w:szCs w:val="24"/>
        </w:rPr>
        <w:t>20</w:t>
      </w:r>
      <w:r w:rsidRPr="00305132">
        <w:rPr>
          <w:rFonts w:asciiTheme="majorHAnsi" w:hAnsiTheme="majorHAnsi"/>
          <w:bCs/>
          <w:color w:val="0F6FC6" w:themeColor="accent1"/>
          <w:szCs w:val="24"/>
        </w:rPr>
        <w:t xml:space="preserve"> de ÎPC </w:t>
      </w:r>
      <w:r w:rsidRPr="00305132">
        <w:rPr>
          <w:rFonts w:asciiTheme="majorHAnsi" w:hAnsiTheme="majorHAnsi"/>
          <w:bCs/>
          <w:color w:val="0F6FC6" w:themeColor="accent1"/>
          <w:szCs w:val="24"/>
          <w:u w:val="single"/>
        </w:rPr>
        <w:t>active</w:t>
      </w:r>
      <w:bookmarkEnd w:id="38"/>
      <w:bookmarkEnd w:id="39"/>
      <w:bookmarkEnd w:id="40"/>
    </w:p>
    <w:p w14:paraId="39A9CFC7" w14:textId="77777777" w:rsidR="00864FB5" w:rsidRPr="00864FB5" w:rsidRDefault="00864FB5" w:rsidP="00500D2F">
      <w:pPr>
        <w:pStyle w:val="ListParagraph"/>
        <w:ind w:left="0"/>
        <w:rPr>
          <w:rFonts w:asciiTheme="majorHAnsi" w:hAnsiTheme="majorHAnsi"/>
          <w:b/>
          <w:bCs/>
          <w:color w:val="0F6FC6" w:themeColor="accent1"/>
          <w:sz w:val="22"/>
          <w:szCs w:val="24"/>
          <w:u w:val="single"/>
        </w:rPr>
      </w:pPr>
    </w:p>
    <w:p w14:paraId="4294E859" w14:textId="77777777" w:rsidR="006B0B16" w:rsidRDefault="006B0B16" w:rsidP="00500D2F">
      <w:pPr>
        <w:pStyle w:val="ListParagraph"/>
        <w:ind w:left="0"/>
        <w:rPr>
          <w:rFonts w:asciiTheme="majorHAnsi" w:hAnsiTheme="majorHAnsi"/>
          <w:b/>
          <w:bCs/>
          <w:sz w:val="24"/>
          <w:szCs w:val="24"/>
          <w:u w:val="single"/>
        </w:rPr>
      </w:pPr>
    </w:p>
    <w:p w14:paraId="65A27D1D" w14:textId="77777777" w:rsidR="006B0B16" w:rsidRPr="006B0B16" w:rsidRDefault="006B0B16" w:rsidP="00500D2F">
      <w:pPr>
        <w:pStyle w:val="ListParagraph"/>
        <w:ind w:left="0"/>
        <w:rPr>
          <w:rFonts w:asciiTheme="majorHAnsi" w:hAnsiTheme="majorHAnsi"/>
          <w:b/>
          <w:bCs/>
          <w:sz w:val="24"/>
          <w:szCs w:val="24"/>
        </w:rPr>
      </w:pPr>
      <w:r>
        <w:rPr>
          <w:rFonts w:asciiTheme="majorHAnsi" w:hAnsiTheme="majorHAnsi"/>
          <w:b/>
          <w:bCs/>
          <w:noProof/>
          <w:sz w:val="24"/>
          <w:szCs w:val="24"/>
          <w:lang w:val="en-US"/>
        </w:rPr>
        <w:drawing>
          <wp:inline distT="0" distB="0" distL="0" distR="0" wp14:anchorId="3E3A6DF5" wp14:editId="629935AE">
            <wp:extent cx="5761355" cy="30175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017520"/>
                    </a:xfrm>
                    <a:prstGeom prst="rect">
                      <a:avLst/>
                    </a:prstGeom>
                    <a:noFill/>
                  </pic:spPr>
                </pic:pic>
              </a:graphicData>
            </a:graphic>
          </wp:inline>
        </w:drawing>
      </w:r>
    </w:p>
    <w:p w14:paraId="25A6B91F" w14:textId="77777777" w:rsidR="004A5085" w:rsidRPr="00D95C57" w:rsidRDefault="004A5085" w:rsidP="00F5392A">
      <w:pPr>
        <w:spacing w:before="0" w:after="0" w:line="240" w:lineRule="auto"/>
        <w:jc w:val="both"/>
        <w:rPr>
          <w:rFonts w:asciiTheme="majorHAnsi" w:hAnsiTheme="majorHAnsi" w:cstheme="majorBidi"/>
          <w:b/>
          <w:bCs/>
        </w:rPr>
      </w:pPr>
    </w:p>
    <w:p w14:paraId="0818B035" w14:textId="77777777" w:rsidR="00864FB5" w:rsidRPr="008C6972" w:rsidRDefault="00864FB5" w:rsidP="00864FB5">
      <w:pPr>
        <w:spacing w:before="0" w:after="0" w:line="278" w:lineRule="auto"/>
        <w:contextualSpacing/>
        <w:jc w:val="both"/>
        <w:rPr>
          <w:rFonts w:asciiTheme="majorHAnsi" w:hAnsiTheme="majorHAnsi"/>
        </w:rPr>
      </w:pPr>
      <w:r w:rsidRPr="007D6535">
        <w:rPr>
          <w:rFonts w:asciiTheme="majorHAnsi" w:hAnsiTheme="majorHAnsi"/>
        </w:rPr>
        <w:t xml:space="preserve">Din grafic, se observă că evoluția indicatorilor economico-financiari la finele anului 2020, față de anul precedent, este nefavorabilă, </w:t>
      </w:r>
      <w:r w:rsidR="001E7938">
        <w:rPr>
          <w:rFonts w:asciiTheme="majorHAnsi" w:hAnsiTheme="majorHAnsi"/>
        </w:rPr>
        <w:t>din cauza</w:t>
      </w:r>
      <w:r w:rsidRPr="007D6535">
        <w:rPr>
          <w:rFonts w:asciiTheme="majorHAnsi" w:hAnsiTheme="majorHAnsi"/>
        </w:rPr>
        <w:t xml:space="preserve"> faptului că rezultatul brut înregistrează o scădere cu suma de 1.</w:t>
      </w:r>
      <w:r>
        <w:rPr>
          <w:rFonts w:asciiTheme="majorHAnsi" w:hAnsiTheme="majorHAnsi"/>
        </w:rPr>
        <w:t>781</w:t>
      </w:r>
      <w:r w:rsidRPr="007D6535">
        <w:rPr>
          <w:rFonts w:asciiTheme="majorHAnsi" w:hAnsiTheme="majorHAnsi"/>
        </w:rPr>
        <w:t>.</w:t>
      </w:r>
      <w:r>
        <w:rPr>
          <w:rFonts w:asciiTheme="majorHAnsi" w:hAnsiTheme="majorHAnsi"/>
        </w:rPr>
        <w:t>584</w:t>
      </w:r>
      <w:r w:rsidRPr="007D6535">
        <w:rPr>
          <w:rFonts w:asciiTheme="majorHAnsi" w:hAnsiTheme="majorHAnsi"/>
        </w:rPr>
        <w:t xml:space="preserve"> mii lei, acesta fiind o consecință  a </w:t>
      </w:r>
      <w:r w:rsidR="001E7938" w:rsidRPr="007D6535">
        <w:rPr>
          <w:rFonts w:asciiTheme="majorHAnsi" w:hAnsiTheme="majorHAnsi"/>
        </w:rPr>
        <w:t>sc</w:t>
      </w:r>
      <w:r w:rsidR="001E7938">
        <w:rPr>
          <w:rFonts w:asciiTheme="majorHAnsi" w:hAnsiTheme="majorHAnsi"/>
        </w:rPr>
        <w:t>ă</w:t>
      </w:r>
      <w:r w:rsidR="001E7938" w:rsidRPr="007D6535">
        <w:rPr>
          <w:rFonts w:asciiTheme="majorHAnsi" w:hAnsiTheme="majorHAnsi"/>
        </w:rPr>
        <w:t xml:space="preserve">derii </w:t>
      </w:r>
      <w:r w:rsidRPr="007D6535">
        <w:rPr>
          <w:rFonts w:asciiTheme="majorHAnsi" w:hAnsiTheme="majorHAnsi"/>
        </w:rPr>
        <w:t>profitului brut cu suma de 555.986 mii lei.</w:t>
      </w:r>
    </w:p>
    <w:p w14:paraId="362CA1D8" w14:textId="77777777" w:rsidR="00864FB5" w:rsidRDefault="00864FB5" w:rsidP="00864FB5">
      <w:pPr>
        <w:spacing w:before="0" w:after="0"/>
        <w:contextualSpacing/>
        <w:jc w:val="both"/>
        <w:rPr>
          <w:rFonts w:asciiTheme="majorHAnsi" w:hAnsiTheme="majorHAnsi" w:cstheme="majorBidi"/>
        </w:rPr>
      </w:pPr>
    </w:p>
    <w:p w14:paraId="6949A4F9" w14:textId="77777777" w:rsidR="00864FB5" w:rsidRDefault="00864FB5" w:rsidP="00864FB5">
      <w:pPr>
        <w:spacing w:before="0" w:after="0"/>
        <w:contextualSpacing/>
        <w:jc w:val="both"/>
        <w:rPr>
          <w:rFonts w:asciiTheme="majorHAnsi" w:hAnsiTheme="majorHAnsi" w:cstheme="majorBidi"/>
        </w:rPr>
      </w:pPr>
    </w:p>
    <w:p w14:paraId="494AC590" w14:textId="77777777" w:rsidR="00864FB5" w:rsidRPr="00C6759B" w:rsidRDefault="00864FB5" w:rsidP="00864FB5">
      <w:pPr>
        <w:spacing w:before="0" w:after="0"/>
        <w:contextualSpacing/>
        <w:jc w:val="both"/>
        <w:rPr>
          <w:rFonts w:asciiTheme="majorHAnsi" w:hAnsiTheme="majorHAnsi"/>
          <w:color w:val="000000" w:themeColor="text1"/>
        </w:rPr>
      </w:pPr>
      <w:r w:rsidRPr="00C6759B">
        <w:rPr>
          <w:rFonts w:asciiTheme="majorHAnsi" w:hAnsiTheme="majorHAnsi"/>
          <w:color w:val="000000" w:themeColor="text1"/>
        </w:rPr>
        <w:t xml:space="preserve">Plățile restante înregistrate de ÎPC active la </w:t>
      </w:r>
      <w:r>
        <w:rPr>
          <w:rFonts w:asciiTheme="majorHAnsi" w:hAnsiTheme="majorHAnsi"/>
          <w:color w:val="000000" w:themeColor="text1"/>
        </w:rPr>
        <w:t>31.12.</w:t>
      </w:r>
      <w:r w:rsidRPr="00C6759B">
        <w:rPr>
          <w:rFonts w:asciiTheme="majorHAnsi" w:hAnsiTheme="majorHAnsi"/>
          <w:color w:val="000000" w:themeColor="text1"/>
        </w:rPr>
        <w:t>202</w:t>
      </w:r>
      <w:r>
        <w:rPr>
          <w:rFonts w:asciiTheme="majorHAnsi" w:hAnsiTheme="majorHAnsi"/>
          <w:color w:val="000000" w:themeColor="text1"/>
        </w:rPr>
        <w:t>0</w:t>
      </w:r>
      <w:r w:rsidRPr="00C6759B">
        <w:rPr>
          <w:rFonts w:asciiTheme="majorHAnsi" w:hAnsiTheme="majorHAnsi"/>
          <w:color w:val="000000" w:themeColor="text1"/>
        </w:rPr>
        <w:t xml:space="preserve"> au crecut semnificativ în principal </w:t>
      </w:r>
      <w:r w:rsidR="006F2436">
        <w:rPr>
          <w:rFonts w:asciiTheme="majorHAnsi" w:hAnsiTheme="majorHAnsi"/>
          <w:color w:val="000000" w:themeColor="text1"/>
        </w:rPr>
        <w:t xml:space="preserve">din cauza </w:t>
      </w:r>
      <w:r w:rsidR="006F2436" w:rsidRPr="00C6759B">
        <w:rPr>
          <w:rFonts w:asciiTheme="majorHAnsi" w:hAnsiTheme="majorHAnsi"/>
          <w:color w:val="000000" w:themeColor="text1"/>
        </w:rPr>
        <w:t xml:space="preserve"> </w:t>
      </w:r>
      <w:r w:rsidRPr="00C6759B">
        <w:rPr>
          <w:rFonts w:asciiTheme="majorHAnsi" w:hAnsiTheme="majorHAnsi"/>
          <w:color w:val="000000" w:themeColor="text1"/>
        </w:rPr>
        <w:t xml:space="preserve">Societății Naționale de Transport Feroviar de Marfă "CFR </w:t>
      </w:r>
      <w:r>
        <w:rPr>
          <w:rFonts w:asciiTheme="majorHAnsi" w:hAnsiTheme="majorHAnsi"/>
          <w:color w:val="000000" w:themeColor="text1"/>
        </w:rPr>
        <w:t>–</w:t>
      </w:r>
      <w:r w:rsidRPr="00C6759B">
        <w:rPr>
          <w:rFonts w:asciiTheme="majorHAnsi" w:hAnsiTheme="majorHAnsi"/>
          <w:color w:val="000000" w:themeColor="text1"/>
        </w:rPr>
        <w:t xml:space="preserve"> MARF</w:t>
      </w:r>
      <w:r>
        <w:rPr>
          <w:rFonts w:asciiTheme="majorHAnsi" w:hAnsiTheme="majorHAnsi"/>
          <w:color w:val="000000" w:themeColor="text1"/>
        </w:rPr>
        <w:t>A</w:t>
      </w:r>
      <w:r w:rsidRPr="00C6759B">
        <w:rPr>
          <w:rFonts w:asciiTheme="majorHAnsi" w:hAnsiTheme="majorHAnsi"/>
          <w:color w:val="000000" w:themeColor="text1"/>
        </w:rPr>
        <w:t>" SA  care a fost obligată prin decizia Comisiei Europene C(2020) 1115(24.02.2020) să restituie ajutorul de stat nelegal în sumă totală de 570 mil euro (2.6 mld lei + dobânzi de recuperare) în 6 luni (până în 25 august 2020) sumă care</w:t>
      </w:r>
      <w:r w:rsidR="001E7938">
        <w:rPr>
          <w:rFonts w:asciiTheme="majorHAnsi" w:hAnsiTheme="majorHAnsi"/>
          <w:color w:val="000000" w:themeColor="text1"/>
        </w:rPr>
        <w:t xml:space="preserve"> </w:t>
      </w:r>
      <w:r w:rsidRPr="00C6759B">
        <w:rPr>
          <w:rFonts w:asciiTheme="majorHAnsi" w:hAnsiTheme="majorHAnsi"/>
          <w:color w:val="000000" w:themeColor="text1"/>
        </w:rPr>
        <w:t>la finalul anului 2020 a devenit plată restantă.</w:t>
      </w:r>
    </w:p>
    <w:p w14:paraId="548A0EBC" w14:textId="77777777" w:rsidR="00864FB5" w:rsidRDefault="00864FB5" w:rsidP="00864FB5">
      <w:pPr>
        <w:spacing w:before="0" w:after="0"/>
        <w:contextualSpacing/>
        <w:jc w:val="both"/>
        <w:rPr>
          <w:rFonts w:asciiTheme="majorHAnsi" w:hAnsiTheme="majorHAnsi" w:cstheme="majorBidi"/>
        </w:rPr>
      </w:pPr>
    </w:p>
    <w:p w14:paraId="4F6431F0" w14:textId="77777777" w:rsidR="00864FB5" w:rsidRDefault="00864FB5" w:rsidP="00864FB5">
      <w:pPr>
        <w:spacing w:before="0" w:after="0"/>
        <w:contextualSpacing/>
        <w:jc w:val="both"/>
        <w:rPr>
          <w:rFonts w:asciiTheme="majorHAnsi" w:hAnsiTheme="majorHAnsi" w:cstheme="majorBidi"/>
        </w:rPr>
      </w:pPr>
    </w:p>
    <w:p w14:paraId="51DCB6C1" w14:textId="77777777" w:rsidR="00864FB5" w:rsidRDefault="00864FB5" w:rsidP="00864FB5">
      <w:pPr>
        <w:spacing w:before="0" w:after="0"/>
        <w:contextualSpacing/>
        <w:jc w:val="both"/>
        <w:rPr>
          <w:rFonts w:asciiTheme="majorHAnsi" w:hAnsiTheme="majorHAnsi" w:cstheme="majorBidi"/>
        </w:rPr>
      </w:pPr>
      <w:r w:rsidRPr="008C6972">
        <w:rPr>
          <w:rFonts w:asciiTheme="majorHAnsi" w:hAnsiTheme="majorHAnsi" w:cstheme="majorBidi"/>
        </w:rPr>
        <w:t>În scopul determinării cât mai exacte a indicatorilor medii de performanță ai ÎPC active aceștia au fost calculați pentru aceleași 2</w:t>
      </w:r>
      <w:r>
        <w:rPr>
          <w:rFonts w:asciiTheme="majorHAnsi" w:hAnsiTheme="majorHAnsi" w:cstheme="majorBidi"/>
        </w:rPr>
        <w:t>20</w:t>
      </w:r>
      <w:r w:rsidRPr="008C6972">
        <w:rPr>
          <w:rFonts w:asciiTheme="majorHAnsi" w:hAnsiTheme="majorHAnsi" w:cstheme="majorBidi"/>
        </w:rPr>
        <w:t xml:space="preserve"> ÎPC active care au date comparative în perioada 201</w:t>
      </w:r>
      <w:r>
        <w:rPr>
          <w:rFonts w:asciiTheme="majorHAnsi" w:hAnsiTheme="majorHAnsi" w:cstheme="majorBidi"/>
        </w:rPr>
        <w:t>8</w:t>
      </w:r>
      <w:r w:rsidRPr="008C6972">
        <w:rPr>
          <w:rFonts w:asciiTheme="majorHAnsi" w:hAnsiTheme="majorHAnsi" w:cstheme="majorBidi"/>
        </w:rPr>
        <w:t>-20</w:t>
      </w:r>
      <w:r>
        <w:rPr>
          <w:rFonts w:asciiTheme="majorHAnsi" w:hAnsiTheme="majorHAnsi" w:cstheme="majorBidi"/>
        </w:rPr>
        <w:t>20</w:t>
      </w:r>
      <w:r w:rsidRPr="008C6972">
        <w:rPr>
          <w:rFonts w:asciiTheme="majorHAnsi" w:hAnsiTheme="majorHAnsi" w:cstheme="majorBidi"/>
        </w:rPr>
        <w:t xml:space="preserve">. Indicatorii medii de performanță ai ÎPC active sunt prezentați în Tabelul </w:t>
      </w:r>
      <w:r>
        <w:rPr>
          <w:rFonts w:asciiTheme="majorHAnsi" w:hAnsiTheme="majorHAnsi" w:cstheme="majorBidi"/>
        </w:rPr>
        <w:t>de mai jos</w:t>
      </w:r>
      <w:r w:rsidRPr="008C6972">
        <w:rPr>
          <w:rFonts w:asciiTheme="majorHAnsi" w:hAnsiTheme="majorHAnsi" w:cstheme="majorBidi"/>
        </w:rPr>
        <w:t>.</w:t>
      </w:r>
    </w:p>
    <w:p w14:paraId="1B5BD98A" w14:textId="77777777" w:rsidR="00864FB5" w:rsidRDefault="00864FB5" w:rsidP="00864FB5">
      <w:pPr>
        <w:spacing w:before="0" w:after="0"/>
        <w:contextualSpacing/>
        <w:jc w:val="both"/>
        <w:rPr>
          <w:rFonts w:asciiTheme="majorHAnsi" w:hAnsiTheme="majorHAnsi" w:cstheme="majorBidi"/>
        </w:rPr>
      </w:pPr>
    </w:p>
    <w:p w14:paraId="2DB54B4A" w14:textId="77777777" w:rsidR="00864FB5" w:rsidRDefault="00864FB5" w:rsidP="00864FB5">
      <w:pPr>
        <w:spacing w:before="0" w:after="0"/>
        <w:contextualSpacing/>
        <w:jc w:val="both"/>
        <w:rPr>
          <w:rFonts w:asciiTheme="majorHAnsi" w:hAnsiTheme="majorHAnsi" w:cstheme="majorBidi"/>
        </w:rPr>
      </w:pPr>
    </w:p>
    <w:p w14:paraId="1F162CA7" w14:textId="77777777" w:rsidR="00864FB5" w:rsidRDefault="00864FB5" w:rsidP="00864FB5">
      <w:pPr>
        <w:spacing w:before="0" w:after="0"/>
        <w:contextualSpacing/>
        <w:jc w:val="both"/>
        <w:rPr>
          <w:rFonts w:asciiTheme="majorHAnsi" w:hAnsiTheme="majorHAnsi" w:cstheme="majorBidi"/>
        </w:rPr>
      </w:pPr>
    </w:p>
    <w:p w14:paraId="30BBC32F" w14:textId="77777777" w:rsidR="00864FB5" w:rsidRDefault="00864FB5" w:rsidP="00864FB5">
      <w:pPr>
        <w:spacing w:before="0" w:after="0"/>
        <w:contextualSpacing/>
        <w:jc w:val="both"/>
        <w:rPr>
          <w:rFonts w:asciiTheme="majorHAnsi" w:hAnsiTheme="majorHAnsi" w:cstheme="majorBidi"/>
        </w:rPr>
      </w:pPr>
    </w:p>
    <w:p w14:paraId="2E3BA49D" w14:textId="77777777" w:rsidR="00864FB5" w:rsidRDefault="00864FB5" w:rsidP="00864FB5">
      <w:pPr>
        <w:spacing w:before="0" w:after="0"/>
        <w:contextualSpacing/>
        <w:jc w:val="both"/>
        <w:rPr>
          <w:rFonts w:asciiTheme="majorHAnsi" w:hAnsiTheme="majorHAnsi" w:cstheme="majorBidi"/>
        </w:rPr>
      </w:pPr>
    </w:p>
    <w:p w14:paraId="4126D9E6" w14:textId="77777777" w:rsidR="00864FB5" w:rsidRDefault="00864FB5" w:rsidP="00864FB5">
      <w:pPr>
        <w:spacing w:before="0" w:after="0"/>
        <w:contextualSpacing/>
        <w:jc w:val="both"/>
        <w:rPr>
          <w:rFonts w:asciiTheme="majorHAnsi" w:hAnsiTheme="majorHAnsi" w:cstheme="majorBidi"/>
        </w:rPr>
      </w:pPr>
    </w:p>
    <w:p w14:paraId="0A82359C" w14:textId="77777777" w:rsidR="00864FB5" w:rsidRPr="008C6972" w:rsidRDefault="00864FB5" w:rsidP="00864FB5">
      <w:pPr>
        <w:spacing w:before="0" w:after="0"/>
        <w:contextualSpacing/>
        <w:jc w:val="both"/>
        <w:rPr>
          <w:rFonts w:asciiTheme="majorHAnsi" w:hAnsiTheme="majorHAnsi" w:cstheme="majorBidi"/>
        </w:rPr>
      </w:pPr>
    </w:p>
    <w:p w14:paraId="404F481C" w14:textId="77777777" w:rsidR="00864FB5" w:rsidRPr="008C6972" w:rsidRDefault="00864FB5" w:rsidP="00864FB5">
      <w:pPr>
        <w:spacing w:before="0" w:after="0"/>
        <w:contextualSpacing/>
        <w:jc w:val="both"/>
        <w:rPr>
          <w:rFonts w:asciiTheme="majorHAnsi" w:hAnsiTheme="majorHAnsi" w:cstheme="majorBidi"/>
        </w:rPr>
      </w:pPr>
    </w:p>
    <w:p w14:paraId="3C8E3AFB" w14:textId="77777777" w:rsidR="00864FB5" w:rsidRPr="00864FB5" w:rsidRDefault="00864FB5" w:rsidP="00864FB5">
      <w:pPr>
        <w:spacing w:before="0" w:after="0"/>
        <w:jc w:val="both"/>
        <w:rPr>
          <w:rFonts w:asciiTheme="majorHAnsi" w:hAnsiTheme="majorHAnsi" w:cstheme="majorBidi"/>
        </w:rPr>
      </w:pPr>
      <w:r w:rsidRPr="00864FB5">
        <w:rPr>
          <w:rFonts w:asciiTheme="majorHAnsi" w:hAnsiTheme="majorHAnsi" w:cstheme="majorBidi"/>
        </w:rPr>
        <w:t>TABEL -  Indicatorii medii de performanță realizați de aceeași 220 ÎPC active existente în activitatea de monitorizare în perioada 2018-2020 se prezintă după cum urmează:</w:t>
      </w:r>
    </w:p>
    <w:p w14:paraId="37797CBC" w14:textId="77777777" w:rsidR="00864FB5" w:rsidRPr="008C6972" w:rsidRDefault="00864FB5" w:rsidP="00864FB5">
      <w:pPr>
        <w:spacing w:before="0" w:after="0"/>
        <w:contextualSpacing/>
        <w:jc w:val="both"/>
        <w:rPr>
          <w:rFonts w:asciiTheme="majorHAnsi" w:hAnsiTheme="majorHAnsi" w:cstheme="majorBidi"/>
        </w:rPr>
      </w:pPr>
    </w:p>
    <w:tbl>
      <w:tblPr>
        <w:tblW w:w="9260" w:type="dxa"/>
        <w:tblInd w:w="110" w:type="dxa"/>
        <w:tblLook w:val="04A0" w:firstRow="1" w:lastRow="0" w:firstColumn="1" w:lastColumn="0" w:noHBand="0" w:noVBand="1"/>
      </w:tblPr>
      <w:tblGrid>
        <w:gridCol w:w="3372"/>
        <w:gridCol w:w="1848"/>
        <w:gridCol w:w="630"/>
        <w:gridCol w:w="852"/>
        <w:gridCol w:w="852"/>
        <w:gridCol w:w="760"/>
        <w:gridCol w:w="946"/>
      </w:tblGrid>
      <w:tr w:rsidR="00864FB5" w:rsidRPr="00311C36" w14:paraId="74DC105E" w14:textId="77777777" w:rsidTr="00864FB5">
        <w:trPr>
          <w:trHeight w:val="718"/>
        </w:trPr>
        <w:tc>
          <w:tcPr>
            <w:tcW w:w="3372" w:type="dxa"/>
            <w:vMerge w:val="restart"/>
            <w:tcBorders>
              <w:top w:val="single" w:sz="4" w:space="0" w:color="9BC2E6"/>
              <w:left w:val="single" w:sz="4" w:space="0" w:color="FFFFFF"/>
              <w:bottom w:val="single" w:sz="4" w:space="0" w:color="9BC2E6"/>
              <w:right w:val="single" w:sz="4" w:space="0" w:color="FFFFFF"/>
            </w:tcBorders>
            <w:shd w:val="clear" w:color="187672" w:fill="FFFFFF"/>
            <w:hideMark/>
          </w:tcPr>
          <w:p w14:paraId="4AB31210" w14:textId="77777777" w:rsidR="00864FB5" w:rsidRPr="000C0F3E" w:rsidRDefault="00864FB5" w:rsidP="00864FB5">
            <w:pPr>
              <w:spacing w:before="0" w:after="0" w:line="240" w:lineRule="auto"/>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Indicatori economico - financiari</w:t>
            </w:r>
          </w:p>
        </w:tc>
        <w:tc>
          <w:tcPr>
            <w:tcW w:w="1848" w:type="dxa"/>
            <w:vMerge w:val="restart"/>
            <w:tcBorders>
              <w:top w:val="single" w:sz="4" w:space="0" w:color="9BC2E6"/>
              <w:left w:val="single" w:sz="4" w:space="0" w:color="FFFFFF"/>
              <w:bottom w:val="single" w:sz="4" w:space="0" w:color="9BC2E6"/>
              <w:right w:val="single" w:sz="4" w:space="0" w:color="FFFFFF"/>
            </w:tcBorders>
            <w:shd w:val="clear" w:color="187672" w:fill="FFFFFF"/>
            <w:hideMark/>
          </w:tcPr>
          <w:p w14:paraId="52C8BA84"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Formula utilizata</w:t>
            </w:r>
          </w:p>
        </w:tc>
        <w:tc>
          <w:tcPr>
            <w:tcW w:w="630" w:type="dxa"/>
            <w:vMerge w:val="restart"/>
            <w:tcBorders>
              <w:top w:val="single" w:sz="4" w:space="0" w:color="9BC2E6"/>
              <w:left w:val="single" w:sz="4" w:space="0" w:color="FFFFFF"/>
              <w:bottom w:val="single" w:sz="4" w:space="0" w:color="9BC2E6"/>
              <w:right w:val="single" w:sz="4" w:space="0" w:color="FFFFFF"/>
            </w:tcBorders>
            <w:shd w:val="clear" w:color="187672" w:fill="FFFFFF"/>
            <w:hideMark/>
          </w:tcPr>
          <w:p w14:paraId="79A83776"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U.M.</w:t>
            </w:r>
          </w:p>
        </w:tc>
        <w:tc>
          <w:tcPr>
            <w:tcW w:w="2464" w:type="dxa"/>
            <w:gridSpan w:val="3"/>
            <w:vMerge w:val="restart"/>
            <w:tcBorders>
              <w:top w:val="single" w:sz="4" w:space="0" w:color="9BC2E6"/>
              <w:left w:val="single" w:sz="4" w:space="0" w:color="FFFFFF"/>
              <w:bottom w:val="single" w:sz="4" w:space="0" w:color="9BC2E6"/>
              <w:right w:val="nil"/>
            </w:tcBorders>
            <w:shd w:val="clear" w:color="187672" w:fill="FFFFFF"/>
            <w:hideMark/>
          </w:tcPr>
          <w:p w14:paraId="45649E15"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Total general ÎPC monitorizate în perioada 2018-2020 și care există în activitatea de monitorizare la 31.12.2020</w:t>
            </w:r>
          </w:p>
        </w:tc>
        <w:tc>
          <w:tcPr>
            <w:tcW w:w="946" w:type="dxa"/>
            <w:vMerge w:val="restart"/>
            <w:tcBorders>
              <w:top w:val="single" w:sz="4" w:space="0" w:color="9BC2E6"/>
              <w:left w:val="single" w:sz="4" w:space="0" w:color="FFFFFF"/>
              <w:bottom w:val="single" w:sz="4" w:space="0" w:color="9BC2E6"/>
              <w:right w:val="single" w:sz="4" w:space="0" w:color="FFFFFF"/>
            </w:tcBorders>
            <w:shd w:val="clear" w:color="187672" w:fill="FFFFFF"/>
            <w:hideMark/>
          </w:tcPr>
          <w:p w14:paraId="40115AFA"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 xml:space="preserve">DIFERENȚĂ </w:t>
            </w:r>
          </w:p>
        </w:tc>
      </w:tr>
      <w:tr w:rsidR="00864FB5" w:rsidRPr="00311C36" w14:paraId="67BEAE41" w14:textId="77777777" w:rsidTr="00864FB5">
        <w:trPr>
          <w:trHeight w:val="581"/>
        </w:trPr>
        <w:tc>
          <w:tcPr>
            <w:tcW w:w="3372" w:type="dxa"/>
            <w:vMerge/>
            <w:tcBorders>
              <w:top w:val="single" w:sz="4" w:space="0" w:color="9BC2E6"/>
              <w:left w:val="single" w:sz="4" w:space="0" w:color="FFFFFF"/>
              <w:bottom w:val="single" w:sz="4" w:space="0" w:color="9BC2E6"/>
              <w:right w:val="single" w:sz="4" w:space="0" w:color="FFFFFF"/>
            </w:tcBorders>
            <w:hideMark/>
          </w:tcPr>
          <w:p w14:paraId="396CE767" w14:textId="77777777" w:rsidR="00864FB5" w:rsidRPr="000C0F3E" w:rsidRDefault="00864FB5" w:rsidP="00864FB5">
            <w:pPr>
              <w:spacing w:before="0" w:after="0" w:line="240" w:lineRule="auto"/>
              <w:rPr>
                <w:rFonts w:ascii="Calibri" w:eastAsia="Times New Roman" w:hAnsi="Calibri" w:cs="Times New Roman"/>
                <w:color w:val="0F6FC6" w:themeColor="accent1"/>
                <w:sz w:val="16"/>
                <w:szCs w:val="16"/>
                <w:lang w:eastAsia="ro-RO"/>
              </w:rPr>
            </w:pPr>
          </w:p>
        </w:tc>
        <w:tc>
          <w:tcPr>
            <w:tcW w:w="1848" w:type="dxa"/>
            <w:vMerge/>
            <w:tcBorders>
              <w:top w:val="single" w:sz="4" w:space="0" w:color="9BC2E6"/>
              <w:left w:val="single" w:sz="4" w:space="0" w:color="FFFFFF"/>
              <w:bottom w:val="single" w:sz="4" w:space="0" w:color="9BC2E6"/>
              <w:right w:val="single" w:sz="4" w:space="0" w:color="FFFFFF"/>
            </w:tcBorders>
            <w:hideMark/>
          </w:tcPr>
          <w:p w14:paraId="21F61AA2"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630" w:type="dxa"/>
            <w:vMerge/>
            <w:tcBorders>
              <w:top w:val="single" w:sz="4" w:space="0" w:color="9BC2E6"/>
              <w:left w:val="single" w:sz="4" w:space="0" w:color="FFFFFF"/>
              <w:bottom w:val="single" w:sz="4" w:space="0" w:color="9BC2E6"/>
              <w:right w:val="single" w:sz="4" w:space="0" w:color="FFFFFF"/>
            </w:tcBorders>
            <w:hideMark/>
          </w:tcPr>
          <w:p w14:paraId="796885E0"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2464" w:type="dxa"/>
            <w:gridSpan w:val="3"/>
            <w:vMerge/>
            <w:tcBorders>
              <w:top w:val="single" w:sz="4" w:space="0" w:color="9BC2E6"/>
              <w:left w:val="single" w:sz="4" w:space="0" w:color="FFFFFF"/>
              <w:bottom w:val="single" w:sz="4" w:space="0" w:color="9BC2E6"/>
              <w:right w:val="nil"/>
            </w:tcBorders>
            <w:hideMark/>
          </w:tcPr>
          <w:p w14:paraId="39E4D817"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946" w:type="dxa"/>
            <w:vMerge/>
            <w:tcBorders>
              <w:top w:val="single" w:sz="4" w:space="0" w:color="9BC2E6"/>
              <w:left w:val="single" w:sz="4" w:space="0" w:color="FFFFFF"/>
              <w:bottom w:val="single" w:sz="4" w:space="0" w:color="9BC2E6"/>
              <w:right w:val="single" w:sz="4" w:space="0" w:color="FFFFFF"/>
            </w:tcBorders>
            <w:hideMark/>
          </w:tcPr>
          <w:p w14:paraId="1B42AB9F"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r>
      <w:tr w:rsidR="00864FB5" w:rsidRPr="00311C36" w14:paraId="54843F0C" w14:textId="77777777" w:rsidTr="00864FB5">
        <w:trPr>
          <w:trHeight w:val="143"/>
        </w:trPr>
        <w:tc>
          <w:tcPr>
            <w:tcW w:w="3372" w:type="dxa"/>
            <w:tcBorders>
              <w:top w:val="single" w:sz="4" w:space="0" w:color="9BC2E6"/>
              <w:left w:val="single" w:sz="4" w:space="0" w:color="FFFFFF"/>
              <w:bottom w:val="single" w:sz="4" w:space="0" w:color="9BC2E6"/>
              <w:right w:val="single" w:sz="4" w:space="0" w:color="FFFFFF"/>
            </w:tcBorders>
            <w:shd w:val="clear" w:color="187672" w:fill="FFFFFF"/>
            <w:hideMark/>
          </w:tcPr>
          <w:p w14:paraId="192FD5FF" w14:textId="77777777" w:rsidR="00864FB5" w:rsidRPr="000C0F3E" w:rsidRDefault="00864FB5" w:rsidP="00864FB5">
            <w:pPr>
              <w:spacing w:before="0" w:after="0" w:line="240" w:lineRule="auto"/>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Anul</w:t>
            </w:r>
          </w:p>
        </w:tc>
        <w:tc>
          <w:tcPr>
            <w:tcW w:w="1848" w:type="dxa"/>
            <w:vMerge/>
            <w:tcBorders>
              <w:top w:val="single" w:sz="4" w:space="0" w:color="9BC2E6"/>
              <w:left w:val="single" w:sz="4" w:space="0" w:color="FFFFFF"/>
              <w:bottom w:val="single" w:sz="4" w:space="0" w:color="9BC2E6"/>
              <w:right w:val="single" w:sz="4" w:space="0" w:color="FFFFFF"/>
            </w:tcBorders>
            <w:hideMark/>
          </w:tcPr>
          <w:p w14:paraId="5B315E11"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630" w:type="dxa"/>
            <w:vMerge/>
            <w:tcBorders>
              <w:top w:val="single" w:sz="4" w:space="0" w:color="9BC2E6"/>
              <w:left w:val="single" w:sz="4" w:space="0" w:color="FFFFFF"/>
              <w:bottom w:val="single" w:sz="4" w:space="0" w:color="9BC2E6"/>
              <w:right w:val="single" w:sz="4" w:space="0" w:color="FFFFFF"/>
            </w:tcBorders>
            <w:hideMark/>
          </w:tcPr>
          <w:p w14:paraId="0FF2A87E"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852" w:type="dxa"/>
            <w:tcBorders>
              <w:top w:val="nil"/>
              <w:left w:val="nil"/>
              <w:bottom w:val="single" w:sz="4" w:space="0" w:color="9BC2E6"/>
              <w:right w:val="single" w:sz="4" w:space="0" w:color="FFFFFF"/>
            </w:tcBorders>
            <w:shd w:val="clear" w:color="5B9BD5" w:fill="FFFFFF"/>
            <w:noWrap/>
            <w:hideMark/>
          </w:tcPr>
          <w:p w14:paraId="6B3695FB"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2018</w:t>
            </w:r>
          </w:p>
        </w:tc>
        <w:tc>
          <w:tcPr>
            <w:tcW w:w="852" w:type="dxa"/>
            <w:tcBorders>
              <w:top w:val="nil"/>
              <w:left w:val="nil"/>
              <w:bottom w:val="single" w:sz="4" w:space="0" w:color="9BC2E6"/>
              <w:right w:val="single" w:sz="4" w:space="0" w:color="FFFFFF"/>
            </w:tcBorders>
            <w:shd w:val="clear" w:color="5B9BD5" w:fill="FFFFFF"/>
            <w:noWrap/>
            <w:hideMark/>
          </w:tcPr>
          <w:p w14:paraId="28249E78"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2019</w:t>
            </w:r>
          </w:p>
        </w:tc>
        <w:tc>
          <w:tcPr>
            <w:tcW w:w="760" w:type="dxa"/>
            <w:tcBorders>
              <w:top w:val="nil"/>
              <w:left w:val="nil"/>
              <w:bottom w:val="single" w:sz="4" w:space="0" w:color="9BC2E6"/>
              <w:right w:val="single" w:sz="4" w:space="0" w:color="FFFFFF"/>
            </w:tcBorders>
            <w:shd w:val="clear" w:color="5B9BD5" w:fill="FFFFFF"/>
            <w:noWrap/>
            <w:hideMark/>
          </w:tcPr>
          <w:p w14:paraId="1FE024CF"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2020</w:t>
            </w:r>
          </w:p>
        </w:tc>
        <w:tc>
          <w:tcPr>
            <w:tcW w:w="946" w:type="dxa"/>
            <w:tcBorders>
              <w:top w:val="nil"/>
              <w:left w:val="nil"/>
              <w:bottom w:val="single" w:sz="4" w:space="0" w:color="9BC2E6"/>
              <w:right w:val="single" w:sz="4" w:space="0" w:color="FFFFFF"/>
            </w:tcBorders>
            <w:shd w:val="clear" w:color="5B9BD5" w:fill="FFFFFF"/>
            <w:noWrap/>
            <w:hideMark/>
          </w:tcPr>
          <w:p w14:paraId="74F0CA0D"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2020-2019</w:t>
            </w:r>
          </w:p>
        </w:tc>
      </w:tr>
      <w:tr w:rsidR="00864FB5" w:rsidRPr="00311C36" w14:paraId="08373B40" w14:textId="77777777" w:rsidTr="00864FB5">
        <w:trPr>
          <w:trHeight w:val="161"/>
        </w:trPr>
        <w:tc>
          <w:tcPr>
            <w:tcW w:w="3372" w:type="dxa"/>
            <w:tcBorders>
              <w:top w:val="single" w:sz="4" w:space="0" w:color="9BC2E6"/>
              <w:left w:val="single" w:sz="4" w:space="0" w:color="FFFFFF"/>
              <w:bottom w:val="single" w:sz="4" w:space="0" w:color="9BC2E6"/>
              <w:right w:val="single" w:sz="4" w:space="0" w:color="FFFFFF"/>
            </w:tcBorders>
            <w:shd w:val="clear" w:color="187672" w:fill="FFFFFF"/>
            <w:hideMark/>
          </w:tcPr>
          <w:p w14:paraId="70737F9B" w14:textId="77777777" w:rsidR="00864FB5" w:rsidRPr="000C0F3E" w:rsidRDefault="00864FB5" w:rsidP="00864FB5">
            <w:pPr>
              <w:spacing w:before="0" w:after="0" w:line="240" w:lineRule="auto"/>
              <w:rPr>
                <w:rFonts w:ascii="Calibri" w:eastAsia="Times New Roman" w:hAnsi="Calibri" w:cs="Times New Roman"/>
                <w:color w:val="0F6FC6" w:themeColor="accent1"/>
                <w:sz w:val="16"/>
                <w:szCs w:val="16"/>
                <w:lang w:eastAsia="ro-RO"/>
              </w:rPr>
            </w:pPr>
            <w:r w:rsidRPr="000C0F3E">
              <w:rPr>
                <w:rFonts w:ascii="Calibri" w:eastAsia="Times New Roman" w:hAnsi="Calibri" w:cs="Times New Roman"/>
                <w:color w:val="0F6FC6" w:themeColor="accent1"/>
                <w:sz w:val="16"/>
                <w:szCs w:val="16"/>
                <w:lang w:eastAsia="ro-RO"/>
              </w:rPr>
              <w:t> </w:t>
            </w:r>
          </w:p>
        </w:tc>
        <w:tc>
          <w:tcPr>
            <w:tcW w:w="1848" w:type="dxa"/>
            <w:vMerge/>
            <w:tcBorders>
              <w:top w:val="single" w:sz="4" w:space="0" w:color="9BC2E6"/>
              <w:left w:val="single" w:sz="4" w:space="0" w:color="FFFFFF"/>
              <w:bottom w:val="single" w:sz="4" w:space="0" w:color="9BC2E6"/>
              <w:right w:val="single" w:sz="4" w:space="0" w:color="FFFFFF"/>
            </w:tcBorders>
            <w:hideMark/>
          </w:tcPr>
          <w:p w14:paraId="19F34BC1"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630" w:type="dxa"/>
            <w:vMerge/>
            <w:tcBorders>
              <w:top w:val="single" w:sz="4" w:space="0" w:color="9BC2E6"/>
              <w:left w:val="single" w:sz="4" w:space="0" w:color="FFFFFF"/>
              <w:bottom w:val="single" w:sz="4" w:space="0" w:color="9BC2E6"/>
              <w:right w:val="single" w:sz="4" w:space="0" w:color="FFFFFF"/>
            </w:tcBorders>
            <w:hideMark/>
          </w:tcPr>
          <w:p w14:paraId="25ADFB10" w14:textId="77777777" w:rsidR="00864FB5" w:rsidRPr="000C0F3E" w:rsidRDefault="00864FB5" w:rsidP="00864FB5">
            <w:pPr>
              <w:spacing w:before="0" w:after="0" w:line="240" w:lineRule="auto"/>
              <w:jc w:val="right"/>
              <w:rPr>
                <w:rFonts w:ascii="Calibri" w:eastAsia="Times New Roman" w:hAnsi="Calibri" w:cs="Times New Roman"/>
                <w:color w:val="0F6FC6" w:themeColor="accent1"/>
                <w:sz w:val="16"/>
                <w:szCs w:val="16"/>
                <w:lang w:eastAsia="ro-RO"/>
              </w:rPr>
            </w:pPr>
          </w:p>
        </w:tc>
        <w:tc>
          <w:tcPr>
            <w:tcW w:w="852" w:type="dxa"/>
            <w:tcBorders>
              <w:top w:val="nil"/>
              <w:left w:val="nil"/>
              <w:bottom w:val="single" w:sz="4" w:space="0" w:color="9BC2E6"/>
              <w:right w:val="single" w:sz="4" w:space="0" w:color="FFFFFF"/>
            </w:tcBorders>
            <w:shd w:val="clear" w:color="5B9BD5" w:fill="FFFFFF"/>
            <w:noWrap/>
            <w:hideMark/>
          </w:tcPr>
          <w:p w14:paraId="1E856763" w14:textId="77777777" w:rsidR="00864FB5" w:rsidRPr="000C0F3E" w:rsidRDefault="00864FB5" w:rsidP="00864FB5">
            <w:pPr>
              <w:spacing w:before="0" w:after="0" w:line="240" w:lineRule="auto"/>
              <w:jc w:val="right"/>
              <w:rPr>
                <w:rFonts w:ascii="Calibri" w:eastAsia="Times New Roman" w:hAnsi="Calibri" w:cs="Times New Roman"/>
                <w:bCs/>
                <w:i/>
                <w:iCs/>
                <w:color w:val="0F6FC6" w:themeColor="accent1"/>
                <w:sz w:val="16"/>
                <w:szCs w:val="16"/>
                <w:lang w:eastAsia="ro-RO"/>
              </w:rPr>
            </w:pPr>
            <w:r w:rsidRPr="000C0F3E">
              <w:rPr>
                <w:rFonts w:ascii="Calibri" w:eastAsia="Times New Roman" w:hAnsi="Calibri" w:cs="Times New Roman"/>
                <w:bCs/>
                <w:i/>
                <w:iCs/>
                <w:color w:val="0F6FC6" w:themeColor="accent1"/>
                <w:sz w:val="16"/>
                <w:szCs w:val="16"/>
                <w:lang w:eastAsia="ro-RO"/>
              </w:rPr>
              <w:t>1</w:t>
            </w:r>
          </w:p>
        </w:tc>
        <w:tc>
          <w:tcPr>
            <w:tcW w:w="852" w:type="dxa"/>
            <w:tcBorders>
              <w:top w:val="nil"/>
              <w:left w:val="nil"/>
              <w:bottom w:val="single" w:sz="4" w:space="0" w:color="9BC2E6"/>
              <w:right w:val="single" w:sz="4" w:space="0" w:color="FFFFFF"/>
            </w:tcBorders>
            <w:shd w:val="clear" w:color="5B9BD5" w:fill="FFFFFF"/>
            <w:noWrap/>
            <w:hideMark/>
          </w:tcPr>
          <w:p w14:paraId="7EDBFAE2" w14:textId="77777777" w:rsidR="00864FB5" w:rsidRPr="000C0F3E" w:rsidRDefault="00864FB5" w:rsidP="00864FB5">
            <w:pPr>
              <w:spacing w:before="0" w:after="0" w:line="240" w:lineRule="auto"/>
              <w:jc w:val="right"/>
              <w:rPr>
                <w:rFonts w:ascii="Calibri" w:eastAsia="Times New Roman" w:hAnsi="Calibri" w:cs="Times New Roman"/>
                <w:bCs/>
                <w:i/>
                <w:iCs/>
                <w:color w:val="0F6FC6" w:themeColor="accent1"/>
                <w:sz w:val="16"/>
                <w:szCs w:val="16"/>
                <w:lang w:eastAsia="ro-RO"/>
              </w:rPr>
            </w:pPr>
            <w:r w:rsidRPr="000C0F3E">
              <w:rPr>
                <w:rFonts w:ascii="Calibri" w:eastAsia="Times New Roman" w:hAnsi="Calibri" w:cs="Times New Roman"/>
                <w:bCs/>
                <w:i/>
                <w:iCs/>
                <w:color w:val="0F6FC6" w:themeColor="accent1"/>
                <w:sz w:val="16"/>
                <w:szCs w:val="16"/>
                <w:lang w:eastAsia="ro-RO"/>
              </w:rPr>
              <w:t>2</w:t>
            </w:r>
          </w:p>
        </w:tc>
        <w:tc>
          <w:tcPr>
            <w:tcW w:w="760" w:type="dxa"/>
            <w:tcBorders>
              <w:top w:val="nil"/>
              <w:left w:val="nil"/>
              <w:bottom w:val="single" w:sz="4" w:space="0" w:color="9BC2E6"/>
              <w:right w:val="single" w:sz="4" w:space="0" w:color="FFFFFF"/>
            </w:tcBorders>
            <w:shd w:val="clear" w:color="5B9BD5" w:fill="FFFFFF"/>
            <w:noWrap/>
            <w:hideMark/>
          </w:tcPr>
          <w:p w14:paraId="58349999" w14:textId="77777777" w:rsidR="00864FB5" w:rsidRPr="000C0F3E" w:rsidRDefault="00864FB5" w:rsidP="00864FB5">
            <w:pPr>
              <w:spacing w:before="0" w:after="0" w:line="240" w:lineRule="auto"/>
              <w:jc w:val="right"/>
              <w:rPr>
                <w:rFonts w:ascii="Calibri" w:eastAsia="Times New Roman" w:hAnsi="Calibri" w:cs="Times New Roman"/>
                <w:bCs/>
                <w:i/>
                <w:iCs/>
                <w:color w:val="0F6FC6" w:themeColor="accent1"/>
                <w:sz w:val="16"/>
                <w:szCs w:val="16"/>
                <w:lang w:eastAsia="ro-RO"/>
              </w:rPr>
            </w:pPr>
            <w:r w:rsidRPr="000C0F3E">
              <w:rPr>
                <w:rFonts w:ascii="Calibri" w:eastAsia="Times New Roman" w:hAnsi="Calibri" w:cs="Times New Roman"/>
                <w:bCs/>
                <w:i/>
                <w:iCs/>
                <w:color w:val="0F6FC6" w:themeColor="accent1"/>
                <w:sz w:val="16"/>
                <w:szCs w:val="16"/>
                <w:lang w:eastAsia="ro-RO"/>
              </w:rPr>
              <w:t>3</w:t>
            </w:r>
          </w:p>
        </w:tc>
        <w:tc>
          <w:tcPr>
            <w:tcW w:w="946" w:type="dxa"/>
            <w:tcBorders>
              <w:top w:val="nil"/>
              <w:left w:val="nil"/>
              <w:bottom w:val="single" w:sz="4" w:space="0" w:color="9BC2E6"/>
              <w:right w:val="single" w:sz="4" w:space="0" w:color="FFFFFF"/>
            </w:tcBorders>
            <w:shd w:val="clear" w:color="5B9BD5" w:fill="FFFFFF"/>
            <w:noWrap/>
            <w:hideMark/>
          </w:tcPr>
          <w:p w14:paraId="74F57931" w14:textId="77777777" w:rsidR="00864FB5" w:rsidRPr="000C0F3E" w:rsidRDefault="00864FB5" w:rsidP="00864FB5">
            <w:pPr>
              <w:spacing w:before="0" w:after="0" w:line="240" w:lineRule="auto"/>
              <w:jc w:val="right"/>
              <w:rPr>
                <w:rFonts w:ascii="Calibri" w:eastAsia="Times New Roman" w:hAnsi="Calibri" w:cs="Times New Roman"/>
                <w:bCs/>
                <w:i/>
                <w:iCs/>
                <w:color w:val="0F6FC6" w:themeColor="accent1"/>
                <w:sz w:val="16"/>
                <w:szCs w:val="16"/>
                <w:lang w:eastAsia="ro-RO"/>
              </w:rPr>
            </w:pPr>
            <w:r w:rsidRPr="000C0F3E">
              <w:rPr>
                <w:rFonts w:ascii="Calibri" w:eastAsia="Times New Roman" w:hAnsi="Calibri" w:cs="Times New Roman"/>
                <w:bCs/>
                <w:i/>
                <w:iCs/>
                <w:color w:val="0F6FC6" w:themeColor="accent1"/>
                <w:sz w:val="16"/>
                <w:szCs w:val="16"/>
                <w:lang w:eastAsia="ro-RO"/>
              </w:rPr>
              <w:t>4=3-2</w:t>
            </w:r>
          </w:p>
        </w:tc>
      </w:tr>
      <w:tr w:rsidR="00864FB5" w:rsidRPr="00311C36" w14:paraId="34E37D2F" w14:textId="77777777" w:rsidTr="00864FB5">
        <w:trPr>
          <w:trHeight w:val="350"/>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49E8AFD6" w14:textId="77777777" w:rsidR="00864FB5" w:rsidRPr="000C0F3E" w:rsidRDefault="00864FB5" w:rsidP="00A06393">
            <w:pPr>
              <w:spacing w:before="0" w:after="0" w:line="240" w:lineRule="auto"/>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Număr efectiv de ÎPC</w:t>
            </w:r>
          </w:p>
        </w:tc>
        <w:tc>
          <w:tcPr>
            <w:tcW w:w="1848" w:type="dxa"/>
            <w:tcBorders>
              <w:top w:val="nil"/>
              <w:left w:val="nil"/>
              <w:bottom w:val="single" w:sz="4" w:space="0" w:color="9BC2E6"/>
              <w:right w:val="single" w:sz="4" w:space="0" w:color="FFFFFF"/>
            </w:tcBorders>
            <w:shd w:val="clear" w:color="000000" w:fill="FFFFFF"/>
            <w:hideMark/>
          </w:tcPr>
          <w:p w14:paraId="7EAE774F"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 </w:t>
            </w:r>
          </w:p>
        </w:tc>
        <w:tc>
          <w:tcPr>
            <w:tcW w:w="630" w:type="dxa"/>
            <w:tcBorders>
              <w:top w:val="nil"/>
              <w:left w:val="nil"/>
              <w:bottom w:val="single" w:sz="4" w:space="0" w:color="9BC2E6"/>
              <w:right w:val="single" w:sz="4" w:space="0" w:color="FFFFFF"/>
            </w:tcBorders>
            <w:shd w:val="clear" w:color="000000" w:fill="FFFFFF"/>
            <w:hideMark/>
          </w:tcPr>
          <w:p w14:paraId="06241859"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nr. ÎP</w:t>
            </w:r>
          </w:p>
        </w:tc>
        <w:tc>
          <w:tcPr>
            <w:tcW w:w="852" w:type="dxa"/>
            <w:tcBorders>
              <w:top w:val="nil"/>
              <w:left w:val="nil"/>
              <w:bottom w:val="single" w:sz="4" w:space="0" w:color="9BC2E6"/>
              <w:right w:val="single" w:sz="4" w:space="0" w:color="FFFFFF"/>
            </w:tcBorders>
            <w:shd w:val="clear" w:color="5B9BD5" w:fill="FFFFFF"/>
            <w:hideMark/>
          </w:tcPr>
          <w:p w14:paraId="31C6D18B"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220</w:t>
            </w:r>
          </w:p>
        </w:tc>
        <w:tc>
          <w:tcPr>
            <w:tcW w:w="852" w:type="dxa"/>
            <w:tcBorders>
              <w:top w:val="nil"/>
              <w:left w:val="nil"/>
              <w:bottom w:val="single" w:sz="4" w:space="0" w:color="9BC2E6"/>
              <w:right w:val="single" w:sz="4" w:space="0" w:color="FFFFFF"/>
            </w:tcBorders>
            <w:shd w:val="clear" w:color="5B9BD5" w:fill="FFFFFF"/>
            <w:hideMark/>
          </w:tcPr>
          <w:p w14:paraId="336198B7"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220</w:t>
            </w:r>
          </w:p>
        </w:tc>
        <w:tc>
          <w:tcPr>
            <w:tcW w:w="760" w:type="dxa"/>
            <w:tcBorders>
              <w:top w:val="nil"/>
              <w:left w:val="nil"/>
              <w:bottom w:val="single" w:sz="4" w:space="0" w:color="9BC2E6"/>
              <w:right w:val="single" w:sz="4" w:space="0" w:color="FFFFFF"/>
            </w:tcBorders>
            <w:shd w:val="clear" w:color="5B9BD5" w:fill="FFFFFF"/>
            <w:hideMark/>
          </w:tcPr>
          <w:p w14:paraId="422C6871"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220</w:t>
            </w:r>
          </w:p>
        </w:tc>
        <w:tc>
          <w:tcPr>
            <w:tcW w:w="946" w:type="dxa"/>
            <w:tcBorders>
              <w:top w:val="nil"/>
              <w:left w:val="nil"/>
              <w:bottom w:val="single" w:sz="4" w:space="0" w:color="9BC2E6"/>
              <w:right w:val="single" w:sz="4" w:space="0" w:color="FFFFFF"/>
            </w:tcBorders>
            <w:shd w:val="clear" w:color="5B9BD5" w:fill="FFFFFF"/>
            <w:hideMark/>
          </w:tcPr>
          <w:p w14:paraId="3CAF8739" w14:textId="77777777" w:rsidR="00864FB5" w:rsidRPr="000C0F3E" w:rsidRDefault="00864FB5" w:rsidP="00864FB5">
            <w:pPr>
              <w:spacing w:before="0" w:after="0" w:line="240" w:lineRule="auto"/>
              <w:jc w:val="right"/>
              <w:rPr>
                <w:rFonts w:ascii="Calibri" w:eastAsia="Times New Roman" w:hAnsi="Calibri" w:cs="Times New Roman"/>
                <w:bCs/>
                <w:color w:val="0F6FC6" w:themeColor="accent1"/>
                <w:sz w:val="16"/>
                <w:szCs w:val="16"/>
                <w:lang w:eastAsia="ro-RO"/>
              </w:rPr>
            </w:pPr>
            <w:r w:rsidRPr="000C0F3E">
              <w:rPr>
                <w:rFonts w:ascii="Calibri" w:eastAsia="Times New Roman" w:hAnsi="Calibri" w:cs="Times New Roman"/>
                <w:bCs/>
                <w:color w:val="0F6FC6" w:themeColor="accent1"/>
                <w:sz w:val="16"/>
                <w:szCs w:val="16"/>
                <w:lang w:eastAsia="ro-RO"/>
              </w:rPr>
              <w:t>0</w:t>
            </w:r>
          </w:p>
        </w:tc>
      </w:tr>
      <w:tr w:rsidR="00864FB5" w:rsidRPr="00311C36" w14:paraId="2144C5E6" w14:textId="77777777" w:rsidTr="00864FB5">
        <w:trPr>
          <w:trHeight w:val="419"/>
        </w:trPr>
        <w:tc>
          <w:tcPr>
            <w:tcW w:w="9260" w:type="dxa"/>
            <w:gridSpan w:val="7"/>
            <w:tcBorders>
              <w:top w:val="single" w:sz="4" w:space="0" w:color="9BC2E6"/>
              <w:left w:val="single" w:sz="4" w:space="0" w:color="FFFFFF"/>
              <w:bottom w:val="single" w:sz="4" w:space="0" w:color="9BC2E6"/>
              <w:right w:val="single" w:sz="4" w:space="0" w:color="FFFFFF"/>
            </w:tcBorders>
            <w:shd w:val="clear" w:color="000000" w:fill="DDEBF7"/>
            <w:hideMark/>
          </w:tcPr>
          <w:p w14:paraId="164647FF" w14:textId="77777777" w:rsidR="00864FB5" w:rsidRPr="00457BAA" w:rsidRDefault="00864FB5" w:rsidP="00A06393">
            <w:pPr>
              <w:spacing w:before="0" w:after="0" w:line="240" w:lineRule="auto"/>
              <w:rPr>
                <w:rFonts w:ascii="Calibri Light" w:eastAsia="Times New Roman" w:hAnsi="Calibri Light" w:cs="Times New Roman"/>
                <w:bCs/>
                <w:color w:val="5B9BD5"/>
                <w:sz w:val="16"/>
                <w:szCs w:val="16"/>
                <w:lang w:eastAsia="ro-RO"/>
              </w:rPr>
            </w:pPr>
            <w:r w:rsidRPr="00457BAA">
              <w:rPr>
                <w:rFonts w:ascii="Calibri Light" w:eastAsia="Times New Roman" w:hAnsi="Calibri Light" w:cs="Times New Roman"/>
                <w:bCs/>
                <w:color w:val="0F6FC6" w:themeColor="accent1"/>
                <w:sz w:val="16"/>
                <w:szCs w:val="16"/>
                <w:lang w:eastAsia="ro-RO"/>
              </w:rPr>
              <w:t>Rentabilitate</w:t>
            </w:r>
          </w:p>
        </w:tc>
      </w:tr>
      <w:tr w:rsidR="00864FB5" w:rsidRPr="00311C36" w14:paraId="1E721640" w14:textId="77777777" w:rsidTr="00864FB5">
        <w:trPr>
          <w:trHeight w:val="350"/>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6668CE3C"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Marja operațională (EBIT margin)</w:t>
            </w:r>
          </w:p>
        </w:tc>
        <w:tc>
          <w:tcPr>
            <w:tcW w:w="1848" w:type="dxa"/>
            <w:tcBorders>
              <w:top w:val="nil"/>
              <w:left w:val="nil"/>
              <w:bottom w:val="single" w:sz="4" w:space="0" w:color="9BC2E6"/>
              <w:right w:val="single" w:sz="4" w:space="0" w:color="FFFFFF"/>
            </w:tcBorders>
            <w:shd w:val="clear" w:color="auto" w:fill="auto"/>
            <w:hideMark/>
          </w:tcPr>
          <w:p w14:paraId="5DBCD127"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EBIT / Cifra de afaceri</w:t>
            </w:r>
          </w:p>
        </w:tc>
        <w:tc>
          <w:tcPr>
            <w:tcW w:w="630" w:type="dxa"/>
            <w:tcBorders>
              <w:top w:val="nil"/>
              <w:left w:val="nil"/>
              <w:bottom w:val="single" w:sz="4" w:space="0" w:color="9BC2E6"/>
              <w:right w:val="single" w:sz="4" w:space="0" w:color="FFFFFF"/>
            </w:tcBorders>
            <w:shd w:val="clear" w:color="5B9BD5" w:fill="FFFFFF"/>
            <w:hideMark/>
          </w:tcPr>
          <w:p w14:paraId="2FB09A96"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25274908"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12,35%</w:t>
            </w:r>
          </w:p>
        </w:tc>
        <w:tc>
          <w:tcPr>
            <w:tcW w:w="852" w:type="dxa"/>
            <w:tcBorders>
              <w:top w:val="nil"/>
              <w:left w:val="nil"/>
              <w:bottom w:val="single" w:sz="4" w:space="0" w:color="9BC2E6"/>
              <w:right w:val="single" w:sz="4" w:space="0" w:color="FFFFFF"/>
            </w:tcBorders>
            <w:shd w:val="clear" w:color="auto" w:fill="auto"/>
            <w:hideMark/>
          </w:tcPr>
          <w:p w14:paraId="6F2977E4"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10,28%</w:t>
            </w:r>
          </w:p>
        </w:tc>
        <w:tc>
          <w:tcPr>
            <w:tcW w:w="760" w:type="dxa"/>
            <w:tcBorders>
              <w:top w:val="nil"/>
              <w:left w:val="nil"/>
              <w:bottom w:val="single" w:sz="4" w:space="0" w:color="9BC2E6"/>
              <w:right w:val="single" w:sz="4" w:space="0" w:color="FFFFFF"/>
            </w:tcBorders>
            <w:shd w:val="clear" w:color="auto" w:fill="auto"/>
            <w:hideMark/>
          </w:tcPr>
          <w:p w14:paraId="24E96AAE"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5,09%</w:t>
            </w:r>
          </w:p>
        </w:tc>
        <w:tc>
          <w:tcPr>
            <w:tcW w:w="946" w:type="dxa"/>
            <w:tcBorders>
              <w:top w:val="nil"/>
              <w:left w:val="nil"/>
              <w:bottom w:val="single" w:sz="4" w:space="0" w:color="9BC2E6"/>
              <w:right w:val="single" w:sz="4" w:space="0" w:color="FFFFFF"/>
            </w:tcBorders>
            <w:shd w:val="clear" w:color="auto" w:fill="auto"/>
            <w:hideMark/>
          </w:tcPr>
          <w:p w14:paraId="29AE4AA3"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-5,18%</w:t>
            </w:r>
          </w:p>
        </w:tc>
      </w:tr>
      <w:tr w:rsidR="00864FB5" w:rsidRPr="00311C36" w14:paraId="7B4316F8"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19CC5039"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Marja operațională (EBITDA margin)</w:t>
            </w:r>
          </w:p>
        </w:tc>
        <w:tc>
          <w:tcPr>
            <w:tcW w:w="1848" w:type="dxa"/>
            <w:tcBorders>
              <w:top w:val="nil"/>
              <w:left w:val="nil"/>
              <w:bottom w:val="single" w:sz="4" w:space="0" w:color="9BC2E6"/>
              <w:right w:val="single" w:sz="4" w:space="0" w:color="FFFFFF"/>
            </w:tcBorders>
            <w:shd w:val="clear" w:color="auto" w:fill="auto"/>
            <w:hideMark/>
          </w:tcPr>
          <w:p w14:paraId="4E2E4C4F"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EBITDA / Cifra de afaceri</w:t>
            </w:r>
          </w:p>
        </w:tc>
        <w:tc>
          <w:tcPr>
            <w:tcW w:w="630" w:type="dxa"/>
            <w:tcBorders>
              <w:top w:val="nil"/>
              <w:left w:val="nil"/>
              <w:bottom w:val="single" w:sz="4" w:space="0" w:color="9BC2E6"/>
              <w:right w:val="single" w:sz="4" w:space="0" w:color="FFFFFF"/>
            </w:tcBorders>
            <w:shd w:val="clear" w:color="5B9BD5" w:fill="FFFFFF"/>
            <w:hideMark/>
          </w:tcPr>
          <w:p w14:paraId="613255FA"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63194B82"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24,93%</w:t>
            </w:r>
          </w:p>
        </w:tc>
        <w:tc>
          <w:tcPr>
            <w:tcW w:w="852" w:type="dxa"/>
            <w:tcBorders>
              <w:top w:val="nil"/>
              <w:left w:val="nil"/>
              <w:bottom w:val="single" w:sz="4" w:space="0" w:color="9BC2E6"/>
              <w:right w:val="single" w:sz="4" w:space="0" w:color="FFFFFF"/>
            </w:tcBorders>
            <w:shd w:val="clear" w:color="auto" w:fill="auto"/>
            <w:hideMark/>
          </w:tcPr>
          <w:p w14:paraId="5C72A573"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28,40%</w:t>
            </w:r>
          </w:p>
        </w:tc>
        <w:tc>
          <w:tcPr>
            <w:tcW w:w="760" w:type="dxa"/>
            <w:tcBorders>
              <w:top w:val="nil"/>
              <w:left w:val="nil"/>
              <w:bottom w:val="single" w:sz="4" w:space="0" w:color="9BC2E6"/>
              <w:right w:val="single" w:sz="4" w:space="0" w:color="FFFFFF"/>
            </w:tcBorders>
            <w:shd w:val="clear" w:color="auto" w:fill="auto"/>
            <w:hideMark/>
          </w:tcPr>
          <w:p w14:paraId="354203D8"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23,82%</w:t>
            </w:r>
          </w:p>
        </w:tc>
        <w:tc>
          <w:tcPr>
            <w:tcW w:w="946" w:type="dxa"/>
            <w:tcBorders>
              <w:top w:val="nil"/>
              <w:left w:val="nil"/>
              <w:bottom w:val="single" w:sz="4" w:space="0" w:color="9BC2E6"/>
              <w:right w:val="single" w:sz="4" w:space="0" w:color="FFFFFF"/>
            </w:tcBorders>
            <w:shd w:val="clear" w:color="auto" w:fill="auto"/>
            <w:hideMark/>
          </w:tcPr>
          <w:p w14:paraId="409A51DB"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-4,58%</w:t>
            </w:r>
          </w:p>
        </w:tc>
      </w:tr>
      <w:tr w:rsidR="00864FB5" w:rsidRPr="00311C36" w14:paraId="1330AAC9" w14:textId="77777777" w:rsidTr="00864FB5">
        <w:trPr>
          <w:trHeight w:val="350"/>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57D5352F"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EBITDA în capitaluri proprii</w:t>
            </w:r>
          </w:p>
        </w:tc>
        <w:tc>
          <w:tcPr>
            <w:tcW w:w="1848" w:type="dxa"/>
            <w:tcBorders>
              <w:top w:val="nil"/>
              <w:left w:val="nil"/>
              <w:bottom w:val="single" w:sz="4" w:space="0" w:color="9BC2E6"/>
              <w:right w:val="single" w:sz="4" w:space="0" w:color="FFFFFF"/>
            </w:tcBorders>
            <w:shd w:val="clear" w:color="auto" w:fill="auto"/>
            <w:hideMark/>
          </w:tcPr>
          <w:p w14:paraId="2966271D"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EBITDA / Capitaluri proprii</w:t>
            </w:r>
          </w:p>
        </w:tc>
        <w:tc>
          <w:tcPr>
            <w:tcW w:w="630" w:type="dxa"/>
            <w:tcBorders>
              <w:top w:val="nil"/>
              <w:left w:val="nil"/>
              <w:bottom w:val="single" w:sz="4" w:space="0" w:color="9BC2E6"/>
              <w:right w:val="single" w:sz="4" w:space="0" w:color="FFFFFF"/>
            </w:tcBorders>
            <w:shd w:val="clear" w:color="5B9BD5" w:fill="FFFFFF"/>
            <w:hideMark/>
          </w:tcPr>
          <w:p w14:paraId="4EF7519C"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0102B1DB"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14,11%</w:t>
            </w:r>
          </w:p>
        </w:tc>
        <w:tc>
          <w:tcPr>
            <w:tcW w:w="852" w:type="dxa"/>
            <w:tcBorders>
              <w:top w:val="nil"/>
              <w:left w:val="nil"/>
              <w:bottom w:val="single" w:sz="4" w:space="0" w:color="9BC2E6"/>
              <w:right w:val="single" w:sz="4" w:space="0" w:color="FFFFFF"/>
            </w:tcBorders>
            <w:shd w:val="clear" w:color="auto" w:fill="auto"/>
            <w:hideMark/>
          </w:tcPr>
          <w:p w14:paraId="5F6DCC6A"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16,31%</w:t>
            </w:r>
          </w:p>
        </w:tc>
        <w:tc>
          <w:tcPr>
            <w:tcW w:w="760" w:type="dxa"/>
            <w:tcBorders>
              <w:top w:val="nil"/>
              <w:left w:val="nil"/>
              <w:bottom w:val="single" w:sz="4" w:space="0" w:color="9BC2E6"/>
              <w:right w:val="single" w:sz="4" w:space="0" w:color="FFFFFF"/>
            </w:tcBorders>
            <w:shd w:val="clear" w:color="auto" w:fill="auto"/>
            <w:hideMark/>
          </w:tcPr>
          <w:p w14:paraId="1247DEA5"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11,93%</w:t>
            </w:r>
          </w:p>
        </w:tc>
        <w:tc>
          <w:tcPr>
            <w:tcW w:w="946" w:type="dxa"/>
            <w:tcBorders>
              <w:top w:val="nil"/>
              <w:left w:val="nil"/>
              <w:bottom w:val="single" w:sz="4" w:space="0" w:color="9BC2E6"/>
              <w:right w:val="single" w:sz="4" w:space="0" w:color="FFFFFF"/>
            </w:tcBorders>
            <w:shd w:val="clear" w:color="auto" w:fill="auto"/>
            <w:hideMark/>
          </w:tcPr>
          <w:p w14:paraId="6A35209A"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-4,38%</w:t>
            </w:r>
          </w:p>
        </w:tc>
      </w:tr>
      <w:tr w:rsidR="00864FB5" w:rsidRPr="00311C36" w14:paraId="6D85EB97"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4D1497A4"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 xml:space="preserve">Rata rentabilităţii capitalului 1 </w:t>
            </w:r>
          </w:p>
        </w:tc>
        <w:tc>
          <w:tcPr>
            <w:tcW w:w="1848" w:type="dxa"/>
            <w:tcBorders>
              <w:top w:val="nil"/>
              <w:left w:val="nil"/>
              <w:bottom w:val="single" w:sz="4" w:space="0" w:color="9BC2E6"/>
              <w:right w:val="single" w:sz="4" w:space="0" w:color="FFFFFF"/>
            </w:tcBorders>
            <w:shd w:val="clear" w:color="auto" w:fill="auto"/>
            <w:hideMark/>
          </w:tcPr>
          <w:p w14:paraId="2A0A5861"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Profit net / Capitaluri proprii</w:t>
            </w:r>
          </w:p>
        </w:tc>
        <w:tc>
          <w:tcPr>
            <w:tcW w:w="630" w:type="dxa"/>
            <w:tcBorders>
              <w:top w:val="nil"/>
              <w:left w:val="nil"/>
              <w:bottom w:val="single" w:sz="4" w:space="0" w:color="9BC2E6"/>
              <w:right w:val="single" w:sz="4" w:space="0" w:color="FFFFFF"/>
            </w:tcBorders>
            <w:shd w:val="clear" w:color="5B9BD5" w:fill="FFFFFF"/>
            <w:hideMark/>
          </w:tcPr>
          <w:p w14:paraId="69ED46FF"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4EC98299"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8,74%</w:t>
            </w:r>
          </w:p>
        </w:tc>
        <w:tc>
          <w:tcPr>
            <w:tcW w:w="852" w:type="dxa"/>
            <w:tcBorders>
              <w:top w:val="nil"/>
              <w:left w:val="nil"/>
              <w:bottom w:val="single" w:sz="4" w:space="0" w:color="9BC2E6"/>
              <w:right w:val="single" w:sz="4" w:space="0" w:color="FFFFFF"/>
            </w:tcBorders>
            <w:shd w:val="clear" w:color="auto" w:fill="auto"/>
            <w:hideMark/>
          </w:tcPr>
          <w:p w14:paraId="23A3F8E2"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7,15%</w:t>
            </w:r>
          </w:p>
        </w:tc>
        <w:tc>
          <w:tcPr>
            <w:tcW w:w="760" w:type="dxa"/>
            <w:tcBorders>
              <w:top w:val="nil"/>
              <w:left w:val="nil"/>
              <w:bottom w:val="single" w:sz="4" w:space="0" w:color="9BC2E6"/>
              <w:right w:val="single" w:sz="4" w:space="0" w:color="FFFFFF"/>
            </w:tcBorders>
            <w:shd w:val="clear" w:color="auto" w:fill="auto"/>
            <w:hideMark/>
          </w:tcPr>
          <w:p w14:paraId="648FACA6"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7,29%</w:t>
            </w:r>
          </w:p>
        </w:tc>
        <w:tc>
          <w:tcPr>
            <w:tcW w:w="946" w:type="dxa"/>
            <w:tcBorders>
              <w:top w:val="nil"/>
              <w:left w:val="nil"/>
              <w:bottom w:val="single" w:sz="4" w:space="0" w:color="9BC2E6"/>
              <w:right w:val="single" w:sz="4" w:space="0" w:color="FFFFFF"/>
            </w:tcBorders>
            <w:shd w:val="clear" w:color="auto" w:fill="auto"/>
            <w:hideMark/>
          </w:tcPr>
          <w:p w14:paraId="76DF3F22"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0,13%</w:t>
            </w:r>
          </w:p>
        </w:tc>
      </w:tr>
      <w:tr w:rsidR="00864FB5" w:rsidRPr="00311C36" w14:paraId="37A34951" w14:textId="77777777" w:rsidTr="00864FB5">
        <w:trPr>
          <w:trHeight w:val="350"/>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45AC03F4"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Rata rentabilităţii capitalului 2</w:t>
            </w:r>
          </w:p>
        </w:tc>
        <w:tc>
          <w:tcPr>
            <w:tcW w:w="1848" w:type="dxa"/>
            <w:tcBorders>
              <w:top w:val="nil"/>
              <w:left w:val="nil"/>
              <w:bottom w:val="single" w:sz="4" w:space="0" w:color="9BC2E6"/>
              <w:right w:val="single" w:sz="4" w:space="0" w:color="FFFFFF"/>
            </w:tcBorders>
            <w:shd w:val="clear" w:color="auto" w:fill="auto"/>
            <w:hideMark/>
          </w:tcPr>
          <w:p w14:paraId="73208A78"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Rezultat net / Capitaluri proprii</w:t>
            </w:r>
          </w:p>
        </w:tc>
        <w:tc>
          <w:tcPr>
            <w:tcW w:w="630" w:type="dxa"/>
            <w:tcBorders>
              <w:top w:val="nil"/>
              <w:left w:val="nil"/>
              <w:bottom w:val="single" w:sz="4" w:space="0" w:color="9BC2E6"/>
              <w:right w:val="single" w:sz="4" w:space="0" w:color="FFFFFF"/>
            </w:tcBorders>
            <w:shd w:val="clear" w:color="5B9BD5" w:fill="FFFFFF"/>
            <w:hideMark/>
          </w:tcPr>
          <w:p w14:paraId="426D0DD6"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6CB8A87A"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5,47%</w:t>
            </w:r>
          </w:p>
        </w:tc>
        <w:tc>
          <w:tcPr>
            <w:tcW w:w="852" w:type="dxa"/>
            <w:tcBorders>
              <w:top w:val="nil"/>
              <w:left w:val="nil"/>
              <w:bottom w:val="single" w:sz="4" w:space="0" w:color="9BC2E6"/>
              <w:right w:val="single" w:sz="4" w:space="0" w:color="FFFFFF"/>
            </w:tcBorders>
            <w:shd w:val="clear" w:color="auto" w:fill="auto"/>
            <w:hideMark/>
          </w:tcPr>
          <w:p w14:paraId="03243314"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4,33%</w:t>
            </w:r>
          </w:p>
        </w:tc>
        <w:tc>
          <w:tcPr>
            <w:tcW w:w="760" w:type="dxa"/>
            <w:tcBorders>
              <w:top w:val="nil"/>
              <w:left w:val="nil"/>
              <w:bottom w:val="single" w:sz="4" w:space="0" w:color="9BC2E6"/>
              <w:right w:val="single" w:sz="4" w:space="0" w:color="FFFFFF"/>
            </w:tcBorders>
            <w:shd w:val="clear" w:color="auto" w:fill="auto"/>
            <w:hideMark/>
          </w:tcPr>
          <w:p w14:paraId="1EC84954"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2,48%</w:t>
            </w:r>
          </w:p>
        </w:tc>
        <w:tc>
          <w:tcPr>
            <w:tcW w:w="946" w:type="dxa"/>
            <w:tcBorders>
              <w:top w:val="nil"/>
              <w:left w:val="nil"/>
              <w:bottom w:val="single" w:sz="4" w:space="0" w:color="9BC2E6"/>
              <w:right w:val="single" w:sz="4" w:space="0" w:color="FFFFFF"/>
            </w:tcBorders>
            <w:shd w:val="clear" w:color="auto" w:fill="auto"/>
            <w:hideMark/>
          </w:tcPr>
          <w:p w14:paraId="04B1E4CD"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-1,85%</w:t>
            </w:r>
          </w:p>
        </w:tc>
      </w:tr>
      <w:tr w:rsidR="00864FB5" w:rsidRPr="00311C36" w14:paraId="378238FA"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0E406EC9"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Rentabilitatea capitalului angajat</w:t>
            </w:r>
          </w:p>
        </w:tc>
        <w:tc>
          <w:tcPr>
            <w:tcW w:w="1848" w:type="dxa"/>
            <w:tcBorders>
              <w:top w:val="nil"/>
              <w:left w:val="nil"/>
              <w:bottom w:val="single" w:sz="4" w:space="0" w:color="9BC2E6"/>
              <w:right w:val="single" w:sz="4" w:space="0" w:color="FFFFFF"/>
            </w:tcBorders>
            <w:shd w:val="clear" w:color="auto" w:fill="auto"/>
            <w:hideMark/>
          </w:tcPr>
          <w:p w14:paraId="58E6DE00"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Profit brut din exploatare / (Datorii pe termen lung + Capital propriu)</w:t>
            </w:r>
          </w:p>
        </w:tc>
        <w:tc>
          <w:tcPr>
            <w:tcW w:w="630" w:type="dxa"/>
            <w:tcBorders>
              <w:top w:val="nil"/>
              <w:left w:val="nil"/>
              <w:bottom w:val="single" w:sz="4" w:space="0" w:color="9BC2E6"/>
              <w:right w:val="single" w:sz="4" w:space="0" w:color="FFFFFF"/>
            </w:tcBorders>
            <w:shd w:val="clear" w:color="5B9BD5" w:fill="FFFFFF"/>
            <w:hideMark/>
          </w:tcPr>
          <w:p w14:paraId="2BDF7CB2"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37BF7236"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9,21%</w:t>
            </w:r>
          </w:p>
        </w:tc>
        <w:tc>
          <w:tcPr>
            <w:tcW w:w="852" w:type="dxa"/>
            <w:tcBorders>
              <w:top w:val="nil"/>
              <w:left w:val="nil"/>
              <w:bottom w:val="single" w:sz="4" w:space="0" w:color="9BC2E6"/>
              <w:right w:val="single" w:sz="4" w:space="0" w:color="FFFFFF"/>
            </w:tcBorders>
            <w:shd w:val="clear" w:color="auto" w:fill="auto"/>
            <w:hideMark/>
          </w:tcPr>
          <w:p w14:paraId="468D4846"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4,23%</w:t>
            </w:r>
          </w:p>
        </w:tc>
        <w:tc>
          <w:tcPr>
            <w:tcW w:w="760" w:type="dxa"/>
            <w:tcBorders>
              <w:top w:val="nil"/>
              <w:left w:val="nil"/>
              <w:bottom w:val="single" w:sz="4" w:space="0" w:color="9BC2E6"/>
              <w:right w:val="single" w:sz="4" w:space="0" w:color="FFFFFF"/>
            </w:tcBorders>
            <w:shd w:val="clear" w:color="auto" w:fill="auto"/>
            <w:hideMark/>
          </w:tcPr>
          <w:p w14:paraId="351A8A49"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3,62%</w:t>
            </w:r>
          </w:p>
        </w:tc>
        <w:tc>
          <w:tcPr>
            <w:tcW w:w="946" w:type="dxa"/>
            <w:tcBorders>
              <w:top w:val="nil"/>
              <w:left w:val="nil"/>
              <w:bottom w:val="single" w:sz="4" w:space="0" w:color="9BC2E6"/>
              <w:right w:val="single" w:sz="4" w:space="0" w:color="FFFFFF"/>
            </w:tcBorders>
            <w:shd w:val="clear" w:color="auto" w:fill="auto"/>
            <w:hideMark/>
          </w:tcPr>
          <w:p w14:paraId="5637D8BA"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-0,61%</w:t>
            </w:r>
          </w:p>
        </w:tc>
      </w:tr>
      <w:tr w:rsidR="00864FB5" w:rsidRPr="00311C36" w14:paraId="3864F069"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19D0ADC2"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Rata profitului brut</w:t>
            </w:r>
          </w:p>
        </w:tc>
        <w:tc>
          <w:tcPr>
            <w:tcW w:w="1848" w:type="dxa"/>
            <w:tcBorders>
              <w:top w:val="nil"/>
              <w:left w:val="nil"/>
              <w:bottom w:val="single" w:sz="4" w:space="0" w:color="9BC2E6"/>
              <w:right w:val="single" w:sz="4" w:space="0" w:color="FFFFFF"/>
            </w:tcBorders>
            <w:shd w:val="clear" w:color="auto" w:fill="auto"/>
            <w:hideMark/>
          </w:tcPr>
          <w:p w14:paraId="75A6A445"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Profit brut/Venituri totale</w:t>
            </w:r>
          </w:p>
        </w:tc>
        <w:tc>
          <w:tcPr>
            <w:tcW w:w="630" w:type="dxa"/>
            <w:tcBorders>
              <w:top w:val="nil"/>
              <w:left w:val="nil"/>
              <w:bottom w:val="single" w:sz="4" w:space="0" w:color="9BC2E6"/>
              <w:right w:val="single" w:sz="4" w:space="0" w:color="FFFFFF"/>
            </w:tcBorders>
            <w:shd w:val="clear" w:color="5B9BD5" w:fill="FFFFFF"/>
            <w:hideMark/>
          </w:tcPr>
          <w:p w14:paraId="14F8DF22"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2A94DCC4"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16,03%</w:t>
            </w:r>
          </w:p>
        </w:tc>
        <w:tc>
          <w:tcPr>
            <w:tcW w:w="852" w:type="dxa"/>
            <w:tcBorders>
              <w:top w:val="nil"/>
              <w:left w:val="nil"/>
              <w:bottom w:val="single" w:sz="4" w:space="0" w:color="9BC2E6"/>
              <w:right w:val="single" w:sz="4" w:space="0" w:color="FFFFFF"/>
            </w:tcBorders>
            <w:shd w:val="clear" w:color="auto" w:fill="auto"/>
            <w:hideMark/>
          </w:tcPr>
          <w:p w14:paraId="2BE614A2"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12,28%</w:t>
            </w:r>
          </w:p>
        </w:tc>
        <w:tc>
          <w:tcPr>
            <w:tcW w:w="760" w:type="dxa"/>
            <w:tcBorders>
              <w:top w:val="nil"/>
              <w:left w:val="nil"/>
              <w:bottom w:val="single" w:sz="4" w:space="0" w:color="9BC2E6"/>
              <w:right w:val="single" w:sz="4" w:space="0" w:color="FFFFFF"/>
            </w:tcBorders>
            <w:shd w:val="clear" w:color="auto" w:fill="auto"/>
            <w:hideMark/>
          </w:tcPr>
          <w:p w14:paraId="34B264FE"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12,10%</w:t>
            </w:r>
          </w:p>
        </w:tc>
        <w:tc>
          <w:tcPr>
            <w:tcW w:w="946" w:type="dxa"/>
            <w:tcBorders>
              <w:top w:val="nil"/>
              <w:left w:val="nil"/>
              <w:bottom w:val="single" w:sz="4" w:space="0" w:color="9BC2E6"/>
              <w:right w:val="single" w:sz="4" w:space="0" w:color="FFFFFF"/>
            </w:tcBorders>
            <w:shd w:val="clear" w:color="auto" w:fill="auto"/>
            <w:hideMark/>
          </w:tcPr>
          <w:p w14:paraId="3AD92B75"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-0,18%</w:t>
            </w:r>
          </w:p>
        </w:tc>
      </w:tr>
      <w:tr w:rsidR="00864FB5" w:rsidRPr="00311C36" w14:paraId="3C47FE76"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1367BBDF"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Rata profitului brut în total vânzări 1</w:t>
            </w:r>
          </w:p>
        </w:tc>
        <w:tc>
          <w:tcPr>
            <w:tcW w:w="1848" w:type="dxa"/>
            <w:tcBorders>
              <w:top w:val="nil"/>
              <w:left w:val="nil"/>
              <w:bottom w:val="single" w:sz="4" w:space="0" w:color="9BC2E6"/>
              <w:right w:val="single" w:sz="4" w:space="0" w:color="FFFFFF"/>
            </w:tcBorders>
            <w:shd w:val="clear" w:color="auto" w:fill="auto"/>
            <w:hideMark/>
          </w:tcPr>
          <w:p w14:paraId="0D9F17AE"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Profitul brut / Cifra de afaceri</w:t>
            </w:r>
          </w:p>
        </w:tc>
        <w:tc>
          <w:tcPr>
            <w:tcW w:w="630" w:type="dxa"/>
            <w:tcBorders>
              <w:top w:val="nil"/>
              <w:left w:val="nil"/>
              <w:bottom w:val="single" w:sz="4" w:space="0" w:color="9BC2E6"/>
              <w:right w:val="single" w:sz="4" w:space="0" w:color="FFFFFF"/>
            </w:tcBorders>
            <w:shd w:val="clear" w:color="5B9BD5" w:fill="FFFFFF"/>
            <w:hideMark/>
          </w:tcPr>
          <w:p w14:paraId="2B5C347F"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0B56AE27"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18,46%</w:t>
            </w:r>
          </w:p>
        </w:tc>
        <w:tc>
          <w:tcPr>
            <w:tcW w:w="852" w:type="dxa"/>
            <w:tcBorders>
              <w:top w:val="nil"/>
              <w:left w:val="nil"/>
              <w:bottom w:val="single" w:sz="4" w:space="0" w:color="9BC2E6"/>
              <w:right w:val="single" w:sz="4" w:space="0" w:color="FFFFFF"/>
            </w:tcBorders>
            <w:shd w:val="clear" w:color="auto" w:fill="auto"/>
            <w:hideMark/>
          </w:tcPr>
          <w:p w14:paraId="1763C29F"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15,80%</w:t>
            </w:r>
          </w:p>
        </w:tc>
        <w:tc>
          <w:tcPr>
            <w:tcW w:w="760" w:type="dxa"/>
            <w:tcBorders>
              <w:top w:val="nil"/>
              <w:left w:val="nil"/>
              <w:bottom w:val="single" w:sz="4" w:space="0" w:color="9BC2E6"/>
              <w:right w:val="single" w:sz="4" w:space="0" w:color="FFFFFF"/>
            </w:tcBorders>
            <w:shd w:val="clear" w:color="auto" w:fill="auto"/>
            <w:hideMark/>
          </w:tcPr>
          <w:p w14:paraId="692E06EE"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16,97%</w:t>
            </w:r>
          </w:p>
        </w:tc>
        <w:tc>
          <w:tcPr>
            <w:tcW w:w="946" w:type="dxa"/>
            <w:tcBorders>
              <w:top w:val="nil"/>
              <w:left w:val="nil"/>
              <w:bottom w:val="single" w:sz="4" w:space="0" w:color="9BC2E6"/>
              <w:right w:val="single" w:sz="4" w:space="0" w:color="FFFFFF"/>
            </w:tcBorders>
            <w:shd w:val="clear" w:color="auto" w:fill="auto"/>
            <w:hideMark/>
          </w:tcPr>
          <w:p w14:paraId="25CCC901"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1,17%</w:t>
            </w:r>
          </w:p>
        </w:tc>
      </w:tr>
      <w:tr w:rsidR="00864FB5" w:rsidRPr="00311C36" w14:paraId="3366CF10"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30F9B934" w14:textId="77777777" w:rsidR="00864FB5" w:rsidRPr="008A5EBC" w:rsidRDefault="00864FB5" w:rsidP="00A06393">
            <w:pPr>
              <w:spacing w:before="0" w:after="0" w:line="240" w:lineRule="auto"/>
              <w:rPr>
                <w:rFonts w:ascii="Calibri Light" w:eastAsia="Times New Roman" w:hAnsi="Calibri Light" w:cs="Times New Roman"/>
                <w:bCs/>
                <w:sz w:val="14"/>
                <w:szCs w:val="14"/>
                <w:lang w:eastAsia="ro-RO"/>
              </w:rPr>
            </w:pPr>
            <w:r w:rsidRPr="008A5EBC">
              <w:rPr>
                <w:rFonts w:ascii="Calibri Light" w:eastAsia="Times New Roman" w:hAnsi="Calibri Light" w:cs="Times New Roman"/>
                <w:bCs/>
                <w:sz w:val="14"/>
                <w:szCs w:val="14"/>
                <w:lang w:eastAsia="ro-RO"/>
              </w:rPr>
              <w:t>Rata rezultatului brut în total vânzări 2</w:t>
            </w:r>
          </w:p>
        </w:tc>
        <w:tc>
          <w:tcPr>
            <w:tcW w:w="1848" w:type="dxa"/>
            <w:tcBorders>
              <w:top w:val="nil"/>
              <w:left w:val="nil"/>
              <w:bottom w:val="single" w:sz="4" w:space="0" w:color="9BC2E6"/>
              <w:right w:val="single" w:sz="4" w:space="0" w:color="FFFFFF"/>
            </w:tcBorders>
            <w:shd w:val="clear" w:color="auto" w:fill="auto"/>
            <w:hideMark/>
          </w:tcPr>
          <w:p w14:paraId="7742CC8A" w14:textId="77777777" w:rsidR="00864FB5" w:rsidRPr="008A5EBC" w:rsidRDefault="00864FB5" w:rsidP="00A06393">
            <w:pPr>
              <w:spacing w:before="0" w:after="0" w:line="240" w:lineRule="auto"/>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Rezultat brut / Cifra de afaceri</w:t>
            </w:r>
          </w:p>
        </w:tc>
        <w:tc>
          <w:tcPr>
            <w:tcW w:w="630" w:type="dxa"/>
            <w:tcBorders>
              <w:top w:val="nil"/>
              <w:left w:val="nil"/>
              <w:bottom w:val="single" w:sz="4" w:space="0" w:color="9BC2E6"/>
              <w:right w:val="single" w:sz="4" w:space="0" w:color="FFFFFF"/>
            </w:tcBorders>
            <w:shd w:val="clear" w:color="5B9BD5" w:fill="FFFFFF"/>
            <w:hideMark/>
          </w:tcPr>
          <w:p w14:paraId="58ADC35E"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1D2CC318"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12,60%</w:t>
            </w:r>
          </w:p>
        </w:tc>
        <w:tc>
          <w:tcPr>
            <w:tcW w:w="852" w:type="dxa"/>
            <w:tcBorders>
              <w:top w:val="nil"/>
              <w:left w:val="nil"/>
              <w:bottom w:val="single" w:sz="4" w:space="0" w:color="9BC2E6"/>
              <w:right w:val="single" w:sz="4" w:space="0" w:color="FFFFFF"/>
            </w:tcBorders>
            <w:shd w:val="clear" w:color="auto" w:fill="auto"/>
            <w:hideMark/>
          </w:tcPr>
          <w:p w14:paraId="5945304E"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10,85%</w:t>
            </w:r>
          </w:p>
        </w:tc>
        <w:tc>
          <w:tcPr>
            <w:tcW w:w="760" w:type="dxa"/>
            <w:tcBorders>
              <w:top w:val="nil"/>
              <w:left w:val="nil"/>
              <w:bottom w:val="single" w:sz="4" w:space="0" w:color="9BC2E6"/>
              <w:right w:val="single" w:sz="4" w:space="0" w:color="FFFFFF"/>
            </w:tcBorders>
            <w:shd w:val="clear" w:color="auto" w:fill="auto"/>
            <w:hideMark/>
          </w:tcPr>
          <w:p w14:paraId="4E5B1034"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7,25%</w:t>
            </w:r>
          </w:p>
        </w:tc>
        <w:tc>
          <w:tcPr>
            <w:tcW w:w="946" w:type="dxa"/>
            <w:tcBorders>
              <w:top w:val="nil"/>
              <w:left w:val="nil"/>
              <w:bottom w:val="single" w:sz="4" w:space="0" w:color="9BC2E6"/>
              <w:right w:val="single" w:sz="4" w:space="0" w:color="FFFFFF"/>
            </w:tcBorders>
            <w:shd w:val="clear" w:color="auto" w:fill="auto"/>
            <w:hideMark/>
          </w:tcPr>
          <w:p w14:paraId="16897C00" w14:textId="77777777" w:rsidR="00864FB5" w:rsidRPr="008A5EBC" w:rsidRDefault="00864FB5" w:rsidP="00A06393">
            <w:pPr>
              <w:spacing w:before="0" w:after="0" w:line="240" w:lineRule="auto"/>
              <w:jc w:val="right"/>
              <w:rPr>
                <w:rFonts w:ascii="Calibri Light" w:eastAsia="Times New Roman" w:hAnsi="Calibri Light" w:cs="Times New Roman"/>
                <w:sz w:val="14"/>
                <w:szCs w:val="14"/>
                <w:lang w:eastAsia="ro-RO"/>
              </w:rPr>
            </w:pPr>
            <w:r w:rsidRPr="008A5EBC">
              <w:rPr>
                <w:rFonts w:ascii="Calibri Light" w:eastAsia="Times New Roman" w:hAnsi="Calibri Light" w:cs="Times New Roman"/>
                <w:sz w:val="14"/>
                <w:szCs w:val="14"/>
                <w:lang w:eastAsia="ro-RO"/>
              </w:rPr>
              <w:t>-3,59%</w:t>
            </w:r>
          </w:p>
        </w:tc>
      </w:tr>
      <w:tr w:rsidR="00864FB5" w:rsidRPr="00311C36" w14:paraId="6419FEEB" w14:textId="77777777" w:rsidTr="00864FB5">
        <w:trPr>
          <w:trHeight w:val="419"/>
        </w:trPr>
        <w:tc>
          <w:tcPr>
            <w:tcW w:w="9260" w:type="dxa"/>
            <w:gridSpan w:val="7"/>
            <w:tcBorders>
              <w:top w:val="single" w:sz="4" w:space="0" w:color="9BC2E6"/>
              <w:left w:val="single" w:sz="4" w:space="0" w:color="FFFFFF"/>
              <w:bottom w:val="single" w:sz="4" w:space="0" w:color="9BC2E6"/>
              <w:right w:val="single" w:sz="4" w:space="0" w:color="FFFFFF"/>
            </w:tcBorders>
            <w:shd w:val="clear" w:color="000000" w:fill="DDEBF7"/>
            <w:hideMark/>
          </w:tcPr>
          <w:p w14:paraId="0A226219" w14:textId="77777777" w:rsidR="00864FB5" w:rsidRPr="00457BAA" w:rsidRDefault="00864FB5" w:rsidP="00A06393">
            <w:pPr>
              <w:spacing w:before="0" w:after="0" w:line="240" w:lineRule="auto"/>
              <w:rPr>
                <w:rFonts w:ascii="Calibri Light" w:eastAsia="Times New Roman" w:hAnsi="Calibri Light" w:cs="Times New Roman"/>
                <w:bCs/>
                <w:color w:val="5B9BD5"/>
                <w:sz w:val="16"/>
                <w:szCs w:val="16"/>
                <w:lang w:eastAsia="ro-RO"/>
              </w:rPr>
            </w:pPr>
            <w:r w:rsidRPr="00457BAA">
              <w:rPr>
                <w:rFonts w:ascii="Calibri Light" w:eastAsia="Times New Roman" w:hAnsi="Calibri Light" w:cs="Times New Roman"/>
                <w:bCs/>
                <w:color w:val="0F6FC6" w:themeColor="accent1"/>
                <w:sz w:val="16"/>
                <w:szCs w:val="16"/>
                <w:lang w:eastAsia="ro-RO"/>
              </w:rPr>
              <w:t>Lichiditate</w:t>
            </w:r>
          </w:p>
        </w:tc>
      </w:tr>
      <w:tr w:rsidR="00864FB5" w:rsidRPr="00311C36" w14:paraId="46F2A1E4"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54557328" w14:textId="77777777" w:rsidR="00864FB5" w:rsidRPr="000C0F3E" w:rsidRDefault="00864FB5" w:rsidP="00A06393">
            <w:pPr>
              <w:spacing w:before="0" w:after="0" w:line="240" w:lineRule="auto"/>
              <w:rPr>
                <w:rFonts w:ascii="Calibri Light" w:eastAsia="Times New Roman" w:hAnsi="Calibri Light" w:cs="Times New Roman"/>
                <w:bCs/>
                <w:sz w:val="14"/>
                <w:szCs w:val="14"/>
                <w:lang w:eastAsia="ro-RO"/>
              </w:rPr>
            </w:pPr>
            <w:r w:rsidRPr="000C0F3E">
              <w:rPr>
                <w:rFonts w:ascii="Calibri Light" w:eastAsia="Times New Roman" w:hAnsi="Calibri Light" w:cs="Times New Roman"/>
                <w:bCs/>
                <w:sz w:val="14"/>
                <w:szCs w:val="14"/>
                <w:lang w:eastAsia="ro-RO"/>
              </w:rPr>
              <w:t>Lichiditatea curentă</w:t>
            </w:r>
          </w:p>
        </w:tc>
        <w:tc>
          <w:tcPr>
            <w:tcW w:w="1848" w:type="dxa"/>
            <w:tcBorders>
              <w:top w:val="nil"/>
              <w:left w:val="nil"/>
              <w:bottom w:val="single" w:sz="4" w:space="0" w:color="9BC2E6"/>
              <w:right w:val="single" w:sz="4" w:space="0" w:color="FFFFFF"/>
            </w:tcBorders>
            <w:shd w:val="clear" w:color="auto" w:fill="auto"/>
            <w:hideMark/>
          </w:tcPr>
          <w:p w14:paraId="6D2FB40C" w14:textId="77777777" w:rsidR="00864FB5" w:rsidRPr="00311C36" w:rsidRDefault="00864FB5" w:rsidP="00A06393">
            <w:pPr>
              <w:spacing w:before="0" w:after="0" w:line="240" w:lineRule="auto"/>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Active circulante/Datorii pe termen scurt</w:t>
            </w:r>
          </w:p>
        </w:tc>
        <w:tc>
          <w:tcPr>
            <w:tcW w:w="630" w:type="dxa"/>
            <w:tcBorders>
              <w:top w:val="nil"/>
              <w:left w:val="nil"/>
              <w:bottom w:val="single" w:sz="4" w:space="0" w:color="9BC2E6"/>
              <w:right w:val="single" w:sz="4" w:space="0" w:color="FFFFFF"/>
            </w:tcBorders>
            <w:shd w:val="clear" w:color="5B9BD5" w:fill="FFFFFF"/>
            <w:hideMark/>
          </w:tcPr>
          <w:p w14:paraId="5A1B2D7D"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5FACFB6F"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204,79%</w:t>
            </w:r>
          </w:p>
        </w:tc>
        <w:tc>
          <w:tcPr>
            <w:tcW w:w="852" w:type="dxa"/>
            <w:tcBorders>
              <w:top w:val="nil"/>
              <w:left w:val="nil"/>
              <w:bottom w:val="single" w:sz="4" w:space="0" w:color="9BC2E6"/>
              <w:right w:val="single" w:sz="4" w:space="0" w:color="FFFFFF"/>
            </w:tcBorders>
            <w:shd w:val="clear" w:color="auto" w:fill="auto"/>
            <w:hideMark/>
          </w:tcPr>
          <w:p w14:paraId="0A36C82A"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276,89%</w:t>
            </w:r>
          </w:p>
        </w:tc>
        <w:tc>
          <w:tcPr>
            <w:tcW w:w="760" w:type="dxa"/>
            <w:tcBorders>
              <w:top w:val="nil"/>
              <w:left w:val="nil"/>
              <w:bottom w:val="single" w:sz="4" w:space="0" w:color="9BC2E6"/>
              <w:right w:val="single" w:sz="4" w:space="0" w:color="FFFFFF"/>
            </w:tcBorders>
            <w:shd w:val="clear" w:color="auto" w:fill="auto"/>
            <w:hideMark/>
          </w:tcPr>
          <w:p w14:paraId="72A9A9E1"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236,19%</w:t>
            </w:r>
          </w:p>
        </w:tc>
        <w:tc>
          <w:tcPr>
            <w:tcW w:w="946" w:type="dxa"/>
            <w:tcBorders>
              <w:top w:val="nil"/>
              <w:left w:val="nil"/>
              <w:bottom w:val="single" w:sz="4" w:space="0" w:color="9BC2E6"/>
              <w:right w:val="single" w:sz="4" w:space="0" w:color="FFFFFF"/>
            </w:tcBorders>
            <w:shd w:val="clear" w:color="auto" w:fill="auto"/>
            <w:hideMark/>
          </w:tcPr>
          <w:p w14:paraId="71E70689"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-40,70%</w:t>
            </w:r>
          </w:p>
        </w:tc>
      </w:tr>
      <w:tr w:rsidR="00864FB5" w:rsidRPr="00311C36" w14:paraId="148690B4"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653985DC" w14:textId="77777777" w:rsidR="00864FB5" w:rsidRPr="000C0F3E" w:rsidRDefault="00864FB5" w:rsidP="00A06393">
            <w:pPr>
              <w:spacing w:before="0" w:after="0" w:line="240" w:lineRule="auto"/>
              <w:rPr>
                <w:rFonts w:ascii="Calibri Light" w:eastAsia="Times New Roman" w:hAnsi="Calibri Light" w:cs="Times New Roman"/>
                <w:bCs/>
                <w:sz w:val="14"/>
                <w:szCs w:val="14"/>
                <w:lang w:eastAsia="ro-RO"/>
              </w:rPr>
            </w:pPr>
            <w:r w:rsidRPr="000C0F3E">
              <w:rPr>
                <w:rFonts w:ascii="Calibri Light" w:eastAsia="Times New Roman" w:hAnsi="Calibri Light" w:cs="Times New Roman"/>
                <w:bCs/>
                <w:sz w:val="14"/>
                <w:szCs w:val="14"/>
                <w:lang w:eastAsia="ro-RO"/>
              </w:rPr>
              <w:t>Lichiditatea imediată</w:t>
            </w:r>
          </w:p>
        </w:tc>
        <w:tc>
          <w:tcPr>
            <w:tcW w:w="1848" w:type="dxa"/>
            <w:tcBorders>
              <w:top w:val="nil"/>
              <w:left w:val="nil"/>
              <w:bottom w:val="single" w:sz="4" w:space="0" w:color="9BC2E6"/>
              <w:right w:val="single" w:sz="4" w:space="0" w:color="FFFFFF"/>
            </w:tcBorders>
            <w:shd w:val="clear" w:color="auto" w:fill="auto"/>
            <w:hideMark/>
          </w:tcPr>
          <w:p w14:paraId="6AD1478C" w14:textId="77777777" w:rsidR="00864FB5" w:rsidRPr="00311C36" w:rsidRDefault="00864FB5" w:rsidP="00A06393">
            <w:pPr>
              <w:spacing w:before="0" w:after="0" w:line="240" w:lineRule="auto"/>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(Active circulante-Stocuri)/Datorii curente</w:t>
            </w:r>
          </w:p>
        </w:tc>
        <w:tc>
          <w:tcPr>
            <w:tcW w:w="630" w:type="dxa"/>
            <w:tcBorders>
              <w:top w:val="nil"/>
              <w:left w:val="nil"/>
              <w:bottom w:val="single" w:sz="4" w:space="0" w:color="9BC2E6"/>
              <w:right w:val="single" w:sz="4" w:space="0" w:color="FFFFFF"/>
            </w:tcBorders>
            <w:shd w:val="clear" w:color="5B9BD5" w:fill="FFFFFF"/>
            <w:hideMark/>
          </w:tcPr>
          <w:p w14:paraId="79B2C502"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5A3CE75E"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180,26%</w:t>
            </w:r>
          </w:p>
        </w:tc>
        <w:tc>
          <w:tcPr>
            <w:tcW w:w="852" w:type="dxa"/>
            <w:tcBorders>
              <w:top w:val="nil"/>
              <w:left w:val="nil"/>
              <w:bottom w:val="single" w:sz="4" w:space="0" w:color="9BC2E6"/>
              <w:right w:val="single" w:sz="4" w:space="0" w:color="FFFFFF"/>
            </w:tcBorders>
            <w:shd w:val="clear" w:color="auto" w:fill="auto"/>
            <w:hideMark/>
          </w:tcPr>
          <w:p w14:paraId="6D84F4E9"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170,52%</w:t>
            </w:r>
          </w:p>
        </w:tc>
        <w:tc>
          <w:tcPr>
            <w:tcW w:w="760" w:type="dxa"/>
            <w:tcBorders>
              <w:top w:val="nil"/>
              <w:left w:val="nil"/>
              <w:bottom w:val="single" w:sz="4" w:space="0" w:color="9BC2E6"/>
              <w:right w:val="single" w:sz="4" w:space="0" w:color="FFFFFF"/>
            </w:tcBorders>
            <w:shd w:val="clear" w:color="auto" w:fill="auto"/>
            <w:hideMark/>
          </w:tcPr>
          <w:p w14:paraId="20B480D6"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152,05%</w:t>
            </w:r>
          </w:p>
        </w:tc>
        <w:tc>
          <w:tcPr>
            <w:tcW w:w="946" w:type="dxa"/>
            <w:tcBorders>
              <w:top w:val="nil"/>
              <w:left w:val="nil"/>
              <w:bottom w:val="single" w:sz="4" w:space="0" w:color="9BC2E6"/>
              <w:right w:val="single" w:sz="4" w:space="0" w:color="FFFFFF"/>
            </w:tcBorders>
            <w:shd w:val="clear" w:color="auto" w:fill="auto"/>
            <w:hideMark/>
          </w:tcPr>
          <w:p w14:paraId="47BF64B0"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-18,47%</w:t>
            </w:r>
          </w:p>
        </w:tc>
      </w:tr>
      <w:tr w:rsidR="00864FB5" w:rsidRPr="00311C36" w14:paraId="4158EADB" w14:textId="77777777" w:rsidTr="00864FB5">
        <w:trPr>
          <w:trHeight w:val="419"/>
        </w:trPr>
        <w:tc>
          <w:tcPr>
            <w:tcW w:w="9260" w:type="dxa"/>
            <w:gridSpan w:val="7"/>
            <w:tcBorders>
              <w:top w:val="single" w:sz="4" w:space="0" w:color="9BC2E6"/>
              <w:left w:val="single" w:sz="4" w:space="0" w:color="FFFFFF"/>
              <w:bottom w:val="single" w:sz="4" w:space="0" w:color="9BC2E6"/>
              <w:right w:val="single" w:sz="4" w:space="0" w:color="FFFFFF"/>
            </w:tcBorders>
            <w:shd w:val="clear" w:color="000000" w:fill="DDEBF7"/>
            <w:hideMark/>
          </w:tcPr>
          <w:p w14:paraId="0969F7ED" w14:textId="77777777" w:rsidR="00864FB5" w:rsidRPr="00457BAA" w:rsidRDefault="00864FB5" w:rsidP="00A06393">
            <w:pPr>
              <w:spacing w:before="0" w:after="0" w:line="240" w:lineRule="auto"/>
              <w:rPr>
                <w:rFonts w:ascii="Calibri Light" w:eastAsia="Times New Roman" w:hAnsi="Calibri Light" w:cs="Times New Roman"/>
                <w:bCs/>
                <w:color w:val="5B9BD5"/>
                <w:sz w:val="16"/>
                <w:szCs w:val="16"/>
                <w:lang w:eastAsia="ro-RO"/>
              </w:rPr>
            </w:pPr>
            <w:r w:rsidRPr="00457BAA">
              <w:rPr>
                <w:rFonts w:ascii="Calibri Light" w:eastAsia="Times New Roman" w:hAnsi="Calibri Light" w:cs="Times New Roman"/>
                <w:bCs/>
                <w:color w:val="0F6FC6" w:themeColor="accent1"/>
                <w:sz w:val="16"/>
                <w:szCs w:val="16"/>
                <w:lang w:eastAsia="ro-RO"/>
              </w:rPr>
              <w:t>Risc</w:t>
            </w:r>
          </w:p>
        </w:tc>
      </w:tr>
      <w:tr w:rsidR="00864FB5" w:rsidRPr="00311C36" w14:paraId="56A84FBD" w14:textId="77777777" w:rsidTr="00864FB5">
        <w:trPr>
          <w:trHeight w:val="419"/>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0B36B066" w14:textId="77777777" w:rsidR="00864FB5" w:rsidRPr="000C0F3E" w:rsidRDefault="00864FB5" w:rsidP="00A06393">
            <w:pPr>
              <w:spacing w:before="0" w:after="0" w:line="240" w:lineRule="auto"/>
              <w:rPr>
                <w:rFonts w:ascii="Calibri Light" w:eastAsia="Times New Roman" w:hAnsi="Calibri Light" w:cs="Times New Roman"/>
                <w:bCs/>
                <w:sz w:val="14"/>
                <w:szCs w:val="14"/>
                <w:lang w:eastAsia="ro-RO"/>
              </w:rPr>
            </w:pPr>
            <w:r w:rsidRPr="000C0F3E">
              <w:rPr>
                <w:rFonts w:ascii="Calibri Light" w:eastAsia="Times New Roman" w:hAnsi="Calibri Light" w:cs="Times New Roman"/>
                <w:bCs/>
                <w:sz w:val="14"/>
                <w:szCs w:val="14"/>
                <w:lang w:eastAsia="ro-RO"/>
              </w:rPr>
              <w:t xml:space="preserve">Rata de acoperire a dobânzii </w:t>
            </w:r>
          </w:p>
        </w:tc>
        <w:tc>
          <w:tcPr>
            <w:tcW w:w="1848" w:type="dxa"/>
            <w:tcBorders>
              <w:top w:val="nil"/>
              <w:left w:val="nil"/>
              <w:bottom w:val="single" w:sz="4" w:space="0" w:color="9BC2E6"/>
              <w:right w:val="single" w:sz="4" w:space="0" w:color="FFFFFF"/>
            </w:tcBorders>
            <w:shd w:val="clear" w:color="auto" w:fill="auto"/>
            <w:hideMark/>
          </w:tcPr>
          <w:p w14:paraId="4C19EE8E" w14:textId="77777777" w:rsidR="00864FB5" w:rsidRPr="00311C36" w:rsidRDefault="00864FB5" w:rsidP="00A06393">
            <w:pPr>
              <w:spacing w:before="0" w:after="0" w:line="240" w:lineRule="auto"/>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EBIT/Cheltuiala cu dobânda</w:t>
            </w:r>
          </w:p>
        </w:tc>
        <w:tc>
          <w:tcPr>
            <w:tcW w:w="630" w:type="dxa"/>
            <w:tcBorders>
              <w:top w:val="nil"/>
              <w:left w:val="nil"/>
              <w:bottom w:val="single" w:sz="4" w:space="0" w:color="9BC2E6"/>
              <w:right w:val="single" w:sz="4" w:space="0" w:color="FFFFFF"/>
            </w:tcBorders>
            <w:shd w:val="clear" w:color="5B9BD5" w:fill="FFFFFF"/>
            <w:hideMark/>
          </w:tcPr>
          <w:p w14:paraId="19E18B97"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7CB4D6B3"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4147,27%</w:t>
            </w:r>
          </w:p>
        </w:tc>
        <w:tc>
          <w:tcPr>
            <w:tcW w:w="852" w:type="dxa"/>
            <w:tcBorders>
              <w:top w:val="nil"/>
              <w:left w:val="nil"/>
              <w:bottom w:val="single" w:sz="4" w:space="0" w:color="9BC2E6"/>
              <w:right w:val="single" w:sz="4" w:space="0" w:color="FFFFFF"/>
            </w:tcBorders>
            <w:shd w:val="clear" w:color="auto" w:fill="auto"/>
            <w:hideMark/>
          </w:tcPr>
          <w:p w14:paraId="409D8FBB"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2966,94%</w:t>
            </w:r>
          </w:p>
        </w:tc>
        <w:tc>
          <w:tcPr>
            <w:tcW w:w="760" w:type="dxa"/>
            <w:tcBorders>
              <w:top w:val="nil"/>
              <w:left w:val="nil"/>
              <w:bottom w:val="single" w:sz="4" w:space="0" w:color="9BC2E6"/>
              <w:right w:val="single" w:sz="4" w:space="0" w:color="FFFFFF"/>
            </w:tcBorders>
            <w:shd w:val="clear" w:color="auto" w:fill="auto"/>
            <w:hideMark/>
          </w:tcPr>
          <w:p w14:paraId="779FD8C4"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189,34%</w:t>
            </w:r>
          </w:p>
        </w:tc>
        <w:tc>
          <w:tcPr>
            <w:tcW w:w="946" w:type="dxa"/>
            <w:tcBorders>
              <w:top w:val="nil"/>
              <w:left w:val="nil"/>
              <w:bottom w:val="single" w:sz="4" w:space="0" w:color="9BC2E6"/>
              <w:right w:val="single" w:sz="4" w:space="0" w:color="FFFFFF"/>
            </w:tcBorders>
            <w:shd w:val="clear" w:color="auto" w:fill="auto"/>
            <w:hideMark/>
          </w:tcPr>
          <w:p w14:paraId="4A4BBD41"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-2777,60%</w:t>
            </w:r>
          </w:p>
        </w:tc>
      </w:tr>
      <w:tr w:rsidR="00864FB5" w:rsidRPr="00311C36" w14:paraId="460AC46E" w14:textId="77777777" w:rsidTr="00864FB5">
        <w:trPr>
          <w:trHeight w:val="350"/>
        </w:trPr>
        <w:tc>
          <w:tcPr>
            <w:tcW w:w="3372" w:type="dxa"/>
            <w:tcBorders>
              <w:top w:val="single" w:sz="4" w:space="0" w:color="9BC2E6"/>
              <w:left w:val="single" w:sz="4" w:space="0" w:color="FFFFFF"/>
              <w:bottom w:val="single" w:sz="4" w:space="0" w:color="9BC2E6"/>
              <w:right w:val="single" w:sz="4" w:space="0" w:color="FFFFFF"/>
            </w:tcBorders>
            <w:shd w:val="clear" w:color="000000" w:fill="FFFFFF"/>
            <w:hideMark/>
          </w:tcPr>
          <w:p w14:paraId="1207D96F" w14:textId="77777777" w:rsidR="00864FB5" w:rsidRPr="000C0F3E" w:rsidRDefault="00864FB5" w:rsidP="00A06393">
            <w:pPr>
              <w:spacing w:before="0" w:after="0" w:line="240" w:lineRule="auto"/>
              <w:rPr>
                <w:rFonts w:ascii="Calibri Light" w:eastAsia="Times New Roman" w:hAnsi="Calibri Light" w:cs="Times New Roman"/>
                <w:bCs/>
                <w:sz w:val="14"/>
                <w:szCs w:val="14"/>
                <w:lang w:eastAsia="ro-RO"/>
              </w:rPr>
            </w:pPr>
            <w:r w:rsidRPr="000C0F3E">
              <w:rPr>
                <w:rFonts w:ascii="Calibri Light" w:eastAsia="Times New Roman" w:hAnsi="Calibri Light" w:cs="Times New Roman"/>
                <w:bCs/>
                <w:sz w:val="14"/>
                <w:szCs w:val="14"/>
                <w:lang w:eastAsia="ro-RO"/>
              </w:rPr>
              <w:t>Gradul de îndatorare</w:t>
            </w:r>
          </w:p>
        </w:tc>
        <w:tc>
          <w:tcPr>
            <w:tcW w:w="1848" w:type="dxa"/>
            <w:tcBorders>
              <w:top w:val="nil"/>
              <w:left w:val="nil"/>
              <w:bottom w:val="single" w:sz="4" w:space="0" w:color="9BC2E6"/>
              <w:right w:val="single" w:sz="4" w:space="0" w:color="FFFFFF"/>
            </w:tcBorders>
            <w:shd w:val="clear" w:color="auto" w:fill="auto"/>
            <w:hideMark/>
          </w:tcPr>
          <w:p w14:paraId="522D2DA5" w14:textId="77777777" w:rsidR="00864FB5" w:rsidRPr="00311C36" w:rsidRDefault="00864FB5" w:rsidP="00A06393">
            <w:pPr>
              <w:spacing w:before="0" w:after="0" w:line="240" w:lineRule="auto"/>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Datorii totale / Active totale</w:t>
            </w:r>
          </w:p>
        </w:tc>
        <w:tc>
          <w:tcPr>
            <w:tcW w:w="630" w:type="dxa"/>
            <w:tcBorders>
              <w:top w:val="nil"/>
              <w:left w:val="nil"/>
              <w:bottom w:val="single" w:sz="4" w:space="0" w:color="9BC2E6"/>
              <w:right w:val="single" w:sz="4" w:space="0" w:color="FFFFFF"/>
            </w:tcBorders>
            <w:shd w:val="clear" w:color="5B9BD5" w:fill="FFFFFF"/>
            <w:hideMark/>
          </w:tcPr>
          <w:p w14:paraId="2A3D073B"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024B38AE"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17,72%</w:t>
            </w:r>
          </w:p>
        </w:tc>
        <w:tc>
          <w:tcPr>
            <w:tcW w:w="852" w:type="dxa"/>
            <w:tcBorders>
              <w:top w:val="nil"/>
              <w:left w:val="nil"/>
              <w:bottom w:val="single" w:sz="4" w:space="0" w:color="9BC2E6"/>
              <w:right w:val="single" w:sz="4" w:space="0" w:color="FFFFFF"/>
            </w:tcBorders>
            <w:shd w:val="clear" w:color="auto" w:fill="auto"/>
            <w:hideMark/>
          </w:tcPr>
          <w:p w14:paraId="1ACA2150"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42,71%</w:t>
            </w:r>
          </w:p>
        </w:tc>
        <w:tc>
          <w:tcPr>
            <w:tcW w:w="760" w:type="dxa"/>
            <w:tcBorders>
              <w:top w:val="nil"/>
              <w:left w:val="nil"/>
              <w:bottom w:val="single" w:sz="4" w:space="0" w:color="9BC2E6"/>
              <w:right w:val="single" w:sz="4" w:space="0" w:color="FFFFFF"/>
            </w:tcBorders>
            <w:shd w:val="clear" w:color="auto" w:fill="auto"/>
            <w:hideMark/>
          </w:tcPr>
          <w:p w14:paraId="576CB316"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43,76%</w:t>
            </w:r>
          </w:p>
        </w:tc>
        <w:tc>
          <w:tcPr>
            <w:tcW w:w="946" w:type="dxa"/>
            <w:tcBorders>
              <w:top w:val="nil"/>
              <w:left w:val="nil"/>
              <w:bottom w:val="single" w:sz="4" w:space="0" w:color="9BC2E6"/>
              <w:right w:val="single" w:sz="4" w:space="0" w:color="FFFFFF"/>
            </w:tcBorders>
            <w:shd w:val="clear" w:color="auto" w:fill="auto"/>
            <w:hideMark/>
          </w:tcPr>
          <w:p w14:paraId="001F263E"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1,05%</w:t>
            </w:r>
          </w:p>
        </w:tc>
      </w:tr>
      <w:tr w:rsidR="00864FB5" w:rsidRPr="00311C36" w14:paraId="7F23004D" w14:textId="77777777" w:rsidTr="00864FB5">
        <w:trPr>
          <w:trHeight w:val="419"/>
        </w:trPr>
        <w:tc>
          <w:tcPr>
            <w:tcW w:w="9260" w:type="dxa"/>
            <w:gridSpan w:val="7"/>
            <w:tcBorders>
              <w:top w:val="single" w:sz="4" w:space="0" w:color="9BC2E6"/>
              <w:left w:val="single" w:sz="4" w:space="0" w:color="FFFFFF"/>
              <w:bottom w:val="single" w:sz="4" w:space="0" w:color="9BC2E6"/>
              <w:right w:val="single" w:sz="4" w:space="0" w:color="FFFFFF"/>
            </w:tcBorders>
            <w:shd w:val="clear" w:color="000000" w:fill="DDEBF7"/>
            <w:hideMark/>
          </w:tcPr>
          <w:p w14:paraId="261E9ABD" w14:textId="77777777" w:rsidR="00864FB5" w:rsidRPr="00457BAA" w:rsidRDefault="00864FB5" w:rsidP="00A06393">
            <w:pPr>
              <w:spacing w:before="0" w:after="0" w:line="240" w:lineRule="auto"/>
              <w:rPr>
                <w:rFonts w:ascii="Calibri Light" w:eastAsia="Times New Roman" w:hAnsi="Calibri Light" w:cs="Times New Roman"/>
                <w:bCs/>
                <w:color w:val="5B9BD5"/>
                <w:sz w:val="16"/>
                <w:szCs w:val="16"/>
                <w:lang w:eastAsia="ro-RO"/>
              </w:rPr>
            </w:pPr>
            <w:r w:rsidRPr="00457BAA">
              <w:rPr>
                <w:rFonts w:ascii="Calibri Light" w:eastAsia="Times New Roman" w:hAnsi="Calibri Light" w:cs="Times New Roman"/>
                <w:bCs/>
                <w:color w:val="0F6FC6" w:themeColor="accent1"/>
                <w:sz w:val="16"/>
                <w:szCs w:val="16"/>
                <w:lang w:eastAsia="ro-RO"/>
              </w:rPr>
              <w:t>Activitate (gestiune)</w:t>
            </w:r>
          </w:p>
        </w:tc>
      </w:tr>
      <w:tr w:rsidR="00864FB5" w:rsidRPr="00311C36" w14:paraId="089A3577" w14:textId="77777777" w:rsidTr="00864FB5">
        <w:trPr>
          <w:trHeight w:val="350"/>
        </w:trPr>
        <w:tc>
          <w:tcPr>
            <w:tcW w:w="3372" w:type="dxa"/>
            <w:tcBorders>
              <w:top w:val="single" w:sz="4" w:space="0" w:color="9BC2E6"/>
              <w:left w:val="single" w:sz="4" w:space="0" w:color="FFFFFF"/>
              <w:bottom w:val="single" w:sz="4" w:space="0" w:color="9BC2E6"/>
              <w:right w:val="single" w:sz="4" w:space="0" w:color="FFFFFF"/>
            </w:tcBorders>
            <w:shd w:val="clear" w:color="auto" w:fill="auto"/>
            <w:hideMark/>
          </w:tcPr>
          <w:p w14:paraId="7CCF7A49" w14:textId="77777777" w:rsidR="00864FB5" w:rsidRPr="000C0F3E" w:rsidRDefault="00864FB5" w:rsidP="00A06393">
            <w:pPr>
              <w:spacing w:before="0" w:after="0" w:line="240" w:lineRule="auto"/>
              <w:rPr>
                <w:rFonts w:ascii="Calibri Light" w:eastAsia="Times New Roman" w:hAnsi="Calibri Light" w:cs="Times New Roman"/>
                <w:bCs/>
                <w:sz w:val="14"/>
                <w:szCs w:val="14"/>
                <w:lang w:eastAsia="ro-RO"/>
              </w:rPr>
            </w:pPr>
            <w:r w:rsidRPr="000C0F3E">
              <w:rPr>
                <w:rFonts w:ascii="Calibri Light" w:eastAsia="Times New Roman" w:hAnsi="Calibri Light" w:cs="Times New Roman"/>
                <w:bCs/>
                <w:sz w:val="14"/>
                <w:szCs w:val="14"/>
                <w:lang w:eastAsia="ro-RO"/>
              </w:rPr>
              <w:t>Viteza rotație imobilizărilor</w:t>
            </w:r>
          </w:p>
        </w:tc>
        <w:tc>
          <w:tcPr>
            <w:tcW w:w="1848" w:type="dxa"/>
            <w:tcBorders>
              <w:top w:val="nil"/>
              <w:left w:val="nil"/>
              <w:bottom w:val="single" w:sz="4" w:space="0" w:color="9BC2E6"/>
              <w:right w:val="single" w:sz="4" w:space="0" w:color="FFFFFF"/>
            </w:tcBorders>
            <w:shd w:val="clear" w:color="auto" w:fill="auto"/>
            <w:hideMark/>
          </w:tcPr>
          <w:p w14:paraId="3E934D83" w14:textId="77777777" w:rsidR="00864FB5" w:rsidRPr="00311C36" w:rsidRDefault="00864FB5" w:rsidP="00A06393">
            <w:pPr>
              <w:spacing w:before="0" w:after="0" w:line="240" w:lineRule="auto"/>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Cifra de afaceri / Active imobilizate</w:t>
            </w:r>
          </w:p>
        </w:tc>
        <w:tc>
          <w:tcPr>
            <w:tcW w:w="630" w:type="dxa"/>
            <w:tcBorders>
              <w:top w:val="nil"/>
              <w:left w:val="nil"/>
              <w:bottom w:val="single" w:sz="4" w:space="0" w:color="9BC2E6"/>
              <w:right w:val="single" w:sz="4" w:space="0" w:color="FFFFFF"/>
            </w:tcBorders>
            <w:shd w:val="clear" w:color="5B9BD5" w:fill="FFFFFF"/>
            <w:hideMark/>
          </w:tcPr>
          <w:p w14:paraId="34117255"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1C5BF542"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41,49%</w:t>
            </w:r>
          </w:p>
        </w:tc>
        <w:tc>
          <w:tcPr>
            <w:tcW w:w="852" w:type="dxa"/>
            <w:tcBorders>
              <w:top w:val="nil"/>
              <w:left w:val="nil"/>
              <w:bottom w:val="single" w:sz="4" w:space="0" w:color="9BC2E6"/>
              <w:right w:val="single" w:sz="4" w:space="0" w:color="FFFFFF"/>
            </w:tcBorders>
            <w:shd w:val="clear" w:color="auto" w:fill="auto"/>
            <w:hideMark/>
          </w:tcPr>
          <w:p w14:paraId="0EDC984E"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24,81%</w:t>
            </w:r>
          </w:p>
        </w:tc>
        <w:tc>
          <w:tcPr>
            <w:tcW w:w="760" w:type="dxa"/>
            <w:tcBorders>
              <w:top w:val="nil"/>
              <w:left w:val="nil"/>
              <w:bottom w:val="single" w:sz="4" w:space="0" w:color="9BC2E6"/>
              <w:right w:val="single" w:sz="4" w:space="0" w:color="FFFFFF"/>
            </w:tcBorders>
            <w:shd w:val="clear" w:color="auto" w:fill="auto"/>
            <w:hideMark/>
          </w:tcPr>
          <w:p w14:paraId="3FCBAC12"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21,07%</w:t>
            </w:r>
          </w:p>
        </w:tc>
        <w:tc>
          <w:tcPr>
            <w:tcW w:w="946" w:type="dxa"/>
            <w:tcBorders>
              <w:top w:val="nil"/>
              <w:left w:val="nil"/>
              <w:bottom w:val="single" w:sz="4" w:space="0" w:color="9BC2E6"/>
              <w:right w:val="single" w:sz="4" w:space="0" w:color="FFFFFF"/>
            </w:tcBorders>
            <w:shd w:val="clear" w:color="auto" w:fill="auto"/>
            <w:hideMark/>
          </w:tcPr>
          <w:p w14:paraId="0395102D"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-3,74%</w:t>
            </w:r>
          </w:p>
        </w:tc>
      </w:tr>
      <w:tr w:rsidR="00864FB5" w:rsidRPr="00311C36" w14:paraId="3A13157C" w14:textId="77777777" w:rsidTr="00864FB5">
        <w:trPr>
          <w:trHeight w:val="455"/>
        </w:trPr>
        <w:tc>
          <w:tcPr>
            <w:tcW w:w="3372" w:type="dxa"/>
            <w:tcBorders>
              <w:top w:val="single" w:sz="4" w:space="0" w:color="9BC2E6"/>
              <w:left w:val="single" w:sz="4" w:space="0" w:color="FFFFFF"/>
              <w:bottom w:val="single" w:sz="4" w:space="0" w:color="9BC2E6"/>
              <w:right w:val="single" w:sz="4" w:space="0" w:color="FFFFFF"/>
            </w:tcBorders>
            <w:shd w:val="clear" w:color="auto" w:fill="auto"/>
            <w:hideMark/>
          </w:tcPr>
          <w:p w14:paraId="1F01C2AA" w14:textId="77777777" w:rsidR="00864FB5" w:rsidRPr="000C0F3E" w:rsidRDefault="00864FB5" w:rsidP="00A06393">
            <w:pPr>
              <w:spacing w:before="0" w:after="0" w:line="240" w:lineRule="auto"/>
              <w:rPr>
                <w:rFonts w:ascii="Calibri Light" w:eastAsia="Times New Roman" w:hAnsi="Calibri Light" w:cs="Times New Roman"/>
                <w:bCs/>
                <w:sz w:val="14"/>
                <w:szCs w:val="14"/>
                <w:lang w:eastAsia="ro-RO"/>
              </w:rPr>
            </w:pPr>
            <w:r w:rsidRPr="000C0F3E">
              <w:rPr>
                <w:rFonts w:ascii="Calibri Light" w:eastAsia="Times New Roman" w:hAnsi="Calibri Light" w:cs="Times New Roman"/>
                <w:bCs/>
                <w:sz w:val="14"/>
                <w:szCs w:val="14"/>
                <w:lang w:eastAsia="ro-RO"/>
              </w:rPr>
              <w:t>Viteza rotație active totale</w:t>
            </w:r>
          </w:p>
        </w:tc>
        <w:tc>
          <w:tcPr>
            <w:tcW w:w="1848" w:type="dxa"/>
            <w:tcBorders>
              <w:top w:val="nil"/>
              <w:left w:val="nil"/>
              <w:bottom w:val="single" w:sz="4" w:space="0" w:color="9BC2E6"/>
              <w:right w:val="single" w:sz="4" w:space="0" w:color="FFFFFF"/>
            </w:tcBorders>
            <w:shd w:val="clear" w:color="auto" w:fill="auto"/>
            <w:hideMark/>
          </w:tcPr>
          <w:p w14:paraId="2195C296" w14:textId="77777777" w:rsidR="00864FB5" w:rsidRPr="00311C36" w:rsidRDefault="00864FB5" w:rsidP="00A06393">
            <w:pPr>
              <w:spacing w:before="0" w:after="0" w:line="240" w:lineRule="auto"/>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Cifra de afaceri / Active totale</w:t>
            </w:r>
          </w:p>
        </w:tc>
        <w:tc>
          <w:tcPr>
            <w:tcW w:w="630" w:type="dxa"/>
            <w:tcBorders>
              <w:top w:val="nil"/>
              <w:left w:val="nil"/>
              <w:bottom w:val="single" w:sz="4" w:space="0" w:color="9BC2E6"/>
              <w:right w:val="single" w:sz="4" w:space="0" w:color="FFFFFF"/>
            </w:tcBorders>
            <w:shd w:val="clear" w:color="5B9BD5" w:fill="FFFFFF"/>
            <w:hideMark/>
          </w:tcPr>
          <w:p w14:paraId="0956AB45"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w:t>
            </w:r>
          </w:p>
        </w:tc>
        <w:tc>
          <w:tcPr>
            <w:tcW w:w="852" w:type="dxa"/>
            <w:tcBorders>
              <w:top w:val="nil"/>
              <w:left w:val="nil"/>
              <w:bottom w:val="single" w:sz="4" w:space="0" w:color="9BC2E6"/>
              <w:right w:val="single" w:sz="4" w:space="0" w:color="FFFFFF"/>
            </w:tcBorders>
            <w:shd w:val="clear" w:color="auto" w:fill="auto"/>
            <w:hideMark/>
          </w:tcPr>
          <w:p w14:paraId="5CF52113"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31,23%</w:t>
            </w:r>
          </w:p>
        </w:tc>
        <w:tc>
          <w:tcPr>
            <w:tcW w:w="852" w:type="dxa"/>
            <w:tcBorders>
              <w:top w:val="nil"/>
              <w:left w:val="nil"/>
              <w:bottom w:val="single" w:sz="4" w:space="0" w:color="9BC2E6"/>
              <w:right w:val="single" w:sz="4" w:space="0" w:color="FFFFFF"/>
            </w:tcBorders>
            <w:shd w:val="clear" w:color="auto" w:fill="auto"/>
            <w:hideMark/>
          </w:tcPr>
          <w:p w14:paraId="4302B9C8"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19,70%</w:t>
            </w:r>
          </w:p>
        </w:tc>
        <w:tc>
          <w:tcPr>
            <w:tcW w:w="760" w:type="dxa"/>
            <w:tcBorders>
              <w:top w:val="nil"/>
              <w:left w:val="nil"/>
              <w:bottom w:val="single" w:sz="4" w:space="0" w:color="9BC2E6"/>
              <w:right w:val="single" w:sz="4" w:space="0" w:color="FFFFFF"/>
            </w:tcBorders>
            <w:shd w:val="clear" w:color="auto" w:fill="auto"/>
            <w:hideMark/>
          </w:tcPr>
          <w:p w14:paraId="5A9E0C5D"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16,10%</w:t>
            </w:r>
          </w:p>
        </w:tc>
        <w:tc>
          <w:tcPr>
            <w:tcW w:w="946" w:type="dxa"/>
            <w:tcBorders>
              <w:top w:val="nil"/>
              <w:left w:val="nil"/>
              <w:bottom w:val="single" w:sz="4" w:space="0" w:color="9BC2E6"/>
              <w:right w:val="single" w:sz="4" w:space="0" w:color="FFFFFF"/>
            </w:tcBorders>
            <w:shd w:val="clear" w:color="auto" w:fill="auto"/>
            <w:hideMark/>
          </w:tcPr>
          <w:p w14:paraId="7C4D3C66" w14:textId="77777777" w:rsidR="00864FB5" w:rsidRPr="00311C36" w:rsidRDefault="00864FB5" w:rsidP="00A06393">
            <w:pPr>
              <w:spacing w:before="0" w:after="0" w:line="240" w:lineRule="auto"/>
              <w:jc w:val="right"/>
              <w:rPr>
                <w:rFonts w:ascii="Calibri Light" w:eastAsia="Times New Roman" w:hAnsi="Calibri Light" w:cs="Times New Roman"/>
                <w:sz w:val="14"/>
                <w:szCs w:val="14"/>
                <w:lang w:eastAsia="ro-RO"/>
              </w:rPr>
            </w:pPr>
            <w:r w:rsidRPr="00311C36">
              <w:rPr>
                <w:rFonts w:ascii="Calibri Light" w:eastAsia="Times New Roman" w:hAnsi="Calibri Light" w:cs="Times New Roman"/>
                <w:sz w:val="14"/>
                <w:szCs w:val="14"/>
                <w:lang w:eastAsia="ro-RO"/>
              </w:rPr>
              <w:t>-3,60%</w:t>
            </w:r>
          </w:p>
        </w:tc>
      </w:tr>
      <w:tr w:rsidR="00864FB5" w:rsidRPr="00311C36" w14:paraId="7698F51B" w14:textId="77777777" w:rsidTr="00A06393">
        <w:trPr>
          <w:trHeight w:val="350"/>
        </w:trPr>
        <w:tc>
          <w:tcPr>
            <w:tcW w:w="9260" w:type="dxa"/>
            <w:gridSpan w:val="7"/>
            <w:tcBorders>
              <w:top w:val="single" w:sz="4" w:space="0" w:color="5B9BD5"/>
              <w:left w:val="nil"/>
              <w:bottom w:val="nil"/>
              <w:right w:val="nil"/>
            </w:tcBorders>
            <w:shd w:val="clear" w:color="auto" w:fill="auto"/>
            <w:noWrap/>
            <w:vAlign w:val="bottom"/>
            <w:hideMark/>
          </w:tcPr>
          <w:p w14:paraId="092BF66A" w14:textId="77777777" w:rsidR="00864FB5" w:rsidRPr="00311C36" w:rsidRDefault="00864FB5" w:rsidP="00A06393">
            <w:pPr>
              <w:spacing w:before="0" w:after="0" w:line="240" w:lineRule="auto"/>
              <w:rPr>
                <w:rFonts w:ascii="Times New Roman" w:eastAsia="Times New Roman" w:hAnsi="Times New Roman" w:cs="Times New Roman"/>
                <w:lang w:eastAsia="ro-RO"/>
              </w:rPr>
            </w:pPr>
            <w:r w:rsidRPr="00311C36">
              <w:rPr>
                <w:rFonts w:ascii="Calibri Light" w:eastAsia="Times New Roman" w:hAnsi="Calibri Light" w:cs="Times New Roman"/>
                <w:color w:val="000000"/>
                <w:sz w:val="16"/>
                <w:szCs w:val="16"/>
                <w:lang w:eastAsia="ro-RO"/>
              </w:rPr>
              <w:t>Notă: în tabel s-a folosit starea ÎP la finele anului 2020</w:t>
            </w:r>
          </w:p>
        </w:tc>
      </w:tr>
    </w:tbl>
    <w:p w14:paraId="64FFFA47" w14:textId="77777777" w:rsidR="00864FB5" w:rsidRPr="008C6972" w:rsidRDefault="00864FB5" w:rsidP="00864FB5">
      <w:pPr>
        <w:spacing w:before="0" w:after="0"/>
        <w:contextualSpacing/>
        <w:jc w:val="both"/>
        <w:rPr>
          <w:rFonts w:asciiTheme="majorHAnsi" w:hAnsiTheme="majorHAnsi" w:cstheme="majorBidi"/>
        </w:rPr>
      </w:pPr>
    </w:p>
    <w:p w14:paraId="4B315E2B" w14:textId="77777777" w:rsidR="00864FB5" w:rsidRPr="008C6972" w:rsidRDefault="00864FB5" w:rsidP="00864FB5">
      <w:pPr>
        <w:spacing w:before="0" w:after="0"/>
        <w:contextualSpacing/>
        <w:jc w:val="both"/>
        <w:rPr>
          <w:rFonts w:asciiTheme="majorHAnsi" w:hAnsiTheme="majorHAnsi" w:cstheme="majorBidi"/>
        </w:rPr>
      </w:pPr>
    </w:p>
    <w:p w14:paraId="3FF6726F" w14:textId="77777777" w:rsidR="00864FB5" w:rsidRPr="008C6972" w:rsidRDefault="00864FB5" w:rsidP="00864FB5">
      <w:pPr>
        <w:autoSpaceDE w:val="0"/>
        <w:autoSpaceDN w:val="0"/>
        <w:adjustRightInd w:val="0"/>
        <w:spacing w:before="0" w:after="120"/>
        <w:jc w:val="both"/>
        <w:rPr>
          <w:rFonts w:asciiTheme="majorHAnsi" w:hAnsiTheme="majorHAnsi"/>
        </w:rPr>
      </w:pPr>
      <w:r w:rsidRPr="008C6972">
        <w:rPr>
          <w:rFonts w:asciiTheme="majorHAnsi" w:hAnsiTheme="majorHAnsi"/>
        </w:rPr>
        <w:t>Analizând evoluția indicatorilor medii de performanță realizați de ÎPC active existente în activitatea de monitorizare, se observă că în perioada 201</w:t>
      </w:r>
      <w:r>
        <w:rPr>
          <w:rFonts w:asciiTheme="majorHAnsi" w:hAnsiTheme="majorHAnsi"/>
        </w:rPr>
        <w:t>8</w:t>
      </w:r>
      <w:r w:rsidRPr="008C6972">
        <w:rPr>
          <w:rFonts w:asciiTheme="majorHAnsi" w:hAnsiTheme="majorHAnsi"/>
        </w:rPr>
        <w:t>-20</w:t>
      </w:r>
      <w:r>
        <w:rPr>
          <w:rFonts w:asciiTheme="majorHAnsi" w:hAnsiTheme="majorHAnsi"/>
        </w:rPr>
        <w:t>20</w:t>
      </w:r>
      <w:r w:rsidRPr="008C6972">
        <w:rPr>
          <w:rFonts w:asciiTheme="majorHAnsi" w:hAnsiTheme="majorHAnsi"/>
        </w:rPr>
        <w:t>,  indicatorii de rentabilitate ai ÎPC au avut un trend descresc</w:t>
      </w:r>
      <w:r w:rsidR="00E91195">
        <w:rPr>
          <w:rFonts w:asciiTheme="majorHAnsi" w:hAnsiTheme="majorHAnsi"/>
        </w:rPr>
        <w:t>ă</w:t>
      </w:r>
      <w:r w:rsidRPr="008C6972">
        <w:rPr>
          <w:rFonts w:asciiTheme="majorHAnsi" w:hAnsiTheme="majorHAnsi"/>
        </w:rPr>
        <w:t xml:space="preserve">tor, </w:t>
      </w:r>
      <w:r w:rsidR="006F2436">
        <w:rPr>
          <w:rFonts w:asciiTheme="majorHAnsi" w:hAnsiTheme="majorHAnsi"/>
        </w:rPr>
        <w:t>din cauza</w:t>
      </w:r>
      <w:r w:rsidR="006F2436" w:rsidRPr="008C6972">
        <w:rPr>
          <w:rFonts w:asciiTheme="majorHAnsi" w:hAnsiTheme="majorHAnsi"/>
        </w:rPr>
        <w:t xml:space="preserve"> </w:t>
      </w:r>
      <w:r w:rsidRPr="008C6972">
        <w:rPr>
          <w:rFonts w:asciiTheme="majorHAnsi" w:hAnsiTheme="majorHAnsi"/>
        </w:rPr>
        <w:t xml:space="preserve">înregistrării unor scăderi ale  indicatorilor economico-financiari EBIT, rezultat brut și rezultat net. </w:t>
      </w:r>
    </w:p>
    <w:p w14:paraId="6C90EBDB" w14:textId="77777777" w:rsidR="00864FB5" w:rsidRDefault="00864FB5" w:rsidP="00864FB5">
      <w:pPr>
        <w:autoSpaceDE w:val="0"/>
        <w:autoSpaceDN w:val="0"/>
        <w:adjustRightInd w:val="0"/>
        <w:spacing w:before="0" w:after="120"/>
        <w:jc w:val="both"/>
        <w:rPr>
          <w:rFonts w:asciiTheme="majorHAnsi" w:hAnsiTheme="majorHAnsi"/>
        </w:rPr>
      </w:pPr>
      <w:r w:rsidRPr="008C6972">
        <w:rPr>
          <w:rFonts w:asciiTheme="majorHAnsi" w:hAnsiTheme="majorHAnsi"/>
        </w:rPr>
        <w:t xml:space="preserve"> În ce privește indicatorii de lichiditate se observ</w:t>
      </w:r>
      <w:r w:rsidR="00E91195">
        <w:rPr>
          <w:rFonts w:asciiTheme="majorHAnsi" w:hAnsiTheme="majorHAnsi"/>
        </w:rPr>
        <w:t>ă</w:t>
      </w:r>
      <w:r w:rsidRPr="008C6972">
        <w:rPr>
          <w:rFonts w:asciiTheme="majorHAnsi" w:hAnsiTheme="majorHAnsi"/>
        </w:rPr>
        <w:t>, în general, un trend descrescător în perioada 201</w:t>
      </w:r>
      <w:r>
        <w:rPr>
          <w:rFonts w:asciiTheme="majorHAnsi" w:hAnsiTheme="majorHAnsi"/>
        </w:rPr>
        <w:t>8</w:t>
      </w:r>
      <w:r w:rsidRPr="008C6972">
        <w:rPr>
          <w:rFonts w:asciiTheme="majorHAnsi" w:hAnsiTheme="majorHAnsi"/>
        </w:rPr>
        <w:t>-20</w:t>
      </w:r>
      <w:r>
        <w:rPr>
          <w:rFonts w:asciiTheme="majorHAnsi" w:hAnsiTheme="majorHAnsi"/>
        </w:rPr>
        <w:t>20</w:t>
      </w:r>
      <w:r w:rsidRPr="008C6972">
        <w:rPr>
          <w:rFonts w:asciiTheme="majorHAnsi" w:hAnsiTheme="majorHAnsi"/>
        </w:rPr>
        <w:t>, datorită creșterii activelor circulante</w:t>
      </w:r>
      <w:r>
        <w:rPr>
          <w:rFonts w:asciiTheme="majorHAnsi" w:hAnsiTheme="majorHAnsi"/>
        </w:rPr>
        <w:t>.</w:t>
      </w:r>
    </w:p>
    <w:p w14:paraId="0EB5211B" w14:textId="77777777" w:rsidR="003D4E1D" w:rsidRDefault="003D4E1D" w:rsidP="00864FB5">
      <w:pPr>
        <w:autoSpaceDE w:val="0"/>
        <w:autoSpaceDN w:val="0"/>
        <w:adjustRightInd w:val="0"/>
        <w:spacing w:before="0" w:after="120"/>
        <w:jc w:val="both"/>
        <w:rPr>
          <w:rFonts w:asciiTheme="majorHAnsi" w:hAnsiTheme="majorHAnsi"/>
        </w:rPr>
      </w:pPr>
    </w:p>
    <w:p w14:paraId="55C3B5B1" w14:textId="77777777" w:rsidR="003D4E1D" w:rsidRDefault="003D4E1D" w:rsidP="00864FB5">
      <w:pPr>
        <w:autoSpaceDE w:val="0"/>
        <w:autoSpaceDN w:val="0"/>
        <w:adjustRightInd w:val="0"/>
        <w:spacing w:before="0" w:after="120"/>
        <w:jc w:val="both"/>
        <w:rPr>
          <w:rFonts w:asciiTheme="majorHAnsi" w:hAnsiTheme="majorHAnsi"/>
        </w:rPr>
      </w:pPr>
    </w:p>
    <w:p w14:paraId="501E1992" w14:textId="77777777" w:rsidR="003D4E1D" w:rsidRDefault="003D4E1D" w:rsidP="00864FB5">
      <w:pPr>
        <w:autoSpaceDE w:val="0"/>
        <w:autoSpaceDN w:val="0"/>
        <w:adjustRightInd w:val="0"/>
        <w:spacing w:before="0" w:after="120"/>
        <w:jc w:val="both"/>
        <w:rPr>
          <w:rFonts w:asciiTheme="majorHAnsi" w:hAnsiTheme="majorHAnsi"/>
        </w:rPr>
      </w:pPr>
    </w:p>
    <w:p w14:paraId="2DC7E0D0" w14:textId="77777777" w:rsidR="00F02A07" w:rsidRPr="00A75FCD" w:rsidRDefault="003D4E1D" w:rsidP="00A75FCD">
      <w:pPr>
        <w:autoSpaceDE w:val="0"/>
        <w:autoSpaceDN w:val="0"/>
        <w:adjustRightInd w:val="0"/>
        <w:spacing w:before="0" w:after="120"/>
        <w:jc w:val="both"/>
        <w:rPr>
          <w:rFonts w:asciiTheme="majorHAnsi" w:hAnsiTheme="majorHAnsi"/>
        </w:rPr>
      </w:pPr>
      <w:r>
        <w:rPr>
          <w:rFonts w:asciiTheme="majorHAnsi" w:hAnsiTheme="majorHAnsi"/>
          <w:noProof/>
          <w:lang w:val="en-US"/>
        </w:rPr>
        <w:drawing>
          <wp:inline distT="0" distB="0" distL="0" distR="0" wp14:anchorId="2AAD40B5" wp14:editId="53983A31">
            <wp:extent cx="2834640" cy="2926080"/>
            <wp:effectExtent l="0" t="0" r="3810" b="762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r w:rsidR="00A75FCD">
        <w:rPr>
          <w:rFonts w:asciiTheme="majorHAnsi" w:hAnsiTheme="majorHAnsi"/>
          <w:noProof/>
          <w:lang w:val="en-US"/>
        </w:rPr>
        <w:drawing>
          <wp:inline distT="0" distB="0" distL="0" distR="0" wp14:anchorId="11FD4CDC" wp14:editId="3D7A4C58">
            <wp:extent cx="2834640" cy="2926080"/>
            <wp:effectExtent l="0" t="0" r="3810" b="762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p>
    <w:p w14:paraId="68085F2E" w14:textId="77777777" w:rsidR="00F02A07" w:rsidRPr="00D95C57" w:rsidRDefault="00F02A07" w:rsidP="00EA4416">
      <w:pPr>
        <w:spacing w:before="0" w:after="0"/>
        <w:contextualSpacing/>
        <w:jc w:val="both"/>
        <w:rPr>
          <w:rFonts w:asciiTheme="majorHAnsi" w:hAnsiTheme="majorHAnsi" w:cstheme="majorBidi"/>
        </w:rPr>
      </w:pPr>
    </w:p>
    <w:p w14:paraId="24385CD3" w14:textId="77777777" w:rsidR="00F02A07" w:rsidRPr="00D95C57" w:rsidRDefault="00F02A07" w:rsidP="00EA4416">
      <w:pPr>
        <w:spacing w:before="0" w:after="0"/>
        <w:contextualSpacing/>
        <w:jc w:val="both"/>
        <w:rPr>
          <w:rFonts w:asciiTheme="majorHAnsi" w:hAnsiTheme="majorHAnsi" w:cstheme="majorBidi"/>
        </w:rPr>
      </w:pPr>
    </w:p>
    <w:p w14:paraId="214DE0D2" w14:textId="77777777" w:rsidR="00F02A07" w:rsidRPr="00D95C57" w:rsidRDefault="00F02A07" w:rsidP="00EA4416">
      <w:pPr>
        <w:spacing w:before="0" w:after="0"/>
        <w:contextualSpacing/>
        <w:jc w:val="both"/>
        <w:rPr>
          <w:rFonts w:asciiTheme="majorHAnsi" w:hAnsiTheme="majorHAnsi" w:cstheme="majorBidi"/>
        </w:rPr>
      </w:pPr>
    </w:p>
    <w:p w14:paraId="43B6ADC8" w14:textId="77777777" w:rsidR="00F1374E" w:rsidRPr="00D95C57" w:rsidRDefault="004F0014" w:rsidP="00023D67">
      <w:pPr>
        <w:pStyle w:val="ListParagraph"/>
        <w:ind w:left="0" w:right="-286"/>
        <w:jc w:val="both"/>
        <w:outlineLvl w:val="2"/>
        <w:rPr>
          <w:color w:val="0F6FC6" w:themeColor="accent1"/>
        </w:rPr>
      </w:pPr>
      <w:bookmarkStart w:id="41" w:name="_Toc490763522"/>
      <w:bookmarkStart w:id="42" w:name="_Toc490763703"/>
      <w:bookmarkStart w:id="43" w:name="_Toc490763871"/>
      <w:bookmarkStart w:id="44" w:name="_Toc87875948"/>
      <w:r>
        <w:rPr>
          <w:rFonts w:asciiTheme="majorHAnsi" w:hAnsiTheme="majorHAnsi"/>
          <w:b/>
          <w:bCs/>
          <w:color w:val="0F6FC6" w:themeColor="accent1"/>
          <w:sz w:val="28"/>
          <w:szCs w:val="28"/>
        </w:rPr>
        <w:t>3</w:t>
      </w:r>
      <w:r w:rsidR="00077F3B" w:rsidRPr="00D95C57">
        <w:rPr>
          <w:rFonts w:asciiTheme="majorHAnsi" w:hAnsiTheme="majorHAnsi"/>
          <w:b/>
          <w:bCs/>
          <w:color w:val="0F6FC6" w:themeColor="accent1"/>
          <w:sz w:val="28"/>
          <w:szCs w:val="28"/>
        </w:rPr>
        <w:t xml:space="preserve">.2 – </w:t>
      </w:r>
      <w:r w:rsidR="00F1374E" w:rsidRPr="00D95C57">
        <w:rPr>
          <w:rFonts w:asciiTheme="majorHAnsi" w:hAnsiTheme="majorHAnsi"/>
          <w:b/>
          <w:bCs/>
          <w:color w:val="0F6FC6" w:themeColor="accent1"/>
          <w:sz w:val="28"/>
          <w:szCs w:val="28"/>
        </w:rPr>
        <w:t xml:space="preserve">Situația principalilor indicatori economico-financiari </w:t>
      </w:r>
      <w:r w:rsidR="008D1942" w:rsidRPr="00D95C57">
        <w:rPr>
          <w:rFonts w:asciiTheme="majorHAnsi" w:hAnsiTheme="majorHAnsi"/>
          <w:b/>
          <w:bCs/>
          <w:color w:val="0F6FC6" w:themeColor="accent1"/>
          <w:sz w:val="28"/>
          <w:szCs w:val="28"/>
        </w:rPr>
        <w:t xml:space="preserve">ai </w:t>
      </w:r>
      <w:r w:rsidR="00AC3A55" w:rsidRPr="00D95C57">
        <w:rPr>
          <w:rFonts w:asciiTheme="majorHAnsi" w:hAnsiTheme="majorHAnsi"/>
          <w:b/>
          <w:bCs/>
          <w:color w:val="0F6FC6" w:themeColor="accent1"/>
          <w:sz w:val="28"/>
          <w:szCs w:val="28"/>
        </w:rPr>
        <w:t xml:space="preserve">întreprinderilor </w:t>
      </w:r>
      <w:r w:rsidR="00110AFD" w:rsidRPr="00D95C57">
        <w:rPr>
          <w:rFonts w:asciiTheme="majorHAnsi" w:hAnsiTheme="majorHAnsi"/>
          <w:b/>
          <w:bCs/>
          <w:color w:val="0F6FC6" w:themeColor="accent1"/>
          <w:sz w:val="28"/>
          <w:szCs w:val="28"/>
        </w:rPr>
        <w:t>publice centrale</w:t>
      </w:r>
      <w:r w:rsidR="00AC3A55" w:rsidRPr="00D95C57">
        <w:rPr>
          <w:rFonts w:asciiTheme="majorHAnsi" w:hAnsiTheme="majorHAnsi"/>
          <w:b/>
          <w:bCs/>
          <w:color w:val="0F6FC6" w:themeColor="accent1"/>
          <w:sz w:val="28"/>
          <w:szCs w:val="28"/>
        </w:rPr>
        <w:t xml:space="preserve"> </w:t>
      </w:r>
      <w:r w:rsidR="00F1374E" w:rsidRPr="00D95C57">
        <w:rPr>
          <w:rFonts w:asciiTheme="majorHAnsi" w:hAnsiTheme="majorHAnsi"/>
          <w:b/>
          <w:bCs/>
          <w:color w:val="0F6FC6" w:themeColor="accent1"/>
          <w:sz w:val="28"/>
          <w:szCs w:val="28"/>
        </w:rPr>
        <w:t xml:space="preserve">active </w:t>
      </w:r>
      <w:r w:rsidR="00F5392A" w:rsidRPr="00D95C57">
        <w:rPr>
          <w:rFonts w:asciiTheme="majorHAnsi" w:hAnsiTheme="majorHAnsi"/>
          <w:b/>
          <w:bCs/>
          <w:color w:val="0F6FC6" w:themeColor="accent1"/>
          <w:sz w:val="28"/>
          <w:szCs w:val="28"/>
        </w:rPr>
        <w:t>grupați pe sectoare de activitate</w:t>
      </w:r>
      <w:bookmarkEnd w:id="41"/>
      <w:bookmarkEnd w:id="42"/>
      <w:bookmarkEnd w:id="43"/>
      <w:r w:rsidR="00230349" w:rsidRPr="00D95C57">
        <w:rPr>
          <w:rFonts w:asciiTheme="majorHAnsi" w:hAnsiTheme="majorHAnsi"/>
          <w:b/>
          <w:bCs/>
          <w:color w:val="0F6FC6" w:themeColor="accent1"/>
          <w:sz w:val="28"/>
          <w:szCs w:val="28"/>
        </w:rPr>
        <w:t xml:space="preserve"> în funcție de cifra de afaceri netă</w:t>
      </w:r>
      <w:bookmarkEnd w:id="44"/>
    </w:p>
    <w:p w14:paraId="5235B529" w14:textId="77777777" w:rsidR="003D4E1D" w:rsidRDefault="003D4E1D" w:rsidP="003D4E1D">
      <w:pPr>
        <w:spacing w:before="0" w:after="160" w:line="240" w:lineRule="auto"/>
        <w:jc w:val="both"/>
        <w:rPr>
          <w:rFonts w:asciiTheme="majorHAnsi" w:hAnsiTheme="majorHAnsi" w:cstheme="majorBidi"/>
        </w:rPr>
      </w:pPr>
    </w:p>
    <w:p w14:paraId="7173C81F" w14:textId="77777777" w:rsidR="003D4E1D" w:rsidRPr="003D4E1D" w:rsidRDefault="003D4E1D" w:rsidP="003D4E1D">
      <w:pPr>
        <w:spacing w:before="0" w:after="160" w:line="240" w:lineRule="auto"/>
        <w:jc w:val="both"/>
        <w:rPr>
          <w:rFonts w:asciiTheme="majorHAnsi" w:hAnsiTheme="majorHAnsi" w:cstheme="majorBidi"/>
        </w:rPr>
      </w:pPr>
      <w:r w:rsidRPr="003D4E1D">
        <w:rPr>
          <w:rFonts w:asciiTheme="majorHAnsi" w:hAnsiTheme="majorHAnsi" w:cstheme="majorBidi"/>
        </w:rPr>
        <w:t>TABEL –  Situația unor indicatori economico-financiari realizați de cele 226 de ÎPC active la 31.12.2020, grupate pe principalele activități desfășurate de acestea și ordonate descrescător după cifra de afaceri netă</w:t>
      </w:r>
    </w:p>
    <w:tbl>
      <w:tblPr>
        <w:tblW w:w="9612" w:type="dxa"/>
        <w:tblInd w:w="110" w:type="dxa"/>
        <w:tblLayout w:type="fixed"/>
        <w:tblLook w:val="04A0" w:firstRow="1" w:lastRow="0" w:firstColumn="1" w:lastColumn="0" w:noHBand="0" w:noVBand="1"/>
      </w:tblPr>
      <w:tblGrid>
        <w:gridCol w:w="474"/>
        <w:gridCol w:w="2284"/>
        <w:gridCol w:w="460"/>
        <w:gridCol w:w="951"/>
        <w:gridCol w:w="781"/>
        <w:gridCol w:w="870"/>
        <w:gridCol w:w="1020"/>
        <w:gridCol w:w="951"/>
        <w:gridCol w:w="951"/>
        <w:gridCol w:w="870"/>
      </w:tblGrid>
      <w:tr w:rsidR="000C0F3E" w:rsidRPr="00311C36" w14:paraId="65A32945" w14:textId="77777777" w:rsidTr="000C0F3E">
        <w:trPr>
          <w:trHeight w:val="420"/>
        </w:trPr>
        <w:tc>
          <w:tcPr>
            <w:tcW w:w="474" w:type="dxa"/>
            <w:vMerge w:val="restart"/>
            <w:tcBorders>
              <w:top w:val="single" w:sz="4" w:space="0" w:color="9CC2E5"/>
              <w:left w:val="single" w:sz="4" w:space="0" w:color="FFFFFF"/>
              <w:bottom w:val="single" w:sz="4" w:space="0" w:color="9CC2E5"/>
              <w:right w:val="single" w:sz="4" w:space="0" w:color="FFFFFF"/>
            </w:tcBorders>
            <w:shd w:val="clear" w:color="000000" w:fill="FFFFFF"/>
            <w:hideMark/>
          </w:tcPr>
          <w:p w14:paraId="01D1527D" w14:textId="77777777" w:rsidR="003D4E1D" w:rsidRPr="003D4E1D" w:rsidRDefault="003D4E1D" w:rsidP="00A06393">
            <w:pPr>
              <w:spacing w:before="0" w:after="0" w:line="240" w:lineRule="auto"/>
              <w:jc w:val="center"/>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Nr Crt</w:t>
            </w:r>
          </w:p>
        </w:tc>
        <w:tc>
          <w:tcPr>
            <w:tcW w:w="2284" w:type="dxa"/>
            <w:vMerge w:val="restart"/>
            <w:tcBorders>
              <w:top w:val="single" w:sz="4" w:space="0" w:color="9CC2E5"/>
              <w:left w:val="single" w:sz="4" w:space="0" w:color="FFFFFF"/>
              <w:bottom w:val="single" w:sz="4" w:space="0" w:color="9CC2E5"/>
              <w:right w:val="single" w:sz="4" w:space="0" w:color="FFFFFF"/>
            </w:tcBorders>
            <w:shd w:val="clear" w:color="000000" w:fill="FFFFFF"/>
            <w:hideMark/>
          </w:tcPr>
          <w:p w14:paraId="56563763" w14:textId="77777777" w:rsidR="003D4E1D" w:rsidRPr="003D4E1D" w:rsidRDefault="003D4E1D" w:rsidP="00A06393">
            <w:pPr>
              <w:spacing w:before="0" w:after="0" w:line="240" w:lineRule="auto"/>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Activități în care se încadrează ÎP active conform diviziunii principale a clasificării activităților din economia națională</w:t>
            </w:r>
          </w:p>
        </w:tc>
        <w:tc>
          <w:tcPr>
            <w:tcW w:w="460" w:type="dxa"/>
            <w:tcBorders>
              <w:top w:val="single" w:sz="4" w:space="0" w:color="9CC2E5"/>
              <w:left w:val="nil"/>
              <w:bottom w:val="single" w:sz="4" w:space="0" w:color="9CC2E5"/>
              <w:right w:val="single" w:sz="4" w:space="0" w:color="FFFFFF"/>
            </w:tcBorders>
            <w:shd w:val="clear" w:color="000000" w:fill="FFFFFF"/>
            <w:hideMark/>
          </w:tcPr>
          <w:p w14:paraId="4497B0BA"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Nr ÎPC</w:t>
            </w:r>
          </w:p>
        </w:tc>
        <w:tc>
          <w:tcPr>
            <w:tcW w:w="951" w:type="dxa"/>
            <w:tcBorders>
              <w:top w:val="single" w:sz="4" w:space="0" w:color="9CC2E5"/>
              <w:left w:val="nil"/>
              <w:bottom w:val="single" w:sz="4" w:space="0" w:color="9CC2E5"/>
              <w:right w:val="single" w:sz="4" w:space="0" w:color="FFFFFF"/>
            </w:tcBorders>
            <w:shd w:val="clear" w:color="000000" w:fill="FFFFFF"/>
            <w:hideMark/>
          </w:tcPr>
          <w:p w14:paraId="0A639F4C"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Cifra de afaceri netă</w:t>
            </w:r>
          </w:p>
        </w:tc>
        <w:tc>
          <w:tcPr>
            <w:tcW w:w="781" w:type="dxa"/>
            <w:tcBorders>
              <w:top w:val="single" w:sz="4" w:space="0" w:color="9CC2E5"/>
              <w:left w:val="nil"/>
              <w:bottom w:val="single" w:sz="4" w:space="0" w:color="9CC2E5"/>
              <w:right w:val="single" w:sz="4" w:space="0" w:color="FFFFFF"/>
            </w:tcBorders>
            <w:shd w:val="clear" w:color="000000" w:fill="FFFFFF"/>
            <w:hideMark/>
          </w:tcPr>
          <w:p w14:paraId="2AE2E447"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Număr efectiv de personal</w:t>
            </w:r>
          </w:p>
        </w:tc>
        <w:tc>
          <w:tcPr>
            <w:tcW w:w="870" w:type="dxa"/>
            <w:tcBorders>
              <w:top w:val="single" w:sz="4" w:space="0" w:color="9CC2E5"/>
              <w:left w:val="nil"/>
              <w:bottom w:val="single" w:sz="4" w:space="0" w:color="9CC2E5"/>
              <w:right w:val="single" w:sz="4" w:space="0" w:color="FFFFFF"/>
            </w:tcBorders>
            <w:shd w:val="clear" w:color="000000" w:fill="FFFFFF"/>
            <w:hideMark/>
          </w:tcPr>
          <w:p w14:paraId="5D5C3E13"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Rezultat Brut (EBT)</w:t>
            </w:r>
          </w:p>
        </w:tc>
        <w:tc>
          <w:tcPr>
            <w:tcW w:w="1020" w:type="dxa"/>
            <w:tcBorders>
              <w:top w:val="single" w:sz="4" w:space="0" w:color="9CC2E5"/>
              <w:left w:val="nil"/>
              <w:bottom w:val="single" w:sz="4" w:space="0" w:color="9CC2E5"/>
              <w:right w:val="single" w:sz="4" w:space="0" w:color="FFFFFF"/>
            </w:tcBorders>
            <w:shd w:val="clear" w:color="000000" w:fill="FFFFFF"/>
            <w:hideMark/>
          </w:tcPr>
          <w:p w14:paraId="36C64747"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Total active</w:t>
            </w:r>
          </w:p>
        </w:tc>
        <w:tc>
          <w:tcPr>
            <w:tcW w:w="951" w:type="dxa"/>
            <w:tcBorders>
              <w:top w:val="single" w:sz="4" w:space="0" w:color="9CC2E5"/>
              <w:left w:val="nil"/>
              <w:bottom w:val="single" w:sz="4" w:space="0" w:color="9CC2E5"/>
              <w:right w:val="single" w:sz="4" w:space="0" w:color="FFFFFF"/>
            </w:tcBorders>
            <w:shd w:val="clear" w:color="000000" w:fill="FFFFFF"/>
            <w:hideMark/>
          </w:tcPr>
          <w:p w14:paraId="6FA9499A"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Capitaluri proprii</w:t>
            </w:r>
          </w:p>
        </w:tc>
        <w:tc>
          <w:tcPr>
            <w:tcW w:w="951" w:type="dxa"/>
            <w:tcBorders>
              <w:top w:val="single" w:sz="4" w:space="0" w:color="9CC2E5"/>
              <w:left w:val="nil"/>
              <w:bottom w:val="single" w:sz="4" w:space="0" w:color="9CC2E5"/>
              <w:right w:val="single" w:sz="4" w:space="0" w:color="FFFFFF"/>
            </w:tcBorders>
            <w:shd w:val="clear" w:color="000000" w:fill="FFFFFF"/>
            <w:hideMark/>
          </w:tcPr>
          <w:p w14:paraId="4C799ED7"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Datorii totale</w:t>
            </w:r>
          </w:p>
        </w:tc>
        <w:tc>
          <w:tcPr>
            <w:tcW w:w="870" w:type="dxa"/>
            <w:tcBorders>
              <w:top w:val="single" w:sz="4" w:space="0" w:color="9CC2E5"/>
              <w:left w:val="nil"/>
              <w:bottom w:val="single" w:sz="4" w:space="0" w:color="9CC2E5"/>
              <w:right w:val="single" w:sz="4" w:space="0" w:color="FFFFFF"/>
            </w:tcBorders>
            <w:shd w:val="clear" w:color="000000" w:fill="FFFFFF"/>
            <w:hideMark/>
          </w:tcPr>
          <w:p w14:paraId="70CF8EB8" w14:textId="77777777" w:rsidR="003D4E1D" w:rsidRPr="003D4E1D" w:rsidRDefault="003D4E1D" w:rsidP="00A06393">
            <w:pPr>
              <w:spacing w:before="0" w:after="0" w:line="240" w:lineRule="auto"/>
              <w:jc w:val="right"/>
              <w:rPr>
                <w:rFonts w:ascii="Calibri" w:eastAsia="Times New Roman" w:hAnsi="Calibri" w:cs="Times New Roman"/>
                <w:bCs/>
                <w:color w:val="0F6FC6" w:themeColor="accent1"/>
                <w:sz w:val="16"/>
                <w:szCs w:val="14"/>
                <w:lang w:eastAsia="ro-RO"/>
              </w:rPr>
            </w:pPr>
            <w:r w:rsidRPr="003D4E1D">
              <w:rPr>
                <w:rFonts w:ascii="Calibri" w:eastAsia="Times New Roman" w:hAnsi="Calibri" w:cs="Times New Roman"/>
                <w:bCs/>
                <w:color w:val="0F6FC6" w:themeColor="accent1"/>
                <w:sz w:val="16"/>
                <w:szCs w:val="14"/>
                <w:lang w:eastAsia="ro-RO"/>
              </w:rPr>
              <w:t>Plăți restante</w:t>
            </w:r>
          </w:p>
        </w:tc>
      </w:tr>
      <w:tr w:rsidR="000C0F3E" w:rsidRPr="00311C36" w14:paraId="50E24C0C" w14:textId="77777777" w:rsidTr="000C0F3E">
        <w:trPr>
          <w:trHeight w:val="210"/>
        </w:trPr>
        <w:tc>
          <w:tcPr>
            <w:tcW w:w="474" w:type="dxa"/>
            <w:vMerge/>
            <w:tcBorders>
              <w:top w:val="single" w:sz="4" w:space="0" w:color="9CC2E5"/>
              <w:left w:val="single" w:sz="4" w:space="0" w:color="FFFFFF"/>
              <w:bottom w:val="single" w:sz="4" w:space="0" w:color="9CC2E5"/>
              <w:right w:val="single" w:sz="4" w:space="0" w:color="FFFFFF"/>
            </w:tcBorders>
            <w:vAlign w:val="center"/>
            <w:hideMark/>
          </w:tcPr>
          <w:p w14:paraId="3F7322CB" w14:textId="77777777" w:rsidR="003D4E1D" w:rsidRPr="003D4E1D" w:rsidRDefault="003D4E1D" w:rsidP="00A06393">
            <w:pPr>
              <w:spacing w:before="0" w:after="0" w:line="240" w:lineRule="auto"/>
              <w:rPr>
                <w:rFonts w:ascii="Calibri" w:eastAsia="Times New Roman" w:hAnsi="Calibri" w:cs="Times New Roman"/>
                <w:b/>
                <w:bCs/>
                <w:color w:val="5B9BD5"/>
                <w:sz w:val="16"/>
                <w:szCs w:val="14"/>
                <w:lang w:eastAsia="ro-RO"/>
              </w:rPr>
            </w:pPr>
          </w:p>
        </w:tc>
        <w:tc>
          <w:tcPr>
            <w:tcW w:w="2284" w:type="dxa"/>
            <w:vMerge/>
            <w:tcBorders>
              <w:top w:val="single" w:sz="4" w:space="0" w:color="9CC2E5"/>
              <w:left w:val="single" w:sz="4" w:space="0" w:color="FFFFFF"/>
              <w:bottom w:val="single" w:sz="4" w:space="0" w:color="9CC2E5"/>
              <w:right w:val="single" w:sz="4" w:space="0" w:color="FFFFFF"/>
            </w:tcBorders>
            <w:vAlign w:val="center"/>
            <w:hideMark/>
          </w:tcPr>
          <w:p w14:paraId="3F0AA0B6" w14:textId="77777777" w:rsidR="003D4E1D" w:rsidRPr="003D4E1D" w:rsidRDefault="003D4E1D" w:rsidP="00A06393">
            <w:pPr>
              <w:spacing w:before="0" w:after="0" w:line="240" w:lineRule="auto"/>
              <w:rPr>
                <w:rFonts w:ascii="Calibri" w:eastAsia="Times New Roman" w:hAnsi="Calibri" w:cs="Times New Roman"/>
                <w:b/>
                <w:bCs/>
                <w:color w:val="5B9BD5"/>
                <w:sz w:val="16"/>
                <w:szCs w:val="14"/>
                <w:lang w:eastAsia="ro-RO"/>
              </w:rPr>
            </w:pPr>
          </w:p>
        </w:tc>
        <w:tc>
          <w:tcPr>
            <w:tcW w:w="460" w:type="dxa"/>
            <w:tcBorders>
              <w:top w:val="nil"/>
              <w:left w:val="nil"/>
              <w:bottom w:val="single" w:sz="4" w:space="0" w:color="9CC2E5"/>
              <w:right w:val="single" w:sz="4" w:space="0" w:color="FFFFFF"/>
            </w:tcBorders>
            <w:shd w:val="clear" w:color="000000" w:fill="FFFFFF"/>
            <w:hideMark/>
          </w:tcPr>
          <w:p w14:paraId="15C42D3A"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1</w:t>
            </w:r>
          </w:p>
        </w:tc>
        <w:tc>
          <w:tcPr>
            <w:tcW w:w="951" w:type="dxa"/>
            <w:tcBorders>
              <w:top w:val="nil"/>
              <w:left w:val="nil"/>
              <w:bottom w:val="single" w:sz="4" w:space="0" w:color="9CC2E5"/>
              <w:right w:val="single" w:sz="4" w:space="0" w:color="FFFFFF"/>
            </w:tcBorders>
            <w:shd w:val="clear" w:color="000000" w:fill="FFFFFF"/>
            <w:hideMark/>
          </w:tcPr>
          <w:p w14:paraId="2207CC02"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2</w:t>
            </w:r>
          </w:p>
        </w:tc>
        <w:tc>
          <w:tcPr>
            <w:tcW w:w="781" w:type="dxa"/>
            <w:tcBorders>
              <w:top w:val="nil"/>
              <w:left w:val="nil"/>
              <w:bottom w:val="single" w:sz="4" w:space="0" w:color="9CC2E5"/>
              <w:right w:val="single" w:sz="4" w:space="0" w:color="FFFFFF"/>
            </w:tcBorders>
            <w:shd w:val="clear" w:color="000000" w:fill="FFFFFF"/>
            <w:hideMark/>
          </w:tcPr>
          <w:p w14:paraId="202A3C93"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4</w:t>
            </w:r>
          </w:p>
        </w:tc>
        <w:tc>
          <w:tcPr>
            <w:tcW w:w="870" w:type="dxa"/>
            <w:tcBorders>
              <w:top w:val="nil"/>
              <w:left w:val="nil"/>
              <w:bottom w:val="single" w:sz="4" w:space="0" w:color="9CC2E5"/>
              <w:right w:val="single" w:sz="4" w:space="0" w:color="FFFFFF"/>
            </w:tcBorders>
            <w:shd w:val="clear" w:color="000000" w:fill="FFFFFF"/>
            <w:hideMark/>
          </w:tcPr>
          <w:p w14:paraId="0F6290B2"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9</w:t>
            </w:r>
          </w:p>
        </w:tc>
        <w:tc>
          <w:tcPr>
            <w:tcW w:w="1020" w:type="dxa"/>
            <w:tcBorders>
              <w:top w:val="nil"/>
              <w:left w:val="nil"/>
              <w:bottom w:val="single" w:sz="4" w:space="0" w:color="9CC2E5"/>
              <w:right w:val="single" w:sz="4" w:space="0" w:color="FFFFFF"/>
            </w:tcBorders>
            <w:shd w:val="clear" w:color="000000" w:fill="FFFFFF"/>
            <w:hideMark/>
          </w:tcPr>
          <w:p w14:paraId="5355C678"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4</w:t>
            </w:r>
          </w:p>
        </w:tc>
        <w:tc>
          <w:tcPr>
            <w:tcW w:w="951" w:type="dxa"/>
            <w:tcBorders>
              <w:top w:val="nil"/>
              <w:left w:val="nil"/>
              <w:bottom w:val="single" w:sz="4" w:space="0" w:color="9CC2E5"/>
              <w:right w:val="single" w:sz="4" w:space="0" w:color="FFFFFF"/>
            </w:tcBorders>
            <w:shd w:val="clear" w:color="000000" w:fill="FFFFFF"/>
            <w:hideMark/>
          </w:tcPr>
          <w:p w14:paraId="1CABC037"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5</w:t>
            </w:r>
          </w:p>
        </w:tc>
        <w:tc>
          <w:tcPr>
            <w:tcW w:w="951" w:type="dxa"/>
            <w:tcBorders>
              <w:top w:val="nil"/>
              <w:left w:val="nil"/>
              <w:bottom w:val="single" w:sz="4" w:space="0" w:color="9CC2E5"/>
              <w:right w:val="single" w:sz="4" w:space="0" w:color="FFFFFF"/>
            </w:tcBorders>
            <w:shd w:val="clear" w:color="000000" w:fill="FFFFFF"/>
            <w:hideMark/>
          </w:tcPr>
          <w:p w14:paraId="03F9B090"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6</w:t>
            </w:r>
          </w:p>
        </w:tc>
        <w:tc>
          <w:tcPr>
            <w:tcW w:w="870" w:type="dxa"/>
            <w:tcBorders>
              <w:top w:val="nil"/>
              <w:left w:val="nil"/>
              <w:bottom w:val="single" w:sz="4" w:space="0" w:color="9CC2E5"/>
              <w:right w:val="single" w:sz="4" w:space="0" w:color="FFFFFF"/>
            </w:tcBorders>
            <w:shd w:val="clear" w:color="000000" w:fill="FFFFFF"/>
            <w:hideMark/>
          </w:tcPr>
          <w:p w14:paraId="1CF728BB"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7</w:t>
            </w:r>
          </w:p>
        </w:tc>
      </w:tr>
      <w:tr w:rsidR="000C0F3E" w:rsidRPr="00311C36" w14:paraId="19218779" w14:textId="77777777" w:rsidTr="000C0F3E">
        <w:trPr>
          <w:trHeight w:val="167"/>
        </w:trPr>
        <w:tc>
          <w:tcPr>
            <w:tcW w:w="474" w:type="dxa"/>
            <w:vMerge/>
            <w:tcBorders>
              <w:top w:val="single" w:sz="4" w:space="0" w:color="9CC2E5"/>
              <w:left w:val="single" w:sz="4" w:space="0" w:color="FFFFFF"/>
              <w:bottom w:val="single" w:sz="4" w:space="0" w:color="9CC2E5"/>
              <w:right w:val="single" w:sz="4" w:space="0" w:color="FFFFFF"/>
            </w:tcBorders>
            <w:vAlign w:val="center"/>
            <w:hideMark/>
          </w:tcPr>
          <w:p w14:paraId="148C5874" w14:textId="77777777" w:rsidR="003D4E1D" w:rsidRPr="003D4E1D" w:rsidRDefault="003D4E1D" w:rsidP="00A06393">
            <w:pPr>
              <w:spacing w:before="0" w:after="0" w:line="240" w:lineRule="auto"/>
              <w:rPr>
                <w:rFonts w:ascii="Calibri" w:eastAsia="Times New Roman" w:hAnsi="Calibri" w:cs="Times New Roman"/>
                <w:b/>
                <w:bCs/>
                <w:color w:val="5B9BD5"/>
                <w:sz w:val="16"/>
                <w:szCs w:val="14"/>
                <w:lang w:eastAsia="ro-RO"/>
              </w:rPr>
            </w:pPr>
          </w:p>
        </w:tc>
        <w:tc>
          <w:tcPr>
            <w:tcW w:w="2284" w:type="dxa"/>
            <w:vMerge/>
            <w:tcBorders>
              <w:top w:val="single" w:sz="4" w:space="0" w:color="9CC2E5"/>
              <w:left w:val="single" w:sz="4" w:space="0" w:color="FFFFFF"/>
              <w:bottom w:val="single" w:sz="4" w:space="0" w:color="9CC2E5"/>
              <w:right w:val="single" w:sz="4" w:space="0" w:color="FFFFFF"/>
            </w:tcBorders>
            <w:vAlign w:val="center"/>
            <w:hideMark/>
          </w:tcPr>
          <w:p w14:paraId="672A29CA" w14:textId="77777777" w:rsidR="003D4E1D" w:rsidRPr="003D4E1D" w:rsidRDefault="003D4E1D" w:rsidP="00A06393">
            <w:pPr>
              <w:spacing w:before="0" w:after="0" w:line="240" w:lineRule="auto"/>
              <w:rPr>
                <w:rFonts w:ascii="Calibri" w:eastAsia="Times New Roman" w:hAnsi="Calibri" w:cs="Times New Roman"/>
                <w:b/>
                <w:bCs/>
                <w:color w:val="5B9BD5"/>
                <w:sz w:val="16"/>
                <w:szCs w:val="14"/>
                <w:lang w:eastAsia="ro-RO"/>
              </w:rPr>
            </w:pPr>
          </w:p>
        </w:tc>
        <w:tc>
          <w:tcPr>
            <w:tcW w:w="460" w:type="dxa"/>
            <w:tcBorders>
              <w:top w:val="nil"/>
              <w:left w:val="nil"/>
              <w:bottom w:val="single" w:sz="4" w:space="0" w:color="9CC2E5"/>
              <w:right w:val="single" w:sz="4" w:space="0" w:color="FFFFFF"/>
            </w:tcBorders>
            <w:shd w:val="clear" w:color="000000" w:fill="FFFFFF"/>
            <w:hideMark/>
          </w:tcPr>
          <w:p w14:paraId="57920771"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 xml:space="preserve">nr. </w:t>
            </w:r>
          </w:p>
        </w:tc>
        <w:tc>
          <w:tcPr>
            <w:tcW w:w="951" w:type="dxa"/>
            <w:tcBorders>
              <w:top w:val="nil"/>
              <w:left w:val="nil"/>
              <w:bottom w:val="single" w:sz="4" w:space="0" w:color="9CC2E5"/>
              <w:right w:val="single" w:sz="4" w:space="0" w:color="FFFFFF"/>
            </w:tcBorders>
            <w:shd w:val="clear" w:color="000000" w:fill="FFFFFF"/>
            <w:hideMark/>
          </w:tcPr>
          <w:p w14:paraId="18346AD2"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mii lei</w:t>
            </w:r>
          </w:p>
        </w:tc>
        <w:tc>
          <w:tcPr>
            <w:tcW w:w="781" w:type="dxa"/>
            <w:tcBorders>
              <w:top w:val="nil"/>
              <w:left w:val="nil"/>
              <w:bottom w:val="single" w:sz="4" w:space="0" w:color="9CC2E5"/>
              <w:right w:val="single" w:sz="4" w:space="0" w:color="FFFFFF"/>
            </w:tcBorders>
            <w:shd w:val="clear" w:color="000000" w:fill="FFFFFF"/>
            <w:hideMark/>
          </w:tcPr>
          <w:p w14:paraId="2DF2BBED"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nr. pers.</w:t>
            </w:r>
          </w:p>
        </w:tc>
        <w:tc>
          <w:tcPr>
            <w:tcW w:w="870" w:type="dxa"/>
            <w:tcBorders>
              <w:top w:val="nil"/>
              <w:left w:val="nil"/>
              <w:bottom w:val="single" w:sz="4" w:space="0" w:color="9CC2E5"/>
              <w:right w:val="single" w:sz="4" w:space="0" w:color="FFFFFF"/>
            </w:tcBorders>
            <w:shd w:val="clear" w:color="000000" w:fill="FFFFFF"/>
            <w:hideMark/>
          </w:tcPr>
          <w:p w14:paraId="5420516E"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mii lei</w:t>
            </w:r>
          </w:p>
        </w:tc>
        <w:tc>
          <w:tcPr>
            <w:tcW w:w="1020" w:type="dxa"/>
            <w:tcBorders>
              <w:top w:val="nil"/>
              <w:left w:val="nil"/>
              <w:bottom w:val="single" w:sz="4" w:space="0" w:color="9CC2E5"/>
              <w:right w:val="single" w:sz="4" w:space="0" w:color="FFFFFF"/>
            </w:tcBorders>
            <w:shd w:val="clear" w:color="000000" w:fill="FFFFFF"/>
            <w:hideMark/>
          </w:tcPr>
          <w:p w14:paraId="76E0DD19"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mii lei</w:t>
            </w:r>
          </w:p>
        </w:tc>
        <w:tc>
          <w:tcPr>
            <w:tcW w:w="951" w:type="dxa"/>
            <w:tcBorders>
              <w:top w:val="nil"/>
              <w:left w:val="nil"/>
              <w:bottom w:val="single" w:sz="4" w:space="0" w:color="9CC2E5"/>
              <w:right w:val="single" w:sz="4" w:space="0" w:color="FFFFFF"/>
            </w:tcBorders>
            <w:shd w:val="clear" w:color="000000" w:fill="FFFFFF"/>
            <w:hideMark/>
          </w:tcPr>
          <w:p w14:paraId="2B8EF6C1"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mii lei</w:t>
            </w:r>
          </w:p>
        </w:tc>
        <w:tc>
          <w:tcPr>
            <w:tcW w:w="951" w:type="dxa"/>
            <w:tcBorders>
              <w:top w:val="nil"/>
              <w:left w:val="nil"/>
              <w:bottom w:val="single" w:sz="4" w:space="0" w:color="9CC2E5"/>
              <w:right w:val="single" w:sz="4" w:space="0" w:color="FFFFFF"/>
            </w:tcBorders>
            <w:shd w:val="clear" w:color="000000" w:fill="FFFFFF"/>
            <w:hideMark/>
          </w:tcPr>
          <w:p w14:paraId="269D0888"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mii lei</w:t>
            </w:r>
          </w:p>
        </w:tc>
        <w:tc>
          <w:tcPr>
            <w:tcW w:w="870" w:type="dxa"/>
            <w:tcBorders>
              <w:top w:val="nil"/>
              <w:left w:val="nil"/>
              <w:bottom w:val="single" w:sz="4" w:space="0" w:color="9CC2E5"/>
              <w:right w:val="single" w:sz="4" w:space="0" w:color="FFFFFF"/>
            </w:tcBorders>
            <w:shd w:val="clear" w:color="000000" w:fill="FFFFFF"/>
            <w:hideMark/>
          </w:tcPr>
          <w:p w14:paraId="715D08A5" w14:textId="77777777" w:rsidR="003D4E1D" w:rsidRPr="003D4E1D" w:rsidRDefault="003D4E1D"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3D4E1D">
              <w:rPr>
                <w:rFonts w:ascii="Calibri" w:eastAsia="Times New Roman" w:hAnsi="Calibri" w:cs="Times New Roman"/>
                <w:i/>
                <w:iCs/>
                <w:color w:val="0F6FC6" w:themeColor="accent1"/>
                <w:sz w:val="14"/>
                <w:szCs w:val="14"/>
                <w:lang w:eastAsia="ro-RO"/>
              </w:rPr>
              <w:t>mii lei</w:t>
            </w:r>
          </w:p>
        </w:tc>
      </w:tr>
      <w:tr w:rsidR="000C0F3E" w:rsidRPr="00311C36" w14:paraId="050CF5E9" w14:textId="77777777" w:rsidTr="000C0F3E">
        <w:trPr>
          <w:trHeight w:val="461"/>
        </w:trPr>
        <w:tc>
          <w:tcPr>
            <w:tcW w:w="474" w:type="dxa"/>
            <w:tcBorders>
              <w:top w:val="nil"/>
              <w:left w:val="single" w:sz="4" w:space="0" w:color="FFFFFF"/>
              <w:bottom w:val="single" w:sz="4" w:space="0" w:color="9CC2E5"/>
              <w:right w:val="single" w:sz="4" w:space="0" w:color="FFFFFF"/>
            </w:tcBorders>
            <w:shd w:val="clear" w:color="auto" w:fill="auto"/>
            <w:noWrap/>
            <w:hideMark/>
          </w:tcPr>
          <w:p w14:paraId="3656E53B"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1</w:t>
            </w:r>
          </w:p>
        </w:tc>
        <w:tc>
          <w:tcPr>
            <w:tcW w:w="2284" w:type="dxa"/>
            <w:tcBorders>
              <w:top w:val="nil"/>
              <w:left w:val="nil"/>
              <w:bottom w:val="single" w:sz="4" w:space="0" w:color="9CC2E5"/>
              <w:right w:val="single" w:sz="4" w:space="0" w:color="FFFFFF"/>
            </w:tcBorders>
            <w:shd w:val="clear" w:color="auto" w:fill="auto"/>
            <w:hideMark/>
          </w:tcPr>
          <w:p w14:paraId="3EA4CBB8"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Productia si furnizarea de energie electrica si termica, gaze, apa calda si aer conditionat</w:t>
            </w:r>
          </w:p>
        </w:tc>
        <w:tc>
          <w:tcPr>
            <w:tcW w:w="460" w:type="dxa"/>
            <w:tcBorders>
              <w:top w:val="nil"/>
              <w:left w:val="nil"/>
              <w:bottom w:val="single" w:sz="4" w:space="0" w:color="9CC2E5"/>
              <w:right w:val="single" w:sz="4" w:space="0" w:color="FFFFFF"/>
            </w:tcBorders>
            <w:shd w:val="clear" w:color="auto" w:fill="auto"/>
            <w:hideMark/>
          </w:tcPr>
          <w:p w14:paraId="53283007"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9</w:t>
            </w:r>
          </w:p>
        </w:tc>
        <w:tc>
          <w:tcPr>
            <w:tcW w:w="951" w:type="dxa"/>
            <w:tcBorders>
              <w:top w:val="nil"/>
              <w:left w:val="nil"/>
              <w:bottom w:val="single" w:sz="4" w:space="0" w:color="9CC2E5"/>
              <w:right w:val="single" w:sz="4" w:space="0" w:color="FFFFFF"/>
            </w:tcBorders>
            <w:shd w:val="clear" w:color="auto" w:fill="auto"/>
            <w:hideMark/>
          </w:tcPr>
          <w:p w14:paraId="47C762BF"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11.295.656</w:t>
            </w:r>
          </w:p>
        </w:tc>
        <w:tc>
          <w:tcPr>
            <w:tcW w:w="781" w:type="dxa"/>
            <w:tcBorders>
              <w:top w:val="nil"/>
              <w:left w:val="nil"/>
              <w:bottom w:val="single" w:sz="4" w:space="0" w:color="9CC2E5"/>
              <w:right w:val="single" w:sz="4" w:space="0" w:color="FFFFFF"/>
            </w:tcBorders>
            <w:shd w:val="clear" w:color="auto" w:fill="auto"/>
            <w:hideMark/>
          </w:tcPr>
          <w:p w14:paraId="472409EF"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22.174</w:t>
            </w:r>
          </w:p>
        </w:tc>
        <w:tc>
          <w:tcPr>
            <w:tcW w:w="870" w:type="dxa"/>
            <w:tcBorders>
              <w:top w:val="nil"/>
              <w:left w:val="nil"/>
              <w:bottom w:val="single" w:sz="4" w:space="0" w:color="9CC2E5"/>
              <w:right w:val="single" w:sz="4" w:space="0" w:color="FFFFFF"/>
            </w:tcBorders>
            <w:shd w:val="clear" w:color="auto" w:fill="auto"/>
            <w:hideMark/>
          </w:tcPr>
          <w:p w14:paraId="4C9DF9C7"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1.812.686</w:t>
            </w:r>
          </w:p>
        </w:tc>
        <w:tc>
          <w:tcPr>
            <w:tcW w:w="1020" w:type="dxa"/>
            <w:tcBorders>
              <w:top w:val="nil"/>
              <w:left w:val="nil"/>
              <w:bottom w:val="single" w:sz="4" w:space="0" w:color="9CC2E5"/>
              <w:right w:val="single" w:sz="4" w:space="0" w:color="FFFFFF"/>
            </w:tcBorders>
            <w:shd w:val="clear" w:color="auto" w:fill="auto"/>
            <w:hideMark/>
          </w:tcPr>
          <w:p w14:paraId="63842CF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37.211.692</w:t>
            </w:r>
          </w:p>
        </w:tc>
        <w:tc>
          <w:tcPr>
            <w:tcW w:w="951" w:type="dxa"/>
            <w:tcBorders>
              <w:top w:val="nil"/>
              <w:left w:val="nil"/>
              <w:bottom w:val="single" w:sz="4" w:space="0" w:color="9CC2E5"/>
              <w:right w:val="single" w:sz="4" w:space="0" w:color="FFFFFF"/>
            </w:tcBorders>
            <w:shd w:val="clear" w:color="auto" w:fill="auto"/>
            <w:hideMark/>
          </w:tcPr>
          <w:p w14:paraId="60BE1297"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27.226.655</w:t>
            </w:r>
          </w:p>
        </w:tc>
        <w:tc>
          <w:tcPr>
            <w:tcW w:w="951" w:type="dxa"/>
            <w:tcBorders>
              <w:top w:val="nil"/>
              <w:left w:val="nil"/>
              <w:bottom w:val="single" w:sz="4" w:space="0" w:color="9CC2E5"/>
              <w:right w:val="single" w:sz="4" w:space="0" w:color="FFFFFF"/>
            </w:tcBorders>
            <w:shd w:val="clear" w:color="auto" w:fill="auto"/>
            <w:hideMark/>
          </w:tcPr>
          <w:p w14:paraId="76DC054A"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6.257.955</w:t>
            </w:r>
          </w:p>
        </w:tc>
        <w:tc>
          <w:tcPr>
            <w:tcW w:w="870" w:type="dxa"/>
            <w:tcBorders>
              <w:top w:val="nil"/>
              <w:left w:val="nil"/>
              <w:bottom w:val="single" w:sz="4" w:space="0" w:color="9CC2E5"/>
              <w:right w:val="single" w:sz="4" w:space="0" w:color="FFFFFF"/>
            </w:tcBorders>
            <w:shd w:val="clear" w:color="auto" w:fill="auto"/>
            <w:hideMark/>
          </w:tcPr>
          <w:p w14:paraId="71C3F14C"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15.129</w:t>
            </w:r>
          </w:p>
        </w:tc>
      </w:tr>
      <w:tr w:rsidR="000C0F3E" w:rsidRPr="00311C36" w14:paraId="03DA03FF" w14:textId="77777777" w:rsidTr="000C0F3E">
        <w:trPr>
          <w:trHeight w:val="314"/>
        </w:trPr>
        <w:tc>
          <w:tcPr>
            <w:tcW w:w="474" w:type="dxa"/>
            <w:tcBorders>
              <w:top w:val="nil"/>
              <w:left w:val="single" w:sz="4" w:space="0" w:color="FFFFFF"/>
              <w:bottom w:val="single" w:sz="4" w:space="0" w:color="9CC2E5"/>
              <w:right w:val="single" w:sz="4" w:space="0" w:color="FFFFFF"/>
            </w:tcBorders>
            <w:shd w:val="clear" w:color="auto" w:fill="auto"/>
            <w:noWrap/>
            <w:hideMark/>
          </w:tcPr>
          <w:p w14:paraId="5D42A483"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2</w:t>
            </w:r>
          </w:p>
        </w:tc>
        <w:tc>
          <w:tcPr>
            <w:tcW w:w="2284" w:type="dxa"/>
            <w:tcBorders>
              <w:top w:val="nil"/>
              <w:left w:val="nil"/>
              <w:bottom w:val="single" w:sz="4" w:space="0" w:color="9CC2E5"/>
              <w:right w:val="single" w:sz="4" w:space="0" w:color="FFFFFF"/>
            </w:tcBorders>
            <w:shd w:val="clear" w:color="auto" w:fill="auto"/>
            <w:hideMark/>
          </w:tcPr>
          <w:p w14:paraId="60AE309F"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Transporturi terestre si transporturi prin conducte</w:t>
            </w:r>
          </w:p>
        </w:tc>
        <w:tc>
          <w:tcPr>
            <w:tcW w:w="460" w:type="dxa"/>
            <w:tcBorders>
              <w:top w:val="nil"/>
              <w:left w:val="nil"/>
              <w:bottom w:val="single" w:sz="4" w:space="0" w:color="9CC2E5"/>
              <w:right w:val="single" w:sz="4" w:space="0" w:color="FFFFFF"/>
            </w:tcBorders>
            <w:shd w:val="clear" w:color="auto" w:fill="auto"/>
            <w:hideMark/>
          </w:tcPr>
          <w:p w14:paraId="158C275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7</w:t>
            </w:r>
          </w:p>
        </w:tc>
        <w:tc>
          <w:tcPr>
            <w:tcW w:w="951" w:type="dxa"/>
            <w:tcBorders>
              <w:top w:val="nil"/>
              <w:left w:val="nil"/>
              <w:bottom w:val="single" w:sz="4" w:space="0" w:color="9CC2E5"/>
              <w:right w:val="single" w:sz="4" w:space="0" w:color="FFFFFF"/>
            </w:tcBorders>
            <w:shd w:val="clear" w:color="auto" w:fill="auto"/>
            <w:hideMark/>
          </w:tcPr>
          <w:p w14:paraId="3CCE1DC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5.169.911</w:t>
            </w:r>
          </w:p>
        </w:tc>
        <w:tc>
          <w:tcPr>
            <w:tcW w:w="781" w:type="dxa"/>
            <w:tcBorders>
              <w:top w:val="nil"/>
              <w:left w:val="nil"/>
              <w:bottom w:val="single" w:sz="4" w:space="0" w:color="9CC2E5"/>
              <w:right w:val="single" w:sz="4" w:space="0" w:color="FFFFFF"/>
            </w:tcBorders>
            <w:shd w:val="clear" w:color="auto" w:fill="auto"/>
            <w:hideMark/>
          </w:tcPr>
          <w:p w14:paraId="4A5A4293"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28.133</w:t>
            </w:r>
          </w:p>
        </w:tc>
        <w:tc>
          <w:tcPr>
            <w:tcW w:w="870" w:type="dxa"/>
            <w:tcBorders>
              <w:top w:val="nil"/>
              <w:left w:val="nil"/>
              <w:bottom w:val="single" w:sz="4" w:space="0" w:color="9CC2E5"/>
              <w:right w:val="single" w:sz="4" w:space="0" w:color="FFFFFF"/>
            </w:tcBorders>
            <w:shd w:val="clear" w:color="auto" w:fill="auto"/>
            <w:hideMark/>
          </w:tcPr>
          <w:p w14:paraId="03B8D9F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-640.227</w:t>
            </w:r>
          </w:p>
        </w:tc>
        <w:tc>
          <w:tcPr>
            <w:tcW w:w="1020" w:type="dxa"/>
            <w:tcBorders>
              <w:top w:val="nil"/>
              <w:left w:val="nil"/>
              <w:bottom w:val="single" w:sz="4" w:space="0" w:color="9CC2E5"/>
              <w:right w:val="single" w:sz="4" w:space="0" w:color="FFFFFF"/>
            </w:tcBorders>
            <w:shd w:val="clear" w:color="auto" w:fill="auto"/>
            <w:hideMark/>
          </w:tcPr>
          <w:p w14:paraId="658ECD64"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27.839.013</w:t>
            </w:r>
          </w:p>
        </w:tc>
        <w:tc>
          <w:tcPr>
            <w:tcW w:w="951" w:type="dxa"/>
            <w:tcBorders>
              <w:top w:val="nil"/>
              <w:left w:val="nil"/>
              <w:bottom w:val="single" w:sz="4" w:space="0" w:color="9CC2E5"/>
              <w:right w:val="single" w:sz="4" w:space="0" w:color="FFFFFF"/>
            </w:tcBorders>
            <w:shd w:val="clear" w:color="auto" w:fill="auto"/>
            <w:hideMark/>
          </w:tcPr>
          <w:p w14:paraId="326A6E6A"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8.425.719</w:t>
            </w:r>
          </w:p>
        </w:tc>
        <w:tc>
          <w:tcPr>
            <w:tcW w:w="951" w:type="dxa"/>
            <w:tcBorders>
              <w:top w:val="nil"/>
              <w:left w:val="nil"/>
              <w:bottom w:val="single" w:sz="4" w:space="0" w:color="9CC2E5"/>
              <w:right w:val="single" w:sz="4" w:space="0" w:color="FFFFFF"/>
            </w:tcBorders>
            <w:shd w:val="clear" w:color="auto" w:fill="auto"/>
            <w:hideMark/>
          </w:tcPr>
          <w:p w14:paraId="381AA05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11.218.383</w:t>
            </w:r>
          </w:p>
        </w:tc>
        <w:tc>
          <w:tcPr>
            <w:tcW w:w="870" w:type="dxa"/>
            <w:tcBorders>
              <w:top w:val="nil"/>
              <w:left w:val="nil"/>
              <w:bottom w:val="single" w:sz="4" w:space="0" w:color="9CC2E5"/>
              <w:right w:val="single" w:sz="4" w:space="0" w:color="FFFFFF"/>
            </w:tcBorders>
            <w:shd w:val="clear" w:color="auto" w:fill="auto"/>
            <w:hideMark/>
          </w:tcPr>
          <w:p w14:paraId="7086F10A"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4.202.821</w:t>
            </w:r>
          </w:p>
        </w:tc>
      </w:tr>
      <w:tr w:rsidR="000C0F3E" w:rsidRPr="00311C36" w14:paraId="294FDE21" w14:textId="77777777" w:rsidTr="000C0F3E">
        <w:trPr>
          <w:trHeight w:val="293"/>
        </w:trPr>
        <w:tc>
          <w:tcPr>
            <w:tcW w:w="474" w:type="dxa"/>
            <w:tcBorders>
              <w:top w:val="nil"/>
              <w:left w:val="single" w:sz="4" w:space="0" w:color="FFFFFF"/>
              <w:bottom w:val="single" w:sz="4" w:space="0" w:color="9CC2E5"/>
              <w:right w:val="single" w:sz="4" w:space="0" w:color="FFFFFF"/>
            </w:tcBorders>
            <w:shd w:val="clear" w:color="auto" w:fill="auto"/>
            <w:noWrap/>
            <w:hideMark/>
          </w:tcPr>
          <w:p w14:paraId="5DD80EBF"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3</w:t>
            </w:r>
          </w:p>
        </w:tc>
        <w:tc>
          <w:tcPr>
            <w:tcW w:w="2284" w:type="dxa"/>
            <w:tcBorders>
              <w:top w:val="nil"/>
              <w:left w:val="nil"/>
              <w:bottom w:val="single" w:sz="4" w:space="0" w:color="9CC2E5"/>
              <w:right w:val="single" w:sz="4" w:space="0" w:color="FFFFFF"/>
            </w:tcBorders>
            <w:shd w:val="clear" w:color="auto" w:fill="auto"/>
            <w:hideMark/>
          </w:tcPr>
          <w:p w14:paraId="44BAAFAB"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Extractia petrolului brut si a gazelor naturale</w:t>
            </w:r>
          </w:p>
        </w:tc>
        <w:tc>
          <w:tcPr>
            <w:tcW w:w="460" w:type="dxa"/>
            <w:tcBorders>
              <w:top w:val="nil"/>
              <w:left w:val="nil"/>
              <w:bottom w:val="single" w:sz="4" w:space="0" w:color="9CC2E5"/>
              <w:right w:val="single" w:sz="4" w:space="0" w:color="FFFFFF"/>
            </w:tcBorders>
            <w:shd w:val="clear" w:color="auto" w:fill="auto"/>
            <w:hideMark/>
          </w:tcPr>
          <w:p w14:paraId="48F21DB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w:t>
            </w:r>
          </w:p>
        </w:tc>
        <w:tc>
          <w:tcPr>
            <w:tcW w:w="951" w:type="dxa"/>
            <w:tcBorders>
              <w:top w:val="nil"/>
              <w:left w:val="nil"/>
              <w:bottom w:val="single" w:sz="4" w:space="0" w:color="9CC2E5"/>
              <w:right w:val="single" w:sz="4" w:space="0" w:color="FFFFFF"/>
            </w:tcBorders>
            <w:shd w:val="clear" w:color="auto" w:fill="auto"/>
            <w:hideMark/>
          </w:tcPr>
          <w:p w14:paraId="0B6BEE13"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3.926.034</w:t>
            </w:r>
          </w:p>
        </w:tc>
        <w:tc>
          <w:tcPr>
            <w:tcW w:w="781" w:type="dxa"/>
            <w:tcBorders>
              <w:top w:val="nil"/>
              <w:left w:val="nil"/>
              <w:bottom w:val="single" w:sz="4" w:space="0" w:color="9CC2E5"/>
              <w:right w:val="single" w:sz="4" w:space="0" w:color="FFFFFF"/>
            </w:tcBorders>
            <w:shd w:val="clear" w:color="auto" w:fill="auto"/>
            <w:hideMark/>
          </w:tcPr>
          <w:p w14:paraId="4698FF8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5.673</w:t>
            </w:r>
          </w:p>
        </w:tc>
        <w:tc>
          <w:tcPr>
            <w:tcW w:w="870" w:type="dxa"/>
            <w:tcBorders>
              <w:top w:val="nil"/>
              <w:left w:val="nil"/>
              <w:bottom w:val="single" w:sz="4" w:space="0" w:color="9CC2E5"/>
              <w:right w:val="single" w:sz="4" w:space="0" w:color="FFFFFF"/>
            </w:tcBorders>
            <w:shd w:val="clear" w:color="auto" w:fill="auto"/>
            <w:hideMark/>
          </w:tcPr>
          <w:p w14:paraId="768FD9D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1.448.818</w:t>
            </w:r>
          </w:p>
        </w:tc>
        <w:tc>
          <w:tcPr>
            <w:tcW w:w="1020" w:type="dxa"/>
            <w:tcBorders>
              <w:top w:val="nil"/>
              <w:left w:val="nil"/>
              <w:bottom w:val="single" w:sz="4" w:space="0" w:color="9CC2E5"/>
              <w:right w:val="single" w:sz="4" w:space="0" w:color="FFFFFF"/>
            </w:tcBorders>
            <w:shd w:val="clear" w:color="auto" w:fill="auto"/>
            <w:hideMark/>
          </w:tcPr>
          <w:p w14:paraId="07A45031"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9.715.853</w:t>
            </w:r>
          </w:p>
        </w:tc>
        <w:tc>
          <w:tcPr>
            <w:tcW w:w="951" w:type="dxa"/>
            <w:tcBorders>
              <w:top w:val="nil"/>
              <w:left w:val="nil"/>
              <w:bottom w:val="single" w:sz="4" w:space="0" w:color="9CC2E5"/>
              <w:right w:val="single" w:sz="4" w:space="0" w:color="FFFFFF"/>
            </w:tcBorders>
            <w:shd w:val="clear" w:color="auto" w:fill="auto"/>
            <w:hideMark/>
          </w:tcPr>
          <w:p w14:paraId="45A527D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7.746.264</w:t>
            </w:r>
          </w:p>
        </w:tc>
        <w:tc>
          <w:tcPr>
            <w:tcW w:w="951" w:type="dxa"/>
            <w:tcBorders>
              <w:top w:val="nil"/>
              <w:left w:val="nil"/>
              <w:bottom w:val="single" w:sz="4" w:space="0" w:color="9CC2E5"/>
              <w:right w:val="single" w:sz="4" w:space="0" w:color="FFFFFF"/>
            </w:tcBorders>
            <w:shd w:val="clear" w:color="auto" w:fill="auto"/>
            <w:hideMark/>
          </w:tcPr>
          <w:p w14:paraId="6BF72EBC"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1.093.464</w:t>
            </w:r>
          </w:p>
        </w:tc>
        <w:tc>
          <w:tcPr>
            <w:tcW w:w="870" w:type="dxa"/>
            <w:tcBorders>
              <w:top w:val="nil"/>
              <w:left w:val="nil"/>
              <w:bottom w:val="single" w:sz="4" w:space="0" w:color="9CC2E5"/>
              <w:right w:val="single" w:sz="4" w:space="0" w:color="FFFFFF"/>
            </w:tcBorders>
            <w:shd w:val="clear" w:color="auto" w:fill="auto"/>
            <w:hideMark/>
          </w:tcPr>
          <w:p w14:paraId="04C8E041"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0</w:t>
            </w:r>
          </w:p>
        </w:tc>
      </w:tr>
      <w:tr w:rsidR="000C0F3E" w:rsidRPr="00311C36" w14:paraId="2A6AFBAE" w14:textId="77777777" w:rsidTr="000C0F3E">
        <w:trPr>
          <w:trHeight w:val="251"/>
        </w:trPr>
        <w:tc>
          <w:tcPr>
            <w:tcW w:w="474" w:type="dxa"/>
            <w:tcBorders>
              <w:top w:val="nil"/>
              <w:left w:val="single" w:sz="4" w:space="0" w:color="FFFFFF"/>
              <w:bottom w:val="single" w:sz="4" w:space="0" w:color="9CC2E5"/>
              <w:right w:val="single" w:sz="4" w:space="0" w:color="FFFFFF"/>
            </w:tcBorders>
            <w:shd w:val="clear" w:color="auto" w:fill="auto"/>
            <w:noWrap/>
            <w:hideMark/>
          </w:tcPr>
          <w:p w14:paraId="78095A86"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4</w:t>
            </w:r>
          </w:p>
        </w:tc>
        <w:tc>
          <w:tcPr>
            <w:tcW w:w="2284" w:type="dxa"/>
            <w:tcBorders>
              <w:top w:val="nil"/>
              <w:left w:val="nil"/>
              <w:bottom w:val="single" w:sz="4" w:space="0" w:color="9CC2E5"/>
              <w:right w:val="single" w:sz="4" w:space="0" w:color="FFFFFF"/>
            </w:tcBorders>
            <w:shd w:val="clear" w:color="auto" w:fill="auto"/>
            <w:hideMark/>
          </w:tcPr>
          <w:p w14:paraId="19E2ABE9"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Depozitare si activitati auxiliare pentru transporturi</w:t>
            </w:r>
          </w:p>
        </w:tc>
        <w:tc>
          <w:tcPr>
            <w:tcW w:w="460" w:type="dxa"/>
            <w:tcBorders>
              <w:top w:val="nil"/>
              <w:left w:val="nil"/>
              <w:bottom w:val="single" w:sz="4" w:space="0" w:color="9CC2E5"/>
              <w:right w:val="single" w:sz="4" w:space="0" w:color="FFFFFF"/>
            </w:tcBorders>
            <w:shd w:val="clear" w:color="auto" w:fill="auto"/>
            <w:hideMark/>
          </w:tcPr>
          <w:p w14:paraId="27E9CC6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14</w:t>
            </w:r>
          </w:p>
        </w:tc>
        <w:tc>
          <w:tcPr>
            <w:tcW w:w="951" w:type="dxa"/>
            <w:tcBorders>
              <w:top w:val="nil"/>
              <w:left w:val="nil"/>
              <w:bottom w:val="single" w:sz="4" w:space="0" w:color="9CC2E5"/>
              <w:right w:val="single" w:sz="4" w:space="0" w:color="FFFFFF"/>
            </w:tcBorders>
            <w:shd w:val="clear" w:color="auto" w:fill="auto"/>
            <w:hideMark/>
          </w:tcPr>
          <w:p w14:paraId="4F53858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2.992.684</w:t>
            </w:r>
          </w:p>
        </w:tc>
        <w:tc>
          <w:tcPr>
            <w:tcW w:w="781" w:type="dxa"/>
            <w:tcBorders>
              <w:top w:val="nil"/>
              <w:left w:val="nil"/>
              <w:bottom w:val="single" w:sz="4" w:space="0" w:color="9CC2E5"/>
              <w:right w:val="single" w:sz="4" w:space="0" w:color="FFFFFF"/>
            </w:tcBorders>
            <w:shd w:val="clear" w:color="auto" w:fill="auto"/>
            <w:hideMark/>
          </w:tcPr>
          <w:p w14:paraId="52374EE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30.304</w:t>
            </w:r>
          </w:p>
        </w:tc>
        <w:tc>
          <w:tcPr>
            <w:tcW w:w="870" w:type="dxa"/>
            <w:tcBorders>
              <w:top w:val="nil"/>
              <w:left w:val="nil"/>
              <w:bottom w:val="single" w:sz="4" w:space="0" w:color="9CC2E5"/>
              <w:right w:val="single" w:sz="4" w:space="0" w:color="FFFFFF"/>
            </w:tcBorders>
            <w:shd w:val="clear" w:color="auto" w:fill="auto"/>
            <w:hideMark/>
          </w:tcPr>
          <w:p w14:paraId="2EDB0E9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-332.238</w:t>
            </w:r>
          </w:p>
        </w:tc>
        <w:tc>
          <w:tcPr>
            <w:tcW w:w="1020" w:type="dxa"/>
            <w:tcBorders>
              <w:top w:val="nil"/>
              <w:left w:val="nil"/>
              <w:bottom w:val="single" w:sz="4" w:space="0" w:color="9CC2E5"/>
              <w:right w:val="single" w:sz="4" w:space="0" w:color="FFFFFF"/>
            </w:tcBorders>
            <w:shd w:val="clear" w:color="auto" w:fill="auto"/>
            <w:hideMark/>
          </w:tcPr>
          <w:p w14:paraId="24CACD4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24.768.786</w:t>
            </w:r>
          </w:p>
        </w:tc>
        <w:tc>
          <w:tcPr>
            <w:tcW w:w="951" w:type="dxa"/>
            <w:tcBorders>
              <w:top w:val="nil"/>
              <w:left w:val="nil"/>
              <w:bottom w:val="single" w:sz="4" w:space="0" w:color="9CC2E5"/>
              <w:right w:val="single" w:sz="4" w:space="0" w:color="FFFFFF"/>
            </w:tcBorders>
            <w:shd w:val="clear" w:color="auto" w:fill="auto"/>
            <w:hideMark/>
          </w:tcPr>
          <w:p w14:paraId="13321F9F"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8.108.409</w:t>
            </w:r>
          </w:p>
        </w:tc>
        <w:tc>
          <w:tcPr>
            <w:tcW w:w="951" w:type="dxa"/>
            <w:tcBorders>
              <w:top w:val="nil"/>
              <w:left w:val="nil"/>
              <w:bottom w:val="single" w:sz="4" w:space="0" w:color="9CC2E5"/>
              <w:right w:val="single" w:sz="4" w:space="0" w:color="FFFFFF"/>
            </w:tcBorders>
            <w:shd w:val="clear" w:color="auto" w:fill="auto"/>
            <w:hideMark/>
          </w:tcPr>
          <w:p w14:paraId="04F3CFC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2.185.573</w:t>
            </w:r>
          </w:p>
        </w:tc>
        <w:tc>
          <w:tcPr>
            <w:tcW w:w="870" w:type="dxa"/>
            <w:tcBorders>
              <w:top w:val="nil"/>
              <w:left w:val="nil"/>
              <w:bottom w:val="single" w:sz="4" w:space="0" w:color="9CC2E5"/>
              <w:right w:val="single" w:sz="4" w:space="0" w:color="FFFFFF"/>
            </w:tcBorders>
            <w:shd w:val="clear" w:color="auto" w:fill="auto"/>
            <w:hideMark/>
          </w:tcPr>
          <w:p w14:paraId="18770E44"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149.233</w:t>
            </w:r>
          </w:p>
        </w:tc>
      </w:tr>
      <w:tr w:rsidR="000C0F3E" w:rsidRPr="00311C36" w14:paraId="02900691" w14:textId="77777777" w:rsidTr="000C0F3E">
        <w:trPr>
          <w:trHeight w:val="241"/>
        </w:trPr>
        <w:tc>
          <w:tcPr>
            <w:tcW w:w="474" w:type="dxa"/>
            <w:tcBorders>
              <w:top w:val="nil"/>
              <w:left w:val="single" w:sz="4" w:space="0" w:color="FFFFFF"/>
              <w:bottom w:val="single" w:sz="4" w:space="0" w:color="9CC2E5"/>
              <w:right w:val="single" w:sz="4" w:space="0" w:color="FFFFFF"/>
            </w:tcBorders>
            <w:shd w:val="clear" w:color="auto" w:fill="auto"/>
            <w:noWrap/>
            <w:hideMark/>
          </w:tcPr>
          <w:p w14:paraId="654605CB"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5</w:t>
            </w:r>
          </w:p>
        </w:tc>
        <w:tc>
          <w:tcPr>
            <w:tcW w:w="2284" w:type="dxa"/>
            <w:tcBorders>
              <w:top w:val="nil"/>
              <w:left w:val="nil"/>
              <w:bottom w:val="single" w:sz="4" w:space="0" w:color="9CC2E5"/>
              <w:right w:val="single" w:sz="4" w:space="0" w:color="FFFFFF"/>
            </w:tcBorders>
            <w:shd w:val="clear" w:color="auto" w:fill="auto"/>
            <w:hideMark/>
          </w:tcPr>
          <w:p w14:paraId="4A5936CE"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Silvicultura si exploatare forestiera</w:t>
            </w:r>
          </w:p>
        </w:tc>
        <w:tc>
          <w:tcPr>
            <w:tcW w:w="460" w:type="dxa"/>
            <w:tcBorders>
              <w:top w:val="nil"/>
              <w:left w:val="nil"/>
              <w:bottom w:val="single" w:sz="4" w:space="0" w:color="9CC2E5"/>
              <w:right w:val="single" w:sz="4" w:space="0" w:color="FFFFFF"/>
            </w:tcBorders>
            <w:shd w:val="clear" w:color="auto" w:fill="auto"/>
            <w:hideMark/>
          </w:tcPr>
          <w:p w14:paraId="5B98528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23</w:t>
            </w:r>
          </w:p>
        </w:tc>
        <w:tc>
          <w:tcPr>
            <w:tcW w:w="951" w:type="dxa"/>
            <w:tcBorders>
              <w:top w:val="nil"/>
              <w:left w:val="nil"/>
              <w:bottom w:val="single" w:sz="4" w:space="0" w:color="9CC2E5"/>
              <w:right w:val="single" w:sz="4" w:space="0" w:color="FFFFFF"/>
            </w:tcBorders>
            <w:shd w:val="clear" w:color="auto" w:fill="auto"/>
            <w:hideMark/>
          </w:tcPr>
          <w:p w14:paraId="7DA3E3A1"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1.864.174</w:t>
            </w:r>
          </w:p>
        </w:tc>
        <w:tc>
          <w:tcPr>
            <w:tcW w:w="781" w:type="dxa"/>
            <w:tcBorders>
              <w:top w:val="nil"/>
              <w:left w:val="nil"/>
              <w:bottom w:val="single" w:sz="4" w:space="0" w:color="9CC2E5"/>
              <w:right w:val="single" w:sz="4" w:space="0" w:color="FFFFFF"/>
            </w:tcBorders>
            <w:shd w:val="clear" w:color="auto" w:fill="auto"/>
            <w:hideMark/>
          </w:tcPr>
          <w:p w14:paraId="136093B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15.336</w:t>
            </w:r>
          </w:p>
        </w:tc>
        <w:tc>
          <w:tcPr>
            <w:tcW w:w="870" w:type="dxa"/>
            <w:tcBorders>
              <w:top w:val="nil"/>
              <w:left w:val="nil"/>
              <w:bottom w:val="single" w:sz="4" w:space="0" w:color="9CC2E5"/>
              <w:right w:val="single" w:sz="4" w:space="0" w:color="FFFFFF"/>
            </w:tcBorders>
            <w:shd w:val="clear" w:color="auto" w:fill="auto"/>
            <w:hideMark/>
          </w:tcPr>
          <w:p w14:paraId="7B0FD9F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12.118</w:t>
            </w:r>
          </w:p>
        </w:tc>
        <w:tc>
          <w:tcPr>
            <w:tcW w:w="1020" w:type="dxa"/>
            <w:tcBorders>
              <w:top w:val="nil"/>
              <w:left w:val="nil"/>
              <w:bottom w:val="single" w:sz="4" w:space="0" w:color="9CC2E5"/>
              <w:right w:val="single" w:sz="4" w:space="0" w:color="FFFFFF"/>
            </w:tcBorders>
            <w:shd w:val="clear" w:color="auto" w:fill="auto"/>
            <w:hideMark/>
          </w:tcPr>
          <w:p w14:paraId="2A2A276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1.755.625</w:t>
            </w:r>
          </w:p>
        </w:tc>
        <w:tc>
          <w:tcPr>
            <w:tcW w:w="951" w:type="dxa"/>
            <w:tcBorders>
              <w:top w:val="nil"/>
              <w:left w:val="nil"/>
              <w:bottom w:val="single" w:sz="4" w:space="0" w:color="9CC2E5"/>
              <w:right w:val="single" w:sz="4" w:space="0" w:color="FFFFFF"/>
            </w:tcBorders>
            <w:shd w:val="clear" w:color="auto" w:fill="auto"/>
            <w:hideMark/>
          </w:tcPr>
          <w:p w14:paraId="2E35B33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761.024</w:t>
            </w:r>
          </w:p>
        </w:tc>
        <w:tc>
          <w:tcPr>
            <w:tcW w:w="951" w:type="dxa"/>
            <w:tcBorders>
              <w:top w:val="nil"/>
              <w:left w:val="nil"/>
              <w:bottom w:val="single" w:sz="4" w:space="0" w:color="9CC2E5"/>
              <w:right w:val="single" w:sz="4" w:space="0" w:color="FFFFFF"/>
            </w:tcBorders>
            <w:shd w:val="clear" w:color="auto" w:fill="auto"/>
            <w:hideMark/>
          </w:tcPr>
          <w:p w14:paraId="5D2A26CA"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448.259</w:t>
            </w:r>
          </w:p>
        </w:tc>
        <w:tc>
          <w:tcPr>
            <w:tcW w:w="870" w:type="dxa"/>
            <w:tcBorders>
              <w:top w:val="nil"/>
              <w:left w:val="nil"/>
              <w:bottom w:val="single" w:sz="4" w:space="0" w:color="9CC2E5"/>
              <w:right w:val="single" w:sz="4" w:space="0" w:color="FFFFFF"/>
            </w:tcBorders>
            <w:shd w:val="clear" w:color="auto" w:fill="auto"/>
            <w:hideMark/>
          </w:tcPr>
          <w:p w14:paraId="351F085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0</w:t>
            </w:r>
          </w:p>
        </w:tc>
      </w:tr>
      <w:tr w:rsidR="000C0F3E" w:rsidRPr="00311C36" w14:paraId="658872FA" w14:textId="77777777" w:rsidTr="000C0F3E">
        <w:trPr>
          <w:trHeight w:val="251"/>
        </w:trPr>
        <w:tc>
          <w:tcPr>
            <w:tcW w:w="474" w:type="dxa"/>
            <w:tcBorders>
              <w:top w:val="nil"/>
              <w:left w:val="single" w:sz="4" w:space="0" w:color="FFFFFF"/>
              <w:bottom w:val="single" w:sz="4" w:space="0" w:color="9CC2E5"/>
              <w:right w:val="single" w:sz="4" w:space="0" w:color="FFFFFF"/>
            </w:tcBorders>
            <w:shd w:val="clear" w:color="auto" w:fill="auto"/>
            <w:noWrap/>
            <w:hideMark/>
          </w:tcPr>
          <w:p w14:paraId="6A58A00C"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6</w:t>
            </w:r>
          </w:p>
        </w:tc>
        <w:tc>
          <w:tcPr>
            <w:tcW w:w="2284" w:type="dxa"/>
            <w:tcBorders>
              <w:top w:val="nil"/>
              <w:left w:val="nil"/>
              <w:bottom w:val="single" w:sz="4" w:space="0" w:color="9CC2E5"/>
              <w:right w:val="single" w:sz="4" w:space="0" w:color="FFFFFF"/>
            </w:tcBorders>
            <w:shd w:val="clear" w:color="auto" w:fill="auto"/>
            <w:hideMark/>
          </w:tcPr>
          <w:p w14:paraId="6500CF1E"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Administratie publica si aparare; asigurari sociale din sistemul public</w:t>
            </w:r>
          </w:p>
        </w:tc>
        <w:tc>
          <w:tcPr>
            <w:tcW w:w="460" w:type="dxa"/>
            <w:tcBorders>
              <w:top w:val="nil"/>
              <w:left w:val="nil"/>
              <w:bottom w:val="single" w:sz="4" w:space="0" w:color="9CC2E5"/>
              <w:right w:val="single" w:sz="4" w:space="0" w:color="FFFFFF"/>
            </w:tcBorders>
            <w:shd w:val="clear" w:color="auto" w:fill="auto"/>
            <w:hideMark/>
          </w:tcPr>
          <w:p w14:paraId="6B168BCF"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w:t>
            </w:r>
          </w:p>
        </w:tc>
        <w:tc>
          <w:tcPr>
            <w:tcW w:w="951" w:type="dxa"/>
            <w:tcBorders>
              <w:top w:val="nil"/>
              <w:left w:val="nil"/>
              <w:bottom w:val="single" w:sz="4" w:space="0" w:color="9CC2E5"/>
              <w:right w:val="single" w:sz="4" w:space="0" w:color="FFFFFF"/>
            </w:tcBorders>
            <w:shd w:val="clear" w:color="auto" w:fill="auto"/>
            <w:hideMark/>
          </w:tcPr>
          <w:p w14:paraId="5AFE8334"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1.562.118</w:t>
            </w:r>
          </w:p>
        </w:tc>
        <w:tc>
          <w:tcPr>
            <w:tcW w:w="781" w:type="dxa"/>
            <w:tcBorders>
              <w:top w:val="nil"/>
              <w:left w:val="nil"/>
              <w:bottom w:val="single" w:sz="4" w:space="0" w:color="9CC2E5"/>
              <w:right w:val="single" w:sz="4" w:space="0" w:color="FFFFFF"/>
            </w:tcBorders>
            <w:shd w:val="clear" w:color="auto" w:fill="auto"/>
            <w:hideMark/>
          </w:tcPr>
          <w:p w14:paraId="70FC373B"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8.018</w:t>
            </w:r>
          </w:p>
        </w:tc>
        <w:tc>
          <w:tcPr>
            <w:tcW w:w="870" w:type="dxa"/>
            <w:tcBorders>
              <w:top w:val="nil"/>
              <w:left w:val="nil"/>
              <w:bottom w:val="single" w:sz="4" w:space="0" w:color="9CC2E5"/>
              <w:right w:val="single" w:sz="4" w:space="0" w:color="FFFFFF"/>
            </w:tcBorders>
            <w:shd w:val="clear" w:color="auto" w:fill="auto"/>
            <w:hideMark/>
          </w:tcPr>
          <w:p w14:paraId="16DFCE5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7.835</w:t>
            </w:r>
          </w:p>
        </w:tc>
        <w:tc>
          <w:tcPr>
            <w:tcW w:w="1020" w:type="dxa"/>
            <w:tcBorders>
              <w:top w:val="nil"/>
              <w:left w:val="nil"/>
              <w:bottom w:val="single" w:sz="4" w:space="0" w:color="9CC2E5"/>
              <w:right w:val="single" w:sz="4" w:space="0" w:color="FFFFFF"/>
            </w:tcBorders>
            <w:shd w:val="clear" w:color="auto" w:fill="auto"/>
            <w:hideMark/>
          </w:tcPr>
          <w:p w14:paraId="22FCB06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82.124.170</w:t>
            </w:r>
          </w:p>
        </w:tc>
        <w:tc>
          <w:tcPr>
            <w:tcW w:w="951" w:type="dxa"/>
            <w:tcBorders>
              <w:top w:val="nil"/>
              <w:left w:val="nil"/>
              <w:bottom w:val="single" w:sz="4" w:space="0" w:color="9CC2E5"/>
              <w:right w:val="single" w:sz="4" w:space="0" w:color="FFFFFF"/>
            </w:tcBorders>
            <w:shd w:val="clear" w:color="auto" w:fill="auto"/>
            <w:hideMark/>
          </w:tcPr>
          <w:p w14:paraId="530871D4"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1.894.554</w:t>
            </w:r>
          </w:p>
        </w:tc>
        <w:tc>
          <w:tcPr>
            <w:tcW w:w="951" w:type="dxa"/>
            <w:tcBorders>
              <w:top w:val="nil"/>
              <w:left w:val="nil"/>
              <w:bottom w:val="single" w:sz="4" w:space="0" w:color="9CC2E5"/>
              <w:right w:val="single" w:sz="4" w:space="0" w:color="FFFFFF"/>
            </w:tcBorders>
            <w:shd w:val="clear" w:color="auto" w:fill="auto"/>
            <w:hideMark/>
          </w:tcPr>
          <w:p w14:paraId="0603A903"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65.689.905</w:t>
            </w:r>
          </w:p>
        </w:tc>
        <w:tc>
          <w:tcPr>
            <w:tcW w:w="870" w:type="dxa"/>
            <w:tcBorders>
              <w:top w:val="nil"/>
              <w:left w:val="nil"/>
              <w:bottom w:val="single" w:sz="4" w:space="0" w:color="9CC2E5"/>
              <w:right w:val="single" w:sz="4" w:space="0" w:color="FFFFFF"/>
            </w:tcBorders>
            <w:shd w:val="clear" w:color="auto" w:fill="auto"/>
            <w:hideMark/>
          </w:tcPr>
          <w:p w14:paraId="55778725"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0</w:t>
            </w:r>
          </w:p>
        </w:tc>
      </w:tr>
      <w:tr w:rsidR="000C0F3E" w:rsidRPr="00311C36" w14:paraId="1A2ECD7A" w14:textId="77777777" w:rsidTr="000C0F3E">
        <w:trPr>
          <w:trHeight w:val="210"/>
        </w:trPr>
        <w:tc>
          <w:tcPr>
            <w:tcW w:w="474" w:type="dxa"/>
            <w:tcBorders>
              <w:top w:val="nil"/>
              <w:left w:val="single" w:sz="4" w:space="0" w:color="FFFFFF"/>
              <w:bottom w:val="single" w:sz="4" w:space="0" w:color="9CC2E5"/>
              <w:right w:val="single" w:sz="4" w:space="0" w:color="FFFFFF"/>
            </w:tcBorders>
            <w:shd w:val="clear" w:color="auto" w:fill="auto"/>
            <w:noWrap/>
            <w:hideMark/>
          </w:tcPr>
          <w:p w14:paraId="3EAFC72C"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7</w:t>
            </w:r>
          </w:p>
        </w:tc>
        <w:tc>
          <w:tcPr>
            <w:tcW w:w="2284" w:type="dxa"/>
            <w:tcBorders>
              <w:top w:val="nil"/>
              <w:left w:val="nil"/>
              <w:bottom w:val="single" w:sz="4" w:space="0" w:color="9CC2E5"/>
              <w:right w:val="single" w:sz="4" w:space="0" w:color="FFFFFF"/>
            </w:tcBorders>
            <w:shd w:val="clear" w:color="auto" w:fill="auto"/>
            <w:hideMark/>
          </w:tcPr>
          <w:p w14:paraId="7878C177"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Activitati de posta si de curier</w:t>
            </w:r>
          </w:p>
        </w:tc>
        <w:tc>
          <w:tcPr>
            <w:tcW w:w="460" w:type="dxa"/>
            <w:tcBorders>
              <w:top w:val="nil"/>
              <w:left w:val="nil"/>
              <w:bottom w:val="single" w:sz="4" w:space="0" w:color="9CC2E5"/>
              <w:right w:val="single" w:sz="4" w:space="0" w:color="FFFFFF"/>
            </w:tcBorders>
            <w:shd w:val="clear" w:color="auto" w:fill="auto"/>
            <w:hideMark/>
          </w:tcPr>
          <w:p w14:paraId="4BA2F44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w:t>
            </w:r>
          </w:p>
        </w:tc>
        <w:tc>
          <w:tcPr>
            <w:tcW w:w="951" w:type="dxa"/>
            <w:tcBorders>
              <w:top w:val="nil"/>
              <w:left w:val="nil"/>
              <w:bottom w:val="single" w:sz="4" w:space="0" w:color="9CC2E5"/>
              <w:right w:val="single" w:sz="4" w:space="0" w:color="FFFFFF"/>
            </w:tcBorders>
            <w:shd w:val="clear" w:color="auto" w:fill="auto"/>
            <w:hideMark/>
          </w:tcPr>
          <w:p w14:paraId="45833AC3"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1.287.307</w:t>
            </w:r>
          </w:p>
        </w:tc>
        <w:tc>
          <w:tcPr>
            <w:tcW w:w="781" w:type="dxa"/>
            <w:tcBorders>
              <w:top w:val="nil"/>
              <w:left w:val="nil"/>
              <w:bottom w:val="single" w:sz="4" w:space="0" w:color="9CC2E5"/>
              <w:right w:val="single" w:sz="4" w:space="0" w:color="FFFFFF"/>
            </w:tcBorders>
            <w:shd w:val="clear" w:color="auto" w:fill="auto"/>
            <w:hideMark/>
          </w:tcPr>
          <w:p w14:paraId="5672304B"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24.996</w:t>
            </w:r>
          </w:p>
        </w:tc>
        <w:tc>
          <w:tcPr>
            <w:tcW w:w="870" w:type="dxa"/>
            <w:tcBorders>
              <w:top w:val="nil"/>
              <w:left w:val="nil"/>
              <w:bottom w:val="single" w:sz="4" w:space="0" w:color="9CC2E5"/>
              <w:right w:val="single" w:sz="4" w:space="0" w:color="FFFFFF"/>
            </w:tcBorders>
            <w:shd w:val="clear" w:color="auto" w:fill="auto"/>
            <w:hideMark/>
          </w:tcPr>
          <w:p w14:paraId="75B384D6"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32.941</w:t>
            </w:r>
          </w:p>
        </w:tc>
        <w:tc>
          <w:tcPr>
            <w:tcW w:w="1020" w:type="dxa"/>
            <w:tcBorders>
              <w:top w:val="nil"/>
              <w:left w:val="nil"/>
              <w:bottom w:val="single" w:sz="4" w:space="0" w:color="9CC2E5"/>
              <w:right w:val="single" w:sz="4" w:space="0" w:color="FFFFFF"/>
            </w:tcBorders>
            <w:shd w:val="clear" w:color="auto" w:fill="auto"/>
            <w:hideMark/>
          </w:tcPr>
          <w:p w14:paraId="02FBEC8C"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1.045.227</w:t>
            </w:r>
          </w:p>
        </w:tc>
        <w:tc>
          <w:tcPr>
            <w:tcW w:w="951" w:type="dxa"/>
            <w:tcBorders>
              <w:top w:val="nil"/>
              <w:left w:val="nil"/>
              <w:bottom w:val="single" w:sz="4" w:space="0" w:color="9CC2E5"/>
              <w:right w:val="single" w:sz="4" w:space="0" w:color="FFFFFF"/>
            </w:tcBorders>
            <w:shd w:val="clear" w:color="auto" w:fill="auto"/>
            <w:hideMark/>
          </w:tcPr>
          <w:p w14:paraId="15AE726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396.310</w:t>
            </w:r>
          </w:p>
        </w:tc>
        <w:tc>
          <w:tcPr>
            <w:tcW w:w="951" w:type="dxa"/>
            <w:tcBorders>
              <w:top w:val="nil"/>
              <w:left w:val="nil"/>
              <w:bottom w:val="single" w:sz="4" w:space="0" w:color="9CC2E5"/>
              <w:right w:val="single" w:sz="4" w:space="0" w:color="FFFFFF"/>
            </w:tcBorders>
            <w:shd w:val="clear" w:color="auto" w:fill="auto"/>
            <w:hideMark/>
          </w:tcPr>
          <w:p w14:paraId="6068A8F3"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554.601</w:t>
            </w:r>
          </w:p>
        </w:tc>
        <w:tc>
          <w:tcPr>
            <w:tcW w:w="870" w:type="dxa"/>
            <w:tcBorders>
              <w:top w:val="nil"/>
              <w:left w:val="nil"/>
              <w:bottom w:val="single" w:sz="4" w:space="0" w:color="9CC2E5"/>
              <w:right w:val="single" w:sz="4" w:space="0" w:color="FFFFFF"/>
            </w:tcBorders>
            <w:shd w:val="clear" w:color="auto" w:fill="auto"/>
            <w:hideMark/>
          </w:tcPr>
          <w:p w14:paraId="2A264B9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0</w:t>
            </w:r>
          </w:p>
        </w:tc>
      </w:tr>
      <w:tr w:rsidR="000C0F3E" w:rsidRPr="00311C36" w14:paraId="2C97C369" w14:textId="77777777" w:rsidTr="000C0F3E">
        <w:trPr>
          <w:trHeight w:val="210"/>
        </w:trPr>
        <w:tc>
          <w:tcPr>
            <w:tcW w:w="474" w:type="dxa"/>
            <w:tcBorders>
              <w:top w:val="nil"/>
              <w:left w:val="single" w:sz="4" w:space="0" w:color="FFFFFF"/>
              <w:bottom w:val="single" w:sz="4" w:space="0" w:color="9CC2E5"/>
              <w:right w:val="single" w:sz="4" w:space="0" w:color="FFFFFF"/>
            </w:tcBorders>
            <w:shd w:val="clear" w:color="auto" w:fill="auto"/>
            <w:noWrap/>
            <w:hideMark/>
          </w:tcPr>
          <w:p w14:paraId="108D9132"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8</w:t>
            </w:r>
          </w:p>
        </w:tc>
        <w:tc>
          <w:tcPr>
            <w:tcW w:w="2284" w:type="dxa"/>
            <w:tcBorders>
              <w:top w:val="nil"/>
              <w:left w:val="nil"/>
              <w:bottom w:val="single" w:sz="4" w:space="0" w:color="9CC2E5"/>
              <w:right w:val="single" w:sz="4" w:space="0" w:color="FFFFFF"/>
            </w:tcBorders>
            <w:shd w:val="clear" w:color="auto" w:fill="auto"/>
            <w:hideMark/>
          </w:tcPr>
          <w:p w14:paraId="2207F6C5"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Cercetare-dezvoltare</w:t>
            </w:r>
          </w:p>
        </w:tc>
        <w:tc>
          <w:tcPr>
            <w:tcW w:w="460" w:type="dxa"/>
            <w:tcBorders>
              <w:top w:val="nil"/>
              <w:left w:val="nil"/>
              <w:bottom w:val="single" w:sz="4" w:space="0" w:color="9CC2E5"/>
              <w:right w:val="single" w:sz="4" w:space="0" w:color="FFFFFF"/>
            </w:tcBorders>
            <w:shd w:val="clear" w:color="auto" w:fill="auto"/>
            <w:hideMark/>
          </w:tcPr>
          <w:p w14:paraId="2692A19C"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56</w:t>
            </w:r>
          </w:p>
        </w:tc>
        <w:tc>
          <w:tcPr>
            <w:tcW w:w="951" w:type="dxa"/>
            <w:tcBorders>
              <w:top w:val="nil"/>
              <w:left w:val="nil"/>
              <w:bottom w:val="single" w:sz="4" w:space="0" w:color="9CC2E5"/>
              <w:right w:val="single" w:sz="4" w:space="0" w:color="FFFFFF"/>
            </w:tcBorders>
            <w:shd w:val="clear" w:color="auto" w:fill="auto"/>
            <w:hideMark/>
          </w:tcPr>
          <w:p w14:paraId="624EA06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1.196.898</w:t>
            </w:r>
          </w:p>
        </w:tc>
        <w:tc>
          <w:tcPr>
            <w:tcW w:w="781" w:type="dxa"/>
            <w:tcBorders>
              <w:top w:val="nil"/>
              <w:left w:val="nil"/>
              <w:bottom w:val="single" w:sz="4" w:space="0" w:color="9CC2E5"/>
              <w:right w:val="single" w:sz="4" w:space="0" w:color="FFFFFF"/>
            </w:tcBorders>
            <w:shd w:val="clear" w:color="auto" w:fill="auto"/>
            <w:hideMark/>
          </w:tcPr>
          <w:p w14:paraId="7D6D9617"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8.656</w:t>
            </w:r>
          </w:p>
        </w:tc>
        <w:tc>
          <w:tcPr>
            <w:tcW w:w="870" w:type="dxa"/>
            <w:tcBorders>
              <w:top w:val="nil"/>
              <w:left w:val="nil"/>
              <w:bottom w:val="single" w:sz="4" w:space="0" w:color="9CC2E5"/>
              <w:right w:val="single" w:sz="4" w:space="0" w:color="FFFFFF"/>
            </w:tcBorders>
            <w:shd w:val="clear" w:color="auto" w:fill="auto"/>
            <w:hideMark/>
          </w:tcPr>
          <w:p w14:paraId="7023F367"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-15.714</w:t>
            </w:r>
          </w:p>
        </w:tc>
        <w:tc>
          <w:tcPr>
            <w:tcW w:w="1020" w:type="dxa"/>
            <w:tcBorders>
              <w:top w:val="nil"/>
              <w:left w:val="nil"/>
              <w:bottom w:val="single" w:sz="4" w:space="0" w:color="9CC2E5"/>
              <w:right w:val="single" w:sz="4" w:space="0" w:color="FFFFFF"/>
            </w:tcBorders>
            <w:shd w:val="clear" w:color="auto" w:fill="auto"/>
            <w:hideMark/>
          </w:tcPr>
          <w:p w14:paraId="2E3DAAC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5.802.470</w:t>
            </w:r>
          </w:p>
        </w:tc>
        <w:tc>
          <w:tcPr>
            <w:tcW w:w="951" w:type="dxa"/>
            <w:tcBorders>
              <w:top w:val="nil"/>
              <w:left w:val="nil"/>
              <w:bottom w:val="single" w:sz="4" w:space="0" w:color="9CC2E5"/>
              <w:right w:val="single" w:sz="4" w:space="0" w:color="FFFFFF"/>
            </w:tcBorders>
            <w:shd w:val="clear" w:color="auto" w:fill="auto"/>
            <w:hideMark/>
          </w:tcPr>
          <w:p w14:paraId="0ECD97F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1.935.102</w:t>
            </w:r>
          </w:p>
        </w:tc>
        <w:tc>
          <w:tcPr>
            <w:tcW w:w="951" w:type="dxa"/>
            <w:tcBorders>
              <w:top w:val="nil"/>
              <w:left w:val="nil"/>
              <w:bottom w:val="single" w:sz="4" w:space="0" w:color="9CC2E5"/>
              <w:right w:val="single" w:sz="4" w:space="0" w:color="FFFFFF"/>
            </w:tcBorders>
            <w:shd w:val="clear" w:color="auto" w:fill="auto"/>
            <w:hideMark/>
          </w:tcPr>
          <w:p w14:paraId="004AD7D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615.902</w:t>
            </w:r>
          </w:p>
        </w:tc>
        <w:tc>
          <w:tcPr>
            <w:tcW w:w="870" w:type="dxa"/>
            <w:tcBorders>
              <w:top w:val="nil"/>
              <w:left w:val="nil"/>
              <w:bottom w:val="single" w:sz="4" w:space="0" w:color="9CC2E5"/>
              <w:right w:val="single" w:sz="4" w:space="0" w:color="FFFFFF"/>
            </w:tcBorders>
            <w:shd w:val="clear" w:color="auto" w:fill="auto"/>
            <w:hideMark/>
          </w:tcPr>
          <w:p w14:paraId="5247EE8F"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162.799</w:t>
            </w:r>
          </w:p>
        </w:tc>
      </w:tr>
      <w:tr w:rsidR="000C0F3E" w:rsidRPr="00311C36" w14:paraId="4682F385" w14:textId="77777777" w:rsidTr="000C0F3E">
        <w:trPr>
          <w:trHeight w:val="230"/>
        </w:trPr>
        <w:tc>
          <w:tcPr>
            <w:tcW w:w="474" w:type="dxa"/>
            <w:tcBorders>
              <w:top w:val="nil"/>
              <w:left w:val="single" w:sz="4" w:space="0" w:color="FFFFFF"/>
              <w:bottom w:val="single" w:sz="4" w:space="0" w:color="9CC2E5"/>
              <w:right w:val="single" w:sz="4" w:space="0" w:color="FFFFFF"/>
            </w:tcBorders>
            <w:shd w:val="clear" w:color="auto" w:fill="auto"/>
            <w:noWrap/>
            <w:hideMark/>
          </w:tcPr>
          <w:p w14:paraId="553064BE"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9</w:t>
            </w:r>
          </w:p>
        </w:tc>
        <w:tc>
          <w:tcPr>
            <w:tcW w:w="2284" w:type="dxa"/>
            <w:tcBorders>
              <w:top w:val="nil"/>
              <w:left w:val="nil"/>
              <w:bottom w:val="single" w:sz="4" w:space="0" w:color="9CC2E5"/>
              <w:right w:val="single" w:sz="4" w:space="0" w:color="FFFFFF"/>
            </w:tcBorders>
            <w:shd w:val="clear" w:color="auto" w:fill="auto"/>
            <w:hideMark/>
          </w:tcPr>
          <w:p w14:paraId="3C959F72"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Tiparire si reproducerea pe suporti a inregistrarilor</w:t>
            </w:r>
          </w:p>
        </w:tc>
        <w:tc>
          <w:tcPr>
            <w:tcW w:w="460" w:type="dxa"/>
            <w:tcBorders>
              <w:top w:val="nil"/>
              <w:left w:val="nil"/>
              <w:bottom w:val="single" w:sz="4" w:space="0" w:color="9CC2E5"/>
              <w:right w:val="single" w:sz="4" w:space="0" w:color="FFFFFF"/>
            </w:tcBorders>
            <w:shd w:val="clear" w:color="auto" w:fill="auto"/>
            <w:hideMark/>
          </w:tcPr>
          <w:p w14:paraId="5312AAC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4</w:t>
            </w:r>
          </w:p>
        </w:tc>
        <w:tc>
          <w:tcPr>
            <w:tcW w:w="951" w:type="dxa"/>
            <w:tcBorders>
              <w:top w:val="nil"/>
              <w:left w:val="nil"/>
              <w:bottom w:val="single" w:sz="4" w:space="0" w:color="9CC2E5"/>
              <w:right w:val="single" w:sz="4" w:space="0" w:color="FFFFFF"/>
            </w:tcBorders>
            <w:shd w:val="clear" w:color="auto" w:fill="auto"/>
            <w:hideMark/>
          </w:tcPr>
          <w:p w14:paraId="0E2DC63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530.600</w:t>
            </w:r>
          </w:p>
        </w:tc>
        <w:tc>
          <w:tcPr>
            <w:tcW w:w="781" w:type="dxa"/>
            <w:tcBorders>
              <w:top w:val="nil"/>
              <w:left w:val="nil"/>
              <w:bottom w:val="single" w:sz="4" w:space="0" w:color="9CC2E5"/>
              <w:right w:val="single" w:sz="4" w:space="0" w:color="FFFFFF"/>
            </w:tcBorders>
            <w:shd w:val="clear" w:color="auto" w:fill="auto"/>
            <w:hideMark/>
          </w:tcPr>
          <w:p w14:paraId="0D1A21D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899</w:t>
            </w:r>
          </w:p>
        </w:tc>
        <w:tc>
          <w:tcPr>
            <w:tcW w:w="870" w:type="dxa"/>
            <w:tcBorders>
              <w:top w:val="nil"/>
              <w:left w:val="nil"/>
              <w:bottom w:val="single" w:sz="4" w:space="0" w:color="9CC2E5"/>
              <w:right w:val="single" w:sz="4" w:space="0" w:color="FFFFFF"/>
            </w:tcBorders>
            <w:shd w:val="clear" w:color="auto" w:fill="auto"/>
            <w:hideMark/>
          </w:tcPr>
          <w:p w14:paraId="3E912A98"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268.373</w:t>
            </w:r>
          </w:p>
        </w:tc>
        <w:tc>
          <w:tcPr>
            <w:tcW w:w="1020" w:type="dxa"/>
            <w:tcBorders>
              <w:top w:val="nil"/>
              <w:left w:val="nil"/>
              <w:bottom w:val="single" w:sz="4" w:space="0" w:color="9CC2E5"/>
              <w:right w:val="single" w:sz="4" w:space="0" w:color="FFFFFF"/>
            </w:tcBorders>
            <w:shd w:val="clear" w:color="auto" w:fill="auto"/>
            <w:hideMark/>
          </w:tcPr>
          <w:p w14:paraId="621BDBD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861.521</w:t>
            </w:r>
          </w:p>
        </w:tc>
        <w:tc>
          <w:tcPr>
            <w:tcW w:w="951" w:type="dxa"/>
            <w:tcBorders>
              <w:top w:val="nil"/>
              <w:left w:val="nil"/>
              <w:bottom w:val="single" w:sz="4" w:space="0" w:color="9CC2E5"/>
              <w:right w:val="single" w:sz="4" w:space="0" w:color="FFFFFF"/>
            </w:tcBorders>
            <w:shd w:val="clear" w:color="auto" w:fill="auto"/>
            <w:hideMark/>
          </w:tcPr>
          <w:p w14:paraId="61CE9489"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691.593</w:t>
            </w:r>
          </w:p>
        </w:tc>
        <w:tc>
          <w:tcPr>
            <w:tcW w:w="951" w:type="dxa"/>
            <w:tcBorders>
              <w:top w:val="nil"/>
              <w:left w:val="nil"/>
              <w:bottom w:val="single" w:sz="4" w:space="0" w:color="9CC2E5"/>
              <w:right w:val="single" w:sz="4" w:space="0" w:color="FFFFFF"/>
            </w:tcBorders>
            <w:shd w:val="clear" w:color="auto" w:fill="auto"/>
            <w:hideMark/>
          </w:tcPr>
          <w:p w14:paraId="4D253126"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158.459</w:t>
            </w:r>
          </w:p>
        </w:tc>
        <w:tc>
          <w:tcPr>
            <w:tcW w:w="870" w:type="dxa"/>
            <w:tcBorders>
              <w:top w:val="nil"/>
              <w:left w:val="nil"/>
              <w:bottom w:val="single" w:sz="4" w:space="0" w:color="9CC2E5"/>
              <w:right w:val="single" w:sz="4" w:space="0" w:color="FFFFFF"/>
            </w:tcBorders>
            <w:shd w:val="clear" w:color="auto" w:fill="auto"/>
            <w:hideMark/>
          </w:tcPr>
          <w:p w14:paraId="26DB4F6E"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0</w:t>
            </w:r>
          </w:p>
        </w:tc>
      </w:tr>
      <w:tr w:rsidR="000C0F3E" w:rsidRPr="00311C36" w14:paraId="004249E1" w14:textId="77777777" w:rsidTr="000C0F3E">
        <w:trPr>
          <w:trHeight w:val="251"/>
        </w:trPr>
        <w:tc>
          <w:tcPr>
            <w:tcW w:w="474" w:type="dxa"/>
            <w:tcBorders>
              <w:top w:val="nil"/>
              <w:left w:val="single" w:sz="4" w:space="0" w:color="FFFFFF"/>
              <w:bottom w:val="single" w:sz="4" w:space="0" w:color="9CC2E5"/>
              <w:right w:val="single" w:sz="4" w:space="0" w:color="FFFFFF"/>
            </w:tcBorders>
            <w:shd w:val="clear" w:color="auto" w:fill="auto"/>
            <w:noWrap/>
            <w:hideMark/>
          </w:tcPr>
          <w:p w14:paraId="28C516E0"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10</w:t>
            </w:r>
          </w:p>
        </w:tc>
        <w:tc>
          <w:tcPr>
            <w:tcW w:w="2284" w:type="dxa"/>
            <w:tcBorders>
              <w:top w:val="nil"/>
              <w:left w:val="nil"/>
              <w:bottom w:val="single" w:sz="4" w:space="0" w:color="9CC2E5"/>
              <w:right w:val="single" w:sz="4" w:space="0" w:color="FFFFFF"/>
            </w:tcBorders>
            <w:shd w:val="clear" w:color="auto" w:fill="auto"/>
            <w:hideMark/>
          </w:tcPr>
          <w:p w14:paraId="2C0B55E2"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Activitati de arhitectura si inginerie; activitati de testari si analiza tehnica</w:t>
            </w:r>
          </w:p>
        </w:tc>
        <w:tc>
          <w:tcPr>
            <w:tcW w:w="460" w:type="dxa"/>
            <w:tcBorders>
              <w:top w:val="nil"/>
              <w:left w:val="nil"/>
              <w:bottom w:val="single" w:sz="4" w:space="0" w:color="9CC2E5"/>
              <w:right w:val="single" w:sz="4" w:space="0" w:color="FFFFFF"/>
            </w:tcBorders>
            <w:shd w:val="clear" w:color="auto" w:fill="auto"/>
            <w:hideMark/>
          </w:tcPr>
          <w:p w14:paraId="49EA9605"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7</w:t>
            </w:r>
          </w:p>
        </w:tc>
        <w:tc>
          <w:tcPr>
            <w:tcW w:w="951" w:type="dxa"/>
            <w:tcBorders>
              <w:top w:val="nil"/>
              <w:left w:val="nil"/>
              <w:bottom w:val="single" w:sz="4" w:space="0" w:color="9CC2E5"/>
              <w:right w:val="single" w:sz="4" w:space="0" w:color="FFFFFF"/>
            </w:tcBorders>
            <w:shd w:val="clear" w:color="auto" w:fill="auto"/>
            <w:hideMark/>
          </w:tcPr>
          <w:p w14:paraId="478A0C44"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505.463</w:t>
            </w:r>
          </w:p>
        </w:tc>
        <w:tc>
          <w:tcPr>
            <w:tcW w:w="781" w:type="dxa"/>
            <w:tcBorders>
              <w:top w:val="nil"/>
              <w:left w:val="nil"/>
              <w:bottom w:val="single" w:sz="4" w:space="0" w:color="9CC2E5"/>
              <w:right w:val="single" w:sz="4" w:space="0" w:color="FFFFFF"/>
            </w:tcBorders>
            <w:shd w:val="clear" w:color="auto" w:fill="auto"/>
            <w:hideMark/>
          </w:tcPr>
          <w:p w14:paraId="16056D5D"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2.336</w:t>
            </w:r>
          </w:p>
        </w:tc>
        <w:tc>
          <w:tcPr>
            <w:tcW w:w="870" w:type="dxa"/>
            <w:tcBorders>
              <w:top w:val="nil"/>
              <w:left w:val="nil"/>
              <w:bottom w:val="single" w:sz="4" w:space="0" w:color="9CC2E5"/>
              <w:right w:val="single" w:sz="4" w:space="0" w:color="FFFFFF"/>
            </w:tcBorders>
            <w:shd w:val="clear" w:color="auto" w:fill="auto"/>
            <w:hideMark/>
          </w:tcPr>
          <w:p w14:paraId="69414866"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168.362</w:t>
            </w:r>
          </w:p>
        </w:tc>
        <w:tc>
          <w:tcPr>
            <w:tcW w:w="1020" w:type="dxa"/>
            <w:tcBorders>
              <w:top w:val="nil"/>
              <w:left w:val="nil"/>
              <w:bottom w:val="single" w:sz="4" w:space="0" w:color="9CC2E5"/>
              <w:right w:val="single" w:sz="4" w:space="0" w:color="FFFFFF"/>
            </w:tcBorders>
            <w:shd w:val="clear" w:color="auto" w:fill="auto"/>
            <w:hideMark/>
          </w:tcPr>
          <w:p w14:paraId="08835311"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803.880</w:t>
            </w:r>
          </w:p>
        </w:tc>
        <w:tc>
          <w:tcPr>
            <w:tcW w:w="951" w:type="dxa"/>
            <w:tcBorders>
              <w:top w:val="nil"/>
              <w:left w:val="nil"/>
              <w:bottom w:val="single" w:sz="4" w:space="0" w:color="9CC2E5"/>
              <w:right w:val="single" w:sz="4" w:space="0" w:color="FFFFFF"/>
            </w:tcBorders>
            <w:shd w:val="clear" w:color="auto" w:fill="auto"/>
            <w:hideMark/>
          </w:tcPr>
          <w:p w14:paraId="311656C5"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646.715</w:t>
            </w:r>
          </w:p>
        </w:tc>
        <w:tc>
          <w:tcPr>
            <w:tcW w:w="951" w:type="dxa"/>
            <w:tcBorders>
              <w:top w:val="nil"/>
              <w:left w:val="nil"/>
              <w:bottom w:val="single" w:sz="4" w:space="0" w:color="9CC2E5"/>
              <w:right w:val="single" w:sz="4" w:space="0" w:color="FFFFFF"/>
            </w:tcBorders>
            <w:shd w:val="clear" w:color="auto" w:fill="auto"/>
            <w:hideMark/>
          </w:tcPr>
          <w:p w14:paraId="410B81C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126.878</w:t>
            </w:r>
          </w:p>
        </w:tc>
        <w:tc>
          <w:tcPr>
            <w:tcW w:w="870" w:type="dxa"/>
            <w:tcBorders>
              <w:top w:val="nil"/>
              <w:left w:val="nil"/>
              <w:bottom w:val="single" w:sz="4" w:space="0" w:color="9CC2E5"/>
              <w:right w:val="single" w:sz="4" w:space="0" w:color="FFFFFF"/>
            </w:tcBorders>
            <w:shd w:val="clear" w:color="auto" w:fill="auto"/>
            <w:hideMark/>
          </w:tcPr>
          <w:p w14:paraId="717DC02C"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497</w:t>
            </w:r>
          </w:p>
        </w:tc>
      </w:tr>
      <w:tr w:rsidR="000C0F3E" w:rsidRPr="00311C36" w14:paraId="79B53F39" w14:textId="77777777" w:rsidTr="000C0F3E">
        <w:trPr>
          <w:trHeight w:val="198"/>
        </w:trPr>
        <w:tc>
          <w:tcPr>
            <w:tcW w:w="474" w:type="dxa"/>
            <w:tcBorders>
              <w:top w:val="nil"/>
              <w:left w:val="single" w:sz="4" w:space="0" w:color="FFFFFF"/>
              <w:bottom w:val="single" w:sz="4" w:space="0" w:color="9CC2E5"/>
              <w:right w:val="single" w:sz="4" w:space="0" w:color="FFFFFF"/>
            </w:tcBorders>
            <w:shd w:val="clear" w:color="auto" w:fill="auto"/>
            <w:noWrap/>
            <w:hideMark/>
          </w:tcPr>
          <w:p w14:paraId="0A18F3D0" w14:textId="77777777" w:rsidR="003D4E1D" w:rsidRPr="003D4E1D" w:rsidRDefault="003D4E1D" w:rsidP="00A06393">
            <w:pPr>
              <w:spacing w:before="0" w:after="0" w:line="240" w:lineRule="auto"/>
              <w:jc w:val="center"/>
              <w:rPr>
                <w:rFonts w:ascii="Calibri" w:eastAsia="Times New Roman" w:hAnsi="Calibri" w:cs="Times New Roman"/>
                <w:b/>
                <w:bCs/>
                <w:color w:val="595959"/>
                <w:sz w:val="14"/>
                <w:szCs w:val="14"/>
                <w:lang w:eastAsia="ro-RO"/>
              </w:rPr>
            </w:pPr>
            <w:r w:rsidRPr="003D4E1D">
              <w:rPr>
                <w:rFonts w:ascii="Calibri" w:eastAsia="Times New Roman" w:hAnsi="Calibri" w:cs="Times New Roman"/>
                <w:b/>
                <w:bCs/>
                <w:color w:val="595959"/>
                <w:sz w:val="14"/>
                <w:szCs w:val="14"/>
                <w:lang w:eastAsia="ro-RO"/>
              </w:rPr>
              <w:t>11</w:t>
            </w:r>
          </w:p>
        </w:tc>
        <w:tc>
          <w:tcPr>
            <w:tcW w:w="2284" w:type="dxa"/>
            <w:tcBorders>
              <w:top w:val="nil"/>
              <w:left w:val="nil"/>
              <w:bottom w:val="single" w:sz="4" w:space="0" w:color="9CC2E5"/>
              <w:right w:val="single" w:sz="4" w:space="0" w:color="FFFFFF"/>
            </w:tcBorders>
            <w:shd w:val="clear" w:color="auto" w:fill="auto"/>
            <w:hideMark/>
          </w:tcPr>
          <w:p w14:paraId="7A4E3971" w14:textId="77777777" w:rsidR="003D4E1D" w:rsidRPr="003D4E1D" w:rsidRDefault="003D4E1D" w:rsidP="00A06393">
            <w:pPr>
              <w:spacing w:before="0" w:after="0" w:line="240" w:lineRule="auto"/>
              <w:rPr>
                <w:rFonts w:ascii="Calibri" w:eastAsia="Times New Roman" w:hAnsi="Calibri" w:cs="Times New Roman"/>
                <w:color w:val="595959"/>
                <w:sz w:val="14"/>
                <w:szCs w:val="14"/>
                <w:lang w:eastAsia="ro-RO"/>
              </w:rPr>
            </w:pPr>
            <w:r w:rsidRPr="003D4E1D">
              <w:rPr>
                <w:rFonts w:ascii="Calibri" w:eastAsia="Times New Roman" w:hAnsi="Calibri" w:cs="Times New Roman"/>
                <w:color w:val="595959"/>
                <w:sz w:val="14"/>
                <w:szCs w:val="14"/>
                <w:lang w:eastAsia="ro-RO"/>
              </w:rPr>
              <w:t>Alte activități</w:t>
            </w:r>
          </w:p>
        </w:tc>
        <w:tc>
          <w:tcPr>
            <w:tcW w:w="460" w:type="dxa"/>
            <w:tcBorders>
              <w:top w:val="nil"/>
              <w:left w:val="nil"/>
              <w:bottom w:val="single" w:sz="4" w:space="0" w:color="9CC2E5"/>
              <w:right w:val="single" w:sz="4" w:space="0" w:color="FFFFFF"/>
            </w:tcBorders>
            <w:shd w:val="clear" w:color="auto" w:fill="auto"/>
            <w:noWrap/>
            <w:hideMark/>
          </w:tcPr>
          <w:p w14:paraId="25FEAC30"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102</w:t>
            </w:r>
          </w:p>
        </w:tc>
        <w:tc>
          <w:tcPr>
            <w:tcW w:w="951" w:type="dxa"/>
            <w:tcBorders>
              <w:top w:val="nil"/>
              <w:left w:val="nil"/>
              <w:bottom w:val="single" w:sz="4" w:space="0" w:color="9CC2E5"/>
              <w:right w:val="single" w:sz="4" w:space="0" w:color="FFFFFF"/>
            </w:tcBorders>
            <w:shd w:val="clear" w:color="auto" w:fill="auto"/>
            <w:noWrap/>
            <w:hideMark/>
          </w:tcPr>
          <w:p w14:paraId="362079A4"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4.868.607</w:t>
            </w:r>
          </w:p>
        </w:tc>
        <w:tc>
          <w:tcPr>
            <w:tcW w:w="781" w:type="dxa"/>
            <w:tcBorders>
              <w:top w:val="nil"/>
              <w:left w:val="nil"/>
              <w:bottom w:val="single" w:sz="4" w:space="0" w:color="9CC2E5"/>
              <w:right w:val="single" w:sz="4" w:space="0" w:color="FFFFFF"/>
            </w:tcBorders>
            <w:shd w:val="clear" w:color="auto" w:fill="auto"/>
            <w:noWrap/>
            <w:hideMark/>
          </w:tcPr>
          <w:p w14:paraId="16E75801"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26.896</w:t>
            </w:r>
          </w:p>
        </w:tc>
        <w:tc>
          <w:tcPr>
            <w:tcW w:w="870" w:type="dxa"/>
            <w:tcBorders>
              <w:top w:val="nil"/>
              <w:left w:val="nil"/>
              <w:bottom w:val="single" w:sz="4" w:space="0" w:color="9CC2E5"/>
              <w:right w:val="single" w:sz="4" w:space="0" w:color="FFFFFF"/>
            </w:tcBorders>
            <w:shd w:val="clear" w:color="auto" w:fill="auto"/>
            <w:noWrap/>
            <w:hideMark/>
          </w:tcPr>
          <w:p w14:paraId="4427E685"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-215.132</w:t>
            </w:r>
          </w:p>
        </w:tc>
        <w:tc>
          <w:tcPr>
            <w:tcW w:w="1020" w:type="dxa"/>
            <w:tcBorders>
              <w:top w:val="nil"/>
              <w:left w:val="nil"/>
              <w:bottom w:val="single" w:sz="4" w:space="0" w:color="9CC2E5"/>
              <w:right w:val="single" w:sz="4" w:space="0" w:color="FFFFFF"/>
            </w:tcBorders>
            <w:shd w:val="clear" w:color="auto" w:fill="auto"/>
            <w:noWrap/>
            <w:hideMark/>
          </w:tcPr>
          <w:p w14:paraId="49C35315"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26.933.828</w:t>
            </w:r>
          </w:p>
        </w:tc>
        <w:tc>
          <w:tcPr>
            <w:tcW w:w="951" w:type="dxa"/>
            <w:tcBorders>
              <w:top w:val="nil"/>
              <w:left w:val="nil"/>
              <w:bottom w:val="single" w:sz="4" w:space="0" w:color="9CC2E5"/>
              <w:right w:val="single" w:sz="4" w:space="0" w:color="FFFFFF"/>
            </w:tcBorders>
            <w:shd w:val="clear" w:color="auto" w:fill="auto"/>
            <w:noWrap/>
            <w:hideMark/>
          </w:tcPr>
          <w:p w14:paraId="65573381"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12.640.215</w:t>
            </w:r>
          </w:p>
        </w:tc>
        <w:tc>
          <w:tcPr>
            <w:tcW w:w="951" w:type="dxa"/>
            <w:tcBorders>
              <w:top w:val="nil"/>
              <w:left w:val="nil"/>
              <w:bottom w:val="single" w:sz="4" w:space="0" w:color="9CC2E5"/>
              <w:right w:val="single" w:sz="4" w:space="0" w:color="FFFFFF"/>
            </w:tcBorders>
            <w:shd w:val="clear" w:color="auto" w:fill="auto"/>
            <w:noWrap/>
            <w:hideMark/>
          </w:tcPr>
          <w:p w14:paraId="5D5FC4C3"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7.345.003</w:t>
            </w:r>
          </w:p>
        </w:tc>
        <w:tc>
          <w:tcPr>
            <w:tcW w:w="870" w:type="dxa"/>
            <w:tcBorders>
              <w:top w:val="nil"/>
              <w:left w:val="nil"/>
              <w:bottom w:val="single" w:sz="4" w:space="0" w:color="9CC2E5"/>
              <w:right w:val="single" w:sz="4" w:space="0" w:color="FFFFFF"/>
            </w:tcBorders>
            <w:shd w:val="clear" w:color="auto" w:fill="auto"/>
            <w:noWrap/>
            <w:hideMark/>
          </w:tcPr>
          <w:p w14:paraId="3E0C5212" w14:textId="77777777" w:rsidR="003D4E1D" w:rsidRPr="000C0F3E" w:rsidRDefault="003D4E1D" w:rsidP="00A06393">
            <w:pPr>
              <w:spacing w:before="0" w:after="0" w:line="240" w:lineRule="auto"/>
              <w:jc w:val="right"/>
              <w:rPr>
                <w:rFonts w:ascii="Calibri" w:eastAsia="Times New Roman" w:hAnsi="Calibri" w:cs="Times New Roman"/>
                <w:color w:val="595959"/>
                <w:sz w:val="16"/>
                <w:szCs w:val="14"/>
                <w:lang w:eastAsia="ro-RO"/>
              </w:rPr>
            </w:pPr>
            <w:r w:rsidRPr="000C0F3E">
              <w:rPr>
                <w:rFonts w:ascii="Calibri" w:eastAsia="Times New Roman" w:hAnsi="Calibri" w:cs="Times New Roman"/>
                <w:color w:val="595959"/>
                <w:sz w:val="16"/>
                <w:szCs w:val="14"/>
                <w:lang w:eastAsia="ro-RO"/>
              </w:rPr>
              <w:t>3.084.109</w:t>
            </w:r>
          </w:p>
        </w:tc>
      </w:tr>
      <w:tr w:rsidR="000C0F3E" w:rsidRPr="00311C36" w14:paraId="2A42360A" w14:textId="77777777" w:rsidTr="000C0F3E">
        <w:trPr>
          <w:trHeight w:val="220"/>
        </w:trPr>
        <w:tc>
          <w:tcPr>
            <w:tcW w:w="2758" w:type="dxa"/>
            <w:gridSpan w:val="2"/>
            <w:tcBorders>
              <w:top w:val="single" w:sz="4" w:space="0" w:color="9CC2E5"/>
              <w:left w:val="single" w:sz="4" w:space="0" w:color="FFFFFF"/>
              <w:bottom w:val="single" w:sz="4" w:space="0" w:color="9CC2E5"/>
              <w:right w:val="single" w:sz="4" w:space="0" w:color="FFFFFF"/>
            </w:tcBorders>
            <w:shd w:val="clear" w:color="auto" w:fill="auto"/>
            <w:noWrap/>
            <w:hideMark/>
          </w:tcPr>
          <w:p w14:paraId="394760DF" w14:textId="77777777" w:rsidR="003D4E1D" w:rsidRPr="003D4E1D" w:rsidRDefault="003D4E1D" w:rsidP="003D4E1D">
            <w:pPr>
              <w:spacing w:before="0" w:after="0" w:line="240" w:lineRule="auto"/>
              <w:rPr>
                <w:rFonts w:ascii="Calibri" w:eastAsia="Times New Roman" w:hAnsi="Calibri" w:cs="Times New Roman"/>
                <w:b/>
                <w:bCs/>
                <w:color w:val="0F6FC6" w:themeColor="accent1"/>
                <w:sz w:val="14"/>
                <w:szCs w:val="14"/>
                <w:lang w:eastAsia="ro-RO"/>
              </w:rPr>
            </w:pPr>
            <w:r w:rsidRPr="003D4E1D">
              <w:rPr>
                <w:rFonts w:ascii="Calibri" w:eastAsia="Times New Roman" w:hAnsi="Calibri" w:cs="Times New Roman"/>
                <w:b/>
                <w:bCs/>
                <w:color w:val="0F6FC6" w:themeColor="accent1"/>
                <w:sz w:val="14"/>
                <w:szCs w:val="14"/>
                <w:lang w:eastAsia="ro-RO"/>
              </w:rPr>
              <w:t>TOTAL GENERAL 2020</w:t>
            </w:r>
          </w:p>
        </w:tc>
        <w:tc>
          <w:tcPr>
            <w:tcW w:w="460" w:type="dxa"/>
            <w:tcBorders>
              <w:top w:val="nil"/>
              <w:left w:val="nil"/>
              <w:bottom w:val="single" w:sz="4" w:space="0" w:color="9CC2E5"/>
              <w:right w:val="single" w:sz="4" w:space="0" w:color="FFFFFF"/>
            </w:tcBorders>
            <w:shd w:val="clear" w:color="auto" w:fill="auto"/>
            <w:noWrap/>
            <w:hideMark/>
          </w:tcPr>
          <w:p w14:paraId="025C2BE6"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226</w:t>
            </w:r>
          </w:p>
        </w:tc>
        <w:tc>
          <w:tcPr>
            <w:tcW w:w="951" w:type="dxa"/>
            <w:tcBorders>
              <w:top w:val="nil"/>
              <w:left w:val="nil"/>
              <w:bottom w:val="single" w:sz="4" w:space="0" w:color="9CC2E5"/>
              <w:right w:val="single" w:sz="4" w:space="0" w:color="FFFFFF"/>
            </w:tcBorders>
            <w:shd w:val="clear" w:color="auto" w:fill="auto"/>
            <w:noWrap/>
            <w:hideMark/>
          </w:tcPr>
          <w:p w14:paraId="250CC4B6"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35.199.453</w:t>
            </w:r>
          </w:p>
        </w:tc>
        <w:tc>
          <w:tcPr>
            <w:tcW w:w="781" w:type="dxa"/>
            <w:tcBorders>
              <w:top w:val="nil"/>
              <w:left w:val="nil"/>
              <w:bottom w:val="single" w:sz="4" w:space="0" w:color="9CC2E5"/>
              <w:right w:val="single" w:sz="4" w:space="0" w:color="FFFFFF"/>
            </w:tcBorders>
            <w:shd w:val="clear" w:color="auto" w:fill="auto"/>
            <w:noWrap/>
            <w:hideMark/>
          </w:tcPr>
          <w:p w14:paraId="75E34FC2"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173.421</w:t>
            </w:r>
          </w:p>
        </w:tc>
        <w:tc>
          <w:tcPr>
            <w:tcW w:w="870" w:type="dxa"/>
            <w:tcBorders>
              <w:top w:val="nil"/>
              <w:left w:val="nil"/>
              <w:bottom w:val="single" w:sz="4" w:space="0" w:color="9CC2E5"/>
              <w:right w:val="single" w:sz="4" w:space="0" w:color="FFFFFF"/>
            </w:tcBorders>
            <w:shd w:val="clear" w:color="auto" w:fill="auto"/>
            <w:noWrap/>
            <w:hideMark/>
          </w:tcPr>
          <w:p w14:paraId="2C77CDEC"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2.547.821</w:t>
            </w:r>
          </w:p>
        </w:tc>
        <w:tc>
          <w:tcPr>
            <w:tcW w:w="1020" w:type="dxa"/>
            <w:tcBorders>
              <w:top w:val="nil"/>
              <w:left w:val="nil"/>
              <w:bottom w:val="single" w:sz="4" w:space="0" w:color="9CC2E5"/>
              <w:right w:val="single" w:sz="4" w:space="0" w:color="FFFFFF"/>
            </w:tcBorders>
            <w:shd w:val="clear" w:color="auto" w:fill="auto"/>
            <w:noWrap/>
            <w:hideMark/>
          </w:tcPr>
          <w:p w14:paraId="0B23A7BC"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218.862.066</w:t>
            </w:r>
          </w:p>
        </w:tc>
        <w:tc>
          <w:tcPr>
            <w:tcW w:w="951" w:type="dxa"/>
            <w:tcBorders>
              <w:top w:val="nil"/>
              <w:left w:val="nil"/>
              <w:bottom w:val="single" w:sz="4" w:space="0" w:color="9CC2E5"/>
              <w:right w:val="single" w:sz="4" w:space="0" w:color="FFFFFF"/>
            </w:tcBorders>
            <w:shd w:val="clear" w:color="auto" w:fill="auto"/>
            <w:noWrap/>
            <w:hideMark/>
          </w:tcPr>
          <w:p w14:paraId="71E69855"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70.472.560</w:t>
            </w:r>
          </w:p>
        </w:tc>
        <w:tc>
          <w:tcPr>
            <w:tcW w:w="951" w:type="dxa"/>
            <w:tcBorders>
              <w:top w:val="nil"/>
              <w:left w:val="nil"/>
              <w:bottom w:val="single" w:sz="4" w:space="0" w:color="9CC2E5"/>
              <w:right w:val="single" w:sz="4" w:space="0" w:color="FFFFFF"/>
            </w:tcBorders>
            <w:shd w:val="clear" w:color="auto" w:fill="auto"/>
            <w:noWrap/>
            <w:hideMark/>
          </w:tcPr>
          <w:p w14:paraId="366EE832"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95.694.382</w:t>
            </w:r>
          </w:p>
        </w:tc>
        <w:tc>
          <w:tcPr>
            <w:tcW w:w="870" w:type="dxa"/>
            <w:tcBorders>
              <w:top w:val="nil"/>
              <w:left w:val="nil"/>
              <w:bottom w:val="single" w:sz="4" w:space="0" w:color="9CC2E5"/>
              <w:right w:val="single" w:sz="4" w:space="0" w:color="FFFFFF"/>
            </w:tcBorders>
            <w:shd w:val="clear" w:color="auto" w:fill="auto"/>
            <w:noWrap/>
            <w:hideMark/>
          </w:tcPr>
          <w:p w14:paraId="57CE8E9E" w14:textId="77777777" w:rsidR="003D4E1D" w:rsidRPr="000C0F3E" w:rsidRDefault="003D4E1D" w:rsidP="00A06393">
            <w:pPr>
              <w:spacing w:before="0" w:after="0" w:line="240" w:lineRule="auto"/>
              <w:jc w:val="right"/>
              <w:rPr>
                <w:rFonts w:ascii="Calibri" w:eastAsia="Times New Roman" w:hAnsi="Calibri" w:cs="Times New Roman"/>
                <w:b/>
                <w:bCs/>
                <w:color w:val="0F6FC6" w:themeColor="accent1"/>
                <w:sz w:val="16"/>
                <w:szCs w:val="14"/>
                <w:lang w:eastAsia="ro-RO"/>
              </w:rPr>
            </w:pPr>
            <w:r w:rsidRPr="000C0F3E">
              <w:rPr>
                <w:rFonts w:ascii="Calibri" w:eastAsia="Times New Roman" w:hAnsi="Calibri" w:cs="Times New Roman"/>
                <w:b/>
                <w:bCs/>
                <w:color w:val="0F6FC6" w:themeColor="accent1"/>
                <w:sz w:val="16"/>
                <w:szCs w:val="14"/>
                <w:lang w:eastAsia="ro-RO"/>
              </w:rPr>
              <w:t>7.614.588</w:t>
            </w:r>
          </w:p>
        </w:tc>
      </w:tr>
      <w:tr w:rsidR="003D4E1D" w:rsidRPr="00311C36" w14:paraId="69E17493" w14:textId="77777777" w:rsidTr="000C0F3E">
        <w:trPr>
          <w:trHeight w:val="210"/>
        </w:trPr>
        <w:tc>
          <w:tcPr>
            <w:tcW w:w="9612" w:type="dxa"/>
            <w:gridSpan w:val="10"/>
            <w:tcBorders>
              <w:top w:val="nil"/>
              <w:left w:val="nil"/>
              <w:bottom w:val="nil"/>
              <w:right w:val="nil"/>
            </w:tcBorders>
            <w:shd w:val="clear" w:color="auto" w:fill="auto"/>
            <w:noWrap/>
            <w:vAlign w:val="bottom"/>
            <w:hideMark/>
          </w:tcPr>
          <w:p w14:paraId="491FF406" w14:textId="77777777" w:rsidR="003D4E1D" w:rsidRPr="003D4E1D" w:rsidRDefault="003D4E1D" w:rsidP="00A06393">
            <w:pPr>
              <w:spacing w:before="0" w:after="0" w:line="240" w:lineRule="auto"/>
              <w:rPr>
                <w:rFonts w:ascii="Times New Roman" w:eastAsia="Times New Roman" w:hAnsi="Times New Roman" w:cs="Times New Roman"/>
                <w:lang w:eastAsia="ro-RO"/>
              </w:rPr>
            </w:pPr>
            <w:r w:rsidRPr="003D4E1D">
              <w:rPr>
                <w:rFonts w:ascii="Calibri Light" w:eastAsia="Times New Roman" w:hAnsi="Calibri Light" w:cs="Times New Roman"/>
                <w:color w:val="000000"/>
                <w:sz w:val="16"/>
                <w:szCs w:val="16"/>
                <w:lang w:eastAsia="ro-RO"/>
              </w:rPr>
              <w:t>Notă: în tabel s-a folosit starea ÎP la finele anului 2020.</w:t>
            </w:r>
          </w:p>
        </w:tc>
      </w:tr>
    </w:tbl>
    <w:p w14:paraId="094228E9" w14:textId="77777777" w:rsidR="003D4E1D" w:rsidRDefault="003D4E1D" w:rsidP="003D4E1D">
      <w:pPr>
        <w:spacing w:before="0" w:after="160" w:line="240" w:lineRule="auto"/>
        <w:jc w:val="both"/>
        <w:rPr>
          <w:rFonts w:asciiTheme="majorHAnsi" w:hAnsiTheme="majorHAnsi" w:cstheme="majorBidi"/>
        </w:rPr>
      </w:pPr>
    </w:p>
    <w:p w14:paraId="4A282FA3" w14:textId="77777777" w:rsidR="003D4E1D" w:rsidRDefault="003D4E1D" w:rsidP="003D4E1D">
      <w:pPr>
        <w:spacing w:before="0" w:after="160" w:line="240" w:lineRule="auto"/>
        <w:jc w:val="both"/>
        <w:rPr>
          <w:rFonts w:asciiTheme="majorHAnsi" w:hAnsiTheme="majorHAnsi" w:cstheme="majorBidi"/>
        </w:rPr>
      </w:pPr>
    </w:p>
    <w:p w14:paraId="02B85483" w14:textId="77777777" w:rsidR="003D4E1D" w:rsidRPr="008C6972" w:rsidRDefault="003D4E1D" w:rsidP="003D4E1D">
      <w:pPr>
        <w:spacing w:before="0" w:after="160" w:line="240" w:lineRule="auto"/>
        <w:jc w:val="both"/>
        <w:rPr>
          <w:rFonts w:asciiTheme="majorHAnsi" w:hAnsiTheme="majorHAnsi" w:cstheme="majorBidi"/>
        </w:rPr>
      </w:pPr>
    </w:p>
    <w:p w14:paraId="748EE653" w14:textId="77777777" w:rsidR="00312A57" w:rsidRPr="00D95C57" w:rsidRDefault="00312A57" w:rsidP="008D1942">
      <w:pPr>
        <w:spacing w:before="0" w:after="160" w:line="240" w:lineRule="auto"/>
        <w:jc w:val="both"/>
        <w:rPr>
          <w:rFonts w:asciiTheme="majorHAnsi" w:hAnsiTheme="majorHAnsi" w:cstheme="majorBidi"/>
        </w:rPr>
      </w:pPr>
    </w:p>
    <w:p w14:paraId="2926FBF6" w14:textId="77777777" w:rsidR="00312A57" w:rsidRPr="00D95C57" w:rsidRDefault="00A75FCD" w:rsidP="00A75FCD">
      <w:pPr>
        <w:spacing w:before="0" w:after="160" w:line="240" w:lineRule="auto"/>
        <w:jc w:val="center"/>
        <w:rPr>
          <w:rFonts w:asciiTheme="majorHAnsi" w:hAnsiTheme="majorHAnsi" w:cstheme="majorBidi"/>
        </w:rPr>
      </w:pPr>
      <w:r>
        <w:rPr>
          <w:rFonts w:asciiTheme="majorHAnsi" w:hAnsiTheme="majorHAnsi" w:cstheme="majorBidi"/>
          <w:noProof/>
          <w:lang w:val="en-US"/>
        </w:rPr>
        <w:drawing>
          <wp:inline distT="0" distB="0" distL="0" distR="0" wp14:anchorId="17CF9D32" wp14:editId="12CE36BF">
            <wp:extent cx="5584190" cy="392620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4190" cy="3926205"/>
                    </a:xfrm>
                    <a:prstGeom prst="rect">
                      <a:avLst/>
                    </a:prstGeom>
                    <a:noFill/>
                  </pic:spPr>
                </pic:pic>
              </a:graphicData>
            </a:graphic>
          </wp:inline>
        </w:drawing>
      </w:r>
    </w:p>
    <w:p w14:paraId="579CD5DF" w14:textId="77777777" w:rsidR="00312A57" w:rsidRPr="00D95C57" w:rsidRDefault="00312A57" w:rsidP="003D4E1D">
      <w:pPr>
        <w:spacing w:before="0" w:after="160" w:line="240" w:lineRule="auto"/>
        <w:jc w:val="center"/>
        <w:rPr>
          <w:rFonts w:asciiTheme="majorHAnsi" w:hAnsiTheme="majorHAnsi" w:cstheme="majorBidi"/>
        </w:rPr>
      </w:pPr>
    </w:p>
    <w:p w14:paraId="36C5AD1F" w14:textId="77777777" w:rsidR="003D4E1D" w:rsidRPr="003D4E1D" w:rsidRDefault="003D4E1D" w:rsidP="003D4E1D">
      <w:pPr>
        <w:spacing w:before="0" w:after="160"/>
        <w:jc w:val="both"/>
        <w:rPr>
          <w:rFonts w:asciiTheme="majorHAnsi" w:hAnsiTheme="majorHAnsi" w:cstheme="majorBidi"/>
        </w:rPr>
      </w:pPr>
      <w:r w:rsidRPr="003D4E1D">
        <w:rPr>
          <w:rFonts w:asciiTheme="majorHAnsi" w:hAnsiTheme="majorHAnsi" w:cstheme="majorBidi"/>
        </w:rPr>
        <w:t>La gruparea ÎPC pe domenii de activitate s-a avut în vedere legislația privind clasificarea activităților din economia națională – CAEN și indicatorul economico-financiar cifră de afaceri netă realizată de ÎPC, care reprezintă un indicator important în măsurarea activității unei firme.</w:t>
      </w:r>
    </w:p>
    <w:p w14:paraId="588F4152" w14:textId="77777777" w:rsidR="003D4E1D" w:rsidRPr="003D4E1D" w:rsidRDefault="003D4E1D" w:rsidP="003D4E1D">
      <w:pPr>
        <w:spacing w:before="0" w:after="160"/>
        <w:jc w:val="both"/>
        <w:rPr>
          <w:rFonts w:asciiTheme="majorHAnsi" w:hAnsiTheme="majorHAnsi" w:cstheme="majorBidi"/>
        </w:rPr>
      </w:pPr>
      <w:r w:rsidRPr="003D4E1D">
        <w:rPr>
          <w:rFonts w:asciiTheme="majorHAnsi" w:hAnsiTheme="majorHAnsi" w:cstheme="majorBidi"/>
        </w:rPr>
        <w:t xml:space="preserve">Ca urmare a acestei clasificări pe diviziuni se poate observa că ponderea cea mai mare a indicatorului cifră de afaceri netă în totalul cifrei de afaceri nete realizată de cele 226 ÎPC active, este deținută de ÎPC care desfășoară „activități de producție și furnizare de energie electrică și termică, gaze, apă caldă și aer condiționat”.  Societatea cu cea mai mare cifră de afaceri netă, care desfășoară activități potrivit acestei diviziuni, este  Societatea </w:t>
      </w:r>
      <w:r w:rsidR="000208E0">
        <w:rPr>
          <w:rFonts w:asciiTheme="majorHAnsi" w:hAnsiTheme="majorHAnsi" w:cstheme="majorBidi"/>
        </w:rPr>
        <w:t>d</w:t>
      </w:r>
      <w:r w:rsidR="000208E0" w:rsidRPr="003D4E1D">
        <w:rPr>
          <w:rFonts w:asciiTheme="majorHAnsi" w:hAnsiTheme="majorHAnsi" w:cstheme="majorBidi"/>
        </w:rPr>
        <w:t xml:space="preserve">e </w:t>
      </w:r>
      <w:r w:rsidRPr="003D4E1D">
        <w:rPr>
          <w:rFonts w:asciiTheme="majorHAnsi" w:hAnsiTheme="majorHAnsi" w:cstheme="majorBidi"/>
        </w:rPr>
        <w:t xml:space="preserve">Producere </w:t>
      </w:r>
      <w:r w:rsidR="000208E0">
        <w:rPr>
          <w:rFonts w:asciiTheme="majorHAnsi" w:hAnsiTheme="majorHAnsi" w:cstheme="majorBidi"/>
        </w:rPr>
        <w:t>a</w:t>
      </w:r>
      <w:r w:rsidR="000208E0" w:rsidRPr="003D4E1D">
        <w:rPr>
          <w:rFonts w:asciiTheme="majorHAnsi" w:hAnsiTheme="majorHAnsi" w:cstheme="majorBidi"/>
        </w:rPr>
        <w:t xml:space="preserve"> </w:t>
      </w:r>
      <w:r w:rsidRPr="003D4E1D">
        <w:rPr>
          <w:rFonts w:asciiTheme="majorHAnsi" w:hAnsiTheme="majorHAnsi" w:cstheme="majorBidi"/>
        </w:rPr>
        <w:t xml:space="preserve">Energiei Electrice </w:t>
      </w:r>
      <w:r w:rsidR="000208E0">
        <w:rPr>
          <w:rFonts w:asciiTheme="majorHAnsi" w:hAnsiTheme="majorHAnsi" w:cstheme="majorBidi"/>
        </w:rPr>
        <w:t>î</w:t>
      </w:r>
      <w:r w:rsidR="000208E0" w:rsidRPr="003D4E1D">
        <w:rPr>
          <w:rFonts w:asciiTheme="majorHAnsi" w:hAnsiTheme="majorHAnsi" w:cstheme="majorBidi"/>
        </w:rPr>
        <w:t xml:space="preserve">n </w:t>
      </w:r>
      <w:r w:rsidRPr="003D4E1D">
        <w:rPr>
          <w:rFonts w:asciiTheme="majorHAnsi" w:hAnsiTheme="majorHAnsi" w:cstheme="majorBidi"/>
        </w:rPr>
        <w:t>Hidrocentrale " Hidroelectrica" S.A.</w:t>
      </w:r>
    </w:p>
    <w:p w14:paraId="0AC9D670" w14:textId="77777777" w:rsidR="003D4E1D" w:rsidRPr="003D4E1D" w:rsidRDefault="003D4E1D" w:rsidP="003D4E1D">
      <w:pPr>
        <w:spacing w:before="0" w:after="160"/>
        <w:jc w:val="both"/>
        <w:rPr>
          <w:rFonts w:asciiTheme="majorHAnsi" w:hAnsiTheme="majorHAnsi" w:cstheme="majorBidi"/>
        </w:rPr>
      </w:pPr>
      <w:r w:rsidRPr="003D4E1D">
        <w:rPr>
          <w:rFonts w:asciiTheme="majorHAnsi" w:hAnsiTheme="majorHAnsi" w:cstheme="majorBidi"/>
        </w:rPr>
        <w:t>O pondere însemnată în totalul cifrei de afaceri nete realizată de cele 226 ÎPC active este deținută de ÎPC care își desfășoară activitatea în diviziunea „transporturi terestre și transporturi prin conducte”. Societatea cu cea mai mare cifră de afaceri netă, care desfășoară activități potrivit acestei diviziuni, este  Societatea Națională de Transport Feroviar de Călători - CFR - Călători SA.</w:t>
      </w:r>
    </w:p>
    <w:p w14:paraId="7C342C86" w14:textId="77777777" w:rsidR="003D4E1D" w:rsidRPr="003D4E1D" w:rsidRDefault="003D4E1D" w:rsidP="003D4E1D">
      <w:pPr>
        <w:spacing w:before="0" w:after="160"/>
        <w:jc w:val="both"/>
        <w:rPr>
          <w:rFonts w:asciiTheme="majorHAnsi" w:hAnsiTheme="majorHAnsi" w:cstheme="majorBidi"/>
        </w:rPr>
      </w:pPr>
      <w:r w:rsidRPr="00810D45">
        <w:rPr>
          <w:rFonts w:asciiTheme="majorHAnsi" w:hAnsiTheme="majorHAnsi" w:cstheme="majorBidi"/>
        </w:rPr>
        <w:t>În diviziunea „extracția petrolului brut și a gazelor naturale”, care ocupă locul trei în acest clasament, activează doar o singură ÎPC și anume Societatea Națională de Gaze Naturale "Romgaz" S.A.</w:t>
      </w:r>
    </w:p>
    <w:p w14:paraId="789D0677" w14:textId="77777777" w:rsidR="003E65A5" w:rsidRDefault="003D4E1D" w:rsidP="003D4E1D">
      <w:pPr>
        <w:spacing w:before="0" w:after="160"/>
        <w:jc w:val="both"/>
        <w:rPr>
          <w:rFonts w:asciiTheme="majorHAnsi" w:hAnsiTheme="majorHAnsi" w:cstheme="majorBidi"/>
        </w:rPr>
      </w:pPr>
      <w:r w:rsidRPr="003D4E1D">
        <w:rPr>
          <w:rFonts w:asciiTheme="majorHAnsi" w:hAnsiTheme="majorHAnsi" w:cstheme="majorBidi"/>
        </w:rPr>
        <w:t>Deși în primele 3 sectoare de activitate după cifra de afaceri activează un număr de 17 ÎPC care reprezintă o pondere de 7,52% din numărul total de 226 ÎPC active, acestea realizează 57,93% din totalul cifrei de afaceri nete înregistrată de către toate cele 226 ÎPC. Astfel, cele mai mari și mai importante ÎPC activează în domenii strategice naționale precum: „producția și furnizarea de energie electrică și termică, gaze, apă caldă și aer condiționat”; „transporturi terestre și transporturi prin conducte” și „extracția petrolului brut și a gazelor naturale”.</w:t>
      </w:r>
    </w:p>
    <w:p w14:paraId="3B0DF1C0" w14:textId="77777777" w:rsidR="003E65A5" w:rsidRDefault="003E65A5" w:rsidP="00F02A07">
      <w:pPr>
        <w:spacing w:before="0" w:after="160"/>
        <w:jc w:val="both"/>
        <w:rPr>
          <w:rFonts w:asciiTheme="majorHAnsi" w:hAnsiTheme="majorHAnsi" w:cstheme="majorBidi"/>
        </w:rPr>
      </w:pPr>
    </w:p>
    <w:p w14:paraId="21002998" w14:textId="77777777" w:rsidR="003E65A5" w:rsidRDefault="003E65A5" w:rsidP="00F02A07">
      <w:pPr>
        <w:spacing w:before="0" w:after="160"/>
        <w:jc w:val="both"/>
        <w:rPr>
          <w:rFonts w:asciiTheme="majorHAnsi" w:hAnsiTheme="majorHAnsi" w:cstheme="majorBidi"/>
        </w:rPr>
      </w:pPr>
    </w:p>
    <w:p w14:paraId="1E4873B4" w14:textId="77777777" w:rsidR="00A75FCD" w:rsidRDefault="00A75FCD" w:rsidP="00F02A07">
      <w:pPr>
        <w:spacing w:before="0" w:after="160"/>
        <w:jc w:val="both"/>
        <w:rPr>
          <w:rFonts w:asciiTheme="majorHAnsi" w:hAnsiTheme="majorHAnsi" w:cstheme="majorBidi"/>
        </w:rPr>
      </w:pPr>
    </w:p>
    <w:p w14:paraId="5C8B7ECE" w14:textId="77777777" w:rsidR="003E65A5" w:rsidRPr="00651101" w:rsidRDefault="004F0014" w:rsidP="00651101">
      <w:pPr>
        <w:pStyle w:val="ListParagraph"/>
        <w:ind w:left="0"/>
        <w:jc w:val="both"/>
        <w:outlineLvl w:val="2"/>
        <w:rPr>
          <w:rFonts w:asciiTheme="majorHAnsi" w:hAnsiTheme="majorHAnsi"/>
          <w:b/>
          <w:bCs/>
          <w:color w:val="0F6FC6" w:themeColor="accent1"/>
          <w:sz w:val="28"/>
          <w:szCs w:val="28"/>
        </w:rPr>
      </w:pPr>
      <w:bookmarkStart w:id="45" w:name="_Toc490763523"/>
      <w:bookmarkStart w:id="46" w:name="_Toc490763704"/>
      <w:bookmarkStart w:id="47" w:name="_Toc490763872"/>
      <w:bookmarkStart w:id="48" w:name="_Toc87875949"/>
      <w:r w:rsidRPr="00651101">
        <w:rPr>
          <w:rFonts w:asciiTheme="majorHAnsi" w:hAnsiTheme="majorHAnsi"/>
          <w:b/>
          <w:bCs/>
          <w:color w:val="0F6FC6" w:themeColor="accent1"/>
          <w:sz w:val="28"/>
          <w:szCs w:val="28"/>
        </w:rPr>
        <w:t>3</w:t>
      </w:r>
      <w:r w:rsidR="003E65A5" w:rsidRPr="00651101">
        <w:rPr>
          <w:rFonts w:asciiTheme="majorHAnsi" w:hAnsiTheme="majorHAnsi"/>
          <w:b/>
          <w:bCs/>
          <w:color w:val="0F6FC6" w:themeColor="accent1"/>
          <w:sz w:val="28"/>
          <w:szCs w:val="28"/>
        </w:rPr>
        <w:t xml:space="preserve">.3 – Evoluția plăților restante înregistrate de </w:t>
      </w:r>
      <w:bookmarkEnd w:id="45"/>
      <w:bookmarkEnd w:id="46"/>
      <w:bookmarkEnd w:id="47"/>
      <w:r w:rsidR="003E65A5" w:rsidRPr="00651101">
        <w:rPr>
          <w:rFonts w:asciiTheme="majorHAnsi" w:hAnsiTheme="majorHAnsi"/>
          <w:b/>
          <w:bCs/>
          <w:color w:val="0F6FC6" w:themeColor="accent1"/>
          <w:sz w:val="28"/>
          <w:szCs w:val="28"/>
        </w:rPr>
        <w:t>întreprinderile publice centrale</w:t>
      </w:r>
      <w:bookmarkEnd w:id="48"/>
    </w:p>
    <w:p w14:paraId="6E8C8A70" w14:textId="77777777" w:rsidR="0085243D" w:rsidRDefault="0085243D" w:rsidP="00F062E9">
      <w:pPr>
        <w:spacing w:before="0" w:after="0"/>
        <w:jc w:val="both"/>
        <w:rPr>
          <w:rFonts w:asciiTheme="majorHAnsi" w:hAnsiTheme="majorHAnsi"/>
          <w:noProof/>
          <w:lang w:val="en-US"/>
        </w:rPr>
      </w:pPr>
    </w:p>
    <w:p w14:paraId="20A7D038" w14:textId="77777777" w:rsidR="00A41C52" w:rsidRDefault="00A41C52" w:rsidP="00A41C52">
      <w:pPr>
        <w:tabs>
          <w:tab w:val="left" w:pos="8239"/>
        </w:tabs>
        <w:spacing w:before="0" w:after="0" w:line="240" w:lineRule="auto"/>
        <w:ind w:left="-108"/>
        <w:jc w:val="both"/>
        <w:rPr>
          <w:rFonts w:ascii="Calibri" w:eastAsia="Times New Roman" w:hAnsi="Calibri" w:cs="Times New Roman"/>
          <w:bCs/>
          <w:lang w:eastAsia="ro-RO"/>
        </w:rPr>
      </w:pPr>
    </w:p>
    <w:p w14:paraId="60EBAC9D" w14:textId="77777777" w:rsidR="00A41C52" w:rsidRPr="00A41C52" w:rsidRDefault="00A41C52" w:rsidP="00A41C52">
      <w:pPr>
        <w:tabs>
          <w:tab w:val="left" w:pos="8239"/>
        </w:tabs>
        <w:spacing w:before="0" w:after="0" w:line="240" w:lineRule="auto"/>
        <w:ind w:left="-108"/>
        <w:jc w:val="both"/>
        <w:rPr>
          <w:rFonts w:ascii="Calibri" w:eastAsia="Times New Roman" w:hAnsi="Calibri" w:cs="Times New Roman"/>
          <w:bCs/>
          <w:noProof/>
          <w:color w:val="0F6FC6" w:themeColor="accent1"/>
          <w:lang w:eastAsia="ro-RO"/>
        </w:rPr>
      </w:pPr>
      <w:r w:rsidRPr="00A41C52">
        <w:rPr>
          <w:rFonts w:ascii="Calibri" w:eastAsia="Times New Roman" w:hAnsi="Calibri" w:cs="Times New Roman"/>
          <w:bCs/>
          <w:lang w:eastAsia="ro-RO"/>
        </w:rPr>
        <w:t>TABEL - Situația plăților restante înregistrate de ÎPC active în perioada 2018-2020</w:t>
      </w:r>
      <w:r w:rsidRPr="00A41C52">
        <w:rPr>
          <w:rFonts w:ascii="Calibri" w:eastAsia="Times New Roman" w:hAnsi="Calibri" w:cs="Times New Roman"/>
          <w:bCs/>
          <w:noProof/>
          <w:lang w:eastAsia="ro-RO"/>
        </w:rPr>
        <w:t xml:space="preserve"> </w:t>
      </w:r>
    </w:p>
    <w:p w14:paraId="4C49ECAF" w14:textId="77777777" w:rsidR="00A41C52" w:rsidRDefault="00A41C52" w:rsidP="00A41C52">
      <w:pPr>
        <w:tabs>
          <w:tab w:val="left" w:pos="8239"/>
        </w:tabs>
        <w:spacing w:before="0" w:after="0" w:line="240" w:lineRule="auto"/>
        <w:ind w:left="-108"/>
        <w:jc w:val="both"/>
        <w:rPr>
          <w:rFonts w:ascii="Calibri" w:eastAsia="Times New Roman" w:hAnsi="Calibri" w:cs="Times New Roman"/>
          <w:b/>
          <w:bCs/>
          <w:noProof/>
          <w:color w:val="0F6FC6" w:themeColor="accent1"/>
          <w:lang w:eastAsia="ro-RO"/>
        </w:rPr>
      </w:pPr>
    </w:p>
    <w:tbl>
      <w:tblPr>
        <w:tblW w:w="9270" w:type="dxa"/>
        <w:tblInd w:w="20" w:type="dxa"/>
        <w:tblLook w:val="04A0" w:firstRow="1" w:lastRow="0" w:firstColumn="1" w:lastColumn="0" w:noHBand="0" w:noVBand="1"/>
      </w:tblPr>
      <w:tblGrid>
        <w:gridCol w:w="3602"/>
        <w:gridCol w:w="2015"/>
        <w:gridCol w:w="1870"/>
        <w:gridCol w:w="1783"/>
      </w:tblGrid>
      <w:tr w:rsidR="00A41C52" w:rsidRPr="004C2C6C" w14:paraId="687B15A3" w14:textId="77777777" w:rsidTr="00A41C52">
        <w:trPr>
          <w:trHeight w:val="89"/>
        </w:trPr>
        <w:tc>
          <w:tcPr>
            <w:tcW w:w="3602" w:type="dxa"/>
            <w:tcBorders>
              <w:top w:val="single" w:sz="4" w:space="0" w:color="9BC2E6"/>
              <w:left w:val="single" w:sz="4" w:space="0" w:color="FFFFFF"/>
              <w:bottom w:val="single" w:sz="4" w:space="0" w:color="9BC2E6"/>
              <w:right w:val="single" w:sz="4" w:space="0" w:color="FFFFFF"/>
            </w:tcBorders>
            <w:shd w:val="clear" w:color="404040" w:fill="FFFFFF"/>
            <w:hideMark/>
          </w:tcPr>
          <w:p w14:paraId="4B09D3C2" w14:textId="77777777" w:rsidR="00A41C52" w:rsidRPr="00A41C52" w:rsidRDefault="00A41C52" w:rsidP="00A41C52">
            <w:pPr>
              <w:spacing w:before="0" w:after="0" w:line="240" w:lineRule="auto"/>
              <w:rPr>
                <w:rFonts w:ascii="Calibri" w:eastAsia="Times New Roman" w:hAnsi="Calibri" w:cs="Times New Roman"/>
                <w:bCs/>
                <w:color w:val="0F6FC6" w:themeColor="accent1"/>
                <w:sz w:val="16"/>
                <w:szCs w:val="16"/>
                <w:lang w:eastAsia="ro-RO"/>
              </w:rPr>
            </w:pPr>
            <w:r w:rsidRPr="00A41C52">
              <w:rPr>
                <w:rFonts w:ascii="Calibri" w:eastAsia="Times New Roman" w:hAnsi="Calibri" w:cs="Times New Roman"/>
                <w:bCs/>
                <w:color w:val="0F6FC6" w:themeColor="accent1"/>
                <w:sz w:val="16"/>
                <w:szCs w:val="16"/>
                <w:lang w:eastAsia="ro-RO"/>
              </w:rPr>
              <w:t>Anul</w:t>
            </w:r>
          </w:p>
        </w:tc>
        <w:tc>
          <w:tcPr>
            <w:tcW w:w="2015" w:type="dxa"/>
            <w:tcBorders>
              <w:top w:val="single" w:sz="4" w:space="0" w:color="9BC2E6"/>
              <w:left w:val="nil"/>
              <w:bottom w:val="single" w:sz="4" w:space="0" w:color="9BC2E6"/>
              <w:right w:val="single" w:sz="4" w:space="0" w:color="FFFFFF"/>
            </w:tcBorders>
            <w:shd w:val="clear" w:color="404040" w:fill="FFFFFF"/>
            <w:hideMark/>
          </w:tcPr>
          <w:p w14:paraId="530D9FAE" w14:textId="77777777" w:rsidR="00A41C52" w:rsidRPr="00A41C52" w:rsidRDefault="00A41C52" w:rsidP="00A41C52">
            <w:pPr>
              <w:spacing w:before="0" w:after="0" w:line="240" w:lineRule="auto"/>
              <w:jc w:val="right"/>
              <w:rPr>
                <w:rFonts w:ascii="Calibri" w:eastAsia="Times New Roman" w:hAnsi="Calibri" w:cs="Times New Roman"/>
                <w:bCs/>
                <w:color w:val="0F6FC6" w:themeColor="accent1"/>
                <w:sz w:val="16"/>
                <w:szCs w:val="16"/>
                <w:lang w:eastAsia="ro-RO"/>
              </w:rPr>
            </w:pPr>
            <w:r w:rsidRPr="00A41C52">
              <w:rPr>
                <w:rFonts w:ascii="Calibri" w:eastAsia="Times New Roman" w:hAnsi="Calibri" w:cs="Times New Roman"/>
                <w:bCs/>
                <w:color w:val="0F6FC6" w:themeColor="accent1"/>
                <w:sz w:val="16"/>
                <w:szCs w:val="16"/>
                <w:lang w:eastAsia="ro-RO"/>
              </w:rPr>
              <w:t>2018</w:t>
            </w:r>
          </w:p>
        </w:tc>
        <w:tc>
          <w:tcPr>
            <w:tcW w:w="1870" w:type="dxa"/>
            <w:tcBorders>
              <w:top w:val="single" w:sz="4" w:space="0" w:color="9BC2E6"/>
              <w:left w:val="nil"/>
              <w:bottom w:val="single" w:sz="4" w:space="0" w:color="9BC2E6"/>
              <w:right w:val="single" w:sz="4" w:space="0" w:color="FFFFFF"/>
            </w:tcBorders>
            <w:shd w:val="clear" w:color="404040" w:fill="FFFFFF"/>
            <w:hideMark/>
          </w:tcPr>
          <w:p w14:paraId="4CB3A6C2" w14:textId="77777777" w:rsidR="00A41C52" w:rsidRPr="00A41C52" w:rsidRDefault="00A41C52" w:rsidP="00A41C52">
            <w:pPr>
              <w:spacing w:before="0" w:after="0" w:line="240" w:lineRule="auto"/>
              <w:jc w:val="right"/>
              <w:rPr>
                <w:rFonts w:ascii="Calibri" w:eastAsia="Times New Roman" w:hAnsi="Calibri" w:cs="Times New Roman"/>
                <w:bCs/>
                <w:color w:val="0F6FC6" w:themeColor="accent1"/>
                <w:sz w:val="16"/>
                <w:szCs w:val="16"/>
                <w:lang w:eastAsia="ro-RO"/>
              </w:rPr>
            </w:pPr>
            <w:r w:rsidRPr="00A41C52">
              <w:rPr>
                <w:rFonts w:ascii="Calibri" w:eastAsia="Times New Roman" w:hAnsi="Calibri" w:cs="Times New Roman"/>
                <w:bCs/>
                <w:color w:val="0F6FC6" w:themeColor="accent1"/>
                <w:sz w:val="16"/>
                <w:szCs w:val="16"/>
                <w:lang w:eastAsia="ro-RO"/>
              </w:rPr>
              <w:t>2019</w:t>
            </w:r>
          </w:p>
        </w:tc>
        <w:tc>
          <w:tcPr>
            <w:tcW w:w="1783" w:type="dxa"/>
            <w:tcBorders>
              <w:top w:val="single" w:sz="4" w:space="0" w:color="9BC2E6"/>
              <w:left w:val="nil"/>
              <w:bottom w:val="single" w:sz="4" w:space="0" w:color="9BC2E6"/>
              <w:right w:val="nil"/>
            </w:tcBorders>
            <w:shd w:val="clear" w:color="404040" w:fill="FFFFFF"/>
            <w:hideMark/>
          </w:tcPr>
          <w:p w14:paraId="2311446F" w14:textId="77777777" w:rsidR="00A41C52" w:rsidRPr="00A41C52" w:rsidRDefault="00A41C52" w:rsidP="00A41C52">
            <w:pPr>
              <w:spacing w:before="0" w:after="0" w:line="240" w:lineRule="auto"/>
              <w:jc w:val="right"/>
              <w:rPr>
                <w:rFonts w:ascii="Calibri" w:eastAsia="Times New Roman" w:hAnsi="Calibri" w:cs="Times New Roman"/>
                <w:bCs/>
                <w:color w:val="0F6FC6" w:themeColor="accent1"/>
                <w:sz w:val="16"/>
                <w:szCs w:val="16"/>
                <w:lang w:eastAsia="ro-RO"/>
              </w:rPr>
            </w:pPr>
            <w:r w:rsidRPr="00A41C52">
              <w:rPr>
                <w:rFonts w:ascii="Calibri" w:eastAsia="Times New Roman" w:hAnsi="Calibri" w:cs="Times New Roman"/>
                <w:bCs/>
                <w:color w:val="0F6FC6" w:themeColor="accent1"/>
                <w:sz w:val="16"/>
                <w:szCs w:val="16"/>
                <w:lang w:eastAsia="ro-RO"/>
              </w:rPr>
              <w:t>2020</w:t>
            </w:r>
          </w:p>
        </w:tc>
      </w:tr>
      <w:tr w:rsidR="00A41C52" w:rsidRPr="004C2C6C" w14:paraId="57E9DF02" w14:textId="77777777" w:rsidTr="00A41C52">
        <w:trPr>
          <w:trHeight w:val="161"/>
        </w:trPr>
        <w:tc>
          <w:tcPr>
            <w:tcW w:w="3602" w:type="dxa"/>
            <w:tcBorders>
              <w:top w:val="nil"/>
              <w:left w:val="single" w:sz="4" w:space="0" w:color="FFFFFF"/>
              <w:bottom w:val="single" w:sz="4" w:space="0" w:color="9BC2E6"/>
              <w:right w:val="single" w:sz="4" w:space="0" w:color="FFFFFF"/>
            </w:tcBorders>
            <w:shd w:val="clear" w:color="404040" w:fill="FFFFFF"/>
            <w:hideMark/>
          </w:tcPr>
          <w:p w14:paraId="54F9FAB6" w14:textId="77777777" w:rsidR="00A41C52" w:rsidRPr="00A41C52" w:rsidRDefault="00A41C52" w:rsidP="00A41C52">
            <w:pPr>
              <w:spacing w:before="0" w:after="0" w:line="240" w:lineRule="auto"/>
              <w:rPr>
                <w:rFonts w:ascii="Calibri" w:eastAsia="Times New Roman" w:hAnsi="Calibri" w:cs="Times New Roman"/>
                <w:color w:val="0F6FC6" w:themeColor="accent1"/>
                <w:sz w:val="16"/>
                <w:szCs w:val="16"/>
                <w:lang w:eastAsia="ro-RO"/>
              </w:rPr>
            </w:pPr>
            <w:r w:rsidRPr="00A41C52">
              <w:rPr>
                <w:rFonts w:ascii="Calibri" w:eastAsia="Times New Roman" w:hAnsi="Calibri" w:cs="Times New Roman"/>
                <w:color w:val="0F6FC6" w:themeColor="accent1"/>
                <w:sz w:val="16"/>
                <w:szCs w:val="16"/>
                <w:lang w:eastAsia="ro-RO"/>
              </w:rPr>
              <w:t> </w:t>
            </w:r>
          </w:p>
        </w:tc>
        <w:tc>
          <w:tcPr>
            <w:tcW w:w="2015" w:type="dxa"/>
            <w:tcBorders>
              <w:top w:val="nil"/>
              <w:left w:val="nil"/>
              <w:bottom w:val="single" w:sz="4" w:space="0" w:color="9BC2E6"/>
              <w:right w:val="single" w:sz="4" w:space="0" w:color="FFFFFF"/>
            </w:tcBorders>
            <w:shd w:val="clear" w:color="404040" w:fill="FFFFFF"/>
            <w:hideMark/>
          </w:tcPr>
          <w:p w14:paraId="1513F28F" w14:textId="77777777" w:rsidR="00A41C52" w:rsidRPr="00A41C52" w:rsidRDefault="00A41C52" w:rsidP="00A41C52">
            <w:pPr>
              <w:spacing w:before="0" w:after="0" w:line="240" w:lineRule="auto"/>
              <w:jc w:val="right"/>
              <w:rPr>
                <w:rFonts w:ascii="Calibri" w:eastAsia="Times New Roman" w:hAnsi="Calibri" w:cs="Times New Roman"/>
                <w:i/>
                <w:color w:val="0F6FC6" w:themeColor="accent1"/>
                <w:sz w:val="14"/>
                <w:szCs w:val="14"/>
                <w:lang w:eastAsia="ro-RO"/>
              </w:rPr>
            </w:pPr>
            <w:r w:rsidRPr="00A41C52">
              <w:rPr>
                <w:rFonts w:ascii="Calibri" w:eastAsia="Times New Roman" w:hAnsi="Calibri" w:cs="Times New Roman"/>
                <w:i/>
                <w:color w:val="0F6FC6" w:themeColor="accent1"/>
                <w:sz w:val="14"/>
                <w:szCs w:val="14"/>
                <w:lang w:eastAsia="ro-RO"/>
              </w:rPr>
              <w:t>1</w:t>
            </w:r>
          </w:p>
        </w:tc>
        <w:tc>
          <w:tcPr>
            <w:tcW w:w="1870" w:type="dxa"/>
            <w:tcBorders>
              <w:top w:val="nil"/>
              <w:left w:val="nil"/>
              <w:bottom w:val="single" w:sz="4" w:space="0" w:color="9BC2E6"/>
              <w:right w:val="single" w:sz="4" w:space="0" w:color="FFFFFF"/>
            </w:tcBorders>
            <w:shd w:val="clear" w:color="404040" w:fill="FFFFFF"/>
            <w:hideMark/>
          </w:tcPr>
          <w:p w14:paraId="394D14A4" w14:textId="77777777" w:rsidR="00A41C52" w:rsidRPr="00A41C52" w:rsidRDefault="00A41C52" w:rsidP="00A41C52">
            <w:pPr>
              <w:spacing w:before="0" w:after="0" w:line="240" w:lineRule="auto"/>
              <w:jc w:val="right"/>
              <w:rPr>
                <w:rFonts w:ascii="Calibri" w:eastAsia="Times New Roman" w:hAnsi="Calibri" w:cs="Times New Roman"/>
                <w:i/>
                <w:color w:val="0F6FC6" w:themeColor="accent1"/>
                <w:sz w:val="14"/>
                <w:szCs w:val="14"/>
                <w:lang w:eastAsia="ro-RO"/>
              </w:rPr>
            </w:pPr>
            <w:r w:rsidRPr="00A41C52">
              <w:rPr>
                <w:rFonts w:ascii="Calibri" w:eastAsia="Times New Roman" w:hAnsi="Calibri" w:cs="Times New Roman"/>
                <w:i/>
                <w:color w:val="0F6FC6" w:themeColor="accent1"/>
                <w:sz w:val="14"/>
                <w:szCs w:val="14"/>
                <w:lang w:eastAsia="ro-RO"/>
              </w:rPr>
              <w:t>2</w:t>
            </w:r>
          </w:p>
        </w:tc>
        <w:tc>
          <w:tcPr>
            <w:tcW w:w="1783" w:type="dxa"/>
            <w:tcBorders>
              <w:top w:val="nil"/>
              <w:left w:val="nil"/>
              <w:bottom w:val="single" w:sz="4" w:space="0" w:color="9BC2E6"/>
              <w:right w:val="nil"/>
            </w:tcBorders>
            <w:shd w:val="clear" w:color="404040" w:fill="FFFFFF"/>
            <w:hideMark/>
          </w:tcPr>
          <w:p w14:paraId="5D1DB65C" w14:textId="77777777" w:rsidR="00A41C52" w:rsidRPr="00A41C52" w:rsidRDefault="00A41C52" w:rsidP="00A41C52">
            <w:pPr>
              <w:spacing w:before="0" w:after="0" w:line="240" w:lineRule="auto"/>
              <w:jc w:val="right"/>
              <w:rPr>
                <w:rFonts w:ascii="Calibri" w:eastAsia="Times New Roman" w:hAnsi="Calibri" w:cs="Times New Roman"/>
                <w:i/>
                <w:color w:val="0F6FC6" w:themeColor="accent1"/>
                <w:sz w:val="14"/>
                <w:szCs w:val="14"/>
                <w:lang w:eastAsia="ro-RO"/>
              </w:rPr>
            </w:pPr>
            <w:r w:rsidRPr="00A41C52">
              <w:rPr>
                <w:rFonts w:ascii="Calibri" w:eastAsia="Times New Roman" w:hAnsi="Calibri" w:cs="Times New Roman"/>
                <w:i/>
                <w:color w:val="0F6FC6" w:themeColor="accent1"/>
                <w:sz w:val="14"/>
                <w:szCs w:val="14"/>
                <w:lang w:eastAsia="ro-RO"/>
              </w:rPr>
              <w:t>3</w:t>
            </w:r>
          </w:p>
        </w:tc>
      </w:tr>
      <w:tr w:rsidR="00A41C52" w:rsidRPr="004C2C6C" w14:paraId="0FD3B5C3" w14:textId="77777777" w:rsidTr="00A41C52">
        <w:trPr>
          <w:trHeight w:val="161"/>
        </w:trPr>
        <w:tc>
          <w:tcPr>
            <w:tcW w:w="3602" w:type="dxa"/>
            <w:tcBorders>
              <w:top w:val="nil"/>
              <w:left w:val="single" w:sz="4" w:space="0" w:color="FFFFFF"/>
              <w:bottom w:val="single" w:sz="4" w:space="0" w:color="9BC2E6"/>
              <w:right w:val="single" w:sz="4" w:space="0" w:color="FFFFFF"/>
            </w:tcBorders>
            <w:shd w:val="clear" w:color="404040" w:fill="FFFFFF"/>
            <w:hideMark/>
          </w:tcPr>
          <w:p w14:paraId="421D25AB" w14:textId="77777777" w:rsidR="00A41C52" w:rsidRPr="00A41C52" w:rsidRDefault="00A41C52" w:rsidP="00A41C52">
            <w:pPr>
              <w:spacing w:before="0" w:after="0" w:line="240" w:lineRule="auto"/>
              <w:rPr>
                <w:rFonts w:ascii="Calibri" w:eastAsia="Times New Roman" w:hAnsi="Calibri" w:cs="Times New Roman"/>
                <w:color w:val="0F6FC6" w:themeColor="accent1"/>
                <w:sz w:val="16"/>
                <w:szCs w:val="16"/>
                <w:lang w:eastAsia="ro-RO"/>
              </w:rPr>
            </w:pPr>
            <w:r w:rsidRPr="00A41C52">
              <w:rPr>
                <w:rFonts w:ascii="Calibri" w:eastAsia="Times New Roman" w:hAnsi="Calibri" w:cs="Times New Roman"/>
                <w:color w:val="0F6FC6" w:themeColor="accent1"/>
                <w:sz w:val="16"/>
                <w:szCs w:val="16"/>
                <w:lang w:eastAsia="ro-RO"/>
              </w:rPr>
              <w:t>U.M.</w:t>
            </w:r>
          </w:p>
        </w:tc>
        <w:tc>
          <w:tcPr>
            <w:tcW w:w="2015" w:type="dxa"/>
            <w:tcBorders>
              <w:top w:val="nil"/>
              <w:left w:val="nil"/>
              <w:bottom w:val="single" w:sz="4" w:space="0" w:color="9BC2E6"/>
              <w:right w:val="single" w:sz="4" w:space="0" w:color="FFFFFF"/>
            </w:tcBorders>
            <w:shd w:val="clear" w:color="404040" w:fill="FFFFFF"/>
            <w:hideMark/>
          </w:tcPr>
          <w:p w14:paraId="733AF812" w14:textId="77777777" w:rsidR="00A41C52" w:rsidRPr="00A41C52" w:rsidRDefault="00A41C52" w:rsidP="00A41C52">
            <w:pPr>
              <w:spacing w:before="0" w:after="0" w:line="240" w:lineRule="auto"/>
              <w:jc w:val="right"/>
              <w:rPr>
                <w:rFonts w:ascii="Calibri" w:eastAsia="Times New Roman" w:hAnsi="Calibri" w:cs="Times New Roman"/>
                <w:i/>
                <w:color w:val="0F6FC6" w:themeColor="accent1"/>
                <w:sz w:val="14"/>
                <w:szCs w:val="14"/>
                <w:lang w:eastAsia="ro-RO"/>
              </w:rPr>
            </w:pPr>
            <w:r w:rsidRPr="00A41C52">
              <w:rPr>
                <w:rFonts w:ascii="Calibri" w:eastAsia="Times New Roman" w:hAnsi="Calibri" w:cs="Times New Roman"/>
                <w:i/>
                <w:color w:val="0F6FC6" w:themeColor="accent1"/>
                <w:sz w:val="14"/>
                <w:szCs w:val="14"/>
                <w:lang w:eastAsia="ro-RO"/>
              </w:rPr>
              <w:t>mii lei</w:t>
            </w:r>
          </w:p>
        </w:tc>
        <w:tc>
          <w:tcPr>
            <w:tcW w:w="1870" w:type="dxa"/>
            <w:tcBorders>
              <w:top w:val="nil"/>
              <w:left w:val="nil"/>
              <w:bottom w:val="single" w:sz="4" w:space="0" w:color="9BC2E6"/>
              <w:right w:val="single" w:sz="4" w:space="0" w:color="FFFFFF"/>
            </w:tcBorders>
            <w:shd w:val="clear" w:color="404040" w:fill="FFFFFF"/>
            <w:hideMark/>
          </w:tcPr>
          <w:p w14:paraId="384BBA68" w14:textId="77777777" w:rsidR="00A41C52" w:rsidRPr="00A41C52" w:rsidRDefault="00A41C52" w:rsidP="00A41C52">
            <w:pPr>
              <w:spacing w:before="0" w:after="0" w:line="240" w:lineRule="auto"/>
              <w:jc w:val="right"/>
              <w:rPr>
                <w:rFonts w:ascii="Calibri" w:eastAsia="Times New Roman" w:hAnsi="Calibri" w:cs="Times New Roman"/>
                <w:i/>
                <w:color w:val="0F6FC6" w:themeColor="accent1"/>
                <w:sz w:val="14"/>
                <w:szCs w:val="14"/>
                <w:lang w:eastAsia="ro-RO"/>
              </w:rPr>
            </w:pPr>
            <w:r w:rsidRPr="00A41C52">
              <w:rPr>
                <w:rFonts w:ascii="Calibri" w:eastAsia="Times New Roman" w:hAnsi="Calibri" w:cs="Times New Roman"/>
                <w:i/>
                <w:color w:val="0F6FC6" w:themeColor="accent1"/>
                <w:sz w:val="14"/>
                <w:szCs w:val="14"/>
                <w:lang w:eastAsia="ro-RO"/>
              </w:rPr>
              <w:t>mii lei</w:t>
            </w:r>
          </w:p>
        </w:tc>
        <w:tc>
          <w:tcPr>
            <w:tcW w:w="1783" w:type="dxa"/>
            <w:tcBorders>
              <w:top w:val="nil"/>
              <w:left w:val="nil"/>
              <w:bottom w:val="single" w:sz="4" w:space="0" w:color="9BC2E6"/>
              <w:right w:val="nil"/>
            </w:tcBorders>
            <w:shd w:val="clear" w:color="404040" w:fill="FFFFFF"/>
            <w:hideMark/>
          </w:tcPr>
          <w:p w14:paraId="4C3B08F6" w14:textId="77777777" w:rsidR="00A41C52" w:rsidRPr="00A41C52" w:rsidRDefault="00A41C52" w:rsidP="00A41C52">
            <w:pPr>
              <w:spacing w:before="0" w:after="0" w:line="240" w:lineRule="auto"/>
              <w:jc w:val="right"/>
              <w:rPr>
                <w:rFonts w:ascii="Calibri" w:eastAsia="Times New Roman" w:hAnsi="Calibri" w:cs="Times New Roman"/>
                <w:i/>
                <w:color w:val="0F6FC6" w:themeColor="accent1"/>
                <w:sz w:val="14"/>
                <w:szCs w:val="14"/>
                <w:lang w:eastAsia="ro-RO"/>
              </w:rPr>
            </w:pPr>
            <w:r w:rsidRPr="00A41C52">
              <w:rPr>
                <w:rFonts w:ascii="Calibri" w:eastAsia="Times New Roman" w:hAnsi="Calibri" w:cs="Times New Roman"/>
                <w:i/>
                <w:color w:val="0F6FC6" w:themeColor="accent1"/>
                <w:sz w:val="14"/>
                <w:szCs w:val="14"/>
                <w:lang w:eastAsia="ro-RO"/>
              </w:rPr>
              <w:t>mii lei</w:t>
            </w:r>
          </w:p>
        </w:tc>
      </w:tr>
      <w:tr w:rsidR="00A41C52" w:rsidRPr="004C2C6C" w14:paraId="410DFCCE" w14:textId="77777777" w:rsidTr="00A41C52">
        <w:trPr>
          <w:trHeight w:val="130"/>
        </w:trPr>
        <w:tc>
          <w:tcPr>
            <w:tcW w:w="3602" w:type="dxa"/>
            <w:tcBorders>
              <w:top w:val="nil"/>
              <w:left w:val="single" w:sz="4" w:space="0" w:color="FFFFFF"/>
              <w:bottom w:val="single" w:sz="4" w:space="0" w:color="9BC2E6"/>
              <w:right w:val="single" w:sz="4" w:space="0" w:color="FFFFFF"/>
            </w:tcBorders>
            <w:shd w:val="clear" w:color="auto" w:fill="auto"/>
            <w:hideMark/>
          </w:tcPr>
          <w:p w14:paraId="47F0BF00" w14:textId="77777777" w:rsidR="00A41C52" w:rsidRDefault="00A41C52" w:rsidP="00A06393">
            <w:pPr>
              <w:spacing w:before="0" w:after="0" w:line="240" w:lineRule="auto"/>
              <w:rPr>
                <w:rFonts w:ascii="Calibri" w:eastAsia="Times New Roman" w:hAnsi="Calibri" w:cs="Times New Roman"/>
                <w:b/>
                <w:bCs/>
                <w:sz w:val="16"/>
                <w:szCs w:val="18"/>
                <w:lang w:eastAsia="ro-RO"/>
              </w:rPr>
            </w:pPr>
            <w:r w:rsidRPr="00A41C52">
              <w:rPr>
                <w:rFonts w:ascii="Calibri" w:eastAsia="Times New Roman" w:hAnsi="Calibri" w:cs="Times New Roman"/>
                <w:b/>
                <w:bCs/>
                <w:sz w:val="16"/>
                <w:szCs w:val="18"/>
                <w:lang w:eastAsia="ro-RO"/>
              </w:rPr>
              <w:t xml:space="preserve">TOTAL Plăți restante ÎPC </w:t>
            </w:r>
            <w:r w:rsidRPr="00A41C52">
              <w:rPr>
                <w:rFonts w:ascii="Calibri" w:eastAsia="Times New Roman" w:hAnsi="Calibri" w:cs="Times New Roman"/>
                <w:b/>
                <w:bCs/>
                <w:sz w:val="16"/>
                <w:szCs w:val="18"/>
                <w:u w:val="single"/>
                <w:lang w:eastAsia="ro-RO"/>
              </w:rPr>
              <w:t>ACTIVE</w:t>
            </w:r>
            <w:r w:rsidRPr="00A41C52">
              <w:rPr>
                <w:rFonts w:ascii="Calibri" w:eastAsia="Times New Roman" w:hAnsi="Calibri" w:cs="Times New Roman"/>
                <w:b/>
                <w:bCs/>
                <w:sz w:val="16"/>
                <w:szCs w:val="18"/>
                <w:lang w:eastAsia="ro-RO"/>
              </w:rPr>
              <w:t>, din care:</w:t>
            </w:r>
          </w:p>
          <w:p w14:paraId="79DC2F93" w14:textId="77777777" w:rsidR="00A41C52" w:rsidRPr="00A41C52" w:rsidRDefault="00A41C52" w:rsidP="00A06393">
            <w:pPr>
              <w:spacing w:before="0" w:after="0" w:line="240" w:lineRule="auto"/>
              <w:rPr>
                <w:rFonts w:ascii="Calibri" w:eastAsia="Times New Roman" w:hAnsi="Calibri" w:cs="Times New Roman"/>
                <w:b/>
                <w:bCs/>
                <w:sz w:val="16"/>
                <w:szCs w:val="18"/>
                <w:lang w:eastAsia="ro-RO"/>
              </w:rPr>
            </w:pPr>
          </w:p>
        </w:tc>
        <w:tc>
          <w:tcPr>
            <w:tcW w:w="2015" w:type="dxa"/>
            <w:tcBorders>
              <w:top w:val="nil"/>
              <w:left w:val="nil"/>
              <w:bottom w:val="single" w:sz="4" w:space="0" w:color="9BC2E6"/>
              <w:right w:val="single" w:sz="4" w:space="0" w:color="FFFFFF"/>
            </w:tcBorders>
            <w:shd w:val="clear" w:color="auto" w:fill="auto"/>
            <w:noWrap/>
            <w:hideMark/>
          </w:tcPr>
          <w:p w14:paraId="0F1A0CAC" w14:textId="77777777" w:rsidR="00A41C52" w:rsidRPr="00A41C52" w:rsidRDefault="00A41C52" w:rsidP="00A06393">
            <w:pPr>
              <w:spacing w:before="0" w:after="0" w:line="240" w:lineRule="auto"/>
              <w:jc w:val="right"/>
              <w:rPr>
                <w:rFonts w:ascii="Calibri" w:eastAsia="Times New Roman" w:hAnsi="Calibri" w:cs="Times New Roman"/>
                <w:b/>
                <w:bCs/>
                <w:sz w:val="16"/>
                <w:szCs w:val="18"/>
                <w:lang w:eastAsia="ro-RO"/>
              </w:rPr>
            </w:pPr>
            <w:r w:rsidRPr="00A41C52">
              <w:rPr>
                <w:rFonts w:ascii="Calibri" w:eastAsia="Times New Roman" w:hAnsi="Calibri" w:cs="Times New Roman"/>
                <w:b/>
                <w:bCs/>
                <w:sz w:val="16"/>
                <w:szCs w:val="18"/>
                <w:lang w:eastAsia="ro-RO"/>
              </w:rPr>
              <w:t>4.394.070</w:t>
            </w:r>
          </w:p>
        </w:tc>
        <w:tc>
          <w:tcPr>
            <w:tcW w:w="1870" w:type="dxa"/>
            <w:tcBorders>
              <w:top w:val="nil"/>
              <w:left w:val="nil"/>
              <w:bottom w:val="single" w:sz="4" w:space="0" w:color="9BC2E6"/>
              <w:right w:val="single" w:sz="4" w:space="0" w:color="FFFFFF"/>
            </w:tcBorders>
            <w:shd w:val="clear" w:color="auto" w:fill="auto"/>
            <w:noWrap/>
            <w:hideMark/>
          </w:tcPr>
          <w:p w14:paraId="7564D61B" w14:textId="77777777" w:rsidR="00A41C52" w:rsidRPr="00A41C52" w:rsidRDefault="00A41C52" w:rsidP="00A06393">
            <w:pPr>
              <w:spacing w:before="0" w:after="0" w:line="240" w:lineRule="auto"/>
              <w:jc w:val="right"/>
              <w:rPr>
                <w:rFonts w:ascii="Calibri" w:eastAsia="Times New Roman" w:hAnsi="Calibri" w:cs="Times New Roman"/>
                <w:b/>
                <w:bCs/>
                <w:sz w:val="16"/>
                <w:szCs w:val="18"/>
                <w:lang w:eastAsia="ro-RO"/>
              </w:rPr>
            </w:pPr>
            <w:r w:rsidRPr="00A41C52">
              <w:rPr>
                <w:rFonts w:ascii="Calibri" w:eastAsia="Times New Roman" w:hAnsi="Calibri" w:cs="Times New Roman"/>
                <w:b/>
                <w:bCs/>
                <w:sz w:val="16"/>
                <w:szCs w:val="18"/>
                <w:lang w:eastAsia="ro-RO"/>
              </w:rPr>
              <w:t>3.192.717</w:t>
            </w:r>
          </w:p>
        </w:tc>
        <w:tc>
          <w:tcPr>
            <w:tcW w:w="1783" w:type="dxa"/>
            <w:tcBorders>
              <w:top w:val="nil"/>
              <w:left w:val="nil"/>
              <w:bottom w:val="single" w:sz="4" w:space="0" w:color="9BC2E6"/>
              <w:right w:val="nil"/>
            </w:tcBorders>
            <w:shd w:val="clear" w:color="auto" w:fill="auto"/>
            <w:noWrap/>
            <w:hideMark/>
          </w:tcPr>
          <w:p w14:paraId="3876CFC8" w14:textId="77777777" w:rsidR="00A41C52" w:rsidRPr="00A41C52" w:rsidRDefault="00A41C52" w:rsidP="00A06393">
            <w:pPr>
              <w:spacing w:before="0" w:after="0" w:line="240" w:lineRule="auto"/>
              <w:jc w:val="right"/>
              <w:rPr>
                <w:rFonts w:ascii="Calibri" w:eastAsia="Times New Roman" w:hAnsi="Calibri" w:cs="Times New Roman"/>
                <w:b/>
                <w:bCs/>
                <w:sz w:val="16"/>
                <w:szCs w:val="18"/>
                <w:lang w:eastAsia="ro-RO"/>
              </w:rPr>
            </w:pPr>
            <w:r w:rsidRPr="00A41C52">
              <w:rPr>
                <w:rFonts w:ascii="Calibri" w:eastAsia="Times New Roman" w:hAnsi="Calibri" w:cs="Times New Roman"/>
                <w:b/>
                <w:bCs/>
                <w:sz w:val="16"/>
                <w:szCs w:val="18"/>
                <w:lang w:eastAsia="ro-RO"/>
              </w:rPr>
              <w:t>7.614.588</w:t>
            </w:r>
          </w:p>
        </w:tc>
      </w:tr>
      <w:tr w:rsidR="00A41C52" w:rsidRPr="004C2C6C" w14:paraId="105BFE6F" w14:textId="77777777" w:rsidTr="00A41C52">
        <w:trPr>
          <w:trHeight w:val="166"/>
        </w:trPr>
        <w:tc>
          <w:tcPr>
            <w:tcW w:w="3602" w:type="dxa"/>
            <w:tcBorders>
              <w:top w:val="nil"/>
              <w:left w:val="single" w:sz="4" w:space="0" w:color="FFFFFF"/>
              <w:bottom w:val="single" w:sz="4" w:space="0" w:color="9BC2E6"/>
              <w:right w:val="single" w:sz="4" w:space="0" w:color="FFFFFF"/>
            </w:tcBorders>
            <w:shd w:val="clear" w:color="auto" w:fill="auto"/>
            <w:hideMark/>
          </w:tcPr>
          <w:p w14:paraId="50A839CF" w14:textId="77777777" w:rsidR="00A41C52" w:rsidRPr="00A41C52" w:rsidRDefault="00A41C52" w:rsidP="00A41C52">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Plăți restante Bugetul General Consolidat</w:t>
            </w:r>
          </w:p>
        </w:tc>
        <w:tc>
          <w:tcPr>
            <w:tcW w:w="2015" w:type="dxa"/>
            <w:tcBorders>
              <w:top w:val="nil"/>
              <w:left w:val="nil"/>
              <w:bottom w:val="single" w:sz="4" w:space="0" w:color="9BC2E6"/>
              <w:right w:val="single" w:sz="4" w:space="0" w:color="FFFFFF"/>
            </w:tcBorders>
            <w:shd w:val="clear" w:color="auto" w:fill="auto"/>
            <w:noWrap/>
            <w:hideMark/>
          </w:tcPr>
          <w:p w14:paraId="60BEA545" w14:textId="77777777" w:rsidR="00A41C52" w:rsidRPr="00A41C52" w:rsidRDefault="00A41C52" w:rsidP="00A06393">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2.484.951</w:t>
            </w:r>
          </w:p>
        </w:tc>
        <w:tc>
          <w:tcPr>
            <w:tcW w:w="1870" w:type="dxa"/>
            <w:tcBorders>
              <w:top w:val="nil"/>
              <w:left w:val="nil"/>
              <w:bottom w:val="single" w:sz="4" w:space="0" w:color="9BC2E6"/>
              <w:right w:val="single" w:sz="4" w:space="0" w:color="FFFFFF"/>
            </w:tcBorders>
            <w:shd w:val="clear" w:color="auto" w:fill="auto"/>
            <w:noWrap/>
            <w:hideMark/>
          </w:tcPr>
          <w:p w14:paraId="0CD73790" w14:textId="77777777" w:rsidR="00A41C52" w:rsidRPr="00A41C52" w:rsidRDefault="00A41C52" w:rsidP="00A06393">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1.184.776</w:t>
            </w:r>
          </w:p>
        </w:tc>
        <w:tc>
          <w:tcPr>
            <w:tcW w:w="1783" w:type="dxa"/>
            <w:tcBorders>
              <w:top w:val="nil"/>
              <w:left w:val="nil"/>
              <w:bottom w:val="single" w:sz="4" w:space="0" w:color="9BC2E6"/>
              <w:right w:val="nil"/>
            </w:tcBorders>
            <w:shd w:val="clear" w:color="auto" w:fill="auto"/>
            <w:noWrap/>
            <w:hideMark/>
          </w:tcPr>
          <w:p w14:paraId="377B4D94" w14:textId="77777777" w:rsidR="00A41C52" w:rsidRPr="00A41C52" w:rsidRDefault="00A41C52" w:rsidP="00A06393">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2.254.161</w:t>
            </w:r>
          </w:p>
        </w:tc>
      </w:tr>
      <w:tr w:rsidR="00A41C52" w:rsidRPr="004C2C6C" w14:paraId="23BEC45E" w14:textId="77777777" w:rsidTr="00A41C52">
        <w:trPr>
          <w:trHeight w:val="152"/>
        </w:trPr>
        <w:tc>
          <w:tcPr>
            <w:tcW w:w="3602" w:type="dxa"/>
            <w:tcBorders>
              <w:top w:val="nil"/>
              <w:left w:val="single" w:sz="4" w:space="0" w:color="FFFFFF"/>
              <w:bottom w:val="single" w:sz="4" w:space="0" w:color="9BC2E6"/>
              <w:right w:val="single" w:sz="4" w:space="0" w:color="FFFFFF"/>
            </w:tcBorders>
            <w:shd w:val="clear" w:color="auto" w:fill="auto"/>
            <w:hideMark/>
          </w:tcPr>
          <w:p w14:paraId="343CAFBB" w14:textId="77777777" w:rsidR="00A41C52" w:rsidRPr="00A41C52" w:rsidRDefault="00A41C52" w:rsidP="00A41C52">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Plăți restante alți creditori</w:t>
            </w:r>
          </w:p>
        </w:tc>
        <w:tc>
          <w:tcPr>
            <w:tcW w:w="2015" w:type="dxa"/>
            <w:tcBorders>
              <w:top w:val="nil"/>
              <w:left w:val="nil"/>
              <w:bottom w:val="single" w:sz="4" w:space="0" w:color="9BC2E6"/>
              <w:right w:val="single" w:sz="4" w:space="0" w:color="FFFFFF"/>
            </w:tcBorders>
            <w:shd w:val="clear" w:color="auto" w:fill="auto"/>
            <w:noWrap/>
            <w:hideMark/>
          </w:tcPr>
          <w:p w14:paraId="172E76BF" w14:textId="77777777" w:rsidR="00A41C52" w:rsidRPr="00A41C52" w:rsidRDefault="00A41C52" w:rsidP="00A06393">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1.909.119</w:t>
            </w:r>
          </w:p>
        </w:tc>
        <w:tc>
          <w:tcPr>
            <w:tcW w:w="1870" w:type="dxa"/>
            <w:tcBorders>
              <w:top w:val="nil"/>
              <w:left w:val="nil"/>
              <w:bottom w:val="single" w:sz="4" w:space="0" w:color="9BC2E6"/>
              <w:right w:val="single" w:sz="4" w:space="0" w:color="FFFFFF"/>
            </w:tcBorders>
            <w:shd w:val="clear" w:color="auto" w:fill="auto"/>
            <w:noWrap/>
            <w:hideMark/>
          </w:tcPr>
          <w:p w14:paraId="6C8E40BF" w14:textId="77777777" w:rsidR="00A41C52" w:rsidRPr="00A41C52" w:rsidRDefault="00A41C52" w:rsidP="00A06393">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2.007.941</w:t>
            </w:r>
          </w:p>
        </w:tc>
        <w:tc>
          <w:tcPr>
            <w:tcW w:w="1783" w:type="dxa"/>
            <w:tcBorders>
              <w:top w:val="nil"/>
              <w:left w:val="nil"/>
              <w:bottom w:val="single" w:sz="4" w:space="0" w:color="9BC2E6"/>
              <w:right w:val="nil"/>
            </w:tcBorders>
            <w:shd w:val="clear" w:color="auto" w:fill="auto"/>
            <w:noWrap/>
            <w:hideMark/>
          </w:tcPr>
          <w:p w14:paraId="2856C48B" w14:textId="77777777" w:rsidR="00A41C52" w:rsidRPr="00A41C52" w:rsidRDefault="00A41C52" w:rsidP="00A06393">
            <w:pPr>
              <w:spacing w:before="0" w:after="0" w:line="240" w:lineRule="auto"/>
              <w:jc w:val="right"/>
              <w:rPr>
                <w:rFonts w:ascii="Calibri" w:eastAsia="Times New Roman" w:hAnsi="Calibri" w:cs="Times New Roman"/>
                <w:sz w:val="16"/>
                <w:szCs w:val="18"/>
                <w:lang w:eastAsia="ro-RO"/>
              </w:rPr>
            </w:pPr>
            <w:r w:rsidRPr="00A41C52">
              <w:rPr>
                <w:rFonts w:ascii="Calibri" w:eastAsia="Times New Roman" w:hAnsi="Calibri" w:cs="Times New Roman"/>
                <w:sz w:val="16"/>
                <w:szCs w:val="18"/>
                <w:lang w:eastAsia="ro-RO"/>
              </w:rPr>
              <w:t>5.360.426</w:t>
            </w:r>
          </w:p>
        </w:tc>
      </w:tr>
      <w:tr w:rsidR="00A41C52" w:rsidRPr="004C2C6C" w14:paraId="2FF61C0C" w14:textId="77777777" w:rsidTr="00A41C52">
        <w:trPr>
          <w:trHeight w:val="272"/>
        </w:trPr>
        <w:tc>
          <w:tcPr>
            <w:tcW w:w="3602" w:type="dxa"/>
            <w:tcBorders>
              <w:top w:val="single" w:sz="4" w:space="0" w:color="5B9BD5"/>
              <w:left w:val="nil"/>
              <w:bottom w:val="nil"/>
              <w:right w:val="nil"/>
            </w:tcBorders>
            <w:shd w:val="clear" w:color="auto" w:fill="auto"/>
            <w:noWrap/>
            <w:vAlign w:val="bottom"/>
            <w:hideMark/>
          </w:tcPr>
          <w:p w14:paraId="688002A4" w14:textId="77777777" w:rsidR="00A41C52" w:rsidRPr="00A41C52" w:rsidRDefault="00A41C52" w:rsidP="00A06393">
            <w:pPr>
              <w:spacing w:before="0" w:after="0" w:line="240" w:lineRule="auto"/>
              <w:rPr>
                <w:rFonts w:ascii="Calibri Light" w:eastAsia="Times New Roman" w:hAnsi="Calibri Light" w:cs="Times New Roman"/>
                <w:sz w:val="16"/>
                <w:szCs w:val="16"/>
                <w:lang w:eastAsia="ro-RO"/>
              </w:rPr>
            </w:pPr>
            <w:r w:rsidRPr="00A41C52">
              <w:rPr>
                <w:rFonts w:ascii="Calibri Light" w:eastAsia="Times New Roman" w:hAnsi="Calibri Light" w:cs="Times New Roman"/>
                <w:sz w:val="16"/>
                <w:szCs w:val="16"/>
                <w:lang w:eastAsia="ro-RO"/>
              </w:rPr>
              <w:t>Notă: în tabel s-a folosit starea ÎP la anul raportării.</w:t>
            </w:r>
          </w:p>
        </w:tc>
        <w:tc>
          <w:tcPr>
            <w:tcW w:w="2015" w:type="dxa"/>
            <w:tcBorders>
              <w:top w:val="nil"/>
              <w:left w:val="nil"/>
              <w:bottom w:val="nil"/>
              <w:right w:val="nil"/>
            </w:tcBorders>
            <w:shd w:val="clear" w:color="auto" w:fill="auto"/>
            <w:noWrap/>
            <w:vAlign w:val="bottom"/>
            <w:hideMark/>
          </w:tcPr>
          <w:p w14:paraId="11F24C23" w14:textId="77777777" w:rsidR="00A41C52" w:rsidRPr="00A41C52" w:rsidRDefault="00A41C52" w:rsidP="00A06393">
            <w:pPr>
              <w:spacing w:before="0" w:after="0" w:line="240" w:lineRule="auto"/>
              <w:rPr>
                <w:rFonts w:ascii="Calibri Light" w:eastAsia="Times New Roman" w:hAnsi="Calibri Light" w:cs="Times New Roman"/>
                <w:sz w:val="16"/>
                <w:szCs w:val="16"/>
                <w:lang w:eastAsia="ro-RO"/>
              </w:rPr>
            </w:pPr>
          </w:p>
        </w:tc>
        <w:tc>
          <w:tcPr>
            <w:tcW w:w="1870" w:type="dxa"/>
            <w:tcBorders>
              <w:top w:val="nil"/>
              <w:left w:val="nil"/>
              <w:bottom w:val="nil"/>
              <w:right w:val="nil"/>
            </w:tcBorders>
            <w:shd w:val="clear" w:color="auto" w:fill="auto"/>
            <w:noWrap/>
            <w:vAlign w:val="bottom"/>
            <w:hideMark/>
          </w:tcPr>
          <w:p w14:paraId="175F862D" w14:textId="77777777" w:rsidR="00A41C52" w:rsidRPr="004C2C6C" w:rsidRDefault="00A41C52" w:rsidP="00A06393">
            <w:pPr>
              <w:spacing w:before="0" w:after="0" w:line="240" w:lineRule="auto"/>
              <w:rPr>
                <w:rFonts w:ascii="Times New Roman" w:eastAsia="Times New Roman" w:hAnsi="Times New Roman" w:cs="Times New Roman"/>
                <w:lang w:eastAsia="ro-RO"/>
              </w:rPr>
            </w:pPr>
          </w:p>
        </w:tc>
        <w:tc>
          <w:tcPr>
            <w:tcW w:w="1783" w:type="dxa"/>
            <w:tcBorders>
              <w:top w:val="nil"/>
              <w:left w:val="nil"/>
              <w:bottom w:val="nil"/>
              <w:right w:val="nil"/>
            </w:tcBorders>
            <w:shd w:val="clear" w:color="auto" w:fill="auto"/>
            <w:noWrap/>
            <w:vAlign w:val="bottom"/>
            <w:hideMark/>
          </w:tcPr>
          <w:p w14:paraId="46AB2D4F" w14:textId="77777777" w:rsidR="00A41C52" w:rsidRPr="004C2C6C" w:rsidRDefault="00A41C52" w:rsidP="00A06393">
            <w:pPr>
              <w:spacing w:before="0" w:after="0" w:line="240" w:lineRule="auto"/>
              <w:rPr>
                <w:rFonts w:ascii="Times New Roman" w:eastAsia="Times New Roman" w:hAnsi="Times New Roman" w:cs="Times New Roman"/>
                <w:lang w:eastAsia="ro-RO"/>
              </w:rPr>
            </w:pPr>
          </w:p>
        </w:tc>
      </w:tr>
    </w:tbl>
    <w:p w14:paraId="0F9EC4DD" w14:textId="77777777" w:rsidR="00A41C52" w:rsidRDefault="00A41C52" w:rsidP="00A41C52">
      <w:pPr>
        <w:tabs>
          <w:tab w:val="left" w:pos="8239"/>
        </w:tabs>
        <w:spacing w:before="0" w:after="0" w:line="240" w:lineRule="auto"/>
        <w:ind w:left="-108"/>
        <w:jc w:val="both"/>
        <w:rPr>
          <w:rFonts w:ascii="Calibri" w:eastAsia="Times New Roman" w:hAnsi="Calibri" w:cs="Times New Roman"/>
          <w:b/>
          <w:bCs/>
          <w:noProof/>
          <w:color w:val="0F6FC6" w:themeColor="accent1"/>
          <w:lang w:eastAsia="ro-RO"/>
        </w:rPr>
      </w:pPr>
    </w:p>
    <w:p w14:paraId="58F31738" w14:textId="77777777" w:rsidR="00A41C52" w:rsidRDefault="00A41C52" w:rsidP="00A41C52">
      <w:pPr>
        <w:tabs>
          <w:tab w:val="left" w:pos="8239"/>
        </w:tabs>
        <w:spacing w:before="0" w:after="0" w:line="240" w:lineRule="auto"/>
        <w:ind w:left="-108"/>
        <w:jc w:val="both"/>
        <w:rPr>
          <w:rFonts w:ascii="Calibri" w:eastAsia="Times New Roman" w:hAnsi="Calibri" w:cs="Times New Roman"/>
          <w:b/>
          <w:bCs/>
          <w:noProof/>
          <w:color w:val="0F6FC6" w:themeColor="accent1"/>
          <w:lang w:eastAsia="ro-RO"/>
        </w:rPr>
      </w:pPr>
    </w:p>
    <w:p w14:paraId="00CE9D62" w14:textId="77777777" w:rsidR="00A41C52" w:rsidRPr="008C6972" w:rsidRDefault="00A41C52" w:rsidP="00A41C52">
      <w:pPr>
        <w:tabs>
          <w:tab w:val="left" w:pos="8239"/>
        </w:tabs>
        <w:spacing w:before="0" w:after="0" w:line="240" w:lineRule="auto"/>
        <w:ind w:left="-108"/>
        <w:jc w:val="both"/>
        <w:rPr>
          <w:rFonts w:ascii="Calibri" w:eastAsia="Times New Roman" w:hAnsi="Calibri" w:cs="Times New Roman"/>
          <w:b/>
          <w:bCs/>
          <w:noProof/>
          <w:color w:val="0F6FC6" w:themeColor="accent1"/>
          <w:lang w:eastAsia="ro-RO"/>
        </w:rPr>
      </w:pPr>
    </w:p>
    <w:p w14:paraId="11786A82" w14:textId="77777777" w:rsidR="00A41C52" w:rsidRPr="00A41C52" w:rsidRDefault="00A41C52" w:rsidP="00A41C52">
      <w:pPr>
        <w:tabs>
          <w:tab w:val="left" w:pos="8239"/>
        </w:tabs>
        <w:spacing w:before="0" w:after="0" w:line="240" w:lineRule="auto"/>
        <w:ind w:left="-108"/>
        <w:jc w:val="both"/>
        <w:rPr>
          <w:rFonts w:ascii="Calibri" w:eastAsia="Times New Roman" w:hAnsi="Calibri" w:cs="Times New Roman"/>
          <w:bCs/>
          <w:noProof/>
          <w:lang w:eastAsia="ro-RO"/>
        </w:rPr>
      </w:pPr>
      <w:r w:rsidRPr="00A41C52">
        <w:rPr>
          <w:rFonts w:ascii="Calibri" w:eastAsia="Times New Roman" w:hAnsi="Calibri" w:cs="Times New Roman"/>
          <w:bCs/>
          <w:noProof/>
          <w:lang w:eastAsia="ro-RO"/>
        </w:rPr>
        <w:t>TABEL – Total plăți restante înregistrate de primele 10 ÎPC active în total general plăți restante înregistrate de ÎPC active</w:t>
      </w:r>
    </w:p>
    <w:p w14:paraId="539AAFA7" w14:textId="77777777" w:rsidR="00A41C52" w:rsidRPr="008C6972" w:rsidRDefault="00A41C52" w:rsidP="00A41C52">
      <w:pPr>
        <w:tabs>
          <w:tab w:val="left" w:pos="8239"/>
        </w:tabs>
        <w:spacing w:before="0" w:after="0" w:line="240" w:lineRule="auto"/>
        <w:ind w:left="-108"/>
        <w:jc w:val="both"/>
        <w:rPr>
          <w:rFonts w:ascii="Calibri" w:eastAsia="Times New Roman" w:hAnsi="Calibri" w:cs="Times New Roman"/>
          <w:b/>
          <w:bCs/>
          <w:noProof/>
          <w:color w:val="0F6FC6" w:themeColor="accent1"/>
          <w:lang w:eastAsia="ro-RO"/>
        </w:rPr>
      </w:pPr>
    </w:p>
    <w:tbl>
      <w:tblPr>
        <w:tblW w:w="9301" w:type="dxa"/>
        <w:tblLook w:val="04A0" w:firstRow="1" w:lastRow="0" w:firstColumn="1" w:lastColumn="0" w:noHBand="0" w:noVBand="1"/>
      </w:tblPr>
      <w:tblGrid>
        <w:gridCol w:w="3762"/>
        <w:gridCol w:w="730"/>
        <w:gridCol w:w="1572"/>
        <w:gridCol w:w="1684"/>
        <w:gridCol w:w="1553"/>
      </w:tblGrid>
      <w:tr w:rsidR="00A41C52" w:rsidRPr="008B6FCE" w14:paraId="77EDD2D1" w14:textId="77777777" w:rsidTr="00A41C52">
        <w:trPr>
          <w:trHeight w:val="325"/>
        </w:trPr>
        <w:tc>
          <w:tcPr>
            <w:tcW w:w="3762" w:type="dxa"/>
            <w:tcBorders>
              <w:top w:val="single" w:sz="4" w:space="0" w:color="9BC2E6"/>
              <w:left w:val="nil"/>
              <w:bottom w:val="nil"/>
              <w:right w:val="nil"/>
            </w:tcBorders>
            <w:shd w:val="clear" w:color="auto" w:fill="auto"/>
            <w:noWrap/>
            <w:vAlign w:val="bottom"/>
            <w:hideMark/>
          </w:tcPr>
          <w:p w14:paraId="7051885F" w14:textId="77777777" w:rsidR="00A41C52" w:rsidRPr="008B6FCE" w:rsidRDefault="00A41C52" w:rsidP="00A06393">
            <w:pPr>
              <w:spacing w:before="0" w:after="0" w:line="240" w:lineRule="auto"/>
              <w:rPr>
                <w:rFonts w:ascii="Calibri" w:eastAsia="Times New Roman" w:hAnsi="Calibri" w:cs="Times New Roman"/>
                <w:color w:val="000000"/>
                <w:sz w:val="22"/>
                <w:szCs w:val="22"/>
                <w:lang w:eastAsia="ro-RO"/>
              </w:rPr>
            </w:pPr>
            <w:r w:rsidRPr="008B6FCE">
              <w:rPr>
                <w:rFonts w:ascii="Calibri" w:eastAsia="Times New Roman" w:hAnsi="Calibri" w:cs="Times New Roman"/>
                <w:color w:val="000000"/>
                <w:sz w:val="22"/>
                <w:szCs w:val="22"/>
                <w:lang w:eastAsia="ro-RO"/>
              </w:rPr>
              <w:t> </w:t>
            </w:r>
          </w:p>
        </w:tc>
        <w:tc>
          <w:tcPr>
            <w:tcW w:w="730" w:type="dxa"/>
            <w:vMerge w:val="restart"/>
            <w:tcBorders>
              <w:top w:val="single" w:sz="4" w:space="0" w:color="9BC2E6"/>
              <w:left w:val="single" w:sz="4" w:space="0" w:color="FFFFFF"/>
              <w:bottom w:val="single" w:sz="4" w:space="0" w:color="9BC2E6"/>
              <w:right w:val="single" w:sz="4" w:space="0" w:color="FFFFFF"/>
            </w:tcBorders>
            <w:shd w:val="clear" w:color="5B9BD5" w:fill="FFFFFF"/>
            <w:hideMark/>
          </w:tcPr>
          <w:p w14:paraId="02E99FD9"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6"/>
                <w:szCs w:val="16"/>
                <w:lang w:eastAsia="ro-RO"/>
              </w:rPr>
            </w:pPr>
            <w:r w:rsidRPr="00A41C52">
              <w:rPr>
                <w:rFonts w:ascii="Calibri" w:eastAsia="Times New Roman" w:hAnsi="Calibri" w:cs="Times New Roman"/>
                <w:color w:val="0F6FC6" w:themeColor="accent1"/>
                <w:sz w:val="16"/>
                <w:szCs w:val="16"/>
                <w:lang w:eastAsia="ro-RO"/>
              </w:rPr>
              <w:t>Anul</w:t>
            </w:r>
          </w:p>
        </w:tc>
        <w:tc>
          <w:tcPr>
            <w:tcW w:w="1572" w:type="dxa"/>
            <w:tcBorders>
              <w:top w:val="single" w:sz="4" w:space="0" w:color="9BC2E6"/>
              <w:left w:val="nil"/>
              <w:bottom w:val="single" w:sz="4" w:space="0" w:color="9BC2E6"/>
              <w:right w:val="single" w:sz="4" w:space="0" w:color="FFFFFF"/>
            </w:tcBorders>
            <w:shd w:val="clear" w:color="5B9BD5" w:fill="FFFFFF"/>
            <w:hideMark/>
          </w:tcPr>
          <w:p w14:paraId="57A5FAB5"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6"/>
                <w:szCs w:val="16"/>
                <w:lang w:eastAsia="ro-RO"/>
              </w:rPr>
            </w:pPr>
            <w:r w:rsidRPr="00A41C52">
              <w:rPr>
                <w:rFonts w:ascii="Calibri" w:eastAsia="Times New Roman" w:hAnsi="Calibri" w:cs="Times New Roman"/>
                <w:color w:val="0F6FC6" w:themeColor="accent1"/>
                <w:sz w:val="16"/>
                <w:szCs w:val="16"/>
                <w:lang w:eastAsia="ro-RO"/>
              </w:rPr>
              <w:t>TOTAL Plăți restante</w:t>
            </w:r>
          </w:p>
        </w:tc>
        <w:tc>
          <w:tcPr>
            <w:tcW w:w="1684" w:type="dxa"/>
            <w:tcBorders>
              <w:top w:val="single" w:sz="4" w:space="0" w:color="9BC2E6"/>
              <w:left w:val="nil"/>
              <w:bottom w:val="single" w:sz="4" w:space="0" w:color="9BC2E6"/>
              <w:right w:val="single" w:sz="4" w:space="0" w:color="FFFFFF"/>
            </w:tcBorders>
            <w:shd w:val="clear" w:color="5B9BD5" w:fill="FFFFFF"/>
            <w:hideMark/>
          </w:tcPr>
          <w:p w14:paraId="158FD869"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6"/>
                <w:szCs w:val="16"/>
                <w:lang w:eastAsia="ro-RO"/>
              </w:rPr>
            </w:pPr>
            <w:r w:rsidRPr="00A41C52">
              <w:rPr>
                <w:rFonts w:ascii="Calibri" w:eastAsia="Times New Roman" w:hAnsi="Calibri" w:cs="Times New Roman"/>
                <w:color w:val="0F6FC6" w:themeColor="accent1"/>
                <w:sz w:val="16"/>
                <w:szCs w:val="16"/>
                <w:lang w:eastAsia="ro-RO"/>
              </w:rPr>
              <w:t>Plăți restante Bugetul General Consolidat</w:t>
            </w:r>
          </w:p>
        </w:tc>
        <w:tc>
          <w:tcPr>
            <w:tcW w:w="1553" w:type="dxa"/>
            <w:tcBorders>
              <w:top w:val="single" w:sz="4" w:space="0" w:color="9BC2E6"/>
              <w:left w:val="nil"/>
              <w:bottom w:val="single" w:sz="4" w:space="0" w:color="9BC2E6"/>
              <w:right w:val="nil"/>
            </w:tcBorders>
            <w:shd w:val="clear" w:color="5B9BD5" w:fill="FFFFFF"/>
            <w:hideMark/>
          </w:tcPr>
          <w:p w14:paraId="4A6DF8C7"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6"/>
                <w:szCs w:val="16"/>
                <w:lang w:eastAsia="ro-RO"/>
              </w:rPr>
            </w:pPr>
            <w:r w:rsidRPr="00A41C52">
              <w:rPr>
                <w:rFonts w:ascii="Calibri" w:eastAsia="Times New Roman" w:hAnsi="Calibri" w:cs="Times New Roman"/>
                <w:color w:val="0F6FC6" w:themeColor="accent1"/>
                <w:sz w:val="16"/>
                <w:szCs w:val="16"/>
                <w:lang w:eastAsia="ro-RO"/>
              </w:rPr>
              <w:t>Plăți restante alți creditori</w:t>
            </w:r>
          </w:p>
        </w:tc>
      </w:tr>
      <w:tr w:rsidR="00A41C52" w:rsidRPr="008B6FCE" w14:paraId="49C856AC" w14:textId="77777777" w:rsidTr="00A41C52">
        <w:trPr>
          <w:trHeight w:val="216"/>
        </w:trPr>
        <w:tc>
          <w:tcPr>
            <w:tcW w:w="3762" w:type="dxa"/>
            <w:tcBorders>
              <w:top w:val="nil"/>
              <w:left w:val="nil"/>
              <w:bottom w:val="nil"/>
              <w:right w:val="nil"/>
            </w:tcBorders>
            <w:shd w:val="clear" w:color="auto" w:fill="auto"/>
            <w:noWrap/>
            <w:vAlign w:val="bottom"/>
            <w:hideMark/>
          </w:tcPr>
          <w:p w14:paraId="79BD84AC" w14:textId="77777777" w:rsidR="00A41C52" w:rsidRPr="008B6FCE" w:rsidRDefault="00A41C52" w:rsidP="00A06393">
            <w:pPr>
              <w:spacing w:before="0" w:after="0" w:line="240" w:lineRule="auto"/>
              <w:jc w:val="right"/>
              <w:rPr>
                <w:rFonts w:ascii="Calibri" w:eastAsia="Times New Roman" w:hAnsi="Calibri" w:cs="Times New Roman"/>
                <w:color w:val="5B9BD5"/>
                <w:sz w:val="16"/>
                <w:szCs w:val="16"/>
                <w:lang w:eastAsia="ro-RO"/>
              </w:rPr>
            </w:pPr>
          </w:p>
        </w:tc>
        <w:tc>
          <w:tcPr>
            <w:tcW w:w="730" w:type="dxa"/>
            <w:vMerge/>
            <w:tcBorders>
              <w:top w:val="single" w:sz="4" w:space="0" w:color="9BC2E6"/>
              <w:left w:val="single" w:sz="4" w:space="0" w:color="FFFFFF"/>
              <w:bottom w:val="single" w:sz="4" w:space="0" w:color="9BC2E6"/>
              <w:right w:val="single" w:sz="4" w:space="0" w:color="FFFFFF"/>
            </w:tcBorders>
            <w:hideMark/>
          </w:tcPr>
          <w:p w14:paraId="7697B849"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6"/>
                <w:szCs w:val="16"/>
                <w:lang w:eastAsia="ro-RO"/>
              </w:rPr>
            </w:pPr>
          </w:p>
        </w:tc>
        <w:tc>
          <w:tcPr>
            <w:tcW w:w="1572" w:type="dxa"/>
            <w:tcBorders>
              <w:top w:val="nil"/>
              <w:left w:val="nil"/>
              <w:bottom w:val="single" w:sz="4" w:space="0" w:color="9BC2E6"/>
              <w:right w:val="single" w:sz="4" w:space="0" w:color="FFFFFF"/>
            </w:tcBorders>
            <w:shd w:val="clear" w:color="5B9BD5" w:fill="FFFFFF"/>
            <w:hideMark/>
          </w:tcPr>
          <w:p w14:paraId="3585C7D3"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4"/>
                <w:szCs w:val="14"/>
                <w:lang w:eastAsia="ro-RO"/>
              </w:rPr>
            </w:pPr>
            <w:r w:rsidRPr="00A41C52">
              <w:rPr>
                <w:rFonts w:ascii="Calibri" w:eastAsia="Times New Roman" w:hAnsi="Calibri" w:cs="Times New Roman"/>
                <w:color w:val="0F6FC6" w:themeColor="accent1"/>
                <w:sz w:val="14"/>
                <w:szCs w:val="14"/>
                <w:lang w:eastAsia="ro-RO"/>
              </w:rPr>
              <w:t>1=2+3</w:t>
            </w:r>
          </w:p>
        </w:tc>
        <w:tc>
          <w:tcPr>
            <w:tcW w:w="1684" w:type="dxa"/>
            <w:tcBorders>
              <w:top w:val="nil"/>
              <w:left w:val="nil"/>
              <w:bottom w:val="single" w:sz="4" w:space="0" w:color="9BC2E6"/>
              <w:right w:val="single" w:sz="4" w:space="0" w:color="FFFFFF"/>
            </w:tcBorders>
            <w:shd w:val="clear" w:color="5B9BD5" w:fill="FFFFFF"/>
            <w:hideMark/>
          </w:tcPr>
          <w:p w14:paraId="684FB481"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4"/>
                <w:szCs w:val="14"/>
                <w:lang w:eastAsia="ro-RO"/>
              </w:rPr>
            </w:pPr>
            <w:r w:rsidRPr="00A41C52">
              <w:rPr>
                <w:rFonts w:ascii="Calibri" w:eastAsia="Times New Roman" w:hAnsi="Calibri" w:cs="Times New Roman"/>
                <w:color w:val="0F6FC6" w:themeColor="accent1"/>
                <w:sz w:val="14"/>
                <w:szCs w:val="14"/>
                <w:lang w:eastAsia="ro-RO"/>
              </w:rPr>
              <w:t>2</w:t>
            </w:r>
          </w:p>
        </w:tc>
        <w:tc>
          <w:tcPr>
            <w:tcW w:w="1553" w:type="dxa"/>
            <w:tcBorders>
              <w:top w:val="nil"/>
              <w:left w:val="nil"/>
              <w:bottom w:val="single" w:sz="4" w:space="0" w:color="9BC2E6"/>
              <w:right w:val="nil"/>
            </w:tcBorders>
            <w:shd w:val="clear" w:color="5B9BD5" w:fill="FFFFFF"/>
            <w:hideMark/>
          </w:tcPr>
          <w:p w14:paraId="54CCA44F"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4"/>
                <w:szCs w:val="14"/>
                <w:lang w:eastAsia="ro-RO"/>
              </w:rPr>
            </w:pPr>
            <w:r w:rsidRPr="00A41C52">
              <w:rPr>
                <w:rFonts w:ascii="Calibri" w:eastAsia="Times New Roman" w:hAnsi="Calibri" w:cs="Times New Roman"/>
                <w:color w:val="0F6FC6" w:themeColor="accent1"/>
                <w:sz w:val="14"/>
                <w:szCs w:val="14"/>
                <w:lang w:eastAsia="ro-RO"/>
              </w:rPr>
              <w:t>3</w:t>
            </w:r>
          </w:p>
        </w:tc>
      </w:tr>
      <w:tr w:rsidR="00A41C52" w:rsidRPr="008B6FCE" w14:paraId="05617F1B" w14:textId="77777777" w:rsidTr="00A41C52">
        <w:trPr>
          <w:trHeight w:val="216"/>
        </w:trPr>
        <w:tc>
          <w:tcPr>
            <w:tcW w:w="3762" w:type="dxa"/>
            <w:tcBorders>
              <w:top w:val="nil"/>
              <w:left w:val="nil"/>
              <w:bottom w:val="nil"/>
              <w:right w:val="nil"/>
            </w:tcBorders>
            <w:shd w:val="clear" w:color="auto" w:fill="auto"/>
            <w:noWrap/>
            <w:vAlign w:val="bottom"/>
            <w:hideMark/>
          </w:tcPr>
          <w:p w14:paraId="25B1D482" w14:textId="77777777" w:rsidR="00A41C52" w:rsidRPr="008B6FCE" w:rsidRDefault="00A41C52" w:rsidP="00A06393">
            <w:pPr>
              <w:spacing w:before="0" w:after="0" w:line="240" w:lineRule="auto"/>
              <w:jc w:val="right"/>
              <w:rPr>
                <w:rFonts w:ascii="Calibri" w:eastAsia="Times New Roman" w:hAnsi="Calibri" w:cs="Times New Roman"/>
                <w:color w:val="5B9BD5"/>
                <w:sz w:val="14"/>
                <w:szCs w:val="14"/>
                <w:lang w:eastAsia="ro-RO"/>
              </w:rPr>
            </w:pPr>
          </w:p>
        </w:tc>
        <w:tc>
          <w:tcPr>
            <w:tcW w:w="730" w:type="dxa"/>
            <w:vMerge/>
            <w:tcBorders>
              <w:top w:val="single" w:sz="4" w:space="0" w:color="9BC2E6"/>
              <w:left w:val="single" w:sz="4" w:space="0" w:color="FFFFFF"/>
              <w:bottom w:val="single" w:sz="4" w:space="0" w:color="9BC2E6"/>
              <w:right w:val="single" w:sz="4" w:space="0" w:color="FFFFFF"/>
            </w:tcBorders>
            <w:hideMark/>
          </w:tcPr>
          <w:p w14:paraId="323258C4"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6"/>
                <w:szCs w:val="16"/>
                <w:lang w:eastAsia="ro-RO"/>
              </w:rPr>
            </w:pPr>
          </w:p>
        </w:tc>
        <w:tc>
          <w:tcPr>
            <w:tcW w:w="1572" w:type="dxa"/>
            <w:tcBorders>
              <w:top w:val="nil"/>
              <w:left w:val="nil"/>
              <w:bottom w:val="single" w:sz="4" w:space="0" w:color="9BC2E6"/>
              <w:right w:val="single" w:sz="4" w:space="0" w:color="FFFFFF"/>
            </w:tcBorders>
            <w:shd w:val="clear" w:color="000000" w:fill="FFFFFF"/>
            <w:hideMark/>
          </w:tcPr>
          <w:p w14:paraId="5084335D"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4"/>
                <w:szCs w:val="14"/>
                <w:lang w:eastAsia="ro-RO"/>
              </w:rPr>
            </w:pPr>
            <w:r w:rsidRPr="00A41C52">
              <w:rPr>
                <w:rFonts w:ascii="Calibri" w:eastAsia="Times New Roman" w:hAnsi="Calibri" w:cs="Times New Roman"/>
                <w:color w:val="0F6FC6" w:themeColor="accent1"/>
                <w:sz w:val="14"/>
                <w:szCs w:val="14"/>
                <w:lang w:eastAsia="ro-RO"/>
              </w:rPr>
              <w:t>mii lei</w:t>
            </w:r>
          </w:p>
        </w:tc>
        <w:tc>
          <w:tcPr>
            <w:tcW w:w="1684" w:type="dxa"/>
            <w:tcBorders>
              <w:top w:val="nil"/>
              <w:left w:val="nil"/>
              <w:bottom w:val="single" w:sz="4" w:space="0" w:color="9BC2E6"/>
              <w:right w:val="single" w:sz="4" w:space="0" w:color="FFFFFF"/>
            </w:tcBorders>
            <w:shd w:val="clear" w:color="000000" w:fill="FFFFFF"/>
            <w:hideMark/>
          </w:tcPr>
          <w:p w14:paraId="7AB360A8"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4"/>
                <w:szCs w:val="14"/>
                <w:lang w:eastAsia="ro-RO"/>
              </w:rPr>
            </w:pPr>
            <w:r w:rsidRPr="00A41C52">
              <w:rPr>
                <w:rFonts w:ascii="Calibri" w:eastAsia="Times New Roman" w:hAnsi="Calibri" w:cs="Times New Roman"/>
                <w:color w:val="0F6FC6" w:themeColor="accent1"/>
                <w:sz w:val="14"/>
                <w:szCs w:val="14"/>
                <w:lang w:eastAsia="ro-RO"/>
              </w:rPr>
              <w:t>mii lei</w:t>
            </w:r>
          </w:p>
        </w:tc>
        <w:tc>
          <w:tcPr>
            <w:tcW w:w="1553" w:type="dxa"/>
            <w:tcBorders>
              <w:top w:val="nil"/>
              <w:left w:val="nil"/>
              <w:bottom w:val="single" w:sz="4" w:space="0" w:color="9BC2E6"/>
              <w:right w:val="nil"/>
            </w:tcBorders>
            <w:shd w:val="clear" w:color="000000" w:fill="FFFFFF"/>
            <w:hideMark/>
          </w:tcPr>
          <w:p w14:paraId="4E90001F" w14:textId="77777777" w:rsidR="00A41C52" w:rsidRPr="00A41C52" w:rsidRDefault="00A41C52" w:rsidP="00A41C52">
            <w:pPr>
              <w:spacing w:before="0" w:after="0" w:line="240" w:lineRule="auto"/>
              <w:jc w:val="right"/>
              <w:rPr>
                <w:rFonts w:ascii="Calibri" w:eastAsia="Times New Roman" w:hAnsi="Calibri" w:cs="Times New Roman"/>
                <w:color w:val="0F6FC6" w:themeColor="accent1"/>
                <w:sz w:val="14"/>
                <w:szCs w:val="14"/>
                <w:lang w:eastAsia="ro-RO"/>
              </w:rPr>
            </w:pPr>
            <w:r w:rsidRPr="00A41C52">
              <w:rPr>
                <w:rFonts w:ascii="Calibri" w:eastAsia="Times New Roman" w:hAnsi="Calibri" w:cs="Times New Roman"/>
                <w:color w:val="0F6FC6" w:themeColor="accent1"/>
                <w:sz w:val="14"/>
                <w:szCs w:val="14"/>
                <w:lang w:eastAsia="ro-RO"/>
              </w:rPr>
              <w:t>mii lei</w:t>
            </w:r>
          </w:p>
        </w:tc>
      </w:tr>
      <w:tr w:rsidR="00A41C52" w:rsidRPr="008B6FCE" w14:paraId="2A1F91C9" w14:textId="77777777" w:rsidTr="00A41C52">
        <w:trPr>
          <w:trHeight w:val="208"/>
        </w:trPr>
        <w:tc>
          <w:tcPr>
            <w:tcW w:w="3762" w:type="dxa"/>
            <w:vMerge w:val="restart"/>
            <w:tcBorders>
              <w:top w:val="single" w:sz="4" w:space="0" w:color="9BC2E6"/>
              <w:left w:val="nil"/>
              <w:bottom w:val="single" w:sz="4" w:space="0" w:color="9BC2E6"/>
              <w:right w:val="nil"/>
            </w:tcBorders>
            <w:shd w:val="clear" w:color="000000" w:fill="FFFFFF"/>
            <w:hideMark/>
          </w:tcPr>
          <w:p w14:paraId="0855DA1F" w14:textId="77777777" w:rsidR="00A41C52" w:rsidRPr="00A41C52" w:rsidRDefault="00A41C52" w:rsidP="00A06393">
            <w:pPr>
              <w:spacing w:before="0" w:after="0" w:line="240" w:lineRule="auto"/>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Total primele zece ÎPC care înregistrează plăți restante în anul 2019</w:t>
            </w:r>
          </w:p>
        </w:tc>
        <w:tc>
          <w:tcPr>
            <w:tcW w:w="730" w:type="dxa"/>
            <w:tcBorders>
              <w:top w:val="nil"/>
              <w:left w:val="nil"/>
              <w:bottom w:val="single" w:sz="4" w:space="0" w:color="9BC2E6"/>
              <w:right w:val="nil"/>
            </w:tcBorders>
            <w:shd w:val="clear" w:color="auto" w:fill="auto"/>
            <w:noWrap/>
            <w:hideMark/>
          </w:tcPr>
          <w:p w14:paraId="609D8A49"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2018</w:t>
            </w:r>
          </w:p>
        </w:tc>
        <w:tc>
          <w:tcPr>
            <w:tcW w:w="1572" w:type="dxa"/>
            <w:tcBorders>
              <w:top w:val="nil"/>
              <w:left w:val="nil"/>
              <w:bottom w:val="single" w:sz="4" w:space="0" w:color="9BC2E6"/>
              <w:right w:val="nil"/>
            </w:tcBorders>
            <w:shd w:val="clear" w:color="auto" w:fill="auto"/>
            <w:noWrap/>
            <w:hideMark/>
          </w:tcPr>
          <w:p w14:paraId="16CF071C"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1.650.280</w:t>
            </w:r>
          </w:p>
        </w:tc>
        <w:tc>
          <w:tcPr>
            <w:tcW w:w="1684" w:type="dxa"/>
            <w:tcBorders>
              <w:top w:val="nil"/>
              <w:left w:val="nil"/>
              <w:bottom w:val="single" w:sz="4" w:space="0" w:color="9BC2E6"/>
              <w:right w:val="nil"/>
            </w:tcBorders>
            <w:shd w:val="clear" w:color="auto" w:fill="auto"/>
            <w:noWrap/>
            <w:hideMark/>
          </w:tcPr>
          <w:p w14:paraId="1F5088ED"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324.531</w:t>
            </w:r>
          </w:p>
        </w:tc>
        <w:tc>
          <w:tcPr>
            <w:tcW w:w="1553" w:type="dxa"/>
            <w:tcBorders>
              <w:top w:val="nil"/>
              <w:left w:val="nil"/>
              <w:bottom w:val="single" w:sz="4" w:space="0" w:color="9BC2E6"/>
              <w:right w:val="nil"/>
            </w:tcBorders>
            <w:shd w:val="clear" w:color="auto" w:fill="auto"/>
            <w:noWrap/>
            <w:hideMark/>
          </w:tcPr>
          <w:p w14:paraId="6FA1B813"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1.325.749</w:t>
            </w:r>
          </w:p>
        </w:tc>
      </w:tr>
      <w:tr w:rsidR="00A41C52" w:rsidRPr="008B6FCE" w14:paraId="605CC639" w14:textId="77777777" w:rsidTr="00A41C52">
        <w:trPr>
          <w:trHeight w:val="227"/>
        </w:trPr>
        <w:tc>
          <w:tcPr>
            <w:tcW w:w="3762" w:type="dxa"/>
            <w:vMerge/>
            <w:tcBorders>
              <w:top w:val="single" w:sz="4" w:space="0" w:color="9BC2E6"/>
              <w:left w:val="nil"/>
              <w:bottom w:val="single" w:sz="4" w:space="0" w:color="9BC2E6"/>
              <w:right w:val="nil"/>
            </w:tcBorders>
            <w:vAlign w:val="center"/>
            <w:hideMark/>
          </w:tcPr>
          <w:p w14:paraId="1828A09E" w14:textId="77777777" w:rsidR="00A41C52" w:rsidRPr="00A41C52" w:rsidRDefault="00A41C52" w:rsidP="00A06393">
            <w:pPr>
              <w:spacing w:before="0" w:after="0" w:line="240" w:lineRule="auto"/>
              <w:rPr>
                <w:rFonts w:ascii="Calibri" w:eastAsia="Times New Roman" w:hAnsi="Calibri" w:cs="Times New Roman"/>
                <w:sz w:val="16"/>
                <w:szCs w:val="16"/>
                <w:lang w:eastAsia="ro-RO"/>
              </w:rPr>
            </w:pPr>
          </w:p>
        </w:tc>
        <w:tc>
          <w:tcPr>
            <w:tcW w:w="730" w:type="dxa"/>
            <w:tcBorders>
              <w:top w:val="nil"/>
              <w:left w:val="nil"/>
              <w:bottom w:val="single" w:sz="4" w:space="0" w:color="9BC2E6"/>
              <w:right w:val="nil"/>
            </w:tcBorders>
            <w:shd w:val="clear" w:color="auto" w:fill="auto"/>
            <w:noWrap/>
            <w:hideMark/>
          </w:tcPr>
          <w:p w14:paraId="69A683A5"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2019</w:t>
            </w:r>
          </w:p>
        </w:tc>
        <w:tc>
          <w:tcPr>
            <w:tcW w:w="1572" w:type="dxa"/>
            <w:tcBorders>
              <w:top w:val="nil"/>
              <w:left w:val="nil"/>
              <w:bottom w:val="single" w:sz="4" w:space="0" w:color="9BC2E6"/>
              <w:right w:val="nil"/>
            </w:tcBorders>
            <w:shd w:val="clear" w:color="auto" w:fill="auto"/>
            <w:noWrap/>
            <w:hideMark/>
          </w:tcPr>
          <w:p w14:paraId="34153E43"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1.843.946</w:t>
            </w:r>
          </w:p>
        </w:tc>
        <w:tc>
          <w:tcPr>
            <w:tcW w:w="1684" w:type="dxa"/>
            <w:tcBorders>
              <w:top w:val="nil"/>
              <w:left w:val="nil"/>
              <w:bottom w:val="single" w:sz="4" w:space="0" w:color="9BC2E6"/>
              <w:right w:val="nil"/>
            </w:tcBorders>
            <w:shd w:val="clear" w:color="auto" w:fill="auto"/>
            <w:noWrap/>
            <w:hideMark/>
          </w:tcPr>
          <w:p w14:paraId="2E026AB4"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335.145</w:t>
            </w:r>
          </w:p>
        </w:tc>
        <w:tc>
          <w:tcPr>
            <w:tcW w:w="1553" w:type="dxa"/>
            <w:tcBorders>
              <w:top w:val="nil"/>
              <w:left w:val="nil"/>
              <w:bottom w:val="single" w:sz="4" w:space="0" w:color="9BC2E6"/>
              <w:right w:val="nil"/>
            </w:tcBorders>
            <w:shd w:val="clear" w:color="auto" w:fill="auto"/>
            <w:noWrap/>
            <w:hideMark/>
          </w:tcPr>
          <w:p w14:paraId="2DC4577B"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1.508.801</w:t>
            </w:r>
          </w:p>
        </w:tc>
      </w:tr>
      <w:tr w:rsidR="00A41C52" w:rsidRPr="008B6FCE" w14:paraId="0DAEA3F1" w14:textId="77777777" w:rsidTr="00A41C52">
        <w:trPr>
          <w:trHeight w:val="216"/>
        </w:trPr>
        <w:tc>
          <w:tcPr>
            <w:tcW w:w="3762" w:type="dxa"/>
            <w:vMerge/>
            <w:tcBorders>
              <w:top w:val="single" w:sz="4" w:space="0" w:color="9BC2E6"/>
              <w:left w:val="nil"/>
              <w:bottom w:val="single" w:sz="4" w:space="0" w:color="9BC2E6"/>
              <w:right w:val="nil"/>
            </w:tcBorders>
            <w:vAlign w:val="center"/>
            <w:hideMark/>
          </w:tcPr>
          <w:p w14:paraId="622D6FEB" w14:textId="77777777" w:rsidR="00A41C52" w:rsidRPr="00A41C52" w:rsidRDefault="00A41C52" w:rsidP="00A06393">
            <w:pPr>
              <w:spacing w:before="0" w:after="0" w:line="240" w:lineRule="auto"/>
              <w:rPr>
                <w:rFonts w:ascii="Calibri" w:eastAsia="Times New Roman" w:hAnsi="Calibri" w:cs="Times New Roman"/>
                <w:sz w:val="16"/>
                <w:szCs w:val="16"/>
                <w:lang w:eastAsia="ro-RO"/>
              </w:rPr>
            </w:pPr>
          </w:p>
        </w:tc>
        <w:tc>
          <w:tcPr>
            <w:tcW w:w="730" w:type="dxa"/>
            <w:tcBorders>
              <w:top w:val="nil"/>
              <w:left w:val="nil"/>
              <w:bottom w:val="single" w:sz="4" w:space="0" w:color="9BC2E6"/>
              <w:right w:val="nil"/>
            </w:tcBorders>
            <w:shd w:val="clear" w:color="auto" w:fill="auto"/>
            <w:noWrap/>
            <w:hideMark/>
          </w:tcPr>
          <w:p w14:paraId="042B63D7"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2020</w:t>
            </w:r>
          </w:p>
        </w:tc>
        <w:tc>
          <w:tcPr>
            <w:tcW w:w="1572" w:type="dxa"/>
            <w:tcBorders>
              <w:top w:val="nil"/>
              <w:left w:val="nil"/>
              <w:bottom w:val="single" w:sz="4" w:space="0" w:color="9BC2E6"/>
              <w:right w:val="nil"/>
            </w:tcBorders>
            <w:shd w:val="clear" w:color="auto" w:fill="auto"/>
            <w:noWrap/>
            <w:hideMark/>
          </w:tcPr>
          <w:p w14:paraId="0FA1DDF0"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6.263.387</w:t>
            </w:r>
          </w:p>
        </w:tc>
        <w:tc>
          <w:tcPr>
            <w:tcW w:w="1684" w:type="dxa"/>
            <w:tcBorders>
              <w:top w:val="nil"/>
              <w:left w:val="nil"/>
              <w:bottom w:val="single" w:sz="4" w:space="0" w:color="9BC2E6"/>
              <w:right w:val="nil"/>
            </w:tcBorders>
            <w:shd w:val="clear" w:color="auto" w:fill="auto"/>
            <w:noWrap/>
            <w:hideMark/>
          </w:tcPr>
          <w:p w14:paraId="4FCC07D1"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1.576.779</w:t>
            </w:r>
          </w:p>
        </w:tc>
        <w:tc>
          <w:tcPr>
            <w:tcW w:w="1553" w:type="dxa"/>
            <w:tcBorders>
              <w:top w:val="nil"/>
              <w:left w:val="nil"/>
              <w:bottom w:val="single" w:sz="4" w:space="0" w:color="9BC2E6"/>
              <w:right w:val="nil"/>
            </w:tcBorders>
            <w:shd w:val="clear" w:color="auto" w:fill="auto"/>
            <w:noWrap/>
            <w:hideMark/>
          </w:tcPr>
          <w:p w14:paraId="6154CFA4" w14:textId="77777777" w:rsidR="00A41C52" w:rsidRPr="00A41C52" w:rsidRDefault="00A41C52" w:rsidP="00A41C52">
            <w:pPr>
              <w:spacing w:before="0" w:after="0" w:line="240" w:lineRule="auto"/>
              <w:jc w:val="right"/>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4.686.608</w:t>
            </w:r>
          </w:p>
        </w:tc>
      </w:tr>
      <w:tr w:rsidR="00A41C52" w:rsidRPr="008B6FCE" w14:paraId="189DE9F5" w14:textId="77777777" w:rsidTr="00A41C52">
        <w:trPr>
          <w:trHeight w:val="346"/>
        </w:trPr>
        <w:tc>
          <w:tcPr>
            <w:tcW w:w="3762" w:type="dxa"/>
            <w:tcBorders>
              <w:top w:val="nil"/>
              <w:left w:val="nil"/>
              <w:bottom w:val="single" w:sz="4" w:space="0" w:color="9BC2E6"/>
              <w:right w:val="single" w:sz="4" w:space="0" w:color="FFFFFF"/>
            </w:tcBorders>
            <w:shd w:val="clear" w:color="000000" w:fill="FFFFFF"/>
            <w:hideMark/>
          </w:tcPr>
          <w:p w14:paraId="7FD41476" w14:textId="77777777" w:rsidR="00A41C52" w:rsidRPr="00A41C52" w:rsidRDefault="00A41C52" w:rsidP="00A06393">
            <w:pPr>
              <w:spacing w:before="0" w:after="0" w:line="240" w:lineRule="auto"/>
              <w:rPr>
                <w:rFonts w:ascii="Calibri" w:eastAsia="Times New Roman" w:hAnsi="Calibri" w:cs="Times New Roman"/>
                <w:sz w:val="16"/>
                <w:szCs w:val="16"/>
                <w:lang w:eastAsia="ro-RO"/>
              </w:rPr>
            </w:pPr>
            <w:r w:rsidRPr="00A41C52">
              <w:rPr>
                <w:rFonts w:ascii="Calibri" w:eastAsia="Times New Roman" w:hAnsi="Calibri" w:cs="Times New Roman"/>
                <w:sz w:val="16"/>
                <w:szCs w:val="16"/>
                <w:lang w:eastAsia="ro-RO"/>
              </w:rPr>
              <w:t>Total general plăți restante înregistrate de ÎPC active în anul 2020</w:t>
            </w:r>
          </w:p>
        </w:tc>
        <w:tc>
          <w:tcPr>
            <w:tcW w:w="730" w:type="dxa"/>
            <w:tcBorders>
              <w:top w:val="nil"/>
              <w:left w:val="nil"/>
              <w:bottom w:val="nil"/>
              <w:right w:val="nil"/>
            </w:tcBorders>
            <w:shd w:val="clear" w:color="auto" w:fill="auto"/>
            <w:noWrap/>
            <w:hideMark/>
          </w:tcPr>
          <w:p w14:paraId="0621F0C0"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2020</w:t>
            </w:r>
          </w:p>
        </w:tc>
        <w:tc>
          <w:tcPr>
            <w:tcW w:w="1572" w:type="dxa"/>
            <w:tcBorders>
              <w:top w:val="nil"/>
              <w:left w:val="nil"/>
              <w:bottom w:val="nil"/>
              <w:right w:val="nil"/>
            </w:tcBorders>
            <w:shd w:val="clear" w:color="auto" w:fill="auto"/>
            <w:noWrap/>
            <w:hideMark/>
          </w:tcPr>
          <w:p w14:paraId="5F1DAF38"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7.614.588</w:t>
            </w:r>
          </w:p>
        </w:tc>
        <w:tc>
          <w:tcPr>
            <w:tcW w:w="1684" w:type="dxa"/>
            <w:tcBorders>
              <w:top w:val="nil"/>
              <w:left w:val="nil"/>
              <w:bottom w:val="nil"/>
              <w:right w:val="nil"/>
            </w:tcBorders>
            <w:shd w:val="clear" w:color="auto" w:fill="auto"/>
            <w:noWrap/>
            <w:hideMark/>
          </w:tcPr>
          <w:p w14:paraId="10D7DD66"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2.254.161</w:t>
            </w:r>
          </w:p>
        </w:tc>
        <w:tc>
          <w:tcPr>
            <w:tcW w:w="1553" w:type="dxa"/>
            <w:tcBorders>
              <w:top w:val="nil"/>
              <w:left w:val="nil"/>
              <w:bottom w:val="nil"/>
              <w:right w:val="nil"/>
            </w:tcBorders>
            <w:shd w:val="clear" w:color="auto" w:fill="auto"/>
            <w:noWrap/>
            <w:hideMark/>
          </w:tcPr>
          <w:p w14:paraId="445554AA"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5.360.426</w:t>
            </w:r>
          </w:p>
        </w:tc>
      </w:tr>
      <w:tr w:rsidR="00A41C52" w:rsidRPr="008B6FCE" w14:paraId="125AEC70" w14:textId="77777777" w:rsidTr="00A41C52">
        <w:trPr>
          <w:trHeight w:val="346"/>
        </w:trPr>
        <w:tc>
          <w:tcPr>
            <w:tcW w:w="3762" w:type="dxa"/>
            <w:tcBorders>
              <w:top w:val="nil"/>
              <w:left w:val="nil"/>
              <w:bottom w:val="single" w:sz="4" w:space="0" w:color="9BC2E6"/>
              <w:right w:val="single" w:sz="4" w:space="0" w:color="FFFFFF"/>
            </w:tcBorders>
            <w:shd w:val="clear" w:color="000000" w:fill="FFFFFF"/>
            <w:hideMark/>
          </w:tcPr>
          <w:p w14:paraId="7D251A91" w14:textId="77777777" w:rsidR="00A41C52" w:rsidRPr="00A41C52" w:rsidRDefault="00A41C52" w:rsidP="00A06393">
            <w:pPr>
              <w:spacing w:before="0" w:after="0" w:line="240" w:lineRule="auto"/>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Pondere primele zece ÎPC care înregistrează plăți restante în total general operatori activi</w:t>
            </w:r>
          </w:p>
        </w:tc>
        <w:tc>
          <w:tcPr>
            <w:tcW w:w="730" w:type="dxa"/>
            <w:tcBorders>
              <w:top w:val="single" w:sz="4" w:space="0" w:color="9BC2E6"/>
              <w:left w:val="nil"/>
              <w:bottom w:val="single" w:sz="4" w:space="0" w:color="9BC2E6"/>
              <w:right w:val="single" w:sz="4" w:space="0" w:color="FFFFFF"/>
            </w:tcBorders>
            <w:shd w:val="clear" w:color="000000" w:fill="FFFFFF"/>
            <w:hideMark/>
          </w:tcPr>
          <w:p w14:paraId="13792038"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2020</w:t>
            </w:r>
          </w:p>
        </w:tc>
        <w:tc>
          <w:tcPr>
            <w:tcW w:w="1572" w:type="dxa"/>
            <w:tcBorders>
              <w:top w:val="single" w:sz="4" w:space="0" w:color="9BC2E6"/>
              <w:left w:val="nil"/>
              <w:bottom w:val="single" w:sz="4" w:space="0" w:color="9BC2E6"/>
              <w:right w:val="single" w:sz="4" w:space="0" w:color="FFFFFF"/>
            </w:tcBorders>
            <w:shd w:val="clear" w:color="000000" w:fill="FFFFFF"/>
            <w:hideMark/>
          </w:tcPr>
          <w:p w14:paraId="28D5BB6B"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82,26%</w:t>
            </w:r>
          </w:p>
        </w:tc>
        <w:tc>
          <w:tcPr>
            <w:tcW w:w="1684" w:type="dxa"/>
            <w:tcBorders>
              <w:top w:val="single" w:sz="4" w:space="0" w:color="9BC2E6"/>
              <w:left w:val="nil"/>
              <w:bottom w:val="single" w:sz="4" w:space="0" w:color="9BC2E6"/>
              <w:right w:val="single" w:sz="4" w:space="0" w:color="FFFFFF"/>
            </w:tcBorders>
            <w:shd w:val="clear" w:color="000000" w:fill="FFFFFF"/>
            <w:hideMark/>
          </w:tcPr>
          <w:p w14:paraId="2A83BEC1"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69,95%</w:t>
            </w:r>
          </w:p>
        </w:tc>
        <w:tc>
          <w:tcPr>
            <w:tcW w:w="1553" w:type="dxa"/>
            <w:tcBorders>
              <w:top w:val="single" w:sz="4" w:space="0" w:color="9BC2E6"/>
              <w:left w:val="nil"/>
              <w:bottom w:val="single" w:sz="4" w:space="0" w:color="9BC2E6"/>
              <w:right w:val="nil"/>
            </w:tcBorders>
            <w:shd w:val="clear" w:color="000000" w:fill="FFFFFF"/>
            <w:hideMark/>
          </w:tcPr>
          <w:p w14:paraId="1B39C583" w14:textId="77777777" w:rsidR="00A41C52" w:rsidRPr="00A41C52" w:rsidRDefault="00A41C52" w:rsidP="00A41C52">
            <w:pPr>
              <w:spacing w:before="0" w:after="0" w:line="240" w:lineRule="auto"/>
              <w:jc w:val="right"/>
              <w:rPr>
                <w:rFonts w:ascii="Calibri" w:eastAsia="Times New Roman" w:hAnsi="Calibri" w:cs="Times New Roman"/>
                <w:bCs/>
                <w:sz w:val="16"/>
                <w:szCs w:val="16"/>
                <w:lang w:eastAsia="ro-RO"/>
              </w:rPr>
            </w:pPr>
            <w:r w:rsidRPr="00A41C52">
              <w:rPr>
                <w:rFonts w:ascii="Calibri" w:eastAsia="Times New Roman" w:hAnsi="Calibri" w:cs="Times New Roman"/>
                <w:bCs/>
                <w:sz w:val="16"/>
                <w:szCs w:val="16"/>
                <w:lang w:eastAsia="ro-RO"/>
              </w:rPr>
              <w:t>87,43%</w:t>
            </w:r>
          </w:p>
        </w:tc>
      </w:tr>
      <w:tr w:rsidR="00A41C52" w:rsidRPr="008B6FCE" w14:paraId="30A086ED" w14:textId="77777777" w:rsidTr="00A41C52">
        <w:trPr>
          <w:trHeight w:val="216"/>
        </w:trPr>
        <w:tc>
          <w:tcPr>
            <w:tcW w:w="3762" w:type="dxa"/>
            <w:tcBorders>
              <w:top w:val="single" w:sz="4" w:space="0" w:color="5B9BD5"/>
              <w:left w:val="nil"/>
              <w:bottom w:val="nil"/>
              <w:right w:val="nil"/>
            </w:tcBorders>
            <w:shd w:val="clear" w:color="auto" w:fill="auto"/>
            <w:noWrap/>
            <w:vAlign w:val="bottom"/>
            <w:hideMark/>
          </w:tcPr>
          <w:p w14:paraId="452D40DB" w14:textId="77777777" w:rsidR="00A41C52" w:rsidRPr="008B6FCE" w:rsidRDefault="00A41C52" w:rsidP="00A06393">
            <w:pPr>
              <w:spacing w:before="0" w:after="0" w:line="240" w:lineRule="auto"/>
              <w:rPr>
                <w:rFonts w:ascii="Calibri Light" w:eastAsia="Times New Roman" w:hAnsi="Calibri Light" w:cs="Times New Roman"/>
                <w:color w:val="000000"/>
                <w:sz w:val="16"/>
                <w:szCs w:val="16"/>
                <w:lang w:eastAsia="ro-RO"/>
              </w:rPr>
            </w:pPr>
            <w:r w:rsidRPr="008B6FCE">
              <w:rPr>
                <w:rFonts w:ascii="Calibri Light" w:eastAsia="Times New Roman" w:hAnsi="Calibri Light" w:cs="Times New Roman"/>
                <w:color w:val="000000"/>
                <w:sz w:val="16"/>
                <w:szCs w:val="16"/>
                <w:lang w:eastAsia="ro-RO"/>
              </w:rPr>
              <w:t>Notă: în tabel s-a folosit starea ÎP la anul raportării.</w:t>
            </w:r>
          </w:p>
        </w:tc>
        <w:tc>
          <w:tcPr>
            <w:tcW w:w="730" w:type="dxa"/>
            <w:tcBorders>
              <w:top w:val="nil"/>
              <w:left w:val="nil"/>
              <w:bottom w:val="nil"/>
              <w:right w:val="nil"/>
            </w:tcBorders>
            <w:shd w:val="clear" w:color="auto" w:fill="auto"/>
            <w:noWrap/>
            <w:vAlign w:val="bottom"/>
            <w:hideMark/>
          </w:tcPr>
          <w:p w14:paraId="741DE5ED" w14:textId="77777777" w:rsidR="00A41C52" w:rsidRPr="008B6FCE" w:rsidRDefault="00A41C52" w:rsidP="00A06393">
            <w:pPr>
              <w:spacing w:before="0" w:after="0" w:line="240" w:lineRule="auto"/>
              <w:rPr>
                <w:rFonts w:ascii="Calibri" w:eastAsia="Times New Roman" w:hAnsi="Calibri" w:cs="Times New Roman"/>
                <w:color w:val="000000"/>
                <w:sz w:val="16"/>
                <w:szCs w:val="16"/>
                <w:lang w:eastAsia="ro-RO"/>
              </w:rPr>
            </w:pPr>
            <w:r w:rsidRPr="008B6FCE">
              <w:rPr>
                <w:rFonts w:ascii="Calibri" w:eastAsia="Times New Roman" w:hAnsi="Calibri" w:cs="Times New Roman"/>
                <w:color w:val="000000"/>
                <w:sz w:val="16"/>
                <w:szCs w:val="16"/>
                <w:lang w:eastAsia="ro-RO"/>
              </w:rPr>
              <w:t> </w:t>
            </w:r>
          </w:p>
        </w:tc>
        <w:tc>
          <w:tcPr>
            <w:tcW w:w="1572" w:type="dxa"/>
            <w:tcBorders>
              <w:top w:val="nil"/>
              <w:left w:val="nil"/>
              <w:bottom w:val="nil"/>
              <w:right w:val="nil"/>
            </w:tcBorders>
            <w:shd w:val="clear" w:color="auto" w:fill="auto"/>
            <w:noWrap/>
            <w:vAlign w:val="bottom"/>
            <w:hideMark/>
          </w:tcPr>
          <w:p w14:paraId="3A0AA32B" w14:textId="77777777" w:rsidR="00A41C52" w:rsidRPr="008B6FCE" w:rsidRDefault="00A41C52" w:rsidP="00A06393">
            <w:pPr>
              <w:spacing w:before="0" w:after="0" w:line="240" w:lineRule="auto"/>
              <w:rPr>
                <w:rFonts w:ascii="Calibri" w:eastAsia="Times New Roman" w:hAnsi="Calibri" w:cs="Times New Roman"/>
                <w:color w:val="000000"/>
                <w:sz w:val="16"/>
                <w:szCs w:val="16"/>
                <w:lang w:eastAsia="ro-RO"/>
              </w:rPr>
            </w:pPr>
            <w:r w:rsidRPr="008B6FCE">
              <w:rPr>
                <w:rFonts w:ascii="Calibri" w:eastAsia="Times New Roman" w:hAnsi="Calibri" w:cs="Times New Roman"/>
                <w:color w:val="000000"/>
                <w:sz w:val="16"/>
                <w:szCs w:val="16"/>
                <w:lang w:eastAsia="ro-RO"/>
              </w:rPr>
              <w:t> </w:t>
            </w:r>
          </w:p>
        </w:tc>
        <w:tc>
          <w:tcPr>
            <w:tcW w:w="1684" w:type="dxa"/>
            <w:tcBorders>
              <w:top w:val="nil"/>
              <w:left w:val="nil"/>
              <w:bottom w:val="nil"/>
              <w:right w:val="nil"/>
            </w:tcBorders>
            <w:shd w:val="clear" w:color="auto" w:fill="auto"/>
            <w:noWrap/>
            <w:vAlign w:val="bottom"/>
            <w:hideMark/>
          </w:tcPr>
          <w:p w14:paraId="45227C04" w14:textId="77777777" w:rsidR="00A41C52" w:rsidRPr="008B6FCE" w:rsidRDefault="00A41C52" w:rsidP="00A06393">
            <w:pPr>
              <w:spacing w:before="0" w:after="0" w:line="240" w:lineRule="auto"/>
              <w:rPr>
                <w:rFonts w:ascii="Calibri" w:eastAsia="Times New Roman" w:hAnsi="Calibri" w:cs="Times New Roman"/>
                <w:color w:val="000000"/>
                <w:sz w:val="16"/>
                <w:szCs w:val="16"/>
                <w:lang w:eastAsia="ro-RO"/>
              </w:rPr>
            </w:pPr>
            <w:r w:rsidRPr="008B6FCE">
              <w:rPr>
                <w:rFonts w:ascii="Calibri" w:eastAsia="Times New Roman" w:hAnsi="Calibri" w:cs="Times New Roman"/>
                <w:color w:val="000000"/>
                <w:sz w:val="16"/>
                <w:szCs w:val="16"/>
                <w:lang w:eastAsia="ro-RO"/>
              </w:rPr>
              <w:t> </w:t>
            </w:r>
          </w:p>
        </w:tc>
        <w:tc>
          <w:tcPr>
            <w:tcW w:w="1553" w:type="dxa"/>
            <w:tcBorders>
              <w:top w:val="nil"/>
              <w:left w:val="nil"/>
              <w:bottom w:val="nil"/>
              <w:right w:val="nil"/>
            </w:tcBorders>
            <w:shd w:val="clear" w:color="auto" w:fill="auto"/>
            <w:noWrap/>
            <w:vAlign w:val="bottom"/>
            <w:hideMark/>
          </w:tcPr>
          <w:p w14:paraId="56FC85A9" w14:textId="77777777" w:rsidR="00A41C52" w:rsidRPr="008B6FCE" w:rsidRDefault="00A41C52" w:rsidP="00A06393">
            <w:pPr>
              <w:spacing w:before="0" w:after="0" w:line="240" w:lineRule="auto"/>
              <w:rPr>
                <w:rFonts w:ascii="Calibri" w:eastAsia="Times New Roman" w:hAnsi="Calibri" w:cs="Times New Roman"/>
                <w:color w:val="000000"/>
                <w:sz w:val="16"/>
                <w:szCs w:val="16"/>
                <w:lang w:eastAsia="ro-RO"/>
              </w:rPr>
            </w:pPr>
            <w:r w:rsidRPr="008B6FCE">
              <w:rPr>
                <w:rFonts w:ascii="Calibri" w:eastAsia="Times New Roman" w:hAnsi="Calibri" w:cs="Times New Roman"/>
                <w:color w:val="000000"/>
                <w:sz w:val="16"/>
                <w:szCs w:val="16"/>
                <w:lang w:eastAsia="ro-RO"/>
              </w:rPr>
              <w:t> </w:t>
            </w:r>
          </w:p>
        </w:tc>
      </w:tr>
    </w:tbl>
    <w:p w14:paraId="19650678" w14:textId="77777777" w:rsidR="00A41C52" w:rsidRPr="008C6972" w:rsidRDefault="00A41C52" w:rsidP="00A41C52">
      <w:pPr>
        <w:widowControl w:val="0"/>
        <w:suppressAutoHyphens/>
        <w:autoSpaceDN w:val="0"/>
        <w:spacing w:after="100"/>
        <w:contextualSpacing/>
        <w:jc w:val="both"/>
        <w:textAlignment w:val="baseline"/>
        <w:rPr>
          <w:rFonts w:asciiTheme="majorHAnsi" w:eastAsia="Andale Sans UI" w:hAnsiTheme="majorHAnsi" w:cs="Times New Roman"/>
          <w:kern w:val="3"/>
        </w:rPr>
      </w:pPr>
    </w:p>
    <w:p w14:paraId="53B5F14D" w14:textId="77777777" w:rsidR="004D2493" w:rsidRDefault="004D2493" w:rsidP="00A41C52">
      <w:pPr>
        <w:widowControl w:val="0"/>
        <w:suppressAutoHyphens/>
        <w:autoSpaceDN w:val="0"/>
        <w:spacing w:after="100"/>
        <w:contextualSpacing/>
        <w:jc w:val="both"/>
        <w:textAlignment w:val="baseline"/>
        <w:rPr>
          <w:rFonts w:asciiTheme="majorHAnsi" w:eastAsia="Andale Sans UI" w:hAnsiTheme="majorHAnsi" w:cs="Times New Roman"/>
          <w:kern w:val="3"/>
        </w:rPr>
      </w:pPr>
      <w:r>
        <w:rPr>
          <w:rFonts w:asciiTheme="majorHAnsi" w:eastAsia="Andale Sans UI" w:hAnsiTheme="majorHAnsi" w:cs="Times New Roman"/>
          <w:noProof/>
          <w:kern w:val="3"/>
          <w:lang w:val="en-US"/>
        </w:rPr>
        <w:drawing>
          <wp:inline distT="0" distB="0" distL="0" distR="0" wp14:anchorId="0C16FDFA" wp14:editId="691A2953">
            <wp:extent cx="2834640" cy="2926080"/>
            <wp:effectExtent l="0" t="0" r="381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r>
        <w:rPr>
          <w:rFonts w:asciiTheme="majorHAnsi" w:eastAsia="Andale Sans UI" w:hAnsiTheme="majorHAnsi" w:cs="Times New Roman"/>
          <w:noProof/>
          <w:kern w:val="3"/>
          <w:lang w:val="en-US"/>
        </w:rPr>
        <w:drawing>
          <wp:inline distT="0" distB="0" distL="0" distR="0" wp14:anchorId="2BB03643" wp14:editId="221E6B67">
            <wp:extent cx="2834640" cy="2926080"/>
            <wp:effectExtent l="0" t="0" r="3810" b="762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p>
    <w:p w14:paraId="05F6EA4C" w14:textId="77777777" w:rsidR="004D2493" w:rsidRDefault="004D2493" w:rsidP="00A41C52">
      <w:pPr>
        <w:widowControl w:val="0"/>
        <w:suppressAutoHyphens/>
        <w:autoSpaceDN w:val="0"/>
        <w:spacing w:after="100"/>
        <w:contextualSpacing/>
        <w:jc w:val="both"/>
        <w:textAlignment w:val="baseline"/>
        <w:rPr>
          <w:rFonts w:asciiTheme="majorHAnsi" w:eastAsia="Andale Sans UI" w:hAnsiTheme="majorHAnsi" w:cs="Times New Roman"/>
          <w:kern w:val="3"/>
        </w:rPr>
      </w:pPr>
    </w:p>
    <w:p w14:paraId="6C87187C" w14:textId="77777777" w:rsidR="00A41C52" w:rsidRDefault="00A41C52" w:rsidP="00A41C52">
      <w:pPr>
        <w:widowControl w:val="0"/>
        <w:suppressAutoHyphens/>
        <w:autoSpaceDN w:val="0"/>
        <w:spacing w:after="100"/>
        <w:contextualSpacing/>
        <w:jc w:val="both"/>
        <w:textAlignment w:val="baseline"/>
        <w:rPr>
          <w:rFonts w:asciiTheme="majorHAnsi" w:eastAsia="Andale Sans UI" w:hAnsiTheme="majorHAnsi" w:cs="Times New Roman"/>
          <w:kern w:val="3"/>
        </w:rPr>
      </w:pPr>
      <w:r w:rsidRPr="008C6972">
        <w:rPr>
          <w:rFonts w:asciiTheme="majorHAnsi" w:eastAsia="Andale Sans UI" w:hAnsiTheme="majorHAnsi" w:cs="Times New Roman"/>
          <w:kern w:val="3"/>
        </w:rPr>
        <w:t xml:space="preserve">Se poate observa că </w:t>
      </w:r>
      <w:r w:rsidRPr="008C6972">
        <w:rPr>
          <w:rFonts w:asciiTheme="majorHAnsi" w:eastAsia="Andale Sans UI" w:hAnsiTheme="majorHAnsi" w:cs="Times New Roman"/>
          <w:b/>
          <w:bCs/>
          <w:kern w:val="3"/>
        </w:rPr>
        <w:t xml:space="preserve">primele zece </w:t>
      </w:r>
      <w:r w:rsidRPr="008C6972">
        <w:rPr>
          <w:rFonts w:asciiTheme="majorHAnsi" w:eastAsia="Andale Sans UI" w:hAnsiTheme="majorHAnsi" w:cs="Times New Roman"/>
          <w:kern w:val="3"/>
        </w:rPr>
        <w:t xml:space="preserve"> </w:t>
      </w:r>
      <w:r w:rsidRPr="008C6972">
        <w:rPr>
          <w:rFonts w:asciiTheme="majorHAnsi" w:hAnsiTheme="majorHAnsi"/>
        </w:rPr>
        <w:t>întreprinderi publice centrale care înregistrează plăți restante la finalul anului 20</w:t>
      </w:r>
      <w:r>
        <w:rPr>
          <w:rFonts w:asciiTheme="majorHAnsi" w:hAnsiTheme="majorHAnsi"/>
        </w:rPr>
        <w:t>20</w:t>
      </w:r>
      <w:r w:rsidRPr="008C6972">
        <w:rPr>
          <w:rFonts w:asciiTheme="majorHAnsi" w:hAnsiTheme="majorHAnsi"/>
        </w:rPr>
        <w:t xml:space="preserve"> activează cu precădere în domeniile: </w:t>
      </w:r>
      <w:r w:rsidRPr="00140974">
        <w:rPr>
          <w:rFonts w:asciiTheme="majorHAnsi" w:hAnsiTheme="majorHAnsi"/>
        </w:rPr>
        <w:t xml:space="preserve">fabricarea armamentului și muniției, fabricare de aeronave și nave spațiale, transporturi de marfă pe calea ferată, </w:t>
      </w:r>
      <w:r w:rsidR="00810D45" w:rsidRPr="00140974">
        <w:rPr>
          <w:rFonts w:asciiTheme="majorHAnsi" w:hAnsiTheme="majorHAnsi"/>
        </w:rPr>
        <w:t>co</w:t>
      </w:r>
      <w:r w:rsidR="00810D45" w:rsidRPr="00513F76">
        <w:rPr>
          <w:rFonts w:asciiTheme="majorHAnsi" w:hAnsiTheme="majorHAnsi"/>
        </w:rPr>
        <w:t>mer</w:t>
      </w:r>
      <w:r w:rsidR="00810D45">
        <w:rPr>
          <w:rFonts w:asciiTheme="majorHAnsi" w:hAnsiTheme="majorHAnsi"/>
        </w:rPr>
        <w:t>ț</w:t>
      </w:r>
      <w:r w:rsidR="00810D45" w:rsidRPr="00513F76">
        <w:rPr>
          <w:rFonts w:asciiTheme="majorHAnsi" w:hAnsiTheme="majorHAnsi"/>
        </w:rPr>
        <w:t xml:space="preserve"> </w:t>
      </w:r>
      <w:r w:rsidRPr="00513F76">
        <w:rPr>
          <w:rFonts w:asciiTheme="majorHAnsi" w:hAnsiTheme="majorHAnsi"/>
        </w:rPr>
        <w:t>cu ridicata al produselor farmaceutice</w:t>
      </w:r>
      <w:r>
        <w:rPr>
          <w:rFonts w:asciiTheme="majorHAnsi" w:hAnsiTheme="majorHAnsi"/>
        </w:rPr>
        <w:t>, t</w:t>
      </w:r>
      <w:r w:rsidRPr="00CC1690">
        <w:rPr>
          <w:rFonts w:asciiTheme="majorHAnsi" w:hAnsiTheme="majorHAnsi"/>
        </w:rPr>
        <w:t>ransporturi aeriene de pasageri</w:t>
      </w:r>
      <w:r>
        <w:rPr>
          <w:rFonts w:asciiTheme="majorHAnsi" w:hAnsiTheme="majorHAnsi"/>
        </w:rPr>
        <w:t>, t</w:t>
      </w:r>
      <w:r w:rsidRPr="00CC1690">
        <w:rPr>
          <w:rFonts w:asciiTheme="majorHAnsi" w:hAnsiTheme="majorHAnsi"/>
        </w:rPr>
        <w:t xml:space="preserve">ransporturi interurbane de </w:t>
      </w:r>
      <w:r w:rsidR="00810D45" w:rsidRPr="00CC1690">
        <w:rPr>
          <w:rFonts w:asciiTheme="majorHAnsi" w:hAnsiTheme="majorHAnsi"/>
        </w:rPr>
        <w:t>c</w:t>
      </w:r>
      <w:r w:rsidR="00810D45">
        <w:rPr>
          <w:rFonts w:asciiTheme="majorHAnsi" w:hAnsiTheme="majorHAnsi"/>
        </w:rPr>
        <w:t>ă</w:t>
      </w:r>
      <w:r w:rsidR="00810D45" w:rsidRPr="00CC1690">
        <w:rPr>
          <w:rFonts w:asciiTheme="majorHAnsi" w:hAnsiTheme="majorHAnsi"/>
        </w:rPr>
        <w:t>l</w:t>
      </w:r>
      <w:r w:rsidR="00810D45">
        <w:rPr>
          <w:rFonts w:asciiTheme="majorHAnsi" w:hAnsiTheme="majorHAnsi"/>
        </w:rPr>
        <w:t>ă</w:t>
      </w:r>
      <w:r w:rsidR="00810D45" w:rsidRPr="00CC1690">
        <w:rPr>
          <w:rFonts w:asciiTheme="majorHAnsi" w:hAnsiTheme="majorHAnsi"/>
        </w:rPr>
        <w:t xml:space="preserve">tori </w:t>
      </w:r>
      <w:r w:rsidRPr="00CC1690">
        <w:rPr>
          <w:rFonts w:asciiTheme="majorHAnsi" w:hAnsiTheme="majorHAnsi"/>
        </w:rPr>
        <w:t xml:space="preserve">pe calea </w:t>
      </w:r>
      <w:r w:rsidR="00810D45" w:rsidRPr="00CC1690">
        <w:rPr>
          <w:rFonts w:asciiTheme="majorHAnsi" w:hAnsiTheme="majorHAnsi"/>
        </w:rPr>
        <w:t>ferat</w:t>
      </w:r>
      <w:r w:rsidR="00810D45">
        <w:rPr>
          <w:rFonts w:asciiTheme="majorHAnsi" w:hAnsiTheme="majorHAnsi"/>
        </w:rPr>
        <w:t>ă</w:t>
      </w:r>
      <w:r>
        <w:rPr>
          <w:rFonts w:asciiTheme="majorHAnsi" w:hAnsiTheme="majorHAnsi"/>
        </w:rPr>
        <w:t xml:space="preserve">, </w:t>
      </w:r>
      <w:r w:rsidR="00810D45">
        <w:rPr>
          <w:rFonts w:asciiTheme="majorHAnsi" w:hAnsiTheme="majorHAnsi"/>
        </w:rPr>
        <w:t>a</w:t>
      </w:r>
      <w:r w:rsidR="00810D45" w:rsidRPr="00140974">
        <w:rPr>
          <w:rFonts w:asciiTheme="majorHAnsi" w:hAnsiTheme="majorHAnsi"/>
        </w:rPr>
        <w:t>ctivit</w:t>
      </w:r>
      <w:r w:rsidR="00810D45">
        <w:rPr>
          <w:rFonts w:asciiTheme="majorHAnsi" w:hAnsiTheme="majorHAnsi"/>
        </w:rPr>
        <w:t>ăț</w:t>
      </w:r>
      <w:r w:rsidR="00810D45" w:rsidRPr="00140974">
        <w:rPr>
          <w:rFonts w:asciiTheme="majorHAnsi" w:hAnsiTheme="majorHAnsi"/>
        </w:rPr>
        <w:t xml:space="preserve">i </w:t>
      </w:r>
      <w:r w:rsidRPr="00140974">
        <w:rPr>
          <w:rFonts w:asciiTheme="majorHAnsi" w:hAnsiTheme="majorHAnsi"/>
        </w:rPr>
        <w:t>de servicii anexe pentru transporturi terestre</w:t>
      </w:r>
      <w:r>
        <w:rPr>
          <w:rFonts w:asciiTheme="majorHAnsi" w:hAnsiTheme="majorHAnsi"/>
        </w:rPr>
        <w:t>, c</w:t>
      </w:r>
      <w:r w:rsidRPr="00140974">
        <w:rPr>
          <w:rFonts w:asciiTheme="majorHAnsi" w:hAnsiTheme="majorHAnsi"/>
        </w:rPr>
        <w:t xml:space="preserve">ercetare-dezvoltare </w:t>
      </w:r>
      <w:r w:rsidR="00810D45">
        <w:rPr>
          <w:rFonts w:asciiTheme="majorHAnsi" w:hAnsiTheme="majorHAnsi"/>
        </w:rPr>
        <w:t>î</w:t>
      </w:r>
      <w:r w:rsidR="00810D45" w:rsidRPr="00140974">
        <w:rPr>
          <w:rFonts w:asciiTheme="majorHAnsi" w:hAnsiTheme="majorHAnsi"/>
        </w:rPr>
        <w:t xml:space="preserve">n </w:t>
      </w:r>
      <w:r w:rsidRPr="00140974">
        <w:rPr>
          <w:rFonts w:asciiTheme="majorHAnsi" w:hAnsiTheme="majorHAnsi"/>
        </w:rPr>
        <w:t xml:space="preserve">alte </w:t>
      </w:r>
      <w:r w:rsidR="00810D45">
        <w:rPr>
          <w:rFonts w:asciiTheme="majorHAnsi" w:hAnsiTheme="majorHAnsi"/>
        </w:rPr>
        <w:t>ș</w:t>
      </w:r>
      <w:r w:rsidR="00810D45" w:rsidRPr="00140974">
        <w:rPr>
          <w:rFonts w:asciiTheme="majorHAnsi" w:hAnsiTheme="majorHAnsi"/>
        </w:rPr>
        <w:t>tiin</w:t>
      </w:r>
      <w:r w:rsidR="00810D45">
        <w:rPr>
          <w:rFonts w:asciiTheme="majorHAnsi" w:hAnsiTheme="majorHAnsi"/>
        </w:rPr>
        <w:t>ț</w:t>
      </w:r>
      <w:r w:rsidR="00810D45" w:rsidRPr="00140974">
        <w:rPr>
          <w:rFonts w:asciiTheme="majorHAnsi" w:hAnsiTheme="majorHAnsi"/>
        </w:rPr>
        <w:t xml:space="preserve">e </w:t>
      </w:r>
      <w:r w:rsidRPr="00140974">
        <w:rPr>
          <w:rFonts w:asciiTheme="majorHAnsi" w:hAnsiTheme="majorHAnsi"/>
        </w:rPr>
        <w:t xml:space="preserve">naturale </w:t>
      </w:r>
      <w:r w:rsidR="00810D45">
        <w:rPr>
          <w:rFonts w:asciiTheme="majorHAnsi" w:hAnsiTheme="majorHAnsi"/>
        </w:rPr>
        <w:t>ș</w:t>
      </w:r>
      <w:r w:rsidR="00810D45" w:rsidRPr="00140974">
        <w:rPr>
          <w:rFonts w:asciiTheme="majorHAnsi" w:hAnsiTheme="majorHAnsi"/>
        </w:rPr>
        <w:t xml:space="preserve">i </w:t>
      </w:r>
      <w:r w:rsidRPr="00140974">
        <w:rPr>
          <w:rFonts w:asciiTheme="majorHAnsi" w:hAnsiTheme="majorHAnsi"/>
        </w:rPr>
        <w:t>inginerie</w:t>
      </w:r>
      <w:r w:rsidRPr="008C6972">
        <w:rPr>
          <w:rFonts w:asciiTheme="majorHAnsi" w:eastAsia="Andale Sans UI" w:hAnsiTheme="majorHAnsi" w:cs="Times New Roman"/>
          <w:kern w:val="3"/>
        </w:rPr>
        <w:t xml:space="preserve">. </w:t>
      </w:r>
    </w:p>
    <w:p w14:paraId="15C333B4" w14:textId="77777777" w:rsidR="004D2493" w:rsidRDefault="004D2493" w:rsidP="00A41C52">
      <w:pPr>
        <w:widowControl w:val="0"/>
        <w:suppressAutoHyphens/>
        <w:autoSpaceDN w:val="0"/>
        <w:spacing w:after="100"/>
        <w:contextualSpacing/>
        <w:jc w:val="both"/>
        <w:textAlignment w:val="baseline"/>
        <w:rPr>
          <w:rFonts w:asciiTheme="majorHAnsi" w:eastAsia="Andale Sans UI" w:hAnsiTheme="majorHAnsi" w:cs="Times New Roman"/>
          <w:kern w:val="3"/>
        </w:rPr>
      </w:pPr>
    </w:p>
    <w:p w14:paraId="7CA32E2B" w14:textId="77777777" w:rsidR="00A41C52" w:rsidRDefault="00A41C52" w:rsidP="00A41C52">
      <w:pPr>
        <w:widowControl w:val="0"/>
        <w:suppressAutoHyphens/>
        <w:autoSpaceDN w:val="0"/>
        <w:spacing w:after="100"/>
        <w:contextualSpacing/>
        <w:jc w:val="both"/>
        <w:textAlignment w:val="baseline"/>
        <w:rPr>
          <w:rFonts w:asciiTheme="majorHAnsi" w:eastAsia="Andale Sans UI" w:hAnsiTheme="majorHAnsi" w:cs="Times New Roman"/>
          <w:kern w:val="3"/>
        </w:rPr>
      </w:pPr>
    </w:p>
    <w:p w14:paraId="1B2F2727" w14:textId="77777777" w:rsidR="00A41C52" w:rsidRPr="008C6972" w:rsidRDefault="00A41C52" w:rsidP="00146159">
      <w:pPr>
        <w:widowControl w:val="0"/>
        <w:suppressAutoHyphens/>
        <w:autoSpaceDN w:val="0"/>
        <w:spacing w:beforeAutospacing="1" w:after="100" w:afterAutospacing="1" w:line="23" w:lineRule="atLeast"/>
        <w:contextualSpacing/>
        <w:jc w:val="both"/>
        <w:textAlignment w:val="baseline"/>
        <w:rPr>
          <w:rFonts w:asciiTheme="majorHAnsi" w:eastAsia="Andale Sans UI" w:hAnsiTheme="majorHAnsi" w:cs="Times New Roman"/>
          <w:kern w:val="3"/>
        </w:rPr>
      </w:pPr>
      <w:r w:rsidRPr="008C6972">
        <w:rPr>
          <w:rFonts w:asciiTheme="majorHAnsi" w:eastAsia="Andale Sans UI" w:hAnsiTheme="majorHAnsi" w:cs="Times New Roman"/>
          <w:kern w:val="3"/>
        </w:rPr>
        <w:t xml:space="preserve">Primele zece ÎPC </w:t>
      </w:r>
      <w:r w:rsidRPr="008C6972">
        <w:rPr>
          <w:rFonts w:asciiTheme="majorHAnsi" w:eastAsia="Andale Sans UI" w:hAnsiTheme="majorHAnsi" w:cs="Times New Roman"/>
          <w:b/>
          <w:bCs/>
          <w:kern w:val="3"/>
        </w:rPr>
        <w:t>active</w:t>
      </w:r>
      <w:r w:rsidRPr="008C6972">
        <w:rPr>
          <w:rFonts w:asciiTheme="majorHAnsi" w:eastAsia="Andale Sans UI" w:hAnsiTheme="majorHAnsi" w:cs="Times New Roman"/>
          <w:kern w:val="3"/>
        </w:rPr>
        <w:t xml:space="preserve"> înregistrează plăți restante la finalul anului 20</w:t>
      </w:r>
      <w:r>
        <w:rPr>
          <w:rFonts w:asciiTheme="majorHAnsi" w:eastAsia="Andale Sans UI" w:hAnsiTheme="majorHAnsi" w:cs="Times New Roman"/>
          <w:kern w:val="3"/>
        </w:rPr>
        <w:t>20</w:t>
      </w:r>
      <w:r w:rsidRPr="008C6972">
        <w:rPr>
          <w:rFonts w:asciiTheme="majorHAnsi" w:eastAsia="Andale Sans UI" w:hAnsiTheme="majorHAnsi" w:cs="Times New Roman"/>
          <w:kern w:val="3"/>
        </w:rPr>
        <w:t xml:space="preserve"> </w:t>
      </w:r>
      <w:r w:rsidRPr="008C6972">
        <w:rPr>
          <w:rFonts w:asciiTheme="majorHAnsi" w:eastAsia="Andale Sans UI" w:hAnsiTheme="majorHAnsi" w:cs="Times New Roman"/>
          <w:b/>
          <w:bCs/>
          <w:kern w:val="3"/>
        </w:rPr>
        <w:t xml:space="preserve">în sumă totală de </w:t>
      </w:r>
      <w:r>
        <w:rPr>
          <w:rFonts w:asciiTheme="majorHAnsi" w:eastAsia="Andale Sans UI" w:hAnsiTheme="majorHAnsi" w:cs="Times New Roman"/>
          <w:b/>
          <w:bCs/>
          <w:kern w:val="3"/>
        </w:rPr>
        <w:t>6</w:t>
      </w:r>
      <w:r w:rsidRPr="008C6972">
        <w:rPr>
          <w:rFonts w:asciiTheme="majorHAnsi" w:eastAsia="Andale Sans UI" w:hAnsiTheme="majorHAnsi" w:cs="Times New Roman"/>
          <w:b/>
          <w:bCs/>
          <w:kern w:val="3"/>
        </w:rPr>
        <w:t>.26</w:t>
      </w:r>
      <w:r>
        <w:rPr>
          <w:rFonts w:asciiTheme="majorHAnsi" w:eastAsia="Andale Sans UI" w:hAnsiTheme="majorHAnsi" w:cs="Times New Roman"/>
          <w:b/>
          <w:bCs/>
          <w:kern w:val="3"/>
        </w:rPr>
        <w:t>3</w:t>
      </w:r>
      <w:r w:rsidRPr="008C6972">
        <w:rPr>
          <w:rFonts w:asciiTheme="majorHAnsi" w:eastAsia="Andale Sans UI" w:hAnsiTheme="majorHAnsi" w:cs="Times New Roman"/>
          <w:b/>
          <w:bCs/>
          <w:kern w:val="3"/>
        </w:rPr>
        <w:t>.3</w:t>
      </w:r>
      <w:r>
        <w:rPr>
          <w:rFonts w:asciiTheme="majorHAnsi" w:eastAsia="Andale Sans UI" w:hAnsiTheme="majorHAnsi" w:cs="Times New Roman"/>
          <w:b/>
          <w:bCs/>
          <w:kern w:val="3"/>
        </w:rPr>
        <w:t>87</w:t>
      </w:r>
      <w:r w:rsidRPr="008C6972">
        <w:rPr>
          <w:rFonts w:asciiTheme="majorHAnsi" w:eastAsia="Andale Sans UI" w:hAnsiTheme="majorHAnsi" w:cs="Times New Roman"/>
          <w:b/>
          <w:bCs/>
          <w:kern w:val="3"/>
        </w:rPr>
        <w:t xml:space="preserve"> mii lei</w:t>
      </w:r>
      <w:r w:rsidRPr="008C6972">
        <w:rPr>
          <w:rFonts w:asciiTheme="majorHAnsi" w:eastAsia="Andale Sans UI" w:hAnsiTheme="majorHAnsi" w:cs="Times New Roman"/>
          <w:kern w:val="3"/>
        </w:rPr>
        <w:t xml:space="preserve">  și reprezintă </w:t>
      </w:r>
      <w:r>
        <w:rPr>
          <w:rFonts w:asciiTheme="majorHAnsi" w:eastAsia="Andale Sans UI" w:hAnsiTheme="majorHAnsi" w:cs="Times New Roman"/>
          <w:b/>
          <w:bCs/>
          <w:kern w:val="3"/>
        </w:rPr>
        <w:t>82</w:t>
      </w:r>
      <w:r w:rsidRPr="008C6972">
        <w:rPr>
          <w:rFonts w:asciiTheme="majorHAnsi" w:eastAsia="Andale Sans UI" w:hAnsiTheme="majorHAnsi" w:cs="Times New Roman"/>
          <w:b/>
          <w:bCs/>
          <w:kern w:val="3"/>
        </w:rPr>
        <w:t>,</w:t>
      </w:r>
      <w:r>
        <w:rPr>
          <w:rFonts w:asciiTheme="majorHAnsi" w:eastAsia="Andale Sans UI" w:hAnsiTheme="majorHAnsi" w:cs="Times New Roman"/>
          <w:b/>
          <w:bCs/>
          <w:kern w:val="3"/>
        </w:rPr>
        <w:t>26</w:t>
      </w:r>
      <w:r w:rsidRPr="008C6972">
        <w:rPr>
          <w:rFonts w:asciiTheme="majorHAnsi" w:eastAsia="Andale Sans UI" w:hAnsiTheme="majorHAnsi" w:cs="Times New Roman"/>
          <w:b/>
          <w:bCs/>
          <w:kern w:val="3"/>
        </w:rPr>
        <w:t xml:space="preserve"> % din totalul general al plăților restante înregistrat de toate ÎPC active</w:t>
      </w:r>
      <w:r w:rsidRPr="008C6972">
        <w:rPr>
          <w:rFonts w:asciiTheme="majorHAnsi" w:eastAsia="Andale Sans UI" w:hAnsiTheme="majorHAnsi" w:cs="Times New Roman"/>
          <w:kern w:val="3"/>
        </w:rPr>
        <w:t xml:space="preserve">. </w:t>
      </w:r>
    </w:p>
    <w:p w14:paraId="7AFDBCA2" w14:textId="77777777" w:rsidR="00A41C52" w:rsidRDefault="00A41C52" w:rsidP="00146159">
      <w:pPr>
        <w:widowControl w:val="0"/>
        <w:suppressAutoHyphens/>
        <w:autoSpaceDN w:val="0"/>
        <w:spacing w:beforeAutospacing="1" w:after="100" w:afterAutospacing="1" w:line="23" w:lineRule="atLeast"/>
        <w:contextualSpacing/>
        <w:textAlignment w:val="baseline"/>
        <w:rPr>
          <w:rFonts w:asciiTheme="majorHAnsi" w:eastAsia="Andale Sans UI" w:hAnsiTheme="majorHAnsi" w:cs="Times New Roman"/>
          <w:kern w:val="3"/>
        </w:rPr>
      </w:pPr>
    </w:p>
    <w:p w14:paraId="733A9F44" w14:textId="77777777" w:rsidR="00146159" w:rsidRDefault="00146159" w:rsidP="00146159">
      <w:pPr>
        <w:widowControl w:val="0"/>
        <w:suppressAutoHyphens/>
        <w:autoSpaceDN w:val="0"/>
        <w:spacing w:beforeAutospacing="1" w:after="100" w:afterAutospacing="1" w:line="23" w:lineRule="atLeast"/>
        <w:contextualSpacing/>
        <w:textAlignment w:val="baseline"/>
        <w:rPr>
          <w:rFonts w:asciiTheme="majorHAnsi" w:eastAsia="Andale Sans UI" w:hAnsiTheme="majorHAnsi" w:cs="Times New Roman"/>
          <w:kern w:val="3"/>
        </w:rPr>
      </w:pPr>
    </w:p>
    <w:p w14:paraId="2AFCDCD4" w14:textId="77777777" w:rsidR="00A41C52" w:rsidRPr="008C6972" w:rsidRDefault="00A41C52" w:rsidP="00146159">
      <w:pPr>
        <w:widowControl w:val="0"/>
        <w:suppressAutoHyphens/>
        <w:autoSpaceDN w:val="0"/>
        <w:spacing w:beforeAutospacing="1" w:after="100" w:afterAutospacing="1" w:line="23" w:lineRule="atLeast"/>
        <w:contextualSpacing/>
        <w:textAlignment w:val="baseline"/>
        <w:rPr>
          <w:rFonts w:asciiTheme="majorHAnsi" w:eastAsia="Andale Sans UI" w:hAnsiTheme="majorHAnsi" w:cs="Times New Roman"/>
          <w:kern w:val="3"/>
          <w:lang w:val="en-US"/>
        </w:rPr>
      </w:pPr>
      <w:r w:rsidRPr="008C6972">
        <w:rPr>
          <w:rFonts w:asciiTheme="majorHAnsi" w:eastAsia="Andale Sans UI" w:hAnsiTheme="majorHAnsi" w:cs="Times New Roman"/>
          <w:kern w:val="3"/>
        </w:rPr>
        <w:t>În clasamentul primelor 10 ÎPC care înregistrează cele mai mari plăți restante se constată</w:t>
      </w:r>
      <w:r w:rsidRPr="008C6972">
        <w:rPr>
          <w:rFonts w:asciiTheme="majorHAnsi" w:eastAsia="Andale Sans UI" w:hAnsiTheme="majorHAnsi" w:cs="Times New Roman"/>
          <w:kern w:val="3"/>
          <w:lang w:val="en-US"/>
        </w:rPr>
        <w:t>:</w:t>
      </w:r>
    </w:p>
    <w:p w14:paraId="41B084DC" w14:textId="77777777" w:rsidR="00A41C52" w:rsidRPr="00E56227" w:rsidRDefault="00A41C52" w:rsidP="00F26763">
      <w:pPr>
        <w:pStyle w:val="ListParagraph"/>
        <w:widowControl w:val="0"/>
        <w:numPr>
          <w:ilvl w:val="0"/>
          <w:numId w:val="18"/>
        </w:numPr>
        <w:suppressAutoHyphens/>
        <w:autoSpaceDN w:val="0"/>
        <w:spacing w:beforeAutospacing="1" w:after="100" w:afterAutospacing="1" w:line="23" w:lineRule="atLeast"/>
        <w:ind w:left="270" w:hanging="246"/>
        <w:jc w:val="both"/>
        <w:textAlignment w:val="baseline"/>
        <w:rPr>
          <w:rFonts w:asciiTheme="majorHAnsi" w:eastAsia="Andale Sans UI" w:hAnsiTheme="majorHAnsi" w:cs="Tahoma"/>
          <w:kern w:val="3"/>
        </w:rPr>
      </w:pPr>
      <w:r w:rsidRPr="00E56227">
        <w:rPr>
          <w:rFonts w:asciiTheme="majorHAnsi" w:eastAsia="Andale Sans UI" w:hAnsiTheme="majorHAnsi" w:cs="Times New Roman"/>
          <w:b/>
          <w:bCs/>
          <w:kern w:val="3"/>
        </w:rPr>
        <w:t>creșterea plăților restante</w:t>
      </w:r>
      <w:r w:rsidRPr="00E56227">
        <w:rPr>
          <w:rFonts w:asciiTheme="majorHAnsi" w:eastAsia="Andale Sans UI" w:hAnsiTheme="majorHAnsi" w:cs="Times New Roman"/>
          <w:kern w:val="3"/>
        </w:rPr>
        <w:t xml:space="preserve"> în anul 2020  față de 2019 la Societatea Na</w:t>
      </w:r>
      <w:r>
        <w:rPr>
          <w:rFonts w:asciiTheme="majorHAnsi" w:eastAsia="Andale Sans UI" w:hAnsiTheme="majorHAnsi" w:cs="Times New Roman"/>
          <w:kern w:val="3"/>
        </w:rPr>
        <w:t>ț</w:t>
      </w:r>
      <w:r w:rsidRPr="00E56227">
        <w:rPr>
          <w:rFonts w:asciiTheme="majorHAnsi" w:eastAsia="Andale Sans UI" w:hAnsiTheme="majorHAnsi" w:cs="Times New Roman"/>
          <w:kern w:val="3"/>
        </w:rPr>
        <w:t xml:space="preserve">ională </w:t>
      </w:r>
      <w:r w:rsidR="00810D45">
        <w:rPr>
          <w:rFonts w:asciiTheme="majorHAnsi" w:eastAsia="Andale Sans UI" w:hAnsiTheme="majorHAnsi" w:cs="Times New Roman"/>
          <w:kern w:val="3"/>
        </w:rPr>
        <w:t>d</w:t>
      </w:r>
      <w:r w:rsidR="00810D45" w:rsidRPr="00E56227">
        <w:rPr>
          <w:rFonts w:asciiTheme="majorHAnsi" w:eastAsia="Andale Sans UI" w:hAnsiTheme="majorHAnsi" w:cs="Times New Roman"/>
          <w:kern w:val="3"/>
        </w:rPr>
        <w:t xml:space="preserve">e </w:t>
      </w:r>
      <w:r w:rsidRPr="00E56227">
        <w:rPr>
          <w:rFonts w:asciiTheme="majorHAnsi" w:eastAsia="Andale Sans UI" w:hAnsiTheme="majorHAnsi" w:cs="Times New Roman"/>
          <w:kern w:val="3"/>
        </w:rPr>
        <w:t xml:space="preserve">Transport Feroviar </w:t>
      </w:r>
      <w:r>
        <w:rPr>
          <w:rFonts w:asciiTheme="majorHAnsi" w:eastAsia="Andale Sans UI" w:hAnsiTheme="majorHAnsi" w:cs="Times New Roman"/>
          <w:kern w:val="3"/>
        </w:rPr>
        <w:t>d</w:t>
      </w:r>
      <w:r w:rsidRPr="00E56227">
        <w:rPr>
          <w:rFonts w:asciiTheme="majorHAnsi" w:eastAsia="Andale Sans UI" w:hAnsiTheme="majorHAnsi" w:cs="Times New Roman"/>
          <w:kern w:val="3"/>
        </w:rPr>
        <w:t>e Marfă "CFR - Marfă" SA, Compania Na</w:t>
      </w:r>
      <w:r>
        <w:rPr>
          <w:rFonts w:asciiTheme="majorHAnsi" w:eastAsia="Andale Sans UI" w:hAnsiTheme="majorHAnsi" w:cs="Times New Roman"/>
          <w:kern w:val="3"/>
        </w:rPr>
        <w:t>ț</w:t>
      </w:r>
      <w:r w:rsidRPr="00E56227">
        <w:rPr>
          <w:rFonts w:asciiTheme="majorHAnsi" w:eastAsia="Andale Sans UI" w:hAnsiTheme="majorHAnsi" w:cs="Times New Roman"/>
          <w:kern w:val="3"/>
        </w:rPr>
        <w:t>ional</w:t>
      </w:r>
      <w:r>
        <w:rPr>
          <w:rFonts w:asciiTheme="majorHAnsi" w:eastAsia="Andale Sans UI" w:hAnsiTheme="majorHAnsi" w:cs="Times New Roman"/>
          <w:kern w:val="3"/>
        </w:rPr>
        <w:t>ă</w:t>
      </w:r>
      <w:r w:rsidRPr="00E56227">
        <w:rPr>
          <w:rFonts w:asciiTheme="majorHAnsi" w:eastAsia="Andale Sans UI" w:hAnsiTheme="majorHAnsi" w:cs="Times New Roman"/>
          <w:kern w:val="3"/>
        </w:rPr>
        <w:t xml:space="preserve"> Unifarm SA, Uzina Mecanic</w:t>
      </w:r>
      <w:r>
        <w:rPr>
          <w:rFonts w:asciiTheme="majorHAnsi" w:eastAsia="Andale Sans UI" w:hAnsiTheme="majorHAnsi" w:cs="Times New Roman"/>
          <w:kern w:val="3"/>
        </w:rPr>
        <w:t>ă</w:t>
      </w:r>
      <w:r w:rsidRPr="00E56227">
        <w:rPr>
          <w:rFonts w:asciiTheme="majorHAnsi" w:eastAsia="Andale Sans UI" w:hAnsiTheme="majorHAnsi" w:cs="Times New Roman"/>
          <w:kern w:val="3"/>
        </w:rPr>
        <w:t xml:space="preserve"> Orăștie SA,  Societatea Națională </w:t>
      </w:r>
      <w:r w:rsidR="00810D45">
        <w:rPr>
          <w:rFonts w:asciiTheme="majorHAnsi" w:eastAsia="Andale Sans UI" w:hAnsiTheme="majorHAnsi" w:cs="Times New Roman"/>
          <w:kern w:val="3"/>
        </w:rPr>
        <w:t>d</w:t>
      </w:r>
      <w:r w:rsidR="00810D45" w:rsidRPr="00E56227">
        <w:rPr>
          <w:rFonts w:asciiTheme="majorHAnsi" w:eastAsia="Andale Sans UI" w:hAnsiTheme="majorHAnsi" w:cs="Times New Roman"/>
          <w:kern w:val="3"/>
        </w:rPr>
        <w:t xml:space="preserve">e </w:t>
      </w:r>
      <w:r w:rsidRPr="00E56227">
        <w:rPr>
          <w:rFonts w:asciiTheme="majorHAnsi" w:eastAsia="Andale Sans UI" w:hAnsiTheme="majorHAnsi" w:cs="Times New Roman"/>
          <w:kern w:val="3"/>
        </w:rPr>
        <w:t xml:space="preserve">Transport Feroviar </w:t>
      </w:r>
      <w:r>
        <w:rPr>
          <w:rFonts w:asciiTheme="majorHAnsi" w:eastAsia="Andale Sans UI" w:hAnsiTheme="majorHAnsi" w:cs="Times New Roman"/>
          <w:kern w:val="3"/>
        </w:rPr>
        <w:t>d</w:t>
      </w:r>
      <w:r w:rsidRPr="00E56227">
        <w:rPr>
          <w:rFonts w:asciiTheme="majorHAnsi" w:eastAsia="Andale Sans UI" w:hAnsiTheme="majorHAnsi" w:cs="Times New Roman"/>
          <w:kern w:val="3"/>
        </w:rPr>
        <w:t xml:space="preserve">e Călători - CFR - Călători SA, Compania Națională </w:t>
      </w:r>
      <w:r>
        <w:rPr>
          <w:rFonts w:asciiTheme="majorHAnsi" w:eastAsia="Andale Sans UI" w:hAnsiTheme="majorHAnsi" w:cs="Times New Roman"/>
          <w:kern w:val="3"/>
        </w:rPr>
        <w:t>d</w:t>
      </w:r>
      <w:r w:rsidRPr="00E56227">
        <w:rPr>
          <w:rFonts w:asciiTheme="majorHAnsi" w:eastAsia="Andale Sans UI" w:hAnsiTheme="majorHAnsi" w:cs="Times New Roman"/>
          <w:kern w:val="3"/>
        </w:rPr>
        <w:t>e Căi Ferate "</w:t>
      </w:r>
      <w:r>
        <w:rPr>
          <w:rFonts w:asciiTheme="majorHAnsi" w:eastAsia="Andale Sans UI" w:hAnsiTheme="majorHAnsi" w:cs="Times New Roman"/>
          <w:kern w:val="3"/>
        </w:rPr>
        <w:t>CFR</w:t>
      </w:r>
      <w:r w:rsidRPr="00E56227">
        <w:rPr>
          <w:rFonts w:asciiTheme="majorHAnsi" w:eastAsia="Andale Sans UI" w:hAnsiTheme="majorHAnsi" w:cs="Times New Roman"/>
          <w:kern w:val="3"/>
        </w:rPr>
        <w:t>" SA, Compania Na</w:t>
      </w:r>
      <w:r>
        <w:rPr>
          <w:rFonts w:asciiTheme="majorHAnsi" w:eastAsia="Andale Sans UI" w:hAnsiTheme="majorHAnsi" w:cs="Times New Roman"/>
          <w:kern w:val="3"/>
        </w:rPr>
        <w:t>ț</w:t>
      </w:r>
      <w:r w:rsidRPr="00E56227">
        <w:rPr>
          <w:rFonts w:asciiTheme="majorHAnsi" w:eastAsia="Andale Sans UI" w:hAnsiTheme="majorHAnsi" w:cs="Times New Roman"/>
          <w:kern w:val="3"/>
        </w:rPr>
        <w:t>ional</w:t>
      </w:r>
      <w:r>
        <w:rPr>
          <w:rFonts w:asciiTheme="majorHAnsi" w:eastAsia="Andale Sans UI" w:hAnsiTheme="majorHAnsi" w:cs="Times New Roman"/>
          <w:kern w:val="3"/>
        </w:rPr>
        <w:t>ă</w:t>
      </w:r>
      <w:r w:rsidRPr="00E56227">
        <w:rPr>
          <w:rFonts w:asciiTheme="majorHAnsi" w:eastAsia="Andale Sans UI" w:hAnsiTheme="majorHAnsi" w:cs="Times New Roman"/>
          <w:kern w:val="3"/>
        </w:rPr>
        <w:t xml:space="preserve"> </w:t>
      </w:r>
      <w:r>
        <w:rPr>
          <w:rFonts w:asciiTheme="majorHAnsi" w:eastAsia="Andale Sans UI" w:hAnsiTheme="majorHAnsi" w:cs="Times New Roman"/>
          <w:kern w:val="3"/>
        </w:rPr>
        <w:t>d</w:t>
      </w:r>
      <w:r w:rsidRPr="00E56227">
        <w:rPr>
          <w:rFonts w:asciiTheme="majorHAnsi" w:eastAsia="Andale Sans UI" w:hAnsiTheme="majorHAnsi" w:cs="Times New Roman"/>
          <w:kern w:val="3"/>
        </w:rPr>
        <w:t>e Transporturi Aeriene Rom</w:t>
      </w:r>
      <w:r>
        <w:rPr>
          <w:rFonts w:asciiTheme="majorHAnsi" w:eastAsia="Andale Sans UI" w:hAnsiTheme="majorHAnsi" w:cs="Times New Roman"/>
          <w:kern w:val="3"/>
        </w:rPr>
        <w:t>â</w:t>
      </w:r>
      <w:r w:rsidRPr="00E56227">
        <w:rPr>
          <w:rFonts w:asciiTheme="majorHAnsi" w:eastAsia="Andale Sans UI" w:hAnsiTheme="majorHAnsi" w:cs="Times New Roman"/>
          <w:kern w:val="3"/>
        </w:rPr>
        <w:t xml:space="preserve">ne Tarom SA, Societatea Comercială Metrom SA Filială </w:t>
      </w:r>
      <w:r w:rsidR="00810D45">
        <w:rPr>
          <w:rFonts w:asciiTheme="majorHAnsi" w:eastAsia="Andale Sans UI" w:hAnsiTheme="majorHAnsi" w:cs="Times New Roman"/>
          <w:kern w:val="3"/>
        </w:rPr>
        <w:t>a</w:t>
      </w:r>
      <w:r w:rsidR="00810D45" w:rsidRPr="00E56227">
        <w:rPr>
          <w:rFonts w:asciiTheme="majorHAnsi" w:eastAsia="Andale Sans UI" w:hAnsiTheme="majorHAnsi" w:cs="Times New Roman"/>
          <w:kern w:val="3"/>
        </w:rPr>
        <w:t xml:space="preserve"> </w:t>
      </w:r>
      <w:r w:rsidRPr="00E56227">
        <w:rPr>
          <w:rFonts w:asciiTheme="majorHAnsi" w:eastAsia="Andale Sans UI" w:hAnsiTheme="majorHAnsi" w:cs="Times New Roman"/>
          <w:kern w:val="3"/>
        </w:rPr>
        <w:t>Companiei Naţionale "Romarm" S.A,</w:t>
      </w:r>
      <w:r w:rsidRPr="00E56227">
        <w:t xml:space="preserve"> </w:t>
      </w:r>
      <w:bookmarkStart w:id="49" w:name="_Hlk56162707"/>
      <w:r w:rsidRPr="00E56227">
        <w:rPr>
          <w:rFonts w:asciiTheme="majorHAnsi" w:eastAsia="Andale Sans UI" w:hAnsiTheme="majorHAnsi" w:cs="Times New Roman"/>
          <w:kern w:val="3"/>
        </w:rPr>
        <w:t xml:space="preserve">Societatea "Uzina Mecanică Sadu" SA Filiala </w:t>
      </w:r>
      <w:r>
        <w:rPr>
          <w:rFonts w:asciiTheme="majorHAnsi" w:eastAsia="Andale Sans UI" w:hAnsiTheme="majorHAnsi" w:cs="Times New Roman"/>
          <w:kern w:val="3"/>
        </w:rPr>
        <w:t>a</w:t>
      </w:r>
      <w:r w:rsidRPr="00E56227">
        <w:rPr>
          <w:rFonts w:asciiTheme="majorHAnsi" w:eastAsia="Andale Sans UI" w:hAnsiTheme="majorHAnsi" w:cs="Times New Roman"/>
          <w:kern w:val="3"/>
        </w:rPr>
        <w:t xml:space="preserve"> Companiei Naţionale "Romarm"   S.A.,  </w:t>
      </w:r>
      <w:bookmarkEnd w:id="49"/>
      <w:r w:rsidRPr="00E56227">
        <w:rPr>
          <w:rFonts w:asciiTheme="majorHAnsi" w:eastAsia="Andale Sans UI" w:hAnsiTheme="majorHAnsi" w:cs="Times New Roman"/>
          <w:kern w:val="3"/>
        </w:rPr>
        <w:t>I.N.C.D.I.F. - "ISPIF" Bucure</w:t>
      </w:r>
      <w:r>
        <w:rPr>
          <w:rFonts w:asciiTheme="majorHAnsi" w:eastAsia="Andale Sans UI" w:hAnsiTheme="majorHAnsi" w:cs="Times New Roman"/>
          <w:kern w:val="3"/>
        </w:rPr>
        <w:t>ș</w:t>
      </w:r>
      <w:r w:rsidRPr="00E56227">
        <w:rPr>
          <w:rFonts w:asciiTheme="majorHAnsi" w:eastAsia="Andale Sans UI" w:hAnsiTheme="majorHAnsi" w:cs="Times New Roman"/>
          <w:kern w:val="3"/>
        </w:rPr>
        <w:t>ti.</w:t>
      </w:r>
      <w:r w:rsidRPr="00E56227">
        <w:t xml:space="preserve"> </w:t>
      </w:r>
    </w:p>
    <w:p w14:paraId="2BE5CF94" w14:textId="77777777" w:rsidR="00A41C52" w:rsidRDefault="00A41C52" w:rsidP="00F26763">
      <w:pPr>
        <w:pStyle w:val="ListParagraph"/>
        <w:widowControl w:val="0"/>
        <w:numPr>
          <w:ilvl w:val="0"/>
          <w:numId w:val="6"/>
        </w:numPr>
        <w:suppressAutoHyphens/>
        <w:autoSpaceDN w:val="0"/>
        <w:spacing w:beforeAutospacing="1" w:after="100" w:afterAutospacing="1" w:line="23" w:lineRule="atLeast"/>
        <w:ind w:left="270" w:hanging="246"/>
        <w:jc w:val="both"/>
        <w:textAlignment w:val="baseline"/>
        <w:rPr>
          <w:rFonts w:asciiTheme="majorHAnsi" w:eastAsia="Andale Sans UI" w:hAnsiTheme="majorHAnsi" w:cs="Times New Roman"/>
          <w:kern w:val="3"/>
        </w:rPr>
      </w:pPr>
      <w:r w:rsidRPr="008C6972">
        <w:rPr>
          <w:rFonts w:asciiTheme="majorHAnsi" w:eastAsia="Andale Sans UI" w:hAnsiTheme="majorHAnsi" w:cs="Times New Roman"/>
          <w:b/>
          <w:bCs/>
          <w:kern w:val="3"/>
        </w:rPr>
        <w:t>scăderea plăților restante</w:t>
      </w:r>
      <w:r w:rsidRPr="008C6972">
        <w:rPr>
          <w:rFonts w:asciiTheme="majorHAnsi" w:eastAsia="Andale Sans UI" w:hAnsiTheme="majorHAnsi" w:cs="Times New Roman"/>
          <w:kern w:val="3"/>
        </w:rPr>
        <w:t xml:space="preserve"> în anul 20</w:t>
      </w:r>
      <w:r>
        <w:rPr>
          <w:rFonts w:asciiTheme="majorHAnsi" w:eastAsia="Andale Sans UI" w:hAnsiTheme="majorHAnsi" w:cs="Times New Roman"/>
          <w:kern w:val="3"/>
        </w:rPr>
        <w:t>20</w:t>
      </w:r>
      <w:r w:rsidRPr="008C6972">
        <w:rPr>
          <w:rFonts w:asciiTheme="majorHAnsi" w:eastAsia="Andale Sans UI" w:hAnsiTheme="majorHAnsi" w:cs="Times New Roman"/>
          <w:kern w:val="3"/>
        </w:rPr>
        <w:t xml:space="preserve"> față de 201</w:t>
      </w:r>
      <w:r>
        <w:rPr>
          <w:rFonts w:asciiTheme="majorHAnsi" w:eastAsia="Andale Sans UI" w:hAnsiTheme="majorHAnsi" w:cs="Times New Roman"/>
          <w:kern w:val="3"/>
        </w:rPr>
        <w:t>9</w:t>
      </w:r>
      <w:r w:rsidRPr="008C6972">
        <w:rPr>
          <w:rFonts w:asciiTheme="majorHAnsi" w:eastAsia="Andale Sans UI" w:hAnsiTheme="majorHAnsi" w:cs="Times New Roman"/>
          <w:kern w:val="3"/>
        </w:rPr>
        <w:t xml:space="preserve"> </w:t>
      </w:r>
      <w:r w:rsidRPr="00E56227">
        <w:rPr>
          <w:rFonts w:asciiTheme="majorHAnsi" w:eastAsia="Andale Sans UI" w:hAnsiTheme="majorHAnsi" w:cs="Times New Roman"/>
          <w:kern w:val="3"/>
        </w:rPr>
        <w:t>la Avioane Craiova SA.</w:t>
      </w:r>
    </w:p>
    <w:p w14:paraId="2A592A92" w14:textId="77777777" w:rsidR="00A41C52" w:rsidRPr="00E56227" w:rsidRDefault="00A41C52" w:rsidP="00146159">
      <w:pPr>
        <w:pStyle w:val="ListParagraph"/>
        <w:widowControl w:val="0"/>
        <w:suppressAutoHyphens/>
        <w:autoSpaceDN w:val="0"/>
        <w:spacing w:beforeAutospacing="1" w:after="100" w:afterAutospacing="1" w:line="23" w:lineRule="atLeast"/>
        <w:ind w:left="284"/>
        <w:jc w:val="both"/>
        <w:textAlignment w:val="baseline"/>
        <w:rPr>
          <w:rFonts w:asciiTheme="majorHAnsi" w:eastAsia="Andale Sans UI" w:hAnsiTheme="majorHAnsi" w:cs="Times New Roman"/>
          <w:kern w:val="3"/>
        </w:rPr>
      </w:pPr>
    </w:p>
    <w:p w14:paraId="39C2F9A8" w14:textId="77777777" w:rsidR="00A41C52" w:rsidRDefault="00A41C52" w:rsidP="00146159">
      <w:pPr>
        <w:widowControl w:val="0"/>
        <w:suppressAutoHyphens/>
        <w:autoSpaceDN w:val="0"/>
        <w:spacing w:beforeAutospacing="1" w:after="100" w:afterAutospacing="1" w:line="23" w:lineRule="atLeast"/>
        <w:contextualSpacing/>
        <w:textAlignment w:val="baseline"/>
        <w:rPr>
          <w:rFonts w:asciiTheme="majorHAnsi" w:eastAsia="Andale Sans UI" w:hAnsiTheme="majorHAnsi" w:cs="Times New Roman"/>
          <w:b/>
          <w:kern w:val="3"/>
        </w:rPr>
      </w:pPr>
      <w:r w:rsidRPr="00507A7C">
        <w:rPr>
          <w:rFonts w:asciiTheme="majorHAnsi" w:eastAsia="Andale Sans UI" w:hAnsiTheme="majorHAnsi" w:cs="Times New Roman"/>
          <w:b/>
          <w:bCs/>
          <w:kern w:val="3"/>
        </w:rPr>
        <w:t>Printre cauzele înregistrării de plăți restante de către primele 10 ÎPC amintim următoarel</w:t>
      </w:r>
      <w:r w:rsidRPr="00507A7C">
        <w:rPr>
          <w:rFonts w:asciiTheme="majorHAnsi" w:eastAsia="Andale Sans UI" w:hAnsiTheme="majorHAnsi" w:cs="Times New Roman"/>
          <w:b/>
          <w:kern w:val="3"/>
        </w:rPr>
        <w:t>e:</w:t>
      </w:r>
    </w:p>
    <w:p w14:paraId="07F07AFA" w14:textId="77777777" w:rsidR="004D2493" w:rsidRPr="00507A7C" w:rsidRDefault="004D2493" w:rsidP="00A41C52">
      <w:pPr>
        <w:widowControl w:val="0"/>
        <w:suppressAutoHyphens/>
        <w:autoSpaceDN w:val="0"/>
        <w:spacing w:after="100" w:line="240" w:lineRule="auto"/>
        <w:contextualSpacing/>
        <w:textAlignment w:val="baseline"/>
        <w:rPr>
          <w:rFonts w:asciiTheme="majorHAnsi" w:eastAsia="Andale Sans UI" w:hAnsiTheme="majorHAnsi" w:cs="Tahoma"/>
          <w:kern w:val="3"/>
        </w:rPr>
      </w:pPr>
    </w:p>
    <w:p w14:paraId="2FAA6D3D" w14:textId="77777777" w:rsidR="00A41C52" w:rsidRPr="00632742" w:rsidRDefault="00A41C52" w:rsidP="00F26763">
      <w:pPr>
        <w:widowControl w:val="0"/>
        <w:numPr>
          <w:ilvl w:val="0"/>
          <w:numId w:val="7"/>
        </w:numPr>
        <w:suppressAutoHyphens/>
        <w:autoSpaceDE w:val="0"/>
        <w:autoSpaceDN w:val="0"/>
        <w:adjustRightInd w:val="0"/>
        <w:spacing w:beforeAutospacing="1" w:after="100" w:afterAutospacing="1" w:line="23" w:lineRule="atLeast"/>
        <w:ind w:left="284" w:hanging="284"/>
        <w:jc w:val="both"/>
        <w:textAlignment w:val="baseline"/>
        <w:rPr>
          <w:rFonts w:asciiTheme="majorHAnsi" w:eastAsia="Andale Sans UI" w:hAnsiTheme="majorHAnsi" w:cs="Times New Roman"/>
          <w:kern w:val="3"/>
        </w:rPr>
      </w:pPr>
      <w:r w:rsidRPr="00632742">
        <w:rPr>
          <w:rFonts w:asciiTheme="majorHAnsi" w:eastAsia="SimSun" w:hAnsiTheme="majorHAnsi" w:cstheme="majorBidi"/>
          <w:b/>
          <w:bCs/>
        </w:rPr>
        <w:t xml:space="preserve">La Societatea Națională de Transport Feroviar de Marfă – „CFR – Marfă” S.A. </w:t>
      </w:r>
      <w:r w:rsidRPr="00632742">
        <w:rPr>
          <w:rFonts w:asciiTheme="majorHAnsi" w:eastAsia="SimSun" w:hAnsiTheme="majorHAnsi" w:cstheme="majorBidi"/>
        </w:rPr>
        <w:t>- neîncasarea creanțelor restante în valoare de cca. 278.891 mii lei de la companii de stat</w:t>
      </w:r>
      <w:r w:rsidRPr="00632742">
        <w:rPr>
          <w:rFonts w:asciiTheme="majorHAnsi" w:eastAsia="SimSun" w:hAnsiTheme="majorHAnsi" w:cstheme="majorBidi"/>
          <w:lang w:val="en-US"/>
        </w:rPr>
        <w:t xml:space="preserve">; </w:t>
      </w:r>
    </w:p>
    <w:p w14:paraId="382D7B47" w14:textId="77777777" w:rsidR="00A41C52" w:rsidRPr="00632742" w:rsidRDefault="00A41C52" w:rsidP="00F26763">
      <w:pPr>
        <w:widowControl w:val="0"/>
        <w:numPr>
          <w:ilvl w:val="0"/>
          <w:numId w:val="7"/>
        </w:numPr>
        <w:suppressAutoHyphens/>
        <w:autoSpaceDE w:val="0"/>
        <w:autoSpaceDN w:val="0"/>
        <w:adjustRightInd w:val="0"/>
        <w:spacing w:beforeAutospacing="1" w:after="100" w:afterAutospacing="1" w:line="23" w:lineRule="atLeast"/>
        <w:ind w:left="284" w:hanging="284"/>
        <w:jc w:val="both"/>
        <w:textAlignment w:val="baseline"/>
        <w:rPr>
          <w:rFonts w:asciiTheme="majorHAnsi" w:eastAsia="SimSun" w:hAnsiTheme="majorHAnsi" w:cstheme="majorBidi"/>
        </w:rPr>
      </w:pPr>
      <w:r w:rsidRPr="00632742">
        <w:rPr>
          <w:rFonts w:asciiTheme="majorHAnsi" w:eastAsia="SimSun" w:hAnsiTheme="majorHAnsi" w:cstheme="majorBidi"/>
          <w:b/>
          <w:bCs/>
        </w:rPr>
        <w:t>La Unifarm SA -</w:t>
      </w:r>
      <w:r w:rsidRPr="00632742">
        <w:rPr>
          <w:rFonts w:asciiTheme="majorHAnsi" w:eastAsia="SimSun" w:hAnsiTheme="majorHAnsi" w:cstheme="majorBidi"/>
        </w:rPr>
        <w:t xml:space="preserve"> </w:t>
      </w:r>
      <w:r w:rsidRPr="00632742">
        <w:rPr>
          <w:rFonts w:asciiTheme="majorHAnsi" w:eastAsia="Andale Sans UI" w:hAnsiTheme="majorHAnsi" w:cs="Times New Roman"/>
          <w:kern w:val="3"/>
        </w:rPr>
        <w:t xml:space="preserve">incapacitatea de rambursare a creditului de 1,15 mld. lei </w:t>
      </w:r>
      <w:r>
        <w:rPr>
          <w:rFonts w:asciiTheme="majorHAnsi" w:eastAsia="Andale Sans UI" w:hAnsiTheme="majorHAnsi" w:cs="Times New Roman"/>
          <w:kern w:val="3"/>
        </w:rPr>
        <w:t xml:space="preserve">(scadent la 25.09.2020) </w:t>
      </w:r>
      <w:r w:rsidRPr="00632742">
        <w:rPr>
          <w:rFonts w:asciiTheme="majorHAnsi" w:eastAsia="Andale Sans UI" w:hAnsiTheme="majorHAnsi" w:cs="Times New Roman"/>
          <w:kern w:val="3"/>
        </w:rPr>
        <w:t xml:space="preserve">acordat din fonduri publice (pe baza OUG 29/2020), pentru achiziționarea de urgență a unor stocuri de materiale de protecție și dispozitive medicale, în contextul crizei induse de pandemia </w:t>
      </w:r>
      <w:r>
        <w:rPr>
          <w:rFonts w:asciiTheme="majorHAnsi" w:eastAsia="Andale Sans UI" w:hAnsiTheme="majorHAnsi" w:cs="Times New Roman"/>
          <w:kern w:val="3"/>
        </w:rPr>
        <w:t>COVID 19</w:t>
      </w:r>
      <w:r w:rsidRPr="00632742">
        <w:rPr>
          <w:rFonts w:asciiTheme="majorHAnsi" w:eastAsia="Andale Sans UI" w:hAnsiTheme="majorHAnsi" w:cs="Times New Roman"/>
          <w:kern w:val="3"/>
        </w:rPr>
        <w:t xml:space="preserve"> și declanșarea, pe cale de consecință, a stării de urgență in 2020 și penalitățiile aferente acestuia</w:t>
      </w:r>
      <w:r>
        <w:rPr>
          <w:rFonts w:asciiTheme="majorHAnsi" w:eastAsia="Andale Sans UI" w:hAnsiTheme="majorHAnsi" w:cs="Times New Roman"/>
          <w:kern w:val="3"/>
        </w:rPr>
        <w:t>;</w:t>
      </w:r>
    </w:p>
    <w:p w14:paraId="43DF1C86" w14:textId="77777777" w:rsidR="00A41C52" w:rsidRPr="00751727" w:rsidRDefault="00A41C52" w:rsidP="00F26763">
      <w:pPr>
        <w:widowControl w:val="0"/>
        <w:numPr>
          <w:ilvl w:val="0"/>
          <w:numId w:val="7"/>
        </w:numPr>
        <w:suppressAutoHyphens/>
        <w:autoSpaceDN w:val="0"/>
        <w:spacing w:beforeAutospacing="1" w:after="100" w:afterAutospacing="1" w:line="23" w:lineRule="atLeast"/>
        <w:ind w:left="284" w:hanging="284"/>
        <w:jc w:val="both"/>
        <w:textAlignment w:val="baseline"/>
        <w:rPr>
          <w:rFonts w:asciiTheme="majorHAnsi" w:eastAsia="SimSun" w:hAnsiTheme="majorHAnsi" w:cstheme="majorBidi"/>
        </w:rPr>
      </w:pPr>
      <w:r w:rsidRPr="00751727">
        <w:rPr>
          <w:rFonts w:asciiTheme="majorHAnsi" w:eastAsia="SimSun" w:hAnsiTheme="majorHAnsi" w:cstheme="majorBidi"/>
          <w:b/>
          <w:bCs/>
          <w:lang w:eastAsia="ja-JP"/>
        </w:rPr>
        <w:t>La Societatea Uzina Mecanică Orăștie S.A.</w:t>
      </w:r>
      <w:r w:rsidRPr="00751727">
        <w:rPr>
          <w:rFonts w:asciiTheme="majorHAnsi" w:eastAsia="SimSun" w:hAnsiTheme="majorHAnsi" w:cstheme="majorBidi"/>
          <w:lang w:eastAsia="ja-JP"/>
        </w:rPr>
        <w:t xml:space="preserve"> - sunt generate de debitul la fondul de risc si accesorii;</w:t>
      </w:r>
    </w:p>
    <w:p w14:paraId="61561054" w14:textId="77777777" w:rsidR="00A41C52" w:rsidRPr="00662EDF" w:rsidRDefault="00A41C52" w:rsidP="00F26763">
      <w:pPr>
        <w:pStyle w:val="ListParagraph"/>
        <w:widowControl w:val="0"/>
        <w:numPr>
          <w:ilvl w:val="0"/>
          <w:numId w:val="7"/>
        </w:numPr>
        <w:suppressAutoHyphens/>
        <w:autoSpaceDN w:val="0"/>
        <w:spacing w:beforeAutospacing="1" w:after="100" w:afterAutospacing="1" w:line="23" w:lineRule="atLeast"/>
        <w:ind w:left="284" w:hanging="284"/>
        <w:jc w:val="both"/>
        <w:textAlignment w:val="baseline"/>
        <w:rPr>
          <w:rFonts w:asciiTheme="majorHAnsi" w:eastAsia="SimSun" w:hAnsiTheme="majorHAnsi" w:cstheme="majorBidi"/>
        </w:rPr>
      </w:pPr>
      <w:r w:rsidRPr="00662EDF">
        <w:rPr>
          <w:rFonts w:asciiTheme="majorHAnsi" w:eastAsia="SimSun" w:hAnsiTheme="majorHAnsi" w:cstheme="majorBidi"/>
          <w:b/>
          <w:bCs/>
        </w:rPr>
        <w:t>La Societatea Națională de Transport Feroviar de Călători – “CFR – Călători” S.A</w:t>
      </w:r>
      <w:r w:rsidRPr="00662EDF">
        <w:rPr>
          <w:rFonts w:asciiTheme="majorHAnsi" w:eastAsia="SimSun" w:hAnsiTheme="majorHAnsi" w:cstheme="majorBidi"/>
        </w:rPr>
        <w:t xml:space="preserve">. – </w:t>
      </w:r>
      <w:r w:rsidRPr="00662EDF">
        <w:rPr>
          <w:rFonts w:asciiTheme="majorHAnsi" w:eastAsia="Andale Sans UI" w:hAnsiTheme="majorHAnsi" w:cs="Times New Roman"/>
          <w:kern w:val="3"/>
        </w:rPr>
        <w:t xml:space="preserve">înregistrarea de plăți restante este o consecință directă a situației pandemice care a afectat anul 2020 din punct de vedere al încasărilor companiei, acestea fiind diminuate drastic ca urmare a măsurilor luate de autorități de limitare a liberei </w:t>
      </w:r>
      <w:r w:rsidRPr="00527F48">
        <w:rPr>
          <w:rFonts w:asciiTheme="majorHAnsi" w:eastAsia="Andale Sans UI" w:hAnsiTheme="majorHAnsi" w:cs="Times New Roman"/>
          <w:kern w:val="3"/>
        </w:rPr>
        <w:t>circulații a persoanelor, atât pe teritoriul</w:t>
      </w:r>
      <w:r w:rsidRPr="00662EDF">
        <w:rPr>
          <w:rFonts w:asciiTheme="majorHAnsi" w:eastAsia="Andale Sans UI" w:hAnsiTheme="majorHAnsi" w:cs="Times New Roman"/>
          <w:kern w:val="3"/>
        </w:rPr>
        <w:t xml:space="preserve"> național cât și în afara granițelor țării, anul 2020 fiind anul COVID care a marcat pentru prima dată în istoria CFR Călători o scădere a încasărilor directe cu 41%, respectiv cu 356 milioane lei</w:t>
      </w:r>
      <w:r w:rsidRPr="00662EDF">
        <w:rPr>
          <w:rFonts w:asciiTheme="majorHAnsi" w:eastAsia="SimSun" w:hAnsiTheme="majorHAnsi" w:cstheme="majorBidi"/>
        </w:rPr>
        <w:t xml:space="preserve">; O </w:t>
      </w:r>
      <w:r w:rsidRPr="00662EDF">
        <w:rPr>
          <w:rFonts w:asciiTheme="majorHAnsi" w:eastAsia="Andale Sans UI" w:hAnsiTheme="majorHAnsi" w:cs="Times New Roman"/>
          <w:kern w:val="3"/>
        </w:rPr>
        <w:t>altă cauză a înregistrării de plăți restante, o constituie nealocarea din bugetul MTI/ARF a compensației pentru susținerea transportului feroviar public de călători, la nivelul necesarului, conform prevederilor Regulamentului nr. 1370 al CE și a OUG nr. 12/1998;</w:t>
      </w:r>
    </w:p>
    <w:p w14:paraId="3DBD4394" w14:textId="77777777" w:rsidR="00A41C52" w:rsidRPr="00662EDF" w:rsidRDefault="00A41C52" w:rsidP="00F26763">
      <w:pPr>
        <w:widowControl w:val="0"/>
        <w:numPr>
          <w:ilvl w:val="0"/>
          <w:numId w:val="7"/>
        </w:numPr>
        <w:suppressAutoHyphens/>
        <w:autoSpaceDN w:val="0"/>
        <w:spacing w:beforeAutospacing="1" w:after="100" w:afterAutospacing="1" w:line="23" w:lineRule="atLeast"/>
        <w:ind w:left="284" w:hanging="284"/>
        <w:jc w:val="both"/>
        <w:textAlignment w:val="baseline"/>
        <w:rPr>
          <w:rFonts w:asciiTheme="majorHAnsi" w:eastAsia="SimSun" w:hAnsiTheme="majorHAnsi" w:cstheme="majorBidi"/>
        </w:rPr>
      </w:pPr>
      <w:r w:rsidRPr="00662EDF">
        <w:rPr>
          <w:rFonts w:asciiTheme="majorHAnsi" w:eastAsia="SimSun" w:hAnsiTheme="majorHAnsi" w:cstheme="majorBidi"/>
          <w:b/>
          <w:bCs/>
        </w:rPr>
        <w:t>La Societatea Avioane Craiova S.A.</w:t>
      </w:r>
      <w:r w:rsidRPr="00662EDF">
        <w:rPr>
          <w:rFonts w:asciiTheme="majorHAnsi" w:eastAsia="SimSun" w:hAnsiTheme="majorHAnsi" w:cstheme="majorBidi"/>
        </w:rPr>
        <w:t xml:space="preserve"> - lipsa contractelor</w:t>
      </w:r>
      <w:r>
        <w:rPr>
          <w:rFonts w:asciiTheme="majorHAnsi" w:eastAsia="SimSun" w:hAnsiTheme="majorHAnsi" w:cstheme="majorBidi"/>
        </w:rPr>
        <w:t>, înregistrarea de dobânzi și penalități pentru neachitarea la termen a obligațiilor la bugetul consolidat al statului și bugetul local (datorii istorice și curente), d</w:t>
      </w:r>
      <w:r w:rsidRPr="006F1AF1">
        <w:rPr>
          <w:rFonts w:asciiTheme="majorHAnsi" w:eastAsia="SimSun" w:hAnsiTheme="majorHAnsi" w:cstheme="majorBidi"/>
        </w:rPr>
        <w:t>iminuarea drastic</w:t>
      </w:r>
      <w:r>
        <w:rPr>
          <w:rFonts w:asciiTheme="majorHAnsi" w:eastAsia="SimSun" w:hAnsiTheme="majorHAnsi" w:cstheme="majorBidi"/>
        </w:rPr>
        <w:t>ă</w:t>
      </w:r>
      <w:r w:rsidRPr="006F1AF1">
        <w:rPr>
          <w:rFonts w:asciiTheme="majorHAnsi" w:eastAsia="SimSun" w:hAnsiTheme="majorHAnsi" w:cstheme="majorBidi"/>
        </w:rPr>
        <w:t xml:space="preserve"> a volumului de activitate ca urmare a sist</w:t>
      </w:r>
      <w:r>
        <w:rPr>
          <w:rFonts w:asciiTheme="majorHAnsi" w:eastAsia="SimSun" w:hAnsiTheme="majorHAnsi" w:cstheme="majorBidi"/>
        </w:rPr>
        <w:t>ă</w:t>
      </w:r>
      <w:r w:rsidRPr="006F1AF1">
        <w:rPr>
          <w:rFonts w:asciiTheme="majorHAnsi" w:eastAsia="SimSun" w:hAnsiTheme="majorHAnsi" w:cstheme="majorBidi"/>
        </w:rPr>
        <w:t>rii de comenzi din partea MApN pentru fabricarea avionului IAR 99</w:t>
      </w:r>
      <w:r w:rsidRPr="00662EDF">
        <w:rPr>
          <w:rFonts w:asciiTheme="majorHAnsi" w:eastAsia="SimSun" w:hAnsiTheme="majorHAnsi" w:cstheme="majorBidi"/>
          <w:lang w:val="en-US"/>
        </w:rPr>
        <w:t>;</w:t>
      </w:r>
    </w:p>
    <w:p w14:paraId="20D64F2C" w14:textId="77777777" w:rsidR="00A41C52" w:rsidRPr="009E25AD" w:rsidRDefault="00A41C52" w:rsidP="00F26763">
      <w:pPr>
        <w:widowControl w:val="0"/>
        <w:numPr>
          <w:ilvl w:val="0"/>
          <w:numId w:val="7"/>
        </w:numPr>
        <w:suppressAutoHyphens/>
        <w:autoSpaceDN w:val="0"/>
        <w:spacing w:beforeAutospacing="1" w:after="100" w:afterAutospacing="1" w:line="23" w:lineRule="atLeast"/>
        <w:ind w:left="284" w:hanging="284"/>
        <w:jc w:val="both"/>
        <w:textAlignment w:val="baseline"/>
        <w:rPr>
          <w:rFonts w:asciiTheme="majorHAnsi" w:eastAsia="Andale Sans UI" w:hAnsiTheme="majorHAnsi" w:cs="Times New Roman"/>
          <w:b/>
          <w:bCs/>
          <w:kern w:val="3"/>
        </w:rPr>
      </w:pPr>
      <w:r w:rsidRPr="009E25AD">
        <w:rPr>
          <w:rFonts w:asciiTheme="majorHAnsi" w:eastAsia="SimSun" w:hAnsiTheme="majorHAnsi" w:cstheme="majorBidi"/>
          <w:b/>
          <w:bCs/>
        </w:rPr>
        <w:t xml:space="preserve">La Compania Națională de Căi Ferate CFR – </w:t>
      </w:r>
      <w:r w:rsidRPr="009E25AD">
        <w:rPr>
          <w:rFonts w:asciiTheme="majorHAnsi" w:eastAsia="SimSun" w:hAnsiTheme="majorHAnsi" w:cstheme="majorBidi"/>
        </w:rPr>
        <w:t>lipsa lichidităților din cauza neîncasării creanțelor de la principalii clienți, neîncasarea creanțelor de la bugetul statului;</w:t>
      </w:r>
    </w:p>
    <w:p w14:paraId="58A80C9F" w14:textId="77777777" w:rsidR="00A41C52" w:rsidRPr="00016ABF" w:rsidRDefault="00A41C52" w:rsidP="00F26763">
      <w:pPr>
        <w:widowControl w:val="0"/>
        <w:numPr>
          <w:ilvl w:val="0"/>
          <w:numId w:val="7"/>
        </w:numPr>
        <w:suppressAutoHyphens/>
        <w:autoSpaceDE w:val="0"/>
        <w:autoSpaceDN w:val="0"/>
        <w:adjustRightInd w:val="0"/>
        <w:spacing w:beforeAutospacing="1" w:after="100" w:afterAutospacing="1" w:line="23" w:lineRule="atLeast"/>
        <w:ind w:left="284" w:hanging="284"/>
        <w:jc w:val="both"/>
        <w:textAlignment w:val="baseline"/>
        <w:rPr>
          <w:rFonts w:asciiTheme="majorHAnsi" w:eastAsia="SimSun" w:hAnsiTheme="majorHAnsi" w:cstheme="majorBidi"/>
        </w:rPr>
      </w:pPr>
      <w:r w:rsidRPr="00016ABF">
        <w:rPr>
          <w:rFonts w:asciiTheme="majorHAnsi" w:eastAsia="SimSun" w:hAnsiTheme="majorHAnsi" w:cstheme="majorBidi"/>
          <w:b/>
          <w:bCs/>
        </w:rPr>
        <w:t xml:space="preserve">La Compania Națională </w:t>
      </w:r>
      <w:r>
        <w:rPr>
          <w:rFonts w:asciiTheme="majorHAnsi" w:eastAsia="SimSun" w:hAnsiTheme="majorHAnsi" w:cstheme="majorBidi"/>
          <w:b/>
          <w:bCs/>
        </w:rPr>
        <w:t>d</w:t>
      </w:r>
      <w:r w:rsidRPr="00016ABF">
        <w:rPr>
          <w:rFonts w:asciiTheme="majorHAnsi" w:eastAsia="SimSun" w:hAnsiTheme="majorHAnsi" w:cstheme="majorBidi"/>
          <w:b/>
          <w:bCs/>
        </w:rPr>
        <w:t xml:space="preserve">e Transporturi Aeriene Române Tarom SA  – </w:t>
      </w:r>
      <w:r w:rsidRPr="00016ABF">
        <w:rPr>
          <w:rFonts w:asciiTheme="majorHAnsi" w:eastAsia="SimSun" w:hAnsiTheme="majorHAnsi" w:cstheme="majorBidi"/>
        </w:rPr>
        <w:t>sc</w:t>
      </w:r>
      <w:r>
        <w:rPr>
          <w:rFonts w:asciiTheme="majorHAnsi" w:eastAsia="SimSun" w:hAnsiTheme="majorHAnsi" w:cstheme="majorBidi"/>
        </w:rPr>
        <w:t>ă</w:t>
      </w:r>
      <w:r w:rsidRPr="00016ABF">
        <w:rPr>
          <w:rFonts w:asciiTheme="majorHAnsi" w:eastAsia="SimSun" w:hAnsiTheme="majorHAnsi" w:cstheme="majorBidi"/>
        </w:rPr>
        <w:t>derea num</w:t>
      </w:r>
      <w:r>
        <w:rPr>
          <w:rFonts w:asciiTheme="majorHAnsi" w:eastAsia="SimSun" w:hAnsiTheme="majorHAnsi" w:cstheme="majorBidi"/>
        </w:rPr>
        <w:t>ă</w:t>
      </w:r>
      <w:r w:rsidRPr="00016ABF">
        <w:rPr>
          <w:rFonts w:asciiTheme="majorHAnsi" w:eastAsia="SimSun" w:hAnsiTheme="majorHAnsi" w:cstheme="majorBidi"/>
        </w:rPr>
        <w:t xml:space="preserve">rului de curse </w:t>
      </w:r>
      <w:r>
        <w:rPr>
          <w:rFonts w:asciiTheme="majorHAnsi" w:eastAsia="SimSun" w:hAnsiTheme="majorHAnsi" w:cstheme="majorBidi"/>
        </w:rPr>
        <w:t>ș</w:t>
      </w:r>
      <w:r w:rsidRPr="00016ABF">
        <w:rPr>
          <w:rFonts w:asciiTheme="majorHAnsi" w:eastAsia="SimSun" w:hAnsiTheme="majorHAnsi" w:cstheme="majorBidi"/>
        </w:rPr>
        <w:t>i a num</w:t>
      </w:r>
      <w:r>
        <w:rPr>
          <w:rFonts w:asciiTheme="majorHAnsi" w:eastAsia="SimSun" w:hAnsiTheme="majorHAnsi" w:cstheme="majorBidi"/>
        </w:rPr>
        <w:t>ă</w:t>
      </w:r>
      <w:r w:rsidRPr="00016ABF">
        <w:rPr>
          <w:rFonts w:asciiTheme="majorHAnsi" w:eastAsia="SimSun" w:hAnsiTheme="majorHAnsi" w:cstheme="majorBidi"/>
        </w:rPr>
        <w:t>rului de pasageri transporta</w:t>
      </w:r>
      <w:r>
        <w:rPr>
          <w:rFonts w:asciiTheme="majorHAnsi" w:eastAsia="SimSun" w:hAnsiTheme="majorHAnsi" w:cstheme="majorBidi"/>
        </w:rPr>
        <w:t>ț</w:t>
      </w:r>
      <w:r w:rsidRPr="00016ABF">
        <w:rPr>
          <w:rFonts w:asciiTheme="majorHAnsi" w:eastAsia="SimSun" w:hAnsiTheme="majorHAnsi" w:cstheme="majorBidi"/>
        </w:rPr>
        <w:t>i</w:t>
      </w:r>
      <w:r>
        <w:rPr>
          <w:rFonts w:asciiTheme="majorHAnsi" w:eastAsia="SimSun" w:hAnsiTheme="majorHAnsi" w:cstheme="majorBidi"/>
        </w:rPr>
        <w:t>,</w:t>
      </w:r>
      <w:r w:rsidRPr="00016ABF">
        <w:rPr>
          <w:rFonts w:asciiTheme="majorHAnsi" w:eastAsia="SimSun" w:hAnsiTheme="majorHAnsi" w:cstheme="majorBidi"/>
        </w:rPr>
        <w:t xml:space="preserve"> </w:t>
      </w:r>
      <w:r>
        <w:rPr>
          <w:rFonts w:asciiTheme="majorHAnsi" w:eastAsia="SimSun" w:hAnsiTheme="majorHAnsi" w:cstheme="majorBidi"/>
        </w:rPr>
        <w:t>î</w:t>
      </w:r>
      <w:r w:rsidRPr="00016ABF">
        <w:rPr>
          <w:rFonts w:asciiTheme="majorHAnsi" w:eastAsia="SimSun" w:hAnsiTheme="majorHAnsi" w:cstheme="majorBidi"/>
        </w:rPr>
        <w:t>n contextul pandemiei cu COVID 19</w:t>
      </w:r>
      <w:r>
        <w:rPr>
          <w:rFonts w:asciiTheme="majorHAnsi" w:eastAsia="SimSun" w:hAnsiTheme="majorHAnsi" w:cstheme="majorBidi"/>
        </w:rPr>
        <w:t>, nerealizarea indicatorilor fizici au determinat reducerea încasărilor și a veniturilor;</w:t>
      </w:r>
    </w:p>
    <w:p w14:paraId="41F90E19" w14:textId="77777777" w:rsidR="00A41C52" w:rsidRPr="0006101A" w:rsidRDefault="00A41C52" w:rsidP="00F26763">
      <w:pPr>
        <w:widowControl w:val="0"/>
        <w:numPr>
          <w:ilvl w:val="0"/>
          <w:numId w:val="7"/>
        </w:numPr>
        <w:suppressAutoHyphens/>
        <w:autoSpaceDN w:val="0"/>
        <w:spacing w:beforeAutospacing="1" w:after="100" w:afterAutospacing="1" w:line="23" w:lineRule="atLeast"/>
        <w:ind w:left="284" w:hanging="284"/>
        <w:jc w:val="both"/>
        <w:textAlignment w:val="baseline"/>
        <w:rPr>
          <w:rFonts w:asciiTheme="majorHAnsi" w:eastAsia="Andale Sans UI" w:hAnsiTheme="majorHAnsi" w:cs="Times New Roman"/>
          <w:b/>
          <w:bCs/>
          <w:kern w:val="3"/>
        </w:rPr>
      </w:pPr>
      <w:r w:rsidRPr="0006101A">
        <w:rPr>
          <w:rFonts w:asciiTheme="majorHAnsi" w:eastAsia="SimSun" w:hAnsiTheme="majorHAnsi" w:cstheme="majorBidi"/>
          <w:b/>
          <w:bCs/>
        </w:rPr>
        <w:t>La Societatea Metrom S.A. filială a Companiei Naționale „Romarm S.A.”</w:t>
      </w:r>
      <w:r w:rsidRPr="0006101A">
        <w:rPr>
          <w:rFonts w:asciiTheme="majorHAnsi" w:eastAsia="SimSun" w:hAnsiTheme="majorHAnsi" w:cstheme="majorBidi"/>
        </w:rPr>
        <w:t xml:space="preserve"> – volumul redus de comenzi pentru realizarea de produse militare și civile; producție sub pragul rentabilității; decapitalizarea prin înregistrarea de pierderi din exploatare, ca urmare a unei producții mult sub pragul de rentabilitate;</w:t>
      </w:r>
    </w:p>
    <w:p w14:paraId="0A9EA2DC" w14:textId="77777777" w:rsidR="00A41C52" w:rsidRPr="00560264" w:rsidRDefault="00A41C52" w:rsidP="00F26763">
      <w:pPr>
        <w:widowControl w:val="0"/>
        <w:numPr>
          <w:ilvl w:val="0"/>
          <w:numId w:val="7"/>
        </w:numPr>
        <w:suppressAutoHyphens/>
        <w:autoSpaceDN w:val="0"/>
        <w:spacing w:beforeAutospacing="1" w:after="100" w:afterAutospacing="1" w:line="23" w:lineRule="atLeast"/>
        <w:ind w:left="284" w:hanging="284"/>
        <w:jc w:val="both"/>
        <w:textAlignment w:val="baseline"/>
        <w:rPr>
          <w:rFonts w:asciiTheme="majorHAnsi" w:eastAsia="Andale Sans UI" w:hAnsiTheme="majorHAnsi" w:cs="Times New Roman"/>
          <w:b/>
          <w:bCs/>
          <w:kern w:val="3"/>
        </w:rPr>
      </w:pPr>
      <w:r w:rsidRPr="00560264">
        <w:rPr>
          <w:rFonts w:asciiTheme="majorHAnsi" w:eastAsia="SimSun" w:hAnsiTheme="majorHAnsi" w:cstheme="majorBidi"/>
          <w:b/>
        </w:rPr>
        <w:t>La</w:t>
      </w:r>
      <w:r w:rsidRPr="00560264">
        <w:rPr>
          <w:rFonts w:asciiTheme="majorHAnsi" w:eastAsia="SimSun" w:hAnsiTheme="majorHAnsi" w:cstheme="majorBidi"/>
        </w:rPr>
        <w:t xml:space="preserve"> </w:t>
      </w:r>
      <w:r w:rsidRPr="00560264">
        <w:rPr>
          <w:rFonts w:asciiTheme="majorHAnsi" w:eastAsia="SimSun" w:hAnsiTheme="majorHAnsi" w:cstheme="majorBidi"/>
          <w:b/>
          <w:bCs/>
        </w:rPr>
        <w:t>Societatea Uzina Mecanică Sadu S.A. filială a Companiei Naționale „Romarm S.A.”</w:t>
      </w:r>
      <w:r w:rsidRPr="00560264">
        <w:rPr>
          <w:rFonts w:asciiTheme="majorHAnsi" w:eastAsia="SimSun" w:hAnsiTheme="majorHAnsi" w:cstheme="majorBidi"/>
        </w:rPr>
        <w:t xml:space="preserve"> – dotările tehnologice cu randament scăzut, depășite fizic și moral; încărcarea fluctuantă a fluxului de fabricație; scăderea producției și creșterea cletuielilor, in contextul pandemiei cu COVID</w:t>
      </w:r>
      <w:r>
        <w:rPr>
          <w:rFonts w:asciiTheme="majorHAnsi" w:eastAsia="SimSun" w:hAnsiTheme="majorHAnsi" w:cstheme="majorBidi"/>
        </w:rPr>
        <w:t xml:space="preserve"> 19</w:t>
      </w:r>
      <w:r w:rsidRPr="00560264">
        <w:rPr>
          <w:rFonts w:asciiTheme="majorHAnsi" w:eastAsia="SimSun" w:hAnsiTheme="majorHAnsi" w:cstheme="majorBidi"/>
        </w:rPr>
        <w:t xml:space="preserve">;     </w:t>
      </w:r>
    </w:p>
    <w:p w14:paraId="02DA9A3B" w14:textId="77777777" w:rsidR="00A41C52" w:rsidRDefault="00A41C52" w:rsidP="00F26763">
      <w:pPr>
        <w:pStyle w:val="ListParagraph"/>
        <w:numPr>
          <w:ilvl w:val="0"/>
          <w:numId w:val="7"/>
        </w:numPr>
        <w:spacing w:beforeAutospacing="1" w:after="100" w:afterAutospacing="1" w:line="23" w:lineRule="atLeast"/>
        <w:ind w:left="270" w:hanging="270"/>
        <w:jc w:val="both"/>
        <w:rPr>
          <w:rFonts w:asciiTheme="majorHAnsi" w:eastAsia="SimSun" w:hAnsiTheme="majorHAnsi" w:cstheme="majorBidi"/>
        </w:rPr>
      </w:pPr>
      <w:r w:rsidRPr="00C83496">
        <w:rPr>
          <w:rFonts w:asciiTheme="majorHAnsi" w:eastAsia="SimSun" w:hAnsiTheme="majorHAnsi" w:cstheme="majorBidi"/>
          <w:b/>
        </w:rPr>
        <w:t>La</w:t>
      </w:r>
      <w:r w:rsidRPr="00C83496">
        <w:rPr>
          <w:rFonts w:asciiTheme="majorHAnsi" w:eastAsia="SimSun" w:hAnsiTheme="majorHAnsi" w:cstheme="majorBidi"/>
        </w:rPr>
        <w:t xml:space="preserve"> </w:t>
      </w:r>
      <w:r>
        <w:rPr>
          <w:rFonts w:asciiTheme="majorHAnsi" w:eastAsia="SimSun" w:hAnsiTheme="majorHAnsi" w:cstheme="majorBidi"/>
        </w:rPr>
        <w:t xml:space="preserve"> </w:t>
      </w:r>
      <w:r w:rsidRPr="00C83496">
        <w:rPr>
          <w:rFonts w:asciiTheme="majorHAnsi" w:eastAsia="SimSun" w:hAnsiTheme="majorHAnsi" w:cstheme="majorBidi"/>
          <w:b/>
          <w:bCs/>
        </w:rPr>
        <w:t>I.N.C.D.I.F. - "ISPIF" București</w:t>
      </w:r>
      <w:r w:rsidRPr="00C83496">
        <w:rPr>
          <w:rFonts w:asciiTheme="majorHAnsi" w:eastAsia="SimSun" w:hAnsiTheme="majorHAnsi" w:cstheme="majorBidi"/>
        </w:rPr>
        <w:t>– situația incertă în care se află institutul</w:t>
      </w:r>
      <w:r w:rsidR="00810D45">
        <w:rPr>
          <w:rFonts w:asciiTheme="majorHAnsi" w:eastAsia="SimSun" w:hAnsiTheme="majorHAnsi" w:cstheme="majorBidi"/>
        </w:rPr>
        <w:t>,</w:t>
      </w:r>
      <w:r w:rsidRPr="00C83496">
        <w:rPr>
          <w:rFonts w:asciiTheme="majorHAnsi" w:eastAsia="SimSun" w:hAnsiTheme="majorHAnsi" w:cstheme="majorBidi"/>
        </w:rPr>
        <w:t xml:space="preserve"> referitoare la reorganizarea acestuia cerută încă din 2009-2010 de când a </w:t>
      </w:r>
      <w:r>
        <w:rPr>
          <w:rFonts w:asciiTheme="majorHAnsi" w:eastAsia="SimSun" w:hAnsiTheme="majorHAnsi" w:cstheme="majorBidi"/>
        </w:rPr>
        <w:t>î</w:t>
      </w:r>
      <w:r w:rsidRPr="00C83496">
        <w:rPr>
          <w:rFonts w:asciiTheme="majorHAnsi" w:eastAsia="SimSun" w:hAnsiTheme="majorHAnsi" w:cstheme="majorBidi"/>
        </w:rPr>
        <w:t xml:space="preserve">nceput să înregistreze datorii restante la bugetul de stat consolidat; imposibilitatea de a participa la licitații pentru contractarea de lucrări specifice, fiind neeligibil (poprirea tuturor conturilor bancare </w:t>
      </w:r>
      <w:r w:rsidR="006F2436">
        <w:rPr>
          <w:rFonts w:asciiTheme="majorHAnsi" w:eastAsia="SimSun" w:hAnsiTheme="majorHAnsi" w:cstheme="majorBidi"/>
        </w:rPr>
        <w:t xml:space="preserve">din cauza </w:t>
      </w:r>
      <w:r w:rsidRPr="00C83496">
        <w:rPr>
          <w:rFonts w:asciiTheme="majorHAnsi" w:eastAsia="SimSun" w:hAnsiTheme="majorHAnsi" w:cstheme="majorBidi"/>
        </w:rPr>
        <w:t>neplății datoriilor la scaden</w:t>
      </w:r>
      <w:r>
        <w:rPr>
          <w:rFonts w:asciiTheme="majorHAnsi" w:eastAsia="SimSun" w:hAnsiTheme="majorHAnsi" w:cstheme="majorBidi"/>
        </w:rPr>
        <w:t>ță</w:t>
      </w:r>
      <w:r w:rsidRPr="00C83496">
        <w:rPr>
          <w:rFonts w:asciiTheme="majorHAnsi" w:eastAsia="SimSun" w:hAnsiTheme="majorHAnsi" w:cstheme="majorBidi"/>
        </w:rPr>
        <w:t xml:space="preserve">); imposibilitatea </w:t>
      </w:r>
      <w:r>
        <w:rPr>
          <w:rFonts w:asciiTheme="majorHAnsi" w:eastAsia="SimSun" w:hAnsiTheme="majorHAnsi" w:cstheme="majorBidi"/>
        </w:rPr>
        <w:t>î</w:t>
      </w:r>
      <w:r w:rsidRPr="00C83496">
        <w:rPr>
          <w:rFonts w:asciiTheme="majorHAnsi" w:eastAsia="SimSun" w:hAnsiTheme="majorHAnsi" w:cstheme="majorBidi"/>
        </w:rPr>
        <w:t>ncas</w:t>
      </w:r>
      <w:r>
        <w:rPr>
          <w:rFonts w:asciiTheme="majorHAnsi" w:eastAsia="SimSun" w:hAnsiTheme="majorHAnsi" w:cstheme="majorBidi"/>
        </w:rPr>
        <w:t>ă</w:t>
      </w:r>
      <w:r w:rsidRPr="00C83496">
        <w:rPr>
          <w:rFonts w:asciiTheme="majorHAnsi" w:eastAsia="SimSun" w:hAnsiTheme="majorHAnsi" w:cstheme="majorBidi"/>
        </w:rPr>
        <w:t>rii clien</w:t>
      </w:r>
      <w:r>
        <w:rPr>
          <w:rFonts w:asciiTheme="majorHAnsi" w:eastAsia="SimSun" w:hAnsiTheme="majorHAnsi" w:cstheme="majorBidi"/>
        </w:rPr>
        <w:t>ț</w:t>
      </w:r>
      <w:r w:rsidRPr="00C83496">
        <w:rPr>
          <w:rFonts w:asciiTheme="majorHAnsi" w:eastAsia="SimSun" w:hAnsiTheme="majorHAnsi" w:cstheme="majorBidi"/>
        </w:rPr>
        <w:t>ilor incer</w:t>
      </w:r>
      <w:r>
        <w:rPr>
          <w:rFonts w:asciiTheme="majorHAnsi" w:eastAsia="SimSun" w:hAnsiTheme="majorHAnsi" w:cstheme="majorBidi"/>
        </w:rPr>
        <w:t>ț</w:t>
      </w:r>
      <w:r w:rsidRPr="00C83496">
        <w:rPr>
          <w:rFonts w:asciiTheme="majorHAnsi" w:eastAsia="SimSun" w:hAnsiTheme="majorHAnsi" w:cstheme="majorBidi"/>
        </w:rPr>
        <w:t xml:space="preserve">i </w:t>
      </w:r>
      <w:r>
        <w:rPr>
          <w:rFonts w:asciiTheme="majorHAnsi" w:eastAsia="SimSun" w:hAnsiTheme="majorHAnsi" w:cstheme="majorBidi"/>
        </w:rPr>
        <w:t>ș</w:t>
      </w:r>
      <w:r w:rsidRPr="00C83496">
        <w:rPr>
          <w:rFonts w:asciiTheme="majorHAnsi" w:eastAsia="SimSun" w:hAnsiTheme="majorHAnsi" w:cstheme="majorBidi"/>
        </w:rPr>
        <w:t xml:space="preserve">i </w:t>
      </w:r>
      <w:r>
        <w:rPr>
          <w:rFonts w:asciiTheme="majorHAnsi" w:eastAsia="SimSun" w:hAnsiTheme="majorHAnsi" w:cstheme="majorBidi"/>
        </w:rPr>
        <w:t>î</w:t>
      </w:r>
      <w:r w:rsidRPr="00C83496">
        <w:rPr>
          <w:rFonts w:asciiTheme="majorHAnsi" w:eastAsia="SimSun" w:hAnsiTheme="majorHAnsi" w:cstheme="majorBidi"/>
        </w:rPr>
        <w:t>n litigiu declara</w:t>
      </w:r>
      <w:r>
        <w:rPr>
          <w:rFonts w:asciiTheme="majorHAnsi" w:eastAsia="SimSun" w:hAnsiTheme="majorHAnsi" w:cstheme="majorBidi"/>
        </w:rPr>
        <w:t>ț</w:t>
      </w:r>
      <w:r w:rsidRPr="00C83496">
        <w:rPr>
          <w:rFonts w:asciiTheme="majorHAnsi" w:eastAsia="SimSun" w:hAnsiTheme="majorHAnsi" w:cstheme="majorBidi"/>
        </w:rPr>
        <w:t xml:space="preserve">i </w:t>
      </w:r>
      <w:r>
        <w:rPr>
          <w:rFonts w:asciiTheme="majorHAnsi" w:eastAsia="SimSun" w:hAnsiTheme="majorHAnsi" w:cstheme="majorBidi"/>
        </w:rPr>
        <w:t>î</w:t>
      </w:r>
      <w:r w:rsidRPr="00C83496">
        <w:rPr>
          <w:rFonts w:asciiTheme="majorHAnsi" w:eastAsia="SimSun" w:hAnsiTheme="majorHAnsi" w:cstheme="majorBidi"/>
        </w:rPr>
        <w:t>n insolven</w:t>
      </w:r>
      <w:r>
        <w:rPr>
          <w:rFonts w:asciiTheme="majorHAnsi" w:eastAsia="SimSun" w:hAnsiTheme="majorHAnsi" w:cstheme="majorBidi"/>
        </w:rPr>
        <w:t>ță</w:t>
      </w:r>
      <w:r w:rsidRPr="00C83496">
        <w:rPr>
          <w:rFonts w:asciiTheme="majorHAnsi" w:eastAsia="SimSun" w:hAnsiTheme="majorHAnsi" w:cstheme="majorBidi"/>
        </w:rPr>
        <w:t>,</w:t>
      </w:r>
      <w:r>
        <w:rPr>
          <w:rFonts w:asciiTheme="majorHAnsi" w:eastAsia="SimSun" w:hAnsiTheme="majorHAnsi" w:cstheme="majorBidi"/>
        </w:rPr>
        <w:t xml:space="preserve"> </w:t>
      </w:r>
      <w:r w:rsidRPr="00C83496">
        <w:rPr>
          <w:rFonts w:asciiTheme="majorHAnsi" w:eastAsia="SimSun" w:hAnsiTheme="majorHAnsi" w:cstheme="majorBidi"/>
        </w:rPr>
        <w:t>faliment sau lichida</w:t>
      </w:r>
      <w:r>
        <w:rPr>
          <w:rFonts w:asciiTheme="majorHAnsi" w:eastAsia="SimSun" w:hAnsiTheme="majorHAnsi" w:cstheme="majorBidi"/>
        </w:rPr>
        <w:t>ț</w:t>
      </w:r>
      <w:r w:rsidRPr="00C83496">
        <w:rPr>
          <w:rFonts w:asciiTheme="majorHAnsi" w:eastAsia="SimSun" w:hAnsiTheme="majorHAnsi" w:cstheme="majorBidi"/>
        </w:rPr>
        <w:t>i; imposibilitatea ac</w:t>
      </w:r>
      <w:r>
        <w:rPr>
          <w:rFonts w:asciiTheme="majorHAnsi" w:eastAsia="SimSun" w:hAnsiTheme="majorHAnsi" w:cstheme="majorBidi"/>
        </w:rPr>
        <w:t>ț</w:t>
      </w:r>
      <w:r w:rsidRPr="00C83496">
        <w:rPr>
          <w:rFonts w:asciiTheme="majorHAnsi" w:eastAsia="SimSun" w:hAnsiTheme="majorHAnsi" w:cstheme="majorBidi"/>
        </w:rPr>
        <w:t>ion</w:t>
      </w:r>
      <w:r>
        <w:rPr>
          <w:rFonts w:asciiTheme="majorHAnsi" w:eastAsia="SimSun" w:hAnsiTheme="majorHAnsi" w:cstheme="majorBidi"/>
        </w:rPr>
        <w:t>ă</w:t>
      </w:r>
      <w:r w:rsidRPr="00C83496">
        <w:rPr>
          <w:rFonts w:asciiTheme="majorHAnsi" w:eastAsia="SimSun" w:hAnsiTheme="majorHAnsi" w:cstheme="majorBidi"/>
        </w:rPr>
        <w:t xml:space="preserve">rii </w:t>
      </w:r>
      <w:r>
        <w:rPr>
          <w:rFonts w:asciiTheme="majorHAnsi" w:eastAsia="SimSun" w:hAnsiTheme="majorHAnsi" w:cstheme="majorBidi"/>
        </w:rPr>
        <w:t>î</w:t>
      </w:r>
      <w:r w:rsidRPr="00C83496">
        <w:rPr>
          <w:rFonts w:asciiTheme="majorHAnsi" w:eastAsia="SimSun" w:hAnsiTheme="majorHAnsi" w:cstheme="majorBidi"/>
        </w:rPr>
        <w:t>n judecat</w:t>
      </w:r>
      <w:r>
        <w:rPr>
          <w:rFonts w:asciiTheme="majorHAnsi" w:eastAsia="SimSun" w:hAnsiTheme="majorHAnsi" w:cstheme="majorBidi"/>
        </w:rPr>
        <w:t>ă</w:t>
      </w:r>
      <w:r w:rsidRPr="00C83496">
        <w:rPr>
          <w:rFonts w:asciiTheme="majorHAnsi" w:eastAsia="SimSun" w:hAnsiTheme="majorHAnsi" w:cstheme="majorBidi"/>
        </w:rPr>
        <w:t xml:space="preserve"> pentru recuperarea clien</w:t>
      </w:r>
      <w:r>
        <w:rPr>
          <w:rFonts w:asciiTheme="majorHAnsi" w:eastAsia="SimSun" w:hAnsiTheme="majorHAnsi" w:cstheme="majorBidi"/>
        </w:rPr>
        <w:t>ț</w:t>
      </w:r>
      <w:r w:rsidRPr="00C83496">
        <w:rPr>
          <w:rFonts w:asciiTheme="majorHAnsi" w:eastAsia="SimSun" w:hAnsiTheme="majorHAnsi" w:cstheme="majorBidi"/>
        </w:rPr>
        <w:t>ilor din lips</w:t>
      </w:r>
      <w:r>
        <w:rPr>
          <w:rFonts w:asciiTheme="majorHAnsi" w:eastAsia="SimSun" w:hAnsiTheme="majorHAnsi" w:cstheme="majorBidi"/>
        </w:rPr>
        <w:t>ă</w:t>
      </w:r>
      <w:r w:rsidRPr="00C83496">
        <w:rPr>
          <w:rFonts w:asciiTheme="majorHAnsi" w:eastAsia="SimSun" w:hAnsiTheme="majorHAnsi" w:cstheme="majorBidi"/>
        </w:rPr>
        <w:t xml:space="preserve"> de resurse financiare,</w:t>
      </w:r>
      <w:r>
        <w:rPr>
          <w:rFonts w:asciiTheme="majorHAnsi" w:eastAsia="SimSun" w:hAnsiTheme="majorHAnsi" w:cstheme="majorBidi"/>
        </w:rPr>
        <w:t xml:space="preserve"> </w:t>
      </w:r>
      <w:r w:rsidRPr="00C83496">
        <w:rPr>
          <w:rFonts w:asciiTheme="majorHAnsi" w:eastAsia="SimSun" w:hAnsiTheme="majorHAnsi" w:cstheme="majorBidi"/>
        </w:rPr>
        <w:t>ulterior prescri</w:t>
      </w:r>
      <w:r>
        <w:rPr>
          <w:rFonts w:asciiTheme="majorHAnsi" w:eastAsia="SimSun" w:hAnsiTheme="majorHAnsi" w:cstheme="majorBidi"/>
        </w:rPr>
        <w:t>ș</w:t>
      </w:r>
      <w:r w:rsidRPr="00C83496">
        <w:rPr>
          <w:rFonts w:asciiTheme="majorHAnsi" w:eastAsia="SimSun" w:hAnsiTheme="majorHAnsi" w:cstheme="majorBidi"/>
        </w:rPr>
        <w:t xml:space="preserve">i, sau </w:t>
      </w:r>
      <w:r>
        <w:rPr>
          <w:rFonts w:asciiTheme="majorHAnsi" w:eastAsia="SimSun" w:hAnsiTheme="majorHAnsi" w:cstheme="majorBidi"/>
        </w:rPr>
        <w:t xml:space="preserve">din </w:t>
      </w:r>
      <w:r w:rsidRPr="00C83496">
        <w:rPr>
          <w:rFonts w:asciiTheme="majorHAnsi" w:eastAsia="SimSun" w:hAnsiTheme="majorHAnsi" w:cstheme="majorBidi"/>
        </w:rPr>
        <w:t>lips</w:t>
      </w:r>
      <w:r>
        <w:rPr>
          <w:rFonts w:asciiTheme="majorHAnsi" w:eastAsia="SimSun" w:hAnsiTheme="majorHAnsi" w:cstheme="majorBidi"/>
        </w:rPr>
        <w:t>a</w:t>
      </w:r>
      <w:r w:rsidRPr="00C83496">
        <w:rPr>
          <w:rFonts w:asciiTheme="majorHAnsi" w:eastAsia="SimSun" w:hAnsiTheme="majorHAnsi" w:cstheme="majorBidi"/>
        </w:rPr>
        <w:t xml:space="preserve"> personalului juridic de specialitate care a demisionat d</w:t>
      </w:r>
      <w:r>
        <w:rPr>
          <w:rFonts w:asciiTheme="majorHAnsi" w:eastAsia="SimSun" w:hAnsiTheme="majorHAnsi" w:cstheme="majorBidi"/>
        </w:rPr>
        <w:t>in cauza</w:t>
      </w:r>
      <w:r w:rsidRPr="00C83496">
        <w:rPr>
          <w:rFonts w:asciiTheme="majorHAnsi" w:eastAsia="SimSun" w:hAnsiTheme="majorHAnsi" w:cstheme="majorBidi"/>
        </w:rPr>
        <w:t xml:space="preserve"> salariilor ne</w:t>
      </w:r>
      <w:r>
        <w:rPr>
          <w:rFonts w:asciiTheme="majorHAnsi" w:eastAsia="SimSun" w:hAnsiTheme="majorHAnsi" w:cstheme="majorBidi"/>
        </w:rPr>
        <w:t>încasate.</w:t>
      </w:r>
    </w:p>
    <w:p w14:paraId="175B87C7" w14:textId="77777777" w:rsidR="00146159" w:rsidRDefault="00146159" w:rsidP="00146159">
      <w:pPr>
        <w:spacing w:beforeAutospacing="1" w:after="100" w:afterAutospacing="1" w:line="23" w:lineRule="atLeast"/>
        <w:jc w:val="both"/>
        <w:rPr>
          <w:rFonts w:asciiTheme="majorHAnsi" w:eastAsia="SimSun" w:hAnsiTheme="majorHAnsi" w:cstheme="majorBidi"/>
        </w:rPr>
      </w:pPr>
    </w:p>
    <w:p w14:paraId="2D749591" w14:textId="77777777" w:rsidR="008A5EBC" w:rsidRPr="00146159" w:rsidRDefault="008A5EBC" w:rsidP="00146159">
      <w:pPr>
        <w:spacing w:beforeAutospacing="1" w:after="100" w:afterAutospacing="1" w:line="23" w:lineRule="atLeast"/>
        <w:jc w:val="both"/>
        <w:rPr>
          <w:rFonts w:asciiTheme="majorHAnsi" w:eastAsia="SimSun" w:hAnsiTheme="majorHAnsi" w:cstheme="majorBidi"/>
        </w:rPr>
      </w:pPr>
    </w:p>
    <w:p w14:paraId="6C9AB5F6" w14:textId="77777777" w:rsidR="00A41C52" w:rsidRDefault="00A41C52" w:rsidP="00A41C52">
      <w:pPr>
        <w:widowControl w:val="0"/>
        <w:suppressAutoHyphens/>
        <w:autoSpaceDN w:val="0"/>
        <w:spacing w:before="0" w:beforeAutospacing="1" w:after="0" w:afterAutospacing="1" w:line="240" w:lineRule="auto"/>
        <w:textAlignment w:val="baseline"/>
        <w:rPr>
          <w:rFonts w:asciiTheme="majorHAnsi" w:eastAsia="Andale Sans UI" w:hAnsiTheme="majorHAnsi" w:cs="Times New Roman"/>
          <w:b/>
          <w:bCs/>
          <w:color w:val="0F6FC6" w:themeColor="accent1"/>
          <w:kern w:val="3"/>
        </w:rPr>
      </w:pPr>
      <w:r w:rsidRPr="00A41C52">
        <w:rPr>
          <w:rFonts w:asciiTheme="majorHAnsi" w:eastAsia="Andale Sans UI" w:hAnsiTheme="majorHAnsi" w:cs="Times New Roman"/>
          <w:b/>
          <w:bCs/>
          <w:color w:val="0F6FC6" w:themeColor="accent1"/>
          <w:kern w:val="3"/>
        </w:rPr>
        <w:t>Măsuri pentru</w:t>
      </w:r>
      <w:r w:rsidRPr="00A41C52">
        <w:rPr>
          <w:noProof/>
          <w:color w:val="0F6FC6" w:themeColor="accent1"/>
          <w:lang w:eastAsia="ro-RO"/>
        </w:rPr>
        <w:t xml:space="preserve"> </w:t>
      </w:r>
      <w:r w:rsidRPr="00A41C52">
        <w:rPr>
          <w:rFonts w:asciiTheme="majorHAnsi" w:eastAsia="Andale Sans UI" w:hAnsiTheme="majorHAnsi" w:cs="Times New Roman"/>
          <w:b/>
          <w:bCs/>
          <w:color w:val="0F6FC6" w:themeColor="accent1"/>
          <w:kern w:val="3"/>
        </w:rPr>
        <w:t>reducerea plăților restante</w:t>
      </w:r>
      <w:r w:rsidRPr="00A41C52">
        <w:rPr>
          <w:noProof/>
          <w:color w:val="0F6FC6" w:themeColor="accent1"/>
          <w:lang w:eastAsia="ro-RO"/>
        </w:rPr>
        <w:t xml:space="preserve"> </w:t>
      </w:r>
      <w:r w:rsidRPr="00A41C52">
        <w:rPr>
          <w:rFonts w:asciiTheme="majorHAnsi" w:eastAsia="Andale Sans UI" w:hAnsiTheme="majorHAnsi" w:cs="Times New Roman"/>
          <w:b/>
          <w:bCs/>
          <w:color w:val="0F6FC6" w:themeColor="accent1"/>
          <w:kern w:val="3"/>
        </w:rPr>
        <w:t xml:space="preserve"> </w:t>
      </w:r>
    </w:p>
    <w:p w14:paraId="064399DA" w14:textId="77777777" w:rsidR="00A41C52" w:rsidRDefault="00A41C52" w:rsidP="00A41C52">
      <w:pPr>
        <w:widowControl w:val="0"/>
        <w:suppressAutoHyphens/>
        <w:autoSpaceDN w:val="0"/>
        <w:spacing w:before="0" w:after="0"/>
        <w:jc w:val="both"/>
        <w:textAlignment w:val="baseline"/>
        <w:rPr>
          <w:rFonts w:asciiTheme="majorHAnsi" w:hAnsiTheme="majorHAnsi" w:cs="Helv"/>
          <w:iCs/>
          <w:lang w:val="en-US"/>
        </w:rPr>
      </w:pPr>
      <w:r w:rsidRPr="00C83496">
        <w:rPr>
          <w:rFonts w:asciiTheme="majorHAnsi" w:eastAsia="Andale Sans UI" w:hAnsiTheme="majorHAnsi" w:cs="Times New Roman"/>
          <w:kern w:val="3"/>
        </w:rPr>
        <w:t>P</w:t>
      </w:r>
      <w:r w:rsidRPr="00C83496">
        <w:rPr>
          <w:rFonts w:asciiTheme="majorHAnsi" w:hAnsiTheme="majorHAnsi" w:cs="Helv"/>
          <w:iCs/>
        </w:rPr>
        <w:t>rintre măsurile de reducere a plăților restante, aplicate de întreprinderile publice pentru anul 2020, se află</w:t>
      </w:r>
      <w:r w:rsidR="00887CB0">
        <w:rPr>
          <w:rFonts w:asciiTheme="majorHAnsi" w:hAnsiTheme="majorHAnsi" w:cs="Helv"/>
          <w:iCs/>
          <w:lang w:val="en-US"/>
        </w:rPr>
        <w:t>:</w:t>
      </w:r>
    </w:p>
    <w:p w14:paraId="6A7200DB"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C04F6D">
        <w:rPr>
          <w:rFonts w:asciiTheme="majorHAnsi" w:hAnsiTheme="majorHAnsi" w:cs="Helv"/>
          <w:iCs/>
        </w:rPr>
        <w:t>eșalonarea la plată;</w:t>
      </w:r>
    </w:p>
    <w:p w14:paraId="3297C865"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darea în plată;</w:t>
      </w:r>
    </w:p>
    <w:p w14:paraId="03EFA7AE"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restructurarea creditului cu termen scadent depășit;</w:t>
      </w:r>
    </w:p>
    <w:p w14:paraId="1C0081A6"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 xml:space="preserve">inițierea unui Memorandum pentru </w:t>
      </w:r>
      <w:r w:rsidRPr="00176625">
        <w:rPr>
          <w:rFonts w:asciiTheme="majorHAnsi" w:hAnsiTheme="majorHAnsi" w:cs="Helv"/>
          <w:iCs/>
        </w:rPr>
        <w:t>acordarea unui ajutor de stat, pentru compensarea pierderilor suferite ca urmare a pandemiei COVID</w:t>
      </w:r>
      <w:r>
        <w:rPr>
          <w:rFonts w:asciiTheme="majorHAnsi" w:hAnsiTheme="majorHAnsi" w:cs="Helv"/>
          <w:iCs/>
        </w:rPr>
        <w:t xml:space="preserve"> </w:t>
      </w:r>
      <w:r w:rsidRPr="00176625">
        <w:rPr>
          <w:rFonts w:asciiTheme="majorHAnsi" w:hAnsiTheme="majorHAnsi" w:cs="Helv"/>
          <w:iCs/>
        </w:rPr>
        <w:t>19</w:t>
      </w:r>
      <w:r>
        <w:rPr>
          <w:rFonts w:asciiTheme="majorHAnsi" w:hAnsiTheme="majorHAnsi" w:cs="Helv"/>
          <w:iCs/>
        </w:rPr>
        <w:t>;</w:t>
      </w:r>
    </w:p>
    <w:p w14:paraId="5A7A8310"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s</w:t>
      </w:r>
      <w:r w:rsidRPr="00A67B82">
        <w:rPr>
          <w:rFonts w:asciiTheme="majorHAnsi" w:hAnsiTheme="majorHAnsi" w:cs="Helv"/>
          <w:iCs/>
        </w:rPr>
        <w:t xml:space="preserve">uspendarea contractelor </w:t>
      </w:r>
      <w:r w:rsidRPr="007250C3">
        <w:rPr>
          <w:rFonts w:asciiTheme="majorHAnsi" w:hAnsiTheme="majorHAnsi" w:cs="Helv"/>
          <w:iCs/>
        </w:rPr>
        <w:t>individuale de muncă (șomaj tehnic) în contextul situației epidemiologice determinate de răspândirea COVID 19;</w:t>
      </w:r>
    </w:p>
    <w:p w14:paraId="2902DAC6" w14:textId="77777777" w:rsidR="00A41C52" w:rsidRPr="00C04F6D"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B10563">
        <w:rPr>
          <w:rFonts w:asciiTheme="majorHAnsi" w:hAnsiTheme="majorHAnsi" w:cs="Helv"/>
          <w:iCs/>
        </w:rPr>
        <w:t>reducerea programului de lucru, cu reducerea corespunzătoare a salariului</w:t>
      </w:r>
      <w:r>
        <w:rPr>
          <w:rFonts w:asciiTheme="majorHAnsi" w:hAnsiTheme="majorHAnsi" w:cs="Helv"/>
          <w:iCs/>
        </w:rPr>
        <w:t>;</w:t>
      </w:r>
    </w:p>
    <w:p w14:paraId="6D8FAF39" w14:textId="77777777" w:rsidR="00A41C52" w:rsidRPr="004C4B10"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5426A1">
        <w:rPr>
          <w:rFonts w:asciiTheme="majorHAnsi" w:hAnsiTheme="majorHAnsi" w:cs="Helv"/>
          <w:iCs/>
        </w:rPr>
        <w:t>conversia plăților restante în acțiuni</w:t>
      </w:r>
      <w:r w:rsidRPr="005426A1">
        <w:rPr>
          <w:rFonts w:asciiTheme="majorHAnsi" w:hAnsiTheme="majorHAnsi" w:cs="Helv"/>
        </w:rPr>
        <w:t xml:space="preserve">; </w:t>
      </w:r>
    </w:p>
    <w:p w14:paraId="3C4220FB"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4C4B10">
        <w:rPr>
          <w:rFonts w:asciiTheme="majorHAnsi" w:hAnsiTheme="majorHAnsi" w:cs="Helv"/>
          <w:iCs/>
        </w:rPr>
        <w:t>am</w:t>
      </w:r>
      <w:r>
        <w:rPr>
          <w:rFonts w:asciiTheme="majorHAnsi" w:hAnsiTheme="majorHAnsi" w:cs="Helv"/>
          <w:iCs/>
        </w:rPr>
        <w:t>â</w:t>
      </w:r>
      <w:r w:rsidRPr="004C4B10">
        <w:rPr>
          <w:rFonts w:asciiTheme="majorHAnsi" w:hAnsiTheme="majorHAnsi" w:cs="Helv"/>
          <w:iCs/>
        </w:rPr>
        <w:t>narea la plat</w:t>
      </w:r>
      <w:r>
        <w:rPr>
          <w:rFonts w:asciiTheme="majorHAnsi" w:hAnsiTheme="majorHAnsi" w:cs="Helv"/>
          <w:iCs/>
        </w:rPr>
        <w:t>ă</w:t>
      </w:r>
      <w:r w:rsidRPr="004C4B10">
        <w:rPr>
          <w:rFonts w:asciiTheme="majorHAnsi" w:hAnsiTheme="majorHAnsi" w:cs="Helv"/>
          <w:iCs/>
        </w:rPr>
        <w:t xml:space="preserve"> a dob</w:t>
      </w:r>
      <w:r>
        <w:rPr>
          <w:rFonts w:asciiTheme="majorHAnsi" w:hAnsiTheme="majorHAnsi" w:cs="Helv"/>
          <w:iCs/>
        </w:rPr>
        <w:t>â</w:t>
      </w:r>
      <w:r w:rsidRPr="004C4B10">
        <w:rPr>
          <w:rFonts w:asciiTheme="majorHAnsi" w:hAnsiTheme="majorHAnsi" w:cs="Helv"/>
          <w:iCs/>
        </w:rPr>
        <w:t>nzilor, penalit</w:t>
      </w:r>
      <w:r>
        <w:rPr>
          <w:rFonts w:asciiTheme="majorHAnsi" w:hAnsiTheme="majorHAnsi" w:cs="Helv"/>
          <w:iCs/>
        </w:rPr>
        <w:t>ăț</w:t>
      </w:r>
      <w:r w:rsidRPr="004C4B10">
        <w:rPr>
          <w:rFonts w:asciiTheme="majorHAnsi" w:hAnsiTheme="majorHAnsi" w:cs="Helv"/>
          <w:iCs/>
        </w:rPr>
        <w:t xml:space="preserve">ilor </w:t>
      </w:r>
      <w:r>
        <w:rPr>
          <w:rFonts w:asciiTheme="majorHAnsi" w:hAnsiTheme="majorHAnsi" w:cs="Helv"/>
          <w:iCs/>
        </w:rPr>
        <w:t>ș</w:t>
      </w:r>
      <w:r w:rsidRPr="004C4B10">
        <w:rPr>
          <w:rFonts w:asciiTheme="majorHAnsi" w:hAnsiTheme="majorHAnsi" w:cs="Helv"/>
          <w:iCs/>
        </w:rPr>
        <w:t>i a tuturor accesoriilor aferente obliga</w:t>
      </w:r>
      <w:r>
        <w:rPr>
          <w:rFonts w:asciiTheme="majorHAnsi" w:hAnsiTheme="majorHAnsi" w:cs="Helv"/>
          <w:iCs/>
        </w:rPr>
        <w:t>ț</w:t>
      </w:r>
      <w:r w:rsidRPr="004C4B10">
        <w:rPr>
          <w:rFonts w:asciiTheme="majorHAnsi" w:hAnsiTheme="majorHAnsi" w:cs="Helv"/>
          <w:iCs/>
        </w:rPr>
        <w:t>iilor bugetare principale care constituie obiect al restructur</w:t>
      </w:r>
      <w:r>
        <w:rPr>
          <w:rFonts w:asciiTheme="majorHAnsi" w:hAnsiTheme="majorHAnsi" w:cs="Helv"/>
          <w:iCs/>
        </w:rPr>
        <w:t>ă</w:t>
      </w:r>
      <w:r w:rsidRPr="004C4B10">
        <w:rPr>
          <w:rFonts w:asciiTheme="majorHAnsi" w:hAnsiTheme="majorHAnsi" w:cs="Helv"/>
          <w:iCs/>
        </w:rPr>
        <w:t>rii</w:t>
      </w:r>
      <w:r>
        <w:rPr>
          <w:rFonts w:asciiTheme="majorHAnsi" w:hAnsiTheme="majorHAnsi" w:cs="Helv"/>
          <w:iCs/>
        </w:rPr>
        <w:t>;</w:t>
      </w:r>
    </w:p>
    <w:p w14:paraId="4FF82003"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întocmirea unui Bussines Plan 2020-2029;</w:t>
      </w:r>
    </w:p>
    <w:p w14:paraId="7CF10354"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42308B">
        <w:rPr>
          <w:rFonts w:asciiTheme="majorHAnsi" w:hAnsiTheme="majorHAnsi" w:cs="Helv"/>
          <w:iCs/>
        </w:rPr>
        <w:t>ajutoarele de stat pentru salvarea şi restructurarea întreprinderilor</w:t>
      </w:r>
      <w:r>
        <w:rPr>
          <w:rFonts w:asciiTheme="majorHAnsi" w:hAnsiTheme="majorHAnsi" w:cs="Helv"/>
          <w:iCs/>
        </w:rPr>
        <w:t>;</w:t>
      </w:r>
    </w:p>
    <w:p w14:paraId="4519B177"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creșterea progresivă a programului de producție;</w:t>
      </w:r>
    </w:p>
    <w:p w14:paraId="05B9F721"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Pr>
          <w:rFonts w:asciiTheme="majorHAnsi" w:hAnsiTheme="majorHAnsi" w:cs="Helv"/>
          <w:iCs/>
        </w:rPr>
        <w:t>reducerea consumului energetic prin contorizarea și urmărirea strictă a consumului de curent electric, gaz și apă;</w:t>
      </w:r>
    </w:p>
    <w:p w14:paraId="4A4A58BF" w14:textId="77777777" w:rsidR="00A41C52" w:rsidRPr="00C83496"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C83496">
        <w:rPr>
          <w:rFonts w:asciiTheme="majorHAnsi" w:hAnsiTheme="majorHAnsi" w:cs="Helv"/>
          <w:iCs/>
        </w:rPr>
        <w:t>reduceri de personal prin restructur</w:t>
      </w:r>
      <w:r>
        <w:rPr>
          <w:rFonts w:asciiTheme="majorHAnsi" w:hAnsiTheme="majorHAnsi" w:cs="Helv"/>
          <w:iCs/>
        </w:rPr>
        <w:t>ă</w:t>
      </w:r>
      <w:r w:rsidRPr="00C83496">
        <w:rPr>
          <w:rFonts w:asciiTheme="majorHAnsi" w:hAnsiTheme="majorHAnsi" w:cs="Helv"/>
          <w:iCs/>
        </w:rPr>
        <w:t>ri,</w:t>
      </w:r>
      <w:r>
        <w:rPr>
          <w:rFonts w:asciiTheme="majorHAnsi" w:hAnsiTheme="majorHAnsi" w:cs="Helv"/>
          <w:iCs/>
        </w:rPr>
        <w:t xml:space="preserve"> </w:t>
      </w:r>
      <w:r w:rsidRPr="00C83496">
        <w:rPr>
          <w:rFonts w:asciiTheme="majorHAnsi" w:hAnsiTheme="majorHAnsi" w:cs="Helv"/>
          <w:iCs/>
        </w:rPr>
        <w:t>concedieri,</w:t>
      </w:r>
      <w:r>
        <w:rPr>
          <w:rFonts w:asciiTheme="majorHAnsi" w:hAnsiTheme="majorHAnsi" w:cs="Helv"/>
          <w:iCs/>
        </w:rPr>
        <w:t xml:space="preserve"> </w:t>
      </w:r>
      <w:r w:rsidRPr="00C83496">
        <w:rPr>
          <w:rFonts w:asciiTheme="majorHAnsi" w:hAnsiTheme="majorHAnsi" w:cs="Helv"/>
          <w:iCs/>
        </w:rPr>
        <w:t>pension</w:t>
      </w:r>
      <w:r>
        <w:rPr>
          <w:rFonts w:asciiTheme="majorHAnsi" w:hAnsiTheme="majorHAnsi" w:cs="Helv"/>
          <w:iCs/>
        </w:rPr>
        <w:t>ă</w:t>
      </w:r>
      <w:r w:rsidRPr="00C83496">
        <w:rPr>
          <w:rFonts w:asciiTheme="majorHAnsi" w:hAnsiTheme="majorHAnsi" w:cs="Helv"/>
          <w:iCs/>
        </w:rPr>
        <w:t>ri anticipate;</w:t>
      </w:r>
    </w:p>
    <w:p w14:paraId="213B743A" w14:textId="77777777" w:rsidR="00A41C52" w:rsidRPr="00C83496" w:rsidRDefault="00A41C52" w:rsidP="00F26763">
      <w:pPr>
        <w:pStyle w:val="ListParagraph"/>
        <w:numPr>
          <w:ilvl w:val="0"/>
          <w:numId w:val="20"/>
        </w:numPr>
        <w:spacing w:after="0"/>
        <w:ind w:left="270" w:hanging="270"/>
        <w:rPr>
          <w:rFonts w:asciiTheme="majorHAnsi" w:hAnsiTheme="majorHAnsi" w:cs="Helv"/>
          <w:iCs/>
        </w:rPr>
      </w:pPr>
      <w:r w:rsidRPr="00C83496">
        <w:rPr>
          <w:rFonts w:asciiTheme="majorHAnsi" w:hAnsiTheme="majorHAnsi" w:cs="Helv"/>
          <w:iCs/>
        </w:rPr>
        <w:t>acordarea concediilor f</w:t>
      </w:r>
      <w:r>
        <w:rPr>
          <w:rFonts w:asciiTheme="majorHAnsi" w:hAnsiTheme="majorHAnsi" w:cs="Helv"/>
          <w:iCs/>
        </w:rPr>
        <w:t>ă</w:t>
      </w:r>
      <w:r w:rsidRPr="00C83496">
        <w:rPr>
          <w:rFonts w:asciiTheme="majorHAnsi" w:hAnsiTheme="majorHAnsi" w:cs="Helv"/>
          <w:iCs/>
        </w:rPr>
        <w:t>r</w:t>
      </w:r>
      <w:r>
        <w:rPr>
          <w:rFonts w:asciiTheme="majorHAnsi" w:hAnsiTheme="majorHAnsi" w:cs="Helv"/>
          <w:iCs/>
        </w:rPr>
        <w:t>ă</w:t>
      </w:r>
      <w:r w:rsidRPr="00C83496">
        <w:rPr>
          <w:rFonts w:asciiTheme="majorHAnsi" w:hAnsiTheme="majorHAnsi" w:cs="Helv"/>
          <w:iCs/>
        </w:rPr>
        <w:t xml:space="preserve"> plat</w:t>
      </w:r>
      <w:r>
        <w:rPr>
          <w:rFonts w:asciiTheme="majorHAnsi" w:hAnsiTheme="majorHAnsi" w:cs="Helv"/>
          <w:iCs/>
        </w:rPr>
        <w:t>ă</w:t>
      </w:r>
      <w:r w:rsidRPr="00C83496">
        <w:rPr>
          <w:rFonts w:asciiTheme="majorHAnsi" w:hAnsiTheme="majorHAnsi" w:cs="Helv"/>
          <w:iCs/>
        </w:rPr>
        <w:t xml:space="preserve"> conform CCMU;</w:t>
      </w:r>
    </w:p>
    <w:p w14:paraId="00E68A93" w14:textId="77777777" w:rsidR="00A41C52" w:rsidRPr="00C83496"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C83496">
        <w:rPr>
          <w:rFonts w:asciiTheme="majorHAnsi" w:hAnsiTheme="majorHAnsi" w:cs="Helv"/>
          <w:iCs/>
        </w:rPr>
        <w:t>eliminarea tuturor sporurilor prev</w:t>
      </w:r>
      <w:r>
        <w:rPr>
          <w:rFonts w:asciiTheme="majorHAnsi" w:hAnsiTheme="majorHAnsi" w:cs="Helv"/>
          <w:iCs/>
        </w:rPr>
        <w:t>ă</w:t>
      </w:r>
      <w:r w:rsidRPr="00C83496">
        <w:rPr>
          <w:rFonts w:asciiTheme="majorHAnsi" w:hAnsiTheme="majorHAnsi" w:cs="Helv"/>
          <w:iCs/>
        </w:rPr>
        <w:t xml:space="preserve">zute </w:t>
      </w:r>
      <w:r>
        <w:rPr>
          <w:rFonts w:asciiTheme="majorHAnsi" w:hAnsiTheme="majorHAnsi" w:cs="Helv"/>
          <w:iCs/>
        </w:rPr>
        <w:t>î</w:t>
      </w:r>
      <w:r w:rsidRPr="00C83496">
        <w:rPr>
          <w:rFonts w:asciiTheme="majorHAnsi" w:hAnsiTheme="majorHAnsi" w:cs="Helv"/>
          <w:iCs/>
        </w:rPr>
        <w:t>n CCMU,cu excep</w:t>
      </w:r>
      <w:r>
        <w:rPr>
          <w:rFonts w:asciiTheme="majorHAnsi" w:hAnsiTheme="majorHAnsi" w:cs="Helv"/>
          <w:iCs/>
        </w:rPr>
        <w:t>ț</w:t>
      </w:r>
      <w:r w:rsidRPr="00C83496">
        <w:rPr>
          <w:rFonts w:asciiTheme="majorHAnsi" w:hAnsiTheme="majorHAnsi" w:cs="Helv"/>
          <w:iCs/>
        </w:rPr>
        <w:t xml:space="preserve">ia sporului de vechime </w:t>
      </w:r>
      <w:r>
        <w:rPr>
          <w:rFonts w:asciiTheme="majorHAnsi" w:hAnsiTheme="majorHAnsi" w:cs="Helv"/>
          <w:iCs/>
        </w:rPr>
        <w:t>ș</w:t>
      </w:r>
      <w:r w:rsidRPr="00C83496">
        <w:rPr>
          <w:rFonts w:asciiTheme="majorHAnsi" w:hAnsiTheme="majorHAnsi" w:cs="Helv"/>
          <w:iCs/>
        </w:rPr>
        <w:t>i a sporului de noapte;</w:t>
      </w:r>
    </w:p>
    <w:p w14:paraId="275ED10B" w14:textId="77777777" w:rsidR="00A41C52"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C83496">
        <w:rPr>
          <w:rFonts w:asciiTheme="majorHAnsi" w:hAnsiTheme="majorHAnsi" w:cs="Helv"/>
          <w:iCs/>
        </w:rPr>
        <w:t xml:space="preserve">suspendarea sporului de doctorat pentru perioada </w:t>
      </w:r>
      <w:r>
        <w:rPr>
          <w:rFonts w:asciiTheme="majorHAnsi" w:hAnsiTheme="majorHAnsi" w:cs="Helv"/>
          <w:iCs/>
        </w:rPr>
        <w:t>î</w:t>
      </w:r>
      <w:r w:rsidRPr="00C83496">
        <w:rPr>
          <w:rFonts w:asciiTheme="majorHAnsi" w:hAnsiTheme="majorHAnsi" w:cs="Helv"/>
          <w:iCs/>
        </w:rPr>
        <w:t>n care nu exist</w:t>
      </w:r>
      <w:r>
        <w:rPr>
          <w:rFonts w:asciiTheme="majorHAnsi" w:hAnsiTheme="majorHAnsi" w:cs="Helv"/>
          <w:iCs/>
        </w:rPr>
        <w:t>ă</w:t>
      </w:r>
      <w:r w:rsidRPr="00C83496">
        <w:rPr>
          <w:rFonts w:asciiTheme="majorHAnsi" w:hAnsiTheme="majorHAnsi" w:cs="Helv"/>
          <w:iCs/>
        </w:rPr>
        <w:t xml:space="preserve"> teme sau proiecte de cercetare </w:t>
      </w:r>
      <w:r>
        <w:rPr>
          <w:rFonts w:asciiTheme="majorHAnsi" w:hAnsiTheme="majorHAnsi" w:cs="Helv"/>
          <w:iCs/>
        </w:rPr>
        <w:t>î</w:t>
      </w:r>
      <w:r w:rsidRPr="00C83496">
        <w:rPr>
          <w:rFonts w:asciiTheme="majorHAnsi" w:hAnsiTheme="majorHAnsi" w:cs="Helv"/>
          <w:iCs/>
        </w:rPr>
        <w:t>n derulare;</w:t>
      </w:r>
    </w:p>
    <w:p w14:paraId="7B8649D7" w14:textId="77777777" w:rsidR="00A41C52" w:rsidRPr="00FA463A"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FA463A">
        <w:rPr>
          <w:rFonts w:asciiTheme="majorHAnsi" w:hAnsiTheme="majorHAnsi" w:cs="Helv"/>
        </w:rPr>
        <w:t>valorificarea prin vânzare a activelor;</w:t>
      </w:r>
    </w:p>
    <w:p w14:paraId="69CBC74F" w14:textId="77777777" w:rsidR="00A41C52" w:rsidRPr="00C83496" w:rsidRDefault="00A41C52" w:rsidP="00F26763">
      <w:pPr>
        <w:pStyle w:val="ListParagraph"/>
        <w:widowControl w:val="0"/>
        <w:numPr>
          <w:ilvl w:val="0"/>
          <w:numId w:val="20"/>
        </w:numPr>
        <w:suppressAutoHyphens/>
        <w:autoSpaceDN w:val="0"/>
        <w:spacing w:before="0" w:after="0" w:line="240" w:lineRule="auto"/>
        <w:ind w:left="270" w:hanging="270"/>
        <w:jc w:val="both"/>
        <w:textAlignment w:val="baseline"/>
        <w:rPr>
          <w:rFonts w:asciiTheme="majorHAnsi" w:hAnsiTheme="majorHAnsi" w:cs="Helv"/>
          <w:iCs/>
        </w:rPr>
      </w:pPr>
      <w:r w:rsidRPr="00C83496">
        <w:rPr>
          <w:rFonts w:asciiTheme="majorHAnsi" w:hAnsiTheme="majorHAnsi" w:cs="Helv"/>
        </w:rPr>
        <w:t>închirirerea spațiilor de</w:t>
      </w:r>
      <w:r>
        <w:rPr>
          <w:rFonts w:asciiTheme="majorHAnsi" w:hAnsiTheme="majorHAnsi" w:cs="Helv"/>
        </w:rPr>
        <w:t xml:space="preserve"> producție devenite excedentare.</w:t>
      </w:r>
    </w:p>
    <w:p w14:paraId="49AA1038" w14:textId="77777777" w:rsidR="00887CB0" w:rsidRPr="00D95C57" w:rsidRDefault="00887CB0" w:rsidP="00F062E9">
      <w:pPr>
        <w:spacing w:before="0" w:after="0"/>
        <w:jc w:val="both"/>
        <w:rPr>
          <w:rFonts w:asciiTheme="majorHAnsi" w:hAnsiTheme="majorHAnsi"/>
        </w:rPr>
      </w:pPr>
    </w:p>
    <w:p w14:paraId="1C3D0B1D" w14:textId="77777777" w:rsidR="00B355B2" w:rsidRDefault="00B355B2" w:rsidP="00B355B2">
      <w:pPr>
        <w:widowControl w:val="0"/>
        <w:suppressAutoHyphens/>
        <w:autoSpaceDN w:val="0"/>
        <w:spacing w:before="0" w:after="0"/>
        <w:jc w:val="both"/>
        <w:textAlignment w:val="baseline"/>
        <w:rPr>
          <w:rFonts w:asciiTheme="majorHAnsi" w:eastAsia="Andale Sans UI" w:hAnsiTheme="majorHAnsi" w:cs="Times New Roman"/>
          <w:kern w:val="3"/>
        </w:rPr>
      </w:pPr>
    </w:p>
    <w:p w14:paraId="6CE0180C" w14:textId="77777777" w:rsidR="008A5EBC" w:rsidRDefault="008A5EBC" w:rsidP="00B355B2">
      <w:pPr>
        <w:widowControl w:val="0"/>
        <w:suppressAutoHyphens/>
        <w:autoSpaceDN w:val="0"/>
        <w:spacing w:before="0" w:after="0"/>
        <w:jc w:val="both"/>
        <w:textAlignment w:val="baseline"/>
        <w:rPr>
          <w:rFonts w:asciiTheme="majorHAnsi" w:eastAsia="Andale Sans UI" w:hAnsiTheme="majorHAnsi" w:cs="Times New Roman"/>
          <w:kern w:val="3"/>
        </w:rPr>
      </w:pPr>
    </w:p>
    <w:p w14:paraId="6C076D42" w14:textId="77777777" w:rsidR="008A5EBC" w:rsidRPr="00D95C57" w:rsidRDefault="008A5EBC" w:rsidP="00B355B2">
      <w:pPr>
        <w:widowControl w:val="0"/>
        <w:suppressAutoHyphens/>
        <w:autoSpaceDN w:val="0"/>
        <w:spacing w:before="0" w:after="0"/>
        <w:jc w:val="both"/>
        <w:textAlignment w:val="baseline"/>
        <w:rPr>
          <w:rFonts w:asciiTheme="majorHAnsi" w:eastAsia="Andale Sans UI" w:hAnsiTheme="majorHAnsi" w:cs="Times New Roman"/>
          <w:kern w:val="3"/>
        </w:rPr>
      </w:pPr>
    </w:p>
    <w:p w14:paraId="73F76234" w14:textId="77777777" w:rsidR="00F1374E" w:rsidRPr="003E65A5" w:rsidRDefault="004F0014" w:rsidP="00B218E5">
      <w:pPr>
        <w:pStyle w:val="ListParagraph"/>
        <w:ind w:left="0"/>
        <w:jc w:val="both"/>
        <w:outlineLvl w:val="2"/>
        <w:rPr>
          <w:rFonts w:asciiTheme="majorHAnsi" w:hAnsiTheme="majorHAnsi"/>
          <w:b/>
          <w:bCs/>
          <w:color w:val="0F6FC6" w:themeColor="accent1"/>
          <w:sz w:val="28"/>
          <w:szCs w:val="28"/>
        </w:rPr>
      </w:pPr>
      <w:bookmarkStart w:id="50" w:name="_Toc490763524"/>
      <w:bookmarkStart w:id="51" w:name="_Toc490763705"/>
      <w:bookmarkStart w:id="52" w:name="_Toc490763873"/>
      <w:bookmarkStart w:id="53" w:name="_Toc87875950"/>
      <w:r>
        <w:rPr>
          <w:rFonts w:asciiTheme="majorHAnsi" w:hAnsiTheme="majorHAnsi"/>
          <w:b/>
          <w:bCs/>
          <w:color w:val="0F6FC6" w:themeColor="accent1"/>
          <w:sz w:val="28"/>
          <w:szCs w:val="28"/>
        </w:rPr>
        <w:t>3</w:t>
      </w:r>
      <w:r w:rsidR="00077F3B" w:rsidRPr="003E65A5">
        <w:rPr>
          <w:rFonts w:asciiTheme="majorHAnsi" w:hAnsiTheme="majorHAnsi"/>
          <w:b/>
          <w:bCs/>
          <w:color w:val="0F6FC6" w:themeColor="accent1"/>
          <w:sz w:val="28"/>
          <w:szCs w:val="28"/>
        </w:rPr>
        <w:t>.4 – Evoluția p</w:t>
      </w:r>
      <w:r w:rsidR="00F1374E" w:rsidRPr="003E65A5">
        <w:rPr>
          <w:rFonts w:asciiTheme="majorHAnsi" w:hAnsiTheme="majorHAnsi"/>
          <w:b/>
          <w:bCs/>
          <w:color w:val="0F6FC6" w:themeColor="accent1"/>
          <w:sz w:val="28"/>
          <w:szCs w:val="28"/>
        </w:rPr>
        <w:t>ersonal</w:t>
      </w:r>
      <w:r w:rsidR="00077F3B" w:rsidRPr="003E65A5">
        <w:rPr>
          <w:rFonts w:asciiTheme="majorHAnsi" w:hAnsiTheme="majorHAnsi"/>
          <w:b/>
          <w:bCs/>
          <w:color w:val="0F6FC6" w:themeColor="accent1"/>
          <w:sz w:val="28"/>
          <w:szCs w:val="28"/>
        </w:rPr>
        <w:t xml:space="preserve">ului </w:t>
      </w:r>
      <w:r w:rsidR="00F1374E" w:rsidRPr="003E65A5">
        <w:rPr>
          <w:rFonts w:asciiTheme="majorHAnsi" w:hAnsiTheme="majorHAnsi"/>
          <w:b/>
          <w:bCs/>
          <w:color w:val="0F6FC6" w:themeColor="accent1"/>
          <w:sz w:val="28"/>
          <w:szCs w:val="28"/>
        </w:rPr>
        <w:t xml:space="preserve">și </w:t>
      </w:r>
      <w:r w:rsidR="00077F3B" w:rsidRPr="003E65A5">
        <w:rPr>
          <w:rFonts w:asciiTheme="majorHAnsi" w:hAnsiTheme="majorHAnsi"/>
          <w:b/>
          <w:bCs/>
          <w:color w:val="0F6FC6" w:themeColor="accent1"/>
          <w:sz w:val="28"/>
          <w:szCs w:val="28"/>
        </w:rPr>
        <w:t xml:space="preserve">a </w:t>
      </w:r>
      <w:r w:rsidR="00F1374E" w:rsidRPr="003E65A5">
        <w:rPr>
          <w:rFonts w:asciiTheme="majorHAnsi" w:hAnsiTheme="majorHAnsi"/>
          <w:b/>
          <w:bCs/>
          <w:color w:val="0F6FC6" w:themeColor="accent1"/>
          <w:sz w:val="28"/>
          <w:szCs w:val="28"/>
        </w:rPr>
        <w:t>cheltuieli</w:t>
      </w:r>
      <w:r w:rsidR="00077F3B" w:rsidRPr="003E65A5">
        <w:rPr>
          <w:rFonts w:asciiTheme="majorHAnsi" w:hAnsiTheme="majorHAnsi"/>
          <w:b/>
          <w:bCs/>
          <w:color w:val="0F6FC6" w:themeColor="accent1"/>
          <w:sz w:val="28"/>
          <w:szCs w:val="28"/>
        </w:rPr>
        <w:t>lor cu personalul</w:t>
      </w:r>
      <w:r w:rsidR="002B4C7D" w:rsidRPr="003E65A5">
        <w:rPr>
          <w:rFonts w:asciiTheme="majorHAnsi" w:hAnsiTheme="majorHAnsi"/>
          <w:b/>
          <w:bCs/>
          <w:color w:val="0F6FC6" w:themeColor="accent1"/>
          <w:sz w:val="28"/>
          <w:szCs w:val="28"/>
        </w:rPr>
        <w:t xml:space="preserve"> la </w:t>
      </w:r>
      <w:bookmarkEnd w:id="50"/>
      <w:bookmarkEnd w:id="51"/>
      <w:bookmarkEnd w:id="52"/>
      <w:r w:rsidR="00B218E5" w:rsidRPr="003E65A5">
        <w:rPr>
          <w:rFonts w:asciiTheme="majorHAnsi" w:hAnsiTheme="majorHAnsi"/>
          <w:b/>
          <w:bCs/>
          <w:color w:val="0F6FC6" w:themeColor="accent1"/>
          <w:sz w:val="28"/>
          <w:szCs w:val="28"/>
        </w:rPr>
        <w:t xml:space="preserve">întreprinderile </w:t>
      </w:r>
      <w:r w:rsidR="00110AFD" w:rsidRPr="003E65A5">
        <w:rPr>
          <w:rFonts w:asciiTheme="majorHAnsi" w:hAnsiTheme="majorHAnsi"/>
          <w:b/>
          <w:bCs/>
          <w:color w:val="0F6FC6" w:themeColor="accent1"/>
          <w:sz w:val="28"/>
          <w:szCs w:val="28"/>
        </w:rPr>
        <w:t>publice centrale</w:t>
      </w:r>
      <w:bookmarkEnd w:id="53"/>
    </w:p>
    <w:p w14:paraId="747F4E03" w14:textId="77777777" w:rsidR="00BC149D" w:rsidRDefault="00BC149D" w:rsidP="00C21395">
      <w:pPr>
        <w:pStyle w:val="ListParagraph"/>
        <w:ind w:left="0"/>
        <w:jc w:val="both"/>
        <w:rPr>
          <w:rFonts w:asciiTheme="majorHAnsi" w:hAnsiTheme="majorHAnsi"/>
        </w:rPr>
      </w:pPr>
    </w:p>
    <w:p w14:paraId="52E0C34C" w14:textId="77777777" w:rsidR="00887CB0" w:rsidRDefault="00887CB0" w:rsidP="00C21395">
      <w:pPr>
        <w:pStyle w:val="ListParagraph"/>
        <w:ind w:left="0"/>
        <w:jc w:val="both"/>
        <w:rPr>
          <w:rFonts w:asciiTheme="majorHAnsi" w:hAnsiTheme="majorHAnsi"/>
        </w:rPr>
      </w:pPr>
    </w:p>
    <w:p w14:paraId="13B11E58" w14:textId="77777777" w:rsidR="00C45440" w:rsidRDefault="00C45440" w:rsidP="00C45440">
      <w:pPr>
        <w:pStyle w:val="ListParagraph"/>
        <w:ind w:left="0"/>
        <w:jc w:val="both"/>
        <w:rPr>
          <w:rFonts w:asciiTheme="majorHAnsi" w:hAnsiTheme="majorHAnsi"/>
          <w:bCs/>
        </w:rPr>
      </w:pPr>
      <w:r w:rsidRPr="00C45440">
        <w:rPr>
          <w:rFonts w:asciiTheme="majorHAnsi" w:hAnsiTheme="majorHAnsi"/>
          <w:bCs/>
        </w:rPr>
        <w:t>TABEL - Situația evoluției numărului de personal, a cheltuielilor de natură salarială și a câștigului salarial mediu în perioada 2018-2020</w:t>
      </w:r>
    </w:p>
    <w:p w14:paraId="0CE5C062" w14:textId="77777777" w:rsidR="00887CB0" w:rsidRPr="00C45440" w:rsidRDefault="00887CB0" w:rsidP="00C45440">
      <w:pPr>
        <w:pStyle w:val="ListParagraph"/>
        <w:ind w:left="0"/>
        <w:jc w:val="both"/>
        <w:rPr>
          <w:rFonts w:asciiTheme="majorHAnsi" w:hAnsiTheme="majorHAnsi"/>
          <w:bCs/>
        </w:rPr>
      </w:pPr>
    </w:p>
    <w:tbl>
      <w:tblPr>
        <w:tblW w:w="9231" w:type="dxa"/>
        <w:tblInd w:w="110" w:type="dxa"/>
        <w:tblLook w:val="04A0" w:firstRow="1" w:lastRow="0" w:firstColumn="1" w:lastColumn="0" w:noHBand="0" w:noVBand="1"/>
      </w:tblPr>
      <w:tblGrid>
        <w:gridCol w:w="2970"/>
        <w:gridCol w:w="1227"/>
        <w:gridCol w:w="1227"/>
        <w:gridCol w:w="1259"/>
        <w:gridCol w:w="1259"/>
        <w:gridCol w:w="1289"/>
      </w:tblGrid>
      <w:tr w:rsidR="00C45440" w:rsidRPr="00311C36" w14:paraId="7F428C62" w14:textId="77777777" w:rsidTr="00C45440">
        <w:trPr>
          <w:trHeight w:val="545"/>
        </w:trPr>
        <w:tc>
          <w:tcPr>
            <w:tcW w:w="2970" w:type="dxa"/>
            <w:vMerge w:val="restart"/>
            <w:tcBorders>
              <w:top w:val="single" w:sz="4" w:space="0" w:color="009DD9" w:themeColor="accent2"/>
              <w:left w:val="single" w:sz="4" w:space="0" w:color="FFFFFF"/>
              <w:bottom w:val="single" w:sz="4" w:space="0" w:color="9BC2E6"/>
              <w:right w:val="single" w:sz="4" w:space="0" w:color="FFFFFF"/>
            </w:tcBorders>
            <w:shd w:val="clear" w:color="404040" w:fill="FFFFFF"/>
            <w:hideMark/>
          </w:tcPr>
          <w:p w14:paraId="65121BBB" w14:textId="77777777" w:rsidR="00C45440" w:rsidRPr="00C45440" w:rsidRDefault="00C45440" w:rsidP="00C45440">
            <w:pPr>
              <w:spacing w:before="0" w:after="0" w:line="240" w:lineRule="auto"/>
              <w:rPr>
                <w:rFonts w:ascii="Calibri" w:eastAsia="Times New Roman" w:hAnsi="Calibri" w:cs="Times New Roman"/>
                <w:color w:val="0F6FC6" w:themeColor="accent1"/>
                <w:sz w:val="16"/>
                <w:szCs w:val="16"/>
                <w:lang w:eastAsia="ro-RO"/>
              </w:rPr>
            </w:pPr>
            <w:r w:rsidRPr="00C45440">
              <w:rPr>
                <w:rFonts w:ascii="Calibri" w:eastAsia="Times New Roman" w:hAnsi="Calibri" w:cs="Times New Roman"/>
                <w:color w:val="0F6FC6" w:themeColor="accent1"/>
                <w:sz w:val="16"/>
                <w:szCs w:val="16"/>
                <w:lang w:eastAsia="ro-RO"/>
              </w:rPr>
              <w:t>Anul</w:t>
            </w:r>
          </w:p>
        </w:tc>
        <w:tc>
          <w:tcPr>
            <w:tcW w:w="1227" w:type="dxa"/>
            <w:tcBorders>
              <w:top w:val="single" w:sz="4" w:space="0" w:color="009DD9" w:themeColor="accent2"/>
              <w:left w:val="nil"/>
              <w:bottom w:val="single" w:sz="4" w:space="0" w:color="9BC2E6"/>
              <w:right w:val="single" w:sz="4" w:space="0" w:color="FFFFFF"/>
            </w:tcBorders>
            <w:shd w:val="clear" w:color="404040" w:fill="FFFFFF"/>
            <w:hideMark/>
          </w:tcPr>
          <w:p w14:paraId="02BED49E"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6"/>
                <w:szCs w:val="16"/>
                <w:lang w:eastAsia="ro-RO"/>
              </w:rPr>
            </w:pPr>
            <w:r w:rsidRPr="00C45440">
              <w:rPr>
                <w:rFonts w:ascii="Calibri" w:eastAsia="Times New Roman" w:hAnsi="Calibri" w:cs="Times New Roman"/>
                <w:color w:val="0F6FC6" w:themeColor="accent1"/>
                <w:sz w:val="16"/>
                <w:szCs w:val="16"/>
                <w:lang w:eastAsia="ro-RO"/>
              </w:rPr>
              <w:t>Nr. ÎPC active</w:t>
            </w:r>
          </w:p>
        </w:tc>
        <w:tc>
          <w:tcPr>
            <w:tcW w:w="1227" w:type="dxa"/>
            <w:tcBorders>
              <w:top w:val="single" w:sz="4" w:space="0" w:color="009DD9" w:themeColor="accent2"/>
              <w:left w:val="nil"/>
              <w:bottom w:val="single" w:sz="4" w:space="0" w:color="9BC2E6"/>
              <w:right w:val="single" w:sz="4" w:space="0" w:color="FFFFFF"/>
            </w:tcBorders>
            <w:shd w:val="clear" w:color="404040" w:fill="FFFFFF"/>
            <w:hideMark/>
          </w:tcPr>
          <w:p w14:paraId="6DEF524A"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6"/>
                <w:szCs w:val="16"/>
                <w:lang w:eastAsia="ro-RO"/>
              </w:rPr>
            </w:pPr>
            <w:r w:rsidRPr="00C45440">
              <w:rPr>
                <w:rFonts w:ascii="Calibri" w:eastAsia="Times New Roman" w:hAnsi="Calibri" w:cs="Times New Roman"/>
                <w:color w:val="0F6FC6" w:themeColor="accent1"/>
                <w:sz w:val="16"/>
                <w:szCs w:val="16"/>
                <w:lang w:eastAsia="ro-RO"/>
              </w:rPr>
              <w:t>Număr efectiv de personal</w:t>
            </w:r>
          </w:p>
        </w:tc>
        <w:tc>
          <w:tcPr>
            <w:tcW w:w="1259" w:type="dxa"/>
            <w:tcBorders>
              <w:top w:val="single" w:sz="4" w:space="0" w:color="009DD9" w:themeColor="accent2"/>
              <w:left w:val="nil"/>
              <w:bottom w:val="single" w:sz="4" w:space="0" w:color="9BC2E6"/>
              <w:right w:val="single" w:sz="4" w:space="0" w:color="FFFFFF"/>
            </w:tcBorders>
            <w:shd w:val="clear" w:color="404040" w:fill="FFFFFF"/>
            <w:hideMark/>
          </w:tcPr>
          <w:p w14:paraId="1134D720"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6"/>
                <w:szCs w:val="16"/>
                <w:lang w:eastAsia="ro-RO"/>
              </w:rPr>
            </w:pPr>
            <w:r w:rsidRPr="00C45440">
              <w:rPr>
                <w:rFonts w:ascii="Calibri" w:eastAsia="Times New Roman" w:hAnsi="Calibri" w:cs="Times New Roman"/>
                <w:color w:val="0F6FC6" w:themeColor="accent1"/>
                <w:sz w:val="16"/>
                <w:szCs w:val="16"/>
                <w:lang w:eastAsia="ro-RO"/>
              </w:rPr>
              <w:t xml:space="preserve">Cheltuieli de natură salarială </w:t>
            </w:r>
          </w:p>
        </w:tc>
        <w:tc>
          <w:tcPr>
            <w:tcW w:w="1259" w:type="dxa"/>
            <w:tcBorders>
              <w:top w:val="single" w:sz="4" w:space="0" w:color="009DD9" w:themeColor="accent2"/>
              <w:left w:val="nil"/>
              <w:bottom w:val="single" w:sz="4" w:space="0" w:color="9BC2E6"/>
              <w:right w:val="single" w:sz="4" w:space="0" w:color="FFFFFF"/>
            </w:tcBorders>
            <w:shd w:val="clear" w:color="404040" w:fill="FFFFFF"/>
            <w:hideMark/>
          </w:tcPr>
          <w:p w14:paraId="332DA2F2"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6"/>
                <w:szCs w:val="16"/>
                <w:lang w:eastAsia="ro-RO"/>
              </w:rPr>
            </w:pPr>
            <w:r w:rsidRPr="00C45440">
              <w:rPr>
                <w:rFonts w:ascii="Calibri" w:eastAsia="Times New Roman" w:hAnsi="Calibri" w:cs="Times New Roman"/>
                <w:color w:val="0F6FC6" w:themeColor="accent1"/>
                <w:sz w:val="16"/>
                <w:szCs w:val="16"/>
                <w:lang w:eastAsia="ro-RO"/>
              </w:rPr>
              <w:t>Total cheltuieli de exploatare</w:t>
            </w:r>
          </w:p>
        </w:tc>
        <w:tc>
          <w:tcPr>
            <w:tcW w:w="1289" w:type="dxa"/>
            <w:tcBorders>
              <w:top w:val="single" w:sz="4" w:space="0" w:color="009DD9" w:themeColor="accent2"/>
              <w:left w:val="nil"/>
              <w:bottom w:val="single" w:sz="4" w:space="0" w:color="9BC2E6"/>
              <w:right w:val="single" w:sz="4" w:space="0" w:color="FFFFFF"/>
            </w:tcBorders>
            <w:shd w:val="clear" w:color="404040" w:fill="FFFFFF"/>
            <w:hideMark/>
          </w:tcPr>
          <w:p w14:paraId="78D0D9DB"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6"/>
                <w:szCs w:val="16"/>
                <w:lang w:eastAsia="ro-RO"/>
              </w:rPr>
            </w:pPr>
            <w:r w:rsidRPr="00C45440">
              <w:rPr>
                <w:rFonts w:ascii="Calibri" w:eastAsia="Times New Roman" w:hAnsi="Calibri" w:cs="Times New Roman"/>
                <w:color w:val="0F6FC6" w:themeColor="accent1"/>
                <w:sz w:val="16"/>
                <w:szCs w:val="16"/>
                <w:lang w:eastAsia="ro-RO"/>
              </w:rPr>
              <w:t>Câștigul salarial mediu brut lunar pe persoana</w:t>
            </w:r>
          </w:p>
        </w:tc>
      </w:tr>
      <w:tr w:rsidR="00C45440" w:rsidRPr="00311C36" w14:paraId="064B469C" w14:textId="77777777" w:rsidTr="00887CB0">
        <w:trPr>
          <w:trHeight w:val="80"/>
        </w:trPr>
        <w:tc>
          <w:tcPr>
            <w:tcW w:w="2970" w:type="dxa"/>
            <w:vMerge/>
            <w:tcBorders>
              <w:top w:val="nil"/>
              <w:left w:val="single" w:sz="4" w:space="0" w:color="FFFFFF"/>
              <w:bottom w:val="single" w:sz="4" w:space="0" w:color="9BC2E6"/>
              <w:right w:val="single" w:sz="4" w:space="0" w:color="FFFFFF"/>
            </w:tcBorders>
            <w:hideMark/>
          </w:tcPr>
          <w:p w14:paraId="3710861C" w14:textId="77777777" w:rsidR="00C45440" w:rsidRPr="00C45440" w:rsidRDefault="00C45440" w:rsidP="00C45440">
            <w:pPr>
              <w:spacing w:before="0" w:after="0" w:line="240" w:lineRule="auto"/>
              <w:rPr>
                <w:rFonts w:ascii="Calibri" w:eastAsia="Times New Roman" w:hAnsi="Calibri" w:cs="Times New Roman"/>
                <w:color w:val="0F6FC6" w:themeColor="accent1"/>
                <w:sz w:val="16"/>
                <w:szCs w:val="16"/>
                <w:lang w:eastAsia="ro-RO"/>
              </w:rPr>
            </w:pPr>
          </w:p>
        </w:tc>
        <w:tc>
          <w:tcPr>
            <w:tcW w:w="1227" w:type="dxa"/>
            <w:tcBorders>
              <w:top w:val="nil"/>
              <w:left w:val="nil"/>
              <w:bottom w:val="single" w:sz="4" w:space="0" w:color="9BC2E6"/>
              <w:right w:val="single" w:sz="4" w:space="0" w:color="FFFFFF"/>
            </w:tcBorders>
            <w:shd w:val="clear" w:color="404040" w:fill="FFFFFF"/>
            <w:hideMark/>
          </w:tcPr>
          <w:p w14:paraId="0FF5B96A"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1</w:t>
            </w:r>
          </w:p>
        </w:tc>
        <w:tc>
          <w:tcPr>
            <w:tcW w:w="1227" w:type="dxa"/>
            <w:tcBorders>
              <w:top w:val="nil"/>
              <w:left w:val="nil"/>
              <w:bottom w:val="single" w:sz="4" w:space="0" w:color="9BC2E6"/>
              <w:right w:val="single" w:sz="4" w:space="0" w:color="FFFFFF"/>
            </w:tcBorders>
            <w:shd w:val="clear" w:color="404040" w:fill="FFFFFF"/>
            <w:hideMark/>
          </w:tcPr>
          <w:p w14:paraId="60D6D7CB"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2</w:t>
            </w:r>
          </w:p>
        </w:tc>
        <w:tc>
          <w:tcPr>
            <w:tcW w:w="1259" w:type="dxa"/>
            <w:tcBorders>
              <w:top w:val="nil"/>
              <w:left w:val="nil"/>
              <w:bottom w:val="single" w:sz="4" w:space="0" w:color="9BC2E6"/>
              <w:right w:val="single" w:sz="4" w:space="0" w:color="FFFFFF"/>
            </w:tcBorders>
            <w:shd w:val="clear" w:color="404040" w:fill="FFFFFF"/>
            <w:hideMark/>
          </w:tcPr>
          <w:p w14:paraId="2D21811B"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3</w:t>
            </w:r>
          </w:p>
        </w:tc>
        <w:tc>
          <w:tcPr>
            <w:tcW w:w="1259" w:type="dxa"/>
            <w:tcBorders>
              <w:top w:val="nil"/>
              <w:left w:val="nil"/>
              <w:bottom w:val="single" w:sz="4" w:space="0" w:color="9BC2E6"/>
              <w:right w:val="single" w:sz="4" w:space="0" w:color="FFFFFF"/>
            </w:tcBorders>
            <w:shd w:val="clear" w:color="404040" w:fill="FFFFFF"/>
            <w:hideMark/>
          </w:tcPr>
          <w:p w14:paraId="7962B409"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4</w:t>
            </w:r>
          </w:p>
        </w:tc>
        <w:tc>
          <w:tcPr>
            <w:tcW w:w="1289" w:type="dxa"/>
            <w:tcBorders>
              <w:top w:val="nil"/>
              <w:left w:val="nil"/>
              <w:bottom w:val="single" w:sz="4" w:space="0" w:color="9BC2E6"/>
              <w:right w:val="single" w:sz="4" w:space="0" w:color="FFFFFF"/>
            </w:tcBorders>
            <w:shd w:val="clear" w:color="404040" w:fill="FFFFFF"/>
            <w:hideMark/>
          </w:tcPr>
          <w:p w14:paraId="5AA1A532"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4"/>
                <w:szCs w:val="14"/>
                <w:lang w:eastAsia="ro-RO"/>
              </w:rPr>
            </w:pPr>
            <w:r w:rsidRPr="00C45440">
              <w:rPr>
                <w:rFonts w:ascii="Calibri" w:eastAsia="Times New Roman" w:hAnsi="Calibri" w:cs="Times New Roman"/>
                <w:color w:val="0F6FC6" w:themeColor="accent1"/>
                <w:sz w:val="14"/>
                <w:szCs w:val="14"/>
                <w:lang w:eastAsia="ro-RO"/>
              </w:rPr>
              <w:t>5=3/2*1000/12</w:t>
            </w:r>
          </w:p>
        </w:tc>
      </w:tr>
      <w:tr w:rsidR="00C45440" w:rsidRPr="00311C36" w14:paraId="61349BB0" w14:textId="77777777" w:rsidTr="00887CB0">
        <w:trPr>
          <w:trHeight w:val="125"/>
        </w:trPr>
        <w:tc>
          <w:tcPr>
            <w:tcW w:w="2970" w:type="dxa"/>
            <w:vMerge/>
            <w:tcBorders>
              <w:top w:val="nil"/>
              <w:left w:val="single" w:sz="4" w:space="0" w:color="FFFFFF"/>
              <w:bottom w:val="single" w:sz="4" w:space="0" w:color="9BC2E6"/>
              <w:right w:val="single" w:sz="4" w:space="0" w:color="FFFFFF"/>
            </w:tcBorders>
            <w:hideMark/>
          </w:tcPr>
          <w:p w14:paraId="10E0812D" w14:textId="77777777" w:rsidR="00C45440" w:rsidRPr="00C45440" w:rsidRDefault="00C45440" w:rsidP="00C45440">
            <w:pPr>
              <w:spacing w:before="0" w:after="0" w:line="240" w:lineRule="auto"/>
              <w:rPr>
                <w:rFonts w:ascii="Calibri" w:eastAsia="Times New Roman" w:hAnsi="Calibri" w:cs="Times New Roman"/>
                <w:color w:val="0F6FC6" w:themeColor="accent1"/>
                <w:sz w:val="16"/>
                <w:szCs w:val="16"/>
                <w:lang w:eastAsia="ro-RO"/>
              </w:rPr>
            </w:pPr>
          </w:p>
        </w:tc>
        <w:tc>
          <w:tcPr>
            <w:tcW w:w="1227" w:type="dxa"/>
            <w:tcBorders>
              <w:top w:val="nil"/>
              <w:left w:val="nil"/>
              <w:bottom w:val="single" w:sz="4" w:space="0" w:color="9BC2E6"/>
              <w:right w:val="single" w:sz="4" w:space="0" w:color="FFFFFF"/>
            </w:tcBorders>
            <w:shd w:val="clear" w:color="404040" w:fill="FFFFFF"/>
            <w:hideMark/>
          </w:tcPr>
          <w:p w14:paraId="0FC85F29"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nr.</w:t>
            </w:r>
          </w:p>
        </w:tc>
        <w:tc>
          <w:tcPr>
            <w:tcW w:w="1227" w:type="dxa"/>
            <w:tcBorders>
              <w:top w:val="nil"/>
              <w:left w:val="nil"/>
              <w:bottom w:val="single" w:sz="4" w:space="0" w:color="9BC2E6"/>
              <w:right w:val="single" w:sz="4" w:space="0" w:color="FFFFFF"/>
            </w:tcBorders>
            <w:shd w:val="clear" w:color="404040" w:fill="FFFFFF"/>
            <w:hideMark/>
          </w:tcPr>
          <w:p w14:paraId="14F76A22"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nr.</w:t>
            </w:r>
          </w:p>
        </w:tc>
        <w:tc>
          <w:tcPr>
            <w:tcW w:w="1259" w:type="dxa"/>
            <w:tcBorders>
              <w:top w:val="nil"/>
              <w:left w:val="nil"/>
              <w:bottom w:val="single" w:sz="4" w:space="0" w:color="9BC2E6"/>
              <w:right w:val="single" w:sz="4" w:space="0" w:color="FFFFFF"/>
            </w:tcBorders>
            <w:shd w:val="clear" w:color="404040" w:fill="FFFFFF"/>
            <w:hideMark/>
          </w:tcPr>
          <w:p w14:paraId="72AF63B4" w14:textId="77777777" w:rsidR="00C45440" w:rsidRPr="00C45440" w:rsidRDefault="00C4544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C45440">
              <w:rPr>
                <w:rFonts w:ascii="Calibri" w:eastAsia="Times New Roman" w:hAnsi="Calibri" w:cs="Times New Roman"/>
                <w:i/>
                <w:iCs/>
                <w:color w:val="0F6FC6" w:themeColor="accent1"/>
                <w:sz w:val="14"/>
                <w:szCs w:val="14"/>
                <w:lang w:eastAsia="ro-RO"/>
              </w:rPr>
              <w:t>mii lei</w:t>
            </w:r>
          </w:p>
        </w:tc>
        <w:tc>
          <w:tcPr>
            <w:tcW w:w="1259" w:type="dxa"/>
            <w:tcBorders>
              <w:top w:val="nil"/>
              <w:left w:val="nil"/>
              <w:bottom w:val="single" w:sz="4" w:space="0" w:color="9BC2E6"/>
              <w:right w:val="single" w:sz="4" w:space="0" w:color="FFFFFF"/>
            </w:tcBorders>
            <w:shd w:val="clear" w:color="404040" w:fill="FFFFFF"/>
            <w:hideMark/>
          </w:tcPr>
          <w:p w14:paraId="4D90E9EC"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4"/>
                <w:szCs w:val="14"/>
                <w:lang w:eastAsia="ro-RO"/>
              </w:rPr>
            </w:pPr>
            <w:r w:rsidRPr="00C45440">
              <w:rPr>
                <w:rFonts w:ascii="Calibri" w:eastAsia="Times New Roman" w:hAnsi="Calibri" w:cs="Times New Roman"/>
                <w:color w:val="0F6FC6" w:themeColor="accent1"/>
                <w:sz w:val="14"/>
                <w:szCs w:val="14"/>
                <w:lang w:eastAsia="ro-RO"/>
              </w:rPr>
              <w:t>mii lei</w:t>
            </w:r>
          </w:p>
        </w:tc>
        <w:tc>
          <w:tcPr>
            <w:tcW w:w="1289" w:type="dxa"/>
            <w:tcBorders>
              <w:top w:val="nil"/>
              <w:left w:val="nil"/>
              <w:bottom w:val="single" w:sz="4" w:space="0" w:color="9BC2E6"/>
              <w:right w:val="single" w:sz="4" w:space="0" w:color="FFFFFF"/>
            </w:tcBorders>
            <w:shd w:val="clear" w:color="404040" w:fill="FFFFFF"/>
            <w:hideMark/>
          </w:tcPr>
          <w:p w14:paraId="4B6AF48D" w14:textId="77777777" w:rsidR="00C45440" w:rsidRPr="00C45440" w:rsidRDefault="00C45440" w:rsidP="00A06393">
            <w:pPr>
              <w:spacing w:before="0" w:after="0" w:line="240" w:lineRule="auto"/>
              <w:jc w:val="right"/>
              <w:rPr>
                <w:rFonts w:ascii="Calibri" w:eastAsia="Times New Roman" w:hAnsi="Calibri" w:cs="Times New Roman"/>
                <w:color w:val="0F6FC6" w:themeColor="accent1"/>
                <w:sz w:val="14"/>
                <w:szCs w:val="14"/>
                <w:lang w:eastAsia="ro-RO"/>
              </w:rPr>
            </w:pPr>
            <w:r w:rsidRPr="00C45440">
              <w:rPr>
                <w:rFonts w:ascii="Calibri" w:eastAsia="Times New Roman" w:hAnsi="Calibri" w:cs="Times New Roman"/>
                <w:color w:val="0F6FC6" w:themeColor="accent1"/>
                <w:sz w:val="14"/>
                <w:szCs w:val="14"/>
                <w:lang w:eastAsia="ro-RO"/>
              </w:rPr>
              <w:t>lei/lună/pers.</w:t>
            </w:r>
          </w:p>
        </w:tc>
      </w:tr>
      <w:tr w:rsidR="00C45440" w:rsidRPr="00311C36" w14:paraId="7695C42D" w14:textId="77777777" w:rsidTr="00C45440">
        <w:trPr>
          <w:trHeight w:val="214"/>
        </w:trPr>
        <w:tc>
          <w:tcPr>
            <w:tcW w:w="2970" w:type="dxa"/>
            <w:tcBorders>
              <w:top w:val="nil"/>
              <w:left w:val="single" w:sz="4" w:space="0" w:color="FFFFFF"/>
              <w:bottom w:val="single" w:sz="4" w:space="0" w:color="FFFFFF"/>
              <w:right w:val="single" w:sz="4" w:space="0" w:color="FFFFFF"/>
            </w:tcBorders>
            <w:shd w:val="clear" w:color="000000" w:fill="FFFFFF"/>
            <w:noWrap/>
            <w:hideMark/>
          </w:tcPr>
          <w:p w14:paraId="3A45A04E" w14:textId="77777777" w:rsidR="00C45440" w:rsidRPr="00C45440" w:rsidRDefault="00C45440" w:rsidP="00C45440">
            <w:pPr>
              <w:spacing w:before="0" w:after="0" w:line="240" w:lineRule="auto"/>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2018</w:t>
            </w:r>
          </w:p>
        </w:tc>
        <w:tc>
          <w:tcPr>
            <w:tcW w:w="1227" w:type="dxa"/>
            <w:tcBorders>
              <w:top w:val="nil"/>
              <w:left w:val="nil"/>
              <w:bottom w:val="single" w:sz="4" w:space="0" w:color="FFFFFF"/>
              <w:right w:val="single" w:sz="4" w:space="0" w:color="FFFFFF"/>
            </w:tcBorders>
            <w:shd w:val="clear" w:color="000000" w:fill="FFFFFF"/>
            <w:noWrap/>
            <w:hideMark/>
          </w:tcPr>
          <w:p w14:paraId="1C23A35C"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225</w:t>
            </w:r>
          </w:p>
        </w:tc>
        <w:tc>
          <w:tcPr>
            <w:tcW w:w="1227" w:type="dxa"/>
            <w:tcBorders>
              <w:top w:val="nil"/>
              <w:left w:val="nil"/>
              <w:bottom w:val="single" w:sz="4" w:space="0" w:color="FFFFFF"/>
              <w:right w:val="single" w:sz="4" w:space="0" w:color="FFFFFF"/>
            </w:tcBorders>
            <w:shd w:val="clear" w:color="000000" w:fill="FFFFFF"/>
            <w:noWrap/>
            <w:hideMark/>
          </w:tcPr>
          <w:p w14:paraId="1E3EBDCA"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183.176</w:t>
            </w:r>
          </w:p>
        </w:tc>
        <w:tc>
          <w:tcPr>
            <w:tcW w:w="1259" w:type="dxa"/>
            <w:tcBorders>
              <w:top w:val="nil"/>
              <w:left w:val="nil"/>
              <w:bottom w:val="single" w:sz="4" w:space="0" w:color="FFFFFF"/>
              <w:right w:val="single" w:sz="4" w:space="0" w:color="FFFFFF"/>
            </w:tcBorders>
            <w:shd w:val="clear" w:color="000000" w:fill="FFFFFF"/>
            <w:noWrap/>
            <w:hideMark/>
          </w:tcPr>
          <w:p w14:paraId="6803BF27"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12.190.757</w:t>
            </w:r>
          </w:p>
        </w:tc>
        <w:tc>
          <w:tcPr>
            <w:tcW w:w="1259" w:type="dxa"/>
            <w:tcBorders>
              <w:top w:val="nil"/>
              <w:left w:val="nil"/>
              <w:bottom w:val="single" w:sz="4" w:space="0" w:color="FFFFFF"/>
              <w:right w:val="single" w:sz="4" w:space="0" w:color="FFFFFF"/>
            </w:tcBorders>
            <w:shd w:val="clear" w:color="000000" w:fill="FFFFFF"/>
            <w:noWrap/>
            <w:hideMark/>
          </w:tcPr>
          <w:p w14:paraId="72C93406"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40.451.620</w:t>
            </w:r>
          </w:p>
        </w:tc>
        <w:tc>
          <w:tcPr>
            <w:tcW w:w="1289" w:type="dxa"/>
            <w:tcBorders>
              <w:top w:val="nil"/>
              <w:left w:val="nil"/>
              <w:bottom w:val="single" w:sz="4" w:space="0" w:color="FFFFFF"/>
              <w:right w:val="single" w:sz="4" w:space="0" w:color="FFFFFF"/>
            </w:tcBorders>
            <w:shd w:val="clear" w:color="000000" w:fill="FFFFFF"/>
            <w:noWrap/>
            <w:hideMark/>
          </w:tcPr>
          <w:p w14:paraId="2BDDC9DC"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5.546</w:t>
            </w:r>
          </w:p>
        </w:tc>
      </w:tr>
      <w:tr w:rsidR="00C45440" w:rsidRPr="00311C36" w14:paraId="479DF949" w14:textId="77777777" w:rsidTr="00C45440">
        <w:trPr>
          <w:trHeight w:val="214"/>
        </w:trPr>
        <w:tc>
          <w:tcPr>
            <w:tcW w:w="2970" w:type="dxa"/>
            <w:tcBorders>
              <w:top w:val="single" w:sz="4" w:space="0" w:color="9BC2E6"/>
              <w:left w:val="single" w:sz="4" w:space="0" w:color="FFFFFF"/>
              <w:bottom w:val="single" w:sz="4" w:space="0" w:color="FFFFFF"/>
              <w:right w:val="single" w:sz="4" w:space="0" w:color="FFFFFF"/>
            </w:tcBorders>
            <w:shd w:val="clear" w:color="000000" w:fill="FFFFFF"/>
            <w:noWrap/>
            <w:hideMark/>
          </w:tcPr>
          <w:p w14:paraId="6A93E895" w14:textId="77777777" w:rsidR="00C45440" w:rsidRPr="00C45440" w:rsidRDefault="00C45440" w:rsidP="00C45440">
            <w:pPr>
              <w:spacing w:before="0" w:after="0" w:line="240" w:lineRule="auto"/>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2019</w:t>
            </w:r>
          </w:p>
        </w:tc>
        <w:tc>
          <w:tcPr>
            <w:tcW w:w="1227" w:type="dxa"/>
            <w:tcBorders>
              <w:top w:val="single" w:sz="4" w:space="0" w:color="9BC2E6"/>
              <w:left w:val="nil"/>
              <w:bottom w:val="single" w:sz="4" w:space="0" w:color="FFFFFF"/>
              <w:right w:val="single" w:sz="4" w:space="0" w:color="FFFFFF"/>
            </w:tcBorders>
            <w:shd w:val="clear" w:color="000000" w:fill="FFFFFF"/>
            <w:noWrap/>
            <w:hideMark/>
          </w:tcPr>
          <w:p w14:paraId="474E8E3F"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223</w:t>
            </w:r>
          </w:p>
        </w:tc>
        <w:tc>
          <w:tcPr>
            <w:tcW w:w="1227" w:type="dxa"/>
            <w:tcBorders>
              <w:top w:val="single" w:sz="4" w:space="0" w:color="9BC2E6"/>
              <w:left w:val="nil"/>
              <w:bottom w:val="single" w:sz="4" w:space="0" w:color="FFFFFF"/>
              <w:right w:val="single" w:sz="4" w:space="0" w:color="FFFFFF"/>
            </w:tcBorders>
            <w:shd w:val="clear" w:color="000000" w:fill="FFFFFF"/>
            <w:noWrap/>
            <w:hideMark/>
          </w:tcPr>
          <w:p w14:paraId="2BB3D2DE"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180.464</w:t>
            </w:r>
          </w:p>
        </w:tc>
        <w:tc>
          <w:tcPr>
            <w:tcW w:w="1259" w:type="dxa"/>
            <w:tcBorders>
              <w:top w:val="single" w:sz="4" w:space="0" w:color="9BC2E6"/>
              <w:left w:val="nil"/>
              <w:bottom w:val="single" w:sz="4" w:space="0" w:color="FFFFFF"/>
              <w:right w:val="single" w:sz="4" w:space="0" w:color="FFFFFF"/>
            </w:tcBorders>
            <w:shd w:val="clear" w:color="000000" w:fill="FFFFFF"/>
            <w:noWrap/>
            <w:hideMark/>
          </w:tcPr>
          <w:p w14:paraId="2CAD492B"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13.270.746</w:t>
            </w:r>
          </w:p>
        </w:tc>
        <w:tc>
          <w:tcPr>
            <w:tcW w:w="1259" w:type="dxa"/>
            <w:tcBorders>
              <w:top w:val="single" w:sz="4" w:space="0" w:color="9BC2E6"/>
              <w:left w:val="nil"/>
              <w:bottom w:val="single" w:sz="4" w:space="0" w:color="FFFFFF"/>
              <w:right w:val="single" w:sz="4" w:space="0" w:color="FFFFFF"/>
            </w:tcBorders>
            <w:shd w:val="clear" w:color="000000" w:fill="FFFFFF"/>
            <w:noWrap/>
            <w:hideMark/>
          </w:tcPr>
          <w:p w14:paraId="0EDCCB25"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47.774.657</w:t>
            </w:r>
          </w:p>
        </w:tc>
        <w:tc>
          <w:tcPr>
            <w:tcW w:w="1289" w:type="dxa"/>
            <w:tcBorders>
              <w:top w:val="single" w:sz="4" w:space="0" w:color="9BC2E6"/>
              <w:left w:val="nil"/>
              <w:bottom w:val="single" w:sz="4" w:space="0" w:color="FFFFFF"/>
              <w:right w:val="single" w:sz="4" w:space="0" w:color="FFFFFF"/>
            </w:tcBorders>
            <w:shd w:val="clear" w:color="000000" w:fill="FFFFFF"/>
            <w:noWrap/>
            <w:hideMark/>
          </w:tcPr>
          <w:p w14:paraId="4769F9B9"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6.128</w:t>
            </w:r>
          </w:p>
        </w:tc>
      </w:tr>
      <w:tr w:rsidR="00C45440" w:rsidRPr="00311C36" w14:paraId="2D52788A" w14:textId="77777777" w:rsidTr="00C45440">
        <w:trPr>
          <w:trHeight w:val="214"/>
        </w:trPr>
        <w:tc>
          <w:tcPr>
            <w:tcW w:w="2970" w:type="dxa"/>
            <w:tcBorders>
              <w:top w:val="single" w:sz="4" w:space="0" w:color="9BC2E6"/>
              <w:left w:val="single" w:sz="4" w:space="0" w:color="FFFFFF"/>
              <w:bottom w:val="single" w:sz="4" w:space="0" w:color="FFFFFF"/>
              <w:right w:val="single" w:sz="4" w:space="0" w:color="FFFFFF"/>
            </w:tcBorders>
            <w:shd w:val="clear" w:color="000000" w:fill="FFFFFF"/>
            <w:noWrap/>
            <w:hideMark/>
          </w:tcPr>
          <w:p w14:paraId="12713F83" w14:textId="77777777" w:rsidR="00C45440" w:rsidRPr="00C45440" w:rsidRDefault="00C45440" w:rsidP="00C45440">
            <w:pPr>
              <w:spacing w:before="0" w:after="0" w:line="240" w:lineRule="auto"/>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2020</w:t>
            </w:r>
          </w:p>
        </w:tc>
        <w:tc>
          <w:tcPr>
            <w:tcW w:w="1227" w:type="dxa"/>
            <w:tcBorders>
              <w:top w:val="single" w:sz="4" w:space="0" w:color="9BC2E6"/>
              <w:left w:val="nil"/>
              <w:bottom w:val="single" w:sz="4" w:space="0" w:color="FFFFFF"/>
              <w:right w:val="single" w:sz="4" w:space="0" w:color="FFFFFF"/>
            </w:tcBorders>
            <w:shd w:val="clear" w:color="000000" w:fill="FFFFFF"/>
            <w:noWrap/>
            <w:hideMark/>
          </w:tcPr>
          <w:p w14:paraId="1D9E3DD6"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226</w:t>
            </w:r>
          </w:p>
        </w:tc>
        <w:tc>
          <w:tcPr>
            <w:tcW w:w="1227" w:type="dxa"/>
            <w:tcBorders>
              <w:top w:val="single" w:sz="4" w:space="0" w:color="9BC2E6"/>
              <w:left w:val="nil"/>
              <w:bottom w:val="single" w:sz="4" w:space="0" w:color="FFFFFF"/>
              <w:right w:val="single" w:sz="4" w:space="0" w:color="FFFFFF"/>
            </w:tcBorders>
            <w:shd w:val="clear" w:color="000000" w:fill="FFFFFF"/>
            <w:noWrap/>
            <w:hideMark/>
          </w:tcPr>
          <w:p w14:paraId="5AB70BE3"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173.421</w:t>
            </w:r>
          </w:p>
        </w:tc>
        <w:tc>
          <w:tcPr>
            <w:tcW w:w="1259" w:type="dxa"/>
            <w:tcBorders>
              <w:top w:val="single" w:sz="4" w:space="0" w:color="9BC2E6"/>
              <w:left w:val="nil"/>
              <w:bottom w:val="single" w:sz="4" w:space="0" w:color="FFFFFF"/>
              <w:right w:val="single" w:sz="4" w:space="0" w:color="FFFFFF"/>
            </w:tcBorders>
            <w:shd w:val="clear" w:color="000000" w:fill="FFFFFF"/>
            <w:noWrap/>
            <w:hideMark/>
          </w:tcPr>
          <w:p w14:paraId="3B4FF8CE"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13.757.433</w:t>
            </w:r>
          </w:p>
        </w:tc>
        <w:tc>
          <w:tcPr>
            <w:tcW w:w="1259" w:type="dxa"/>
            <w:tcBorders>
              <w:top w:val="single" w:sz="4" w:space="0" w:color="9BC2E6"/>
              <w:left w:val="nil"/>
              <w:bottom w:val="single" w:sz="4" w:space="0" w:color="FFFFFF"/>
              <w:right w:val="single" w:sz="4" w:space="0" w:color="FFFFFF"/>
            </w:tcBorders>
            <w:shd w:val="clear" w:color="000000" w:fill="FFFFFF"/>
            <w:noWrap/>
            <w:hideMark/>
          </w:tcPr>
          <w:p w14:paraId="0608BB8D"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45.671.534</w:t>
            </w:r>
          </w:p>
        </w:tc>
        <w:tc>
          <w:tcPr>
            <w:tcW w:w="1289" w:type="dxa"/>
            <w:tcBorders>
              <w:top w:val="single" w:sz="4" w:space="0" w:color="9BC2E6"/>
              <w:left w:val="nil"/>
              <w:bottom w:val="single" w:sz="4" w:space="0" w:color="FFFFFF"/>
              <w:right w:val="single" w:sz="4" w:space="0" w:color="FFFFFF"/>
            </w:tcBorders>
            <w:shd w:val="clear" w:color="000000" w:fill="FFFFFF"/>
            <w:noWrap/>
            <w:hideMark/>
          </w:tcPr>
          <w:p w14:paraId="180FB2FE" w14:textId="77777777" w:rsidR="00C45440" w:rsidRPr="00C45440" w:rsidRDefault="00C45440" w:rsidP="00A06393">
            <w:pPr>
              <w:spacing w:before="0" w:after="0" w:line="240" w:lineRule="auto"/>
              <w:jc w:val="right"/>
              <w:rPr>
                <w:rFonts w:ascii="Calibri" w:eastAsia="Times New Roman" w:hAnsi="Calibri" w:cs="Times New Roman"/>
                <w:sz w:val="16"/>
                <w:szCs w:val="16"/>
                <w:lang w:eastAsia="ro-RO"/>
              </w:rPr>
            </w:pPr>
            <w:r w:rsidRPr="00C45440">
              <w:rPr>
                <w:rFonts w:ascii="Calibri" w:eastAsia="Times New Roman" w:hAnsi="Calibri" w:cs="Times New Roman"/>
                <w:sz w:val="16"/>
                <w:szCs w:val="16"/>
                <w:lang w:eastAsia="ro-RO"/>
              </w:rPr>
              <w:t>6.611</w:t>
            </w:r>
          </w:p>
        </w:tc>
      </w:tr>
      <w:tr w:rsidR="00C45440" w:rsidRPr="00311C36" w14:paraId="48A91D1F" w14:textId="77777777" w:rsidTr="00C45440">
        <w:trPr>
          <w:trHeight w:val="214"/>
        </w:trPr>
        <w:tc>
          <w:tcPr>
            <w:tcW w:w="2970" w:type="dxa"/>
            <w:tcBorders>
              <w:top w:val="single" w:sz="4" w:space="0" w:color="9BC2E6"/>
              <w:left w:val="single" w:sz="4" w:space="0" w:color="FFFFFF"/>
              <w:bottom w:val="single" w:sz="4" w:space="0" w:color="9BC2E6"/>
              <w:right w:val="single" w:sz="4" w:space="0" w:color="FFFFFF"/>
            </w:tcBorders>
            <w:shd w:val="clear" w:color="000000" w:fill="FFFFFF"/>
            <w:hideMark/>
          </w:tcPr>
          <w:p w14:paraId="4FE71DCC" w14:textId="77777777" w:rsidR="00C45440" w:rsidRPr="00C45440" w:rsidRDefault="00C45440" w:rsidP="00C45440">
            <w:pPr>
              <w:spacing w:before="0" w:after="0" w:line="240" w:lineRule="auto"/>
              <w:rPr>
                <w:rFonts w:ascii="Calibri" w:eastAsia="Times New Roman" w:hAnsi="Calibri" w:cs="Times New Roman"/>
                <w:bCs/>
                <w:sz w:val="16"/>
                <w:szCs w:val="16"/>
                <w:lang w:eastAsia="ro-RO"/>
              </w:rPr>
            </w:pPr>
            <w:r w:rsidRPr="00C45440">
              <w:rPr>
                <w:rFonts w:ascii="Calibri" w:eastAsia="Times New Roman" w:hAnsi="Calibri" w:cs="Times New Roman"/>
                <w:bCs/>
                <w:sz w:val="16"/>
                <w:szCs w:val="16"/>
                <w:lang w:eastAsia="ro-RO"/>
              </w:rPr>
              <w:t>Anul 2020 raportat la anul 2019 -%</w:t>
            </w:r>
          </w:p>
        </w:tc>
        <w:tc>
          <w:tcPr>
            <w:tcW w:w="1227" w:type="dxa"/>
            <w:tcBorders>
              <w:top w:val="single" w:sz="4" w:space="0" w:color="9BC2E6"/>
              <w:left w:val="nil"/>
              <w:bottom w:val="single" w:sz="4" w:space="0" w:color="9BC2E6"/>
              <w:right w:val="single" w:sz="4" w:space="0" w:color="FFFFFF"/>
            </w:tcBorders>
            <w:shd w:val="clear" w:color="000000" w:fill="FFFFFF"/>
            <w:noWrap/>
            <w:hideMark/>
          </w:tcPr>
          <w:p w14:paraId="706F08E0" w14:textId="77777777" w:rsidR="00C45440" w:rsidRPr="00C45440" w:rsidRDefault="00C45440" w:rsidP="00A06393">
            <w:pPr>
              <w:spacing w:before="0" w:after="0" w:line="240" w:lineRule="auto"/>
              <w:jc w:val="right"/>
              <w:rPr>
                <w:rFonts w:ascii="Calibri" w:eastAsia="Times New Roman" w:hAnsi="Calibri" w:cs="Times New Roman"/>
                <w:bCs/>
                <w:sz w:val="16"/>
                <w:szCs w:val="16"/>
                <w:lang w:eastAsia="ro-RO"/>
              </w:rPr>
            </w:pPr>
            <w:r w:rsidRPr="00C45440">
              <w:rPr>
                <w:rFonts w:ascii="Calibri" w:eastAsia="Times New Roman" w:hAnsi="Calibri" w:cs="Times New Roman"/>
                <w:bCs/>
                <w:sz w:val="16"/>
                <w:szCs w:val="16"/>
                <w:lang w:eastAsia="ro-RO"/>
              </w:rPr>
              <w:t>101,35%</w:t>
            </w:r>
          </w:p>
        </w:tc>
        <w:tc>
          <w:tcPr>
            <w:tcW w:w="1227" w:type="dxa"/>
            <w:tcBorders>
              <w:top w:val="single" w:sz="4" w:space="0" w:color="9BC2E6"/>
              <w:left w:val="nil"/>
              <w:bottom w:val="single" w:sz="4" w:space="0" w:color="9BC2E6"/>
              <w:right w:val="single" w:sz="4" w:space="0" w:color="FFFFFF"/>
            </w:tcBorders>
            <w:shd w:val="clear" w:color="000000" w:fill="FFFFFF"/>
            <w:noWrap/>
            <w:hideMark/>
          </w:tcPr>
          <w:p w14:paraId="6EB47D8C" w14:textId="77777777" w:rsidR="00C45440" w:rsidRPr="00C45440" w:rsidRDefault="00C45440" w:rsidP="00A06393">
            <w:pPr>
              <w:spacing w:before="0" w:after="0" w:line="240" w:lineRule="auto"/>
              <w:jc w:val="right"/>
              <w:rPr>
                <w:rFonts w:ascii="Calibri" w:eastAsia="Times New Roman" w:hAnsi="Calibri" w:cs="Times New Roman"/>
                <w:bCs/>
                <w:sz w:val="16"/>
                <w:szCs w:val="16"/>
                <w:lang w:eastAsia="ro-RO"/>
              </w:rPr>
            </w:pPr>
            <w:r w:rsidRPr="00C45440">
              <w:rPr>
                <w:rFonts w:ascii="Calibri" w:eastAsia="Times New Roman" w:hAnsi="Calibri" w:cs="Times New Roman"/>
                <w:bCs/>
                <w:sz w:val="16"/>
                <w:szCs w:val="16"/>
                <w:lang w:eastAsia="ro-RO"/>
              </w:rPr>
              <w:t>96,10%</w:t>
            </w:r>
          </w:p>
        </w:tc>
        <w:tc>
          <w:tcPr>
            <w:tcW w:w="1259" w:type="dxa"/>
            <w:tcBorders>
              <w:top w:val="single" w:sz="4" w:space="0" w:color="9BC2E6"/>
              <w:left w:val="nil"/>
              <w:bottom w:val="single" w:sz="4" w:space="0" w:color="9BC2E6"/>
              <w:right w:val="single" w:sz="4" w:space="0" w:color="FFFFFF"/>
            </w:tcBorders>
            <w:shd w:val="clear" w:color="000000" w:fill="FFFFFF"/>
            <w:noWrap/>
            <w:hideMark/>
          </w:tcPr>
          <w:p w14:paraId="1D414D96" w14:textId="77777777" w:rsidR="00C45440" w:rsidRPr="00C45440" w:rsidRDefault="00C45440" w:rsidP="00A06393">
            <w:pPr>
              <w:spacing w:before="0" w:after="0" w:line="240" w:lineRule="auto"/>
              <w:jc w:val="right"/>
              <w:rPr>
                <w:rFonts w:ascii="Calibri" w:eastAsia="Times New Roman" w:hAnsi="Calibri" w:cs="Times New Roman"/>
                <w:bCs/>
                <w:sz w:val="16"/>
                <w:szCs w:val="16"/>
                <w:lang w:eastAsia="ro-RO"/>
              </w:rPr>
            </w:pPr>
            <w:r w:rsidRPr="00C45440">
              <w:rPr>
                <w:rFonts w:ascii="Calibri" w:eastAsia="Times New Roman" w:hAnsi="Calibri" w:cs="Times New Roman"/>
                <w:bCs/>
                <w:sz w:val="16"/>
                <w:szCs w:val="16"/>
                <w:lang w:eastAsia="ro-RO"/>
              </w:rPr>
              <w:t>103,67%</w:t>
            </w:r>
          </w:p>
        </w:tc>
        <w:tc>
          <w:tcPr>
            <w:tcW w:w="1259" w:type="dxa"/>
            <w:tcBorders>
              <w:top w:val="single" w:sz="4" w:space="0" w:color="9BC2E6"/>
              <w:left w:val="nil"/>
              <w:bottom w:val="single" w:sz="4" w:space="0" w:color="9BC2E6"/>
              <w:right w:val="single" w:sz="4" w:space="0" w:color="FFFFFF"/>
            </w:tcBorders>
            <w:shd w:val="clear" w:color="000000" w:fill="FFFFFF"/>
            <w:noWrap/>
            <w:hideMark/>
          </w:tcPr>
          <w:p w14:paraId="6D4A325B" w14:textId="77777777" w:rsidR="00C45440" w:rsidRPr="00C45440" w:rsidRDefault="00C45440" w:rsidP="00A06393">
            <w:pPr>
              <w:spacing w:before="0" w:after="0" w:line="240" w:lineRule="auto"/>
              <w:jc w:val="right"/>
              <w:rPr>
                <w:rFonts w:ascii="Calibri" w:eastAsia="Times New Roman" w:hAnsi="Calibri" w:cs="Times New Roman"/>
                <w:bCs/>
                <w:sz w:val="16"/>
                <w:szCs w:val="16"/>
                <w:lang w:eastAsia="ro-RO"/>
              </w:rPr>
            </w:pPr>
            <w:r w:rsidRPr="00C45440">
              <w:rPr>
                <w:rFonts w:ascii="Calibri" w:eastAsia="Times New Roman" w:hAnsi="Calibri" w:cs="Times New Roman"/>
                <w:bCs/>
                <w:sz w:val="16"/>
                <w:szCs w:val="16"/>
                <w:lang w:eastAsia="ro-RO"/>
              </w:rPr>
              <w:t>95,60%</w:t>
            </w:r>
          </w:p>
        </w:tc>
        <w:tc>
          <w:tcPr>
            <w:tcW w:w="1289" w:type="dxa"/>
            <w:tcBorders>
              <w:top w:val="single" w:sz="4" w:space="0" w:color="9BC2E6"/>
              <w:left w:val="nil"/>
              <w:bottom w:val="single" w:sz="4" w:space="0" w:color="9BC2E6"/>
              <w:right w:val="single" w:sz="4" w:space="0" w:color="FFFFFF"/>
            </w:tcBorders>
            <w:shd w:val="clear" w:color="000000" w:fill="FFFFFF"/>
            <w:noWrap/>
            <w:hideMark/>
          </w:tcPr>
          <w:p w14:paraId="527AB61B" w14:textId="77777777" w:rsidR="00C45440" w:rsidRPr="00C45440" w:rsidRDefault="00C45440" w:rsidP="00A06393">
            <w:pPr>
              <w:spacing w:before="0" w:after="0" w:line="240" w:lineRule="auto"/>
              <w:jc w:val="right"/>
              <w:rPr>
                <w:rFonts w:ascii="Calibri" w:eastAsia="Times New Roman" w:hAnsi="Calibri" w:cs="Times New Roman"/>
                <w:bCs/>
                <w:sz w:val="16"/>
                <w:szCs w:val="16"/>
                <w:lang w:eastAsia="ro-RO"/>
              </w:rPr>
            </w:pPr>
            <w:r w:rsidRPr="00C45440">
              <w:rPr>
                <w:rFonts w:ascii="Calibri" w:eastAsia="Times New Roman" w:hAnsi="Calibri" w:cs="Times New Roman"/>
                <w:bCs/>
                <w:sz w:val="16"/>
                <w:szCs w:val="16"/>
                <w:lang w:eastAsia="ro-RO"/>
              </w:rPr>
              <w:t>107,88%</w:t>
            </w:r>
          </w:p>
        </w:tc>
      </w:tr>
      <w:tr w:rsidR="00C45440" w:rsidRPr="00311C36" w14:paraId="16989B0A" w14:textId="77777777" w:rsidTr="00C45440">
        <w:trPr>
          <w:trHeight w:val="214"/>
        </w:trPr>
        <w:tc>
          <w:tcPr>
            <w:tcW w:w="9231" w:type="dxa"/>
            <w:gridSpan w:val="6"/>
            <w:tcBorders>
              <w:top w:val="single" w:sz="4" w:space="0" w:color="5B9BD5"/>
              <w:left w:val="nil"/>
              <w:bottom w:val="nil"/>
              <w:right w:val="single" w:sz="4" w:space="0" w:color="FFFFFF"/>
            </w:tcBorders>
            <w:shd w:val="clear" w:color="auto" w:fill="auto"/>
            <w:noWrap/>
            <w:vAlign w:val="bottom"/>
            <w:hideMark/>
          </w:tcPr>
          <w:p w14:paraId="1ACF1D02" w14:textId="77777777" w:rsidR="00C45440" w:rsidRPr="00887CB0" w:rsidRDefault="00C45440" w:rsidP="00A06393">
            <w:pPr>
              <w:spacing w:before="0" w:after="0" w:line="240" w:lineRule="auto"/>
              <w:rPr>
                <w:rFonts w:ascii="Calibri Light" w:eastAsia="Times New Roman" w:hAnsi="Calibri Light" w:cs="Times New Roman"/>
                <w:color w:val="000000"/>
                <w:sz w:val="16"/>
                <w:szCs w:val="16"/>
                <w:lang w:eastAsia="ro-RO"/>
              </w:rPr>
            </w:pPr>
            <w:r w:rsidRPr="00311C36">
              <w:rPr>
                <w:rFonts w:ascii="Calibri Light" w:eastAsia="Times New Roman" w:hAnsi="Calibri Light" w:cs="Times New Roman"/>
                <w:color w:val="000000"/>
                <w:sz w:val="16"/>
                <w:szCs w:val="16"/>
                <w:lang w:eastAsia="ro-RO"/>
              </w:rPr>
              <w:t>Notă: în tabel s-a folosit starea ÎP la anul raportării.</w:t>
            </w:r>
            <w:r w:rsidRPr="00311C36">
              <w:rPr>
                <w:rFonts w:ascii="Calibri" w:eastAsia="Times New Roman" w:hAnsi="Calibri" w:cs="Times New Roman"/>
                <w:color w:val="595959"/>
                <w:sz w:val="16"/>
                <w:szCs w:val="16"/>
                <w:lang w:eastAsia="ro-RO"/>
              </w:rPr>
              <w:t> </w:t>
            </w:r>
          </w:p>
        </w:tc>
      </w:tr>
    </w:tbl>
    <w:p w14:paraId="778082C8" w14:textId="77777777" w:rsidR="008A5EBC" w:rsidRDefault="008A5EBC" w:rsidP="008A5EBC">
      <w:pPr>
        <w:spacing w:line="23" w:lineRule="atLeast"/>
        <w:jc w:val="both"/>
        <w:rPr>
          <w:rFonts w:asciiTheme="majorHAnsi" w:hAnsiTheme="majorHAnsi" w:cstheme="majorBidi"/>
        </w:rPr>
      </w:pPr>
    </w:p>
    <w:p w14:paraId="18261CAF" w14:textId="77777777" w:rsidR="008A5EBC" w:rsidRPr="008C6972" w:rsidRDefault="008A5EBC" w:rsidP="008A5EBC">
      <w:pPr>
        <w:spacing w:line="23" w:lineRule="atLeast"/>
        <w:jc w:val="both"/>
        <w:rPr>
          <w:rFonts w:asciiTheme="majorHAnsi" w:hAnsiTheme="majorHAnsi" w:cstheme="majorBidi"/>
        </w:rPr>
      </w:pPr>
      <w:r w:rsidRPr="00B17CC5">
        <w:rPr>
          <w:rFonts w:asciiTheme="majorHAnsi" w:hAnsiTheme="majorHAnsi" w:cstheme="majorBidi"/>
        </w:rPr>
        <w:t>Numărul de personal angajat în întreprinderile publice</w:t>
      </w:r>
      <w:r w:rsidRPr="008C6972">
        <w:rPr>
          <w:rFonts w:asciiTheme="majorHAnsi" w:hAnsiTheme="majorHAnsi" w:cstheme="majorBidi"/>
        </w:rPr>
        <w:t xml:space="preserve"> centrale active pe parcursul anilor 201</w:t>
      </w:r>
      <w:r>
        <w:rPr>
          <w:rFonts w:asciiTheme="majorHAnsi" w:hAnsiTheme="majorHAnsi" w:cstheme="majorBidi"/>
        </w:rPr>
        <w:t>8</w:t>
      </w:r>
      <w:r w:rsidRPr="008C6972">
        <w:rPr>
          <w:rFonts w:asciiTheme="majorHAnsi" w:hAnsiTheme="majorHAnsi" w:cstheme="majorBidi"/>
        </w:rPr>
        <w:t>–20</w:t>
      </w:r>
      <w:r>
        <w:rPr>
          <w:rFonts w:asciiTheme="majorHAnsi" w:hAnsiTheme="majorHAnsi" w:cstheme="majorBidi"/>
        </w:rPr>
        <w:t>20</w:t>
      </w:r>
      <w:r w:rsidRPr="008C6972">
        <w:rPr>
          <w:rFonts w:asciiTheme="majorHAnsi" w:hAnsiTheme="majorHAnsi" w:cstheme="majorBidi"/>
        </w:rPr>
        <w:t xml:space="preserve">  înregistrează un trend descrescător. În anul 20</w:t>
      </w:r>
      <w:r>
        <w:rPr>
          <w:rFonts w:asciiTheme="majorHAnsi" w:hAnsiTheme="majorHAnsi" w:cstheme="majorBidi"/>
        </w:rPr>
        <w:t>20</w:t>
      </w:r>
      <w:r w:rsidRPr="008C6972">
        <w:rPr>
          <w:rFonts w:asciiTheme="majorHAnsi" w:hAnsiTheme="majorHAnsi" w:cstheme="majorBidi"/>
        </w:rPr>
        <w:t xml:space="preserve"> numărul  efectiv de personal angajat în întreprinderile publice centrale active a scăzut cu  </w:t>
      </w:r>
      <w:r>
        <w:rPr>
          <w:rFonts w:asciiTheme="majorHAnsi" w:hAnsiTheme="majorHAnsi" w:cstheme="majorBidi"/>
        </w:rPr>
        <w:t>7</w:t>
      </w:r>
      <w:r w:rsidRPr="008C6972">
        <w:rPr>
          <w:rFonts w:asciiTheme="majorHAnsi" w:hAnsiTheme="majorHAnsi" w:cstheme="majorBidi"/>
        </w:rPr>
        <w:t>.</w:t>
      </w:r>
      <w:r>
        <w:rPr>
          <w:rFonts w:asciiTheme="majorHAnsi" w:hAnsiTheme="majorHAnsi" w:cstheme="majorBidi"/>
        </w:rPr>
        <w:t>043</w:t>
      </w:r>
      <w:r w:rsidRPr="008C6972">
        <w:rPr>
          <w:rFonts w:asciiTheme="majorHAnsi" w:hAnsiTheme="majorHAnsi" w:cstheme="majorBidi"/>
        </w:rPr>
        <w:t xml:space="preserve"> persoane față de anul 201</w:t>
      </w:r>
      <w:r>
        <w:rPr>
          <w:rFonts w:asciiTheme="majorHAnsi" w:hAnsiTheme="majorHAnsi" w:cstheme="majorBidi"/>
        </w:rPr>
        <w:t>9</w:t>
      </w:r>
      <w:r w:rsidRPr="008C6972">
        <w:rPr>
          <w:rFonts w:asciiTheme="majorHAnsi" w:hAnsiTheme="majorHAnsi" w:cstheme="majorBidi"/>
        </w:rPr>
        <w:t xml:space="preserve">.  </w:t>
      </w:r>
    </w:p>
    <w:p w14:paraId="092719F4" w14:textId="77777777" w:rsidR="008A5EBC" w:rsidRDefault="008A5EBC" w:rsidP="00C45440">
      <w:pPr>
        <w:pStyle w:val="ListParagraph"/>
        <w:ind w:left="0"/>
        <w:jc w:val="both"/>
        <w:rPr>
          <w:rFonts w:asciiTheme="majorHAnsi" w:hAnsiTheme="majorHAnsi"/>
        </w:rPr>
      </w:pPr>
    </w:p>
    <w:p w14:paraId="3C1B57D8" w14:textId="77777777" w:rsidR="00C45440" w:rsidRPr="008C6972" w:rsidRDefault="00887CB0" w:rsidP="00C45440">
      <w:pPr>
        <w:pStyle w:val="ListParagraph"/>
        <w:ind w:left="0"/>
        <w:jc w:val="both"/>
        <w:rPr>
          <w:rFonts w:asciiTheme="majorHAnsi" w:hAnsiTheme="majorHAnsi"/>
        </w:rPr>
      </w:pPr>
      <w:r>
        <w:rPr>
          <w:rFonts w:asciiTheme="majorHAnsi" w:hAnsiTheme="majorHAnsi"/>
          <w:noProof/>
          <w:lang w:val="en-US"/>
        </w:rPr>
        <w:drawing>
          <wp:inline distT="0" distB="0" distL="0" distR="0" wp14:anchorId="040B17B4" wp14:editId="3898FA3B">
            <wp:extent cx="2834640" cy="2932430"/>
            <wp:effectExtent l="0" t="0" r="3810"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4640" cy="2932430"/>
                    </a:xfrm>
                    <a:prstGeom prst="rect">
                      <a:avLst/>
                    </a:prstGeom>
                    <a:noFill/>
                  </pic:spPr>
                </pic:pic>
              </a:graphicData>
            </a:graphic>
          </wp:inline>
        </w:drawing>
      </w:r>
      <w:r>
        <w:rPr>
          <w:rFonts w:asciiTheme="majorHAnsi" w:hAnsiTheme="majorHAnsi"/>
          <w:noProof/>
          <w:lang w:val="en-US"/>
        </w:rPr>
        <w:drawing>
          <wp:inline distT="0" distB="0" distL="0" distR="0" wp14:anchorId="5FC478DB" wp14:editId="0F5D5815">
            <wp:extent cx="2834640" cy="2932430"/>
            <wp:effectExtent l="0" t="0" r="381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2932430"/>
                    </a:xfrm>
                    <a:prstGeom prst="rect">
                      <a:avLst/>
                    </a:prstGeom>
                    <a:noFill/>
                  </pic:spPr>
                </pic:pic>
              </a:graphicData>
            </a:graphic>
          </wp:inline>
        </w:drawing>
      </w:r>
    </w:p>
    <w:p w14:paraId="0005C7C6" w14:textId="77777777" w:rsidR="00C45440" w:rsidRPr="008C6972" w:rsidRDefault="00C45440" w:rsidP="00C45440">
      <w:pPr>
        <w:pStyle w:val="ListParagraph"/>
        <w:ind w:left="0"/>
        <w:jc w:val="both"/>
        <w:rPr>
          <w:rFonts w:asciiTheme="majorHAnsi" w:hAnsiTheme="majorHAnsi"/>
        </w:rPr>
      </w:pPr>
    </w:p>
    <w:p w14:paraId="78CDA349" w14:textId="77777777" w:rsidR="00C45440" w:rsidRPr="008C6972" w:rsidRDefault="00887CB0" w:rsidP="00887CB0">
      <w:pPr>
        <w:pStyle w:val="ListParagraph"/>
        <w:ind w:left="0"/>
        <w:jc w:val="center"/>
        <w:rPr>
          <w:rFonts w:asciiTheme="majorHAnsi" w:hAnsiTheme="majorHAnsi"/>
        </w:rPr>
      </w:pPr>
      <w:r>
        <w:rPr>
          <w:rFonts w:asciiTheme="majorHAnsi" w:hAnsiTheme="majorHAnsi"/>
          <w:noProof/>
          <w:lang w:val="en-US"/>
        </w:rPr>
        <w:drawing>
          <wp:inline distT="0" distB="0" distL="0" distR="0" wp14:anchorId="0B08CE09" wp14:editId="6BD4EFC8">
            <wp:extent cx="5121275" cy="2926080"/>
            <wp:effectExtent l="0" t="0" r="3175" b="762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1275" cy="2926080"/>
                    </a:xfrm>
                    <a:prstGeom prst="rect">
                      <a:avLst/>
                    </a:prstGeom>
                    <a:noFill/>
                  </pic:spPr>
                </pic:pic>
              </a:graphicData>
            </a:graphic>
          </wp:inline>
        </w:drawing>
      </w:r>
    </w:p>
    <w:p w14:paraId="03FE15BF" w14:textId="77777777" w:rsidR="00C45440" w:rsidRPr="008C6972" w:rsidRDefault="00C45440" w:rsidP="00651101">
      <w:pPr>
        <w:spacing w:beforeAutospacing="1" w:after="100" w:afterAutospacing="1" w:line="23" w:lineRule="atLeast"/>
        <w:jc w:val="both"/>
        <w:rPr>
          <w:rFonts w:asciiTheme="majorHAnsi" w:hAnsiTheme="majorHAnsi" w:cstheme="majorBidi"/>
        </w:rPr>
      </w:pPr>
      <w:r w:rsidRPr="008C6972">
        <w:rPr>
          <w:rFonts w:asciiTheme="majorHAnsi" w:hAnsiTheme="majorHAnsi" w:cstheme="majorBidi"/>
        </w:rPr>
        <w:t>Cheltuielile de natură salarială totale au înregistrat în anul 20</w:t>
      </w:r>
      <w:r>
        <w:rPr>
          <w:rFonts w:asciiTheme="majorHAnsi" w:hAnsiTheme="majorHAnsi" w:cstheme="majorBidi"/>
        </w:rPr>
        <w:t>20</w:t>
      </w:r>
      <w:r w:rsidRPr="008C6972">
        <w:rPr>
          <w:rFonts w:asciiTheme="majorHAnsi" w:hAnsiTheme="majorHAnsi" w:cstheme="majorBidi"/>
        </w:rPr>
        <w:t xml:space="preserve"> o creștere cu </w:t>
      </w:r>
      <w:r>
        <w:rPr>
          <w:rFonts w:asciiTheme="majorHAnsi" w:hAnsiTheme="majorHAnsi" w:cstheme="majorBidi"/>
        </w:rPr>
        <w:t>3</w:t>
      </w:r>
      <w:r w:rsidRPr="008C6972">
        <w:rPr>
          <w:rFonts w:asciiTheme="majorHAnsi" w:hAnsiTheme="majorHAnsi" w:cstheme="majorBidi"/>
        </w:rPr>
        <w:t>,</w:t>
      </w:r>
      <w:r>
        <w:rPr>
          <w:rFonts w:asciiTheme="majorHAnsi" w:hAnsiTheme="majorHAnsi" w:cstheme="majorBidi"/>
        </w:rPr>
        <w:t>67</w:t>
      </w:r>
      <w:r w:rsidRPr="008C6972">
        <w:rPr>
          <w:rFonts w:asciiTheme="majorHAnsi" w:hAnsiTheme="majorHAnsi" w:cstheme="majorBidi"/>
        </w:rPr>
        <w:t xml:space="preserve">%, respectiv cu suma de </w:t>
      </w:r>
      <w:r>
        <w:rPr>
          <w:rFonts w:asciiTheme="majorHAnsi" w:hAnsiTheme="majorHAnsi" w:cstheme="majorBidi"/>
        </w:rPr>
        <w:t>486</w:t>
      </w:r>
      <w:r w:rsidRPr="008C6972">
        <w:rPr>
          <w:rFonts w:asciiTheme="majorHAnsi" w:hAnsiTheme="majorHAnsi" w:cstheme="majorBidi"/>
        </w:rPr>
        <w:t>.</w:t>
      </w:r>
      <w:r>
        <w:rPr>
          <w:rFonts w:asciiTheme="majorHAnsi" w:hAnsiTheme="majorHAnsi" w:cstheme="majorBidi"/>
        </w:rPr>
        <w:t>687</w:t>
      </w:r>
      <w:r w:rsidRPr="008C6972">
        <w:rPr>
          <w:rFonts w:asciiTheme="majorHAnsi" w:hAnsiTheme="majorHAnsi" w:cstheme="majorBidi"/>
        </w:rPr>
        <w:t xml:space="preserve"> mii lei față de anul 201</w:t>
      </w:r>
      <w:r>
        <w:rPr>
          <w:rFonts w:asciiTheme="majorHAnsi" w:hAnsiTheme="majorHAnsi" w:cstheme="majorBidi"/>
        </w:rPr>
        <w:t>9</w:t>
      </w:r>
      <w:r w:rsidRPr="008C6972">
        <w:rPr>
          <w:rFonts w:asciiTheme="majorHAnsi" w:hAnsiTheme="majorHAnsi" w:cstheme="majorBidi"/>
        </w:rPr>
        <w:t>, ca urmare în principal a creșterilor l</w:t>
      </w:r>
      <w:r>
        <w:rPr>
          <w:rFonts w:asciiTheme="majorHAnsi" w:hAnsiTheme="majorHAnsi" w:cstheme="majorBidi"/>
        </w:rPr>
        <w:t>a</w:t>
      </w:r>
      <w:r w:rsidRPr="008C6972">
        <w:rPr>
          <w:rFonts w:asciiTheme="majorHAnsi" w:hAnsiTheme="majorHAnsi" w:cstheme="majorBidi"/>
        </w:rPr>
        <w:t xml:space="preserve"> </w:t>
      </w:r>
      <w:r w:rsidRPr="00B7397B">
        <w:rPr>
          <w:rFonts w:asciiTheme="majorHAnsi" w:hAnsiTheme="majorHAnsi" w:cstheme="majorBidi"/>
        </w:rPr>
        <w:t>Metrorex SA</w:t>
      </w:r>
      <w:r w:rsidRPr="008C6972">
        <w:rPr>
          <w:rFonts w:asciiTheme="majorHAnsi" w:hAnsiTheme="majorHAnsi" w:cstheme="majorBidi"/>
        </w:rPr>
        <w:t>. cu suma de 1</w:t>
      </w:r>
      <w:r>
        <w:rPr>
          <w:rFonts w:asciiTheme="majorHAnsi" w:hAnsiTheme="majorHAnsi" w:cstheme="majorBidi"/>
        </w:rPr>
        <w:t>24</w:t>
      </w:r>
      <w:r w:rsidRPr="008C6972">
        <w:rPr>
          <w:rFonts w:asciiTheme="majorHAnsi" w:hAnsiTheme="majorHAnsi" w:cstheme="majorBidi"/>
        </w:rPr>
        <w:t>.</w:t>
      </w:r>
      <w:r>
        <w:rPr>
          <w:rFonts w:asciiTheme="majorHAnsi" w:hAnsiTheme="majorHAnsi" w:cstheme="majorBidi"/>
        </w:rPr>
        <w:t>311</w:t>
      </w:r>
      <w:r w:rsidRPr="008C6972">
        <w:rPr>
          <w:rFonts w:asciiTheme="majorHAnsi" w:hAnsiTheme="majorHAnsi" w:cstheme="majorBidi"/>
        </w:rPr>
        <w:t xml:space="preserve"> mii lei, </w:t>
      </w:r>
      <w:r>
        <w:rPr>
          <w:rFonts w:asciiTheme="majorHAnsi" w:hAnsiTheme="majorHAnsi" w:cstheme="majorBidi"/>
        </w:rPr>
        <w:t xml:space="preserve">la </w:t>
      </w:r>
      <w:r w:rsidRPr="00CE3951">
        <w:rPr>
          <w:rFonts w:asciiTheme="majorHAnsi" w:hAnsiTheme="majorHAnsi" w:cstheme="majorBidi"/>
        </w:rPr>
        <w:t>Compania Na</w:t>
      </w:r>
      <w:r>
        <w:rPr>
          <w:rFonts w:asciiTheme="majorHAnsi" w:hAnsiTheme="majorHAnsi" w:cstheme="majorBidi"/>
        </w:rPr>
        <w:t>ț</w:t>
      </w:r>
      <w:r w:rsidRPr="00CE3951">
        <w:rPr>
          <w:rFonts w:asciiTheme="majorHAnsi" w:hAnsiTheme="majorHAnsi" w:cstheme="majorBidi"/>
        </w:rPr>
        <w:t>ional</w:t>
      </w:r>
      <w:r>
        <w:rPr>
          <w:rFonts w:asciiTheme="majorHAnsi" w:hAnsiTheme="majorHAnsi" w:cstheme="majorBidi"/>
        </w:rPr>
        <w:t>ă</w:t>
      </w:r>
      <w:r w:rsidRPr="00CE3951">
        <w:rPr>
          <w:rFonts w:asciiTheme="majorHAnsi" w:hAnsiTheme="majorHAnsi" w:cstheme="majorBidi"/>
        </w:rPr>
        <w:t xml:space="preserve"> </w:t>
      </w:r>
      <w:r>
        <w:rPr>
          <w:rFonts w:asciiTheme="majorHAnsi" w:hAnsiTheme="majorHAnsi" w:cstheme="majorBidi"/>
        </w:rPr>
        <w:t>d</w:t>
      </w:r>
      <w:r w:rsidRPr="00CE3951">
        <w:rPr>
          <w:rFonts w:asciiTheme="majorHAnsi" w:hAnsiTheme="majorHAnsi" w:cstheme="majorBidi"/>
        </w:rPr>
        <w:t>e C</w:t>
      </w:r>
      <w:r>
        <w:rPr>
          <w:rFonts w:asciiTheme="majorHAnsi" w:hAnsiTheme="majorHAnsi" w:cstheme="majorBidi"/>
        </w:rPr>
        <w:t>ă</w:t>
      </w:r>
      <w:r w:rsidRPr="00CE3951">
        <w:rPr>
          <w:rFonts w:asciiTheme="majorHAnsi" w:hAnsiTheme="majorHAnsi" w:cstheme="majorBidi"/>
        </w:rPr>
        <w:t>i Ferate "CFR" SA</w:t>
      </w:r>
      <w:r w:rsidRPr="008C6972">
        <w:rPr>
          <w:rFonts w:asciiTheme="majorHAnsi" w:hAnsiTheme="majorHAnsi" w:cstheme="majorBidi"/>
        </w:rPr>
        <w:t xml:space="preserve"> cu suma de </w:t>
      </w:r>
      <w:r>
        <w:rPr>
          <w:rFonts w:asciiTheme="majorHAnsi" w:hAnsiTheme="majorHAnsi" w:cstheme="majorBidi"/>
        </w:rPr>
        <w:t>83</w:t>
      </w:r>
      <w:r w:rsidRPr="008C6972">
        <w:rPr>
          <w:rFonts w:asciiTheme="majorHAnsi" w:hAnsiTheme="majorHAnsi" w:cstheme="majorBidi"/>
        </w:rPr>
        <w:t>.</w:t>
      </w:r>
      <w:r>
        <w:rPr>
          <w:rFonts w:asciiTheme="majorHAnsi" w:hAnsiTheme="majorHAnsi" w:cstheme="majorBidi"/>
        </w:rPr>
        <w:t>981</w:t>
      </w:r>
      <w:r w:rsidRPr="008C6972">
        <w:rPr>
          <w:rFonts w:asciiTheme="majorHAnsi" w:hAnsiTheme="majorHAnsi" w:cstheme="majorBidi"/>
        </w:rPr>
        <w:t xml:space="preserve"> mii lei și </w:t>
      </w:r>
      <w:r>
        <w:rPr>
          <w:rFonts w:asciiTheme="majorHAnsi" w:hAnsiTheme="majorHAnsi" w:cstheme="majorBidi"/>
        </w:rPr>
        <w:t>l</w:t>
      </w:r>
      <w:r w:rsidRPr="008C6972">
        <w:rPr>
          <w:rFonts w:asciiTheme="majorHAnsi" w:hAnsiTheme="majorHAnsi" w:cstheme="majorBidi"/>
        </w:rPr>
        <w:t xml:space="preserve">a </w:t>
      </w:r>
      <w:r w:rsidRPr="00CE3951">
        <w:rPr>
          <w:rFonts w:asciiTheme="majorHAnsi" w:hAnsiTheme="majorHAnsi" w:cstheme="majorBidi"/>
        </w:rPr>
        <w:t>Compania Na</w:t>
      </w:r>
      <w:r>
        <w:rPr>
          <w:rFonts w:asciiTheme="majorHAnsi" w:hAnsiTheme="majorHAnsi" w:cstheme="majorBidi"/>
        </w:rPr>
        <w:t>ț</w:t>
      </w:r>
      <w:r w:rsidRPr="00CE3951">
        <w:rPr>
          <w:rFonts w:asciiTheme="majorHAnsi" w:hAnsiTheme="majorHAnsi" w:cstheme="majorBidi"/>
        </w:rPr>
        <w:t>ional</w:t>
      </w:r>
      <w:r>
        <w:rPr>
          <w:rFonts w:asciiTheme="majorHAnsi" w:hAnsiTheme="majorHAnsi" w:cstheme="majorBidi"/>
        </w:rPr>
        <w:t>ă</w:t>
      </w:r>
      <w:r w:rsidRPr="00CE3951">
        <w:rPr>
          <w:rFonts w:asciiTheme="majorHAnsi" w:hAnsiTheme="majorHAnsi" w:cstheme="majorBidi"/>
        </w:rPr>
        <w:t xml:space="preserve"> Po</w:t>
      </w:r>
      <w:r>
        <w:rPr>
          <w:rFonts w:asciiTheme="majorHAnsi" w:hAnsiTheme="majorHAnsi" w:cstheme="majorBidi"/>
        </w:rPr>
        <w:t>ș</w:t>
      </w:r>
      <w:r w:rsidRPr="00CE3951">
        <w:rPr>
          <w:rFonts w:asciiTheme="majorHAnsi" w:hAnsiTheme="majorHAnsi" w:cstheme="majorBidi"/>
        </w:rPr>
        <w:t>ta Rom</w:t>
      </w:r>
      <w:r>
        <w:rPr>
          <w:rFonts w:asciiTheme="majorHAnsi" w:hAnsiTheme="majorHAnsi" w:cstheme="majorBidi"/>
        </w:rPr>
        <w:t>â</w:t>
      </w:r>
      <w:r w:rsidRPr="00CE3951">
        <w:rPr>
          <w:rFonts w:asciiTheme="majorHAnsi" w:hAnsiTheme="majorHAnsi" w:cstheme="majorBidi"/>
        </w:rPr>
        <w:t>n</w:t>
      </w:r>
      <w:r>
        <w:rPr>
          <w:rFonts w:asciiTheme="majorHAnsi" w:hAnsiTheme="majorHAnsi" w:cstheme="majorBidi"/>
        </w:rPr>
        <w:t>ă</w:t>
      </w:r>
      <w:r w:rsidRPr="00CE3951">
        <w:rPr>
          <w:rFonts w:asciiTheme="majorHAnsi" w:hAnsiTheme="majorHAnsi" w:cstheme="majorBidi"/>
        </w:rPr>
        <w:t xml:space="preserve"> SA</w:t>
      </w:r>
      <w:r w:rsidRPr="008C6972">
        <w:rPr>
          <w:rFonts w:asciiTheme="majorHAnsi" w:hAnsiTheme="majorHAnsi" w:cstheme="majorBidi"/>
        </w:rPr>
        <w:t xml:space="preserve">. cu suma de </w:t>
      </w:r>
      <w:r>
        <w:rPr>
          <w:rFonts w:asciiTheme="majorHAnsi" w:hAnsiTheme="majorHAnsi" w:cstheme="majorBidi"/>
        </w:rPr>
        <w:t>71</w:t>
      </w:r>
      <w:r w:rsidRPr="008C6972">
        <w:rPr>
          <w:rFonts w:asciiTheme="majorHAnsi" w:hAnsiTheme="majorHAnsi" w:cstheme="majorBidi"/>
        </w:rPr>
        <w:t>.</w:t>
      </w:r>
      <w:r>
        <w:rPr>
          <w:rFonts w:asciiTheme="majorHAnsi" w:hAnsiTheme="majorHAnsi" w:cstheme="majorBidi"/>
        </w:rPr>
        <w:t>676</w:t>
      </w:r>
      <w:r w:rsidRPr="008C6972">
        <w:rPr>
          <w:rFonts w:asciiTheme="majorHAnsi" w:hAnsiTheme="majorHAnsi" w:cstheme="majorBidi"/>
        </w:rPr>
        <w:t xml:space="preserve"> mii lei.</w:t>
      </w:r>
    </w:p>
    <w:p w14:paraId="4594E2C7" w14:textId="77777777" w:rsidR="00C45440" w:rsidRDefault="00C45440" w:rsidP="00651101">
      <w:pPr>
        <w:spacing w:beforeAutospacing="1" w:after="100" w:afterAutospacing="1" w:line="23" w:lineRule="atLeast"/>
        <w:jc w:val="both"/>
        <w:rPr>
          <w:rFonts w:asciiTheme="majorHAnsi" w:hAnsiTheme="majorHAnsi" w:cstheme="majorBidi"/>
        </w:rPr>
      </w:pPr>
      <w:r w:rsidRPr="008C537B">
        <w:rPr>
          <w:rFonts w:asciiTheme="majorHAnsi" w:hAnsiTheme="majorHAnsi" w:cstheme="majorBidi"/>
        </w:rPr>
        <w:t xml:space="preserve">În anul 2020, față de anul precedent, câștigul mediu brut lunar pe salariat pentru ÎPC active a crescut cu </w:t>
      </w:r>
      <w:r>
        <w:rPr>
          <w:rFonts w:asciiTheme="majorHAnsi" w:hAnsiTheme="majorHAnsi" w:cstheme="majorBidi"/>
        </w:rPr>
        <w:t>483</w:t>
      </w:r>
      <w:r w:rsidRPr="008C537B">
        <w:rPr>
          <w:rFonts w:asciiTheme="majorHAnsi" w:hAnsiTheme="majorHAnsi" w:cstheme="majorBidi"/>
        </w:rPr>
        <w:t xml:space="preserve"> lei de la 6.128 lei la  6.</w:t>
      </w:r>
      <w:r>
        <w:rPr>
          <w:rFonts w:asciiTheme="majorHAnsi" w:hAnsiTheme="majorHAnsi" w:cstheme="majorBidi"/>
        </w:rPr>
        <w:t>611</w:t>
      </w:r>
      <w:r w:rsidRPr="008C537B">
        <w:rPr>
          <w:rFonts w:asciiTheme="majorHAnsi" w:hAnsiTheme="majorHAnsi" w:cstheme="majorBidi"/>
        </w:rPr>
        <w:t xml:space="preserve"> lei, reprezent</w:t>
      </w:r>
      <w:r>
        <w:rPr>
          <w:rFonts w:asciiTheme="majorHAnsi" w:hAnsiTheme="majorHAnsi" w:cstheme="majorBidi"/>
        </w:rPr>
        <w:t>â</w:t>
      </w:r>
      <w:r w:rsidRPr="008C537B">
        <w:rPr>
          <w:rFonts w:asciiTheme="majorHAnsi" w:hAnsiTheme="majorHAnsi" w:cstheme="majorBidi"/>
        </w:rPr>
        <w:t>nd o creștere de 7,</w:t>
      </w:r>
      <w:r>
        <w:rPr>
          <w:rFonts w:asciiTheme="majorHAnsi" w:hAnsiTheme="majorHAnsi" w:cstheme="majorBidi"/>
        </w:rPr>
        <w:t>88</w:t>
      </w:r>
      <w:r w:rsidRPr="008C537B">
        <w:rPr>
          <w:rFonts w:asciiTheme="majorHAnsi" w:hAnsiTheme="majorHAnsi" w:cstheme="majorBidi"/>
        </w:rPr>
        <w:t>%. Câștigul mediu brut lunar pe salariat în economie pentru anul 2020 a fost de 4.841 lei, cu 26</w:t>
      </w:r>
      <w:r>
        <w:rPr>
          <w:rFonts w:asciiTheme="majorHAnsi" w:hAnsiTheme="majorHAnsi" w:cstheme="majorBidi"/>
        </w:rPr>
        <w:t>,78</w:t>
      </w:r>
      <w:r w:rsidRPr="008C537B">
        <w:rPr>
          <w:rFonts w:asciiTheme="majorHAnsi" w:hAnsiTheme="majorHAnsi" w:cstheme="majorBidi"/>
        </w:rPr>
        <w:t xml:space="preserve"> % (1.7</w:t>
      </w:r>
      <w:r>
        <w:rPr>
          <w:rFonts w:asciiTheme="majorHAnsi" w:hAnsiTheme="majorHAnsi" w:cstheme="majorBidi"/>
        </w:rPr>
        <w:t>70</w:t>
      </w:r>
      <w:r w:rsidRPr="008C537B">
        <w:rPr>
          <w:rFonts w:asciiTheme="majorHAnsi" w:hAnsiTheme="majorHAnsi" w:cstheme="majorBidi"/>
        </w:rPr>
        <w:t xml:space="preserve"> lei) mai mic decât câștigul mediu brut lunar pe salariat înregistrat de  IPC active.</w:t>
      </w:r>
    </w:p>
    <w:p w14:paraId="7BCCD471" w14:textId="77777777" w:rsidR="00C45440" w:rsidRPr="000C045A" w:rsidRDefault="00C45440" w:rsidP="00651101">
      <w:pPr>
        <w:spacing w:beforeAutospacing="1" w:after="100" w:afterAutospacing="1" w:line="23" w:lineRule="atLeast"/>
        <w:jc w:val="both"/>
        <w:rPr>
          <w:rFonts w:asciiTheme="majorHAnsi" w:hAnsiTheme="majorHAnsi" w:cstheme="majorBidi"/>
          <w:b/>
          <w:bCs/>
        </w:rPr>
      </w:pPr>
      <w:r w:rsidRPr="00810365">
        <w:rPr>
          <w:rFonts w:asciiTheme="majorHAnsi" w:hAnsiTheme="majorHAnsi" w:cstheme="majorBidi"/>
          <w:b/>
          <w:bCs/>
        </w:rPr>
        <w:t>Cele mai mari creșteri în anul 2020 ale sumelor destinate cheltuielilor de natură salarială</w:t>
      </w:r>
      <w:r w:rsidRPr="00810365">
        <w:rPr>
          <w:rFonts w:asciiTheme="majorHAnsi" w:hAnsiTheme="majorHAnsi" w:cstheme="majorBidi"/>
        </w:rPr>
        <w:t xml:space="preserve"> s-au înregistrat la ÎPC din subordinea următoarelor autorități publice tutelare:</w:t>
      </w:r>
    </w:p>
    <w:p w14:paraId="7BFEDF52" w14:textId="77777777" w:rsidR="00C45440" w:rsidRPr="008C6972" w:rsidRDefault="00C45440" w:rsidP="00F26763">
      <w:pPr>
        <w:numPr>
          <w:ilvl w:val="2"/>
          <w:numId w:val="8"/>
        </w:numPr>
        <w:spacing w:beforeAutospacing="1" w:after="100" w:afterAutospacing="1" w:line="23" w:lineRule="atLeast"/>
        <w:ind w:left="270" w:hanging="284"/>
        <w:contextualSpacing/>
        <w:jc w:val="both"/>
        <w:rPr>
          <w:rFonts w:asciiTheme="majorHAnsi" w:hAnsiTheme="majorHAnsi" w:cstheme="majorBidi"/>
          <w:kern w:val="20"/>
          <w:lang w:eastAsia="ja-JP"/>
        </w:rPr>
      </w:pPr>
      <w:r w:rsidRPr="00810365">
        <w:rPr>
          <w:rFonts w:asciiTheme="majorHAnsi" w:hAnsiTheme="majorHAnsi" w:cstheme="majorBidi"/>
          <w:kern w:val="20"/>
          <w:lang w:eastAsia="ja-JP"/>
        </w:rPr>
        <w:t xml:space="preserve">Ministerul Transporturilor, Infrastructurii </w:t>
      </w:r>
      <w:r>
        <w:rPr>
          <w:rFonts w:asciiTheme="majorHAnsi" w:hAnsiTheme="majorHAnsi" w:cstheme="majorBidi"/>
          <w:kern w:val="20"/>
          <w:lang w:eastAsia="ja-JP"/>
        </w:rPr>
        <w:t>ș</w:t>
      </w:r>
      <w:r w:rsidRPr="00810365">
        <w:rPr>
          <w:rFonts w:asciiTheme="majorHAnsi" w:hAnsiTheme="majorHAnsi" w:cstheme="majorBidi"/>
          <w:kern w:val="20"/>
          <w:lang w:eastAsia="ja-JP"/>
        </w:rPr>
        <w:t>i Comunica</w:t>
      </w:r>
      <w:r>
        <w:rPr>
          <w:rFonts w:asciiTheme="majorHAnsi" w:hAnsiTheme="majorHAnsi" w:cstheme="majorBidi"/>
          <w:kern w:val="20"/>
          <w:lang w:eastAsia="ja-JP"/>
        </w:rPr>
        <w:t>ț</w:t>
      </w:r>
      <w:r w:rsidRPr="00810365">
        <w:rPr>
          <w:rFonts w:asciiTheme="majorHAnsi" w:hAnsiTheme="majorHAnsi" w:cstheme="majorBidi"/>
          <w:kern w:val="20"/>
          <w:lang w:eastAsia="ja-JP"/>
        </w:rPr>
        <w:t xml:space="preserve">iilor </w:t>
      </w:r>
      <w:r w:rsidRPr="008C6972">
        <w:rPr>
          <w:rFonts w:asciiTheme="majorHAnsi" w:hAnsiTheme="majorHAnsi" w:cstheme="majorBidi"/>
          <w:kern w:val="20"/>
          <w:lang w:eastAsia="ja-JP"/>
        </w:rPr>
        <w:t xml:space="preserve">în sumă de </w:t>
      </w:r>
      <w:r w:rsidRPr="00810365">
        <w:rPr>
          <w:rFonts w:asciiTheme="majorHAnsi" w:hAnsiTheme="majorHAnsi" w:cstheme="majorBidi"/>
          <w:kern w:val="20"/>
          <w:lang w:eastAsia="ja-JP"/>
        </w:rPr>
        <w:t>219</w:t>
      </w:r>
      <w:r>
        <w:rPr>
          <w:rFonts w:asciiTheme="majorHAnsi" w:hAnsiTheme="majorHAnsi" w:cstheme="majorBidi"/>
          <w:kern w:val="20"/>
          <w:lang w:eastAsia="ja-JP"/>
        </w:rPr>
        <w:t>.</w:t>
      </w:r>
      <w:r w:rsidRPr="00810365">
        <w:rPr>
          <w:rFonts w:asciiTheme="majorHAnsi" w:hAnsiTheme="majorHAnsi" w:cstheme="majorBidi"/>
          <w:kern w:val="20"/>
          <w:lang w:eastAsia="ja-JP"/>
        </w:rPr>
        <w:t>088</w:t>
      </w:r>
      <w:r>
        <w:rPr>
          <w:rFonts w:asciiTheme="majorHAnsi" w:hAnsiTheme="majorHAnsi" w:cstheme="majorBidi"/>
          <w:kern w:val="20"/>
          <w:lang w:eastAsia="ja-JP"/>
        </w:rPr>
        <w:t xml:space="preserve"> </w:t>
      </w:r>
      <w:r w:rsidRPr="008C6972">
        <w:rPr>
          <w:rFonts w:asciiTheme="majorHAnsi" w:hAnsiTheme="majorHAnsi" w:cstheme="majorBidi"/>
          <w:kern w:val="20"/>
          <w:lang w:eastAsia="ja-JP"/>
        </w:rPr>
        <w:t>mii lei;</w:t>
      </w:r>
    </w:p>
    <w:p w14:paraId="7BCA38C2" w14:textId="77777777" w:rsidR="00C45440" w:rsidRPr="008C6972" w:rsidRDefault="00C45440" w:rsidP="00F26763">
      <w:pPr>
        <w:numPr>
          <w:ilvl w:val="2"/>
          <w:numId w:val="8"/>
        </w:numPr>
        <w:spacing w:beforeAutospacing="1" w:after="100" w:afterAutospacing="1" w:line="23" w:lineRule="atLeast"/>
        <w:ind w:left="270" w:hanging="284"/>
        <w:contextualSpacing/>
        <w:jc w:val="both"/>
        <w:rPr>
          <w:rFonts w:asciiTheme="majorHAnsi" w:hAnsiTheme="majorHAnsi" w:cstheme="majorBidi"/>
          <w:kern w:val="20"/>
          <w:lang w:eastAsia="ja-JP"/>
        </w:rPr>
      </w:pPr>
      <w:r w:rsidRPr="00810365">
        <w:rPr>
          <w:rFonts w:asciiTheme="majorHAnsi" w:hAnsiTheme="majorHAnsi" w:cstheme="majorBidi"/>
          <w:kern w:val="20"/>
          <w:lang w:eastAsia="ja-JP"/>
        </w:rPr>
        <w:t xml:space="preserve">Ministerul Economiei, Energiei </w:t>
      </w:r>
      <w:r>
        <w:rPr>
          <w:rFonts w:asciiTheme="majorHAnsi" w:hAnsiTheme="majorHAnsi" w:cstheme="majorBidi"/>
          <w:kern w:val="20"/>
          <w:lang w:eastAsia="ja-JP"/>
        </w:rPr>
        <w:t>ș</w:t>
      </w:r>
      <w:r w:rsidRPr="00810365">
        <w:rPr>
          <w:rFonts w:asciiTheme="majorHAnsi" w:hAnsiTheme="majorHAnsi" w:cstheme="majorBidi"/>
          <w:kern w:val="20"/>
          <w:lang w:eastAsia="ja-JP"/>
        </w:rPr>
        <w:t xml:space="preserve">i Mediului </w:t>
      </w:r>
      <w:r>
        <w:rPr>
          <w:rFonts w:asciiTheme="majorHAnsi" w:hAnsiTheme="majorHAnsi" w:cstheme="majorBidi"/>
          <w:kern w:val="20"/>
          <w:lang w:eastAsia="ja-JP"/>
        </w:rPr>
        <w:t>d</w:t>
      </w:r>
      <w:r w:rsidRPr="00810365">
        <w:rPr>
          <w:rFonts w:asciiTheme="majorHAnsi" w:hAnsiTheme="majorHAnsi" w:cstheme="majorBidi"/>
          <w:kern w:val="20"/>
          <w:lang w:eastAsia="ja-JP"/>
        </w:rPr>
        <w:t>e Afaceri</w:t>
      </w:r>
      <w:r>
        <w:rPr>
          <w:rFonts w:asciiTheme="majorHAnsi" w:hAnsiTheme="majorHAnsi" w:cstheme="majorBidi"/>
          <w:kern w:val="20"/>
          <w:lang w:eastAsia="ja-JP"/>
        </w:rPr>
        <w:t xml:space="preserve"> </w:t>
      </w:r>
      <w:r w:rsidRPr="008C6972">
        <w:rPr>
          <w:rFonts w:asciiTheme="majorHAnsi" w:hAnsiTheme="majorHAnsi" w:cstheme="majorBidi"/>
          <w:kern w:val="20"/>
          <w:lang w:eastAsia="ja-JP"/>
        </w:rPr>
        <w:t xml:space="preserve">în sumă de </w:t>
      </w:r>
      <w:r>
        <w:rPr>
          <w:rFonts w:asciiTheme="majorHAnsi" w:hAnsiTheme="majorHAnsi" w:cstheme="majorBidi"/>
          <w:kern w:val="20"/>
          <w:lang w:eastAsia="ja-JP"/>
        </w:rPr>
        <w:t>95</w:t>
      </w:r>
      <w:r w:rsidRPr="008C6972">
        <w:rPr>
          <w:rFonts w:asciiTheme="majorHAnsi" w:hAnsiTheme="majorHAnsi" w:cstheme="majorBidi"/>
          <w:kern w:val="20"/>
          <w:lang w:eastAsia="ja-JP"/>
        </w:rPr>
        <w:t>.</w:t>
      </w:r>
      <w:r>
        <w:rPr>
          <w:rFonts w:asciiTheme="majorHAnsi" w:hAnsiTheme="majorHAnsi" w:cstheme="majorBidi"/>
          <w:kern w:val="20"/>
          <w:lang w:eastAsia="ja-JP"/>
        </w:rPr>
        <w:t>715</w:t>
      </w:r>
      <w:r w:rsidRPr="008C6972">
        <w:rPr>
          <w:rFonts w:asciiTheme="majorHAnsi" w:hAnsiTheme="majorHAnsi" w:cstheme="majorBidi"/>
          <w:kern w:val="20"/>
          <w:lang w:eastAsia="ja-JP"/>
        </w:rPr>
        <w:t xml:space="preserve"> mii lei;</w:t>
      </w:r>
    </w:p>
    <w:p w14:paraId="17F060F1" w14:textId="77777777" w:rsidR="00C45440" w:rsidRPr="008C6972" w:rsidRDefault="00C45440" w:rsidP="00F26763">
      <w:pPr>
        <w:numPr>
          <w:ilvl w:val="2"/>
          <w:numId w:val="8"/>
        </w:numPr>
        <w:spacing w:beforeAutospacing="1" w:after="100" w:afterAutospacing="1" w:line="23" w:lineRule="atLeast"/>
        <w:ind w:left="270" w:hanging="284"/>
        <w:contextualSpacing/>
        <w:jc w:val="both"/>
        <w:rPr>
          <w:rFonts w:asciiTheme="majorHAnsi" w:hAnsiTheme="majorHAnsi" w:cstheme="majorBidi"/>
          <w:kern w:val="20"/>
          <w:lang w:eastAsia="ja-JP"/>
        </w:rPr>
      </w:pPr>
      <w:r w:rsidRPr="00810365">
        <w:rPr>
          <w:rFonts w:asciiTheme="majorHAnsi" w:hAnsiTheme="majorHAnsi" w:cstheme="majorBidi"/>
          <w:kern w:val="20"/>
          <w:lang w:eastAsia="ja-JP"/>
        </w:rPr>
        <w:t xml:space="preserve">Secretariatul General </w:t>
      </w:r>
      <w:r>
        <w:rPr>
          <w:rFonts w:asciiTheme="majorHAnsi" w:hAnsiTheme="majorHAnsi" w:cstheme="majorBidi"/>
          <w:kern w:val="20"/>
          <w:lang w:eastAsia="ja-JP"/>
        </w:rPr>
        <w:t>a</w:t>
      </w:r>
      <w:r w:rsidRPr="00810365">
        <w:rPr>
          <w:rFonts w:asciiTheme="majorHAnsi" w:hAnsiTheme="majorHAnsi" w:cstheme="majorBidi"/>
          <w:kern w:val="20"/>
          <w:lang w:eastAsia="ja-JP"/>
        </w:rPr>
        <w:t>l Guvernului</w:t>
      </w:r>
      <w:r>
        <w:rPr>
          <w:rFonts w:asciiTheme="majorHAnsi" w:hAnsiTheme="majorHAnsi" w:cstheme="majorBidi"/>
          <w:kern w:val="20"/>
          <w:lang w:eastAsia="ja-JP"/>
        </w:rPr>
        <w:t xml:space="preserve"> </w:t>
      </w:r>
      <w:r w:rsidRPr="008C6972">
        <w:rPr>
          <w:rFonts w:asciiTheme="majorHAnsi" w:hAnsiTheme="majorHAnsi" w:cstheme="majorBidi"/>
          <w:kern w:val="20"/>
          <w:lang w:eastAsia="ja-JP"/>
        </w:rPr>
        <w:t xml:space="preserve">în sumă de </w:t>
      </w:r>
      <w:r>
        <w:rPr>
          <w:rFonts w:asciiTheme="majorHAnsi" w:hAnsiTheme="majorHAnsi" w:cstheme="majorBidi"/>
          <w:kern w:val="20"/>
          <w:lang w:eastAsia="ja-JP"/>
        </w:rPr>
        <w:t>68</w:t>
      </w:r>
      <w:r w:rsidRPr="008C6972">
        <w:rPr>
          <w:rFonts w:asciiTheme="majorHAnsi" w:hAnsiTheme="majorHAnsi" w:cstheme="majorBidi"/>
          <w:kern w:val="20"/>
          <w:lang w:eastAsia="ja-JP"/>
        </w:rPr>
        <w:t>.</w:t>
      </w:r>
      <w:r>
        <w:rPr>
          <w:rFonts w:asciiTheme="majorHAnsi" w:hAnsiTheme="majorHAnsi" w:cstheme="majorBidi"/>
          <w:kern w:val="20"/>
          <w:lang w:eastAsia="ja-JP"/>
        </w:rPr>
        <w:t>049</w:t>
      </w:r>
      <w:r w:rsidRPr="008C6972">
        <w:rPr>
          <w:rFonts w:asciiTheme="majorHAnsi" w:hAnsiTheme="majorHAnsi" w:cstheme="majorBidi"/>
          <w:kern w:val="20"/>
          <w:lang w:eastAsia="ja-JP"/>
        </w:rPr>
        <w:t xml:space="preserve"> mii lei;</w:t>
      </w:r>
    </w:p>
    <w:p w14:paraId="7BC3B7C4" w14:textId="77777777" w:rsidR="00C45440" w:rsidRPr="008C6972" w:rsidRDefault="00C45440" w:rsidP="00F26763">
      <w:pPr>
        <w:numPr>
          <w:ilvl w:val="2"/>
          <w:numId w:val="8"/>
        </w:numPr>
        <w:spacing w:beforeAutospacing="1" w:after="100" w:afterAutospacing="1" w:line="23" w:lineRule="atLeast"/>
        <w:ind w:left="270" w:hanging="284"/>
        <w:contextualSpacing/>
        <w:jc w:val="both"/>
        <w:rPr>
          <w:rFonts w:asciiTheme="majorHAnsi" w:hAnsiTheme="majorHAnsi" w:cstheme="majorBidi"/>
          <w:kern w:val="20"/>
          <w:lang w:eastAsia="ja-JP"/>
        </w:rPr>
      </w:pPr>
      <w:r w:rsidRPr="00810365">
        <w:rPr>
          <w:rFonts w:asciiTheme="majorHAnsi" w:hAnsiTheme="majorHAnsi" w:cstheme="majorBidi"/>
          <w:kern w:val="20"/>
          <w:lang w:eastAsia="ja-JP"/>
        </w:rPr>
        <w:t>Ministerul Educa</w:t>
      </w:r>
      <w:r>
        <w:rPr>
          <w:rFonts w:asciiTheme="majorHAnsi" w:hAnsiTheme="majorHAnsi" w:cstheme="majorBidi"/>
          <w:kern w:val="20"/>
          <w:lang w:eastAsia="ja-JP"/>
        </w:rPr>
        <w:t>ț</w:t>
      </w:r>
      <w:r w:rsidRPr="00810365">
        <w:rPr>
          <w:rFonts w:asciiTheme="majorHAnsi" w:hAnsiTheme="majorHAnsi" w:cstheme="majorBidi"/>
          <w:kern w:val="20"/>
          <w:lang w:eastAsia="ja-JP"/>
        </w:rPr>
        <w:t xml:space="preserve">iei </w:t>
      </w:r>
      <w:r>
        <w:rPr>
          <w:rFonts w:asciiTheme="majorHAnsi" w:hAnsiTheme="majorHAnsi" w:cstheme="majorBidi"/>
          <w:kern w:val="20"/>
          <w:lang w:eastAsia="ja-JP"/>
        </w:rPr>
        <w:t>ș</w:t>
      </w:r>
      <w:r w:rsidRPr="00810365">
        <w:rPr>
          <w:rFonts w:asciiTheme="majorHAnsi" w:hAnsiTheme="majorHAnsi" w:cstheme="majorBidi"/>
          <w:kern w:val="20"/>
          <w:lang w:eastAsia="ja-JP"/>
        </w:rPr>
        <w:t>i Cercet</w:t>
      </w:r>
      <w:r>
        <w:rPr>
          <w:rFonts w:asciiTheme="majorHAnsi" w:hAnsiTheme="majorHAnsi" w:cstheme="majorBidi"/>
          <w:kern w:val="20"/>
          <w:lang w:eastAsia="ja-JP"/>
        </w:rPr>
        <w:t>ă</w:t>
      </w:r>
      <w:r w:rsidRPr="00810365">
        <w:rPr>
          <w:rFonts w:asciiTheme="majorHAnsi" w:hAnsiTheme="majorHAnsi" w:cstheme="majorBidi"/>
          <w:kern w:val="20"/>
          <w:lang w:eastAsia="ja-JP"/>
        </w:rPr>
        <w:t>rii</w:t>
      </w:r>
      <w:r>
        <w:rPr>
          <w:rFonts w:asciiTheme="majorHAnsi" w:hAnsiTheme="majorHAnsi" w:cstheme="majorBidi"/>
          <w:kern w:val="20"/>
          <w:lang w:eastAsia="ja-JP"/>
        </w:rPr>
        <w:t xml:space="preserve"> </w:t>
      </w:r>
      <w:r w:rsidRPr="008C6972">
        <w:rPr>
          <w:rFonts w:asciiTheme="majorHAnsi" w:hAnsiTheme="majorHAnsi" w:cstheme="majorBidi"/>
          <w:kern w:val="20"/>
          <w:lang w:eastAsia="ja-JP"/>
        </w:rPr>
        <w:t xml:space="preserve"> în sumă de </w:t>
      </w:r>
      <w:r>
        <w:rPr>
          <w:rFonts w:asciiTheme="majorHAnsi" w:hAnsiTheme="majorHAnsi" w:cstheme="majorBidi"/>
          <w:kern w:val="20"/>
          <w:lang w:eastAsia="ja-JP"/>
        </w:rPr>
        <w:t>1</w:t>
      </w:r>
      <w:r w:rsidRPr="008C6972">
        <w:rPr>
          <w:rFonts w:asciiTheme="majorHAnsi" w:hAnsiTheme="majorHAnsi" w:cstheme="majorBidi"/>
          <w:kern w:val="20"/>
          <w:lang w:eastAsia="ja-JP"/>
        </w:rPr>
        <w:t>9.</w:t>
      </w:r>
      <w:r>
        <w:rPr>
          <w:rFonts w:asciiTheme="majorHAnsi" w:hAnsiTheme="majorHAnsi" w:cstheme="majorBidi"/>
          <w:kern w:val="20"/>
          <w:lang w:eastAsia="ja-JP"/>
        </w:rPr>
        <w:t>449</w:t>
      </w:r>
      <w:r w:rsidRPr="008C6972">
        <w:rPr>
          <w:rFonts w:asciiTheme="majorHAnsi" w:hAnsiTheme="majorHAnsi" w:cstheme="majorBidi"/>
          <w:kern w:val="20"/>
          <w:lang w:eastAsia="ja-JP"/>
        </w:rPr>
        <w:t xml:space="preserve"> mii lei;</w:t>
      </w:r>
    </w:p>
    <w:p w14:paraId="1E6DDF94" w14:textId="77777777" w:rsidR="00C45440" w:rsidRPr="008C6972" w:rsidRDefault="00C45440" w:rsidP="00F26763">
      <w:pPr>
        <w:numPr>
          <w:ilvl w:val="2"/>
          <w:numId w:val="8"/>
        </w:numPr>
        <w:spacing w:beforeAutospacing="1" w:after="100" w:afterAutospacing="1" w:line="23" w:lineRule="atLeast"/>
        <w:ind w:left="270" w:hanging="284"/>
        <w:contextualSpacing/>
        <w:jc w:val="both"/>
        <w:rPr>
          <w:rFonts w:asciiTheme="majorHAnsi" w:hAnsiTheme="majorHAnsi" w:cstheme="majorBidi"/>
          <w:kern w:val="20"/>
          <w:lang w:eastAsia="ja-JP"/>
        </w:rPr>
      </w:pPr>
      <w:r w:rsidRPr="00810365">
        <w:rPr>
          <w:rFonts w:asciiTheme="majorHAnsi" w:hAnsiTheme="majorHAnsi" w:cstheme="majorBidi"/>
          <w:kern w:val="20"/>
          <w:lang w:eastAsia="ja-JP"/>
        </w:rPr>
        <w:t>Ministerul S</w:t>
      </w:r>
      <w:r>
        <w:rPr>
          <w:rFonts w:asciiTheme="majorHAnsi" w:hAnsiTheme="majorHAnsi" w:cstheme="majorBidi"/>
          <w:kern w:val="20"/>
          <w:lang w:eastAsia="ja-JP"/>
        </w:rPr>
        <w:t>ă</w:t>
      </w:r>
      <w:r w:rsidRPr="00810365">
        <w:rPr>
          <w:rFonts w:asciiTheme="majorHAnsi" w:hAnsiTheme="majorHAnsi" w:cstheme="majorBidi"/>
          <w:kern w:val="20"/>
          <w:lang w:eastAsia="ja-JP"/>
        </w:rPr>
        <w:t>n</w:t>
      </w:r>
      <w:r>
        <w:rPr>
          <w:rFonts w:asciiTheme="majorHAnsi" w:hAnsiTheme="majorHAnsi" w:cstheme="majorBidi"/>
          <w:kern w:val="20"/>
          <w:lang w:eastAsia="ja-JP"/>
        </w:rPr>
        <w:t>ă</w:t>
      </w:r>
      <w:r w:rsidRPr="00810365">
        <w:rPr>
          <w:rFonts w:asciiTheme="majorHAnsi" w:hAnsiTheme="majorHAnsi" w:cstheme="majorBidi"/>
          <w:kern w:val="20"/>
          <w:lang w:eastAsia="ja-JP"/>
        </w:rPr>
        <w:t>t</w:t>
      </w:r>
      <w:r>
        <w:rPr>
          <w:rFonts w:asciiTheme="majorHAnsi" w:hAnsiTheme="majorHAnsi" w:cstheme="majorBidi"/>
          <w:kern w:val="20"/>
          <w:lang w:eastAsia="ja-JP"/>
        </w:rPr>
        <w:t>ăț</w:t>
      </w:r>
      <w:r w:rsidRPr="00810365">
        <w:rPr>
          <w:rFonts w:asciiTheme="majorHAnsi" w:hAnsiTheme="majorHAnsi" w:cstheme="majorBidi"/>
          <w:kern w:val="20"/>
          <w:lang w:eastAsia="ja-JP"/>
        </w:rPr>
        <w:t>ii</w:t>
      </w:r>
      <w:r w:rsidRPr="008C6972">
        <w:rPr>
          <w:rFonts w:asciiTheme="majorHAnsi" w:hAnsiTheme="majorHAnsi" w:cstheme="majorBidi"/>
          <w:kern w:val="20"/>
          <w:lang w:eastAsia="ja-JP"/>
        </w:rPr>
        <w:t xml:space="preserve"> în sumă de </w:t>
      </w:r>
      <w:r>
        <w:rPr>
          <w:rFonts w:asciiTheme="majorHAnsi" w:hAnsiTheme="majorHAnsi" w:cstheme="majorBidi"/>
          <w:kern w:val="20"/>
          <w:lang w:eastAsia="ja-JP"/>
        </w:rPr>
        <w:t>10</w:t>
      </w:r>
      <w:r w:rsidRPr="008C6972">
        <w:rPr>
          <w:rFonts w:asciiTheme="majorHAnsi" w:hAnsiTheme="majorHAnsi" w:cstheme="majorBidi"/>
          <w:kern w:val="20"/>
          <w:lang w:eastAsia="ja-JP"/>
        </w:rPr>
        <w:t>.</w:t>
      </w:r>
      <w:r>
        <w:rPr>
          <w:rFonts w:asciiTheme="majorHAnsi" w:hAnsiTheme="majorHAnsi" w:cstheme="majorBidi"/>
          <w:kern w:val="20"/>
          <w:lang w:eastAsia="ja-JP"/>
        </w:rPr>
        <w:t>931</w:t>
      </w:r>
      <w:r w:rsidRPr="008C6972">
        <w:rPr>
          <w:rFonts w:asciiTheme="majorHAnsi" w:hAnsiTheme="majorHAnsi" w:cstheme="majorBidi"/>
          <w:kern w:val="20"/>
          <w:lang w:eastAsia="ja-JP"/>
        </w:rPr>
        <w:t xml:space="preserve"> mii lei</w:t>
      </w:r>
      <w:r w:rsidRPr="008C6972">
        <w:rPr>
          <w:rFonts w:asciiTheme="majorHAnsi" w:hAnsiTheme="majorHAnsi" w:cstheme="majorBidi"/>
          <w:kern w:val="20"/>
          <w:lang w:val="en-US" w:eastAsia="ja-JP"/>
        </w:rPr>
        <w:t>.</w:t>
      </w:r>
    </w:p>
    <w:p w14:paraId="7826F087" w14:textId="77777777" w:rsidR="00C45440" w:rsidRPr="008C6972" w:rsidRDefault="00C45440" w:rsidP="00651101">
      <w:pPr>
        <w:spacing w:before="0" w:after="0" w:line="23" w:lineRule="atLeast"/>
        <w:jc w:val="both"/>
        <w:rPr>
          <w:rFonts w:asciiTheme="majorHAnsi" w:hAnsiTheme="majorHAnsi" w:cstheme="majorBidi"/>
        </w:rPr>
      </w:pPr>
    </w:p>
    <w:p w14:paraId="08E65AFD" w14:textId="77777777" w:rsidR="00C45440" w:rsidRDefault="00C45440" w:rsidP="00651101">
      <w:pPr>
        <w:spacing w:before="0" w:after="0" w:line="23" w:lineRule="atLeast"/>
        <w:jc w:val="both"/>
        <w:rPr>
          <w:rFonts w:asciiTheme="majorHAnsi" w:hAnsiTheme="majorHAnsi" w:cstheme="majorBidi"/>
        </w:rPr>
      </w:pPr>
      <w:r w:rsidRPr="00256C8F">
        <w:rPr>
          <w:rFonts w:asciiTheme="majorHAnsi" w:hAnsiTheme="majorHAnsi" w:cstheme="majorBidi"/>
        </w:rPr>
        <w:t>În ceea ce privește numărul efectiv de personal, acesta a scăzut în anul 2020 față de anul 2019 cu 7.043  persoane.</w:t>
      </w:r>
    </w:p>
    <w:p w14:paraId="083D5DC7" w14:textId="77777777" w:rsidR="00C45440" w:rsidRPr="008C6972" w:rsidRDefault="00C45440" w:rsidP="00651101">
      <w:pPr>
        <w:spacing w:before="0" w:after="0" w:line="23" w:lineRule="atLeast"/>
        <w:jc w:val="both"/>
        <w:rPr>
          <w:rFonts w:asciiTheme="majorHAnsi" w:hAnsiTheme="majorHAnsi" w:cstheme="majorBidi"/>
        </w:rPr>
      </w:pPr>
      <w:r w:rsidRPr="00256C8F">
        <w:rPr>
          <w:rFonts w:asciiTheme="majorHAnsi" w:hAnsiTheme="majorHAnsi" w:cstheme="majorBidi"/>
        </w:rPr>
        <w:t>Dintre cele mai mari scăderi, enumerăm:</w:t>
      </w:r>
    </w:p>
    <w:p w14:paraId="354341CF" w14:textId="77777777" w:rsidR="00C45440" w:rsidRPr="00256C8F" w:rsidRDefault="00C45440" w:rsidP="00F26763">
      <w:pPr>
        <w:numPr>
          <w:ilvl w:val="0"/>
          <w:numId w:val="9"/>
        </w:numPr>
        <w:suppressAutoHyphens/>
        <w:spacing w:before="0" w:beforeAutospacing="1" w:after="0" w:afterAutospacing="1" w:line="23" w:lineRule="atLeast"/>
        <w:ind w:left="270" w:hanging="270"/>
        <w:contextualSpacing/>
        <w:jc w:val="both"/>
        <w:rPr>
          <w:rFonts w:asciiTheme="majorHAnsi" w:hAnsiTheme="majorHAnsi" w:cstheme="majorBidi"/>
          <w:kern w:val="20"/>
          <w:lang w:eastAsia="ja-JP"/>
        </w:rPr>
      </w:pPr>
      <w:r w:rsidRPr="00256C8F">
        <w:rPr>
          <w:rFonts w:ascii="Calibri Light" w:hAnsi="Calibri Light" w:cstheme="majorBidi"/>
          <w:kern w:val="20"/>
          <w:lang w:eastAsia="ja-JP"/>
        </w:rPr>
        <w:t>Regia Na</w:t>
      </w:r>
      <w:r>
        <w:rPr>
          <w:rFonts w:ascii="Calibri Light" w:hAnsi="Calibri Light" w:cstheme="majorBidi"/>
          <w:kern w:val="20"/>
          <w:lang w:eastAsia="ja-JP"/>
        </w:rPr>
        <w:t>ț</w:t>
      </w:r>
      <w:r w:rsidRPr="00256C8F">
        <w:rPr>
          <w:rFonts w:ascii="Calibri Light" w:hAnsi="Calibri Light" w:cstheme="majorBidi"/>
          <w:kern w:val="20"/>
          <w:lang w:eastAsia="ja-JP"/>
        </w:rPr>
        <w:t>ional</w:t>
      </w:r>
      <w:r>
        <w:rPr>
          <w:rFonts w:ascii="Calibri Light" w:hAnsi="Calibri Light" w:cstheme="majorBidi"/>
          <w:kern w:val="20"/>
          <w:lang w:eastAsia="ja-JP"/>
        </w:rPr>
        <w:t>ă</w:t>
      </w:r>
      <w:r w:rsidRPr="00256C8F">
        <w:rPr>
          <w:rFonts w:ascii="Calibri Light" w:hAnsi="Calibri Light" w:cstheme="majorBidi"/>
          <w:kern w:val="20"/>
          <w:lang w:eastAsia="ja-JP"/>
        </w:rPr>
        <w:t xml:space="preserve"> </w:t>
      </w:r>
      <w:r>
        <w:rPr>
          <w:rFonts w:ascii="Calibri Light" w:hAnsi="Calibri Light" w:cstheme="majorBidi"/>
          <w:kern w:val="20"/>
          <w:lang w:eastAsia="ja-JP"/>
        </w:rPr>
        <w:t>a</w:t>
      </w:r>
      <w:r w:rsidRPr="00256C8F">
        <w:rPr>
          <w:rFonts w:ascii="Calibri Light" w:hAnsi="Calibri Light" w:cstheme="majorBidi"/>
          <w:kern w:val="20"/>
          <w:lang w:eastAsia="ja-JP"/>
        </w:rPr>
        <w:t xml:space="preserve"> P</w:t>
      </w:r>
      <w:r>
        <w:rPr>
          <w:rFonts w:ascii="Calibri Light" w:hAnsi="Calibri Light" w:cstheme="majorBidi"/>
          <w:kern w:val="20"/>
          <w:lang w:eastAsia="ja-JP"/>
        </w:rPr>
        <w:t>ă</w:t>
      </w:r>
      <w:r w:rsidRPr="00256C8F">
        <w:rPr>
          <w:rFonts w:ascii="Calibri Light" w:hAnsi="Calibri Light" w:cstheme="majorBidi"/>
          <w:kern w:val="20"/>
          <w:lang w:eastAsia="ja-JP"/>
        </w:rPr>
        <w:t xml:space="preserve">durilor Romsilva RA </w:t>
      </w:r>
      <w:r w:rsidRPr="00256C8F">
        <w:rPr>
          <w:rFonts w:asciiTheme="majorHAnsi" w:hAnsiTheme="majorHAnsi" w:cstheme="majorBidi"/>
          <w:kern w:val="20"/>
          <w:lang w:eastAsia="ja-JP"/>
        </w:rPr>
        <w:t>a scăzut numărul de personal cu 1.249 persoane</w:t>
      </w:r>
      <w:r w:rsidRPr="00256C8F">
        <w:rPr>
          <w:rFonts w:ascii="Calibri Light" w:hAnsi="Calibri Light" w:cs="Calibri"/>
        </w:rPr>
        <w:t>;</w:t>
      </w:r>
    </w:p>
    <w:p w14:paraId="7040639C" w14:textId="77777777" w:rsidR="00C45440" w:rsidRPr="00256C8F" w:rsidRDefault="00C45440" w:rsidP="00F26763">
      <w:pPr>
        <w:numPr>
          <w:ilvl w:val="0"/>
          <w:numId w:val="9"/>
        </w:numPr>
        <w:suppressAutoHyphens/>
        <w:spacing w:before="0" w:beforeAutospacing="1" w:after="0" w:afterAutospacing="1" w:line="23" w:lineRule="atLeast"/>
        <w:ind w:left="270" w:hanging="270"/>
        <w:contextualSpacing/>
        <w:jc w:val="both"/>
        <w:rPr>
          <w:rFonts w:asciiTheme="majorHAnsi" w:hAnsiTheme="majorHAnsi" w:cstheme="majorBidi"/>
          <w:kern w:val="20"/>
          <w:lang w:eastAsia="ja-JP"/>
        </w:rPr>
      </w:pPr>
      <w:r w:rsidRPr="00256C8F">
        <w:rPr>
          <w:rFonts w:asciiTheme="majorHAnsi" w:hAnsiTheme="majorHAnsi" w:cstheme="majorBidi"/>
          <w:bCs/>
          <w:kern w:val="20"/>
          <w:lang w:eastAsia="ja-JP"/>
        </w:rPr>
        <w:t>Societatea Na</w:t>
      </w:r>
      <w:r>
        <w:rPr>
          <w:rFonts w:asciiTheme="majorHAnsi" w:hAnsiTheme="majorHAnsi" w:cstheme="majorBidi"/>
          <w:bCs/>
          <w:kern w:val="20"/>
          <w:lang w:eastAsia="ja-JP"/>
        </w:rPr>
        <w:t>ț</w:t>
      </w:r>
      <w:r w:rsidRPr="00256C8F">
        <w:rPr>
          <w:rFonts w:asciiTheme="majorHAnsi" w:hAnsiTheme="majorHAnsi" w:cstheme="majorBidi"/>
          <w:bCs/>
          <w:kern w:val="20"/>
          <w:lang w:eastAsia="ja-JP"/>
        </w:rPr>
        <w:t>ional</w:t>
      </w:r>
      <w:r>
        <w:rPr>
          <w:rFonts w:asciiTheme="majorHAnsi" w:hAnsiTheme="majorHAnsi" w:cstheme="majorBidi"/>
          <w:bCs/>
          <w:kern w:val="20"/>
          <w:lang w:eastAsia="ja-JP"/>
        </w:rPr>
        <w:t>ă</w:t>
      </w:r>
      <w:r w:rsidRPr="00256C8F">
        <w:rPr>
          <w:rFonts w:asciiTheme="majorHAnsi" w:hAnsiTheme="majorHAnsi" w:cstheme="majorBidi"/>
          <w:bCs/>
          <w:kern w:val="20"/>
          <w:lang w:eastAsia="ja-JP"/>
        </w:rPr>
        <w:t xml:space="preserve"> </w:t>
      </w:r>
      <w:r>
        <w:rPr>
          <w:rFonts w:asciiTheme="majorHAnsi" w:hAnsiTheme="majorHAnsi" w:cstheme="majorBidi"/>
          <w:bCs/>
          <w:kern w:val="20"/>
          <w:lang w:eastAsia="ja-JP"/>
        </w:rPr>
        <w:t>d</w:t>
      </w:r>
      <w:r w:rsidRPr="00256C8F">
        <w:rPr>
          <w:rFonts w:asciiTheme="majorHAnsi" w:hAnsiTheme="majorHAnsi" w:cstheme="majorBidi"/>
          <w:bCs/>
          <w:kern w:val="20"/>
          <w:lang w:eastAsia="ja-JP"/>
        </w:rPr>
        <w:t xml:space="preserve">e Transport Feroviar </w:t>
      </w:r>
      <w:r>
        <w:rPr>
          <w:rFonts w:asciiTheme="majorHAnsi" w:hAnsiTheme="majorHAnsi" w:cstheme="majorBidi"/>
          <w:bCs/>
          <w:kern w:val="20"/>
          <w:lang w:eastAsia="ja-JP"/>
        </w:rPr>
        <w:t>d</w:t>
      </w:r>
      <w:r w:rsidRPr="00256C8F">
        <w:rPr>
          <w:rFonts w:asciiTheme="majorHAnsi" w:hAnsiTheme="majorHAnsi" w:cstheme="majorBidi"/>
          <w:bCs/>
          <w:kern w:val="20"/>
          <w:lang w:eastAsia="ja-JP"/>
        </w:rPr>
        <w:t>e C</w:t>
      </w:r>
      <w:r>
        <w:rPr>
          <w:rFonts w:asciiTheme="majorHAnsi" w:hAnsiTheme="majorHAnsi" w:cstheme="majorBidi"/>
          <w:bCs/>
          <w:kern w:val="20"/>
          <w:lang w:eastAsia="ja-JP"/>
        </w:rPr>
        <w:t>ă</w:t>
      </w:r>
      <w:r w:rsidRPr="00256C8F">
        <w:rPr>
          <w:rFonts w:asciiTheme="majorHAnsi" w:hAnsiTheme="majorHAnsi" w:cstheme="majorBidi"/>
          <w:bCs/>
          <w:kern w:val="20"/>
          <w:lang w:eastAsia="ja-JP"/>
        </w:rPr>
        <w:t>l</w:t>
      </w:r>
      <w:r>
        <w:rPr>
          <w:rFonts w:asciiTheme="majorHAnsi" w:hAnsiTheme="majorHAnsi" w:cstheme="majorBidi"/>
          <w:bCs/>
          <w:kern w:val="20"/>
          <w:lang w:eastAsia="ja-JP"/>
        </w:rPr>
        <w:t>ă</w:t>
      </w:r>
      <w:r w:rsidRPr="00256C8F">
        <w:rPr>
          <w:rFonts w:asciiTheme="majorHAnsi" w:hAnsiTheme="majorHAnsi" w:cstheme="majorBidi"/>
          <w:bCs/>
          <w:kern w:val="20"/>
          <w:lang w:eastAsia="ja-JP"/>
        </w:rPr>
        <w:t>tori - CFR - C</w:t>
      </w:r>
      <w:r>
        <w:rPr>
          <w:rFonts w:asciiTheme="majorHAnsi" w:hAnsiTheme="majorHAnsi" w:cstheme="majorBidi"/>
          <w:bCs/>
          <w:kern w:val="20"/>
          <w:lang w:eastAsia="ja-JP"/>
        </w:rPr>
        <w:t>ă</w:t>
      </w:r>
      <w:r w:rsidRPr="00256C8F">
        <w:rPr>
          <w:rFonts w:asciiTheme="majorHAnsi" w:hAnsiTheme="majorHAnsi" w:cstheme="majorBidi"/>
          <w:bCs/>
          <w:kern w:val="20"/>
          <w:lang w:eastAsia="ja-JP"/>
        </w:rPr>
        <w:t>l</w:t>
      </w:r>
      <w:r>
        <w:rPr>
          <w:rFonts w:asciiTheme="majorHAnsi" w:hAnsiTheme="majorHAnsi" w:cstheme="majorBidi"/>
          <w:bCs/>
          <w:kern w:val="20"/>
          <w:lang w:eastAsia="ja-JP"/>
        </w:rPr>
        <w:t>ă</w:t>
      </w:r>
      <w:r w:rsidRPr="00256C8F">
        <w:rPr>
          <w:rFonts w:asciiTheme="majorHAnsi" w:hAnsiTheme="majorHAnsi" w:cstheme="majorBidi"/>
          <w:bCs/>
          <w:kern w:val="20"/>
          <w:lang w:eastAsia="ja-JP"/>
        </w:rPr>
        <w:t xml:space="preserve">tori SA </w:t>
      </w:r>
      <w:r w:rsidRPr="00256C8F">
        <w:rPr>
          <w:rFonts w:asciiTheme="majorHAnsi" w:hAnsiTheme="majorHAnsi" w:cstheme="majorBidi"/>
          <w:kern w:val="20"/>
          <w:lang w:eastAsia="ja-JP"/>
        </w:rPr>
        <w:t>a scăzut numărul de personal cu</w:t>
      </w:r>
      <w:r w:rsidRPr="00256C8F">
        <w:rPr>
          <w:rFonts w:asciiTheme="majorHAnsi" w:hAnsiTheme="majorHAnsi" w:cstheme="majorBidi"/>
          <w:bCs/>
          <w:kern w:val="20"/>
          <w:lang w:eastAsia="ja-JP"/>
        </w:rPr>
        <w:t xml:space="preserve"> 695</w:t>
      </w:r>
      <w:r w:rsidR="00897336">
        <w:rPr>
          <w:rFonts w:asciiTheme="majorHAnsi" w:hAnsiTheme="majorHAnsi" w:cstheme="majorBidi"/>
          <w:bCs/>
          <w:kern w:val="20"/>
          <w:lang w:eastAsia="ja-JP"/>
        </w:rPr>
        <w:t xml:space="preserve"> persoane</w:t>
      </w:r>
      <w:r w:rsidRPr="00256C8F">
        <w:rPr>
          <w:rFonts w:asciiTheme="majorHAnsi" w:hAnsiTheme="majorHAnsi" w:cstheme="majorBidi"/>
          <w:bCs/>
          <w:kern w:val="20"/>
          <w:lang w:val="en-US" w:eastAsia="ja-JP"/>
        </w:rPr>
        <w:t>;</w:t>
      </w:r>
      <w:r w:rsidRPr="00256C8F">
        <w:rPr>
          <w:rFonts w:asciiTheme="majorHAnsi" w:hAnsiTheme="majorHAnsi" w:cstheme="majorBidi"/>
          <w:bCs/>
          <w:kern w:val="20"/>
          <w:lang w:eastAsia="ja-JP"/>
        </w:rPr>
        <w:t xml:space="preserve"> </w:t>
      </w:r>
    </w:p>
    <w:p w14:paraId="713A4776" w14:textId="77777777" w:rsidR="00C45440" w:rsidRPr="00256C8F" w:rsidRDefault="00C45440" w:rsidP="00F26763">
      <w:pPr>
        <w:numPr>
          <w:ilvl w:val="0"/>
          <w:numId w:val="9"/>
        </w:numPr>
        <w:suppressAutoHyphens/>
        <w:spacing w:before="0" w:beforeAutospacing="1" w:after="0" w:afterAutospacing="1" w:line="23" w:lineRule="atLeast"/>
        <w:ind w:left="270" w:hanging="270"/>
        <w:contextualSpacing/>
        <w:jc w:val="both"/>
        <w:rPr>
          <w:rFonts w:asciiTheme="majorHAnsi" w:hAnsiTheme="majorHAnsi" w:cstheme="majorBidi"/>
          <w:kern w:val="20"/>
          <w:lang w:eastAsia="ja-JP"/>
        </w:rPr>
      </w:pPr>
      <w:r w:rsidRPr="00256C8F">
        <w:rPr>
          <w:rFonts w:asciiTheme="majorHAnsi" w:hAnsiTheme="majorHAnsi" w:cstheme="majorBidi"/>
          <w:kern w:val="20"/>
          <w:lang w:eastAsia="ja-JP"/>
        </w:rPr>
        <w:t>Societatea Complexul Energetic Oltenia S.A. a scăzut numărul de personal cu</w:t>
      </w:r>
      <w:r w:rsidRPr="00256C8F">
        <w:rPr>
          <w:rFonts w:asciiTheme="majorHAnsi" w:hAnsiTheme="majorHAnsi" w:cstheme="majorBidi"/>
          <w:bCs/>
          <w:kern w:val="20"/>
          <w:lang w:eastAsia="ja-JP"/>
        </w:rPr>
        <w:t xml:space="preserve"> 589 persoane;</w:t>
      </w:r>
    </w:p>
    <w:p w14:paraId="63D47A5E" w14:textId="77777777" w:rsidR="00C45440" w:rsidRPr="00256C8F" w:rsidRDefault="00C45440" w:rsidP="00F26763">
      <w:pPr>
        <w:numPr>
          <w:ilvl w:val="0"/>
          <w:numId w:val="9"/>
        </w:numPr>
        <w:suppressAutoHyphens/>
        <w:spacing w:before="0" w:beforeAutospacing="1" w:after="0" w:afterAutospacing="1" w:line="23" w:lineRule="atLeast"/>
        <w:ind w:left="270" w:hanging="270"/>
        <w:contextualSpacing/>
        <w:jc w:val="both"/>
        <w:rPr>
          <w:rFonts w:asciiTheme="majorHAnsi" w:hAnsiTheme="majorHAnsi" w:cstheme="majorBidi"/>
          <w:kern w:val="20"/>
          <w:lang w:eastAsia="ja-JP"/>
        </w:rPr>
      </w:pPr>
      <w:r w:rsidRPr="00256C8F">
        <w:rPr>
          <w:rFonts w:asciiTheme="majorHAnsi" w:hAnsiTheme="majorHAnsi" w:cstheme="majorBidi"/>
          <w:kern w:val="20"/>
          <w:lang w:eastAsia="ja-JP"/>
        </w:rPr>
        <w:t>Societatea National</w:t>
      </w:r>
      <w:r>
        <w:rPr>
          <w:rFonts w:asciiTheme="majorHAnsi" w:hAnsiTheme="majorHAnsi" w:cstheme="majorBidi"/>
          <w:kern w:val="20"/>
          <w:lang w:eastAsia="ja-JP"/>
        </w:rPr>
        <w:t>ă</w:t>
      </w:r>
      <w:r w:rsidRPr="00256C8F">
        <w:rPr>
          <w:rFonts w:asciiTheme="majorHAnsi" w:hAnsiTheme="majorHAnsi" w:cstheme="majorBidi"/>
          <w:kern w:val="20"/>
          <w:lang w:eastAsia="ja-JP"/>
        </w:rPr>
        <w:t xml:space="preserve"> </w:t>
      </w:r>
      <w:r>
        <w:rPr>
          <w:rFonts w:asciiTheme="majorHAnsi" w:hAnsiTheme="majorHAnsi" w:cstheme="majorBidi"/>
          <w:kern w:val="20"/>
          <w:lang w:eastAsia="ja-JP"/>
        </w:rPr>
        <w:t>d</w:t>
      </w:r>
      <w:r w:rsidRPr="00256C8F">
        <w:rPr>
          <w:rFonts w:asciiTheme="majorHAnsi" w:hAnsiTheme="majorHAnsi" w:cstheme="majorBidi"/>
          <w:kern w:val="20"/>
          <w:lang w:eastAsia="ja-JP"/>
        </w:rPr>
        <w:t xml:space="preserve">e Transport Feroviar </w:t>
      </w:r>
      <w:r>
        <w:rPr>
          <w:rFonts w:asciiTheme="majorHAnsi" w:hAnsiTheme="majorHAnsi" w:cstheme="majorBidi"/>
          <w:kern w:val="20"/>
          <w:lang w:eastAsia="ja-JP"/>
        </w:rPr>
        <w:t>d</w:t>
      </w:r>
      <w:r w:rsidRPr="00256C8F">
        <w:rPr>
          <w:rFonts w:asciiTheme="majorHAnsi" w:hAnsiTheme="majorHAnsi" w:cstheme="majorBidi"/>
          <w:kern w:val="20"/>
          <w:lang w:eastAsia="ja-JP"/>
        </w:rPr>
        <w:t>e Marf</w:t>
      </w:r>
      <w:r>
        <w:rPr>
          <w:rFonts w:asciiTheme="majorHAnsi" w:hAnsiTheme="majorHAnsi" w:cstheme="majorBidi"/>
          <w:kern w:val="20"/>
          <w:lang w:eastAsia="ja-JP"/>
        </w:rPr>
        <w:t>ă</w:t>
      </w:r>
      <w:r w:rsidRPr="00256C8F">
        <w:rPr>
          <w:rFonts w:asciiTheme="majorHAnsi" w:hAnsiTheme="majorHAnsi" w:cstheme="majorBidi"/>
          <w:kern w:val="20"/>
          <w:lang w:eastAsia="ja-JP"/>
        </w:rPr>
        <w:t xml:space="preserve"> "CFR - Marf</w:t>
      </w:r>
      <w:r>
        <w:rPr>
          <w:rFonts w:asciiTheme="majorHAnsi" w:hAnsiTheme="majorHAnsi" w:cstheme="majorBidi"/>
          <w:kern w:val="20"/>
          <w:lang w:eastAsia="ja-JP"/>
        </w:rPr>
        <w:t>ă</w:t>
      </w:r>
      <w:r w:rsidRPr="00256C8F">
        <w:rPr>
          <w:rFonts w:asciiTheme="majorHAnsi" w:hAnsiTheme="majorHAnsi" w:cstheme="majorBidi"/>
          <w:kern w:val="20"/>
          <w:lang w:eastAsia="ja-JP"/>
        </w:rPr>
        <w:t>" SA  a scăzut numărul de personal cu 535 persoane</w:t>
      </w:r>
      <w:r w:rsidRPr="00256C8F">
        <w:rPr>
          <w:rFonts w:ascii="Calibri Light" w:hAnsi="Calibri Light" w:cs="Calibri"/>
        </w:rPr>
        <w:t>;</w:t>
      </w:r>
    </w:p>
    <w:p w14:paraId="696755C4" w14:textId="77777777" w:rsidR="00C45440" w:rsidRPr="00256C8F" w:rsidRDefault="00C45440" w:rsidP="00F26763">
      <w:pPr>
        <w:numPr>
          <w:ilvl w:val="0"/>
          <w:numId w:val="9"/>
        </w:numPr>
        <w:suppressAutoHyphens/>
        <w:spacing w:before="0" w:beforeAutospacing="1" w:after="0" w:afterAutospacing="1" w:line="23" w:lineRule="atLeast"/>
        <w:ind w:left="270" w:hanging="270"/>
        <w:contextualSpacing/>
        <w:jc w:val="both"/>
        <w:rPr>
          <w:rFonts w:asciiTheme="majorHAnsi" w:hAnsiTheme="majorHAnsi" w:cstheme="majorBidi"/>
          <w:kern w:val="20"/>
          <w:lang w:eastAsia="ja-JP"/>
        </w:rPr>
      </w:pPr>
      <w:r w:rsidRPr="00256C8F">
        <w:rPr>
          <w:rFonts w:asciiTheme="majorHAnsi" w:hAnsiTheme="majorHAnsi" w:cstheme="majorBidi"/>
          <w:kern w:val="20"/>
          <w:lang w:eastAsia="ja-JP"/>
        </w:rPr>
        <w:t>Societatea Complexul Energetic Oltenia S.A. a scăzut numărul de personal cu</w:t>
      </w:r>
      <w:r w:rsidRPr="00256C8F">
        <w:rPr>
          <w:rFonts w:asciiTheme="majorHAnsi" w:hAnsiTheme="majorHAnsi" w:cstheme="majorBidi"/>
          <w:bCs/>
          <w:kern w:val="20"/>
          <w:lang w:eastAsia="ja-JP"/>
        </w:rPr>
        <w:t xml:space="preserve"> 196 persoane;</w:t>
      </w:r>
    </w:p>
    <w:p w14:paraId="3C523671" w14:textId="77777777" w:rsidR="00C45440" w:rsidRPr="00256C8F" w:rsidRDefault="00C45440" w:rsidP="00F26763">
      <w:pPr>
        <w:numPr>
          <w:ilvl w:val="0"/>
          <w:numId w:val="9"/>
        </w:numPr>
        <w:suppressAutoHyphens/>
        <w:spacing w:before="0" w:beforeAutospacing="1" w:after="0" w:afterAutospacing="1" w:line="23" w:lineRule="atLeast"/>
        <w:ind w:left="270" w:hanging="270"/>
        <w:contextualSpacing/>
        <w:jc w:val="both"/>
        <w:rPr>
          <w:rFonts w:asciiTheme="majorHAnsi" w:hAnsiTheme="majorHAnsi" w:cstheme="majorBidi"/>
          <w:kern w:val="20"/>
          <w:lang w:eastAsia="ja-JP"/>
        </w:rPr>
      </w:pPr>
      <w:r w:rsidRPr="00256C8F">
        <w:rPr>
          <w:rFonts w:ascii="Calibri Light" w:hAnsi="Calibri Light" w:cs="Arial"/>
          <w:lang w:val="en-US"/>
        </w:rPr>
        <w:t>Compania National</w:t>
      </w:r>
      <w:r>
        <w:rPr>
          <w:rFonts w:ascii="Calibri Light" w:hAnsi="Calibri Light" w:cs="Arial"/>
          <w:lang w:val="en-US"/>
        </w:rPr>
        <w:t>ă</w:t>
      </w:r>
      <w:r w:rsidRPr="00256C8F">
        <w:rPr>
          <w:rFonts w:ascii="Calibri Light" w:hAnsi="Calibri Light" w:cs="Arial"/>
          <w:lang w:val="en-US"/>
        </w:rPr>
        <w:t xml:space="preserve"> </w:t>
      </w:r>
      <w:r>
        <w:rPr>
          <w:rFonts w:ascii="Calibri Light" w:hAnsi="Calibri Light" w:cs="Arial"/>
          <w:lang w:val="en-US"/>
        </w:rPr>
        <w:t>d</w:t>
      </w:r>
      <w:r w:rsidRPr="00256C8F">
        <w:rPr>
          <w:rFonts w:ascii="Calibri Light" w:hAnsi="Calibri Light" w:cs="Arial"/>
          <w:lang w:val="en-US"/>
        </w:rPr>
        <w:t>e Transporturi Aeriene Rom</w:t>
      </w:r>
      <w:r>
        <w:rPr>
          <w:rFonts w:ascii="Calibri Light" w:hAnsi="Calibri Light" w:cs="Arial"/>
          <w:lang w:val="en-US"/>
        </w:rPr>
        <w:t>â</w:t>
      </w:r>
      <w:r w:rsidRPr="00256C8F">
        <w:rPr>
          <w:rFonts w:ascii="Calibri Light" w:hAnsi="Calibri Light" w:cs="Arial"/>
          <w:lang w:val="en-US"/>
        </w:rPr>
        <w:t>ne Tarom SA</w:t>
      </w:r>
      <w:r>
        <w:rPr>
          <w:rFonts w:ascii="Calibri Light" w:hAnsi="Calibri Light" w:cs="Arial"/>
          <w:lang w:val="en-US"/>
        </w:rPr>
        <w:t xml:space="preserve"> </w:t>
      </w:r>
      <w:r w:rsidRPr="00256C8F">
        <w:rPr>
          <w:rFonts w:asciiTheme="majorHAnsi" w:hAnsiTheme="majorHAnsi" w:cstheme="majorBidi"/>
          <w:kern w:val="20"/>
          <w:lang w:eastAsia="ja-JP"/>
        </w:rPr>
        <w:t>a scăzut numărul de personal cu</w:t>
      </w:r>
      <w:r w:rsidRPr="00256C8F">
        <w:rPr>
          <w:rFonts w:asciiTheme="majorHAnsi" w:hAnsiTheme="majorHAnsi" w:cstheme="majorBidi"/>
          <w:bCs/>
          <w:kern w:val="20"/>
          <w:lang w:eastAsia="ja-JP"/>
        </w:rPr>
        <w:t xml:space="preserve"> 284 persoane.</w:t>
      </w:r>
    </w:p>
    <w:p w14:paraId="38FF58A7" w14:textId="77777777" w:rsidR="00C45440" w:rsidRDefault="00C45440" w:rsidP="00C45440">
      <w:pPr>
        <w:suppressAutoHyphens/>
        <w:spacing w:before="0" w:beforeAutospacing="1" w:after="0" w:afterAutospacing="1" w:line="240" w:lineRule="auto"/>
        <w:contextualSpacing/>
        <w:jc w:val="both"/>
        <w:rPr>
          <w:rFonts w:asciiTheme="majorHAnsi" w:hAnsiTheme="majorHAnsi" w:cstheme="majorBidi"/>
          <w:kern w:val="20"/>
          <w:lang w:eastAsia="ja-JP"/>
        </w:rPr>
      </w:pPr>
    </w:p>
    <w:p w14:paraId="36F8E313" w14:textId="77777777" w:rsidR="004255E0" w:rsidRPr="00D447BC" w:rsidRDefault="004255E0" w:rsidP="00C45440">
      <w:pPr>
        <w:suppressAutoHyphens/>
        <w:spacing w:before="0" w:beforeAutospacing="1" w:after="0" w:afterAutospacing="1" w:line="240" w:lineRule="auto"/>
        <w:contextualSpacing/>
        <w:jc w:val="both"/>
        <w:rPr>
          <w:rFonts w:asciiTheme="majorHAnsi" w:hAnsiTheme="majorHAnsi" w:cstheme="majorBidi"/>
          <w:kern w:val="20"/>
          <w:lang w:val="en-US" w:eastAsia="ja-JP"/>
        </w:rPr>
      </w:pPr>
    </w:p>
    <w:p w14:paraId="052C12AB" w14:textId="77777777" w:rsidR="00F1374E" w:rsidRPr="00522CC8" w:rsidRDefault="004F0014" w:rsidP="00202B07">
      <w:pPr>
        <w:pStyle w:val="ListParagraph"/>
        <w:ind w:left="0"/>
        <w:jc w:val="both"/>
        <w:outlineLvl w:val="2"/>
        <w:rPr>
          <w:rFonts w:asciiTheme="majorHAnsi" w:hAnsiTheme="majorHAnsi"/>
          <w:b/>
          <w:bCs/>
          <w:color w:val="0F6FC6" w:themeColor="accent1"/>
          <w:sz w:val="28"/>
          <w:szCs w:val="28"/>
        </w:rPr>
      </w:pPr>
      <w:bookmarkStart w:id="54" w:name="_Toc490763525"/>
      <w:bookmarkStart w:id="55" w:name="_Toc490763706"/>
      <w:bookmarkStart w:id="56" w:name="_Toc490763874"/>
      <w:bookmarkStart w:id="57" w:name="_Toc87875951"/>
      <w:r>
        <w:rPr>
          <w:rFonts w:asciiTheme="majorHAnsi" w:hAnsiTheme="majorHAnsi"/>
          <w:b/>
          <w:bCs/>
          <w:color w:val="0F6FC6" w:themeColor="accent1"/>
          <w:sz w:val="28"/>
          <w:szCs w:val="28"/>
        </w:rPr>
        <w:t>3</w:t>
      </w:r>
      <w:r w:rsidR="00077F3B" w:rsidRPr="00522CC8">
        <w:rPr>
          <w:rFonts w:asciiTheme="majorHAnsi" w:hAnsiTheme="majorHAnsi"/>
          <w:b/>
          <w:bCs/>
          <w:color w:val="0F6FC6" w:themeColor="accent1"/>
          <w:sz w:val="28"/>
          <w:szCs w:val="28"/>
        </w:rPr>
        <w:t>.</w:t>
      </w:r>
      <w:r w:rsidR="00677FE9" w:rsidRPr="00522CC8">
        <w:rPr>
          <w:rFonts w:asciiTheme="majorHAnsi" w:hAnsiTheme="majorHAnsi"/>
          <w:b/>
          <w:bCs/>
          <w:color w:val="0F6FC6" w:themeColor="accent1"/>
          <w:sz w:val="28"/>
          <w:szCs w:val="28"/>
        </w:rPr>
        <w:t>5</w:t>
      </w:r>
      <w:r w:rsidR="00077F3B" w:rsidRPr="00522CC8">
        <w:rPr>
          <w:rFonts w:asciiTheme="majorHAnsi" w:hAnsiTheme="majorHAnsi"/>
          <w:b/>
          <w:bCs/>
          <w:color w:val="0F6FC6" w:themeColor="accent1"/>
          <w:sz w:val="28"/>
          <w:szCs w:val="28"/>
        </w:rPr>
        <w:t xml:space="preserve"> – </w:t>
      </w:r>
      <w:r w:rsidR="00F1374E" w:rsidRPr="00522CC8">
        <w:rPr>
          <w:rFonts w:asciiTheme="majorHAnsi" w:hAnsiTheme="majorHAnsi"/>
          <w:b/>
          <w:bCs/>
          <w:color w:val="0F6FC6" w:themeColor="accent1"/>
          <w:sz w:val="28"/>
          <w:szCs w:val="28"/>
        </w:rPr>
        <w:t xml:space="preserve">Subvenții </w:t>
      </w:r>
      <w:r w:rsidR="00077F3B" w:rsidRPr="00522CC8">
        <w:rPr>
          <w:rFonts w:asciiTheme="majorHAnsi" w:hAnsiTheme="majorHAnsi"/>
          <w:b/>
          <w:bCs/>
          <w:color w:val="0F6FC6" w:themeColor="accent1"/>
          <w:sz w:val="28"/>
          <w:szCs w:val="28"/>
        </w:rPr>
        <w:t>de la Bugetul de Stat</w:t>
      </w:r>
      <w:r w:rsidR="002B4C7D" w:rsidRPr="00522CC8">
        <w:rPr>
          <w:rFonts w:asciiTheme="majorHAnsi" w:hAnsiTheme="majorHAnsi"/>
          <w:b/>
          <w:bCs/>
          <w:color w:val="0F6FC6" w:themeColor="accent1"/>
          <w:sz w:val="28"/>
          <w:szCs w:val="28"/>
        </w:rPr>
        <w:t xml:space="preserve"> acordate</w:t>
      </w:r>
      <w:bookmarkEnd w:id="54"/>
      <w:bookmarkEnd w:id="55"/>
      <w:bookmarkEnd w:id="56"/>
      <w:r w:rsidR="00F5392A" w:rsidRPr="00522CC8">
        <w:rPr>
          <w:rFonts w:asciiTheme="majorHAnsi" w:hAnsiTheme="majorHAnsi"/>
          <w:b/>
          <w:bCs/>
          <w:color w:val="0F6FC6" w:themeColor="accent1"/>
          <w:sz w:val="28"/>
          <w:szCs w:val="28"/>
        </w:rPr>
        <w:t xml:space="preserve"> </w:t>
      </w:r>
      <w:r w:rsidR="007D42C5" w:rsidRPr="00522CC8">
        <w:rPr>
          <w:rFonts w:asciiTheme="majorHAnsi" w:hAnsiTheme="majorHAnsi"/>
          <w:b/>
          <w:bCs/>
          <w:color w:val="0F6FC6" w:themeColor="accent1"/>
          <w:sz w:val="28"/>
          <w:szCs w:val="28"/>
        </w:rPr>
        <w:t xml:space="preserve">întreprinderilor </w:t>
      </w:r>
      <w:r w:rsidR="00110AFD" w:rsidRPr="00522CC8">
        <w:rPr>
          <w:rFonts w:asciiTheme="majorHAnsi" w:hAnsiTheme="majorHAnsi"/>
          <w:b/>
          <w:bCs/>
          <w:color w:val="0F6FC6" w:themeColor="accent1"/>
          <w:sz w:val="28"/>
          <w:szCs w:val="28"/>
        </w:rPr>
        <w:t>publice centrale</w:t>
      </w:r>
      <w:bookmarkEnd w:id="57"/>
    </w:p>
    <w:p w14:paraId="06D4D788" w14:textId="77777777" w:rsidR="000C045A" w:rsidRDefault="000C045A" w:rsidP="004255E0">
      <w:pPr>
        <w:pStyle w:val="ListParagraph"/>
        <w:ind w:left="0"/>
        <w:jc w:val="both"/>
        <w:rPr>
          <w:rFonts w:asciiTheme="majorHAnsi" w:hAnsiTheme="majorHAnsi"/>
          <w:bCs/>
        </w:rPr>
      </w:pPr>
    </w:p>
    <w:p w14:paraId="2E5D32BB" w14:textId="77777777" w:rsidR="008A5EBC" w:rsidRDefault="008A5EBC" w:rsidP="004255E0">
      <w:pPr>
        <w:pStyle w:val="ListParagraph"/>
        <w:ind w:left="0"/>
        <w:jc w:val="both"/>
        <w:rPr>
          <w:rFonts w:asciiTheme="majorHAnsi" w:hAnsiTheme="majorHAnsi"/>
          <w:bCs/>
        </w:rPr>
      </w:pPr>
    </w:p>
    <w:p w14:paraId="486FFDDC" w14:textId="77777777" w:rsidR="004255E0" w:rsidRPr="004255E0" w:rsidRDefault="004255E0" w:rsidP="004255E0">
      <w:pPr>
        <w:pStyle w:val="ListParagraph"/>
        <w:ind w:left="0"/>
        <w:jc w:val="both"/>
        <w:rPr>
          <w:rFonts w:asciiTheme="majorHAnsi" w:hAnsiTheme="majorHAnsi"/>
          <w:bCs/>
        </w:rPr>
      </w:pPr>
      <w:r w:rsidRPr="004255E0">
        <w:rPr>
          <w:rFonts w:asciiTheme="majorHAnsi" w:hAnsiTheme="majorHAnsi"/>
          <w:bCs/>
        </w:rPr>
        <w:t>TABEL– Situația subvențiilor acordate de la bugetul de stat pentru ÎPC în perioada 2018-2020</w:t>
      </w:r>
    </w:p>
    <w:tbl>
      <w:tblPr>
        <w:tblW w:w="9064" w:type="dxa"/>
        <w:tblInd w:w="110" w:type="dxa"/>
        <w:tblLook w:val="04A0" w:firstRow="1" w:lastRow="0" w:firstColumn="1" w:lastColumn="0" w:noHBand="0" w:noVBand="1"/>
      </w:tblPr>
      <w:tblGrid>
        <w:gridCol w:w="3150"/>
        <w:gridCol w:w="1497"/>
        <w:gridCol w:w="1491"/>
        <w:gridCol w:w="1470"/>
        <w:gridCol w:w="1456"/>
      </w:tblGrid>
      <w:tr w:rsidR="004255E0" w:rsidRPr="00256C8F" w14:paraId="2752DB30" w14:textId="77777777" w:rsidTr="004255E0">
        <w:trPr>
          <w:trHeight w:val="235"/>
        </w:trPr>
        <w:tc>
          <w:tcPr>
            <w:tcW w:w="3150" w:type="dxa"/>
            <w:vMerge w:val="restart"/>
            <w:tcBorders>
              <w:top w:val="single" w:sz="4" w:space="0" w:color="8497B0"/>
              <w:left w:val="single" w:sz="4" w:space="0" w:color="FFFFFF"/>
              <w:bottom w:val="single" w:sz="4" w:space="0" w:color="8497B0"/>
              <w:right w:val="single" w:sz="4" w:space="0" w:color="FFFFFF"/>
            </w:tcBorders>
            <w:shd w:val="clear" w:color="404040" w:fill="FFFFFF"/>
            <w:hideMark/>
          </w:tcPr>
          <w:p w14:paraId="0B6AB72B" w14:textId="77777777" w:rsidR="004255E0" w:rsidRPr="004255E0" w:rsidRDefault="004255E0" w:rsidP="00A06393">
            <w:pPr>
              <w:spacing w:before="0" w:after="0" w:line="240" w:lineRule="auto"/>
              <w:rPr>
                <w:rFonts w:ascii="Calibri" w:eastAsia="Times New Roman" w:hAnsi="Calibri" w:cs="Times New Roman"/>
                <w:bCs/>
                <w:color w:val="0F6FC6" w:themeColor="accent1"/>
                <w:sz w:val="16"/>
                <w:szCs w:val="16"/>
                <w:lang w:eastAsia="ro-RO"/>
              </w:rPr>
            </w:pPr>
            <w:r w:rsidRPr="004255E0">
              <w:rPr>
                <w:rFonts w:ascii="Calibri" w:eastAsia="Times New Roman" w:hAnsi="Calibri" w:cs="Times New Roman"/>
                <w:bCs/>
                <w:color w:val="0F6FC6" w:themeColor="accent1"/>
                <w:sz w:val="16"/>
                <w:szCs w:val="16"/>
                <w:lang w:eastAsia="ro-RO"/>
              </w:rPr>
              <w:t>ANUL</w:t>
            </w:r>
          </w:p>
        </w:tc>
        <w:tc>
          <w:tcPr>
            <w:tcW w:w="1497" w:type="dxa"/>
            <w:vMerge w:val="restart"/>
            <w:tcBorders>
              <w:top w:val="single" w:sz="4" w:space="0" w:color="8497B0"/>
              <w:left w:val="single" w:sz="4" w:space="0" w:color="FFFFFF"/>
              <w:bottom w:val="single" w:sz="4" w:space="0" w:color="8497B0"/>
              <w:right w:val="single" w:sz="4" w:space="0" w:color="FFFFFF"/>
            </w:tcBorders>
            <w:shd w:val="clear" w:color="404040" w:fill="FFFFFF"/>
            <w:hideMark/>
          </w:tcPr>
          <w:p w14:paraId="1801A2B9" w14:textId="77777777" w:rsidR="004255E0" w:rsidRPr="004255E0" w:rsidRDefault="004255E0" w:rsidP="00A06393">
            <w:pPr>
              <w:spacing w:before="0" w:after="0" w:line="240" w:lineRule="auto"/>
              <w:jc w:val="right"/>
              <w:rPr>
                <w:rFonts w:ascii="Calibri" w:eastAsia="Times New Roman" w:hAnsi="Calibri" w:cs="Times New Roman"/>
                <w:bCs/>
                <w:color w:val="0F6FC6" w:themeColor="accent1"/>
                <w:sz w:val="16"/>
                <w:szCs w:val="16"/>
                <w:lang w:eastAsia="ro-RO"/>
              </w:rPr>
            </w:pPr>
            <w:r w:rsidRPr="004255E0">
              <w:rPr>
                <w:rFonts w:ascii="Calibri" w:eastAsia="Times New Roman" w:hAnsi="Calibri" w:cs="Times New Roman"/>
                <w:bCs/>
                <w:color w:val="0F6FC6" w:themeColor="accent1"/>
                <w:sz w:val="16"/>
                <w:szCs w:val="16"/>
                <w:lang w:eastAsia="ro-RO"/>
              </w:rPr>
              <w:t>Total subvenții</w:t>
            </w:r>
          </w:p>
        </w:tc>
        <w:tc>
          <w:tcPr>
            <w:tcW w:w="2961" w:type="dxa"/>
            <w:gridSpan w:val="2"/>
            <w:tcBorders>
              <w:top w:val="single" w:sz="4" w:space="0" w:color="8497B0"/>
              <w:left w:val="nil"/>
              <w:bottom w:val="single" w:sz="4" w:space="0" w:color="8497B0"/>
              <w:right w:val="nil"/>
            </w:tcBorders>
            <w:shd w:val="clear" w:color="404040" w:fill="FFFFFF"/>
            <w:hideMark/>
          </w:tcPr>
          <w:p w14:paraId="11CC4C3B" w14:textId="77777777" w:rsidR="004255E0" w:rsidRPr="004255E0" w:rsidRDefault="004255E0" w:rsidP="00A06393">
            <w:pPr>
              <w:spacing w:before="0" w:after="0" w:line="240" w:lineRule="auto"/>
              <w:jc w:val="right"/>
              <w:rPr>
                <w:rFonts w:ascii="Calibri" w:eastAsia="Times New Roman" w:hAnsi="Calibri" w:cs="Times New Roman"/>
                <w:bCs/>
                <w:color w:val="0F6FC6" w:themeColor="accent1"/>
                <w:sz w:val="16"/>
                <w:szCs w:val="16"/>
                <w:lang w:eastAsia="ro-RO"/>
              </w:rPr>
            </w:pPr>
            <w:r w:rsidRPr="004255E0">
              <w:rPr>
                <w:rFonts w:ascii="Calibri" w:eastAsia="Times New Roman" w:hAnsi="Calibri" w:cs="Times New Roman"/>
                <w:bCs/>
                <w:color w:val="0F6FC6" w:themeColor="accent1"/>
                <w:sz w:val="16"/>
                <w:szCs w:val="16"/>
                <w:lang w:eastAsia="ro-RO"/>
              </w:rPr>
              <w:t>din care:</w:t>
            </w:r>
          </w:p>
        </w:tc>
        <w:tc>
          <w:tcPr>
            <w:tcW w:w="1456" w:type="dxa"/>
            <w:vMerge w:val="restart"/>
            <w:tcBorders>
              <w:top w:val="single" w:sz="4" w:space="0" w:color="8497B0"/>
              <w:left w:val="single" w:sz="4" w:space="0" w:color="FFFFFF"/>
              <w:bottom w:val="single" w:sz="4" w:space="0" w:color="8497B0"/>
              <w:right w:val="nil"/>
            </w:tcBorders>
            <w:shd w:val="clear" w:color="404040" w:fill="FFFFFF"/>
            <w:hideMark/>
          </w:tcPr>
          <w:p w14:paraId="65952FAD" w14:textId="77777777" w:rsidR="004255E0" w:rsidRPr="004255E0" w:rsidRDefault="004255E0" w:rsidP="00A06393">
            <w:pPr>
              <w:spacing w:before="0" w:after="0" w:line="240" w:lineRule="auto"/>
              <w:jc w:val="right"/>
              <w:rPr>
                <w:rFonts w:ascii="Calibri" w:eastAsia="Times New Roman" w:hAnsi="Calibri" w:cs="Times New Roman"/>
                <w:bCs/>
                <w:color w:val="0F6FC6" w:themeColor="accent1"/>
                <w:sz w:val="16"/>
                <w:szCs w:val="16"/>
                <w:lang w:eastAsia="ro-RO"/>
              </w:rPr>
            </w:pPr>
            <w:r w:rsidRPr="004255E0">
              <w:rPr>
                <w:rFonts w:ascii="Calibri" w:eastAsia="Times New Roman" w:hAnsi="Calibri" w:cs="Times New Roman"/>
                <w:bCs/>
                <w:color w:val="0F6FC6" w:themeColor="accent1"/>
                <w:sz w:val="16"/>
                <w:szCs w:val="16"/>
                <w:lang w:eastAsia="ro-RO"/>
              </w:rPr>
              <w:t>Pondere total subvenții în PIB</w:t>
            </w:r>
          </w:p>
        </w:tc>
      </w:tr>
      <w:tr w:rsidR="004255E0" w:rsidRPr="00256C8F" w14:paraId="49D84D86" w14:textId="77777777" w:rsidTr="004255E0">
        <w:trPr>
          <w:trHeight w:val="235"/>
        </w:trPr>
        <w:tc>
          <w:tcPr>
            <w:tcW w:w="3150" w:type="dxa"/>
            <w:vMerge/>
            <w:tcBorders>
              <w:top w:val="single" w:sz="4" w:space="0" w:color="8497B0"/>
              <w:left w:val="single" w:sz="4" w:space="0" w:color="FFFFFF"/>
              <w:bottom w:val="single" w:sz="4" w:space="0" w:color="8497B0"/>
              <w:right w:val="single" w:sz="4" w:space="0" w:color="FFFFFF"/>
            </w:tcBorders>
            <w:vAlign w:val="center"/>
            <w:hideMark/>
          </w:tcPr>
          <w:p w14:paraId="30AF8406" w14:textId="77777777" w:rsidR="004255E0" w:rsidRPr="004255E0" w:rsidRDefault="004255E0" w:rsidP="00A06393">
            <w:pPr>
              <w:spacing w:before="0" w:after="0" w:line="240" w:lineRule="auto"/>
              <w:rPr>
                <w:rFonts w:ascii="Calibri" w:eastAsia="Times New Roman" w:hAnsi="Calibri" w:cs="Times New Roman"/>
                <w:bCs/>
                <w:color w:val="0F6FC6" w:themeColor="accent1"/>
                <w:sz w:val="16"/>
                <w:szCs w:val="16"/>
                <w:lang w:eastAsia="ro-RO"/>
              </w:rPr>
            </w:pPr>
          </w:p>
        </w:tc>
        <w:tc>
          <w:tcPr>
            <w:tcW w:w="1497" w:type="dxa"/>
            <w:vMerge/>
            <w:tcBorders>
              <w:top w:val="single" w:sz="4" w:space="0" w:color="8497B0"/>
              <w:left w:val="single" w:sz="4" w:space="0" w:color="FFFFFF"/>
              <w:bottom w:val="single" w:sz="4" w:space="0" w:color="8497B0"/>
              <w:right w:val="single" w:sz="4" w:space="0" w:color="FFFFFF"/>
            </w:tcBorders>
            <w:vAlign w:val="center"/>
            <w:hideMark/>
          </w:tcPr>
          <w:p w14:paraId="5868ADE0" w14:textId="77777777" w:rsidR="004255E0" w:rsidRPr="004255E0" w:rsidRDefault="004255E0" w:rsidP="00A06393">
            <w:pPr>
              <w:spacing w:before="0" w:after="0" w:line="240" w:lineRule="auto"/>
              <w:rPr>
                <w:rFonts w:ascii="Calibri" w:eastAsia="Times New Roman" w:hAnsi="Calibri" w:cs="Times New Roman"/>
                <w:bCs/>
                <w:color w:val="0F6FC6" w:themeColor="accent1"/>
                <w:sz w:val="16"/>
                <w:szCs w:val="16"/>
                <w:lang w:eastAsia="ro-RO"/>
              </w:rPr>
            </w:pPr>
          </w:p>
        </w:tc>
        <w:tc>
          <w:tcPr>
            <w:tcW w:w="1491" w:type="dxa"/>
            <w:tcBorders>
              <w:top w:val="nil"/>
              <w:left w:val="nil"/>
              <w:bottom w:val="single" w:sz="4" w:space="0" w:color="8497B0"/>
              <w:right w:val="single" w:sz="4" w:space="0" w:color="FFFFFF"/>
            </w:tcBorders>
            <w:shd w:val="clear" w:color="404040" w:fill="FFFFFF"/>
            <w:hideMark/>
          </w:tcPr>
          <w:p w14:paraId="42E34018" w14:textId="77777777" w:rsidR="004255E0" w:rsidRPr="004255E0" w:rsidRDefault="004255E0" w:rsidP="00A06393">
            <w:pPr>
              <w:spacing w:before="0" w:after="0" w:line="240" w:lineRule="auto"/>
              <w:jc w:val="right"/>
              <w:rPr>
                <w:rFonts w:ascii="Calibri" w:eastAsia="Times New Roman" w:hAnsi="Calibri" w:cs="Times New Roman"/>
                <w:bCs/>
                <w:color w:val="0F6FC6" w:themeColor="accent1"/>
                <w:sz w:val="16"/>
                <w:szCs w:val="16"/>
                <w:lang w:eastAsia="ro-RO"/>
              </w:rPr>
            </w:pPr>
            <w:r w:rsidRPr="004255E0">
              <w:rPr>
                <w:rFonts w:ascii="Calibri" w:eastAsia="Times New Roman" w:hAnsi="Calibri" w:cs="Times New Roman"/>
                <w:bCs/>
                <w:color w:val="0F6FC6" w:themeColor="accent1"/>
                <w:sz w:val="16"/>
                <w:szCs w:val="16"/>
                <w:lang w:eastAsia="ro-RO"/>
              </w:rPr>
              <w:t>de exploatare</w:t>
            </w:r>
          </w:p>
        </w:tc>
        <w:tc>
          <w:tcPr>
            <w:tcW w:w="1470" w:type="dxa"/>
            <w:tcBorders>
              <w:top w:val="nil"/>
              <w:left w:val="nil"/>
              <w:bottom w:val="single" w:sz="4" w:space="0" w:color="8497B0"/>
              <w:right w:val="nil"/>
            </w:tcBorders>
            <w:shd w:val="clear" w:color="404040" w:fill="FFFFFF"/>
            <w:hideMark/>
          </w:tcPr>
          <w:p w14:paraId="231EAAC4" w14:textId="77777777" w:rsidR="004255E0" w:rsidRPr="004255E0" w:rsidRDefault="004255E0" w:rsidP="00A06393">
            <w:pPr>
              <w:spacing w:before="0" w:after="0" w:line="240" w:lineRule="auto"/>
              <w:jc w:val="right"/>
              <w:rPr>
                <w:rFonts w:ascii="Calibri" w:eastAsia="Times New Roman" w:hAnsi="Calibri" w:cs="Times New Roman"/>
                <w:bCs/>
                <w:color w:val="0F6FC6" w:themeColor="accent1"/>
                <w:sz w:val="16"/>
                <w:szCs w:val="16"/>
                <w:lang w:eastAsia="ro-RO"/>
              </w:rPr>
            </w:pPr>
            <w:r w:rsidRPr="004255E0">
              <w:rPr>
                <w:rFonts w:ascii="Calibri" w:eastAsia="Times New Roman" w:hAnsi="Calibri" w:cs="Times New Roman"/>
                <w:bCs/>
                <w:color w:val="0F6FC6" w:themeColor="accent1"/>
                <w:sz w:val="16"/>
                <w:szCs w:val="16"/>
                <w:lang w:eastAsia="ro-RO"/>
              </w:rPr>
              <w:t>de investiții</w:t>
            </w:r>
          </w:p>
        </w:tc>
        <w:tc>
          <w:tcPr>
            <w:tcW w:w="1456" w:type="dxa"/>
            <w:vMerge/>
            <w:tcBorders>
              <w:top w:val="single" w:sz="4" w:space="0" w:color="8497B0"/>
              <w:left w:val="single" w:sz="4" w:space="0" w:color="FFFFFF"/>
              <w:bottom w:val="single" w:sz="4" w:space="0" w:color="8497B0"/>
              <w:right w:val="nil"/>
            </w:tcBorders>
            <w:vAlign w:val="center"/>
            <w:hideMark/>
          </w:tcPr>
          <w:p w14:paraId="6A89F712" w14:textId="77777777" w:rsidR="004255E0" w:rsidRPr="004255E0" w:rsidRDefault="004255E0" w:rsidP="00A06393">
            <w:pPr>
              <w:spacing w:before="0" w:after="0" w:line="240" w:lineRule="auto"/>
              <w:rPr>
                <w:rFonts w:ascii="Calibri" w:eastAsia="Times New Roman" w:hAnsi="Calibri" w:cs="Times New Roman"/>
                <w:bCs/>
                <w:color w:val="0F6FC6" w:themeColor="accent1"/>
                <w:sz w:val="16"/>
                <w:szCs w:val="16"/>
                <w:lang w:eastAsia="ro-RO"/>
              </w:rPr>
            </w:pPr>
          </w:p>
        </w:tc>
      </w:tr>
      <w:tr w:rsidR="004255E0" w:rsidRPr="00256C8F" w14:paraId="4688312A" w14:textId="77777777" w:rsidTr="004255E0">
        <w:trPr>
          <w:trHeight w:val="235"/>
        </w:trPr>
        <w:tc>
          <w:tcPr>
            <w:tcW w:w="3150" w:type="dxa"/>
            <w:vMerge/>
            <w:tcBorders>
              <w:top w:val="single" w:sz="4" w:space="0" w:color="8497B0"/>
              <w:left w:val="single" w:sz="4" w:space="0" w:color="FFFFFF"/>
              <w:bottom w:val="single" w:sz="4" w:space="0" w:color="8497B0"/>
              <w:right w:val="single" w:sz="4" w:space="0" w:color="FFFFFF"/>
            </w:tcBorders>
            <w:vAlign w:val="center"/>
            <w:hideMark/>
          </w:tcPr>
          <w:p w14:paraId="0A22DB4F" w14:textId="77777777" w:rsidR="004255E0" w:rsidRPr="004255E0" w:rsidRDefault="004255E0" w:rsidP="00A06393">
            <w:pPr>
              <w:spacing w:before="0" w:after="0" w:line="240" w:lineRule="auto"/>
              <w:rPr>
                <w:rFonts w:ascii="Calibri" w:eastAsia="Times New Roman" w:hAnsi="Calibri" w:cs="Times New Roman"/>
                <w:bCs/>
                <w:color w:val="0F6FC6" w:themeColor="accent1"/>
                <w:sz w:val="16"/>
                <w:szCs w:val="16"/>
                <w:lang w:eastAsia="ro-RO"/>
              </w:rPr>
            </w:pPr>
          </w:p>
        </w:tc>
        <w:tc>
          <w:tcPr>
            <w:tcW w:w="1497" w:type="dxa"/>
            <w:tcBorders>
              <w:top w:val="nil"/>
              <w:left w:val="nil"/>
              <w:bottom w:val="single" w:sz="4" w:space="0" w:color="8497B0"/>
              <w:right w:val="single" w:sz="4" w:space="0" w:color="FFFFFF"/>
            </w:tcBorders>
            <w:shd w:val="clear" w:color="404040" w:fill="FFFFFF"/>
            <w:hideMark/>
          </w:tcPr>
          <w:p w14:paraId="76442011"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1=2+3</w:t>
            </w:r>
          </w:p>
        </w:tc>
        <w:tc>
          <w:tcPr>
            <w:tcW w:w="1491" w:type="dxa"/>
            <w:tcBorders>
              <w:top w:val="nil"/>
              <w:left w:val="nil"/>
              <w:bottom w:val="single" w:sz="4" w:space="0" w:color="8497B0"/>
              <w:right w:val="single" w:sz="4" w:space="0" w:color="FFFFFF"/>
            </w:tcBorders>
            <w:shd w:val="clear" w:color="404040" w:fill="FFFFFF"/>
            <w:hideMark/>
          </w:tcPr>
          <w:p w14:paraId="2E8F191F"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2</w:t>
            </w:r>
          </w:p>
        </w:tc>
        <w:tc>
          <w:tcPr>
            <w:tcW w:w="1470" w:type="dxa"/>
            <w:tcBorders>
              <w:top w:val="nil"/>
              <w:left w:val="nil"/>
              <w:bottom w:val="single" w:sz="4" w:space="0" w:color="8497B0"/>
              <w:right w:val="nil"/>
            </w:tcBorders>
            <w:shd w:val="clear" w:color="404040" w:fill="FFFFFF"/>
            <w:hideMark/>
          </w:tcPr>
          <w:p w14:paraId="42C3984C"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3</w:t>
            </w:r>
          </w:p>
        </w:tc>
        <w:tc>
          <w:tcPr>
            <w:tcW w:w="1456" w:type="dxa"/>
            <w:tcBorders>
              <w:top w:val="nil"/>
              <w:left w:val="single" w:sz="4" w:space="0" w:color="FFFFFF"/>
              <w:bottom w:val="single" w:sz="4" w:space="0" w:color="8497B0"/>
              <w:right w:val="nil"/>
            </w:tcBorders>
            <w:shd w:val="clear" w:color="404040" w:fill="FFFFFF"/>
            <w:hideMark/>
          </w:tcPr>
          <w:p w14:paraId="64B673DF"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4</w:t>
            </w:r>
          </w:p>
        </w:tc>
      </w:tr>
      <w:tr w:rsidR="004255E0" w:rsidRPr="00256C8F" w14:paraId="6AA96DA8" w14:textId="77777777" w:rsidTr="004255E0">
        <w:trPr>
          <w:trHeight w:val="235"/>
        </w:trPr>
        <w:tc>
          <w:tcPr>
            <w:tcW w:w="3150" w:type="dxa"/>
            <w:vMerge/>
            <w:tcBorders>
              <w:top w:val="single" w:sz="4" w:space="0" w:color="8497B0"/>
              <w:left w:val="single" w:sz="4" w:space="0" w:color="FFFFFF"/>
              <w:bottom w:val="single" w:sz="4" w:space="0" w:color="8497B0"/>
              <w:right w:val="single" w:sz="4" w:space="0" w:color="FFFFFF"/>
            </w:tcBorders>
            <w:vAlign w:val="center"/>
            <w:hideMark/>
          </w:tcPr>
          <w:p w14:paraId="71D2FB76" w14:textId="77777777" w:rsidR="004255E0" w:rsidRPr="004255E0" w:rsidRDefault="004255E0" w:rsidP="00A06393">
            <w:pPr>
              <w:spacing w:before="0" w:after="0" w:line="240" w:lineRule="auto"/>
              <w:rPr>
                <w:rFonts w:ascii="Calibri" w:eastAsia="Times New Roman" w:hAnsi="Calibri" w:cs="Times New Roman"/>
                <w:bCs/>
                <w:color w:val="0F6FC6" w:themeColor="accent1"/>
                <w:sz w:val="16"/>
                <w:szCs w:val="16"/>
                <w:lang w:eastAsia="ro-RO"/>
              </w:rPr>
            </w:pPr>
          </w:p>
        </w:tc>
        <w:tc>
          <w:tcPr>
            <w:tcW w:w="1497" w:type="dxa"/>
            <w:tcBorders>
              <w:top w:val="nil"/>
              <w:left w:val="nil"/>
              <w:bottom w:val="single" w:sz="4" w:space="0" w:color="8497B0"/>
              <w:right w:val="single" w:sz="4" w:space="0" w:color="FFFFFF"/>
            </w:tcBorders>
            <w:shd w:val="clear" w:color="404040" w:fill="FFFFFF"/>
            <w:hideMark/>
          </w:tcPr>
          <w:p w14:paraId="4605CA97"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mii lei</w:t>
            </w:r>
          </w:p>
        </w:tc>
        <w:tc>
          <w:tcPr>
            <w:tcW w:w="1491" w:type="dxa"/>
            <w:tcBorders>
              <w:top w:val="nil"/>
              <w:left w:val="nil"/>
              <w:bottom w:val="single" w:sz="4" w:space="0" w:color="8497B0"/>
              <w:right w:val="single" w:sz="4" w:space="0" w:color="FFFFFF"/>
            </w:tcBorders>
            <w:shd w:val="clear" w:color="404040" w:fill="FFFFFF"/>
            <w:hideMark/>
          </w:tcPr>
          <w:p w14:paraId="6739CBE9"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mii lei</w:t>
            </w:r>
          </w:p>
        </w:tc>
        <w:tc>
          <w:tcPr>
            <w:tcW w:w="1470" w:type="dxa"/>
            <w:tcBorders>
              <w:top w:val="nil"/>
              <w:left w:val="nil"/>
              <w:bottom w:val="single" w:sz="4" w:space="0" w:color="8497B0"/>
              <w:right w:val="nil"/>
            </w:tcBorders>
            <w:shd w:val="clear" w:color="404040" w:fill="FFFFFF"/>
            <w:hideMark/>
          </w:tcPr>
          <w:p w14:paraId="2F50874E"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mii lei</w:t>
            </w:r>
          </w:p>
        </w:tc>
        <w:tc>
          <w:tcPr>
            <w:tcW w:w="1456" w:type="dxa"/>
            <w:tcBorders>
              <w:top w:val="nil"/>
              <w:left w:val="single" w:sz="4" w:space="0" w:color="FFFFFF"/>
              <w:bottom w:val="single" w:sz="4" w:space="0" w:color="8497B0"/>
              <w:right w:val="nil"/>
            </w:tcBorders>
            <w:shd w:val="clear" w:color="404040" w:fill="FFFFFF"/>
            <w:hideMark/>
          </w:tcPr>
          <w:p w14:paraId="3F639720" w14:textId="77777777" w:rsidR="004255E0" w:rsidRPr="004255E0" w:rsidRDefault="004255E0" w:rsidP="00A06393">
            <w:pPr>
              <w:spacing w:before="0" w:after="0" w:line="240" w:lineRule="auto"/>
              <w:jc w:val="right"/>
              <w:rPr>
                <w:rFonts w:ascii="Calibri" w:eastAsia="Times New Roman" w:hAnsi="Calibri" w:cs="Times New Roman"/>
                <w:i/>
                <w:iCs/>
                <w:color w:val="0F6FC6" w:themeColor="accent1"/>
                <w:sz w:val="14"/>
                <w:szCs w:val="14"/>
                <w:lang w:eastAsia="ro-RO"/>
              </w:rPr>
            </w:pPr>
            <w:r w:rsidRPr="004255E0">
              <w:rPr>
                <w:rFonts w:ascii="Calibri" w:eastAsia="Times New Roman" w:hAnsi="Calibri" w:cs="Times New Roman"/>
                <w:i/>
                <w:iCs/>
                <w:color w:val="0F6FC6" w:themeColor="accent1"/>
                <w:sz w:val="14"/>
                <w:szCs w:val="14"/>
                <w:lang w:eastAsia="ro-RO"/>
              </w:rPr>
              <w:t>%</w:t>
            </w:r>
          </w:p>
        </w:tc>
      </w:tr>
      <w:tr w:rsidR="004255E0" w:rsidRPr="00256C8F" w14:paraId="1B51265F" w14:textId="77777777" w:rsidTr="004255E0">
        <w:trPr>
          <w:trHeight w:val="235"/>
        </w:trPr>
        <w:tc>
          <w:tcPr>
            <w:tcW w:w="3150" w:type="dxa"/>
            <w:tcBorders>
              <w:top w:val="nil"/>
              <w:left w:val="single" w:sz="4" w:space="0" w:color="FFFFFF"/>
              <w:bottom w:val="single" w:sz="4" w:space="0" w:color="FFFFFF"/>
              <w:right w:val="single" w:sz="4" w:space="0" w:color="FFFFFF"/>
            </w:tcBorders>
            <w:shd w:val="clear" w:color="auto" w:fill="auto"/>
            <w:noWrap/>
            <w:hideMark/>
          </w:tcPr>
          <w:p w14:paraId="00E0A75E" w14:textId="77777777" w:rsidR="004255E0" w:rsidRPr="004255E0" w:rsidRDefault="004255E0" w:rsidP="00A06393">
            <w:pPr>
              <w:spacing w:before="0" w:after="0" w:line="240" w:lineRule="auto"/>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2018</w:t>
            </w:r>
          </w:p>
        </w:tc>
        <w:tc>
          <w:tcPr>
            <w:tcW w:w="1497" w:type="dxa"/>
            <w:tcBorders>
              <w:top w:val="nil"/>
              <w:left w:val="nil"/>
              <w:bottom w:val="single" w:sz="4" w:space="0" w:color="FFFFFF"/>
              <w:right w:val="single" w:sz="4" w:space="0" w:color="FFFFFF"/>
            </w:tcBorders>
            <w:shd w:val="clear" w:color="auto" w:fill="auto"/>
            <w:noWrap/>
            <w:hideMark/>
          </w:tcPr>
          <w:p w14:paraId="458172C0"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6.036.616</w:t>
            </w:r>
          </w:p>
        </w:tc>
        <w:tc>
          <w:tcPr>
            <w:tcW w:w="1491" w:type="dxa"/>
            <w:tcBorders>
              <w:top w:val="nil"/>
              <w:left w:val="nil"/>
              <w:bottom w:val="single" w:sz="4" w:space="0" w:color="FFFFFF"/>
              <w:right w:val="single" w:sz="4" w:space="0" w:color="FFFFFF"/>
            </w:tcBorders>
            <w:shd w:val="clear" w:color="auto" w:fill="auto"/>
            <w:noWrap/>
            <w:hideMark/>
          </w:tcPr>
          <w:p w14:paraId="121C1309"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3.181.141</w:t>
            </w:r>
          </w:p>
        </w:tc>
        <w:tc>
          <w:tcPr>
            <w:tcW w:w="1470" w:type="dxa"/>
            <w:tcBorders>
              <w:top w:val="nil"/>
              <w:left w:val="nil"/>
              <w:bottom w:val="single" w:sz="4" w:space="0" w:color="FFFFFF"/>
              <w:right w:val="single" w:sz="4" w:space="0" w:color="FFFFFF"/>
            </w:tcBorders>
            <w:shd w:val="clear" w:color="auto" w:fill="auto"/>
            <w:noWrap/>
            <w:hideMark/>
          </w:tcPr>
          <w:p w14:paraId="5A12F2B2"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2.855.475</w:t>
            </w:r>
          </w:p>
        </w:tc>
        <w:tc>
          <w:tcPr>
            <w:tcW w:w="1456" w:type="dxa"/>
            <w:tcBorders>
              <w:top w:val="nil"/>
              <w:left w:val="nil"/>
              <w:bottom w:val="single" w:sz="4" w:space="0" w:color="FFFFFF"/>
              <w:right w:val="single" w:sz="4" w:space="0" w:color="FFFFFF"/>
            </w:tcBorders>
            <w:shd w:val="clear" w:color="auto" w:fill="auto"/>
            <w:noWrap/>
            <w:hideMark/>
          </w:tcPr>
          <w:p w14:paraId="23F579DF"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0,7033%</w:t>
            </w:r>
          </w:p>
        </w:tc>
      </w:tr>
      <w:tr w:rsidR="004255E0" w:rsidRPr="00256C8F" w14:paraId="1AF1A687" w14:textId="77777777" w:rsidTr="004255E0">
        <w:trPr>
          <w:trHeight w:val="235"/>
        </w:trPr>
        <w:tc>
          <w:tcPr>
            <w:tcW w:w="3150" w:type="dxa"/>
            <w:tcBorders>
              <w:top w:val="nil"/>
              <w:left w:val="single" w:sz="4" w:space="0" w:color="FFFFFF"/>
              <w:bottom w:val="nil"/>
              <w:right w:val="single" w:sz="4" w:space="0" w:color="FFFFFF"/>
            </w:tcBorders>
            <w:shd w:val="clear" w:color="auto" w:fill="auto"/>
            <w:noWrap/>
            <w:hideMark/>
          </w:tcPr>
          <w:p w14:paraId="1339D37F" w14:textId="77777777" w:rsidR="004255E0" w:rsidRPr="004255E0" w:rsidRDefault="004255E0" w:rsidP="00A06393">
            <w:pPr>
              <w:spacing w:before="0" w:after="0" w:line="240" w:lineRule="auto"/>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2019</w:t>
            </w:r>
          </w:p>
        </w:tc>
        <w:tc>
          <w:tcPr>
            <w:tcW w:w="1497" w:type="dxa"/>
            <w:tcBorders>
              <w:top w:val="nil"/>
              <w:left w:val="nil"/>
              <w:bottom w:val="nil"/>
              <w:right w:val="single" w:sz="4" w:space="0" w:color="FFFFFF"/>
            </w:tcBorders>
            <w:shd w:val="clear" w:color="auto" w:fill="auto"/>
            <w:noWrap/>
            <w:hideMark/>
          </w:tcPr>
          <w:p w14:paraId="2C735F78"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8.072.365</w:t>
            </w:r>
          </w:p>
        </w:tc>
        <w:tc>
          <w:tcPr>
            <w:tcW w:w="1491" w:type="dxa"/>
            <w:tcBorders>
              <w:top w:val="nil"/>
              <w:left w:val="nil"/>
              <w:bottom w:val="nil"/>
              <w:right w:val="single" w:sz="4" w:space="0" w:color="FFFFFF"/>
            </w:tcBorders>
            <w:shd w:val="clear" w:color="auto" w:fill="auto"/>
            <w:noWrap/>
            <w:hideMark/>
          </w:tcPr>
          <w:p w14:paraId="61223823"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4.112.649</w:t>
            </w:r>
          </w:p>
        </w:tc>
        <w:tc>
          <w:tcPr>
            <w:tcW w:w="1470" w:type="dxa"/>
            <w:tcBorders>
              <w:top w:val="nil"/>
              <w:left w:val="nil"/>
              <w:bottom w:val="nil"/>
              <w:right w:val="single" w:sz="4" w:space="0" w:color="FFFFFF"/>
            </w:tcBorders>
            <w:shd w:val="clear" w:color="auto" w:fill="auto"/>
            <w:noWrap/>
            <w:hideMark/>
          </w:tcPr>
          <w:p w14:paraId="78D083BB"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3.959.716</w:t>
            </w:r>
          </w:p>
        </w:tc>
        <w:tc>
          <w:tcPr>
            <w:tcW w:w="1456" w:type="dxa"/>
            <w:tcBorders>
              <w:top w:val="nil"/>
              <w:left w:val="nil"/>
              <w:bottom w:val="nil"/>
              <w:right w:val="single" w:sz="4" w:space="0" w:color="FFFFFF"/>
            </w:tcBorders>
            <w:shd w:val="clear" w:color="auto" w:fill="auto"/>
            <w:noWrap/>
            <w:hideMark/>
          </w:tcPr>
          <w:p w14:paraId="725AA826" w14:textId="77777777" w:rsidR="004255E0" w:rsidRPr="004255E0" w:rsidRDefault="004255E0" w:rsidP="00A06393">
            <w:pPr>
              <w:spacing w:before="0" w:after="0" w:line="240" w:lineRule="auto"/>
              <w:jc w:val="right"/>
              <w:rPr>
                <w:rFonts w:ascii="Calibri" w:eastAsia="Times New Roman" w:hAnsi="Calibri" w:cs="Times New Roman"/>
                <w:sz w:val="16"/>
                <w:szCs w:val="16"/>
                <w:lang w:eastAsia="ro-RO"/>
              </w:rPr>
            </w:pPr>
            <w:r w:rsidRPr="004255E0">
              <w:rPr>
                <w:rFonts w:ascii="Calibri" w:eastAsia="Times New Roman" w:hAnsi="Calibri" w:cs="Times New Roman"/>
                <w:sz w:val="16"/>
                <w:szCs w:val="16"/>
                <w:lang w:eastAsia="ro-RO"/>
              </w:rPr>
              <w:t>0,8549%</w:t>
            </w:r>
          </w:p>
        </w:tc>
      </w:tr>
      <w:tr w:rsidR="004255E0" w:rsidRPr="00256C8F" w14:paraId="36ECED30" w14:textId="77777777" w:rsidTr="004255E0">
        <w:trPr>
          <w:trHeight w:val="235"/>
        </w:trPr>
        <w:tc>
          <w:tcPr>
            <w:tcW w:w="3150" w:type="dxa"/>
            <w:tcBorders>
              <w:top w:val="dashed" w:sz="4" w:space="0" w:color="5B9BD5"/>
              <w:left w:val="single" w:sz="4" w:space="0" w:color="FFFFFF"/>
              <w:bottom w:val="single" w:sz="4" w:space="0" w:color="5B9BD5"/>
              <w:right w:val="single" w:sz="4" w:space="0" w:color="FFFFFF"/>
            </w:tcBorders>
            <w:shd w:val="clear" w:color="auto" w:fill="auto"/>
            <w:noWrap/>
            <w:hideMark/>
          </w:tcPr>
          <w:p w14:paraId="438E5219" w14:textId="77777777" w:rsidR="004255E0" w:rsidRPr="004255E0" w:rsidRDefault="004255E0" w:rsidP="00A06393">
            <w:pPr>
              <w:spacing w:before="0" w:after="0" w:line="240" w:lineRule="auto"/>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2020</w:t>
            </w:r>
          </w:p>
        </w:tc>
        <w:tc>
          <w:tcPr>
            <w:tcW w:w="1497" w:type="dxa"/>
            <w:tcBorders>
              <w:top w:val="dashed" w:sz="4" w:space="0" w:color="5B9BD5"/>
              <w:left w:val="nil"/>
              <w:bottom w:val="single" w:sz="4" w:space="0" w:color="5B9BD5"/>
              <w:right w:val="single" w:sz="4" w:space="0" w:color="FFFFFF"/>
            </w:tcBorders>
            <w:shd w:val="clear" w:color="auto" w:fill="auto"/>
            <w:noWrap/>
            <w:hideMark/>
          </w:tcPr>
          <w:p w14:paraId="45F066BE"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10.426.788</w:t>
            </w:r>
          </w:p>
        </w:tc>
        <w:tc>
          <w:tcPr>
            <w:tcW w:w="1491" w:type="dxa"/>
            <w:tcBorders>
              <w:top w:val="dashed" w:sz="4" w:space="0" w:color="5B9BD5"/>
              <w:left w:val="nil"/>
              <w:bottom w:val="single" w:sz="4" w:space="0" w:color="5B9BD5"/>
              <w:right w:val="single" w:sz="4" w:space="0" w:color="FFFFFF"/>
            </w:tcBorders>
            <w:shd w:val="clear" w:color="auto" w:fill="auto"/>
            <w:noWrap/>
            <w:hideMark/>
          </w:tcPr>
          <w:p w14:paraId="32A262D0"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4.216.219</w:t>
            </w:r>
          </w:p>
        </w:tc>
        <w:tc>
          <w:tcPr>
            <w:tcW w:w="1470" w:type="dxa"/>
            <w:tcBorders>
              <w:top w:val="dashed" w:sz="4" w:space="0" w:color="5B9BD5"/>
              <w:left w:val="nil"/>
              <w:bottom w:val="single" w:sz="4" w:space="0" w:color="5B9BD5"/>
              <w:right w:val="single" w:sz="4" w:space="0" w:color="FFFFFF"/>
            </w:tcBorders>
            <w:shd w:val="clear" w:color="auto" w:fill="auto"/>
            <w:noWrap/>
            <w:hideMark/>
          </w:tcPr>
          <w:p w14:paraId="1AB58C99"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6.210.569</w:t>
            </w:r>
          </w:p>
        </w:tc>
        <w:tc>
          <w:tcPr>
            <w:tcW w:w="1456" w:type="dxa"/>
            <w:tcBorders>
              <w:top w:val="dashed" w:sz="4" w:space="0" w:color="5B9BD5"/>
              <w:left w:val="nil"/>
              <w:bottom w:val="single" w:sz="4" w:space="0" w:color="5B9BD5"/>
              <w:right w:val="single" w:sz="4" w:space="0" w:color="FFFFFF"/>
            </w:tcBorders>
            <w:shd w:val="clear" w:color="auto" w:fill="auto"/>
            <w:noWrap/>
            <w:hideMark/>
          </w:tcPr>
          <w:p w14:paraId="41DF848D"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0,9853%</w:t>
            </w:r>
          </w:p>
        </w:tc>
      </w:tr>
      <w:tr w:rsidR="004255E0" w:rsidRPr="00256C8F" w14:paraId="79825CAF" w14:textId="77777777" w:rsidTr="004255E0">
        <w:trPr>
          <w:trHeight w:val="353"/>
        </w:trPr>
        <w:tc>
          <w:tcPr>
            <w:tcW w:w="3150" w:type="dxa"/>
            <w:tcBorders>
              <w:top w:val="single" w:sz="4" w:space="0" w:color="9BC2E6"/>
              <w:left w:val="single" w:sz="4" w:space="0" w:color="FFFFFF"/>
              <w:bottom w:val="single" w:sz="4" w:space="0" w:color="9BC2E6"/>
              <w:right w:val="single" w:sz="4" w:space="0" w:color="FFFFFF"/>
            </w:tcBorders>
            <w:shd w:val="clear" w:color="000000" w:fill="FFFFFF"/>
            <w:hideMark/>
          </w:tcPr>
          <w:p w14:paraId="3A542DB8" w14:textId="77777777" w:rsidR="004255E0" w:rsidRPr="004255E0" w:rsidRDefault="004255E0" w:rsidP="00A06393">
            <w:pPr>
              <w:spacing w:before="0" w:after="0" w:line="240" w:lineRule="auto"/>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Anul 2020 raportat la anul 2019 -%</w:t>
            </w:r>
          </w:p>
        </w:tc>
        <w:tc>
          <w:tcPr>
            <w:tcW w:w="1497" w:type="dxa"/>
            <w:tcBorders>
              <w:top w:val="single" w:sz="4" w:space="0" w:color="9BC2E6"/>
              <w:left w:val="nil"/>
              <w:bottom w:val="single" w:sz="4" w:space="0" w:color="9BC2E6"/>
              <w:right w:val="single" w:sz="4" w:space="0" w:color="FFFFFF"/>
            </w:tcBorders>
            <w:shd w:val="clear" w:color="000000" w:fill="FFFFFF"/>
            <w:noWrap/>
            <w:hideMark/>
          </w:tcPr>
          <w:p w14:paraId="4A6AB92B"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129,17%</w:t>
            </w:r>
          </w:p>
        </w:tc>
        <w:tc>
          <w:tcPr>
            <w:tcW w:w="1491" w:type="dxa"/>
            <w:tcBorders>
              <w:top w:val="single" w:sz="4" w:space="0" w:color="9BC2E6"/>
              <w:left w:val="nil"/>
              <w:bottom w:val="single" w:sz="4" w:space="0" w:color="9BC2E6"/>
              <w:right w:val="single" w:sz="4" w:space="0" w:color="FFFFFF"/>
            </w:tcBorders>
            <w:shd w:val="clear" w:color="000000" w:fill="FFFFFF"/>
            <w:noWrap/>
            <w:hideMark/>
          </w:tcPr>
          <w:p w14:paraId="7B4E91D7"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102,52%</w:t>
            </w:r>
          </w:p>
        </w:tc>
        <w:tc>
          <w:tcPr>
            <w:tcW w:w="1470" w:type="dxa"/>
            <w:tcBorders>
              <w:top w:val="single" w:sz="4" w:space="0" w:color="9BC2E6"/>
              <w:left w:val="nil"/>
              <w:bottom w:val="single" w:sz="4" w:space="0" w:color="9BC2E6"/>
              <w:right w:val="single" w:sz="4" w:space="0" w:color="FFFFFF"/>
            </w:tcBorders>
            <w:shd w:val="clear" w:color="000000" w:fill="FFFFFF"/>
            <w:noWrap/>
            <w:hideMark/>
          </w:tcPr>
          <w:p w14:paraId="103DE28A" w14:textId="77777777" w:rsidR="004255E0" w:rsidRPr="004255E0" w:rsidRDefault="004255E0" w:rsidP="00A06393">
            <w:pPr>
              <w:spacing w:before="0" w:after="0" w:line="240" w:lineRule="auto"/>
              <w:jc w:val="right"/>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156,84%</w:t>
            </w:r>
          </w:p>
        </w:tc>
        <w:tc>
          <w:tcPr>
            <w:tcW w:w="1456" w:type="dxa"/>
            <w:tcBorders>
              <w:top w:val="single" w:sz="4" w:space="0" w:color="9BC2E6"/>
              <w:left w:val="nil"/>
              <w:bottom w:val="single" w:sz="4" w:space="0" w:color="9BC2E6"/>
              <w:right w:val="single" w:sz="4" w:space="0" w:color="FFFFFF"/>
            </w:tcBorders>
            <w:shd w:val="clear" w:color="000000" w:fill="FFFFFF"/>
            <w:noWrap/>
            <w:hideMark/>
          </w:tcPr>
          <w:p w14:paraId="31287E4F" w14:textId="77777777" w:rsidR="004255E0" w:rsidRPr="004255E0" w:rsidRDefault="004255E0" w:rsidP="00A06393">
            <w:pPr>
              <w:spacing w:before="0" w:after="0" w:line="240" w:lineRule="auto"/>
              <w:rPr>
                <w:rFonts w:ascii="Calibri" w:eastAsia="Times New Roman" w:hAnsi="Calibri" w:cs="Times New Roman"/>
                <w:bCs/>
                <w:sz w:val="16"/>
                <w:szCs w:val="16"/>
                <w:lang w:eastAsia="ro-RO"/>
              </w:rPr>
            </w:pPr>
            <w:r w:rsidRPr="004255E0">
              <w:rPr>
                <w:rFonts w:ascii="Calibri" w:eastAsia="Times New Roman" w:hAnsi="Calibri" w:cs="Times New Roman"/>
                <w:bCs/>
                <w:sz w:val="16"/>
                <w:szCs w:val="16"/>
                <w:lang w:eastAsia="ro-RO"/>
              </w:rPr>
              <w:t> </w:t>
            </w:r>
          </w:p>
        </w:tc>
      </w:tr>
      <w:tr w:rsidR="004255E0" w:rsidRPr="00256C8F" w14:paraId="5C3E2636" w14:textId="77777777" w:rsidTr="00A06393">
        <w:trPr>
          <w:trHeight w:val="235"/>
        </w:trPr>
        <w:tc>
          <w:tcPr>
            <w:tcW w:w="9064" w:type="dxa"/>
            <w:gridSpan w:val="5"/>
            <w:tcBorders>
              <w:top w:val="single" w:sz="4" w:space="0" w:color="5B9BD5"/>
              <w:left w:val="nil"/>
              <w:bottom w:val="nil"/>
              <w:right w:val="single" w:sz="4" w:space="0" w:color="FFFFFF"/>
            </w:tcBorders>
            <w:shd w:val="clear" w:color="auto" w:fill="auto"/>
            <w:noWrap/>
            <w:vAlign w:val="bottom"/>
            <w:hideMark/>
          </w:tcPr>
          <w:p w14:paraId="192AAA6D" w14:textId="77777777" w:rsidR="004255E0" w:rsidRPr="00256C8F" w:rsidRDefault="004255E0" w:rsidP="004255E0">
            <w:pPr>
              <w:spacing w:before="0" w:after="0" w:line="240" w:lineRule="auto"/>
              <w:rPr>
                <w:rFonts w:ascii="Calibri" w:eastAsia="Times New Roman" w:hAnsi="Calibri" w:cs="Times New Roman"/>
                <w:color w:val="595959"/>
                <w:sz w:val="16"/>
                <w:szCs w:val="16"/>
                <w:lang w:eastAsia="ro-RO"/>
              </w:rPr>
            </w:pPr>
            <w:r w:rsidRPr="00256C8F">
              <w:rPr>
                <w:rFonts w:ascii="Calibri Light" w:eastAsia="Times New Roman" w:hAnsi="Calibri Light" w:cs="Times New Roman"/>
                <w:color w:val="000000"/>
                <w:sz w:val="16"/>
                <w:szCs w:val="16"/>
                <w:lang w:eastAsia="ro-RO"/>
              </w:rPr>
              <w:t>Notă: în tabel s-a folosit starea ÎP la anul raportării.</w:t>
            </w:r>
          </w:p>
          <w:p w14:paraId="14D8CD06" w14:textId="77777777" w:rsidR="004255E0" w:rsidRPr="00256C8F" w:rsidRDefault="004255E0" w:rsidP="00A06393">
            <w:pPr>
              <w:spacing w:before="0" w:after="0" w:line="240" w:lineRule="auto"/>
              <w:jc w:val="right"/>
              <w:rPr>
                <w:rFonts w:ascii="Calibri" w:eastAsia="Times New Roman" w:hAnsi="Calibri" w:cs="Times New Roman"/>
                <w:color w:val="595959"/>
                <w:sz w:val="16"/>
                <w:szCs w:val="16"/>
                <w:lang w:eastAsia="ro-RO"/>
              </w:rPr>
            </w:pPr>
            <w:r w:rsidRPr="00256C8F">
              <w:rPr>
                <w:rFonts w:ascii="Calibri" w:eastAsia="Times New Roman" w:hAnsi="Calibri" w:cs="Times New Roman"/>
                <w:color w:val="595959"/>
                <w:sz w:val="16"/>
                <w:szCs w:val="16"/>
                <w:lang w:eastAsia="ro-RO"/>
              </w:rPr>
              <w:t> </w:t>
            </w:r>
          </w:p>
        </w:tc>
      </w:tr>
    </w:tbl>
    <w:p w14:paraId="574CC6F3" w14:textId="77777777" w:rsidR="004255E0" w:rsidRPr="008C6972" w:rsidRDefault="000C045A" w:rsidP="004255E0">
      <w:pPr>
        <w:jc w:val="both"/>
        <w:rPr>
          <w:rFonts w:asciiTheme="majorHAnsi" w:hAnsiTheme="majorHAnsi" w:cstheme="majorBidi"/>
        </w:rPr>
      </w:pPr>
      <w:r>
        <w:rPr>
          <w:rFonts w:asciiTheme="majorHAnsi" w:hAnsiTheme="majorHAnsi" w:cstheme="majorBidi"/>
          <w:noProof/>
          <w:lang w:val="en-US"/>
        </w:rPr>
        <w:drawing>
          <wp:inline distT="0" distB="0" distL="0" distR="0" wp14:anchorId="62FFB48E" wp14:editId="06BE90D1">
            <wp:extent cx="2834640" cy="2926080"/>
            <wp:effectExtent l="0" t="0" r="3810" b="762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r w:rsidR="005D61FE">
        <w:rPr>
          <w:rFonts w:asciiTheme="majorHAnsi" w:hAnsiTheme="majorHAnsi" w:cstheme="majorBidi"/>
          <w:noProof/>
          <w:lang w:val="en-US"/>
        </w:rPr>
        <w:drawing>
          <wp:inline distT="0" distB="0" distL="0" distR="0" wp14:anchorId="57C6649C" wp14:editId="710EA7D6">
            <wp:extent cx="2834640" cy="2926080"/>
            <wp:effectExtent l="0" t="0" r="381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p>
    <w:p w14:paraId="3779303E" w14:textId="77777777" w:rsidR="004255E0" w:rsidRPr="008C6972" w:rsidRDefault="004255E0" w:rsidP="000C045A">
      <w:pPr>
        <w:spacing w:before="0" w:after="0"/>
        <w:jc w:val="both"/>
        <w:rPr>
          <w:rFonts w:asciiTheme="majorHAnsi" w:hAnsiTheme="majorHAnsi" w:cstheme="majorBidi"/>
        </w:rPr>
      </w:pPr>
      <w:r w:rsidRPr="00472F8A">
        <w:rPr>
          <w:rFonts w:asciiTheme="majorHAnsi" w:hAnsiTheme="majorHAnsi" w:cstheme="majorBidi"/>
        </w:rPr>
        <w:t>În anul 2020, față de anul 2019, volumul subvențiilor acordate întreprinderilor publice centrale a crescut cu 29,17%, respectiv cu suma de 2.354.423</w:t>
      </w:r>
      <w:r>
        <w:rPr>
          <w:rFonts w:asciiTheme="majorHAnsi" w:hAnsiTheme="majorHAnsi" w:cstheme="majorBidi"/>
        </w:rPr>
        <w:t xml:space="preserve"> </w:t>
      </w:r>
      <w:r w:rsidRPr="00472F8A">
        <w:rPr>
          <w:rFonts w:asciiTheme="majorHAnsi" w:hAnsiTheme="majorHAnsi" w:cstheme="majorBidi"/>
        </w:rPr>
        <w:t>mii lei.</w:t>
      </w:r>
    </w:p>
    <w:p w14:paraId="3F3C9DCE" w14:textId="77777777" w:rsidR="008A5EBC" w:rsidRPr="000C045A" w:rsidRDefault="004255E0" w:rsidP="008A5EBC">
      <w:pPr>
        <w:spacing w:before="0" w:after="0"/>
        <w:jc w:val="both"/>
        <w:rPr>
          <w:rFonts w:asciiTheme="majorHAnsi" w:hAnsiTheme="majorHAnsi" w:cstheme="majorBidi"/>
          <w:kern w:val="20"/>
          <w:lang w:eastAsia="ja-JP"/>
        </w:rPr>
      </w:pPr>
      <w:r w:rsidRPr="008C6972">
        <w:rPr>
          <w:rFonts w:asciiTheme="majorHAnsi" w:hAnsiTheme="majorHAnsi" w:cstheme="majorBidi"/>
        </w:rPr>
        <w:t xml:space="preserve">În totalul subvențiilor acordate, în sumă de </w:t>
      </w:r>
      <w:r>
        <w:rPr>
          <w:rFonts w:asciiTheme="majorHAnsi" w:hAnsiTheme="majorHAnsi" w:cstheme="majorBidi"/>
        </w:rPr>
        <w:t>10</w:t>
      </w:r>
      <w:r w:rsidRPr="008C6972">
        <w:rPr>
          <w:rFonts w:asciiTheme="majorHAnsi" w:hAnsiTheme="majorHAnsi" w:cstheme="majorBidi"/>
        </w:rPr>
        <w:t>.</w:t>
      </w:r>
      <w:r>
        <w:rPr>
          <w:rFonts w:asciiTheme="majorHAnsi" w:hAnsiTheme="majorHAnsi" w:cstheme="majorBidi"/>
        </w:rPr>
        <w:t>426</w:t>
      </w:r>
      <w:r w:rsidRPr="008C6972">
        <w:rPr>
          <w:rFonts w:asciiTheme="majorHAnsi" w:hAnsiTheme="majorHAnsi" w:cstheme="majorBidi"/>
        </w:rPr>
        <w:t>.</w:t>
      </w:r>
      <w:r>
        <w:rPr>
          <w:rFonts w:asciiTheme="majorHAnsi" w:hAnsiTheme="majorHAnsi" w:cstheme="majorBidi"/>
        </w:rPr>
        <w:t>788</w:t>
      </w:r>
      <w:r w:rsidRPr="008C6972">
        <w:rPr>
          <w:rFonts w:asciiTheme="majorHAnsi" w:hAnsiTheme="majorHAnsi" w:cstheme="majorBidi"/>
        </w:rPr>
        <w:t xml:space="preserve"> mii lei, ponderea cea mai mare, în proporție de </w:t>
      </w:r>
      <w:r>
        <w:rPr>
          <w:rFonts w:asciiTheme="majorHAnsi" w:hAnsiTheme="majorHAnsi" w:cstheme="majorBidi"/>
        </w:rPr>
        <w:t>40</w:t>
      </w:r>
      <w:r w:rsidRPr="008C6972">
        <w:rPr>
          <w:rFonts w:asciiTheme="majorHAnsi" w:hAnsiTheme="majorHAnsi" w:cstheme="majorBidi"/>
        </w:rPr>
        <w:t>,</w:t>
      </w:r>
      <w:r>
        <w:rPr>
          <w:rFonts w:asciiTheme="majorHAnsi" w:hAnsiTheme="majorHAnsi" w:cstheme="majorBidi"/>
        </w:rPr>
        <w:t>44</w:t>
      </w:r>
      <w:r w:rsidRPr="008C6972">
        <w:rPr>
          <w:rFonts w:asciiTheme="majorHAnsi" w:hAnsiTheme="majorHAnsi" w:cstheme="majorBidi"/>
        </w:rPr>
        <w:t xml:space="preserve">%, a fost acordată pentru activitatea de exploatare, în timp ce pentru investiții a fost acordat un procent de </w:t>
      </w:r>
      <w:r>
        <w:rPr>
          <w:rFonts w:asciiTheme="majorHAnsi" w:hAnsiTheme="majorHAnsi" w:cstheme="majorBidi"/>
        </w:rPr>
        <w:t>5</w:t>
      </w:r>
      <w:r w:rsidRPr="008C6972">
        <w:rPr>
          <w:rFonts w:asciiTheme="majorHAnsi" w:hAnsiTheme="majorHAnsi" w:cstheme="majorBidi"/>
        </w:rPr>
        <w:t>9,5</w:t>
      </w:r>
      <w:r>
        <w:rPr>
          <w:rFonts w:asciiTheme="majorHAnsi" w:hAnsiTheme="majorHAnsi" w:cstheme="majorBidi"/>
        </w:rPr>
        <w:t>6</w:t>
      </w:r>
      <w:r w:rsidRPr="008C6972">
        <w:rPr>
          <w:rFonts w:asciiTheme="majorHAnsi" w:hAnsiTheme="majorHAnsi" w:cstheme="majorBidi"/>
        </w:rPr>
        <w:t>%. Astfel, se observă o creștere cu</w:t>
      </w:r>
      <w:r w:rsidRPr="008C6972">
        <w:t xml:space="preserve"> </w:t>
      </w:r>
      <w:r w:rsidRPr="008C6972">
        <w:rPr>
          <w:rFonts w:asciiTheme="majorHAnsi" w:hAnsiTheme="majorHAnsi" w:cstheme="majorBidi"/>
        </w:rPr>
        <w:t>2,</w:t>
      </w:r>
      <w:r>
        <w:rPr>
          <w:rFonts w:asciiTheme="majorHAnsi" w:hAnsiTheme="majorHAnsi" w:cstheme="majorBidi"/>
        </w:rPr>
        <w:t>52</w:t>
      </w:r>
      <w:r w:rsidRPr="008C6972">
        <w:rPr>
          <w:rFonts w:asciiTheme="majorHAnsi" w:hAnsiTheme="majorHAnsi" w:cstheme="majorBidi"/>
        </w:rPr>
        <w:t xml:space="preserve">% a subvențiilor pentru activitatea de exploatare și cu </w:t>
      </w:r>
      <w:r>
        <w:rPr>
          <w:rFonts w:asciiTheme="majorHAnsi" w:hAnsiTheme="majorHAnsi" w:cstheme="majorBidi"/>
        </w:rPr>
        <w:t>56</w:t>
      </w:r>
      <w:r w:rsidRPr="008C6972">
        <w:rPr>
          <w:rFonts w:asciiTheme="majorHAnsi" w:hAnsiTheme="majorHAnsi" w:cstheme="majorBidi"/>
        </w:rPr>
        <w:t>,</w:t>
      </w:r>
      <w:r>
        <w:rPr>
          <w:rFonts w:asciiTheme="majorHAnsi" w:hAnsiTheme="majorHAnsi" w:cstheme="majorBidi"/>
        </w:rPr>
        <w:t>84</w:t>
      </w:r>
      <w:r w:rsidRPr="008C6972">
        <w:rPr>
          <w:rFonts w:asciiTheme="majorHAnsi" w:hAnsiTheme="majorHAnsi" w:cstheme="majorBidi"/>
        </w:rPr>
        <w:t>% a subvențiilor pentru investiții în anul 20</w:t>
      </w:r>
      <w:r>
        <w:rPr>
          <w:rFonts w:asciiTheme="majorHAnsi" w:hAnsiTheme="majorHAnsi" w:cstheme="majorBidi"/>
        </w:rPr>
        <w:t>20</w:t>
      </w:r>
      <w:r w:rsidRPr="008C6972">
        <w:rPr>
          <w:rFonts w:asciiTheme="majorHAnsi" w:hAnsiTheme="majorHAnsi" w:cstheme="majorBidi"/>
        </w:rPr>
        <w:t xml:space="preserve"> față de anul 201</w:t>
      </w:r>
      <w:r>
        <w:rPr>
          <w:rFonts w:asciiTheme="majorHAnsi" w:hAnsiTheme="majorHAnsi" w:cstheme="majorBidi"/>
        </w:rPr>
        <w:t>9</w:t>
      </w:r>
      <w:r w:rsidRPr="008C6972">
        <w:rPr>
          <w:rFonts w:asciiTheme="majorHAnsi" w:hAnsiTheme="majorHAnsi" w:cstheme="majorBidi"/>
        </w:rPr>
        <w:t>. Ponderea subvențiilor totale în PIB a crescut de la 0,</w:t>
      </w:r>
      <w:r>
        <w:rPr>
          <w:rFonts w:asciiTheme="majorHAnsi" w:hAnsiTheme="majorHAnsi" w:cstheme="majorBidi"/>
        </w:rPr>
        <w:t>76</w:t>
      </w:r>
      <w:r w:rsidRPr="008C6972">
        <w:rPr>
          <w:rFonts w:asciiTheme="majorHAnsi" w:hAnsiTheme="majorHAnsi" w:cstheme="majorBidi"/>
        </w:rPr>
        <w:t>% din PIB în anul 201</w:t>
      </w:r>
      <w:r>
        <w:rPr>
          <w:rFonts w:asciiTheme="majorHAnsi" w:hAnsiTheme="majorHAnsi" w:cstheme="majorBidi"/>
        </w:rPr>
        <w:t>9</w:t>
      </w:r>
      <w:r w:rsidRPr="008C6972">
        <w:rPr>
          <w:rFonts w:asciiTheme="majorHAnsi" w:hAnsiTheme="majorHAnsi" w:cstheme="majorBidi"/>
        </w:rPr>
        <w:t xml:space="preserve"> la 0,</w:t>
      </w:r>
      <w:r>
        <w:rPr>
          <w:rFonts w:asciiTheme="majorHAnsi" w:hAnsiTheme="majorHAnsi" w:cstheme="majorBidi"/>
        </w:rPr>
        <w:t>99</w:t>
      </w:r>
      <w:r w:rsidRPr="008C6972">
        <w:rPr>
          <w:rFonts w:asciiTheme="majorHAnsi" w:hAnsiTheme="majorHAnsi" w:cstheme="majorBidi"/>
        </w:rPr>
        <w:t>% din PIB în anul 20</w:t>
      </w:r>
      <w:r>
        <w:rPr>
          <w:rFonts w:asciiTheme="majorHAnsi" w:hAnsiTheme="majorHAnsi" w:cstheme="majorBidi"/>
        </w:rPr>
        <w:t>20</w:t>
      </w:r>
      <w:r w:rsidRPr="008C6972">
        <w:rPr>
          <w:rFonts w:asciiTheme="majorHAnsi" w:hAnsiTheme="majorHAnsi" w:cstheme="majorBidi"/>
        </w:rPr>
        <w:t>.</w:t>
      </w:r>
    </w:p>
    <w:p w14:paraId="137EB52A" w14:textId="77777777" w:rsidR="008A5EBC" w:rsidRPr="000C045A" w:rsidRDefault="008A5EBC" w:rsidP="008A5EBC">
      <w:pPr>
        <w:spacing w:before="120" w:beforeAutospacing="1" w:after="120" w:afterAutospacing="1" w:line="240" w:lineRule="auto"/>
        <w:jc w:val="both"/>
        <w:rPr>
          <w:rFonts w:asciiTheme="majorHAnsi" w:hAnsiTheme="majorHAnsi" w:cstheme="majorBidi"/>
          <w:bCs/>
          <w:kern w:val="20"/>
          <w:lang w:eastAsia="ja-JP"/>
        </w:rPr>
      </w:pPr>
      <w:r w:rsidRPr="000C045A">
        <w:rPr>
          <w:rFonts w:asciiTheme="majorHAnsi" w:hAnsiTheme="majorHAnsi" w:cstheme="majorBidi"/>
          <w:bCs/>
          <w:kern w:val="20"/>
          <w:lang w:eastAsia="ja-JP"/>
        </w:rPr>
        <w:t>TABEL– Structura subvențiilor acordate de la bugetul de stat pentru ÎPC grupate pe autorități publice tutelare și ordonate descrescător după subvențiile acordate de la bugetul de stat în anul 2020</w:t>
      </w:r>
    </w:p>
    <w:tbl>
      <w:tblPr>
        <w:tblW w:w="9246" w:type="dxa"/>
        <w:tblInd w:w="108" w:type="dxa"/>
        <w:tblLook w:val="04A0" w:firstRow="1" w:lastRow="0" w:firstColumn="1" w:lastColumn="0" w:noHBand="0" w:noVBand="1"/>
      </w:tblPr>
      <w:tblGrid>
        <w:gridCol w:w="2851"/>
        <w:gridCol w:w="1422"/>
        <w:gridCol w:w="1489"/>
        <w:gridCol w:w="1324"/>
        <w:gridCol w:w="2160"/>
      </w:tblGrid>
      <w:tr w:rsidR="008A5EBC" w:rsidRPr="00316D0C" w14:paraId="7BF6490D" w14:textId="77777777" w:rsidTr="00CF3217">
        <w:trPr>
          <w:trHeight w:val="128"/>
        </w:trPr>
        <w:tc>
          <w:tcPr>
            <w:tcW w:w="2851" w:type="dxa"/>
            <w:vMerge w:val="restart"/>
            <w:tcBorders>
              <w:top w:val="single" w:sz="4" w:space="0" w:color="9BC2E6"/>
              <w:left w:val="nil"/>
              <w:bottom w:val="single" w:sz="4" w:space="0" w:color="9BC2E6"/>
              <w:right w:val="nil"/>
            </w:tcBorders>
            <w:shd w:val="clear" w:color="000000" w:fill="FFFFFF"/>
            <w:hideMark/>
          </w:tcPr>
          <w:p w14:paraId="7EF8D11D" w14:textId="77777777" w:rsidR="008A5EBC" w:rsidRPr="000C045A" w:rsidRDefault="008A5EBC" w:rsidP="00CF3217">
            <w:pPr>
              <w:spacing w:before="0" w:after="0" w:line="240" w:lineRule="auto"/>
              <w:rPr>
                <w:rFonts w:ascii="Calibri" w:eastAsia="Times New Roman" w:hAnsi="Calibri" w:cs="Times New Roman"/>
                <w:bCs/>
                <w:color w:val="0F6FC6" w:themeColor="accent1"/>
                <w:sz w:val="16"/>
                <w:szCs w:val="16"/>
                <w:lang w:eastAsia="ro-RO"/>
              </w:rPr>
            </w:pPr>
            <w:r w:rsidRPr="000C045A">
              <w:rPr>
                <w:rFonts w:ascii="Calibri" w:eastAsia="Times New Roman" w:hAnsi="Calibri" w:cs="Times New Roman"/>
                <w:bCs/>
                <w:color w:val="0F6FC6" w:themeColor="accent1"/>
                <w:sz w:val="16"/>
                <w:szCs w:val="16"/>
                <w:lang w:eastAsia="ro-RO"/>
              </w:rPr>
              <w:t>Abreviere autoritate publică tutelară</w:t>
            </w:r>
          </w:p>
        </w:tc>
        <w:tc>
          <w:tcPr>
            <w:tcW w:w="4235" w:type="dxa"/>
            <w:gridSpan w:val="3"/>
            <w:tcBorders>
              <w:top w:val="single" w:sz="4" w:space="0" w:color="9BC2E6"/>
              <w:left w:val="nil"/>
              <w:bottom w:val="single" w:sz="4" w:space="0" w:color="9BC2E6"/>
              <w:right w:val="nil"/>
            </w:tcBorders>
            <w:shd w:val="clear" w:color="000000" w:fill="FFFFFF"/>
            <w:hideMark/>
          </w:tcPr>
          <w:p w14:paraId="2A7B42F7" w14:textId="77777777" w:rsidR="008A5EBC" w:rsidRPr="000C045A" w:rsidRDefault="008A5EBC" w:rsidP="00CF3217">
            <w:pPr>
              <w:spacing w:before="0" w:after="0" w:line="240" w:lineRule="auto"/>
              <w:jc w:val="right"/>
              <w:rPr>
                <w:rFonts w:ascii="Calibri" w:eastAsia="Times New Roman" w:hAnsi="Calibri" w:cs="Times New Roman"/>
                <w:bCs/>
                <w:color w:val="0F6FC6" w:themeColor="accent1"/>
                <w:sz w:val="16"/>
                <w:szCs w:val="16"/>
                <w:lang w:eastAsia="ro-RO"/>
              </w:rPr>
            </w:pPr>
            <w:r w:rsidRPr="000C045A">
              <w:rPr>
                <w:rFonts w:ascii="Calibri" w:eastAsia="Times New Roman" w:hAnsi="Calibri" w:cs="Times New Roman"/>
                <w:bCs/>
                <w:color w:val="0F6FC6" w:themeColor="accent1"/>
                <w:sz w:val="16"/>
                <w:szCs w:val="16"/>
                <w:lang w:eastAsia="ro-RO"/>
              </w:rPr>
              <w:t>Total subvenții</w:t>
            </w:r>
          </w:p>
        </w:tc>
        <w:tc>
          <w:tcPr>
            <w:tcW w:w="2160" w:type="dxa"/>
            <w:vMerge w:val="restart"/>
            <w:tcBorders>
              <w:top w:val="single" w:sz="4" w:space="0" w:color="9BC2E6"/>
              <w:left w:val="nil"/>
              <w:bottom w:val="single" w:sz="4" w:space="0" w:color="9BC2E6"/>
              <w:right w:val="nil"/>
            </w:tcBorders>
            <w:shd w:val="clear" w:color="000000" w:fill="FFFFFF"/>
            <w:hideMark/>
          </w:tcPr>
          <w:p w14:paraId="55C4DA44" w14:textId="77777777" w:rsidR="008A5EBC" w:rsidRPr="000C045A" w:rsidRDefault="008A5EBC" w:rsidP="00CF3217">
            <w:pPr>
              <w:spacing w:before="0" w:after="0" w:line="240" w:lineRule="auto"/>
              <w:jc w:val="right"/>
              <w:rPr>
                <w:rFonts w:ascii="Calibri" w:eastAsia="Times New Roman" w:hAnsi="Calibri" w:cs="Times New Roman"/>
                <w:bCs/>
                <w:color w:val="0F6FC6" w:themeColor="accent1"/>
                <w:sz w:val="16"/>
                <w:szCs w:val="16"/>
                <w:lang w:eastAsia="ro-RO"/>
              </w:rPr>
            </w:pPr>
            <w:r w:rsidRPr="000C045A">
              <w:rPr>
                <w:rFonts w:ascii="Calibri" w:eastAsia="Times New Roman" w:hAnsi="Calibri" w:cs="Times New Roman"/>
                <w:bCs/>
                <w:color w:val="0F6FC6" w:themeColor="accent1"/>
                <w:sz w:val="16"/>
                <w:szCs w:val="16"/>
                <w:lang w:eastAsia="ro-RO"/>
              </w:rPr>
              <w:t>Total subvenții acordate de la bugetul de stat pentru ÎPC  în perioada 2018-2020</w:t>
            </w:r>
          </w:p>
        </w:tc>
      </w:tr>
      <w:tr w:rsidR="008A5EBC" w:rsidRPr="00316D0C" w14:paraId="617112FB" w14:textId="77777777" w:rsidTr="00CF3217">
        <w:trPr>
          <w:trHeight w:val="128"/>
        </w:trPr>
        <w:tc>
          <w:tcPr>
            <w:tcW w:w="2851" w:type="dxa"/>
            <w:vMerge/>
            <w:tcBorders>
              <w:top w:val="single" w:sz="4" w:space="0" w:color="9BC2E6"/>
              <w:left w:val="nil"/>
              <w:bottom w:val="single" w:sz="4" w:space="0" w:color="9BC2E6"/>
              <w:right w:val="nil"/>
            </w:tcBorders>
            <w:vAlign w:val="center"/>
            <w:hideMark/>
          </w:tcPr>
          <w:p w14:paraId="325D7C92" w14:textId="77777777" w:rsidR="008A5EBC" w:rsidRPr="00316D0C" w:rsidRDefault="008A5EBC" w:rsidP="00CF3217">
            <w:pPr>
              <w:spacing w:before="0" w:after="0" w:line="240" w:lineRule="auto"/>
              <w:rPr>
                <w:rFonts w:ascii="Calibri" w:eastAsia="Times New Roman" w:hAnsi="Calibri" w:cs="Times New Roman"/>
                <w:b/>
                <w:bCs/>
                <w:color w:val="5B9BD5"/>
                <w:sz w:val="16"/>
                <w:szCs w:val="16"/>
                <w:lang w:eastAsia="ro-RO"/>
              </w:rPr>
            </w:pPr>
          </w:p>
        </w:tc>
        <w:tc>
          <w:tcPr>
            <w:tcW w:w="1422" w:type="dxa"/>
            <w:tcBorders>
              <w:top w:val="nil"/>
              <w:left w:val="nil"/>
              <w:bottom w:val="single" w:sz="4" w:space="0" w:color="9BC2E6"/>
              <w:right w:val="nil"/>
            </w:tcBorders>
            <w:shd w:val="clear" w:color="000000" w:fill="FFFFFF"/>
            <w:hideMark/>
          </w:tcPr>
          <w:p w14:paraId="4780C8D3" w14:textId="77777777" w:rsidR="008A5EBC" w:rsidRPr="000C045A" w:rsidRDefault="008A5EBC" w:rsidP="00CF3217">
            <w:pPr>
              <w:spacing w:before="0" w:after="0" w:line="240" w:lineRule="auto"/>
              <w:jc w:val="right"/>
              <w:rPr>
                <w:rFonts w:ascii="Calibri" w:eastAsia="Times New Roman" w:hAnsi="Calibri" w:cs="Times New Roman"/>
                <w:bCs/>
                <w:color w:val="0F6FC6" w:themeColor="accent1"/>
                <w:sz w:val="16"/>
                <w:szCs w:val="14"/>
                <w:lang w:eastAsia="ro-RO"/>
              </w:rPr>
            </w:pPr>
            <w:r w:rsidRPr="000C045A">
              <w:rPr>
                <w:rFonts w:ascii="Calibri" w:eastAsia="Times New Roman" w:hAnsi="Calibri" w:cs="Times New Roman"/>
                <w:bCs/>
                <w:color w:val="0F6FC6" w:themeColor="accent1"/>
                <w:sz w:val="16"/>
                <w:szCs w:val="14"/>
                <w:lang w:eastAsia="ro-RO"/>
              </w:rPr>
              <w:t>2018</w:t>
            </w:r>
          </w:p>
        </w:tc>
        <w:tc>
          <w:tcPr>
            <w:tcW w:w="1489" w:type="dxa"/>
            <w:tcBorders>
              <w:top w:val="nil"/>
              <w:left w:val="nil"/>
              <w:bottom w:val="single" w:sz="4" w:space="0" w:color="9BC2E6"/>
              <w:right w:val="nil"/>
            </w:tcBorders>
            <w:shd w:val="clear" w:color="000000" w:fill="FFFFFF"/>
            <w:hideMark/>
          </w:tcPr>
          <w:p w14:paraId="32A5340C" w14:textId="77777777" w:rsidR="008A5EBC" w:rsidRPr="000C045A" w:rsidRDefault="008A5EBC" w:rsidP="00CF3217">
            <w:pPr>
              <w:spacing w:before="0" w:after="0" w:line="240" w:lineRule="auto"/>
              <w:jc w:val="right"/>
              <w:rPr>
                <w:rFonts w:ascii="Calibri" w:eastAsia="Times New Roman" w:hAnsi="Calibri" w:cs="Times New Roman"/>
                <w:bCs/>
                <w:color w:val="0F6FC6" w:themeColor="accent1"/>
                <w:sz w:val="16"/>
                <w:szCs w:val="14"/>
                <w:lang w:eastAsia="ro-RO"/>
              </w:rPr>
            </w:pPr>
            <w:r w:rsidRPr="000C045A">
              <w:rPr>
                <w:rFonts w:ascii="Calibri" w:eastAsia="Times New Roman" w:hAnsi="Calibri" w:cs="Times New Roman"/>
                <w:bCs/>
                <w:color w:val="0F6FC6" w:themeColor="accent1"/>
                <w:sz w:val="16"/>
                <w:szCs w:val="14"/>
                <w:lang w:eastAsia="ro-RO"/>
              </w:rPr>
              <w:t>2019</w:t>
            </w:r>
          </w:p>
        </w:tc>
        <w:tc>
          <w:tcPr>
            <w:tcW w:w="1324" w:type="dxa"/>
            <w:tcBorders>
              <w:top w:val="nil"/>
              <w:left w:val="nil"/>
              <w:bottom w:val="single" w:sz="4" w:space="0" w:color="9BC2E6"/>
              <w:right w:val="nil"/>
            </w:tcBorders>
            <w:shd w:val="clear" w:color="000000" w:fill="D9E1F2"/>
            <w:hideMark/>
          </w:tcPr>
          <w:p w14:paraId="06CA91B2" w14:textId="77777777" w:rsidR="008A5EBC" w:rsidRPr="000C045A" w:rsidRDefault="008A5EBC" w:rsidP="00CF3217">
            <w:pPr>
              <w:spacing w:before="0" w:after="0" w:line="240" w:lineRule="auto"/>
              <w:jc w:val="right"/>
              <w:rPr>
                <w:rFonts w:ascii="Calibri" w:eastAsia="Times New Roman" w:hAnsi="Calibri" w:cs="Times New Roman"/>
                <w:bCs/>
                <w:color w:val="0F6FC6" w:themeColor="accent1"/>
                <w:sz w:val="16"/>
                <w:szCs w:val="14"/>
                <w:lang w:eastAsia="ro-RO"/>
              </w:rPr>
            </w:pPr>
            <w:r w:rsidRPr="000C045A">
              <w:rPr>
                <w:rFonts w:ascii="Calibri" w:eastAsia="Times New Roman" w:hAnsi="Calibri" w:cs="Times New Roman"/>
                <w:bCs/>
                <w:color w:val="0F6FC6" w:themeColor="accent1"/>
                <w:sz w:val="16"/>
                <w:szCs w:val="14"/>
                <w:lang w:eastAsia="ro-RO"/>
              </w:rPr>
              <w:t>2020</w:t>
            </w:r>
          </w:p>
        </w:tc>
        <w:tc>
          <w:tcPr>
            <w:tcW w:w="2160" w:type="dxa"/>
            <w:vMerge/>
            <w:tcBorders>
              <w:top w:val="single" w:sz="4" w:space="0" w:color="9BC2E6"/>
              <w:left w:val="nil"/>
              <w:bottom w:val="single" w:sz="4" w:space="0" w:color="9BC2E6"/>
              <w:right w:val="nil"/>
            </w:tcBorders>
            <w:hideMark/>
          </w:tcPr>
          <w:p w14:paraId="24440B45" w14:textId="77777777" w:rsidR="008A5EBC" w:rsidRPr="000C045A" w:rsidRDefault="008A5EBC" w:rsidP="00CF3217">
            <w:pPr>
              <w:spacing w:before="0" w:after="0" w:line="240" w:lineRule="auto"/>
              <w:jc w:val="right"/>
              <w:rPr>
                <w:rFonts w:ascii="Calibri" w:eastAsia="Times New Roman" w:hAnsi="Calibri" w:cs="Times New Roman"/>
                <w:bCs/>
                <w:color w:val="0F6FC6" w:themeColor="accent1"/>
                <w:sz w:val="16"/>
                <w:szCs w:val="16"/>
                <w:lang w:eastAsia="ro-RO"/>
              </w:rPr>
            </w:pPr>
          </w:p>
        </w:tc>
      </w:tr>
      <w:tr w:rsidR="008A5EBC" w:rsidRPr="00316D0C" w14:paraId="550B7A48" w14:textId="77777777" w:rsidTr="00CF3217">
        <w:trPr>
          <w:trHeight w:val="128"/>
        </w:trPr>
        <w:tc>
          <w:tcPr>
            <w:tcW w:w="2851" w:type="dxa"/>
            <w:vMerge/>
            <w:tcBorders>
              <w:top w:val="single" w:sz="4" w:space="0" w:color="9BC2E6"/>
              <w:left w:val="nil"/>
              <w:bottom w:val="single" w:sz="4" w:space="0" w:color="9BC2E6"/>
              <w:right w:val="nil"/>
            </w:tcBorders>
            <w:vAlign w:val="center"/>
            <w:hideMark/>
          </w:tcPr>
          <w:p w14:paraId="49F21ADF" w14:textId="77777777" w:rsidR="008A5EBC" w:rsidRPr="00316D0C" w:rsidRDefault="008A5EBC" w:rsidP="00CF3217">
            <w:pPr>
              <w:spacing w:before="0" w:after="0" w:line="240" w:lineRule="auto"/>
              <w:rPr>
                <w:rFonts w:ascii="Calibri" w:eastAsia="Times New Roman" w:hAnsi="Calibri" w:cs="Times New Roman"/>
                <w:b/>
                <w:bCs/>
                <w:color w:val="5B9BD5"/>
                <w:sz w:val="16"/>
                <w:szCs w:val="16"/>
                <w:lang w:eastAsia="ro-RO"/>
              </w:rPr>
            </w:pPr>
          </w:p>
        </w:tc>
        <w:tc>
          <w:tcPr>
            <w:tcW w:w="1422" w:type="dxa"/>
            <w:tcBorders>
              <w:top w:val="nil"/>
              <w:left w:val="nil"/>
              <w:bottom w:val="single" w:sz="4" w:space="0" w:color="9BC2E6"/>
              <w:right w:val="nil"/>
            </w:tcBorders>
            <w:shd w:val="clear" w:color="000000" w:fill="FFFFFF"/>
            <w:hideMark/>
          </w:tcPr>
          <w:p w14:paraId="67FDC83B"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1</w:t>
            </w:r>
          </w:p>
        </w:tc>
        <w:tc>
          <w:tcPr>
            <w:tcW w:w="1489" w:type="dxa"/>
            <w:tcBorders>
              <w:top w:val="nil"/>
              <w:left w:val="nil"/>
              <w:bottom w:val="single" w:sz="4" w:space="0" w:color="9BC2E6"/>
              <w:right w:val="nil"/>
            </w:tcBorders>
            <w:shd w:val="clear" w:color="000000" w:fill="FFFFFF"/>
            <w:hideMark/>
          </w:tcPr>
          <w:p w14:paraId="0DF77CDE"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2</w:t>
            </w:r>
          </w:p>
        </w:tc>
        <w:tc>
          <w:tcPr>
            <w:tcW w:w="1324" w:type="dxa"/>
            <w:tcBorders>
              <w:top w:val="nil"/>
              <w:left w:val="nil"/>
              <w:bottom w:val="single" w:sz="4" w:space="0" w:color="9BC2E6"/>
              <w:right w:val="nil"/>
            </w:tcBorders>
            <w:shd w:val="clear" w:color="000000" w:fill="D9E1F2"/>
            <w:hideMark/>
          </w:tcPr>
          <w:p w14:paraId="6A7E06AB"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3</w:t>
            </w:r>
          </w:p>
        </w:tc>
        <w:tc>
          <w:tcPr>
            <w:tcW w:w="2160" w:type="dxa"/>
            <w:tcBorders>
              <w:top w:val="nil"/>
              <w:left w:val="nil"/>
              <w:bottom w:val="single" w:sz="4" w:space="0" w:color="9BC2E6"/>
              <w:right w:val="nil"/>
            </w:tcBorders>
            <w:shd w:val="clear" w:color="000000" w:fill="FFFFFF"/>
            <w:hideMark/>
          </w:tcPr>
          <w:p w14:paraId="7FD2CCE5"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4=1+2+3</w:t>
            </w:r>
          </w:p>
        </w:tc>
      </w:tr>
      <w:tr w:rsidR="008A5EBC" w:rsidRPr="00316D0C" w14:paraId="0EA324A9" w14:textId="77777777" w:rsidTr="00CF3217">
        <w:trPr>
          <w:trHeight w:val="128"/>
        </w:trPr>
        <w:tc>
          <w:tcPr>
            <w:tcW w:w="2851" w:type="dxa"/>
            <w:vMerge/>
            <w:tcBorders>
              <w:top w:val="single" w:sz="4" w:space="0" w:color="9BC2E6"/>
              <w:left w:val="nil"/>
              <w:bottom w:val="single" w:sz="4" w:space="0" w:color="9BC2E6"/>
              <w:right w:val="nil"/>
            </w:tcBorders>
            <w:vAlign w:val="center"/>
            <w:hideMark/>
          </w:tcPr>
          <w:p w14:paraId="345EF732" w14:textId="77777777" w:rsidR="008A5EBC" w:rsidRPr="00316D0C" w:rsidRDefault="008A5EBC" w:rsidP="00CF3217">
            <w:pPr>
              <w:spacing w:before="0" w:after="0" w:line="240" w:lineRule="auto"/>
              <w:rPr>
                <w:rFonts w:ascii="Calibri" w:eastAsia="Times New Roman" w:hAnsi="Calibri" w:cs="Times New Roman"/>
                <w:b/>
                <w:bCs/>
                <w:color w:val="5B9BD5"/>
                <w:sz w:val="16"/>
                <w:szCs w:val="16"/>
                <w:lang w:eastAsia="ro-RO"/>
              </w:rPr>
            </w:pPr>
          </w:p>
        </w:tc>
        <w:tc>
          <w:tcPr>
            <w:tcW w:w="1422" w:type="dxa"/>
            <w:tcBorders>
              <w:top w:val="nil"/>
              <w:left w:val="nil"/>
              <w:bottom w:val="single" w:sz="4" w:space="0" w:color="9BC2E6"/>
              <w:right w:val="nil"/>
            </w:tcBorders>
            <w:shd w:val="clear" w:color="000000" w:fill="FFFFFF"/>
            <w:hideMark/>
          </w:tcPr>
          <w:p w14:paraId="3A3E073D"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mii lei</w:t>
            </w:r>
          </w:p>
        </w:tc>
        <w:tc>
          <w:tcPr>
            <w:tcW w:w="1489" w:type="dxa"/>
            <w:tcBorders>
              <w:top w:val="nil"/>
              <w:left w:val="nil"/>
              <w:bottom w:val="single" w:sz="4" w:space="0" w:color="9BC2E6"/>
              <w:right w:val="nil"/>
            </w:tcBorders>
            <w:shd w:val="clear" w:color="000000" w:fill="FFFFFF"/>
            <w:hideMark/>
          </w:tcPr>
          <w:p w14:paraId="78A89356"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mii lei</w:t>
            </w:r>
          </w:p>
        </w:tc>
        <w:tc>
          <w:tcPr>
            <w:tcW w:w="1324" w:type="dxa"/>
            <w:tcBorders>
              <w:top w:val="nil"/>
              <w:left w:val="nil"/>
              <w:bottom w:val="single" w:sz="4" w:space="0" w:color="9BC2E6"/>
              <w:right w:val="nil"/>
            </w:tcBorders>
            <w:shd w:val="clear" w:color="000000" w:fill="D9E1F2"/>
            <w:hideMark/>
          </w:tcPr>
          <w:p w14:paraId="762944D2"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mii lei</w:t>
            </w:r>
          </w:p>
        </w:tc>
        <w:tc>
          <w:tcPr>
            <w:tcW w:w="2160" w:type="dxa"/>
            <w:tcBorders>
              <w:top w:val="nil"/>
              <w:left w:val="nil"/>
              <w:bottom w:val="single" w:sz="4" w:space="0" w:color="9BC2E6"/>
              <w:right w:val="nil"/>
            </w:tcBorders>
            <w:shd w:val="clear" w:color="000000" w:fill="FFFFFF"/>
            <w:hideMark/>
          </w:tcPr>
          <w:p w14:paraId="284232CA" w14:textId="77777777" w:rsidR="008A5EBC" w:rsidRPr="000C045A" w:rsidRDefault="008A5EBC" w:rsidP="00CF3217">
            <w:pPr>
              <w:spacing w:before="0" w:after="0" w:line="240" w:lineRule="auto"/>
              <w:jc w:val="right"/>
              <w:rPr>
                <w:rFonts w:ascii="Calibri" w:eastAsia="Times New Roman" w:hAnsi="Calibri" w:cs="Times New Roman"/>
                <w:i/>
                <w:iCs/>
                <w:color w:val="0F6FC6" w:themeColor="accent1"/>
                <w:sz w:val="14"/>
                <w:szCs w:val="14"/>
                <w:lang w:eastAsia="ro-RO"/>
              </w:rPr>
            </w:pPr>
            <w:r w:rsidRPr="000C045A">
              <w:rPr>
                <w:rFonts w:ascii="Calibri" w:eastAsia="Times New Roman" w:hAnsi="Calibri" w:cs="Times New Roman"/>
                <w:i/>
                <w:iCs/>
                <w:color w:val="0F6FC6" w:themeColor="accent1"/>
                <w:sz w:val="14"/>
                <w:szCs w:val="14"/>
                <w:lang w:eastAsia="ro-RO"/>
              </w:rPr>
              <w:t>mii lei</w:t>
            </w:r>
          </w:p>
        </w:tc>
      </w:tr>
      <w:tr w:rsidR="008A5EBC" w:rsidRPr="00316D0C" w14:paraId="1C55134F" w14:textId="77777777" w:rsidTr="00CF3217">
        <w:trPr>
          <w:trHeight w:val="128"/>
        </w:trPr>
        <w:tc>
          <w:tcPr>
            <w:tcW w:w="2851" w:type="dxa"/>
            <w:tcBorders>
              <w:top w:val="nil"/>
              <w:left w:val="nil"/>
              <w:bottom w:val="single" w:sz="4" w:space="0" w:color="9BC2E6"/>
              <w:right w:val="nil"/>
            </w:tcBorders>
            <w:shd w:val="clear" w:color="000000" w:fill="FFFFFF"/>
            <w:vAlign w:val="center"/>
            <w:hideMark/>
          </w:tcPr>
          <w:p w14:paraId="23C2207E" w14:textId="77777777" w:rsidR="008A5EBC" w:rsidRPr="000C045A" w:rsidRDefault="008A5EBC" w:rsidP="00CF3217">
            <w:pPr>
              <w:spacing w:before="0" w:after="0" w:line="240" w:lineRule="auto"/>
              <w:rPr>
                <w:rFonts w:ascii="Calibri" w:eastAsia="Times New Roman" w:hAnsi="Calibri" w:cs="Times New Roman"/>
                <w:b/>
                <w:bCs/>
                <w:sz w:val="16"/>
                <w:szCs w:val="16"/>
                <w:lang w:eastAsia="ro-RO"/>
              </w:rPr>
            </w:pPr>
            <w:r w:rsidRPr="000C045A">
              <w:rPr>
                <w:rFonts w:ascii="Calibri" w:eastAsia="Times New Roman" w:hAnsi="Calibri" w:cs="Times New Roman"/>
                <w:b/>
                <w:bCs/>
                <w:sz w:val="16"/>
                <w:szCs w:val="16"/>
                <w:lang w:eastAsia="ro-RO"/>
              </w:rPr>
              <w:t>Total</w:t>
            </w:r>
          </w:p>
        </w:tc>
        <w:tc>
          <w:tcPr>
            <w:tcW w:w="1422" w:type="dxa"/>
            <w:tcBorders>
              <w:top w:val="nil"/>
              <w:left w:val="single" w:sz="4" w:space="0" w:color="FFFFFF"/>
              <w:bottom w:val="single" w:sz="4" w:space="0" w:color="9BC2E6"/>
              <w:right w:val="single" w:sz="4" w:space="0" w:color="FFFFFF"/>
            </w:tcBorders>
            <w:shd w:val="clear" w:color="auto" w:fill="auto"/>
            <w:noWrap/>
            <w:vAlign w:val="center"/>
            <w:hideMark/>
          </w:tcPr>
          <w:p w14:paraId="696544FB" w14:textId="77777777" w:rsidR="008A5EBC" w:rsidRPr="000C045A" w:rsidRDefault="008A5EBC" w:rsidP="00CF3217">
            <w:pPr>
              <w:spacing w:before="0" w:after="0" w:line="240" w:lineRule="auto"/>
              <w:jc w:val="right"/>
              <w:rPr>
                <w:rFonts w:ascii="Calibri" w:eastAsia="Times New Roman" w:hAnsi="Calibri" w:cs="Times New Roman"/>
                <w:b/>
                <w:bCs/>
                <w:sz w:val="16"/>
                <w:szCs w:val="16"/>
                <w:lang w:eastAsia="ro-RO"/>
              </w:rPr>
            </w:pPr>
            <w:r w:rsidRPr="000C045A">
              <w:rPr>
                <w:rFonts w:ascii="Calibri" w:eastAsia="Times New Roman" w:hAnsi="Calibri" w:cs="Times New Roman"/>
                <w:b/>
                <w:bCs/>
                <w:sz w:val="16"/>
                <w:szCs w:val="16"/>
                <w:lang w:eastAsia="ro-RO"/>
              </w:rPr>
              <w:t>6.036.616</w:t>
            </w:r>
          </w:p>
        </w:tc>
        <w:tc>
          <w:tcPr>
            <w:tcW w:w="1489" w:type="dxa"/>
            <w:tcBorders>
              <w:top w:val="nil"/>
              <w:left w:val="nil"/>
              <w:bottom w:val="single" w:sz="4" w:space="0" w:color="9BC2E6"/>
              <w:right w:val="single" w:sz="4" w:space="0" w:color="FFFFFF"/>
            </w:tcBorders>
            <w:shd w:val="clear" w:color="auto" w:fill="auto"/>
            <w:noWrap/>
            <w:vAlign w:val="center"/>
            <w:hideMark/>
          </w:tcPr>
          <w:p w14:paraId="6D144EC3" w14:textId="77777777" w:rsidR="008A5EBC" w:rsidRPr="000C045A" w:rsidRDefault="008A5EBC" w:rsidP="00CF3217">
            <w:pPr>
              <w:spacing w:before="0" w:after="0" w:line="240" w:lineRule="auto"/>
              <w:jc w:val="right"/>
              <w:rPr>
                <w:rFonts w:ascii="Calibri" w:eastAsia="Times New Roman" w:hAnsi="Calibri" w:cs="Times New Roman"/>
                <w:b/>
                <w:bCs/>
                <w:sz w:val="16"/>
                <w:szCs w:val="16"/>
                <w:lang w:eastAsia="ro-RO"/>
              </w:rPr>
            </w:pPr>
            <w:r w:rsidRPr="000C045A">
              <w:rPr>
                <w:rFonts w:ascii="Calibri" w:eastAsia="Times New Roman" w:hAnsi="Calibri" w:cs="Times New Roman"/>
                <w:b/>
                <w:bCs/>
                <w:sz w:val="16"/>
                <w:szCs w:val="16"/>
                <w:lang w:eastAsia="ro-RO"/>
              </w:rPr>
              <w:t>8.072.365</w:t>
            </w:r>
          </w:p>
        </w:tc>
        <w:tc>
          <w:tcPr>
            <w:tcW w:w="1324" w:type="dxa"/>
            <w:tcBorders>
              <w:top w:val="nil"/>
              <w:left w:val="nil"/>
              <w:bottom w:val="single" w:sz="4" w:space="0" w:color="9BC2E6"/>
              <w:right w:val="single" w:sz="4" w:space="0" w:color="FFFFFF"/>
            </w:tcBorders>
            <w:shd w:val="clear" w:color="000000" w:fill="D9E1F2"/>
            <w:noWrap/>
            <w:vAlign w:val="center"/>
            <w:hideMark/>
          </w:tcPr>
          <w:p w14:paraId="3F1E792A" w14:textId="77777777" w:rsidR="008A5EBC" w:rsidRPr="000C045A" w:rsidRDefault="008A5EBC" w:rsidP="00CF3217">
            <w:pPr>
              <w:spacing w:before="0" w:after="0" w:line="240" w:lineRule="auto"/>
              <w:jc w:val="right"/>
              <w:rPr>
                <w:rFonts w:ascii="Calibri" w:eastAsia="Times New Roman" w:hAnsi="Calibri" w:cs="Times New Roman"/>
                <w:b/>
                <w:bCs/>
                <w:sz w:val="16"/>
                <w:szCs w:val="16"/>
                <w:lang w:eastAsia="ro-RO"/>
              </w:rPr>
            </w:pPr>
            <w:r w:rsidRPr="000C045A">
              <w:rPr>
                <w:rFonts w:ascii="Calibri" w:eastAsia="Times New Roman" w:hAnsi="Calibri" w:cs="Times New Roman"/>
                <w:b/>
                <w:bCs/>
                <w:sz w:val="16"/>
                <w:szCs w:val="16"/>
                <w:lang w:eastAsia="ro-RO"/>
              </w:rPr>
              <w:t>10.426.788</w:t>
            </w:r>
          </w:p>
        </w:tc>
        <w:tc>
          <w:tcPr>
            <w:tcW w:w="2160" w:type="dxa"/>
            <w:tcBorders>
              <w:top w:val="nil"/>
              <w:left w:val="nil"/>
              <w:bottom w:val="single" w:sz="4" w:space="0" w:color="9BC2E6"/>
              <w:right w:val="nil"/>
            </w:tcBorders>
            <w:shd w:val="clear" w:color="auto" w:fill="auto"/>
            <w:noWrap/>
            <w:vAlign w:val="center"/>
            <w:hideMark/>
          </w:tcPr>
          <w:p w14:paraId="0F1B1082" w14:textId="77777777" w:rsidR="008A5EBC" w:rsidRPr="000C045A" w:rsidRDefault="008A5EBC" w:rsidP="00CF3217">
            <w:pPr>
              <w:spacing w:before="0" w:after="0" w:line="240" w:lineRule="auto"/>
              <w:jc w:val="right"/>
              <w:rPr>
                <w:rFonts w:ascii="Calibri" w:eastAsia="Times New Roman" w:hAnsi="Calibri" w:cs="Times New Roman"/>
                <w:b/>
                <w:bCs/>
                <w:sz w:val="16"/>
                <w:szCs w:val="16"/>
                <w:lang w:eastAsia="ro-RO"/>
              </w:rPr>
            </w:pPr>
            <w:r w:rsidRPr="000C045A">
              <w:rPr>
                <w:rFonts w:ascii="Calibri" w:eastAsia="Times New Roman" w:hAnsi="Calibri" w:cs="Times New Roman"/>
                <w:b/>
                <w:bCs/>
                <w:sz w:val="16"/>
                <w:szCs w:val="16"/>
                <w:lang w:eastAsia="ro-RO"/>
              </w:rPr>
              <w:t>24.535.769</w:t>
            </w:r>
          </w:p>
        </w:tc>
      </w:tr>
      <w:tr w:rsidR="008A5EBC" w:rsidRPr="00316D0C" w14:paraId="79E0924C" w14:textId="77777777" w:rsidTr="00CF3217">
        <w:trPr>
          <w:trHeight w:val="128"/>
        </w:trPr>
        <w:tc>
          <w:tcPr>
            <w:tcW w:w="2851" w:type="dxa"/>
            <w:tcBorders>
              <w:top w:val="nil"/>
              <w:left w:val="nil"/>
              <w:bottom w:val="nil"/>
              <w:right w:val="nil"/>
            </w:tcBorders>
            <w:shd w:val="clear" w:color="auto" w:fill="auto"/>
            <w:noWrap/>
            <w:vAlign w:val="center"/>
            <w:hideMark/>
          </w:tcPr>
          <w:p w14:paraId="06D28D80"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MTIC</w:t>
            </w:r>
          </w:p>
        </w:tc>
        <w:tc>
          <w:tcPr>
            <w:tcW w:w="1422" w:type="dxa"/>
            <w:tcBorders>
              <w:top w:val="nil"/>
              <w:left w:val="nil"/>
              <w:bottom w:val="nil"/>
              <w:right w:val="nil"/>
            </w:tcBorders>
            <w:shd w:val="clear" w:color="auto" w:fill="auto"/>
            <w:noWrap/>
            <w:vAlign w:val="center"/>
            <w:hideMark/>
          </w:tcPr>
          <w:p w14:paraId="568B2C22"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5.134.798</w:t>
            </w:r>
          </w:p>
        </w:tc>
        <w:tc>
          <w:tcPr>
            <w:tcW w:w="1489" w:type="dxa"/>
            <w:tcBorders>
              <w:top w:val="nil"/>
              <w:left w:val="nil"/>
              <w:bottom w:val="nil"/>
              <w:right w:val="nil"/>
            </w:tcBorders>
            <w:shd w:val="clear" w:color="auto" w:fill="auto"/>
            <w:noWrap/>
            <w:vAlign w:val="center"/>
            <w:hideMark/>
          </w:tcPr>
          <w:p w14:paraId="3428FCE1"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6.891.518</w:t>
            </w:r>
          </w:p>
        </w:tc>
        <w:tc>
          <w:tcPr>
            <w:tcW w:w="1324" w:type="dxa"/>
            <w:tcBorders>
              <w:top w:val="nil"/>
              <w:left w:val="nil"/>
              <w:bottom w:val="nil"/>
              <w:right w:val="nil"/>
            </w:tcBorders>
            <w:shd w:val="clear" w:color="000000" w:fill="D9E1F2"/>
            <w:noWrap/>
            <w:vAlign w:val="center"/>
            <w:hideMark/>
          </w:tcPr>
          <w:p w14:paraId="237A0620"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8.879.732</w:t>
            </w:r>
          </w:p>
        </w:tc>
        <w:tc>
          <w:tcPr>
            <w:tcW w:w="2160" w:type="dxa"/>
            <w:tcBorders>
              <w:top w:val="nil"/>
              <w:left w:val="nil"/>
              <w:bottom w:val="nil"/>
              <w:right w:val="nil"/>
            </w:tcBorders>
            <w:shd w:val="clear" w:color="auto" w:fill="auto"/>
            <w:noWrap/>
            <w:vAlign w:val="center"/>
            <w:hideMark/>
          </w:tcPr>
          <w:p w14:paraId="1B49D0EB"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20.906.048</w:t>
            </w:r>
          </w:p>
        </w:tc>
      </w:tr>
      <w:tr w:rsidR="008A5EBC" w:rsidRPr="00316D0C" w14:paraId="14D8F2EF" w14:textId="77777777" w:rsidTr="00CF3217">
        <w:trPr>
          <w:trHeight w:val="128"/>
        </w:trPr>
        <w:tc>
          <w:tcPr>
            <w:tcW w:w="2851" w:type="dxa"/>
            <w:tcBorders>
              <w:top w:val="nil"/>
              <w:left w:val="nil"/>
              <w:bottom w:val="nil"/>
              <w:right w:val="nil"/>
            </w:tcBorders>
            <w:shd w:val="clear" w:color="auto" w:fill="auto"/>
            <w:noWrap/>
            <w:vAlign w:val="center"/>
            <w:hideMark/>
          </w:tcPr>
          <w:p w14:paraId="37596007"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MLPDA</w:t>
            </w:r>
          </w:p>
        </w:tc>
        <w:tc>
          <w:tcPr>
            <w:tcW w:w="1422" w:type="dxa"/>
            <w:tcBorders>
              <w:top w:val="nil"/>
              <w:left w:val="nil"/>
              <w:bottom w:val="nil"/>
              <w:right w:val="nil"/>
            </w:tcBorders>
            <w:shd w:val="clear" w:color="auto" w:fill="auto"/>
            <w:noWrap/>
            <w:vAlign w:val="center"/>
            <w:hideMark/>
          </w:tcPr>
          <w:p w14:paraId="7AC5AE1A"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369.000</w:t>
            </w:r>
          </w:p>
        </w:tc>
        <w:tc>
          <w:tcPr>
            <w:tcW w:w="1489" w:type="dxa"/>
            <w:tcBorders>
              <w:top w:val="nil"/>
              <w:left w:val="nil"/>
              <w:bottom w:val="nil"/>
              <w:right w:val="nil"/>
            </w:tcBorders>
            <w:shd w:val="clear" w:color="auto" w:fill="auto"/>
            <w:noWrap/>
            <w:vAlign w:val="center"/>
            <w:hideMark/>
          </w:tcPr>
          <w:p w14:paraId="0CB5192E"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796.311</w:t>
            </w:r>
          </w:p>
        </w:tc>
        <w:tc>
          <w:tcPr>
            <w:tcW w:w="1324" w:type="dxa"/>
            <w:tcBorders>
              <w:top w:val="nil"/>
              <w:left w:val="nil"/>
              <w:bottom w:val="nil"/>
              <w:right w:val="nil"/>
            </w:tcBorders>
            <w:shd w:val="clear" w:color="000000" w:fill="D9E1F2"/>
            <w:noWrap/>
            <w:vAlign w:val="center"/>
            <w:hideMark/>
          </w:tcPr>
          <w:p w14:paraId="1A93A566"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1.246.759</w:t>
            </w:r>
          </w:p>
        </w:tc>
        <w:tc>
          <w:tcPr>
            <w:tcW w:w="2160" w:type="dxa"/>
            <w:tcBorders>
              <w:top w:val="nil"/>
              <w:left w:val="nil"/>
              <w:bottom w:val="nil"/>
              <w:right w:val="nil"/>
            </w:tcBorders>
            <w:shd w:val="clear" w:color="auto" w:fill="auto"/>
            <w:noWrap/>
            <w:vAlign w:val="center"/>
            <w:hideMark/>
          </w:tcPr>
          <w:p w14:paraId="2D3CE990"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2.412.070</w:t>
            </w:r>
          </w:p>
        </w:tc>
      </w:tr>
      <w:tr w:rsidR="008A5EBC" w:rsidRPr="00316D0C" w14:paraId="5EFDD4A3" w14:textId="77777777" w:rsidTr="00CF3217">
        <w:trPr>
          <w:trHeight w:val="128"/>
        </w:trPr>
        <w:tc>
          <w:tcPr>
            <w:tcW w:w="2851" w:type="dxa"/>
            <w:tcBorders>
              <w:top w:val="nil"/>
              <w:left w:val="nil"/>
              <w:bottom w:val="nil"/>
              <w:right w:val="nil"/>
            </w:tcBorders>
            <w:shd w:val="clear" w:color="auto" w:fill="auto"/>
            <w:noWrap/>
            <w:vAlign w:val="center"/>
            <w:hideMark/>
          </w:tcPr>
          <w:p w14:paraId="61EC8873"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MEEMA</w:t>
            </w:r>
          </w:p>
        </w:tc>
        <w:tc>
          <w:tcPr>
            <w:tcW w:w="1422" w:type="dxa"/>
            <w:tcBorders>
              <w:top w:val="nil"/>
              <w:left w:val="nil"/>
              <w:bottom w:val="nil"/>
              <w:right w:val="nil"/>
            </w:tcBorders>
            <w:shd w:val="clear" w:color="auto" w:fill="auto"/>
            <w:noWrap/>
            <w:vAlign w:val="center"/>
            <w:hideMark/>
          </w:tcPr>
          <w:p w14:paraId="4A3B8482"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343.742</w:t>
            </w:r>
          </w:p>
        </w:tc>
        <w:tc>
          <w:tcPr>
            <w:tcW w:w="1489" w:type="dxa"/>
            <w:tcBorders>
              <w:top w:val="nil"/>
              <w:left w:val="nil"/>
              <w:bottom w:val="nil"/>
              <w:right w:val="nil"/>
            </w:tcBorders>
            <w:shd w:val="clear" w:color="auto" w:fill="auto"/>
            <w:noWrap/>
            <w:vAlign w:val="center"/>
            <w:hideMark/>
          </w:tcPr>
          <w:p w14:paraId="68575C2C"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289.944</w:t>
            </w:r>
          </w:p>
        </w:tc>
        <w:tc>
          <w:tcPr>
            <w:tcW w:w="1324" w:type="dxa"/>
            <w:tcBorders>
              <w:top w:val="nil"/>
              <w:left w:val="nil"/>
              <w:bottom w:val="nil"/>
              <w:right w:val="nil"/>
            </w:tcBorders>
            <w:shd w:val="clear" w:color="000000" w:fill="D9E1F2"/>
            <w:noWrap/>
            <w:vAlign w:val="center"/>
            <w:hideMark/>
          </w:tcPr>
          <w:p w14:paraId="7A77E1DE"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196.283</w:t>
            </w:r>
          </w:p>
        </w:tc>
        <w:tc>
          <w:tcPr>
            <w:tcW w:w="2160" w:type="dxa"/>
            <w:tcBorders>
              <w:top w:val="nil"/>
              <w:left w:val="nil"/>
              <w:bottom w:val="nil"/>
              <w:right w:val="nil"/>
            </w:tcBorders>
            <w:shd w:val="clear" w:color="auto" w:fill="auto"/>
            <w:noWrap/>
            <w:vAlign w:val="center"/>
            <w:hideMark/>
          </w:tcPr>
          <w:p w14:paraId="6420F257"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829.969</w:t>
            </w:r>
          </w:p>
        </w:tc>
      </w:tr>
      <w:tr w:rsidR="008A5EBC" w:rsidRPr="00316D0C" w14:paraId="658AC734" w14:textId="77777777" w:rsidTr="00CF3217">
        <w:trPr>
          <w:trHeight w:val="128"/>
        </w:trPr>
        <w:tc>
          <w:tcPr>
            <w:tcW w:w="2851" w:type="dxa"/>
            <w:tcBorders>
              <w:top w:val="nil"/>
              <w:left w:val="nil"/>
              <w:bottom w:val="nil"/>
              <w:right w:val="nil"/>
            </w:tcBorders>
            <w:shd w:val="clear" w:color="auto" w:fill="auto"/>
            <w:noWrap/>
            <w:vAlign w:val="center"/>
            <w:hideMark/>
          </w:tcPr>
          <w:p w14:paraId="4AD353AC"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MMAP</w:t>
            </w:r>
          </w:p>
        </w:tc>
        <w:tc>
          <w:tcPr>
            <w:tcW w:w="1422" w:type="dxa"/>
            <w:tcBorders>
              <w:top w:val="nil"/>
              <w:left w:val="nil"/>
              <w:bottom w:val="nil"/>
              <w:right w:val="nil"/>
            </w:tcBorders>
            <w:shd w:val="clear" w:color="auto" w:fill="auto"/>
            <w:noWrap/>
            <w:vAlign w:val="center"/>
            <w:hideMark/>
          </w:tcPr>
          <w:p w14:paraId="283DBAE3"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71.919</w:t>
            </w:r>
          </w:p>
        </w:tc>
        <w:tc>
          <w:tcPr>
            <w:tcW w:w="1489" w:type="dxa"/>
            <w:tcBorders>
              <w:top w:val="nil"/>
              <w:left w:val="nil"/>
              <w:bottom w:val="nil"/>
              <w:right w:val="nil"/>
            </w:tcBorders>
            <w:shd w:val="clear" w:color="auto" w:fill="auto"/>
            <w:noWrap/>
            <w:vAlign w:val="center"/>
            <w:hideMark/>
          </w:tcPr>
          <w:p w14:paraId="6337624A"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74.079</w:t>
            </w:r>
          </w:p>
        </w:tc>
        <w:tc>
          <w:tcPr>
            <w:tcW w:w="1324" w:type="dxa"/>
            <w:tcBorders>
              <w:top w:val="nil"/>
              <w:left w:val="nil"/>
              <w:bottom w:val="nil"/>
              <w:right w:val="nil"/>
            </w:tcBorders>
            <w:shd w:val="clear" w:color="000000" w:fill="D9E1F2"/>
            <w:noWrap/>
            <w:vAlign w:val="center"/>
            <w:hideMark/>
          </w:tcPr>
          <w:p w14:paraId="5EC2AA31"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92.193</w:t>
            </w:r>
          </w:p>
        </w:tc>
        <w:tc>
          <w:tcPr>
            <w:tcW w:w="2160" w:type="dxa"/>
            <w:tcBorders>
              <w:top w:val="nil"/>
              <w:left w:val="nil"/>
              <w:bottom w:val="nil"/>
              <w:right w:val="nil"/>
            </w:tcBorders>
            <w:shd w:val="clear" w:color="auto" w:fill="auto"/>
            <w:noWrap/>
            <w:vAlign w:val="center"/>
            <w:hideMark/>
          </w:tcPr>
          <w:p w14:paraId="6D07F68F"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238.191</w:t>
            </w:r>
          </w:p>
        </w:tc>
      </w:tr>
      <w:tr w:rsidR="008A5EBC" w:rsidRPr="00316D0C" w14:paraId="0D962096" w14:textId="77777777" w:rsidTr="00CF3217">
        <w:trPr>
          <w:trHeight w:val="128"/>
        </w:trPr>
        <w:tc>
          <w:tcPr>
            <w:tcW w:w="2851" w:type="dxa"/>
            <w:tcBorders>
              <w:top w:val="nil"/>
              <w:left w:val="nil"/>
              <w:bottom w:val="nil"/>
              <w:right w:val="nil"/>
            </w:tcBorders>
            <w:shd w:val="clear" w:color="auto" w:fill="auto"/>
            <w:noWrap/>
            <w:vAlign w:val="center"/>
            <w:hideMark/>
          </w:tcPr>
          <w:p w14:paraId="18090E74"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MEdC</w:t>
            </w:r>
          </w:p>
        </w:tc>
        <w:tc>
          <w:tcPr>
            <w:tcW w:w="1422" w:type="dxa"/>
            <w:tcBorders>
              <w:top w:val="nil"/>
              <w:left w:val="nil"/>
              <w:bottom w:val="nil"/>
              <w:right w:val="nil"/>
            </w:tcBorders>
            <w:shd w:val="clear" w:color="auto" w:fill="auto"/>
            <w:noWrap/>
            <w:vAlign w:val="center"/>
            <w:hideMark/>
          </w:tcPr>
          <w:p w14:paraId="2E7C359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14.946</w:t>
            </w:r>
          </w:p>
        </w:tc>
        <w:tc>
          <w:tcPr>
            <w:tcW w:w="1489" w:type="dxa"/>
            <w:tcBorders>
              <w:top w:val="nil"/>
              <w:left w:val="nil"/>
              <w:bottom w:val="nil"/>
              <w:right w:val="nil"/>
            </w:tcBorders>
            <w:shd w:val="clear" w:color="auto" w:fill="auto"/>
            <w:noWrap/>
            <w:vAlign w:val="center"/>
            <w:hideMark/>
          </w:tcPr>
          <w:p w14:paraId="6E206CDE"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13.807</w:t>
            </w:r>
          </w:p>
        </w:tc>
        <w:tc>
          <w:tcPr>
            <w:tcW w:w="1324" w:type="dxa"/>
            <w:tcBorders>
              <w:top w:val="nil"/>
              <w:left w:val="nil"/>
              <w:bottom w:val="nil"/>
              <w:right w:val="nil"/>
            </w:tcBorders>
            <w:shd w:val="clear" w:color="000000" w:fill="D9E1F2"/>
            <w:noWrap/>
            <w:vAlign w:val="center"/>
            <w:hideMark/>
          </w:tcPr>
          <w:p w14:paraId="6CFD7562"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5.740</w:t>
            </w:r>
          </w:p>
        </w:tc>
        <w:tc>
          <w:tcPr>
            <w:tcW w:w="2160" w:type="dxa"/>
            <w:tcBorders>
              <w:top w:val="nil"/>
              <w:left w:val="nil"/>
              <w:bottom w:val="nil"/>
              <w:right w:val="nil"/>
            </w:tcBorders>
            <w:shd w:val="clear" w:color="auto" w:fill="auto"/>
            <w:noWrap/>
            <w:vAlign w:val="center"/>
            <w:hideMark/>
          </w:tcPr>
          <w:p w14:paraId="528D30CE"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34.493</w:t>
            </w:r>
          </w:p>
        </w:tc>
      </w:tr>
      <w:tr w:rsidR="008A5EBC" w:rsidRPr="00316D0C" w14:paraId="11A9809D" w14:textId="77777777" w:rsidTr="00CF3217">
        <w:trPr>
          <w:trHeight w:val="128"/>
        </w:trPr>
        <w:tc>
          <w:tcPr>
            <w:tcW w:w="2851" w:type="dxa"/>
            <w:tcBorders>
              <w:top w:val="nil"/>
              <w:left w:val="nil"/>
              <w:bottom w:val="nil"/>
              <w:right w:val="nil"/>
            </w:tcBorders>
            <w:shd w:val="clear" w:color="auto" w:fill="auto"/>
            <w:noWrap/>
            <w:vAlign w:val="center"/>
            <w:hideMark/>
          </w:tcPr>
          <w:p w14:paraId="536CD47C"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MMPS</w:t>
            </w:r>
          </w:p>
        </w:tc>
        <w:tc>
          <w:tcPr>
            <w:tcW w:w="1422" w:type="dxa"/>
            <w:tcBorders>
              <w:top w:val="nil"/>
              <w:left w:val="nil"/>
              <w:bottom w:val="nil"/>
              <w:right w:val="nil"/>
            </w:tcBorders>
            <w:shd w:val="clear" w:color="auto" w:fill="auto"/>
            <w:noWrap/>
            <w:vAlign w:val="center"/>
            <w:hideMark/>
          </w:tcPr>
          <w:p w14:paraId="11208984"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489" w:type="dxa"/>
            <w:tcBorders>
              <w:top w:val="nil"/>
              <w:left w:val="nil"/>
              <w:bottom w:val="nil"/>
              <w:right w:val="nil"/>
            </w:tcBorders>
            <w:shd w:val="clear" w:color="auto" w:fill="auto"/>
            <w:noWrap/>
            <w:vAlign w:val="center"/>
            <w:hideMark/>
          </w:tcPr>
          <w:p w14:paraId="2848591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441</w:t>
            </w:r>
          </w:p>
        </w:tc>
        <w:tc>
          <w:tcPr>
            <w:tcW w:w="1324" w:type="dxa"/>
            <w:tcBorders>
              <w:top w:val="nil"/>
              <w:left w:val="nil"/>
              <w:bottom w:val="nil"/>
              <w:right w:val="nil"/>
            </w:tcBorders>
            <w:shd w:val="clear" w:color="000000" w:fill="D9E1F2"/>
            <w:noWrap/>
            <w:vAlign w:val="center"/>
            <w:hideMark/>
          </w:tcPr>
          <w:p w14:paraId="7A8E431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5.409</w:t>
            </w:r>
          </w:p>
        </w:tc>
        <w:tc>
          <w:tcPr>
            <w:tcW w:w="2160" w:type="dxa"/>
            <w:tcBorders>
              <w:top w:val="nil"/>
              <w:left w:val="nil"/>
              <w:bottom w:val="nil"/>
              <w:right w:val="nil"/>
            </w:tcBorders>
            <w:shd w:val="clear" w:color="auto" w:fill="auto"/>
            <w:noWrap/>
            <w:vAlign w:val="center"/>
            <w:hideMark/>
          </w:tcPr>
          <w:p w14:paraId="3EB06F4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5.850</w:t>
            </w:r>
          </w:p>
        </w:tc>
      </w:tr>
      <w:tr w:rsidR="008A5EBC" w:rsidRPr="00316D0C" w14:paraId="6084631B" w14:textId="77777777" w:rsidTr="00CF3217">
        <w:trPr>
          <w:trHeight w:val="128"/>
        </w:trPr>
        <w:tc>
          <w:tcPr>
            <w:tcW w:w="2851" w:type="dxa"/>
            <w:tcBorders>
              <w:top w:val="nil"/>
              <w:left w:val="nil"/>
              <w:bottom w:val="nil"/>
              <w:right w:val="nil"/>
            </w:tcBorders>
            <w:shd w:val="clear" w:color="auto" w:fill="auto"/>
            <w:noWrap/>
            <w:vAlign w:val="center"/>
            <w:hideMark/>
          </w:tcPr>
          <w:p w14:paraId="2EB7B2A5"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SGG</w:t>
            </w:r>
          </w:p>
        </w:tc>
        <w:tc>
          <w:tcPr>
            <w:tcW w:w="1422" w:type="dxa"/>
            <w:tcBorders>
              <w:top w:val="nil"/>
              <w:left w:val="nil"/>
              <w:bottom w:val="nil"/>
              <w:right w:val="nil"/>
            </w:tcBorders>
            <w:shd w:val="clear" w:color="auto" w:fill="auto"/>
            <w:noWrap/>
            <w:vAlign w:val="center"/>
            <w:hideMark/>
          </w:tcPr>
          <w:p w14:paraId="584D32D7"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10.302</w:t>
            </w:r>
          </w:p>
        </w:tc>
        <w:tc>
          <w:tcPr>
            <w:tcW w:w="1489" w:type="dxa"/>
            <w:tcBorders>
              <w:top w:val="nil"/>
              <w:left w:val="nil"/>
              <w:bottom w:val="nil"/>
              <w:right w:val="nil"/>
            </w:tcBorders>
            <w:shd w:val="clear" w:color="auto" w:fill="auto"/>
            <w:noWrap/>
            <w:vAlign w:val="center"/>
            <w:hideMark/>
          </w:tcPr>
          <w:p w14:paraId="24A44636"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6.034</w:t>
            </w:r>
          </w:p>
        </w:tc>
        <w:tc>
          <w:tcPr>
            <w:tcW w:w="1324" w:type="dxa"/>
            <w:tcBorders>
              <w:top w:val="nil"/>
              <w:left w:val="nil"/>
              <w:bottom w:val="nil"/>
              <w:right w:val="nil"/>
            </w:tcBorders>
            <w:shd w:val="clear" w:color="000000" w:fill="D9E1F2"/>
            <w:noWrap/>
            <w:vAlign w:val="center"/>
            <w:hideMark/>
          </w:tcPr>
          <w:p w14:paraId="4D2652DE"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325</w:t>
            </w:r>
          </w:p>
        </w:tc>
        <w:tc>
          <w:tcPr>
            <w:tcW w:w="2160" w:type="dxa"/>
            <w:tcBorders>
              <w:top w:val="nil"/>
              <w:left w:val="nil"/>
              <w:bottom w:val="nil"/>
              <w:right w:val="nil"/>
            </w:tcBorders>
            <w:shd w:val="clear" w:color="auto" w:fill="auto"/>
            <w:noWrap/>
            <w:vAlign w:val="center"/>
            <w:hideMark/>
          </w:tcPr>
          <w:p w14:paraId="5245F2E7"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16.661</w:t>
            </w:r>
          </w:p>
        </w:tc>
      </w:tr>
      <w:tr w:rsidR="008A5EBC" w:rsidRPr="00316D0C" w14:paraId="316DB6F9" w14:textId="77777777" w:rsidTr="00CF3217">
        <w:trPr>
          <w:trHeight w:val="128"/>
        </w:trPr>
        <w:tc>
          <w:tcPr>
            <w:tcW w:w="2851" w:type="dxa"/>
            <w:tcBorders>
              <w:top w:val="nil"/>
              <w:left w:val="nil"/>
              <w:bottom w:val="nil"/>
              <w:right w:val="nil"/>
            </w:tcBorders>
            <w:shd w:val="clear" w:color="auto" w:fill="auto"/>
            <w:noWrap/>
            <w:vAlign w:val="center"/>
            <w:hideMark/>
          </w:tcPr>
          <w:p w14:paraId="51DADED2"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MTS</w:t>
            </w:r>
          </w:p>
        </w:tc>
        <w:tc>
          <w:tcPr>
            <w:tcW w:w="1422" w:type="dxa"/>
            <w:tcBorders>
              <w:top w:val="nil"/>
              <w:left w:val="nil"/>
              <w:bottom w:val="nil"/>
              <w:right w:val="nil"/>
            </w:tcBorders>
            <w:shd w:val="clear" w:color="auto" w:fill="auto"/>
            <w:noWrap/>
            <w:vAlign w:val="center"/>
            <w:hideMark/>
          </w:tcPr>
          <w:p w14:paraId="54A2FA3A"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489" w:type="dxa"/>
            <w:tcBorders>
              <w:top w:val="nil"/>
              <w:left w:val="nil"/>
              <w:bottom w:val="nil"/>
              <w:right w:val="nil"/>
            </w:tcBorders>
            <w:shd w:val="clear" w:color="auto" w:fill="auto"/>
            <w:noWrap/>
            <w:vAlign w:val="center"/>
            <w:hideMark/>
          </w:tcPr>
          <w:p w14:paraId="0B66580B"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324" w:type="dxa"/>
            <w:tcBorders>
              <w:top w:val="nil"/>
              <w:left w:val="nil"/>
              <w:bottom w:val="nil"/>
              <w:right w:val="nil"/>
            </w:tcBorders>
            <w:shd w:val="clear" w:color="000000" w:fill="D9E1F2"/>
            <w:noWrap/>
            <w:vAlign w:val="center"/>
            <w:hideMark/>
          </w:tcPr>
          <w:p w14:paraId="704C50B8"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248</w:t>
            </w:r>
          </w:p>
        </w:tc>
        <w:tc>
          <w:tcPr>
            <w:tcW w:w="2160" w:type="dxa"/>
            <w:tcBorders>
              <w:top w:val="nil"/>
              <w:left w:val="nil"/>
              <w:bottom w:val="nil"/>
              <w:right w:val="nil"/>
            </w:tcBorders>
            <w:shd w:val="clear" w:color="auto" w:fill="auto"/>
            <w:noWrap/>
            <w:vAlign w:val="center"/>
            <w:hideMark/>
          </w:tcPr>
          <w:p w14:paraId="3AC1A1EC"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248</w:t>
            </w:r>
          </w:p>
        </w:tc>
      </w:tr>
      <w:tr w:rsidR="008A5EBC" w:rsidRPr="00316D0C" w14:paraId="79381F8A" w14:textId="77777777" w:rsidTr="00CF3217">
        <w:trPr>
          <w:trHeight w:val="128"/>
        </w:trPr>
        <w:tc>
          <w:tcPr>
            <w:tcW w:w="2851" w:type="dxa"/>
            <w:tcBorders>
              <w:top w:val="nil"/>
              <w:left w:val="nil"/>
              <w:bottom w:val="nil"/>
              <w:right w:val="nil"/>
            </w:tcBorders>
            <w:shd w:val="clear" w:color="auto" w:fill="auto"/>
            <w:noWrap/>
            <w:vAlign w:val="center"/>
            <w:hideMark/>
          </w:tcPr>
          <w:p w14:paraId="591138EF"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ADS</w:t>
            </w:r>
          </w:p>
        </w:tc>
        <w:tc>
          <w:tcPr>
            <w:tcW w:w="1422" w:type="dxa"/>
            <w:tcBorders>
              <w:top w:val="nil"/>
              <w:left w:val="nil"/>
              <w:bottom w:val="nil"/>
              <w:right w:val="nil"/>
            </w:tcBorders>
            <w:shd w:val="clear" w:color="auto" w:fill="auto"/>
            <w:noWrap/>
            <w:vAlign w:val="center"/>
            <w:hideMark/>
          </w:tcPr>
          <w:p w14:paraId="04C217CC"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143</w:t>
            </w:r>
          </w:p>
        </w:tc>
        <w:tc>
          <w:tcPr>
            <w:tcW w:w="1489" w:type="dxa"/>
            <w:tcBorders>
              <w:top w:val="nil"/>
              <w:left w:val="nil"/>
              <w:bottom w:val="nil"/>
              <w:right w:val="nil"/>
            </w:tcBorders>
            <w:shd w:val="clear" w:color="auto" w:fill="auto"/>
            <w:noWrap/>
            <w:vAlign w:val="center"/>
            <w:hideMark/>
          </w:tcPr>
          <w:p w14:paraId="2517A0F6"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91</w:t>
            </w:r>
          </w:p>
        </w:tc>
        <w:tc>
          <w:tcPr>
            <w:tcW w:w="1324" w:type="dxa"/>
            <w:tcBorders>
              <w:top w:val="nil"/>
              <w:left w:val="nil"/>
              <w:bottom w:val="nil"/>
              <w:right w:val="nil"/>
            </w:tcBorders>
            <w:shd w:val="clear" w:color="000000" w:fill="D9E1F2"/>
            <w:noWrap/>
            <w:vAlign w:val="center"/>
            <w:hideMark/>
          </w:tcPr>
          <w:p w14:paraId="1686CB8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95</w:t>
            </w:r>
          </w:p>
        </w:tc>
        <w:tc>
          <w:tcPr>
            <w:tcW w:w="2160" w:type="dxa"/>
            <w:tcBorders>
              <w:top w:val="nil"/>
              <w:left w:val="nil"/>
              <w:bottom w:val="nil"/>
              <w:right w:val="nil"/>
            </w:tcBorders>
            <w:shd w:val="clear" w:color="auto" w:fill="auto"/>
            <w:noWrap/>
            <w:vAlign w:val="center"/>
            <w:hideMark/>
          </w:tcPr>
          <w:p w14:paraId="4C3A721A"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329</w:t>
            </w:r>
          </w:p>
        </w:tc>
      </w:tr>
      <w:tr w:rsidR="008A5EBC" w:rsidRPr="00316D0C" w14:paraId="458A1C93" w14:textId="77777777" w:rsidTr="00CF3217">
        <w:trPr>
          <w:trHeight w:val="128"/>
        </w:trPr>
        <w:tc>
          <w:tcPr>
            <w:tcW w:w="2851" w:type="dxa"/>
            <w:tcBorders>
              <w:top w:val="nil"/>
              <w:left w:val="nil"/>
              <w:bottom w:val="nil"/>
              <w:right w:val="nil"/>
            </w:tcBorders>
            <w:shd w:val="clear" w:color="auto" w:fill="auto"/>
            <w:noWrap/>
            <w:vAlign w:val="center"/>
            <w:hideMark/>
          </w:tcPr>
          <w:p w14:paraId="791EF800"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MApN</w:t>
            </w:r>
          </w:p>
        </w:tc>
        <w:tc>
          <w:tcPr>
            <w:tcW w:w="1422" w:type="dxa"/>
            <w:tcBorders>
              <w:top w:val="nil"/>
              <w:left w:val="nil"/>
              <w:bottom w:val="nil"/>
              <w:right w:val="nil"/>
            </w:tcBorders>
            <w:shd w:val="clear" w:color="auto" w:fill="auto"/>
            <w:noWrap/>
            <w:vAlign w:val="center"/>
            <w:hideMark/>
          </w:tcPr>
          <w:p w14:paraId="341D1668"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489" w:type="dxa"/>
            <w:tcBorders>
              <w:top w:val="nil"/>
              <w:left w:val="nil"/>
              <w:bottom w:val="nil"/>
              <w:right w:val="nil"/>
            </w:tcBorders>
            <w:shd w:val="clear" w:color="auto" w:fill="auto"/>
            <w:noWrap/>
            <w:vAlign w:val="center"/>
            <w:hideMark/>
          </w:tcPr>
          <w:p w14:paraId="5AF157BD"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4</w:t>
            </w:r>
          </w:p>
        </w:tc>
        <w:tc>
          <w:tcPr>
            <w:tcW w:w="1324" w:type="dxa"/>
            <w:tcBorders>
              <w:top w:val="nil"/>
              <w:left w:val="nil"/>
              <w:bottom w:val="nil"/>
              <w:right w:val="nil"/>
            </w:tcBorders>
            <w:shd w:val="clear" w:color="000000" w:fill="D9E1F2"/>
            <w:noWrap/>
            <w:vAlign w:val="center"/>
            <w:hideMark/>
          </w:tcPr>
          <w:p w14:paraId="77BFE432"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4</w:t>
            </w:r>
          </w:p>
        </w:tc>
        <w:tc>
          <w:tcPr>
            <w:tcW w:w="2160" w:type="dxa"/>
            <w:tcBorders>
              <w:top w:val="nil"/>
              <w:left w:val="nil"/>
              <w:bottom w:val="nil"/>
              <w:right w:val="nil"/>
            </w:tcBorders>
            <w:shd w:val="clear" w:color="auto" w:fill="auto"/>
            <w:noWrap/>
            <w:vAlign w:val="center"/>
            <w:hideMark/>
          </w:tcPr>
          <w:p w14:paraId="17A239A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8</w:t>
            </w:r>
          </w:p>
        </w:tc>
      </w:tr>
      <w:tr w:rsidR="008A5EBC" w:rsidRPr="00316D0C" w14:paraId="578EA897" w14:textId="77777777" w:rsidTr="00CF3217">
        <w:trPr>
          <w:trHeight w:val="128"/>
        </w:trPr>
        <w:tc>
          <w:tcPr>
            <w:tcW w:w="2851" w:type="dxa"/>
            <w:tcBorders>
              <w:top w:val="nil"/>
              <w:left w:val="nil"/>
              <w:bottom w:val="nil"/>
              <w:right w:val="nil"/>
            </w:tcBorders>
            <w:shd w:val="clear" w:color="auto" w:fill="auto"/>
            <w:noWrap/>
            <w:vAlign w:val="center"/>
            <w:hideMark/>
          </w:tcPr>
          <w:p w14:paraId="5E76FEA1"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AAAS</w:t>
            </w:r>
          </w:p>
        </w:tc>
        <w:tc>
          <w:tcPr>
            <w:tcW w:w="1422" w:type="dxa"/>
            <w:tcBorders>
              <w:top w:val="nil"/>
              <w:left w:val="nil"/>
              <w:bottom w:val="nil"/>
              <w:right w:val="nil"/>
            </w:tcBorders>
            <w:shd w:val="clear" w:color="auto" w:fill="auto"/>
            <w:noWrap/>
            <w:vAlign w:val="center"/>
            <w:hideMark/>
          </w:tcPr>
          <w:p w14:paraId="16134E6B"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34</w:t>
            </w:r>
          </w:p>
        </w:tc>
        <w:tc>
          <w:tcPr>
            <w:tcW w:w="1489" w:type="dxa"/>
            <w:tcBorders>
              <w:top w:val="nil"/>
              <w:left w:val="nil"/>
              <w:bottom w:val="nil"/>
              <w:right w:val="nil"/>
            </w:tcBorders>
            <w:shd w:val="clear" w:color="auto" w:fill="auto"/>
            <w:noWrap/>
            <w:vAlign w:val="center"/>
            <w:hideMark/>
          </w:tcPr>
          <w:p w14:paraId="7DB40FDF"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28</w:t>
            </w:r>
          </w:p>
        </w:tc>
        <w:tc>
          <w:tcPr>
            <w:tcW w:w="1324" w:type="dxa"/>
            <w:tcBorders>
              <w:top w:val="nil"/>
              <w:left w:val="nil"/>
              <w:bottom w:val="nil"/>
              <w:right w:val="nil"/>
            </w:tcBorders>
            <w:shd w:val="clear" w:color="000000" w:fill="D9E1F2"/>
            <w:noWrap/>
            <w:vAlign w:val="center"/>
            <w:hideMark/>
          </w:tcPr>
          <w:p w14:paraId="7FD1D64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2160" w:type="dxa"/>
            <w:tcBorders>
              <w:top w:val="nil"/>
              <w:left w:val="nil"/>
              <w:bottom w:val="nil"/>
              <w:right w:val="nil"/>
            </w:tcBorders>
            <w:shd w:val="clear" w:color="auto" w:fill="auto"/>
            <w:noWrap/>
            <w:vAlign w:val="center"/>
            <w:hideMark/>
          </w:tcPr>
          <w:p w14:paraId="30160370"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62</w:t>
            </w:r>
          </w:p>
        </w:tc>
      </w:tr>
      <w:tr w:rsidR="008A5EBC" w:rsidRPr="00316D0C" w14:paraId="7E523385" w14:textId="77777777" w:rsidTr="00CF3217">
        <w:trPr>
          <w:trHeight w:val="128"/>
        </w:trPr>
        <w:tc>
          <w:tcPr>
            <w:tcW w:w="2851" w:type="dxa"/>
            <w:tcBorders>
              <w:top w:val="nil"/>
              <w:left w:val="nil"/>
              <w:bottom w:val="nil"/>
              <w:right w:val="nil"/>
            </w:tcBorders>
            <w:shd w:val="clear" w:color="auto" w:fill="auto"/>
            <w:noWrap/>
            <w:vAlign w:val="center"/>
            <w:hideMark/>
          </w:tcPr>
          <w:p w14:paraId="16E69EF2"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BNR</w:t>
            </w:r>
          </w:p>
        </w:tc>
        <w:tc>
          <w:tcPr>
            <w:tcW w:w="1422" w:type="dxa"/>
            <w:tcBorders>
              <w:top w:val="nil"/>
              <w:left w:val="nil"/>
              <w:bottom w:val="nil"/>
              <w:right w:val="nil"/>
            </w:tcBorders>
            <w:shd w:val="clear" w:color="auto" w:fill="auto"/>
            <w:noWrap/>
            <w:vAlign w:val="center"/>
            <w:hideMark/>
          </w:tcPr>
          <w:p w14:paraId="286C679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489" w:type="dxa"/>
            <w:tcBorders>
              <w:top w:val="nil"/>
              <w:left w:val="nil"/>
              <w:bottom w:val="nil"/>
              <w:right w:val="nil"/>
            </w:tcBorders>
            <w:shd w:val="clear" w:color="auto" w:fill="auto"/>
            <w:noWrap/>
            <w:vAlign w:val="center"/>
            <w:hideMark/>
          </w:tcPr>
          <w:p w14:paraId="61CE8569"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324" w:type="dxa"/>
            <w:tcBorders>
              <w:top w:val="nil"/>
              <w:left w:val="nil"/>
              <w:bottom w:val="nil"/>
              <w:right w:val="nil"/>
            </w:tcBorders>
            <w:shd w:val="clear" w:color="000000" w:fill="D9E1F2"/>
            <w:noWrap/>
            <w:vAlign w:val="center"/>
            <w:hideMark/>
          </w:tcPr>
          <w:p w14:paraId="4AE0F58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2160" w:type="dxa"/>
            <w:tcBorders>
              <w:top w:val="nil"/>
              <w:left w:val="nil"/>
              <w:bottom w:val="nil"/>
              <w:right w:val="nil"/>
            </w:tcBorders>
            <w:shd w:val="clear" w:color="auto" w:fill="auto"/>
            <w:noWrap/>
            <w:vAlign w:val="center"/>
            <w:hideMark/>
          </w:tcPr>
          <w:p w14:paraId="3337CA21"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r>
      <w:tr w:rsidR="008A5EBC" w:rsidRPr="00316D0C" w14:paraId="1DA47C6E" w14:textId="77777777" w:rsidTr="00CF3217">
        <w:trPr>
          <w:trHeight w:val="128"/>
        </w:trPr>
        <w:tc>
          <w:tcPr>
            <w:tcW w:w="2851" w:type="dxa"/>
            <w:tcBorders>
              <w:top w:val="nil"/>
              <w:left w:val="nil"/>
              <w:bottom w:val="nil"/>
              <w:right w:val="nil"/>
            </w:tcBorders>
            <w:shd w:val="clear" w:color="auto" w:fill="auto"/>
            <w:noWrap/>
            <w:vAlign w:val="center"/>
            <w:hideMark/>
          </w:tcPr>
          <w:p w14:paraId="328F65DC"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CD</w:t>
            </w:r>
          </w:p>
        </w:tc>
        <w:tc>
          <w:tcPr>
            <w:tcW w:w="1422" w:type="dxa"/>
            <w:tcBorders>
              <w:top w:val="nil"/>
              <w:left w:val="nil"/>
              <w:bottom w:val="nil"/>
              <w:right w:val="nil"/>
            </w:tcBorders>
            <w:shd w:val="clear" w:color="auto" w:fill="auto"/>
            <w:noWrap/>
            <w:vAlign w:val="center"/>
            <w:hideMark/>
          </w:tcPr>
          <w:p w14:paraId="42437C2B"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89.062</w:t>
            </w:r>
          </w:p>
        </w:tc>
        <w:tc>
          <w:tcPr>
            <w:tcW w:w="1489" w:type="dxa"/>
            <w:tcBorders>
              <w:top w:val="nil"/>
              <w:left w:val="nil"/>
              <w:bottom w:val="nil"/>
              <w:right w:val="nil"/>
            </w:tcBorders>
            <w:shd w:val="clear" w:color="auto" w:fill="auto"/>
            <w:noWrap/>
            <w:vAlign w:val="center"/>
            <w:hideMark/>
          </w:tcPr>
          <w:p w14:paraId="31FF4FE5"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324" w:type="dxa"/>
            <w:tcBorders>
              <w:top w:val="nil"/>
              <w:left w:val="nil"/>
              <w:bottom w:val="nil"/>
              <w:right w:val="nil"/>
            </w:tcBorders>
            <w:shd w:val="clear" w:color="000000" w:fill="D9E1F2"/>
            <w:noWrap/>
            <w:vAlign w:val="center"/>
            <w:hideMark/>
          </w:tcPr>
          <w:p w14:paraId="2AA8C89A"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2160" w:type="dxa"/>
            <w:tcBorders>
              <w:top w:val="nil"/>
              <w:left w:val="nil"/>
              <w:bottom w:val="nil"/>
              <w:right w:val="nil"/>
            </w:tcBorders>
            <w:shd w:val="clear" w:color="auto" w:fill="auto"/>
            <w:noWrap/>
            <w:vAlign w:val="center"/>
            <w:hideMark/>
          </w:tcPr>
          <w:p w14:paraId="28248F91"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89.062</w:t>
            </w:r>
          </w:p>
        </w:tc>
      </w:tr>
      <w:tr w:rsidR="008A5EBC" w:rsidRPr="00316D0C" w14:paraId="3206E593" w14:textId="77777777" w:rsidTr="00CF3217">
        <w:trPr>
          <w:trHeight w:val="128"/>
        </w:trPr>
        <w:tc>
          <w:tcPr>
            <w:tcW w:w="2851" w:type="dxa"/>
            <w:tcBorders>
              <w:top w:val="nil"/>
              <w:left w:val="nil"/>
              <w:bottom w:val="single" w:sz="4" w:space="0" w:color="5B9BD5"/>
              <w:right w:val="nil"/>
            </w:tcBorders>
            <w:shd w:val="clear" w:color="auto" w:fill="auto"/>
            <w:noWrap/>
            <w:vAlign w:val="center"/>
            <w:hideMark/>
          </w:tcPr>
          <w:p w14:paraId="4A4637C4" w14:textId="77777777" w:rsidR="008A5EBC" w:rsidRPr="000C045A" w:rsidRDefault="008A5EBC" w:rsidP="00CF3217">
            <w:pPr>
              <w:spacing w:before="0" w:after="0" w:line="240" w:lineRule="auto"/>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MADR</w:t>
            </w:r>
          </w:p>
        </w:tc>
        <w:tc>
          <w:tcPr>
            <w:tcW w:w="1422" w:type="dxa"/>
            <w:tcBorders>
              <w:top w:val="nil"/>
              <w:left w:val="nil"/>
              <w:bottom w:val="single" w:sz="4" w:space="0" w:color="5B9BD5"/>
              <w:right w:val="nil"/>
            </w:tcBorders>
            <w:shd w:val="clear" w:color="auto" w:fill="auto"/>
            <w:noWrap/>
            <w:vAlign w:val="center"/>
            <w:hideMark/>
          </w:tcPr>
          <w:p w14:paraId="02D62FB3"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489" w:type="dxa"/>
            <w:tcBorders>
              <w:top w:val="nil"/>
              <w:left w:val="nil"/>
              <w:bottom w:val="single" w:sz="4" w:space="0" w:color="5B9BD5"/>
              <w:right w:val="nil"/>
            </w:tcBorders>
            <w:shd w:val="clear" w:color="auto" w:fill="auto"/>
            <w:noWrap/>
            <w:vAlign w:val="center"/>
            <w:hideMark/>
          </w:tcPr>
          <w:p w14:paraId="6DF0A32B"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1324" w:type="dxa"/>
            <w:tcBorders>
              <w:top w:val="nil"/>
              <w:left w:val="nil"/>
              <w:bottom w:val="single" w:sz="4" w:space="0" w:color="5B9BD5"/>
              <w:right w:val="nil"/>
            </w:tcBorders>
            <w:shd w:val="clear" w:color="000000" w:fill="D9E1F2"/>
            <w:noWrap/>
            <w:vAlign w:val="center"/>
            <w:hideMark/>
          </w:tcPr>
          <w:p w14:paraId="43B08ADB"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c>
          <w:tcPr>
            <w:tcW w:w="2160" w:type="dxa"/>
            <w:tcBorders>
              <w:top w:val="nil"/>
              <w:left w:val="nil"/>
              <w:bottom w:val="single" w:sz="4" w:space="0" w:color="5B9BD5"/>
              <w:right w:val="nil"/>
            </w:tcBorders>
            <w:shd w:val="clear" w:color="auto" w:fill="auto"/>
            <w:noWrap/>
            <w:vAlign w:val="center"/>
            <w:hideMark/>
          </w:tcPr>
          <w:p w14:paraId="66CBC30E" w14:textId="77777777" w:rsidR="008A5EBC" w:rsidRPr="000C045A" w:rsidRDefault="008A5EBC" w:rsidP="00CF3217">
            <w:pPr>
              <w:spacing w:before="0" w:after="0" w:line="240" w:lineRule="auto"/>
              <w:jc w:val="right"/>
              <w:rPr>
                <w:rFonts w:ascii="Calibri" w:eastAsia="Times New Roman" w:hAnsi="Calibri" w:cs="Times New Roman"/>
                <w:sz w:val="16"/>
                <w:szCs w:val="16"/>
                <w:lang w:eastAsia="ro-RO"/>
              </w:rPr>
            </w:pPr>
            <w:r w:rsidRPr="000C045A">
              <w:rPr>
                <w:rFonts w:ascii="Calibri" w:eastAsia="Times New Roman" w:hAnsi="Calibri" w:cs="Times New Roman"/>
                <w:sz w:val="16"/>
                <w:szCs w:val="16"/>
                <w:lang w:eastAsia="ro-RO"/>
              </w:rPr>
              <w:t>0</w:t>
            </w:r>
          </w:p>
        </w:tc>
      </w:tr>
      <w:tr w:rsidR="008A5EBC" w:rsidRPr="00316D0C" w14:paraId="5C8EB29C" w14:textId="77777777" w:rsidTr="00CF3217">
        <w:trPr>
          <w:trHeight w:val="128"/>
        </w:trPr>
        <w:tc>
          <w:tcPr>
            <w:tcW w:w="9246" w:type="dxa"/>
            <w:gridSpan w:val="5"/>
            <w:tcBorders>
              <w:top w:val="nil"/>
              <w:left w:val="nil"/>
              <w:bottom w:val="nil"/>
              <w:right w:val="nil"/>
            </w:tcBorders>
            <w:shd w:val="clear" w:color="auto" w:fill="auto"/>
            <w:noWrap/>
            <w:vAlign w:val="bottom"/>
            <w:hideMark/>
          </w:tcPr>
          <w:p w14:paraId="4DA20B0C" w14:textId="77777777" w:rsidR="008A5EBC" w:rsidRPr="00316D0C" w:rsidRDefault="008A5EBC" w:rsidP="00CF3217">
            <w:pPr>
              <w:spacing w:before="0" w:after="0" w:line="240" w:lineRule="auto"/>
              <w:rPr>
                <w:rFonts w:ascii="Times New Roman" w:eastAsia="Times New Roman" w:hAnsi="Times New Roman" w:cs="Times New Roman"/>
                <w:lang w:eastAsia="ro-RO"/>
              </w:rPr>
            </w:pPr>
            <w:r w:rsidRPr="000C045A">
              <w:rPr>
                <w:rFonts w:ascii="Calibri Light" w:eastAsia="Times New Roman" w:hAnsi="Calibri Light" w:cs="Times New Roman"/>
                <w:sz w:val="16"/>
                <w:szCs w:val="16"/>
                <w:lang w:eastAsia="ro-RO"/>
              </w:rPr>
              <w:t>Notă: în tabel s-a folosit starea ÎP la anul raportării.</w:t>
            </w:r>
          </w:p>
        </w:tc>
      </w:tr>
    </w:tbl>
    <w:p w14:paraId="6966F00C" w14:textId="77777777" w:rsidR="008A5EBC" w:rsidRPr="008C6972" w:rsidRDefault="008A5EBC" w:rsidP="008A5EBC">
      <w:pPr>
        <w:spacing w:before="120" w:beforeAutospacing="1" w:after="120" w:afterAutospacing="1" w:line="240" w:lineRule="auto"/>
        <w:jc w:val="both"/>
        <w:rPr>
          <w:rFonts w:asciiTheme="majorHAnsi" w:hAnsiTheme="majorHAnsi" w:cstheme="majorBidi"/>
          <w:b/>
          <w:bCs/>
          <w:color w:val="0F6FC6" w:themeColor="accent1"/>
          <w:kern w:val="20"/>
          <w:lang w:eastAsia="ja-JP"/>
        </w:rPr>
      </w:pPr>
      <w:r>
        <w:rPr>
          <w:rFonts w:asciiTheme="majorHAnsi" w:hAnsiTheme="majorHAnsi" w:cstheme="majorBidi"/>
          <w:noProof/>
          <w:lang w:val="en-US"/>
        </w:rPr>
        <w:drawing>
          <wp:inline distT="0" distB="0" distL="0" distR="0" wp14:anchorId="5A499D8C" wp14:editId="552DF7C6">
            <wp:extent cx="2834640" cy="29260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r>
        <w:rPr>
          <w:rFonts w:asciiTheme="majorHAnsi" w:hAnsiTheme="majorHAnsi" w:cstheme="majorBidi"/>
          <w:noProof/>
          <w:lang w:val="en-US"/>
        </w:rPr>
        <w:drawing>
          <wp:inline distT="0" distB="0" distL="0" distR="0" wp14:anchorId="5F8740B1" wp14:editId="62C9B75E">
            <wp:extent cx="2834640" cy="29260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4640" cy="2926080"/>
                    </a:xfrm>
                    <a:prstGeom prst="rect">
                      <a:avLst/>
                    </a:prstGeom>
                    <a:noFill/>
                  </pic:spPr>
                </pic:pic>
              </a:graphicData>
            </a:graphic>
          </wp:inline>
        </w:drawing>
      </w:r>
    </w:p>
    <w:p w14:paraId="2D13F359" w14:textId="77777777" w:rsidR="004255E0" w:rsidRDefault="004255E0" w:rsidP="000C045A">
      <w:pPr>
        <w:spacing w:before="0" w:after="0"/>
        <w:jc w:val="both"/>
        <w:rPr>
          <w:rFonts w:asciiTheme="majorHAnsi" w:hAnsiTheme="majorHAnsi" w:cstheme="majorBidi"/>
        </w:rPr>
      </w:pPr>
      <w:r w:rsidRPr="008C6972">
        <w:rPr>
          <w:rFonts w:asciiTheme="majorHAnsi" w:hAnsiTheme="majorHAnsi" w:cstheme="majorBidi"/>
        </w:rPr>
        <w:t>În cursul anului 20</w:t>
      </w:r>
      <w:r>
        <w:rPr>
          <w:rFonts w:asciiTheme="majorHAnsi" w:hAnsiTheme="majorHAnsi" w:cstheme="majorBidi"/>
        </w:rPr>
        <w:t>20</w:t>
      </w:r>
      <w:r w:rsidRPr="008C6972">
        <w:rPr>
          <w:rFonts w:asciiTheme="majorHAnsi" w:hAnsiTheme="majorHAnsi" w:cstheme="majorBidi"/>
        </w:rPr>
        <w:t xml:space="preserve">, ÎPC din subordinea </w:t>
      </w:r>
      <w:r w:rsidRPr="00316D0C">
        <w:rPr>
          <w:rFonts w:asciiTheme="majorHAnsi" w:hAnsiTheme="majorHAnsi" w:cstheme="majorBidi"/>
        </w:rPr>
        <w:t>Ministerul</w:t>
      </w:r>
      <w:r>
        <w:rPr>
          <w:rFonts w:asciiTheme="majorHAnsi" w:hAnsiTheme="majorHAnsi" w:cstheme="majorBidi"/>
        </w:rPr>
        <w:t>ui</w:t>
      </w:r>
      <w:r w:rsidRPr="00316D0C">
        <w:rPr>
          <w:rFonts w:asciiTheme="majorHAnsi" w:hAnsiTheme="majorHAnsi" w:cstheme="majorBidi"/>
        </w:rPr>
        <w:t xml:space="preserve"> Transporturilor, Infrastructurii </w:t>
      </w:r>
      <w:r>
        <w:rPr>
          <w:rFonts w:asciiTheme="majorHAnsi" w:hAnsiTheme="majorHAnsi" w:cstheme="majorBidi"/>
        </w:rPr>
        <w:t>ș</w:t>
      </w:r>
      <w:r w:rsidRPr="00316D0C">
        <w:rPr>
          <w:rFonts w:asciiTheme="majorHAnsi" w:hAnsiTheme="majorHAnsi" w:cstheme="majorBidi"/>
        </w:rPr>
        <w:t>i Comunica</w:t>
      </w:r>
      <w:r>
        <w:rPr>
          <w:rFonts w:asciiTheme="majorHAnsi" w:hAnsiTheme="majorHAnsi" w:cstheme="majorBidi"/>
        </w:rPr>
        <w:t>ț</w:t>
      </w:r>
      <w:r w:rsidRPr="00316D0C">
        <w:rPr>
          <w:rFonts w:asciiTheme="majorHAnsi" w:hAnsiTheme="majorHAnsi" w:cstheme="majorBidi"/>
        </w:rPr>
        <w:t xml:space="preserve">iilor </w:t>
      </w:r>
      <w:r w:rsidRPr="008C6972">
        <w:rPr>
          <w:rFonts w:asciiTheme="majorHAnsi" w:hAnsiTheme="majorHAnsi" w:cstheme="majorBidi"/>
        </w:rPr>
        <w:t>au beneficiat de alocarea celei mai mari părți din suma totală a subvențiilor, respectiv în pondere de 85,</w:t>
      </w:r>
      <w:r>
        <w:rPr>
          <w:rFonts w:asciiTheme="majorHAnsi" w:hAnsiTheme="majorHAnsi" w:cstheme="majorBidi"/>
        </w:rPr>
        <w:t>16</w:t>
      </w:r>
      <w:r w:rsidRPr="008C6972">
        <w:rPr>
          <w:rFonts w:asciiTheme="majorHAnsi" w:hAnsiTheme="majorHAnsi" w:cstheme="majorBidi"/>
        </w:rPr>
        <w:t xml:space="preserve">%, reprezentând </w:t>
      </w:r>
      <w:r>
        <w:rPr>
          <w:rFonts w:asciiTheme="majorHAnsi" w:hAnsiTheme="majorHAnsi" w:cstheme="majorBidi"/>
        </w:rPr>
        <w:t>8</w:t>
      </w:r>
      <w:r w:rsidRPr="008C6972">
        <w:rPr>
          <w:rFonts w:asciiTheme="majorHAnsi" w:hAnsiTheme="majorHAnsi" w:cstheme="majorBidi"/>
        </w:rPr>
        <w:t>.</w:t>
      </w:r>
      <w:r>
        <w:rPr>
          <w:rFonts w:asciiTheme="majorHAnsi" w:hAnsiTheme="majorHAnsi" w:cstheme="majorBidi"/>
        </w:rPr>
        <w:t>879</w:t>
      </w:r>
      <w:r w:rsidRPr="008C6972">
        <w:rPr>
          <w:rFonts w:asciiTheme="majorHAnsi" w:hAnsiTheme="majorHAnsi" w:cstheme="majorBidi"/>
        </w:rPr>
        <w:t>.</w:t>
      </w:r>
      <w:r>
        <w:rPr>
          <w:rFonts w:asciiTheme="majorHAnsi" w:hAnsiTheme="majorHAnsi" w:cstheme="majorBidi"/>
        </w:rPr>
        <w:t>732</w:t>
      </w:r>
      <w:r w:rsidRPr="008C6972">
        <w:rPr>
          <w:rFonts w:asciiTheme="majorHAnsi" w:hAnsiTheme="majorHAnsi" w:cstheme="majorBidi"/>
        </w:rPr>
        <w:t xml:space="preserve"> mii lei, urmat de ÎPC din subordinea </w:t>
      </w:r>
      <w:r w:rsidRPr="00316D0C">
        <w:rPr>
          <w:rFonts w:asciiTheme="majorHAnsi" w:hAnsiTheme="majorHAnsi" w:cstheme="majorBidi"/>
        </w:rPr>
        <w:t>Ministerul</w:t>
      </w:r>
      <w:r>
        <w:rPr>
          <w:rFonts w:asciiTheme="majorHAnsi" w:hAnsiTheme="majorHAnsi" w:cstheme="majorBidi"/>
        </w:rPr>
        <w:t>ui</w:t>
      </w:r>
      <w:r w:rsidRPr="00316D0C">
        <w:rPr>
          <w:rFonts w:asciiTheme="majorHAnsi" w:hAnsiTheme="majorHAnsi" w:cstheme="majorBidi"/>
        </w:rPr>
        <w:t xml:space="preserve"> Lucr</w:t>
      </w:r>
      <w:r>
        <w:rPr>
          <w:rFonts w:asciiTheme="majorHAnsi" w:hAnsiTheme="majorHAnsi" w:cstheme="majorBidi"/>
        </w:rPr>
        <w:t>ă</w:t>
      </w:r>
      <w:r w:rsidRPr="00316D0C">
        <w:rPr>
          <w:rFonts w:asciiTheme="majorHAnsi" w:hAnsiTheme="majorHAnsi" w:cstheme="majorBidi"/>
        </w:rPr>
        <w:t>rilor Publice, Dezvolt</w:t>
      </w:r>
      <w:r>
        <w:rPr>
          <w:rFonts w:asciiTheme="majorHAnsi" w:hAnsiTheme="majorHAnsi" w:cstheme="majorBidi"/>
        </w:rPr>
        <w:t>ă</w:t>
      </w:r>
      <w:r w:rsidRPr="00316D0C">
        <w:rPr>
          <w:rFonts w:asciiTheme="majorHAnsi" w:hAnsiTheme="majorHAnsi" w:cstheme="majorBidi"/>
        </w:rPr>
        <w:t xml:space="preserve">rii </w:t>
      </w:r>
      <w:r>
        <w:rPr>
          <w:rFonts w:asciiTheme="majorHAnsi" w:hAnsiTheme="majorHAnsi" w:cstheme="majorBidi"/>
        </w:rPr>
        <w:t>ș</w:t>
      </w:r>
      <w:r w:rsidRPr="00316D0C">
        <w:rPr>
          <w:rFonts w:asciiTheme="majorHAnsi" w:hAnsiTheme="majorHAnsi" w:cstheme="majorBidi"/>
        </w:rPr>
        <w:t>i Administra</w:t>
      </w:r>
      <w:r>
        <w:rPr>
          <w:rFonts w:asciiTheme="majorHAnsi" w:hAnsiTheme="majorHAnsi" w:cstheme="majorBidi"/>
        </w:rPr>
        <w:t>ț</w:t>
      </w:r>
      <w:r w:rsidRPr="00316D0C">
        <w:rPr>
          <w:rFonts w:asciiTheme="majorHAnsi" w:hAnsiTheme="majorHAnsi" w:cstheme="majorBidi"/>
        </w:rPr>
        <w:t xml:space="preserve">iei </w:t>
      </w:r>
      <w:r w:rsidRPr="008C6972">
        <w:rPr>
          <w:rFonts w:asciiTheme="majorHAnsi" w:hAnsiTheme="majorHAnsi" w:cstheme="majorBidi"/>
        </w:rPr>
        <w:t xml:space="preserve"> cu o pondere de </w:t>
      </w:r>
      <w:r>
        <w:rPr>
          <w:rFonts w:asciiTheme="majorHAnsi" w:hAnsiTheme="majorHAnsi" w:cstheme="majorBidi"/>
        </w:rPr>
        <w:t>11</w:t>
      </w:r>
      <w:r w:rsidRPr="008C6972">
        <w:rPr>
          <w:rFonts w:asciiTheme="majorHAnsi" w:hAnsiTheme="majorHAnsi" w:cstheme="majorBidi"/>
        </w:rPr>
        <w:t>,</w:t>
      </w:r>
      <w:r>
        <w:rPr>
          <w:rFonts w:asciiTheme="majorHAnsi" w:hAnsiTheme="majorHAnsi" w:cstheme="majorBidi"/>
        </w:rPr>
        <w:t>96</w:t>
      </w:r>
      <w:r w:rsidRPr="008C6972">
        <w:rPr>
          <w:rFonts w:asciiTheme="majorHAnsi" w:hAnsiTheme="majorHAnsi" w:cstheme="majorBidi"/>
        </w:rPr>
        <w:t xml:space="preserve">%, reprezentând </w:t>
      </w:r>
      <w:r>
        <w:rPr>
          <w:rFonts w:asciiTheme="majorHAnsi" w:hAnsiTheme="majorHAnsi" w:cstheme="majorBidi"/>
        </w:rPr>
        <w:t>1.246</w:t>
      </w:r>
      <w:r w:rsidRPr="008C6972">
        <w:rPr>
          <w:rFonts w:asciiTheme="majorHAnsi" w:hAnsiTheme="majorHAnsi" w:cstheme="majorBidi"/>
        </w:rPr>
        <w:t>.</w:t>
      </w:r>
      <w:r>
        <w:rPr>
          <w:rFonts w:asciiTheme="majorHAnsi" w:hAnsiTheme="majorHAnsi" w:cstheme="majorBidi"/>
        </w:rPr>
        <w:t>759</w:t>
      </w:r>
      <w:r w:rsidRPr="008C6972">
        <w:rPr>
          <w:rFonts w:asciiTheme="majorHAnsi" w:hAnsiTheme="majorHAnsi" w:cstheme="majorBidi"/>
        </w:rPr>
        <w:t xml:space="preserve"> mii lei și de ÎPC din subordinea </w:t>
      </w:r>
      <w:r w:rsidRPr="00316D0C">
        <w:rPr>
          <w:rFonts w:asciiTheme="majorHAnsi" w:hAnsiTheme="majorHAnsi" w:cstheme="majorBidi"/>
        </w:rPr>
        <w:t>Ministerul</w:t>
      </w:r>
      <w:r>
        <w:rPr>
          <w:rFonts w:asciiTheme="majorHAnsi" w:hAnsiTheme="majorHAnsi" w:cstheme="majorBidi"/>
        </w:rPr>
        <w:t>ui</w:t>
      </w:r>
      <w:r w:rsidRPr="00316D0C">
        <w:rPr>
          <w:rFonts w:asciiTheme="majorHAnsi" w:hAnsiTheme="majorHAnsi" w:cstheme="majorBidi"/>
        </w:rPr>
        <w:t xml:space="preserve"> Economiei, Energiei </w:t>
      </w:r>
      <w:r>
        <w:rPr>
          <w:rFonts w:asciiTheme="majorHAnsi" w:hAnsiTheme="majorHAnsi" w:cstheme="majorBidi"/>
        </w:rPr>
        <w:t>ș</w:t>
      </w:r>
      <w:r w:rsidRPr="00316D0C">
        <w:rPr>
          <w:rFonts w:asciiTheme="majorHAnsi" w:hAnsiTheme="majorHAnsi" w:cstheme="majorBidi"/>
        </w:rPr>
        <w:t xml:space="preserve">i Mediului </w:t>
      </w:r>
      <w:r>
        <w:rPr>
          <w:rFonts w:asciiTheme="majorHAnsi" w:hAnsiTheme="majorHAnsi" w:cstheme="majorBidi"/>
        </w:rPr>
        <w:t>d</w:t>
      </w:r>
      <w:r w:rsidRPr="00316D0C">
        <w:rPr>
          <w:rFonts w:asciiTheme="majorHAnsi" w:hAnsiTheme="majorHAnsi" w:cstheme="majorBidi"/>
        </w:rPr>
        <w:t>e Afaceri</w:t>
      </w:r>
      <w:r>
        <w:rPr>
          <w:rFonts w:asciiTheme="majorHAnsi" w:hAnsiTheme="majorHAnsi" w:cstheme="majorBidi"/>
        </w:rPr>
        <w:t xml:space="preserve"> </w:t>
      </w:r>
      <w:r w:rsidRPr="008C6972">
        <w:rPr>
          <w:rFonts w:asciiTheme="majorHAnsi" w:hAnsiTheme="majorHAnsi" w:cstheme="majorBidi"/>
        </w:rPr>
        <w:t>cu o pondere de 1,88% reprezentând 1</w:t>
      </w:r>
      <w:r>
        <w:rPr>
          <w:rFonts w:asciiTheme="majorHAnsi" w:hAnsiTheme="majorHAnsi" w:cstheme="majorBidi"/>
        </w:rPr>
        <w:t>96</w:t>
      </w:r>
      <w:r w:rsidRPr="008C6972">
        <w:rPr>
          <w:rFonts w:asciiTheme="majorHAnsi" w:hAnsiTheme="majorHAnsi" w:cstheme="majorBidi"/>
        </w:rPr>
        <w:t>.</w:t>
      </w:r>
      <w:r>
        <w:rPr>
          <w:rFonts w:asciiTheme="majorHAnsi" w:hAnsiTheme="majorHAnsi" w:cstheme="majorBidi"/>
        </w:rPr>
        <w:t>283</w:t>
      </w:r>
      <w:r w:rsidRPr="008C6972">
        <w:rPr>
          <w:rFonts w:asciiTheme="majorHAnsi" w:hAnsiTheme="majorHAnsi" w:cstheme="majorBidi"/>
        </w:rPr>
        <w:t xml:space="preserve"> mii lei . Toate celelalte ÎPC din subordinea altor autorități publice au beneficiat de </w:t>
      </w:r>
      <w:r>
        <w:rPr>
          <w:rFonts w:asciiTheme="majorHAnsi" w:hAnsiTheme="majorHAnsi" w:cstheme="majorBidi"/>
        </w:rPr>
        <w:t>1</w:t>
      </w:r>
      <w:r w:rsidRPr="008C6972">
        <w:rPr>
          <w:rFonts w:asciiTheme="majorHAnsi" w:hAnsiTheme="majorHAnsi" w:cstheme="majorBidi"/>
        </w:rPr>
        <w:t xml:space="preserve">% din suma totală a subvențiilor, reprezentând </w:t>
      </w:r>
      <w:r>
        <w:rPr>
          <w:rFonts w:asciiTheme="majorHAnsi" w:hAnsiTheme="majorHAnsi" w:cstheme="majorBidi"/>
        </w:rPr>
        <w:t>104</w:t>
      </w:r>
      <w:r w:rsidRPr="008C6972">
        <w:rPr>
          <w:rFonts w:asciiTheme="majorHAnsi" w:hAnsiTheme="majorHAnsi" w:cstheme="majorBidi"/>
        </w:rPr>
        <w:t>.</w:t>
      </w:r>
      <w:r>
        <w:rPr>
          <w:rFonts w:asciiTheme="majorHAnsi" w:hAnsiTheme="majorHAnsi" w:cstheme="majorBidi"/>
        </w:rPr>
        <w:t>014</w:t>
      </w:r>
      <w:r w:rsidRPr="008C6972">
        <w:rPr>
          <w:rFonts w:asciiTheme="majorHAnsi" w:hAnsiTheme="majorHAnsi" w:cstheme="majorBidi"/>
        </w:rPr>
        <w:t xml:space="preserve"> mii lei. </w:t>
      </w:r>
    </w:p>
    <w:p w14:paraId="716B61E4" w14:textId="77777777" w:rsidR="008A5EBC" w:rsidRDefault="008A5EBC" w:rsidP="000C045A">
      <w:pPr>
        <w:spacing w:before="0" w:after="0"/>
        <w:jc w:val="both"/>
        <w:rPr>
          <w:rFonts w:asciiTheme="majorHAnsi" w:hAnsiTheme="majorHAnsi" w:cstheme="majorBidi"/>
        </w:rPr>
      </w:pPr>
    </w:p>
    <w:p w14:paraId="3F974963" w14:textId="77777777" w:rsidR="000C045A" w:rsidRPr="008C6972" w:rsidRDefault="004255E0" w:rsidP="000C045A">
      <w:pPr>
        <w:spacing w:before="0" w:after="0"/>
        <w:jc w:val="both"/>
        <w:rPr>
          <w:rFonts w:asciiTheme="majorHAnsi" w:hAnsiTheme="majorHAnsi" w:cstheme="majorBidi"/>
          <w:lang w:val="en-US"/>
        </w:rPr>
      </w:pPr>
      <w:r w:rsidRPr="008C6972">
        <w:rPr>
          <w:rFonts w:asciiTheme="majorHAnsi" w:hAnsiTheme="majorHAnsi" w:cstheme="majorBidi"/>
        </w:rPr>
        <w:t xml:space="preserve">Cele mai mari subvenții pentru </w:t>
      </w:r>
      <w:r w:rsidRPr="008C6972">
        <w:rPr>
          <w:rFonts w:asciiTheme="majorHAnsi" w:hAnsiTheme="majorHAnsi" w:cstheme="majorBidi"/>
          <w:b/>
          <w:bCs/>
        </w:rPr>
        <w:t>activitatea de exploatare</w:t>
      </w:r>
      <w:r w:rsidRPr="008C6972">
        <w:rPr>
          <w:rFonts w:asciiTheme="majorHAnsi" w:hAnsiTheme="majorHAnsi" w:cstheme="majorBidi"/>
        </w:rPr>
        <w:t xml:space="preserve"> au fost acordate în anul 20</w:t>
      </w:r>
      <w:r>
        <w:rPr>
          <w:rFonts w:asciiTheme="majorHAnsi" w:hAnsiTheme="majorHAnsi" w:cstheme="majorBidi"/>
        </w:rPr>
        <w:t>20</w:t>
      </w:r>
      <w:r w:rsidRPr="008C6972">
        <w:rPr>
          <w:rFonts w:asciiTheme="majorHAnsi" w:hAnsiTheme="majorHAnsi" w:cstheme="majorBidi"/>
        </w:rPr>
        <w:t xml:space="preserve"> ÎPC din subordinea următoarelor APTC</w:t>
      </w:r>
      <w:r w:rsidRPr="008C6972">
        <w:rPr>
          <w:rFonts w:asciiTheme="majorHAnsi" w:hAnsiTheme="majorHAnsi" w:cstheme="majorBidi"/>
          <w:lang w:val="en-US"/>
        </w:rPr>
        <w:t>:</w:t>
      </w:r>
    </w:p>
    <w:p w14:paraId="29E721A0" w14:textId="77777777" w:rsidR="004255E0" w:rsidRPr="00F92774" w:rsidRDefault="004255E0" w:rsidP="00F26763">
      <w:pPr>
        <w:pStyle w:val="ListParagraph"/>
        <w:numPr>
          <w:ilvl w:val="0"/>
          <w:numId w:val="14"/>
        </w:numPr>
        <w:spacing w:before="0" w:after="0"/>
        <w:ind w:left="284" w:hanging="284"/>
        <w:jc w:val="both"/>
        <w:rPr>
          <w:rFonts w:asciiTheme="majorHAnsi" w:hAnsiTheme="majorHAnsi" w:cstheme="majorBidi"/>
          <w:kern w:val="20"/>
          <w:lang w:val="en-US" w:eastAsia="ja-JP"/>
        </w:rPr>
      </w:pPr>
      <w:r w:rsidRPr="004255E0">
        <w:rPr>
          <w:rFonts w:asciiTheme="majorHAnsi" w:hAnsiTheme="majorHAnsi" w:cstheme="majorBidi"/>
          <w:b/>
        </w:rPr>
        <w:t>Ministerul Transporturilor, Infrastructurii și Comunicațiilor</w:t>
      </w:r>
      <w:r w:rsidRPr="00F92774">
        <w:rPr>
          <w:rFonts w:asciiTheme="majorHAnsi" w:hAnsiTheme="majorHAnsi" w:cstheme="majorBidi"/>
        </w:rPr>
        <w:t xml:space="preserve"> -  subvenții pentru activitatea de exploatare în sumă totală de 3.972.069 mii lei cu destinația acoperirii cheltuielilor de utilizare a infrastructurii, întreținerii și menținerii infrastructurii publice de transport și </w:t>
      </w:r>
      <w:r w:rsidRPr="00F92774">
        <w:rPr>
          <w:rFonts w:asciiTheme="majorHAnsi" w:hAnsiTheme="majorHAnsi" w:cstheme="majorBidi"/>
          <w:kern w:val="20"/>
          <w:lang w:eastAsia="ja-JP"/>
        </w:rPr>
        <w:t>susținerea transportului public de călători, acoperirea cheltuielilor cu întreținerea și reparațiile, cu mentenanța materialului rulant aferent transportului de călători cu metroul, întreținerea și dezvoltarea infrastructurii rutiere;</w:t>
      </w:r>
    </w:p>
    <w:p w14:paraId="2301B59E" w14:textId="77777777" w:rsidR="004255E0" w:rsidRPr="00F92774" w:rsidRDefault="004255E0" w:rsidP="00F26763">
      <w:pPr>
        <w:pStyle w:val="ListParagraph"/>
        <w:numPr>
          <w:ilvl w:val="0"/>
          <w:numId w:val="14"/>
        </w:numPr>
        <w:spacing w:before="0" w:after="0"/>
        <w:ind w:left="284" w:hanging="284"/>
        <w:jc w:val="both"/>
        <w:rPr>
          <w:rFonts w:asciiTheme="majorHAnsi" w:hAnsiTheme="majorHAnsi" w:cstheme="majorBidi"/>
          <w:kern w:val="20"/>
          <w:lang w:eastAsia="ja-JP"/>
        </w:rPr>
      </w:pPr>
      <w:r w:rsidRPr="004255E0">
        <w:rPr>
          <w:rFonts w:asciiTheme="majorHAnsi" w:hAnsiTheme="majorHAnsi" w:cstheme="majorBidi"/>
          <w:b/>
        </w:rPr>
        <w:t>Ministerul Economiei, Energiei și Mediului de Afaceri</w:t>
      </w:r>
      <w:r w:rsidRPr="00F92774">
        <w:rPr>
          <w:rFonts w:asciiTheme="majorHAnsi" w:hAnsiTheme="majorHAnsi" w:cstheme="majorBidi"/>
        </w:rPr>
        <w:t xml:space="preserve"> </w:t>
      </w:r>
      <w:r w:rsidRPr="00F92774">
        <w:rPr>
          <w:rFonts w:asciiTheme="majorHAnsi" w:hAnsiTheme="majorHAnsi" w:cstheme="majorBidi"/>
          <w:kern w:val="20"/>
          <w:lang w:eastAsia="ja-JP"/>
        </w:rPr>
        <w:t>- subvenții pentru activitatea de exploatare</w:t>
      </w:r>
      <w:r w:rsidRPr="00F92774">
        <w:rPr>
          <w:rFonts w:asciiTheme="majorHAnsi" w:hAnsiTheme="majorHAnsi" w:cstheme="majorBidi"/>
          <w:b/>
          <w:bCs/>
          <w:kern w:val="20"/>
          <w:lang w:eastAsia="ja-JP"/>
        </w:rPr>
        <w:t xml:space="preserve"> </w:t>
      </w:r>
      <w:r w:rsidRPr="00F92774">
        <w:rPr>
          <w:rFonts w:asciiTheme="majorHAnsi" w:hAnsiTheme="majorHAnsi" w:cstheme="majorBidi"/>
          <w:kern w:val="20"/>
          <w:lang w:eastAsia="ja-JP"/>
        </w:rPr>
        <w:t>în sumă totală de 162.617 mii lei care au avut ca destinație principală închiderea minelor de cărbune necompetitive, ajutor de stat pentru închiderea minelor, programul anual de cercetare pentru energia nucleară.</w:t>
      </w:r>
    </w:p>
    <w:p w14:paraId="13A1349C" w14:textId="77777777" w:rsidR="000C045A" w:rsidRDefault="000C045A" w:rsidP="000C045A">
      <w:pPr>
        <w:spacing w:before="0" w:after="0"/>
        <w:rPr>
          <w:rFonts w:asciiTheme="majorHAnsi" w:hAnsiTheme="majorHAnsi" w:cstheme="majorBidi"/>
          <w:kern w:val="20"/>
          <w:lang w:eastAsia="ja-JP"/>
        </w:rPr>
      </w:pPr>
    </w:p>
    <w:p w14:paraId="2A6BFFB8" w14:textId="77777777" w:rsidR="000C045A" w:rsidRPr="008C6972" w:rsidRDefault="004255E0" w:rsidP="000C045A">
      <w:pPr>
        <w:spacing w:before="0" w:after="0"/>
        <w:rPr>
          <w:rFonts w:asciiTheme="majorHAnsi" w:hAnsiTheme="majorHAnsi" w:cstheme="majorBidi"/>
          <w:lang w:val="en-US"/>
        </w:rPr>
      </w:pPr>
      <w:r w:rsidRPr="008C6972">
        <w:rPr>
          <w:rFonts w:asciiTheme="majorHAnsi" w:hAnsiTheme="majorHAnsi" w:cstheme="majorBidi"/>
          <w:kern w:val="20"/>
          <w:lang w:eastAsia="ja-JP"/>
        </w:rPr>
        <w:t xml:space="preserve">Cele mai mari subvenții pentru </w:t>
      </w:r>
      <w:r w:rsidRPr="008C6972">
        <w:rPr>
          <w:rFonts w:asciiTheme="majorHAnsi" w:hAnsiTheme="majorHAnsi" w:cstheme="majorBidi"/>
          <w:b/>
          <w:bCs/>
          <w:kern w:val="20"/>
          <w:lang w:eastAsia="ja-JP"/>
        </w:rPr>
        <w:t>activitatea de investiții</w:t>
      </w:r>
      <w:r w:rsidRPr="008C6972">
        <w:rPr>
          <w:rFonts w:asciiTheme="majorHAnsi" w:hAnsiTheme="majorHAnsi" w:cstheme="majorBidi"/>
          <w:kern w:val="20"/>
          <w:lang w:eastAsia="ja-JP"/>
        </w:rPr>
        <w:t xml:space="preserve">, </w:t>
      </w:r>
      <w:r w:rsidRPr="008C6972">
        <w:rPr>
          <w:rFonts w:asciiTheme="majorHAnsi" w:hAnsiTheme="majorHAnsi" w:cstheme="majorBidi"/>
        </w:rPr>
        <w:t>au fost acordate ÎPC din subordinea următoarelor APTC</w:t>
      </w:r>
      <w:r w:rsidRPr="008C6972">
        <w:rPr>
          <w:rFonts w:asciiTheme="majorHAnsi" w:hAnsiTheme="majorHAnsi" w:cstheme="majorBidi"/>
          <w:lang w:val="en-US"/>
        </w:rPr>
        <w:t>:</w:t>
      </w:r>
    </w:p>
    <w:p w14:paraId="0C3DEE6B" w14:textId="77777777" w:rsidR="004255E0" w:rsidRPr="00F92774" w:rsidRDefault="004255E0" w:rsidP="00F26763">
      <w:pPr>
        <w:pStyle w:val="ListParagraph"/>
        <w:numPr>
          <w:ilvl w:val="0"/>
          <w:numId w:val="15"/>
        </w:numPr>
        <w:spacing w:before="0" w:after="0"/>
        <w:ind w:left="284" w:hanging="284"/>
        <w:jc w:val="both"/>
        <w:rPr>
          <w:rFonts w:asciiTheme="majorHAnsi" w:hAnsiTheme="majorHAnsi" w:cstheme="majorBidi"/>
          <w:kern w:val="20"/>
          <w:lang w:eastAsia="ja-JP"/>
        </w:rPr>
      </w:pPr>
      <w:r w:rsidRPr="004255E0">
        <w:rPr>
          <w:rFonts w:asciiTheme="majorHAnsi" w:hAnsiTheme="majorHAnsi" w:cstheme="majorBidi"/>
          <w:b/>
        </w:rPr>
        <w:t>Ministerul Transporturilor, Infrastructurii și Comunicațiilor</w:t>
      </w:r>
      <w:r w:rsidRPr="00F92774">
        <w:rPr>
          <w:rFonts w:asciiTheme="majorHAnsi" w:hAnsiTheme="majorHAnsi" w:cstheme="majorBidi"/>
        </w:rPr>
        <w:t xml:space="preserve"> </w:t>
      </w:r>
      <w:r w:rsidRPr="00F92774">
        <w:rPr>
          <w:rFonts w:asciiTheme="majorHAnsi" w:hAnsiTheme="majorHAnsi" w:cstheme="majorBidi"/>
          <w:kern w:val="20"/>
          <w:lang w:eastAsia="ja-JP"/>
        </w:rPr>
        <w:t>– subvenții pentru activitatea de investiții în sumă totală de 4.907.663 mii lei, cu destinația dezvoltarea și modernizarea infrastructurii publice de transport pentru asigurarea serviciului de interes economic general, finisaje instalații de transport local de călători, cale de rulare, executare lucrări de structură la stații de metrou, finanțare obiective de investiții pentru declanșarea procedurilor de expropriere</w:t>
      </w:r>
      <w:r w:rsidRPr="00F92774">
        <w:rPr>
          <w:rFonts w:asciiTheme="majorHAnsi" w:hAnsiTheme="majorHAnsi" w:cstheme="majorBidi"/>
          <w:kern w:val="20"/>
          <w:lang w:val="en-US" w:eastAsia="ja-JP"/>
        </w:rPr>
        <w:t>;</w:t>
      </w:r>
    </w:p>
    <w:p w14:paraId="3EF037AB" w14:textId="77777777" w:rsidR="004255E0" w:rsidRDefault="004255E0" w:rsidP="00F26763">
      <w:pPr>
        <w:pStyle w:val="ListParagraph"/>
        <w:numPr>
          <w:ilvl w:val="0"/>
          <w:numId w:val="15"/>
        </w:numPr>
        <w:spacing w:before="0" w:after="0"/>
        <w:ind w:left="284" w:hanging="284"/>
        <w:jc w:val="both"/>
        <w:rPr>
          <w:rFonts w:asciiTheme="majorHAnsi" w:hAnsiTheme="majorHAnsi" w:cstheme="majorBidi"/>
          <w:kern w:val="20"/>
          <w:lang w:eastAsia="ja-JP"/>
        </w:rPr>
      </w:pPr>
      <w:r w:rsidRPr="004255E0">
        <w:rPr>
          <w:rFonts w:asciiTheme="majorHAnsi" w:hAnsiTheme="majorHAnsi" w:cstheme="majorBidi"/>
          <w:b/>
        </w:rPr>
        <w:t>Ministerul Lucrărilor Publice, Dezvoltării și Administrației</w:t>
      </w:r>
      <w:r w:rsidRPr="004255E0">
        <w:rPr>
          <w:rFonts w:asciiTheme="majorHAnsi" w:hAnsiTheme="majorHAnsi" w:cstheme="majorBidi"/>
          <w:b/>
          <w:kern w:val="20"/>
          <w:lang w:eastAsia="ja-JP"/>
        </w:rPr>
        <w:t xml:space="preserve"> -</w:t>
      </w:r>
      <w:r w:rsidRPr="000C08AD">
        <w:rPr>
          <w:rFonts w:asciiTheme="majorHAnsi" w:hAnsiTheme="majorHAnsi" w:cstheme="majorBidi"/>
          <w:kern w:val="20"/>
          <w:lang w:eastAsia="ja-JP"/>
        </w:rPr>
        <w:t xml:space="preserve"> subvenții pentru activitatea de investiții în sumă totală de 1.246.759 mii lei cu destinația</w:t>
      </w:r>
      <w:r w:rsidRPr="000C08AD">
        <w:rPr>
          <w:rFonts w:asciiTheme="majorHAnsi" w:hAnsiTheme="majorHAnsi"/>
        </w:rPr>
        <w:t xml:space="preserve"> susținerii </w:t>
      </w:r>
      <w:r w:rsidRPr="000C08AD">
        <w:rPr>
          <w:rFonts w:asciiTheme="majorHAnsi" w:hAnsiTheme="majorHAnsi" w:cstheme="majorBidi"/>
          <w:kern w:val="20"/>
          <w:lang w:eastAsia="ja-JP"/>
        </w:rPr>
        <w:t>programului național de investiții de interes public sau social,  sume alocate pentru obiective finanțate integral din venituri proprii, alocații de la bugetul de stat aferent programelor cu finanțare rambursabilă, program de dezvoltare comunitară în localitatea Hădăreni, județul Mureș.</w:t>
      </w:r>
    </w:p>
    <w:p w14:paraId="209468D3" w14:textId="77777777" w:rsidR="004255E0" w:rsidRDefault="004255E0" w:rsidP="004255E0">
      <w:pPr>
        <w:jc w:val="both"/>
        <w:rPr>
          <w:rFonts w:asciiTheme="majorHAnsi" w:hAnsiTheme="majorHAnsi" w:cstheme="majorBidi"/>
        </w:rPr>
      </w:pPr>
      <w:r w:rsidRPr="008C6972">
        <w:rPr>
          <w:rFonts w:asciiTheme="majorHAnsi" w:hAnsiTheme="majorHAnsi" w:cstheme="majorBidi"/>
        </w:rPr>
        <w:t>În perioada 201</w:t>
      </w:r>
      <w:r>
        <w:rPr>
          <w:rFonts w:asciiTheme="majorHAnsi" w:hAnsiTheme="majorHAnsi" w:cstheme="majorBidi"/>
        </w:rPr>
        <w:t>8</w:t>
      </w:r>
      <w:r w:rsidRPr="008C6972">
        <w:rPr>
          <w:rFonts w:asciiTheme="majorHAnsi" w:hAnsiTheme="majorHAnsi" w:cstheme="majorBidi"/>
        </w:rPr>
        <w:t>-20</w:t>
      </w:r>
      <w:r>
        <w:rPr>
          <w:rFonts w:asciiTheme="majorHAnsi" w:hAnsiTheme="majorHAnsi" w:cstheme="majorBidi"/>
        </w:rPr>
        <w:t>20</w:t>
      </w:r>
      <w:r w:rsidRPr="008C6972">
        <w:rPr>
          <w:rFonts w:asciiTheme="majorHAnsi" w:hAnsiTheme="majorHAnsi" w:cstheme="majorBidi"/>
        </w:rPr>
        <w:t xml:space="preserve"> au fost alocate subvenții totale de la bugetul de stat pentru activitatea de exploatare și de investiții a ÎPC </w:t>
      </w:r>
      <w:r w:rsidRPr="008C6972">
        <w:rPr>
          <w:rFonts w:asciiTheme="majorHAnsi" w:hAnsiTheme="majorHAnsi" w:cstheme="majorBidi"/>
          <w:b/>
          <w:bCs/>
        </w:rPr>
        <w:t>în sumă totală</w:t>
      </w:r>
      <w:r w:rsidRPr="008C6972">
        <w:rPr>
          <w:rFonts w:asciiTheme="majorHAnsi" w:hAnsiTheme="majorHAnsi" w:cstheme="majorBidi"/>
        </w:rPr>
        <w:t xml:space="preserve"> </w:t>
      </w:r>
      <w:r w:rsidRPr="008C6972">
        <w:rPr>
          <w:rFonts w:asciiTheme="majorHAnsi" w:hAnsiTheme="majorHAnsi" w:cstheme="majorBidi"/>
          <w:b/>
          <w:bCs/>
        </w:rPr>
        <w:t>de 2</w:t>
      </w:r>
      <w:r>
        <w:rPr>
          <w:rFonts w:asciiTheme="majorHAnsi" w:hAnsiTheme="majorHAnsi" w:cstheme="majorBidi"/>
          <w:b/>
          <w:bCs/>
        </w:rPr>
        <w:t>4</w:t>
      </w:r>
      <w:r w:rsidRPr="008C6972">
        <w:rPr>
          <w:rFonts w:asciiTheme="majorHAnsi" w:hAnsiTheme="majorHAnsi" w:cstheme="majorBidi"/>
          <w:b/>
          <w:bCs/>
        </w:rPr>
        <w:t>.</w:t>
      </w:r>
      <w:r>
        <w:rPr>
          <w:rFonts w:asciiTheme="majorHAnsi" w:hAnsiTheme="majorHAnsi" w:cstheme="majorBidi"/>
          <w:b/>
          <w:bCs/>
        </w:rPr>
        <w:t>535</w:t>
      </w:r>
      <w:r w:rsidRPr="008C6972">
        <w:rPr>
          <w:rFonts w:asciiTheme="majorHAnsi" w:hAnsiTheme="majorHAnsi" w:cstheme="majorBidi"/>
          <w:b/>
          <w:bCs/>
        </w:rPr>
        <w:t>.</w:t>
      </w:r>
      <w:r>
        <w:rPr>
          <w:rFonts w:asciiTheme="majorHAnsi" w:hAnsiTheme="majorHAnsi" w:cstheme="majorBidi"/>
          <w:b/>
          <w:bCs/>
        </w:rPr>
        <w:t>769</w:t>
      </w:r>
      <w:r w:rsidRPr="008C6972">
        <w:rPr>
          <w:rFonts w:asciiTheme="majorHAnsi" w:hAnsiTheme="majorHAnsi" w:cstheme="majorBidi"/>
        </w:rPr>
        <w:t xml:space="preserve"> mii lei din care cea mai mare parte a fost alocată ÎPC din subordinea </w:t>
      </w:r>
      <w:r w:rsidRPr="00316D0C">
        <w:rPr>
          <w:rFonts w:asciiTheme="majorHAnsi" w:hAnsiTheme="majorHAnsi" w:cstheme="majorBidi"/>
        </w:rPr>
        <w:t>Ministerul</w:t>
      </w:r>
      <w:r>
        <w:rPr>
          <w:rFonts w:asciiTheme="majorHAnsi" w:hAnsiTheme="majorHAnsi" w:cstheme="majorBidi"/>
        </w:rPr>
        <w:t>ui</w:t>
      </w:r>
      <w:r w:rsidRPr="00316D0C">
        <w:rPr>
          <w:rFonts w:asciiTheme="majorHAnsi" w:hAnsiTheme="majorHAnsi" w:cstheme="majorBidi"/>
        </w:rPr>
        <w:t xml:space="preserve"> Transporturilor, Infrastructurii </w:t>
      </w:r>
      <w:r>
        <w:rPr>
          <w:rFonts w:asciiTheme="majorHAnsi" w:hAnsiTheme="majorHAnsi" w:cstheme="majorBidi"/>
        </w:rPr>
        <w:t>ș</w:t>
      </w:r>
      <w:r w:rsidRPr="00316D0C">
        <w:rPr>
          <w:rFonts w:asciiTheme="majorHAnsi" w:hAnsiTheme="majorHAnsi" w:cstheme="majorBidi"/>
        </w:rPr>
        <w:t>i Comunica</w:t>
      </w:r>
      <w:r>
        <w:rPr>
          <w:rFonts w:asciiTheme="majorHAnsi" w:hAnsiTheme="majorHAnsi" w:cstheme="majorBidi"/>
        </w:rPr>
        <w:t>ț</w:t>
      </w:r>
      <w:r w:rsidRPr="00316D0C">
        <w:rPr>
          <w:rFonts w:asciiTheme="majorHAnsi" w:hAnsiTheme="majorHAnsi" w:cstheme="majorBidi"/>
        </w:rPr>
        <w:t>iilor</w:t>
      </w:r>
      <w:r w:rsidRPr="008C6972">
        <w:rPr>
          <w:rFonts w:asciiTheme="majorHAnsi" w:hAnsiTheme="majorHAnsi" w:cstheme="majorBidi"/>
        </w:rPr>
        <w:t xml:space="preserve"> în sumă totală de </w:t>
      </w:r>
      <w:r>
        <w:rPr>
          <w:rFonts w:asciiTheme="majorHAnsi" w:hAnsiTheme="majorHAnsi" w:cstheme="majorBidi"/>
        </w:rPr>
        <w:t>20</w:t>
      </w:r>
      <w:r w:rsidRPr="008C6972">
        <w:rPr>
          <w:rFonts w:asciiTheme="majorHAnsi" w:hAnsiTheme="majorHAnsi" w:cstheme="majorBidi"/>
        </w:rPr>
        <w:t>.</w:t>
      </w:r>
      <w:r>
        <w:rPr>
          <w:rFonts w:asciiTheme="majorHAnsi" w:hAnsiTheme="majorHAnsi" w:cstheme="majorBidi"/>
        </w:rPr>
        <w:t>906</w:t>
      </w:r>
      <w:r w:rsidRPr="008C6972">
        <w:rPr>
          <w:rFonts w:asciiTheme="majorHAnsi" w:hAnsiTheme="majorHAnsi" w:cstheme="majorBidi"/>
        </w:rPr>
        <w:t>.</w:t>
      </w:r>
      <w:r>
        <w:rPr>
          <w:rFonts w:asciiTheme="majorHAnsi" w:hAnsiTheme="majorHAnsi" w:cstheme="majorBidi"/>
        </w:rPr>
        <w:t>048</w:t>
      </w:r>
      <w:r w:rsidRPr="008C6972">
        <w:rPr>
          <w:rFonts w:asciiTheme="majorHAnsi" w:hAnsiTheme="majorHAnsi" w:cstheme="majorBidi"/>
        </w:rPr>
        <w:t xml:space="preserve"> mii lei.</w:t>
      </w:r>
    </w:p>
    <w:p w14:paraId="788627FD" w14:textId="77777777" w:rsidR="00D66114" w:rsidRDefault="00D66114" w:rsidP="00D66114">
      <w:pPr>
        <w:jc w:val="both"/>
        <w:rPr>
          <w:rFonts w:asciiTheme="majorHAnsi" w:hAnsiTheme="majorHAnsi" w:cstheme="majorBidi"/>
        </w:rPr>
      </w:pPr>
      <w:bookmarkStart w:id="58" w:name="_Toc490763526"/>
      <w:bookmarkStart w:id="59" w:name="_Toc490763707"/>
      <w:bookmarkStart w:id="60" w:name="_Toc490763875"/>
    </w:p>
    <w:p w14:paraId="4DB8FDBC" w14:textId="77777777" w:rsidR="0054644F" w:rsidRDefault="0054644F" w:rsidP="00D66114">
      <w:pPr>
        <w:jc w:val="both"/>
        <w:rPr>
          <w:rFonts w:asciiTheme="majorHAnsi" w:hAnsiTheme="majorHAnsi" w:cstheme="majorBidi"/>
        </w:rPr>
      </w:pPr>
    </w:p>
    <w:p w14:paraId="4CEAF3A2" w14:textId="77777777" w:rsidR="00501905" w:rsidRPr="00522CC8" w:rsidRDefault="004F0014" w:rsidP="00363E87">
      <w:pPr>
        <w:pStyle w:val="ListParagraph"/>
        <w:ind w:left="0" w:right="141"/>
        <w:jc w:val="both"/>
        <w:outlineLvl w:val="2"/>
        <w:rPr>
          <w:rFonts w:asciiTheme="majorHAnsi" w:hAnsiTheme="majorHAnsi"/>
          <w:b/>
          <w:bCs/>
          <w:color w:val="0F6FC6" w:themeColor="accent1"/>
          <w:sz w:val="28"/>
          <w:szCs w:val="28"/>
        </w:rPr>
      </w:pPr>
      <w:bookmarkStart w:id="61" w:name="_Toc87875952"/>
      <w:r>
        <w:rPr>
          <w:rFonts w:asciiTheme="majorHAnsi" w:hAnsiTheme="majorHAnsi"/>
          <w:b/>
          <w:bCs/>
          <w:color w:val="0F6FC6" w:themeColor="accent1"/>
          <w:sz w:val="28"/>
          <w:szCs w:val="28"/>
        </w:rPr>
        <w:t>3</w:t>
      </w:r>
      <w:r w:rsidR="002E2C11" w:rsidRPr="00522CC8">
        <w:rPr>
          <w:rFonts w:asciiTheme="majorHAnsi" w:hAnsiTheme="majorHAnsi"/>
          <w:b/>
          <w:bCs/>
          <w:color w:val="0F6FC6" w:themeColor="accent1"/>
          <w:sz w:val="28"/>
          <w:szCs w:val="28"/>
        </w:rPr>
        <w:t xml:space="preserve">.6 – Dividende și vărsăminte repartizate și virate de </w:t>
      </w:r>
      <w:bookmarkEnd w:id="58"/>
      <w:bookmarkEnd w:id="59"/>
      <w:bookmarkEnd w:id="60"/>
      <w:r w:rsidR="007D42C5" w:rsidRPr="00522CC8">
        <w:rPr>
          <w:rFonts w:asciiTheme="majorHAnsi" w:hAnsiTheme="majorHAnsi"/>
          <w:b/>
          <w:bCs/>
          <w:color w:val="0F6FC6" w:themeColor="accent1"/>
          <w:sz w:val="28"/>
          <w:szCs w:val="28"/>
        </w:rPr>
        <w:t xml:space="preserve">întreprinderile </w:t>
      </w:r>
      <w:r w:rsidR="00110AFD" w:rsidRPr="00522CC8">
        <w:rPr>
          <w:rFonts w:asciiTheme="majorHAnsi" w:hAnsiTheme="majorHAnsi"/>
          <w:b/>
          <w:bCs/>
          <w:color w:val="0F6FC6" w:themeColor="accent1"/>
          <w:sz w:val="28"/>
          <w:szCs w:val="28"/>
        </w:rPr>
        <w:t>publice centrale</w:t>
      </w:r>
      <w:bookmarkEnd w:id="61"/>
    </w:p>
    <w:p w14:paraId="6C915BA0" w14:textId="77777777" w:rsidR="00E211F1" w:rsidRDefault="00E211F1" w:rsidP="009517A3">
      <w:pPr>
        <w:spacing w:before="0" w:after="0" w:line="240" w:lineRule="auto"/>
        <w:ind w:left="-118"/>
        <w:jc w:val="both"/>
        <w:rPr>
          <w:rFonts w:ascii="Calibri Light" w:eastAsia="Times New Roman" w:hAnsi="Calibri Light" w:cs="Times New Roman"/>
          <w:color w:val="0F6FC6" w:themeColor="accent1"/>
          <w:lang w:eastAsia="ro-RO"/>
        </w:rPr>
      </w:pPr>
    </w:p>
    <w:p w14:paraId="1F74F7CC" w14:textId="77777777" w:rsidR="0054644F" w:rsidRDefault="0054644F" w:rsidP="009517A3">
      <w:pPr>
        <w:spacing w:before="0" w:after="0" w:line="240" w:lineRule="auto"/>
        <w:ind w:left="-118"/>
        <w:jc w:val="both"/>
        <w:rPr>
          <w:rFonts w:ascii="Calibri Light" w:eastAsia="Times New Roman" w:hAnsi="Calibri Light" w:cs="Times New Roman"/>
          <w:color w:val="0F6FC6" w:themeColor="accent1"/>
          <w:lang w:eastAsia="ro-RO"/>
        </w:rPr>
      </w:pPr>
    </w:p>
    <w:tbl>
      <w:tblPr>
        <w:tblW w:w="9180" w:type="dxa"/>
        <w:tblInd w:w="108" w:type="dxa"/>
        <w:tblLayout w:type="fixed"/>
        <w:tblLook w:val="04A0" w:firstRow="1" w:lastRow="0" w:firstColumn="1" w:lastColumn="0" w:noHBand="0" w:noVBand="1"/>
      </w:tblPr>
      <w:tblGrid>
        <w:gridCol w:w="2506"/>
        <w:gridCol w:w="607"/>
        <w:gridCol w:w="1474"/>
        <w:gridCol w:w="2189"/>
        <w:gridCol w:w="2404"/>
      </w:tblGrid>
      <w:tr w:rsidR="00A7771A" w:rsidRPr="006747E6" w14:paraId="6D8124AE" w14:textId="77777777" w:rsidTr="00A7771A">
        <w:trPr>
          <w:trHeight w:val="507"/>
        </w:trPr>
        <w:tc>
          <w:tcPr>
            <w:tcW w:w="9180" w:type="dxa"/>
            <w:gridSpan w:val="5"/>
            <w:tcBorders>
              <w:top w:val="nil"/>
              <w:left w:val="single" w:sz="8" w:space="0" w:color="FFFFFF"/>
              <w:bottom w:val="nil"/>
              <w:right w:val="single" w:sz="8" w:space="0" w:color="FFFFFF"/>
            </w:tcBorders>
            <w:shd w:val="clear" w:color="000000" w:fill="FFFFFF"/>
            <w:vAlign w:val="center"/>
            <w:hideMark/>
          </w:tcPr>
          <w:p w14:paraId="65530B86" w14:textId="77777777" w:rsidR="00A7771A" w:rsidRPr="00A7771A" w:rsidRDefault="00A7771A" w:rsidP="00A06393">
            <w:pPr>
              <w:spacing w:before="0" w:after="0" w:line="240" w:lineRule="auto"/>
              <w:jc w:val="both"/>
              <w:rPr>
                <w:rFonts w:ascii="Calibri Light" w:eastAsia="Times New Roman" w:hAnsi="Calibri Light" w:cs="Calibri Light"/>
                <w:lang w:val="en-US"/>
              </w:rPr>
            </w:pPr>
            <w:bookmarkStart w:id="62" w:name="_Toc490763527"/>
            <w:bookmarkStart w:id="63" w:name="_Toc490763708"/>
            <w:bookmarkStart w:id="64" w:name="_Toc490763876"/>
            <w:r>
              <w:rPr>
                <w:rFonts w:ascii="Calibri Light" w:eastAsia="Times New Roman" w:hAnsi="Calibri Light" w:cs="Calibri Light"/>
                <w:lang w:val="en-US"/>
              </w:rPr>
              <w:t xml:space="preserve">TABEL - </w:t>
            </w:r>
            <w:r w:rsidRPr="00A7771A">
              <w:rPr>
                <w:rFonts w:ascii="Calibri Light" w:eastAsia="Times New Roman" w:hAnsi="Calibri Light" w:cs="Calibri Light"/>
                <w:lang w:val="en-US"/>
              </w:rPr>
              <w:t xml:space="preserve">Structura dividendelor/vărsămintelor repartizate și virate bugetului de stat din profitul ÎPC în perioada 2018-2020  </w:t>
            </w:r>
          </w:p>
          <w:p w14:paraId="3DEDF948" w14:textId="77777777" w:rsidR="00A7771A" w:rsidRPr="006747E6" w:rsidRDefault="00A7771A" w:rsidP="00A06393">
            <w:pPr>
              <w:spacing w:before="0" w:after="0" w:line="240" w:lineRule="auto"/>
              <w:jc w:val="both"/>
              <w:rPr>
                <w:rFonts w:ascii="Calibri Light" w:eastAsia="Times New Roman" w:hAnsi="Calibri Light" w:cs="Calibri Light"/>
                <w:color w:val="5B9BD5"/>
                <w:lang w:val="en-US"/>
              </w:rPr>
            </w:pPr>
          </w:p>
        </w:tc>
      </w:tr>
      <w:tr w:rsidR="00A7771A" w:rsidRPr="006747E6" w14:paraId="5CAC43C3" w14:textId="77777777" w:rsidTr="00A7771A">
        <w:trPr>
          <w:trHeight w:val="552"/>
        </w:trPr>
        <w:tc>
          <w:tcPr>
            <w:tcW w:w="2506" w:type="dxa"/>
            <w:vMerge w:val="restart"/>
            <w:tcBorders>
              <w:top w:val="single" w:sz="4" w:space="0" w:color="4F81BD"/>
              <w:left w:val="nil"/>
              <w:bottom w:val="single" w:sz="4" w:space="0" w:color="4F81BD"/>
              <w:right w:val="nil"/>
            </w:tcBorders>
            <w:shd w:val="clear" w:color="000000" w:fill="FFFFFF"/>
            <w:hideMark/>
          </w:tcPr>
          <w:p w14:paraId="0E692C23" w14:textId="77777777" w:rsidR="00A7771A" w:rsidRPr="00A7771A" w:rsidRDefault="00A7771A" w:rsidP="00A7771A">
            <w:pPr>
              <w:spacing w:before="0" w:after="0" w:line="240" w:lineRule="auto"/>
              <w:rPr>
                <w:rFonts w:ascii="Calibri" w:eastAsia="Times New Roman" w:hAnsi="Calibri" w:cs="Calibri"/>
                <w:color w:val="0F6FC6" w:themeColor="accent1"/>
                <w:sz w:val="16"/>
                <w:szCs w:val="16"/>
                <w:lang w:val="en-US"/>
              </w:rPr>
            </w:pPr>
            <w:r w:rsidRPr="00A7771A">
              <w:rPr>
                <w:rFonts w:ascii="Calibri" w:eastAsia="Times New Roman" w:hAnsi="Calibri" w:cs="Calibri"/>
                <w:color w:val="0F6FC6" w:themeColor="accent1"/>
                <w:sz w:val="16"/>
                <w:szCs w:val="16"/>
                <w:lang w:val="en-US"/>
              </w:rPr>
              <w:t>Dividende/ Vărsăminte</w:t>
            </w:r>
          </w:p>
        </w:tc>
        <w:tc>
          <w:tcPr>
            <w:tcW w:w="607" w:type="dxa"/>
            <w:tcBorders>
              <w:top w:val="single" w:sz="4" w:space="0" w:color="4F81BD"/>
              <w:left w:val="nil"/>
              <w:bottom w:val="single" w:sz="4" w:space="0" w:color="4F81BD"/>
              <w:right w:val="nil"/>
            </w:tcBorders>
            <w:shd w:val="clear" w:color="000000" w:fill="FFFFFF"/>
            <w:noWrap/>
            <w:hideMark/>
          </w:tcPr>
          <w:p w14:paraId="73CEF72E" w14:textId="77777777" w:rsidR="00A7771A" w:rsidRPr="00A7771A" w:rsidRDefault="00A7771A" w:rsidP="00A7771A">
            <w:pPr>
              <w:spacing w:before="0" w:after="0" w:line="240" w:lineRule="auto"/>
              <w:jc w:val="right"/>
              <w:rPr>
                <w:rFonts w:ascii="Calibri" w:eastAsia="Times New Roman" w:hAnsi="Calibri" w:cs="Calibri"/>
                <w:color w:val="0F6FC6" w:themeColor="accent1"/>
                <w:sz w:val="16"/>
                <w:szCs w:val="16"/>
                <w:lang w:val="en-US"/>
              </w:rPr>
            </w:pPr>
            <w:r w:rsidRPr="00A7771A">
              <w:rPr>
                <w:rFonts w:ascii="Calibri" w:eastAsia="Times New Roman" w:hAnsi="Calibri" w:cs="Calibri"/>
                <w:color w:val="0F6FC6" w:themeColor="accent1"/>
                <w:sz w:val="16"/>
                <w:szCs w:val="16"/>
                <w:lang w:val="en-US"/>
              </w:rPr>
              <w:t>Anul</w:t>
            </w:r>
          </w:p>
        </w:tc>
        <w:tc>
          <w:tcPr>
            <w:tcW w:w="1474" w:type="dxa"/>
            <w:tcBorders>
              <w:top w:val="single" w:sz="4" w:space="0" w:color="4F81BD"/>
              <w:left w:val="nil"/>
              <w:bottom w:val="single" w:sz="4" w:space="0" w:color="4F81BD"/>
              <w:right w:val="nil"/>
            </w:tcBorders>
            <w:shd w:val="clear" w:color="000000" w:fill="FFFFFF"/>
            <w:noWrap/>
            <w:hideMark/>
          </w:tcPr>
          <w:p w14:paraId="65ED8FF4" w14:textId="77777777" w:rsidR="00A7771A" w:rsidRPr="00A7771A" w:rsidRDefault="00A7771A" w:rsidP="00A7771A">
            <w:pPr>
              <w:spacing w:before="0" w:after="0" w:line="240" w:lineRule="auto"/>
              <w:jc w:val="right"/>
              <w:rPr>
                <w:rFonts w:ascii="Calibri" w:eastAsia="Times New Roman" w:hAnsi="Calibri" w:cs="Calibri"/>
                <w:color w:val="0F6FC6" w:themeColor="accent1"/>
                <w:sz w:val="16"/>
                <w:szCs w:val="16"/>
                <w:lang w:val="en-US"/>
              </w:rPr>
            </w:pPr>
            <w:r w:rsidRPr="00A7771A">
              <w:rPr>
                <w:rFonts w:ascii="Calibri" w:eastAsia="Times New Roman" w:hAnsi="Calibri" w:cs="Calibri"/>
                <w:color w:val="0F6FC6" w:themeColor="accent1"/>
                <w:sz w:val="16"/>
                <w:szCs w:val="16"/>
                <w:lang w:val="en-US"/>
              </w:rPr>
              <w:t>Profit net</w:t>
            </w:r>
          </w:p>
        </w:tc>
        <w:tc>
          <w:tcPr>
            <w:tcW w:w="2189" w:type="dxa"/>
            <w:tcBorders>
              <w:top w:val="single" w:sz="4" w:space="0" w:color="4F81BD"/>
              <w:left w:val="nil"/>
              <w:bottom w:val="single" w:sz="4" w:space="0" w:color="4F81BD"/>
              <w:right w:val="nil"/>
            </w:tcBorders>
            <w:shd w:val="clear" w:color="000000" w:fill="FFFFFF"/>
            <w:hideMark/>
          </w:tcPr>
          <w:p w14:paraId="65B86160" w14:textId="77777777" w:rsidR="00A7771A" w:rsidRPr="00A7771A" w:rsidRDefault="00A7771A" w:rsidP="00A7771A">
            <w:pPr>
              <w:spacing w:before="0" w:after="0" w:line="240" w:lineRule="auto"/>
              <w:jc w:val="right"/>
              <w:rPr>
                <w:rFonts w:ascii="Calibri" w:eastAsia="Times New Roman" w:hAnsi="Calibri" w:cs="Calibri"/>
                <w:color w:val="0F6FC6" w:themeColor="accent1"/>
                <w:sz w:val="16"/>
                <w:szCs w:val="16"/>
                <w:lang w:val="en-US"/>
              </w:rPr>
            </w:pPr>
            <w:r w:rsidRPr="00A7771A">
              <w:rPr>
                <w:rFonts w:ascii="Calibri" w:eastAsia="Times New Roman" w:hAnsi="Calibri" w:cs="Calibri"/>
                <w:color w:val="0F6FC6" w:themeColor="accent1"/>
                <w:sz w:val="16"/>
                <w:szCs w:val="16"/>
                <w:lang w:val="en-US"/>
              </w:rPr>
              <w:t xml:space="preserve">Dividende / Vărsăminte </w:t>
            </w:r>
            <w:r w:rsidRPr="00A7771A">
              <w:rPr>
                <w:rFonts w:ascii="Calibri" w:eastAsia="Times New Roman" w:hAnsi="Calibri" w:cs="Calibri"/>
                <w:b/>
                <w:bCs/>
                <w:color w:val="0F6FC6" w:themeColor="accent1"/>
                <w:sz w:val="16"/>
                <w:szCs w:val="16"/>
                <w:lang w:val="en-US"/>
              </w:rPr>
              <w:t>REPARTIZATE</w:t>
            </w:r>
            <w:r w:rsidRPr="00A7771A">
              <w:rPr>
                <w:rFonts w:ascii="Calibri" w:eastAsia="Times New Roman" w:hAnsi="Calibri" w:cs="Calibri"/>
                <w:color w:val="0F6FC6" w:themeColor="accent1"/>
                <w:sz w:val="16"/>
                <w:szCs w:val="16"/>
                <w:lang w:val="en-US"/>
              </w:rPr>
              <w:t xml:space="preserve"> către Bugetul de Stat din profit</w:t>
            </w:r>
          </w:p>
        </w:tc>
        <w:tc>
          <w:tcPr>
            <w:tcW w:w="2404" w:type="dxa"/>
            <w:tcBorders>
              <w:top w:val="single" w:sz="4" w:space="0" w:color="4F81BD"/>
              <w:left w:val="nil"/>
              <w:bottom w:val="single" w:sz="4" w:space="0" w:color="4F81BD"/>
              <w:right w:val="nil"/>
            </w:tcBorders>
            <w:shd w:val="clear" w:color="000000" w:fill="FFFFFF"/>
            <w:hideMark/>
          </w:tcPr>
          <w:p w14:paraId="6D7C82A1" w14:textId="77777777" w:rsidR="00A7771A" w:rsidRPr="00A7771A" w:rsidRDefault="00A7771A" w:rsidP="00A7771A">
            <w:pPr>
              <w:spacing w:before="0" w:after="0" w:line="240" w:lineRule="auto"/>
              <w:jc w:val="right"/>
              <w:rPr>
                <w:rFonts w:ascii="Calibri" w:eastAsia="Times New Roman" w:hAnsi="Calibri" w:cs="Calibri"/>
                <w:color w:val="0F6FC6" w:themeColor="accent1"/>
                <w:sz w:val="16"/>
                <w:szCs w:val="16"/>
                <w:lang w:val="en-US"/>
              </w:rPr>
            </w:pPr>
            <w:r w:rsidRPr="00A7771A">
              <w:rPr>
                <w:rFonts w:ascii="Calibri" w:eastAsia="Times New Roman" w:hAnsi="Calibri" w:cs="Calibri"/>
                <w:color w:val="0F6FC6" w:themeColor="accent1"/>
                <w:sz w:val="16"/>
                <w:szCs w:val="16"/>
                <w:lang w:val="en-US"/>
              </w:rPr>
              <w:t xml:space="preserve">Dividende / Vărsăminte </w:t>
            </w:r>
            <w:r w:rsidRPr="00A7771A">
              <w:rPr>
                <w:rFonts w:ascii="Calibri" w:eastAsia="Times New Roman" w:hAnsi="Calibri" w:cs="Calibri"/>
                <w:b/>
                <w:bCs/>
                <w:color w:val="0F6FC6" w:themeColor="accent1"/>
                <w:sz w:val="16"/>
                <w:szCs w:val="16"/>
                <w:lang w:val="en-US"/>
              </w:rPr>
              <w:t>VIRATE</w:t>
            </w:r>
            <w:r w:rsidRPr="00A7771A">
              <w:rPr>
                <w:rFonts w:ascii="Calibri" w:eastAsia="Times New Roman" w:hAnsi="Calibri" w:cs="Calibri"/>
                <w:color w:val="0F6FC6" w:themeColor="accent1"/>
                <w:sz w:val="16"/>
                <w:szCs w:val="16"/>
                <w:lang w:val="en-US"/>
              </w:rPr>
              <w:t xml:space="preserve"> la Bugetul de Stat în exercițiul financiar următor  </w:t>
            </w:r>
          </w:p>
        </w:tc>
      </w:tr>
      <w:tr w:rsidR="00A7771A" w:rsidRPr="006747E6" w14:paraId="15E54740" w14:textId="77777777" w:rsidTr="00A7771A">
        <w:trPr>
          <w:trHeight w:val="158"/>
        </w:trPr>
        <w:tc>
          <w:tcPr>
            <w:tcW w:w="2506" w:type="dxa"/>
            <w:vMerge/>
            <w:tcBorders>
              <w:top w:val="single" w:sz="4" w:space="0" w:color="4F81BD"/>
              <w:left w:val="nil"/>
              <w:bottom w:val="single" w:sz="4" w:space="0" w:color="4F81BD"/>
              <w:right w:val="nil"/>
            </w:tcBorders>
            <w:vAlign w:val="center"/>
            <w:hideMark/>
          </w:tcPr>
          <w:p w14:paraId="57B0719F" w14:textId="77777777" w:rsidR="00A7771A" w:rsidRPr="00A7771A" w:rsidRDefault="00A7771A" w:rsidP="00A06393">
            <w:pPr>
              <w:spacing w:before="0" w:after="0" w:line="240" w:lineRule="auto"/>
              <w:rPr>
                <w:rFonts w:ascii="Calibri" w:eastAsia="Times New Roman" w:hAnsi="Calibri" w:cs="Calibri"/>
                <w:color w:val="0F6FC6" w:themeColor="accent1"/>
                <w:sz w:val="16"/>
                <w:szCs w:val="16"/>
                <w:lang w:val="en-US"/>
              </w:rPr>
            </w:pPr>
          </w:p>
        </w:tc>
        <w:tc>
          <w:tcPr>
            <w:tcW w:w="607" w:type="dxa"/>
            <w:tcBorders>
              <w:top w:val="nil"/>
              <w:left w:val="nil"/>
              <w:bottom w:val="single" w:sz="4" w:space="0" w:color="4F81BD"/>
              <w:right w:val="nil"/>
            </w:tcBorders>
            <w:shd w:val="clear" w:color="000000" w:fill="FFFFFF"/>
            <w:noWrap/>
            <w:vAlign w:val="center"/>
            <w:hideMark/>
          </w:tcPr>
          <w:p w14:paraId="2703BC2D"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0</w:t>
            </w:r>
          </w:p>
        </w:tc>
        <w:tc>
          <w:tcPr>
            <w:tcW w:w="1474" w:type="dxa"/>
            <w:tcBorders>
              <w:top w:val="nil"/>
              <w:left w:val="nil"/>
              <w:bottom w:val="single" w:sz="4" w:space="0" w:color="4F81BD"/>
              <w:right w:val="nil"/>
            </w:tcBorders>
            <w:shd w:val="clear" w:color="000000" w:fill="FFFFFF"/>
            <w:noWrap/>
            <w:vAlign w:val="center"/>
            <w:hideMark/>
          </w:tcPr>
          <w:p w14:paraId="5556D4E6"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1</w:t>
            </w:r>
          </w:p>
        </w:tc>
        <w:tc>
          <w:tcPr>
            <w:tcW w:w="2189" w:type="dxa"/>
            <w:tcBorders>
              <w:top w:val="nil"/>
              <w:left w:val="nil"/>
              <w:bottom w:val="single" w:sz="4" w:space="0" w:color="4F81BD"/>
              <w:right w:val="nil"/>
            </w:tcBorders>
            <w:shd w:val="clear" w:color="000000" w:fill="FFFFFF"/>
            <w:noWrap/>
            <w:vAlign w:val="center"/>
            <w:hideMark/>
          </w:tcPr>
          <w:p w14:paraId="7F32717D"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2</w:t>
            </w:r>
          </w:p>
        </w:tc>
        <w:tc>
          <w:tcPr>
            <w:tcW w:w="2404" w:type="dxa"/>
            <w:tcBorders>
              <w:top w:val="nil"/>
              <w:left w:val="nil"/>
              <w:bottom w:val="single" w:sz="4" w:space="0" w:color="4F81BD"/>
              <w:right w:val="nil"/>
            </w:tcBorders>
            <w:shd w:val="clear" w:color="000000" w:fill="FFFFFF"/>
            <w:noWrap/>
            <w:vAlign w:val="center"/>
            <w:hideMark/>
          </w:tcPr>
          <w:p w14:paraId="4D38C4DE"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3</w:t>
            </w:r>
          </w:p>
        </w:tc>
      </w:tr>
      <w:tr w:rsidR="00A7771A" w:rsidRPr="006747E6" w14:paraId="7B060F48" w14:textId="77777777" w:rsidTr="00A7771A">
        <w:trPr>
          <w:trHeight w:val="169"/>
        </w:trPr>
        <w:tc>
          <w:tcPr>
            <w:tcW w:w="2506" w:type="dxa"/>
            <w:vMerge/>
            <w:tcBorders>
              <w:top w:val="single" w:sz="4" w:space="0" w:color="4F81BD"/>
              <w:left w:val="nil"/>
              <w:bottom w:val="single" w:sz="4" w:space="0" w:color="4F81BD"/>
              <w:right w:val="nil"/>
            </w:tcBorders>
            <w:vAlign w:val="center"/>
            <w:hideMark/>
          </w:tcPr>
          <w:p w14:paraId="17EB2A7C" w14:textId="77777777" w:rsidR="00A7771A" w:rsidRPr="00A7771A" w:rsidRDefault="00A7771A" w:rsidP="00A06393">
            <w:pPr>
              <w:spacing w:before="0" w:after="0" w:line="240" w:lineRule="auto"/>
              <w:rPr>
                <w:rFonts w:ascii="Calibri" w:eastAsia="Times New Roman" w:hAnsi="Calibri" w:cs="Calibri"/>
                <w:color w:val="0F6FC6" w:themeColor="accent1"/>
                <w:sz w:val="16"/>
                <w:szCs w:val="16"/>
                <w:lang w:val="en-US"/>
              </w:rPr>
            </w:pPr>
          </w:p>
        </w:tc>
        <w:tc>
          <w:tcPr>
            <w:tcW w:w="607" w:type="dxa"/>
            <w:tcBorders>
              <w:top w:val="nil"/>
              <w:left w:val="nil"/>
              <w:bottom w:val="single" w:sz="4" w:space="0" w:color="4F81BD"/>
              <w:right w:val="nil"/>
            </w:tcBorders>
            <w:shd w:val="clear" w:color="000000" w:fill="FFFFFF"/>
            <w:noWrap/>
            <w:vAlign w:val="center"/>
            <w:hideMark/>
          </w:tcPr>
          <w:p w14:paraId="33C98E6C"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 </w:t>
            </w:r>
          </w:p>
        </w:tc>
        <w:tc>
          <w:tcPr>
            <w:tcW w:w="1474" w:type="dxa"/>
            <w:tcBorders>
              <w:top w:val="nil"/>
              <w:left w:val="nil"/>
              <w:bottom w:val="single" w:sz="4" w:space="0" w:color="4F81BD"/>
              <w:right w:val="nil"/>
            </w:tcBorders>
            <w:shd w:val="clear" w:color="000000" w:fill="FFFFFF"/>
            <w:noWrap/>
            <w:vAlign w:val="center"/>
            <w:hideMark/>
          </w:tcPr>
          <w:p w14:paraId="566981A0"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mii lei</w:t>
            </w:r>
          </w:p>
        </w:tc>
        <w:tc>
          <w:tcPr>
            <w:tcW w:w="2189" w:type="dxa"/>
            <w:tcBorders>
              <w:top w:val="nil"/>
              <w:left w:val="nil"/>
              <w:bottom w:val="single" w:sz="4" w:space="0" w:color="4F81BD"/>
              <w:right w:val="nil"/>
            </w:tcBorders>
            <w:shd w:val="clear" w:color="000000" w:fill="FFFFFF"/>
            <w:noWrap/>
            <w:vAlign w:val="center"/>
            <w:hideMark/>
          </w:tcPr>
          <w:p w14:paraId="289EC067"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mii lei</w:t>
            </w:r>
          </w:p>
        </w:tc>
        <w:tc>
          <w:tcPr>
            <w:tcW w:w="2404" w:type="dxa"/>
            <w:tcBorders>
              <w:top w:val="nil"/>
              <w:left w:val="nil"/>
              <w:bottom w:val="single" w:sz="4" w:space="0" w:color="4F81BD"/>
              <w:right w:val="nil"/>
            </w:tcBorders>
            <w:shd w:val="clear" w:color="000000" w:fill="FFFFFF"/>
            <w:noWrap/>
            <w:vAlign w:val="center"/>
            <w:hideMark/>
          </w:tcPr>
          <w:p w14:paraId="6D47EAC2" w14:textId="77777777" w:rsidR="00A7771A" w:rsidRPr="00A7771A" w:rsidRDefault="00A7771A" w:rsidP="00A06393">
            <w:pPr>
              <w:spacing w:before="0" w:after="0" w:line="240" w:lineRule="auto"/>
              <w:jc w:val="right"/>
              <w:rPr>
                <w:rFonts w:ascii="Calibri" w:eastAsia="Times New Roman" w:hAnsi="Calibri" w:cs="Calibri"/>
                <w:color w:val="0F6FC6" w:themeColor="accent1"/>
                <w:sz w:val="14"/>
                <w:szCs w:val="14"/>
                <w:lang w:val="en-US"/>
              </w:rPr>
            </w:pPr>
            <w:r w:rsidRPr="00A7771A">
              <w:rPr>
                <w:rFonts w:ascii="Calibri" w:eastAsia="Times New Roman" w:hAnsi="Calibri" w:cs="Calibri"/>
                <w:color w:val="0F6FC6" w:themeColor="accent1"/>
                <w:sz w:val="14"/>
                <w:szCs w:val="14"/>
                <w:lang w:val="en-US"/>
              </w:rPr>
              <w:t>mii lei</w:t>
            </w:r>
          </w:p>
        </w:tc>
      </w:tr>
      <w:tr w:rsidR="00A7771A" w:rsidRPr="006747E6" w14:paraId="37CF7C65" w14:textId="77777777" w:rsidTr="00A7771A">
        <w:trPr>
          <w:trHeight w:val="225"/>
        </w:trPr>
        <w:tc>
          <w:tcPr>
            <w:tcW w:w="2506" w:type="dxa"/>
            <w:tcBorders>
              <w:top w:val="nil"/>
              <w:left w:val="nil"/>
              <w:bottom w:val="nil"/>
              <w:right w:val="nil"/>
            </w:tcBorders>
            <w:shd w:val="clear" w:color="000000" w:fill="FFFFFF"/>
            <w:noWrap/>
            <w:vAlign w:val="center"/>
            <w:hideMark/>
          </w:tcPr>
          <w:p w14:paraId="32853245"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Dividende</w:t>
            </w:r>
          </w:p>
        </w:tc>
        <w:tc>
          <w:tcPr>
            <w:tcW w:w="607" w:type="dxa"/>
            <w:tcBorders>
              <w:top w:val="nil"/>
              <w:left w:val="nil"/>
              <w:bottom w:val="nil"/>
              <w:right w:val="nil"/>
            </w:tcBorders>
            <w:shd w:val="clear" w:color="000000" w:fill="FFFFFF"/>
            <w:noWrap/>
            <w:vAlign w:val="center"/>
            <w:hideMark/>
          </w:tcPr>
          <w:p w14:paraId="3AE6574F"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2018</w:t>
            </w:r>
          </w:p>
        </w:tc>
        <w:tc>
          <w:tcPr>
            <w:tcW w:w="1474" w:type="dxa"/>
            <w:tcBorders>
              <w:top w:val="nil"/>
              <w:left w:val="nil"/>
              <w:bottom w:val="nil"/>
              <w:right w:val="nil"/>
            </w:tcBorders>
            <w:shd w:val="clear" w:color="000000" w:fill="FFFFFF"/>
            <w:noWrap/>
            <w:vAlign w:val="center"/>
            <w:hideMark/>
          </w:tcPr>
          <w:p w14:paraId="31B04E29"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5.420.078</w:t>
            </w:r>
          </w:p>
        </w:tc>
        <w:tc>
          <w:tcPr>
            <w:tcW w:w="2189" w:type="dxa"/>
            <w:tcBorders>
              <w:top w:val="nil"/>
              <w:left w:val="nil"/>
              <w:bottom w:val="nil"/>
              <w:right w:val="nil"/>
            </w:tcBorders>
            <w:shd w:val="clear" w:color="000000" w:fill="FFFFFF"/>
            <w:noWrap/>
            <w:vAlign w:val="center"/>
            <w:hideMark/>
          </w:tcPr>
          <w:p w14:paraId="53B35A47"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3.541.566</w:t>
            </w:r>
          </w:p>
        </w:tc>
        <w:tc>
          <w:tcPr>
            <w:tcW w:w="2404" w:type="dxa"/>
            <w:tcBorders>
              <w:top w:val="nil"/>
              <w:left w:val="nil"/>
              <w:bottom w:val="nil"/>
              <w:right w:val="nil"/>
            </w:tcBorders>
            <w:shd w:val="clear" w:color="000000" w:fill="FFFFFF"/>
            <w:noWrap/>
            <w:vAlign w:val="center"/>
            <w:hideMark/>
          </w:tcPr>
          <w:p w14:paraId="229B3867"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4.294.567</w:t>
            </w:r>
          </w:p>
        </w:tc>
      </w:tr>
      <w:tr w:rsidR="00A7771A" w:rsidRPr="006747E6" w14:paraId="25881BDA" w14:textId="77777777" w:rsidTr="00A7771A">
        <w:trPr>
          <w:trHeight w:val="225"/>
        </w:trPr>
        <w:tc>
          <w:tcPr>
            <w:tcW w:w="2506" w:type="dxa"/>
            <w:tcBorders>
              <w:top w:val="nil"/>
              <w:left w:val="nil"/>
              <w:bottom w:val="nil"/>
              <w:right w:val="nil"/>
            </w:tcBorders>
            <w:shd w:val="clear" w:color="000000" w:fill="FFFFFF"/>
            <w:noWrap/>
            <w:vAlign w:val="center"/>
            <w:hideMark/>
          </w:tcPr>
          <w:p w14:paraId="2DE3F247"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Vărsăminte</w:t>
            </w:r>
          </w:p>
        </w:tc>
        <w:tc>
          <w:tcPr>
            <w:tcW w:w="607" w:type="dxa"/>
            <w:tcBorders>
              <w:top w:val="nil"/>
              <w:left w:val="nil"/>
              <w:bottom w:val="nil"/>
              <w:right w:val="nil"/>
            </w:tcBorders>
            <w:shd w:val="clear" w:color="000000" w:fill="FFFFFF"/>
            <w:noWrap/>
            <w:vAlign w:val="center"/>
            <w:hideMark/>
          </w:tcPr>
          <w:p w14:paraId="1CD2617E"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2018</w:t>
            </w:r>
          </w:p>
        </w:tc>
        <w:tc>
          <w:tcPr>
            <w:tcW w:w="1474" w:type="dxa"/>
            <w:tcBorders>
              <w:top w:val="nil"/>
              <w:left w:val="nil"/>
              <w:bottom w:val="single" w:sz="4" w:space="0" w:color="4F81BD"/>
              <w:right w:val="nil"/>
            </w:tcBorders>
            <w:shd w:val="clear" w:color="000000" w:fill="FFFFFF"/>
            <w:noWrap/>
            <w:vAlign w:val="center"/>
            <w:hideMark/>
          </w:tcPr>
          <w:p w14:paraId="4DF2CE21"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348.244</w:t>
            </w:r>
          </w:p>
        </w:tc>
        <w:tc>
          <w:tcPr>
            <w:tcW w:w="2189" w:type="dxa"/>
            <w:tcBorders>
              <w:top w:val="nil"/>
              <w:left w:val="nil"/>
              <w:bottom w:val="single" w:sz="4" w:space="0" w:color="4F81BD"/>
              <w:right w:val="nil"/>
            </w:tcBorders>
            <w:shd w:val="clear" w:color="000000" w:fill="FFFFFF"/>
            <w:noWrap/>
            <w:vAlign w:val="center"/>
            <w:hideMark/>
          </w:tcPr>
          <w:p w14:paraId="76DA9A08"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336.723</w:t>
            </w:r>
          </w:p>
        </w:tc>
        <w:tc>
          <w:tcPr>
            <w:tcW w:w="2404" w:type="dxa"/>
            <w:tcBorders>
              <w:top w:val="nil"/>
              <w:left w:val="nil"/>
              <w:bottom w:val="single" w:sz="4" w:space="0" w:color="4F81BD"/>
              <w:right w:val="nil"/>
            </w:tcBorders>
            <w:shd w:val="clear" w:color="000000" w:fill="FFFFFF"/>
            <w:noWrap/>
            <w:vAlign w:val="center"/>
            <w:hideMark/>
          </w:tcPr>
          <w:p w14:paraId="3B542123"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402.207</w:t>
            </w:r>
          </w:p>
        </w:tc>
      </w:tr>
      <w:tr w:rsidR="00A7771A" w:rsidRPr="006747E6" w14:paraId="2881E05E" w14:textId="77777777" w:rsidTr="00A7771A">
        <w:trPr>
          <w:trHeight w:val="225"/>
        </w:trPr>
        <w:tc>
          <w:tcPr>
            <w:tcW w:w="2506" w:type="dxa"/>
            <w:tcBorders>
              <w:top w:val="single" w:sz="4" w:space="0" w:color="4F81BD"/>
              <w:left w:val="nil"/>
              <w:right w:val="nil"/>
            </w:tcBorders>
            <w:shd w:val="clear" w:color="000000" w:fill="FFFFFF"/>
            <w:noWrap/>
            <w:vAlign w:val="center"/>
            <w:hideMark/>
          </w:tcPr>
          <w:p w14:paraId="71A12F64"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Dividende</w:t>
            </w:r>
          </w:p>
        </w:tc>
        <w:tc>
          <w:tcPr>
            <w:tcW w:w="607" w:type="dxa"/>
            <w:tcBorders>
              <w:top w:val="single" w:sz="4" w:space="0" w:color="4F81BD"/>
              <w:left w:val="nil"/>
              <w:right w:val="nil"/>
            </w:tcBorders>
            <w:shd w:val="clear" w:color="000000" w:fill="FFFFFF"/>
            <w:noWrap/>
            <w:vAlign w:val="center"/>
            <w:hideMark/>
          </w:tcPr>
          <w:p w14:paraId="4FA40E2E"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2019</w:t>
            </w:r>
          </w:p>
        </w:tc>
        <w:tc>
          <w:tcPr>
            <w:tcW w:w="1474" w:type="dxa"/>
            <w:tcBorders>
              <w:top w:val="nil"/>
              <w:left w:val="nil"/>
              <w:right w:val="nil"/>
            </w:tcBorders>
            <w:shd w:val="clear" w:color="000000" w:fill="FFFFFF"/>
            <w:noWrap/>
            <w:vAlign w:val="center"/>
            <w:hideMark/>
          </w:tcPr>
          <w:p w14:paraId="63C0E87B"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4.768.580</w:t>
            </w:r>
          </w:p>
        </w:tc>
        <w:tc>
          <w:tcPr>
            <w:tcW w:w="2189" w:type="dxa"/>
            <w:tcBorders>
              <w:top w:val="nil"/>
              <w:left w:val="nil"/>
              <w:right w:val="nil"/>
            </w:tcBorders>
            <w:shd w:val="clear" w:color="000000" w:fill="FFFFFF"/>
            <w:noWrap/>
            <w:vAlign w:val="center"/>
            <w:hideMark/>
          </w:tcPr>
          <w:p w14:paraId="7AA3947E"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2.529.743</w:t>
            </w:r>
          </w:p>
        </w:tc>
        <w:tc>
          <w:tcPr>
            <w:tcW w:w="2404" w:type="dxa"/>
            <w:tcBorders>
              <w:top w:val="nil"/>
              <w:left w:val="nil"/>
              <w:right w:val="nil"/>
            </w:tcBorders>
            <w:shd w:val="clear" w:color="000000" w:fill="FFFFFF"/>
            <w:noWrap/>
            <w:vAlign w:val="center"/>
            <w:hideMark/>
          </w:tcPr>
          <w:p w14:paraId="70848F7F"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2.348.973</w:t>
            </w:r>
          </w:p>
        </w:tc>
      </w:tr>
      <w:tr w:rsidR="00A7771A" w:rsidRPr="006747E6" w14:paraId="58264F1E" w14:textId="77777777" w:rsidTr="00A7771A">
        <w:trPr>
          <w:trHeight w:val="225"/>
        </w:trPr>
        <w:tc>
          <w:tcPr>
            <w:tcW w:w="2506" w:type="dxa"/>
            <w:tcBorders>
              <w:top w:val="nil"/>
              <w:left w:val="nil"/>
              <w:bottom w:val="single" w:sz="4" w:space="0" w:color="0F6FC6" w:themeColor="accent1"/>
              <w:right w:val="nil"/>
            </w:tcBorders>
            <w:shd w:val="clear" w:color="000000" w:fill="FFFFFF"/>
            <w:noWrap/>
            <w:vAlign w:val="center"/>
            <w:hideMark/>
          </w:tcPr>
          <w:p w14:paraId="198938EA"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Vărsăminte</w:t>
            </w:r>
          </w:p>
        </w:tc>
        <w:tc>
          <w:tcPr>
            <w:tcW w:w="607" w:type="dxa"/>
            <w:tcBorders>
              <w:top w:val="nil"/>
              <w:left w:val="nil"/>
              <w:bottom w:val="single" w:sz="4" w:space="0" w:color="0F6FC6" w:themeColor="accent1"/>
              <w:right w:val="nil"/>
            </w:tcBorders>
            <w:shd w:val="clear" w:color="000000" w:fill="FFFFFF"/>
            <w:noWrap/>
            <w:vAlign w:val="center"/>
            <w:hideMark/>
          </w:tcPr>
          <w:p w14:paraId="4059166A"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2019</w:t>
            </w:r>
          </w:p>
        </w:tc>
        <w:tc>
          <w:tcPr>
            <w:tcW w:w="1474" w:type="dxa"/>
            <w:tcBorders>
              <w:top w:val="nil"/>
              <w:left w:val="nil"/>
              <w:bottom w:val="single" w:sz="4" w:space="0" w:color="0F6FC6" w:themeColor="accent1"/>
              <w:right w:val="nil"/>
            </w:tcBorders>
            <w:shd w:val="clear" w:color="000000" w:fill="FFFFFF"/>
            <w:noWrap/>
            <w:vAlign w:val="center"/>
            <w:hideMark/>
          </w:tcPr>
          <w:p w14:paraId="34BDBD32"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272.950</w:t>
            </w:r>
          </w:p>
        </w:tc>
        <w:tc>
          <w:tcPr>
            <w:tcW w:w="2189" w:type="dxa"/>
            <w:tcBorders>
              <w:top w:val="nil"/>
              <w:left w:val="nil"/>
              <w:bottom w:val="single" w:sz="4" w:space="0" w:color="0F6FC6" w:themeColor="accent1"/>
              <w:right w:val="nil"/>
            </w:tcBorders>
            <w:shd w:val="clear" w:color="000000" w:fill="FFFFFF"/>
            <w:noWrap/>
            <w:vAlign w:val="center"/>
            <w:hideMark/>
          </w:tcPr>
          <w:p w14:paraId="6E0FF516"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140.885</w:t>
            </w:r>
          </w:p>
        </w:tc>
        <w:tc>
          <w:tcPr>
            <w:tcW w:w="2404" w:type="dxa"/>
            <w:tcBorders>
              <w:top w:val="nil"/>
              <w:left w:val="nil"/>
              <w:bottom w:val="single" w:sz="4" w:space="0" w:color="0F6FC6" w:themeColor="accent1"/>
              <w:right w:val="nil"/>
            </w:tcBorders>
            <w:shd w:val="clear" w:color="000000" w:fill="FFFFFF"/>
            <w:noWrap/>
            <w:vAlign w:val="center"/>
            <w:hideMark/>
          </w:tcPr>
          <w:p w14:paraId="753A4998"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122.222</w:t>
            </w:r>
          </w:p>
        </w:tc>
      </w:tr>
      <w:tr w:rsidR="00A7771A" w:rsidRPr="006747E6" w14:paraId="2F5ED106" w14:textId="77777777" w:rsidTr="00A7771A">
        <w:trPr>
          <w:trHeight w:val="225"/>
        </w:trPr>
        <w:tc>
          <w:tcPr>
            <w:tcW w:w="2506" w:type="dxa"/>
            <w:tcBorders>
              <w:top w:val="single" w:sz="4" w:space="0" w:color="0F6FC6" w:themeColor="accent1"/>
              <w:left w:val="nil"/>
              <w:bottom w:val="nil"/>
              <w:right w:val="nil"/>
            </w:tcBorders>
            <w:shd w:val="clear" w:color="000000" w:fill="FFFFFF"/>
            <w:noWrap/>
            <w:vAlign w:val="center"/>
            <w:hideMark/>
          </w:tcPr>
          <w:p w14:paraId="50B61853"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Dividende</w:t>
            </w:r>
          </w:p>
        </w:tc>
        <w:tc>
          <w:tcPr>
            <w:tcW w:w="607" w:type="dxa"/>
            <w:tcBorders>
              <w:top w:val="single" w:sz="4" w:space="0" w:color="0F6FC6" w:themeColor="accent1"/>
              <w:left w:val="nil"/>
              <w:bottom w:val="nil"/>
              <w:right w:val="nil"/>
            </w:tcBorders>
            <w:shd w:val="clear" w:color="000000" w:fill="FFFFFF"/>
            <w:noWrap/>
            <w:vAlign w:val="center"/>
            <w:hideMark/>
          </w:tcPr>
          <w:p w14:paraId="74D00D9A"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2020</w:t>
            </w:r>
          </w:p>
        </w:tc>
        <w:tc>
          <w:tcPr>
            <w:tcW w:w="1474" w:type="dxa"/>
            <w:tcBorders>
              <w:top w:val="single" w:sz="4" w:space="0" w:color="0F6FC6" w:themeColor="accent1"/>
              <w:left w:val="nil"/>
              <w:bottom w:val="nil"/>
              <w:right w:val="nil"/>
            </w:tcBorders>
            <w:shd w:val="clear" w:color="000000" w:fill="FFFFFF"/>
            <w:noWrap/>
            <w:vAlign w:val="center"/>
            <w:hideMark/>
          </w:tcPr>
          <w:p w14:paraId="6CA6CAE6"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5.295.412</w:t>
            </w:r>
          </w:p>
        </w:tc>
        <w:tc>
          <w:tcPr>
            <w:tcW w:w="2189" w:type="dxa"/>
            <w:tcBorders>
              <w:top w:val="single" w:sz="4" w:space="0" w:color="0F6FC6" w:themeColor="accent1"/>
              <w:left w:val="nil"/>
              <w:bottom w:val="nil"/>
              <w:right w:val="nil"/>
            </w:tcBorders>
            <w:shd w:val="clear" w:color="000000" w:fill="FFFFFF"/>
            <w:noWrap/>
            <w:vAlign w:val="center"/>
            <w:hideMark/>
          </w:tcPr>
          <w:p w14:paraId="55C2C06E"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2.473.629</w:t>
            </w:r>
          </w:p>
        </w:tc>
        <w:tc>
          <w:tcPr>
            <w:tcW w:w="2404" w:type="dxa"/>
            <w:tcBorders>
              <w:top w:val="single" w:sz="4" w:space="0" w:color="0F6FC6" w:themeColor="accent1"/>
              <w:left w:val="nil"/>
              <w:bottom w:val="nil"/>
              <w:right w:val="nil"/>
            </w:tcBorders>
            <w:shd w:val="clear" w:color="000000" w:fill="FFFFFF"/>
            <w:noWrap/>
            <w:vAlign w:val="center"/>
            <w:hideMark/>
          </w:tcPr>
          <w:p w14:paraId="2B5D24F0"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2.473.170</w:t>
            </w:r>
          </w:p>
        </w:tc>
      </w:tr>
      <w:tr w:rsidR="00A7771A" w:rsidRPr="006747E6" w14:paraId="182BACB1" w14:textId="77777777" w:rsidTr="00A7771A">
        <w:trPr>
          <w:trHeight w:val="225"/>
        </w:trPr>
        <w:tc>
          <w:tcPr>
            <w:tcW w:w="2506" w:type="dxa"/>
            <w:tcBorders>
              <w:top w:val="nil"/>
              <w:left w:val="nil"/>
              <w:bottom w:val="nil"/>
              <w:right w:val="nil"/>
            </w:tcBorders>
            <w:shd w:val="clear" w:color="000000" w:fill="FFFFFF"/>
            <w:noWrap/>
            <w:vAlign w:val="center"/>
            <w:hideMark/>
          </w:tcPr>
          <w:p w14:paraId="638591BE"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Vărsăminte</w:t>
            </w:r>
          </w:p>
        </w:tc>
        <w:tc>
          <w:tcPr>
            <w:tcW w:w="607" w:type="dxa"/>
            <w:tcBorders>
              <w:top w:val="nil"/>
              <w:left w:val="nil"/>
              <w:bottom w:val="nil"/>
              <w:right w:val="nil"/>
            </w:tcBorders>
            <w:shd w:val="clear" w:color="000000" w:fill="FFFFFF"/>
            <w:noWrap/>
            <w:vAlign w:val="center"/>
            <w:hideMark/>
          </w:tcPr>
          <w:p w14:paraId="16351991"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2020</w:t>
            </w:r>
          </w:p>
        </w:tc>
        <w:tc>
          <w:tcPr>
            <w:tcW w:w="1474" w:type="dxa"/>
            <w:tcBorders>
              <w:top w:val="nil"/>
              <w:left w:val="nil"/>
              <w:bottom w:val="single" w:sz="4" w:space="0" w:color="4F81BD"/>
              <w:right w:val="nil"/>
            </w:tcBorders>
            <w:shd w:val="clear" w:color="000000" w:fill="FFFFFF"/>
            <w:noWrap/>
            <w:vAlign w:val="center"/>
            <w:hideMark/>
          </w:tcPr>
          <w:p w14:paraId="0E22869A"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186.099</w:t>
            </w:r>
          </w:p>
        </w:tc>
        <w:tc>
          <w:tcPr>
            <w:tcW w:w="2189" w:type="dxa"/>
            <w:tcBorders>
              <w:top w:val="nil"/>
              <w:left w:val="nil"/>
              <w:bottom w:val="single" w:sz="4" w:space="0" w:color="4F81BD"/>
              <w:right w:val="nil"/>
            </w:tcBorders>
            <w:shd w:val="clear" w:color="000000" w:fill="FFFFFF"/>
            <w:noWrap/>
            <w:vAlign w:val="center"/>
            <w:hideMark/>
          </w:tcPr>
          <w:p w14:paraId="5D927AE4"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159.997</w:t>
            </w:r>
          </w:p>
        </w:tc>
        <w:tc>
          <w:tcPr>
            <w:tcW w:w="2404" w:type="dxa"/>
            <w:tcBorders>
              <w:top w:val="nil"/>
              <w:left w:val="nil"/>
              <w:bottom w:val="single" w:sz="4" w:space="0" w:color="4F81BD"/>
              <w:right w:val="nil"/>
            </w:tcBorders>
            <w:shd w:val="clear" w:color="000000" w:fill="FFFFFF"/>
            <w:noWrap/>
            <w:vAlign w:val="center"/>
            <w:hideMark/>
          </w:tcPr>
          <w:p w14:paraId="57815877"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159.997</w:t>
            </w:r>
          </w:p>
        </w:tc>
      </w:tr>
      <w:tr w:rsidR="00A7771A" w:rsidRPr="006747E6" w14:paraId="33490468" w14:textId="77777777" w:rsidTr="00A7771A">
        <w:trPr>
          <w:trHeight w:val="225"/>
        </w:trPr>
        <w:tc>
          <w:tcPr>
            <w:tcW w:w="2506" w:type="dxa"/>
            <w:vMerge w:val="restart"/>
            <w:tcBorders>
              <w:top w:val="single" w:sz="4" w:space="0" w:color="4F81BD"/>
              <w:left w:val="nil"/>
              <w:bottom w:val="single" w:sz="4" w:space="0" w:color="4F81BD"/>
              <w:right w:val="nil"/>
            </w:tcBorders>
            <w:shd w:val="clear" w:color="000000" w:fill="FFFFFF"/>
            <w:vAlign w:val="center"/>
            <w:hideMark/>
          </w:tcPr>
          <w:p w14:paraId="5E8CC583" w14:textId="77777777" w:rsidR="00A7771A" w:rsidRPr="00A7771A" w:rsidRDefault="00A7771A" w:rsidP="00A7771A">
            <w:pPr>
              <w:spacing w:before="0" w:after="0" w:line="240" w:lineRule="auto"/>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TOTAL dividende și vărsăminte</w:t>
            </w:r>
          </w:p>
        </w:tc>
        <w:tc>
          <w:tcPr>
            <w:tcW w:w="607" w:type="dxa"/>
            <w:tcBorders>
              <w:top w:val="single" w:sz="4" w:space="0" w:color="4F81BD"/>
              <w:left w:val="nil"/>
              <w:bottom w:val="nil"/>
              <w:right w:val="nil"/>
            </w:tcBorders>
            <w:shd w:val="clear" w:color="000000" w:fill="FFFFFF"/>
            <w:noWrap/>
            <w:vAlign w:val="center"/>
            <w:hideMark/>
          </w:tcPr>
          <w:p w14:paraId="598209CE"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2018</w:t>
            </w:r>
          </w:p>
        </w:tc>
        <w:tc>
          <w:tcPr>
            <w:tcW w:w="1474" w:type="dxa"/>
            <w:tcBorders>
              <w:top w:val="nil"/>
              <w:left w:val="nil"/>
              <w:bottom w:val="nil"/>
              <w:right w:val="nil"/>
            </w:tcBorders>
            <w:shd w:val="clear" w:color="000000" w:fill="FFFFFF"/>
            <w:noWrap/>
            <w:vAlign w:val="center"/>
            <w:hideMark/>
          </w:tcPr>
          <w:p w14:paraId="6CBF0E28"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5.768.322</w:t>
            </w:r>
          </w:p>
        </w:tc>
        <w:tc>
          <w:tcPr>
            <w:tcW w:w="2189" w:type="dxa"/>
            <w:tcBorders>
              <w:top w:val="nil"/>
              <w:left w:val="nil"/>
              <w:bottom w:val="nil"/>
              <w:right w:val="nil"/>
            </w:tcBorders>
            <w:shd w:val="clear" w:color="000000" w:fill="FFFFFF"/>
            <w:noWrap/>
            <w:vAlign w:val="center"/>
            <w:hideMark/>
          </w:tcPr>
          <w:p w14:paraId="788F0B11"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3.878.289</w:t>
            </w:r>
          </w:p>
        </w:tc>
        <w:tc>
          <w:tcPr>
            <w:tcW w:w="2404" w:type="dxa"/>
            <w:tcBorders>
              <w:top w:val="nil"/>
              <w:left w:val="nil"/>
              <w:bottom w:val="nil"/>
              <w:right w:val="nil"/>
            </w:tcBorders>
            <w:shd w:val="clear" w:color="000000" w:fill="FFFFFF"/>
            <w:noWrap/>
            <w:vAlign w:val="center"/>
            <w:hideMark/>
          </w:tcPr>
          <w:p w14:paraId="22A872CE"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4.671.438</w:t>
            </w:r>
          </w:p>
        </w:tc>
      </w:tr>
      <w:tr w:rsidR="00A7771A" w:rsidRPr="006747E6" w14:paraId="3D489C9C" w14:textId="77777777" w:rsidTr="00A7771A">
        <w:trPr>
          <w:trHeight w:val="225"/>
        </w:trPr>
        <w:tc>
          <w:tcPr>
            <w:tcW w:w="2506" w:type="dxa"/>
            <w:vMerge/>
            <w:tcBorders>
              <w:top w:val="single" w:sz="4" w:space="0" w:color="4F81BD"/>
              <w:left w:val="nil"/>
              <w:bottom w:val="single" w:sz="4" w:space="0" w:color="4F81BD"/>
              <w:right w:val="nil"/>
            </w:tcBorders>
            <w:vAlign w:val="center"/>
            <w:hideMark/>
          </w:tcPr>
          <w:p w14:paraId="133ACCC5" w14:textId="77777777" w:rsidR="00A7771A" w:rsidRPr="00A7771A" w:rsidRDefault="00A7771A" w:rsidP="00A06393">
            <w:pPr>
              <w:spacing w:before="0" w:after="0" w:line="240" w:lineRule="auto"/>
              <w:rPr>
                <w:rFonts w:ascii="Calibri" w:eastAsia="Times New Roman" w:hAnsi="Calibri" w:cs="Calibri"/>
                <w:bCs/>
                <w:sz w:val="16"/>
                <w:szCs w:val="16"/>
                <w:lang w:val="en-US"/>
              </w:rPr>
            </w:pPr>
          </w:p>
        </w:tc>
        <w:tc>
          <w:tcPr>
            <w:tcW w:w="607" w:type="dxa"/>
            <w:tcBorders>
              <w:top w:val="nil"/>
              <w:left w:val="nil"/>
              <w:bottom w:val="nil"/>
              <w:right w:val="nil"/>
            </w:tcBorders>
            <w:shd w:val="clear" w:color="000000" w:fill="FFFFFF"/>
            <w:noWrap/>
            <w:vAlign w:val="center"/>
            <w:hideMark/>
          </w:tcPr>
          <w:p w14:paraId="51CE63E1"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2019</w:t>
            </w:r>
          </w:p>
        </w:tc>
        <w:tc>
          <w:tcPr>
            <w:tcW w:w="1474" w:type="dxa"/>
            <w:tcBorders>
              <w:top w:val="nil"/>
              <w:left w:val="nil"/>
              <w:bottom w:val="nil"/>
              <w:right w:val="nil"/>
            </w:tcBorders>
            <w:shd w:val="clear" w:color="000000" w:fill="FFFFFF"/>
            <w:noWrap/>
            <w:vAlign w:val="center"/>
            <w:hideMark/>
          </w:tcPr>
          <w:p w14:paraId="75DA7F0F"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5.041.530</w:t>
            </w:r>
          </w:p>
        </w:tc>
        <w:tc>
          <w:tcPr>
            <w:tcW w:w="2189" w:type="dxa"/>
            <w:tcBorders>
              <w:top w:val="nil"/>
              <w:left w:val="nil"/>
              <w:bottom w:val="nil"/>
              <w:right w:val="nil"/>
            </w:tcBorders>
            <w:shd w:val="clear" w:color="000000" w:fill="FFFFFF"/>
            <w:noWrap/>
            <w:vAlign w:val="center"/>
            <w:hideMark/>
          </w:tcPr>
          <w:p w14:paraId="5A4957DC"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2.670.628</w:t>
            </w:r>
          </w:p>
        </w:tc>
        <w:tc>
          <w:tcPr>
            <w:tcW w:w="2404" w:type="dxa"/>
            <w:tcBorders>
              <w:top w:val="nil"/>
              <w:left w:val="nil"/>
              <w:bottom w:val="nil"/>
              <w:right w:val="nil"/>
            </w:tcBorders>
            <w:shd w:val="clear" w:color="000000" w:fill="FFFFFF"/>
            <w:noWrap/>
            <w:vAlign w:val="center"/>
            <w:hideMark/>
          </w:tcPr>
          <w:p w14:paraId="4ABC850A"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2.471.195</w:t>
            </w:r>
          </w:p>
        </w:tc>
      </w:tr>
      <w:tr w:rsidR="00A7771A" w:rsidRPr="006747E6" w14:paraId="2B928B88" w14:textId="77777777" w:rsidTr="00A7771A">
        <w:trPr>
          <w:trHeight w:val="225"/>
        </w:trPr>
        <w:tc>
          <w:tcPr>
            <w:tcW w:w="2506" w:type="dxa"/>
            <w:vMerge/>
            <w:tcBorders>
              <w:top w:val="single" w:sz="4" w:space="0" w:color="4F81BD"/>
              <w:left w:val="nil"/>
              <w:bottom w:val="single" w:sz="4" w:space="0" w:color="4F81BD"/>
              <w:right w:val="nil"/>
            </w:tcBorders>
            <w:vAlign w:val="center"/>
            <w:hideMark/>
          </w:tcPr>
          <w:p w14:paraId="25ACED8E" w14:textId="77777777" w:rsidR="00A7771A" w:rsidRPr="00A7771A" w:rsidRDefault="00A7771A" w:rsidP="00A06393">
            <w:pPr>
              <w:spacing w:before="0" w:after="0" w:line="240" w:lineRule="auto"/>
              <w:rPr>
                <w:rFonts w:ascii="Calibri" w:eastAsia="Times New Roman" w:hAnsi="Calibri" w:cs="Calibri"/>
                <w:bCs/>
                <w:sz w:val="16"/>
                <w:szCs w:val="16"/>
                <w:lang w:val="en-US"/>
              </w:rPr>
            </w:pPr>
          </w:p>
        </w:tc>
        <w:tc>
          <w:tcPr>
            <w:tcW w:w="607" w:type="dxa"/>
            <w:tcBorders>
              <w:top w:val="nil"/>
              <w:left w:val="nil"/>
              <w:bottom w:val="single" w:sz="4" w:space="0" w:color="4F81BD"/>
              <w:right w:val="nil"/>
            </w:tcBorders>
            <w:shd w:val="clear" w:color="000000" w:fill="FFFFFF"/>
            <w:noWrap/>
            <w:vAlign w:val="center"/>
            <w:hideMark/>
          </w:tcPr>
          <w:p w14:paraId="7622351A"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2020</w:t>
            </w:r>
          </w:p>
        </w:tc>
        <w:tc>
          <w:tcPr>
            <w:tcW w:w="1474" w:type="dxa"/>
            <w:tcBorders>
              <w:top w:val="nil"/>
              <w:left w:val="nil"/>
              <w:bottom w:val="single" w:sz="4" w:space="0" w:color="4F81BD"/>
              <w:right w:val="nil"/>
            </w:tcBorders>
            <w:shd w:val="clear" w:color="000000" w:fill="FFFFFF"/>
            <w:noWrap/>
            <w:vAlign w:val="center"/>
            <w:hideMark/>
          </w:tcPr>
          <w:p w14:paraId="195C2274"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5.481.511</w:t>
            </w:r>
          </w:p>
        </w:tc>
        <w:tc>
          <w:tcPr>
            <w:tcW w:w="2189" w:type="dxa"/>
            <w:tcBorders>
              <w:top w:val="nil"/>
              <w:left w:val="nil"/>
              <w:bottom w:val="single" w:sz="4" w:space="0" w:color="4F81BD"/>
              <w:right w:val="nil"/>
            </w:tcBorders>
            <w:shd w:val="clear" w:color="000000" w:fill="FFFFFF"/>
            <w:noWrap/>
            <w:vAlign w:val="center"/>
            <w:hideMark/>
          </w:tcPr>
          <w:p w14:paraId="7EA2874A"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2.633.626</w:t>
            </w:r>
          </w:p>
        </w:tc>
        <w:tc>
          <w:tcPr>
            <w:tcW w:w="2404" w:type="dxa"/>
            <w:tcBorders>
              <w:top w:val="nil"/>
              <w:left w:val="nil"/>
              <w:bottom w:val="single" w:sz="4" w:space="0" w:color="4F81BD"/>
              <w:right w:val="nil"/>
            </w:tcBorders>
            <w:shd w:val="clear" w:color="000000" w:fill="FFFFFF"/>
            <w:noWrap/>
            <w:vAlign w:val="center"/>
            <w:hideMark/>
          </w:tcPr>
          <w:p w14:paraId="3C2D2934"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2.633.167</w:t>
            </w:r>
          </w:p>
        </w:tc>
      </w:tr>
      <w:tr w:rsidR="00A7771A" w:rsidRPr="006747E6" w14:paraId="19236F38" w14:textId="77777777" w:rsidTr="00A7771A">
        <w:trPr>
          <w:trHeight w:val="225"/>
        </w:trPr>
        <w:tc>
          <w:tcPr>
            <w:tcW w:w="2506" w:type="dxa"/>
            <w:tcBorders>
              <w:top w:val="nil"/>
              <w:left w:val="nil"/>
              <w:bottom w:val="single" w:sz="4" w:space="0" w:color="4F81BD"/>
              <w:right w:val="nil"/>
            </w:tcBorders>
            <w:shd w:val="clear" w:color="000000" w:fill="FFFFFF"/>
            <w:noWrap/>
            <w:vAlign w:val="center"/>
            <w:hideMark/>
          </w:tcPr>
          <w:p w14:paraId="2FFF9981" w14:textId="77777777" w:rsidR="00A7771A" w:rsidRPr="00A7771A" w:rsidRDefault="00A7771A" w:rsidP="00A06393">
            <w:pPr>
              <w:spacing w:before="0" w:after="0" w:line="240" w:lineRule="auto"/>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Diferență 2020-2019</w:t>
            </w:r>
          </w:p>
        </w:tc>
        <w:tc>
          <w:tcPr>
            <w:tcW w:w="607" w:type="dxa"/>
            <w:tcBorders>
              <w:top w:val="nil"/>
              <w:left w:val="nil"/>
              <w:bottom w:val="single" w:sz="4" w:space="0" w:color="4F81BD"/>
              <w:right w:val="nil"/>
            </w:tcBorders>
            <w:shd w:val="clear" w:color="000000" w:fill="FFFFFF"/>
            <w:noWrap/>
            <w:vAlign w:val="center"/>
            <w:hideMark/>
          </w:tcPr>
          <w:p w14:paraId="7BB0AD12"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 </w:t>
            </w:r>
          </w:p>
        </w:tc>
        <w:tc>
          <w:tcPr>
            <w:tcW w:w="1474" w:type="dxa"/>
            <w:tcBorders>
              <w:top w:val="nil"/>
              <w:left w:val="nil"/>
              <w:bottom w:val="single" w:sz="4" w:space="0" w:color="4F81BD"/>
              <w:right w:val="nil"/>
            </w:tcBorders>
            <w:shd w:val="clear" w:color="000000" w:fill="FFFFFF"/>
            <w:noWrap/>
            <w:vAlign w:val="center"/>
            <w:hideMark/>
          </w:tcPr>
          <w:p w14:paraId="43EC891E"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439.982</w:t>
            </w:r>
          </w:p>
        </w:tc>
        <w:tc>
          <w:tcPr>
            <w:tcW w:w="2189" w:type="dxa"/>
            <w:tcBorders>
              <w:top w:val="nil"/>
              <w:left w:val="nil"/>
              <w:bottom w:val="single" w:sz="4" w:space="0" w:color="4F81BD"/>
              <w:right w:val="nil"/>
            </w:tcBorders>
            <w:shd w:val="clear" w:color="000000" w:fill="FFFFFF"/>
            <w:noWrap/>
            <w:vAlign w:val="center"/>
            <w:hideMark/>
          </w:tcPr>
          <w:p w14:paraId="64552E38"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-37.002</w:t>
            </w:r>
          </w:p>
        </w:tc>
        <w:tc>
          <w:tcPr>
            <w:tcW w:w="2404" w:type="dxa"/>
            <w:tcBorders>
              <w:top w:val="nil"/>
              <w:left w:val="nil"/>
              <w:bottom w:val="single" w:sz="4" w:space="0" w:color="4F81BD"/>
              <w:right w:val="nil"/>
            </w:tcBorders>
            <w:shd w:val="clear" w:color="000000" w:fill="FFFFFF"/>
            <w:noWrap/>
            <w:vAlign w:val="center"/>
            <w:hideMark/>
          </w:tcPr>
          <w:p w14:paraId="32DB10E2" w14:textId="77777777" w:rsidR="00A7771A" w:rsidRPr="00A7771A" w:rsidRDefault="00A7771A" w:rsidP="00A06393">
            <w:pPr>
              <w:spacing w:before="0" w:after="0" w:line="240" w:lineRule="auto"/>
              <w:jc w:val="right"/>
              <w:rPr>
                <w:rFonts w:ascii="Calibri" w:eastAsia="Times New Roman" w:hAnsi="Calibri" w:cs="Calibri"/>
                <w:bCs/>
                <w:sz w:val="16"/>
                <w:szCs w:val="16"/>
                <w:lang w:val="en-US"/>
              </w:rPr>
            </w:pPr>
            <w:r w:rsidRPr="00A7771A">
              <w:rPr>
                <w:rFonts w:ascii="Calibri" w:eastAsia="Times New Roman" w:hAnsi="Calibri" w:cs="Calibri"/>
                <w:bCs/>
                <w:sz w:val="16"/>
                <w:szCs w:val="16"/>
                <w:lang w:val="en-US"/>
              </w:rPr>
              <w:t>161.972</w:t>
            </w:r>
          </w:p>
        </w:tc>
      </w:tr>
    </w:tbl>
    <w:p w14:paraId="7F6E64E6" w14:textId="77777777" w:rsidR="00E045A4" w:rsidRDefault="00E045A4" w:rsidP="00A7771A">
      <w:pPr>
        <w:spacing w:before="120" w:after="120"/>
        <w:jc w:val="both"/>
        <w:rPr>
          <w:rFonts w:asciiTheme="majorHAnsi" w:hAnsiTheme="majorHAnsi" w:cstheme="majorBidi"/>
        </w:rPr>
      </w:pPr>
    </w:p>
    <w:p w14:paraId="4921B62D" w14:textId="77777777" w:rsidR="00A7771A" w:rsidRPr="00A7771A" w:rsidRDefault="00A7771A" w:rsidP="00A7771A">
      <w:pPr>
        <w:spacing w:before="120" w:after="120"/>
        <w:jc w:val="both"/>
        <w:rPr>
          <w:rFonts w:asciiTheme="majorHAnsi" w:hAnsiTheme="majorHAnsi" w:cstheme="majorBidi"/>
        </w:rPr>
      </w:pPr>
      <w:r w:rsidRPr="00A7771A">
        <w:rPr>
          <w:rFonts w:asciiTheme="majorHAnsi" w:hAnsiTheme="majorHAnsi" w:cstheme="majorBidi"/>
        </w:rPr>
        <w:t xml:space="preserve">Dintre cele 108 ÎPC active care au obținut </w:t>
      </w:r>
      <w:r w:rsidRPr="00A7771A">
        <w:rPr>
          <w:rFonts w:asciiTheme="majorHAnsi" w:hAnsiTheme="majorHAnsi" w:cstheme="majorBidi"/>
          <w:b/>
        </w:rPr>
        <w:t>profit</w:t>
      </w:r>
      <w:r w:rsidRPr="00A7771A">
        <w:rPr>
          <w:rFonts w:asciiTheme="majorHAnsi" w:hAnsiTheme="majorHAnsi" w:cstheme="majorBidi"/>
        </w:rPr>
        <w:t xml:space="preserve"> </w:t>
      </w:r>
      <w:r w:rsidRPr="00A7771A">
        <w:rPr>
          <w:rFonts w:asciiTheme="majorHAnsi" w:hAnsiTheme="majorHAnsi" w:cstheme="majorBidi"/>
          <w:b/>
        </w:rPr>
        <w:t>net</w:t>
      </w:r>
      <w:r w:rsidRPr="00A7771A">
        <w:rPr>
          <w:rFonts w:asciiTheme="majorHAnsi" w:hAnsiTheme="majorHAnsi" w:cstheme="majorBidi"/>
        </w:rPr>
        <w:t xml:space="preserve"> în anul 2020, doar 32 de ÎPC </w:t>
      </w:r>
      <w:r w:rsidRPr="00A7771A">
        <w:rPr>
          <w:rFonts w:asciiTheme="majorHAnsi" w:hAnsiTheme="majorHAnsi" w:cstheme="majorBidi"/>
          <w:b/>
        </w:rPr>
        <w:t>au</w:t>
      </w:r>
      <w:r w:rsidRPr="00A7771A">
        <w:rPr>
          <w:rFonts w:asciiTheme="majorHAnsi" w:hAnsiTheme="majorHAnsi" w:cstheme="majorBidi"/>
        </w:rPr>
        <w:t xml:space="preserve"> </w:t>
      </w:r>
      <w:r w:rsidRPr="00A7771A">
        <w:rPr>
          <w:rFonts w:asciiTheme="majorHAnsi" w:hAnsiTheme="majorHAnsi" w:cstheme="majorBidi"/>
          <w:b/>
        </w:rPr>
        <w:t>repartizat</w:t>
      </w:r>
      <w:r w:rsidRPr="00A7771A">
        <w:rPr>
          <w:rFonts w:asciiTheme="majorHAnsi" w:hAnsiTheme="majorHAnsi" w:cstheme="majorBidi"/>
        </w:rPr>
        <w:t xml:space="preserve"> dividende/vărsăminte </w:t>
      </w:r>
      <w:r w:rsidRPr="00A7771A">
        <w:rPr>
          <w:rFonts w:asciiTheme="majorHAnsi" w:hAnsiTheme="majorHAnsi" w:cstheme="majorBidi"/>
          <w:b/>
        </w:rPr>
        <w:t>cuvenite Bugetului de Stat</w:t>
      </w:r>
      <w:r w:rsidRPr="00A7771A">
        <w:rPr>
          <w:rFonts w:asciiTheme="majorHAnsi" w:hAnsiTheme="majorHAnsi" w:cstheme="majorBidi"/>
        </w:rPr>
        <w:t xml:space="preserve"> în </w:t>
      </w:r>
      <w:r w:rsidRPr="00A7771A">
        <w:rPr>
          <w:rFonts w:asciiTheme="majorHAnsi" w:hAnsiTheme="majorHAnsi" w:cstheme="majorBidi"/>
          <w:b/>
          <w:bCs/>
        </w:rPr>
        <w:t>valoare</w:t>
      </w:r>
      <w:r w:rsidRPr="00A7771A">
        <w:rPr>
          <w:rFonts w:asciiTheme="majorHAnsi" w:hAnsiTheme="majorHAnsi" w:cstheme="majorBidi"/>
        </w:rPr>
        <w:t xml:space="preserve"> </w:t>
      </w:r>
      <w:r w:rsidRPr="00A7771A">
        <w:rPr>
          <w:rFonts w:asciiTheme="majorHAnsi" w:hAnsiTheme="majorHAnsi" w:cstheme="majorBidi"/>
          <w:b/>
          <w:bCs/>
        </w:rPr>
        <w:t>totală de 2.633.626 mii lei</w:t>
      </w:r>
      <w:r w:rsidRPr="00A7771A">
        <w:rPr>
          <w:rFonts w:asciiTheme="majorHAnsi" w:hAnsiTheme="majorHAnsi" w:cstheme="majorBidi"/>
        </w:rPr>
        <w:t>, conform tabelului.</w:t>
      </w:r>
    </w:p>
    <w:p w14:paraId="2D56C878" w14:textId="77777777" w:rsidR="00A7771A" w:rsidRPr="00A7771A" w:rsidRDefault="00A7771A" w:rsidP="00A7771A">
      <w:pPr>
        <w:spacing w:before="120" w:after="120"/>
        <w:ind w:right="-144"/>
        <w:jc w:val="both"/>
        <w:rPr>
          <w:rFonts w:asciiTheme="majorHAnsi" w:hAnsiTheme="majorHAnsi" w:cstheme="majorBidi"/>
          <w:highlight w:val="yellow"/>
        </w:rPr>
      </w:pPr>
      <w:r w:rsidRPr="00A7771A">
        <w:rPr>
          <w:rFonts w:asciiTheme="majorHAnsi" w:hAnsiTheme="majorHAnsi" w:cstheme="majorBidi"/>
          <w:b/>
        </w:rPr>
        <w:t>Profitul net</w:t>
      </w:r>
      <w:r w:rsidRPr="00A7771A">
        <w:rPr>
          <w:rFonts w:asciiTheme="majorHAnsi" w:hAnsiTheme="majorHAnsi" w:cstheme="majorBidi"/>
        </w:rPr>
        <w:t xml:space="preserve"> cumulat obținut de cele 32 de ÎPC în anul </w:t>
      </w:r>
      <w:r w:rsidR="00D4731E" w:rsidRPr="00A7771A">
        <w:rPr>
          <w:rFonts w:asciiTheme="majorHAnsi" w:hAnsiTheme="majorHAnsi" w:cstheme="majorBidi"/>
        </w:rPr>
        <w:t>20</w:t>
      </w:r>
      <w:r w:rsidR="00D4731E">
        <w:rPr>
          <w:rFonts w:asciiTheme="majorHAnsi" w:hAnsiTheme="majorHAnsi" w:cstheme="majorBidi"/>
        </w:rPr>
        <w:t>20</w:t>
      </w:r>
      <w:r w:rsidRPr="00A7771A">
        <w:rPr>
          <w:rFonts w:asciiTheme="majorHAnsi" w:hAnsiTheme="majorHAnsi" w:cstheme="majorBidi"/>
        </w:rPr>
        <w:t xml:space="preserve">, în sumă de </w:t>
      </w:r>
      <w:r w:rsidRPr="00A7771A">
        <w:rPr>
          <w:rFonts w:asciiTheme="majorHAnsi" w:hAnsiTheme="majorHAnsi" w:cstheme="majorBidi"/>
          <w:b/>
          <w:bCs/>
        </w:rPr>
        <w:t>5.481.511 mii</w:t>
      </w:r>
      <w:r w:rsidRPr="00A7771A">
        <w:rPr>
          <w:rFonts w:asciiTheme="majorHAnsi" w:hAnsiTheme="majorHAnsi" w:cstheme="majorBidi"/>
          <w:b/>
        </w:rPr>
        <w:t xml:space="preserve"> lei</w:t>
      </w:r>
      <w:r w:rsidRPr="00A7771A">
        <w:rPr>
          <w:rFonts w:asciiTheme="majorHAnsi" w:hAnsiTheme="majorHAnsi" w:cstheme="majorBidi"/>
        </w:rPr>
        <w:t xml:space="preserve">, a fost în creștere față de anul 2019 cu suma de </w:t>
      </w:r>
      <w:r w:rsidRPr="00A7771A">
        <w:rPr>
          <w:rFonts w:asciiTheme="majorHAnsi" w:hAnsiTheme="majorHAnsi" w:cstheme="majorBidi"/>
          <w:b/>
          <w:bCs/>
        </w:rPr>
        <w:t>439.982 mii lei</w:t>
      </w:r>
      <w:r w:rsidRPr="00A7771A">
        <w:rPr>
          <w:rFonts w:asciiTheme="majorHAnsi" w:hAnsiTheme="majorHAnsi" w:cstheme="majorBidi"/>
        </w:rPr>
        <w:t xml:space="preserve">. </w:t>
      </w:r>
      <w:r w:rsidRPr="00A7771A">
        <w:rPr>
          <w:rFonts w:asciiTheme="majorHAnsi" w:hAnsiTheme="majorHAnsi" w:cstheme="majorBidi"/>
          <w:b/>
        </w:rPr>
        <w:t>Dividendele și vărsămintele repartizate</w:t>
      </w:r>
      <w:r w:rsidRPr="00A7771A">
        <w:rPr>
          <w:rFonts w:asciiTheme="majorHAnsi" w:hAnsiTheme="majorHAnsi" w:cstheme="majorBidi"/>
        </w:rPr>
        <w:t xml:space="preserve"> bugetului de stat de către ÎPC active au fost în sumă de </w:t>
      </w:r>
      <w:r w:rsidRPr="00A7771A">
        <w:rPr>
          <w:rFonts w:asciiTheme="majorHAnsi" w:hAnsiTheme="majorHAnsi" w:cstheme="majorBidi"/>
          <w:b/>
          <w:bCs/>
        </w:rPr>
        <w:t>2.633.626 mii</w:t>
      </w:r>
      <w:r w:rsidRPr="00A7771A">
        <w:rPr>
          <w:rFonts w:asciiTheme="majorHAnsi" w:hAnsiTheme="majorHAnsi" w:cstheme="majorBidi"/>
          <w:b/>
        </w:rPr>
        <w:t xml:space="preserve"> lei, </w:t>
      </w:r>
      <w:r w:rsidRPr="00A7771A">
        <w:rPr>
          <w:rFonts w:asciiTheme="majorHAnsi" w:hAnsiTheme="majorHAnsi" w:cstheme="majorBidi"/>
        </w:rPr>
        <w:t xml:space="preserve"> cu suma de </w:t>
      </w:r>
      <w:r w:rsidRPr="00A7771A">
        <w:rPr>
          <w:rFonts w:asciiTheme="majorHAnsi" w:hAnsiTheme="majorHAnsi" w:cstheme="majorBidi"/>
          <w:b/>
          <w:bCs/>
        </w:rPr>
        <w:t>37.002 mii</w:t>
      </w:r>
      <w:r w:rsidRPr="00A7771A">
        <w:rPr>
          <w:rFonts w:asciiTheme="majorHAnsi" w:hAnsiTheme="majorHAnsi" w:cstheme="majorBidi"/>
          <w:b/>
        </w:rPr>
        <w:t xml:space="preserve"> lei</w:t>
      </w:r>
      <w:r w:rsidRPr="00A7771A">
        <w:rPr>
          <w:rFonts w:asciiTheme="majorHAnsi" w:hAnsiTheme="majorHAnsi" w:cstheme="majorBidi"/>
        </w:rPr>
        <w:t xml:space="preserve"> mai mici față de anul 2019, datorate modului de repartizare a profitului net în acest an.</w:t>
      </w:r>
    </w:p>
    <w:p w14:paraId="7555818D" w14:textId="77777777" w:rsidR="00A7771A" w:rsidRPr="00A7771A" w:rsidRDefault="00A7771A" w:rsidP="00A7771A">
      <w:pPr>
        <w:jc w:val="both"/>
        <w:rPr>
          <w:rFonts w:asciiTheme="majorHAnsi" w:hAnsiTheme="majorHAnsi" w:cstheme="majorBidi"/>
        </w:rPr>
      </w:pPr>
      <w:r w:rsidRPr="00A7771A">
        <w:rPr>
          <w:rFonts w:asciiTheme="majorHAnsi" w:hAnsiTheme="majorHAnsi" w:cstheme="majorBidi"/>
        </w:rPr>
        <w:t xml:space="preserve">Deși 78 ÎPC au înregistrat profit net la finele anului 2020, ele nu au repartizat dividende/vărsăminte, întrucât, în majoritatea cazurilor, profitul net obținut a fost utilizat pentru acoperirea pierderilor contabile din anii precedenți. </w:t>
      </w:r>
    </w:p>
    <w:p w14:paraId="6C57F5E1" w14:textId="77777777" w:rsidR="00A7771A" w:rsidRDefault="00A7771A" w:rsidP="00A7771A">
      <w:pPr>
        <w:jc w:val="both"/>
        <w:rPr>
          <w:rFonts w:asciiTheme="majorHAnsi" w:hAnsiTheme="majorHAnsi" w:cstheme="majorBidi"/>
        </w:rPr>
      </w:pPr>
      <w:r w:rsidRPr="00A7771A">
        <w:rPr>
          <w:rFonts w:asciiTheme="majorHAnsi" w:hAnsiTheme="majorHAnsi" w:cstheme="majorBidi"/>
        </w:rPr>
        <w:t xml:space="preserve">Din totalul sumelor </w:t>
      </w:r>
      <w:r w:rsidRPr="00A7771A">
        <w:rPr>
          <w:rFonts w:asciiTheme="majorHAnsi" w:hAnsiTheme="majorHAnsi" w:cstheme="majorBidi"/>
          <w:b/>
        </w:rPr>
        <w:t>repartizate</w:t>
      </w:r>
      <w:r w:rsidRPr="00A7771A">
        <w:rPr>
          <w:rFonts w:asciiTheme="majorHAnsi" w:hAnsiTheme="majorHAnsi" w:cstheme="majorBidi"/>
        </w:rPr>
        <w:t xml:space="preserve"> la bugetul de stat, 93,92% reprezintă dividende ale societăților și companiilor, iar 6,08% reprezintă vărsăminte ale regiilor autonome, ponderi similare celor din anul 2019. </w:t>
      </w:r>
    </w:p>
    <w:p w14:paraId="14C7A179" w14:textId="314F3FD9" w:rsidR="00B06C32" w:rsidRDefault="00B06C32" w:rsidP="00A7771A">
      <w:pPr>
        <w:jc w:val="both"/>
        <w:rPr>
          <w:rFonts w:asciiTheme="majorHAnsi" w:hAnsiTheme="majorHAnsi" w:cstheme="majorBidi"/>
        </w:rPr>
      </w:pPr>
    </w:p>
    <w:p w14:paraId="36BC81DE" w14:textId="77777777" w:rsidR="00A7771A" w:rsidRPr="00A7771A" w:rsidRDefault="00A7771A" w:rsidP="00A7771A">
      <w:pPr>
        <w:jc w:val="both"/>
        <w:rPr>
          <w:rFonts w:asciiTheme="majorHAnsi" w:hAnsiTheme="majorHAnsi" w:cstheme="majorBidi"/>
        </w:rPr>
      </w:pPr>
      <w:r>
        <w:rPr>
          <w:rFonts w:ascii="Calibri Light" w:eastAsia="Times New Roman" w:hAnsi="Calibri Light" w:cs="Calibri Light"/>
          <w:lang w:val="en-US"/>
        </w:rPr>
        <w:t xml:space="preserve">TABEL - </w:t>
      </w:r>
      <w:r w:rsidRPr="00A7771A">
        <w:rPr>
          <w:rFonts w:ascii="Calibri Light" w:eastAsia="Times New Roman" w:hAnsi="Calibri Light" w:cs="Calibri Light"/>
          <w:lang w:val="en-US"/>
        </w:rPr>
        <w:t xml:space="preserve">Structura dividendelor/vărsămintelor repartizate bugetului de stat din profitul realizat în anul 2020 de </w:t>
      </w:r>
      <w:proofErr w:type="gramStart"/>
      <w:r w:rsidRPr="00A7771A">
        <w:rPr>
          <w:rFonts w:ascii="Calibri Light" w:eastAsia="Times New Roman" w:hAnsi="Calibri Light" w:cs="Calibri Light"/>
          <w:lang w:val="en-US"/>
        </w:rPr>
        <w:t>ÎPC  în</w:t>
      </w:r>
      <w:proofErr w:type="gramEnd"/>
      <w:r w:rsidRPr="00A7771A">
        <w:rPr>
          <w:rFonts w:ascii="Calibri Light" w:eastAsia="Times New Roman" w:hAnsi="Calibri Light" w:cs="Calibri Light"/>
          <w:lang w:val="en-US"/>
        </w:rPr>
        <w:t xml:space="preserve"> funcție de sectoarele de activitate din economia națională în care ÎPC își desfășoară activitatea</w:t>
      </w:r>
    </w:p>
    <w:tbl>
      <w:tblPr>
        <w:tblW w:w="9202" w:type="dxa"/>
        <w:tblInd w:w="108" w:type="dxa"/>
        <w:tblLook w:val="04A0" w:firstRow="1" w:lastRow="0" w:firstColumn="1" w:lastColumn="0" w:noHBand="0" w:noVBand="1"/>
      </w:tblPr>
      <w:tblGrid>
        <w:gridCol w:w="1019"/>
        <w:gridCol w:w="3641"/>
        <w:gridCol w:w="4542"/>
      </w:tblGrid>
      <w:tr w:rsidR="00A7771A" w:rsidRPr="00D22E83" w14:paraId="4990D96E" w14:textId="77777777" w:rsidTr="00A7771A">
        <w:trPr>
          <w:trHeight w:val="580"/>
        </w:trPr>
        <w:tc>
          <w:tcPr>
            <w:tcW w:w="1019" w:type="dxa"/>
            <w:vMerge w:val="restart"/>
            <w:tcBorders>
              <w:top w:val="single" w:sz="4" w:space="0" w:color="009DD9" w:themeColor="accent2"/>
              <w:left w:val="single" w:sz="4" w:space="0" w:color="FFFFFF"/>
              <w:bottom w:val="single" w:sz="4" w:space="0" w:color="95B3D7"/>
              <w:right w:val="single" w:sz="4" w:space="0" w:color="FFFFFF"/>
            </w:tcBorders>
            <w:shd w:val="clear" w:color="000000" w:fill="FFFFFF"/>
            <w:hideMark/>
          </w:tcPr>
          <w:p w14:paraId="78CEEE5F" w14:textId="77777777" w:rsidR="00A7771A" w:rsidRPr="00D22E83" w:rsidRDefault="00A7771A" w:rsidP="00A7771A">
            <w:pPr>
              <w:spacing w:before="0" w:after="0" w:line="240" w:lineRule="auto"/>
              <w:rPr>
                <w:rFonts w:ascii="Calibri" w:eastAsia="Times New Roman" w:hAnsi="Calibri" w:cs="Calibri"/>
                <w:color w:val="538DD5"/>
                <w:sz w:val="16"/>
                <w:szCs w:val="16"/>
                <w:lang w:val="en-US"/>
              </w:rPr>
            </w:pPr>
            <w:r w:rsidRPr="00D22E83">
              <w:rPr>
                <w:rFonts w:ascii="Calibri" w:eastAsia="Times New Roman" w:hAnsi="Calibri" w:cs="Calibri"/>
                <w:color w:val="538DD5"/>
                <w:sz w:val="16"/>
                <w:szCs w:val="16"/>
                <w:lang w:val="en-US"/>
              </w:rPr>
              <w:t>Nr. crt.</w:t>
            </w:r>
          </w:p>
        </w:tc>
        <w:tc>
          <w:tcPr>
            <w:tcW w:w="3641" w:type="dxa"/>
            <w:vMerge w:val="restart"/>
            <w:tcBorders>
              <w:top w:val="single" w:sz="4" w:space="0" w:color="009DD9" w:themeColor="accent2"/>
              <w:left w:val="single" w:sz="4" w:space="0" w:color="FFFFFF"/>
              <w:bottom w:val="single" w:sz="4" w:space="0" w:color="95B3D7"/>
              <w:right w:val="single" w:sz="4" w:space="0" w:color="FFFFFF"/>
            </w:tcBorders>
            <w:shd w:val="clear" w:color="000000" w:fill="FFFFFF"/>
            <w:hideMark/>
          </w:tcPr>
          <w:p w14:paraId="359BB2B7" w14:textId="77777777" w:rsidR="00A7771A" w:rsidRPr="00D22E83" w:rsidRDefault="00A7771A" w:rsidP="00A7771A">
            <w:pPr>
              <w:spacing w:before="0" w:after="0" w:line="240" w:lineRule="auto"/>
              <w:rPr>
                <w:rFonts w:ascii="Calibri" w:eastAsia="Times New Roman" w:hAnsi="Calibri" w:cs="Calibri"/>
                <w:color w:val="538DD5"/>
                <w:sz w:val="16"/>
                <w:szCs w:val="16"/>
                <w:lang w:val="en-US"/>
              </w:rPr>
            </w:pPr>
            <w:r w:rsidRPr="00D22E83">
              <w:rPr>
                <w:rFonts w:ascii="Calibri" w:eastAsia="Times New Roman" w:hAnsi="Calibri" w:cs="Calibri"/>
                <w:color w:val="538DD5"/>
                <w:sz w:val="16"/>
                <w:szCs w:val="16"/>
                <w:lang w:val="en-US"/>
              </w:rPr>
              <w:t>Diviziune CAEN</w:t>
            </w:r>
          </w:p>
        </w:tc>
        <w:tc>
          <w:tcPr>
            <w:tcW w:w="4542" w:type="dxa"/>
            <w:tcBorders>
              <w:top w:val="single" w:sz="4" w:space="0" w:color="009DD9" w:themeColor="accent2"/>
              <w:left w:val="nil"/>
              <w:bottom w:val="single" w:sz="4" w:space="0" w:color="95B3D7"/>
              <w:right w:val="single" w:sz="4" w:space="0" w:color="FFFFFF"/>
            </w:tcBorders>
            <w:shd w:val="clear" w:color="000000" w:fill="FFFFFF"/>
            <w:hideMark/>
          </w:tcPr>
          <w:p w14:paraId="3123E83A" w14:textId="77777777" w:rsidR="00A7771A" w:rsidRPr="00D22E83" w:rsidRDefault="00A7771A" w:rsidP="00A06393">
            <w:pPr>
              <w:spacing w:before="0" w:after="0" w:line="240" w:lineRule="auto"/>
              <w:jc w:val="right"/>
              <w:rPr>
                <w:rFonts w:ascii="Calibri" w:eastAsia="Times New Roman" w:hAnsi="Calibri" w:cs="Calibri"/>
                <w:color w:val="538DD5"/>
                <w:sz w:val="16"/>
                <w:szCs w:val="16"/>
                <w:lang w:val="en-US"/>
              </w:rPr>
            </w:pPr>
            <w:r w:rsidRPr="00D22E83">
              <w:rPr>
                <w:rFonts w:ascii="Calibri" w:eastAsia="Times New Roman" w:hAnsi="Calibri" w:cs="Calibri"/>
                <w:color w:val="538DD5"/>
                <w:sz w:val="16"/>
                <w:szCs w:val="16"/>
                <w:lang w:val="en-US"/>
              </w:rPr>
              <w:t>Total dividende/vărsăminte repartizate bugetului de stat din profitul anului 2020</w:t>
            </w:r>
          </w:p>
        </w:tc>
      </w:tr>
      <w:tr w:rsidR="00A7771A" w:rsidRPr="00D22E83" w14:paraId="5EB56F06" w14:textId="77777777" w:rsidTr="00A7771A">
        <w:trPr>
          <w:trHeight w:val="242"/>
        </w:trPr>
        <w:tc>
          <w:tcPr>
            <w:tcW w:w="1019" w:type="dxa"/>
            <w:vMerge/>
            <w:tcBorders>
              <w:top w:val="nil"/>
              <w:left w:val="single" w:sz="4" w:space="0" w:color="FFFFFF"/>
              <w:bottom w:val="single" w:sz="4" w:space="0" w:color="95B3D7"/>
              <w:right w:val="single" w:sz="4" w:space="0" w:color="FFFFFF"/>
            </w:tcBorders>
            <w:hideMark/>
          </w:tcPr>
          <w:p w14:paraId="54F21B10" w14:textId="77777777" w:rsidR="00A7771A" w:rsidRPr="00D22E83" w:rsidRDefault="00A7771A" w:rsidP="00A7771A">
            <w:pPr>
              <w:spacing w:before="0" w:after="0" w:line="240" w:lineRule="auto"/>
              <w:rPr>
                <w:rFonts w:ascii="Calibri" w:eastAsia="Times New Roman" w:hAnsi="Calibri" w:cs="Calibri"/>
                <w:color w:val="538DD5"/>
                <w:sz w:val="16"/>
                <w:szCs w:val="16"/>
                <w:lang w:val="en-US"/>
              </w:rPr>
            </w:pPr>
          </w:p>
        </w:tc>
        <w:tc>
          <w:tcPr>
            <w:tcW w:w="3641" w:type="dxa"/>
            <w:vMerge/>
            <w:tcBorders>
              <w:top w:val="nil"/>
              <w:left w:val="single" w:sz="4" w:space="0" w:color="FFFFFF"/>
              <w:bottom w:val="single" w:sz="4" w:space="0" w:color="95B3D7"/>
              <w:right w:val="single" w:sz="4" w:space="0" w:color="FFFFFF"/>
            </w:tcBorders>
            <w:vAlign w:val="center"/>
            <w:hideMark/>
          </w:tcPr>
          <w:p w14:paraId="6705274D" w14:textId="77777777" w:rsidR="00A7771A" w:rsidRPr="00D22E83" w:rsidRDefault="00A7771A" w:rsidP="00A06393">
            <w:pPr>
              <w:spacing w:before="0" w:after="0" w:line="240" w:lineRule="auto"/>
              <w:rPr>
                <w:rFonts w:ascii="Calibri" w:eastAsia="Times New Roman" w:hAnsi="Calibri" w:cs="Calibri"/>
                <w:color w:val="538DD5"/>
                <w:sz w:val="16"/>
                <w:szCs w:val="16"/>
                <w:lang w:val="en-US"/>
              </w:rPr>
            </w:pPr>
          </w:p>
        </w:tc>
        <w:tc>
          <w:tcPr>
            <w:tcW w:w="4542" w:type="dxa"/>
            <w:tcBorders>
              <w:top w:val="nil"/>
              <w:left w:val="nil"/>
              <w:bottom w:val="single" w:sz="4" w:space="0" w:color="95B3D7"/>
              <w:right w:val="single" w:sz="4" w:space="0" w:color="FFFFFF"/>
            </w:tcBorders>
            <w:shd w:val="clear" w:color="000000" w:fill="FFFFFF"/>
            <w:hideMark/>
          </w:tcPr>
          <w:p w14:paraId="4BC1A3CB" w14:textId="77777777" w:rsidR="00A7771A" w:rsidRPr="00D22E83" w:rsidRDefault="00A7771A" w:rsidP="00A06393">
            <w:pPr>
              <w:spacing w:before="0" w:after="0" w:line="240" w:lineRule="auto"/>
              <w:jc w:val="right"/>
              <w:rPr>
                <w:rFonts w:ascii="Calibri" w:eastAsia="Times New Roman" w:hAnsi="Calibri" w:cs="Calibri"/>
                <w:color w:val="538DD5"/>
                <w:sz w:val="14"/>
                <w:szCs w:val="14"/>
                <w:lang w:val="en-US"/>
              </w:rPr>
            </w:pPr>
            <w:r w:rsidRPr="00D22E83">
              <w:rPr>
                <w:rFonts w:ascii="Calibri" w:eastAsia="Times New Roman" w:hAnsi="Calibri" w:cs="Calibri"/>
                <w:color w:val="538DD5"/>
                <w:sz w:val="14"/>
                <w:szCs w:val="14"/>
                <w:lang w:val="en-US"/>
              </w:rPr>
              <w:t>mii lei</w:t>
            </w:r>
          </w:p>
        </w:tc>
      </w:tr>
      <w:tr w:rsidR="00A7771A" w:rsidRPr="00D22E83" w14:paraId="35A7195F" w14:textId="77777777" w:rsidTr="00A7771A">
        <w:trPr>
          <w:trHeight w:val="205"/>
        </w:trPr>
        <w:tc>
          <w:tcPr>
            <w:tcW w:w="1019" w:type="dxa"/>
            <w:tcBorders>
              <w:top w:val="nil"/>
              <w:left w:val="single" w:sz="4" w:space="0" w:color="FFFFFF"/>
              <w:bottom w:val="single" w:sz="4" w:space="0" w:color="FFFFFF"/>
              <w:right w:val="single" w:sz="4" w:space="0" w:color="FFFFFF"/>
            </w:tcBorders>
            <w:shd w:val="clear" w:color="auto" w:fill="auto"/>
            <w:noWrap/>
            <w:hideMark/>
          </w:tcPr>
          <w:p w14:paraId="71710F92"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1</w:t>
            </w:r>
          </w:p>
        </w:tc>
        <w:tc>
          <w:tcPr>
            <w:tcW w:w="3641" w:type="dxa"/>
            <w:tcBorders>
              <w:top w:val="nil"/>
              <w:left w:val="nil"/>
              <w:bottom w:val="single" w:sz="4" w:space="0" w:color="FFFFFF"/>
              <w:right w:val="single" w:sz="4" w:space="0" w:color="FFFFFF"/>
            </w:tcBorders>
            <w:shd w:val="clear" w:color="auto" w:fill="auto"/>
            <w:vAlign w:val="center"/>
            <w:hideMark/>
          </w:tcPr>
          <w:p w14:paraId="196F3E71"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Productia de energie electrica</w:t>
            </w:r>
          </w:p>
        </w:tc>
        <w:tc>
          <w:tcPr>
            <w:tcW w:w="4542" w:type="dxa"/>
            <w:tcBorders>
              <w:top w:val="nil"/>
              <w:left w:val="nil"/>
              <w:bottom w:val="single" w:sz="4" w:space="0" w:color="FFFFFF"/>
              <w:right w:val="single" w:sz="4" w:space="0" w:color="FFFFFF"/>
            </w:tcBorders>
            <w:shd w:val="clear" w:color="auto" w:fill="auto"/>
            <w:noWrap/>
            <w:vAlign w:val="center"/>
            <w:hideMark/>
          </w:tcPr>
          <w:p w14:paraId="5BBB25D4"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1.419.307</w:t>
            </w:r>
          </w:p>
        </w:tc>
      </w:tr>
      <w:tr w:rsidR="00A7771A" w:rsidRPr="00D22E83" w14:paraId="5FC4355A" w14:textId="77777777" w:rsidTr="00A7771A">
        <w:trPr>
          <w:trHeight w:val="217"/>
        </w:trPr>
        <w:tc>
          <w:tcPr>
            <w:tcW w:w="1019" w:type="dxa"/>
            <w:tcBorders>
              <w:top w:val="nil"/>
              <w:left w:val="single" w:sz="4" w:space="0" w:color="FFFFFF"/>
              <w:bottom w:val="single" w:sz="4" w:space="0" w:color="FFFFFF"/>
              <w:right w:val="single" w:sz="4" w:space="0" w:color="FFFFFF"/>
            </w:tcBorders>
            <w:shd w:val="clear" w:color="auto" w:fill="auto"/>
            <w:noWrap/>
            <w:hideMark/>
          </w:tcPr>
          <w:p w14:paraId="668525CE"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2</w:t>
            </w:r>
          </w:p>
        </w:tc>
        <w:tc>
          <w:tcPr>
            <w:tcW w:w="3641" w:type="dxa"/>
            <w:tcBorders>
              <w:top w:val="nil"/>
              <w:left w:val="nil"/>
              <w:bottom w:val="single" w:sz="4" w:space="0" w:color="FFFFFF"/>
              <w:right w:val="single" w:sz="4" w:space="0" w:color="FFFFFF"/>
            </w:tcBorders>
            <w:shd w:val="clear" w:color="auto" w:fill="auto"/>
            <w:vAlign w:val="center"/>
            <w:hideMark/>
          </w:tcPr>
          <w:p w14:paraId="1D0836F1"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Extractia gazelor naturale</w:t>
            </w:r>
          </w:p>
        </w:tc>
        <w:tc>
          <w:tcPr>
            <w:tcW w:w="4542" w:type="dxa"/>
            <w:tcBorders>
              <w:top w:val="nil"/>
              <w:left w:val="nil"/>
              <w:bottom w:val="single" w:sz="4" w:space="0" w:color="FFFFFF"/>
              <w:right w:val="single" w:sz="4" w:space="0" w:color="FFFFFF"/>
            </w:tcBorders>
            <w:shd w:val="clear" w:color="auto" w:fill="auto"/>
            <w:noWrap/>
            <w:vAlign w:val="center"/>
            <w:hideMark/>
          </w:tcPr>
          <w:p w14:paraId="5F306CA1"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482.983</w:t>
            </w:r>
          </w:p>
        </w:tc>
      </w:tr>
      <w:tr w:rsidR="00A7771A" w:rsidRPr="00D22E83" w14:paraId="3FB5858E" w14:textId="77777777" w:rsidTr="00A7771A">
        <w:trPr>
          <w:trHeight w:val="362"/>
        </w:trPr>
        <w:tc>
          <w:tcPr>
            <w:tcW w:w="1019" w:type="dxa"/>
            <w:tcBorders>
              <w:top w:val="nil"/>
              <w:left w:val="single" w:sz="4" w:space="0" w:color="FFFFFF"/>
              <w:bottom w:val="single" w:sz="4" w:space="0" w:color="FFFFFF"/>
              <w:right w:val="single" w:sz="4" w:space="0" w:color="FFFFFF"/>
            </w:tcBorders>
            <w:shd w:val="clear" w:color="auto" w:fill="auto"/>
            <w:noWrap/>
            <w:hideMark/>
          </w:tcPr>
          <w:p w14:paraId="053FA7DF"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3</w:t>
            </w:r>
          </w:p>
        </w:tc>
        <w:tc>
          <w:tcPr>
            <w:tcW w:w="3641" w:type="dxa"/>
            <w:tcBorders>
              <w:top w:val="nil"/>
              <w:left w:val="nil"/>
              <w:bottom w:val="single" w:sz="4" w:space="0" w:color="FFFFFF"/>
              <w:right w:val="single" w:sz="4" w:space="0" w:color="FFFFFF"/>
            </w:tcBorders>
            <w:shd w:val="clear" w:color="auto" w:fill="auto"/>
            <w:vAlign w:val="center"/>
            <w:hideMark/>
          </w:tcPr>
          <w:p w14:paraId="7617D83F"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Activitati de consultanta pentru afaceri si management</w:t>
            </w:r>
          </w:p>
        </w:tc>
        <w:tc>
          <w:tcPr>
            <w:tcW w:w="4542" w:type="dxa"/>
            <w:tcBorders>
              <w:top w:val="nil"/>
              <w:left w:val="nil"/>
              <w:bottom w:val="single" w:sz="4" w:space="0" w:color="FFFFFF"/>
              <w:right w:val="single" w:sz="4" w:space="0" w:color="FFFFFF"/>
            </w:tcBorders>
            <w:shd w:val="clear" w:color="auto" w:fill="auto"/>
            <w:noWrap/>
            <w:vAlign w:val="center"/>
            <w:hideMark/>
          </w:tcPr>
          <w:p w14:paraId="0BCFD89C"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188.543</w:t>
            </w:r>
          </w:p>
        </w:tc>
      </w:tr>
      <w:tr w:rsidR="00A7771A" w:rsidRPr="00D22E83" w14:paraId="0F64FB41" w14:textId="77777777" w:rsidTr="00A7771A">
        <w:trPr>
          <w:trHeight w:val="193"/>
        </w:trPr>
        <w:tc>
          <w:tcPr>
            <w:tcW w:w="1019" w:type="dxa"/>
            <w:tcBorders>
              <w:top w:val="nil"/>
              <w:left w:val="single" w:sz="4" w:space="0" w:color="FFFFFF"/>
              <w:bottom w:val="single" w:sz="4" w:space="0" w:color="FFFFFF"/>
              <w:right w:val="single" w:sz="4" w:space="0" w:color="FFFFFF"/>
            </w:tcBorders>
            <w:shd w:val="clear" w:color="auto" w:fill="auto"/>
            <w:noWrap/>
            <w:hideMark/>
          </w:tcPr>
          <w:p w14:paraId="31D16ADC"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4</w:t>
            </w:r>
          </w:p>
        </w:tc>
        <w:tc>
          <w:tcPr>
            <w:tcW w:w="3641" w:type="dxa"/>
            <w:tcBorders>
              <w:top w:val="nil"/>
              <w:left w:val="nil"/>
              <w:bottom w:val="single" w:sz="4" w:space="0" w:color="FFFFFF"/>
              <w:right w:val="single" w:sz="4" w:space="0" w:color="FFFFFF"/>
            </w:tcBorders>
            <w:shd w:val="clear" w:color="auto" w:fill="auto"/>
            <w:vAlign w:val="center"/>
            <w:hideMark/>
          </w:tcPr>
          <w:p w14:paraId="49FD3E55"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Alte activitati de tiparire n.c.a.</w:t>
            </w:r>
          </w:p>
        </w:tc>
        <w:tc>
          <w:tcPr>
            <w:tcW w:w="4542" w:type="dxa"/>
            <w:tcBorders>
              <w:top w:val="nil"/>
              <w:left w:val="nil"/>
              <w:bottom w:val="single" w:sz="4" w:space="0" w:color="FFFFFF"/>
              <w:right w:val="single" w:sz="4" w:space="0" w:color="FFFFFF"/>
            </w:tcBorders>
            <w:shd w:val="clear" w:color="auto" w:fill="auto"/>
            <w:noWrap/>
            <w:vAlign w:val="center"/>
            <w:hideMark/>
          </w:tcPr>
          <w:p w14:paraId="134D1680"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178.537</w:t>
            </w:r>
          </w:p>
        </w:tc>
      </w:tr>
      <w:tr w:rsidR="00A7771A" w:rsidRPr="00D22E83" w14:paraId="20BEFA1E" w14:textId="77777777" w:rsidTr="00A7771A">
        <w:trPr>
          <w:trHeight w:val="169"/>
        </w:trPr>
        <w:tc>
          <w:tcPr>
            <w:tcW w:w="1019" w:type="dxa"/>
            <w:tcBorders>
              <w:top w:val="nil"/>
              <w:left w:val="single" w:sz="4" w:space="0" w:color="FFFFFF"/>
              <w:bottom w:val="single" w:sz="4" w:space="0" w:color="FFFFFF"/>
              <w:right w:val="single" w:sz="4" w:space="0" w:color="FFFFFF"/>
            </w:tcBorders>
            <w:shd w:val="clear" w:color="auto" w:fill="auto"/>
            <w:noWrap/>
            <w:hideMark/>
          </w:tcPr>
          <w:p w14:paraId="30079C6B"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5</w:t>
            </w:r>
          </w:p>
        </w:tc>
        <w:tc>
          <w:tcPr>
            <w:tcW w:w="3641" w:type="dxa"/>
            <w:tcBorders>
              <w:top w:val="nil"/>
              <w:left w:val="nil"/>
              <w:bottom w:val="single" w:sz="4" w:space="0" w:color="FFFFFF"/>
              <w:right w:val="single" w:sz="4" w:space="0" w:color="FFFFFF"/>
            </w:tcBorders>
            <w:shd w:val="clear" w:color="auto" w:fill="auto"/>
            <w:vAlign w:val="center"/>
            <w:hideMark/>
          </w:tcPr>
          <w:p w14:paraId="2F088A5E"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Activitati de testari si analize tehnice</w:t>
            </w:r>
          </w:p>
        </w:tc>
        <w:tc>
          <w:tcPr>
            <w:tcW w:w="4542" w:type="dxa"/>
            <w:tcBorders>
              <w:top w:val="nil"/>
              <w:left w:val="nil"/>
              <w:bottom w:val="single" w:sz="4" w:space="0" w:color="FFFFFF"/>
              <w:right w:val="single" w:sz="4" w:space="0" w:color="FFFFFF"/>
            </w:tcBorders>
            <w:shd w:val="clear" w:color="auto" w:fill="auto"/>
            <w:noWrap/>
            <w:vAlign w:val="center"/>
            <w:hideMark/>
          </w:tcPr>
          <w:p w14:paraId="75B0F549"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138.822</w:t>
            </w:r>
          </w:p>
        </w:tc>
      </w:tr>
      <w:tr w:rsidR="00A7771A" w:rsidRPr="00D22E83" w14:paraId="04C39F44" w14:textId="77777777" w:rsidTr="00A7771A">
        <w:trPr>
          <w:trHeight w:val="193"/>
        </w:trPr>
        <w:tc>
          <w:tcPr>
            <w:tcW w:w="1019" w:type="dxa"/>
            <w:tcBorders>
              <w:top w:val="nil"/>
              <w:left w:val="single" w:sz="4" w:space="0" w:color="FFFFFF"/>
              <w:bottom w:val="single" w:sz="4" w:space="0" w:color="FFFFFF"/>
              <w:right w:val="single" w:sz="4" w:space="0" w:color="FFFFFF"/>
            </w:tcBorders>
            <w:shd w:val="clear" w:color="auto" w:fill="auto"/>
            <w:noWrap/>
            <w:hideMark/>
          </w:tcPr>
          <w:p w14:paraId="598E0978"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6</w:t>
            </w:r>
          </w:p>
        </w:tc>
        <w:tc>
          <w:tcPr>
            <w:tcW w:w="3641" w:type="dxa"/>
            <w:tcBorders>
              <w:top w:val="nil"/>
              <w:left w:val="nil"/>
              <w:bottom w:val="single" w:sz="4" w:space="0" w:color="FFFFFF"/>
              <w:right w:val="single" w:sz="4" w:space="0" w:color="FFFFFF"/>
            </w:tcBorders>
            <w:shd w:val="clear" w:color="auto" w:fill="auto"/>
            <w:vAlign w:val="center"/>
            <w:hideMark/>
          </w:tcPr>
          <w:p w14:paraId="390E1FC1"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Transporturi prin conducte</w:t>
            </w:r>
          </w:p>
        </w:tc>
        <w:tc>
          <w:tcPr>
            <w:tcW w:w="4542" w:type="dxa"/>
            <w:tcBorders>
              <w:top w:val="nil"/>
              <w:left w:val="nil"/>
              <w:bottom w:val="single" w:sz="4" w:space="0" w:color="FFFFFF"/>
              <w:right w:val="single" w:sz="4" w:space="0" w:color="FFFFFF"/>
            </w:tcBorders>
            <w:shd w:val="clear" w:color="auto" w:fill="auto"/>
            <w:noWrap/>
            <w:vAlign w:val="center"/>
            <w:hideMark/>
          </w:tcPr>
          <w:p w14:paraId="6DE4FCD0"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91.133</w:t>
            </w:r>
          </w:p>
        </w:tc>
      </w:tr>
      <w:tr w:rsidR="00A7771A" w:rsidRPr="00D22E83" w14:paraId="061A180E" w14:textId="77777777" w:rsidTr="00A7771A">
        <w:trPr>
          <w:trHeight w:val="181"/>
        </w:trPr>
        <w:tc>
          <w:tcPr>
            <w:tcW w:w="1019" w:type="dxa"/>
            <w:tcBorders>
              <w:top w:val="nil"/>
              <w:left w:val="single" w:sz="4" w:space="0" w:color="FFFFFF"/>
              <w:bottom w:val="single" w:sz="4" w:space="0" w:color="95B3D7"/>
              <w:right w:val="single" w:sz="4" w:space="0" w:color="FFFFFF"/>
            </w:tcBorders>
            <w:shd w:val="clear" w:color="auto" w:fill="auto"/>
            <w:noWrap/>
            <w:hideMark/>
          </w:tcPr>
          <w:p w14:paraId="5FC1B62A" w14:textId="77777777" w:rsidR="00A7771A" w:rsidRPr="00A7771A" w:rsidRDefault="00A7771A" w:rsidP="00A7771A">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7</w:t>
            </w:r>
          </w:p>
        </w:tc>
        <w:tc>
          <w:tcPr>
            <w:tcW w:w="3641" w:type="dxa"/>
            <w:tcBorders>
              <w:top w:val="nil"/>
              <w:left w:val="nil"/>
              <w:bottom w:val="single" w:sz="4" w:space="0" w:color="95B3D7"/>
              <w:right w:val="single" w:sz="4" w:space="0" w:color="FFFFFF"/>
            </w:tcBorders>
            <w:shd w:val="clear" w:color="auto" w:fill="auto"/>
            <w:vAlign w:val="center"/>
            <w:hideMark/>
          </w:tcPr>
          <w:p w14:paraId="25764785" w14:textId="77777777" w:rsidR="00A7771A" w:rsidRPr="00A7771A" w:rsidRDefault="00A7771A" w:rsidP="00A06393">
            <w:pPr>
              <w:spacing w:before="0" w:after="0" w:line="240" w:lineRule="auto"/>
              <w:rPr>
                <w:rFonts w:ascii="Calibri" w:eastAsia="Times New Roman" w:hAnsi="Calibri" w:cs="Calibri"/>
                <w:sz w:val="16"/>
                <w:szCs w:val="16"/>
                <w:lang w:val="en-US"/>
              </w:rPr>
            </w:pPr>
            <w:r w:rsidRPr="00A7771A">
              <w:rPr>
                <w:rFonts w:ascii="Calibri" w:eastAsia="Times New Roman" w:hAnsi="Calibri" w:cs="Calibri"/>
                <w:sz w:val="16"/>
                <w:szCs w:val="16"/>
                <w:lang w:val="en-US"/>
              </w:rPr>
              <w:t>Alte activități</w:t>
            </w:r>
          </w:p>
        </w:tc>
        <w:tc>
          <w:tcPr>
            <w:tcW w:w="4542" w:type="dxa"/>
            <w:tcBorders>
              <w:top w:val="nil"/>
              <w:left w:val="nil"/>
              <w:bottom w:val="single" w:sz="4" w:space="0" w:color="95B3D7"/>
              <w:right w:val="single" w:sz="4" w:space="0" w:color="FFFFFF"/>
            </w:tcBorders>
            <w:shd w:val="clear" w:color="auto" w:fill="auto"/>
            <w:noWrap/>
            <w:vAlign w:val="center"/>
            <w:hideMark/>
          </w:tcPr>
          <w:p w14:paraId="45A28020" w14:textId="77777777" w:rsidR="00A7771A" w:rsidRPr="00A7771A" w:rsidRDefault="00A7771A" w:rsidP="00A06393">
            <w:pPr>
              <w:spacing w:before="0" w:after="0" w:line="240" w:lineRule="auto"/>
              <w:jc w:val="right"/>
              <w:rPr>
                <w:rFonts w:ascii="Calibri" w:eastAsia="Times New Roman" w:hAnsi="Calibri" w:cs="Calibri"/>
                <w:sz w:val="16"/>
                <w:szCs w:val="16"/>
                <w:lang w:val="en-US"/>
              </w:rPr>
            </w:pPr>
            <w:r w:rsidRPr="00A7771A">
              <w:rPr>
                <w:rFonts w:ascii="Calibri" w:eastAsia="Times New Roman" w:hAnsi="Calibri" w:cs="Calibri"/>
                <w:sz w:val="16"/>
                <w:szCs w:val="16"/>
                <w:lang w:val="en-US"/>
              </w:rPr>
              <w:t>134.302</w:t>
            </w:r>
          </w:p>
        </w:tc>
      </w:tr>
      <w:tr w:rsidR="00A7771A" w:rsidRPr="00D22E83" w14:paraId="10A92ECE" w14:textId="77777777" w:rsidTr="00A7771A">
        <w:trPr>
          <w:trHeight w:val="242"/>
        </w:trPr>
        <w:tc>
          <w:tcPr>
            <w:tcW w:w="1019" w:type="dxa"/>
            <w:tcBorders>
              <w:top w:val="nil"/>
              <w:left w:val="single" w:sz="4" w:space="0" w:color="FFFFFF"/>
              <w:bottom w:val="single" w:sz="4" w:space="0" w:color="95B3D7"/>
              <w:right w:val="nil"/>
            </w:tcBorders>
            <w:shd w:val="clear" w:color="auto" w:fill="auto"/>
            <w:vAlign w:val="center"/>
            <w:hideMark/>
          </w:tcPr>
          <w:p w14:paraId="32198F0E" w14:textId="77777777" w:rsidR="00A7771A" w:rsidRPr="00A7771A" w:rsidRDefault="00A7771A" w:rsidP="00A06393">
            <w:pPr>
              <w:spacing w:before="0" w:after="0" w:line="240" w:lineRule="auto"/>
              <w:rPr>
                <w:rFonts w:ascii="Calibri" w:eastAsia="Times New Roman" w:hAnsi="Calibri" w:cs="Calibri"/>
                <w:b/>
                <w:bCs/>
                <w:sz w:val="16"/>
                <w:szCs w:val="16"/>
                <w:lang w:val="en-US"/>
              </w:rPr>
            </w:pPr>
            <w:r w:rsidRPr="00A7771A">
              <w:rPr>
                <w:rFonts w:ascii="Calibri" w:eastAsia="Times New Roman" w:hAnsi="Calibri" w:cs="Calibri"/>
                <w:b/>
                <w:bCs/>
                <w:sz w:val="16"/>
                <w:szCs w:val="16"/>
                <w:lang w:val="en-US"/>
              </w:rPr>
              <w:t> </w:t>
            </w:r>
          </w:p>
        </w:tc>
        <w:tc>
          <w:tcPr>
            <w:tcW w:w="3641" w:type="dxa"/>
            <w:tcBorders>
              <w:top w:val="nil"/>
              <w:left w:val="single" w:sz="4" w:space="0" w:color="FFFFFF"/>
              <w:bottom w:val="single" w:sz="4" w:space="0" w:color="95B3D7"/>
              <w:right w:val="nil"/>
            </w:tcBorders>
            <w:shd w:val="clear" w:color="auto" w:fill="auto"/>
            <w:vAlign w:val="center"/>
            <w:hideMark/>
          </w:tcPr>
          <w:p w14:paraId="1991C7E2" w14:textId="77777777" w:rsidR="00A7771A" w:rsidRPr="00A7771A" w:rsidRDefault="00A7771A" w:rsidP="00A06393">
            <w:pPr>
              <w:spacing w:before="0" w:after="0" w:line="240" w:lineRule="auto"/>
              <w:rPr>
                <w:rFonts w:ascii="Calibri" w:eastAsia="Times New Roman" w:hAnsi="Calibri" w:cs="Calibri"/>
                <w:b/>
                <w:bCs/>
                <w:sz w:val="16"/>
                <w:szCs w:val="16"/>
                <w:lang w:val="en-US"/>
              </w:rPr>
            </w:pPr>
            <w:r w:rsidRPr="00A7771A">
              <w:rPr>
                <w:rFonts w:ascii="Calibri" w:eastAsia="Times New Roman" w:hAnsi="Calibri" w:cs="Calibri"/>
                <w:b/>
                <w:bCs/>
                <w:sz w:val="16"/>
                <w:szCs w:val="16"/>
                <w:lang w:val="en-US"/>
              </w:rPr>
              <w:t>TOTAL</w:t>
            </w:r>
          </w:p>
        </w:tc>
        <w:tc>
          <w:tcPr>
            <w:tcW w:w="4542" w:type="dxa"/>
            <w:tcBorders>
              <w:top w:val="nil"/>
              <w:left w:val="single" w:sz="4" w:space="0" w:color="FFFFFF"/>
              <w:bottom w:val="single" w:sz="4" w:space="0" w:color="95B3D7"/>
              <w:right w:val="single" w:sz="4" w:space="0" w:color="FFFFFF"/>
            </w:tcBorders>
            <w:shd w:val="clear" w:color="auto" w:fill="auto"/>
            <w:noWrap/>
            <w:vAlign w:val="center"/>
            <w:hideMark/>
          </w:tcPr>
          <w:p w14:paraId="08ADDAA2" w14:textId="77777777" w:rsidR="00A7771A" w:rsidRPr="00A7771A" w:rsidRDefault="00A7771A" w:rsidP="00A06393">
            <w:pPr>
              <w:spacing w:before="0" w:after="0" w:line="240" w:lineRule="auto"/>
              <w:jc w:val="right"/>
              <w:rPr>
                <w:rFonts w:ascii="Calibri" w:eastAsia="Times New Roman" w:hAnsi="Calibri" w:cs="Calibri"/>
                <w:b/>
                <w:bCs/>
                <w:sz w:val="16"/>
                <w:szCs w:val="16"/>
                <w:lang w:val="en-US"/>
              </w:rPr>
            </w:pPr>
            <w:r w:rsidRPr="00A7771A">
              <w:rPr>
                <w:rFonts w:ascii="Calibri" w:eastAsia="Times New Roman" w:hAnsi="Calibri" w:cs="Calibri"/>
                <w:b/>
                <w:bCs/>
                <w:sz w:val="16"/>
                <w:szCs w:val="16"/>
                <w:lang w:val="en-US"/>
              </w:rPr>
              <w:t>2.633.626</w:t>
            </w:r>
          </w:p>
        </w:tc>
      </w:tr>
      <w:tr w:rsidR="00A7771A" w:rsidRPr="00D22E83" w14:paraId="3A830E74" w14:textId="77777777" w:rsidTr="00A7771A">
        <w:trPr>
          <w:trHeight w:val="242"/>
        </w:trPr>
        <w:tc>
          <w:tcPr>
            <w:tcW w:w="1019" w:type="dxa"/>
            <w:tcBorders>
              <w:top w:val="nil"/>
              <w:left w:val="nil"/>
              <w:bottom w:val="nil"/>
              <w:right w:val="nil"/>
            </w:tcBorders>
            <w:shd w:val="clear" w:color="auto" w:fill="auto"/>
            <w:noWrap/>
            <w:vAlign w:val="bottom"/>
            <w:hideMark/>
          </w:tcPr>
          <w:p w14:paraId="45753FEB" w14:textId="77777777" w:rsidR="00A7771A" w:rsidRPr="00D22E83" w:rsidRDefault="00A7771A" w:rsidP="00A06393">
            <w:pPr>
              <w:spacing w:before="0" w:after="0" w:line="240" w:lineRule="auto"/>
              <w:jc w:val="right"/>
              <w:rPr>
                <w:rFonts w:ascii="Calibri" w:eastAsia="Times New Roman" w:hAnsi="Calibri" w:cs="Calibri"/>
                <w:b/>
                <w:bCs/>
                <w:color w:val="538DD5"/>
                <w:sz w:val="16"/>
                <w:szCs w:val="16"/>
                <w:lang w:val="en-US"/>
              </w:rPr>
            </w:pPr>
          </w:p>
        </w:tc>
        <w:tc>
          <w:tcPr>
            <w:tcW w:w="3641" w:type="dxa"/>
            <w:tcBorders>
              <w:top w:val="nil"/>
              <w:left w:val="nil"/>
              <w:bottom w:val="nil"/>
              <w:right w:val="nil"/>
            </w:tcBorders>
            <w:shd w:val="clear" w:color="auto" w:fill="auto"/>
            <w:noWrap/>
            <w:vAlign w:val="bottom"/>
            <w:hideMark/>
          </w:tcPr>
          <w:p w14:paraId="3E220538" w14:textId="77777777" w:rsidR="00A7771A" w:rsidRPr="00D22E83" w:rsidRDefault="00A7771A" w:rsidP="00A06393">
            <w:pPr>
              <w:spacing w:before="0" w:after="0" w:line="240" w:lineRule="auto"/>
              <w:jc w:val="center"/>
              <w:rPr>
                <w:rFonts w:ascii="Times New Roman" w:eastAsia="Times New Roman" w:hAnsi="Times New Roman" w:cs="Times New Roman"/>
                <w:lang w:val="en-US"/>
              </w:rPr>
            </w:pPr>
          </w:p>
        </w:tc>
        <w:tc>
          <w:tcPr>
            <w:tcW w:w="4542" w:type="dxa"/>
            <w:tcBorders>
              <w:top w:val="nil"/>
              <w:left w:val="nil"/>
              <w:bottom w:val="nil"/>
              <w:right w:val="nil"/>
            </w:tcBorders>
            <w:shd w:val="clear" w:color="auto" w:fill="auto"/>
            <w:noWrap/>
            <w:vAlign w:val="bottom"/>
            <w:hideMark/>
          </w:tcPr>
          <w:p w14:paraId="3A2F0FEF" w14:textId="77777777" w:rsidR="00A7771A" w:rsidRPr="00D22E83" w:rsidRDefault="00A7771A" w:rsidP="00A06393">
            <w:pPr>
              <w:spacing w:before="0" w:after="0" w:line="240" w:lineRule="auto"/>
              <w:rPr>
                <w:rFonts w:ascii="Times New Roman" w:eastAsia="Times New Roman" w:hAnsi="Times New Roman" w:cs="Times New Roman"/>
                <w:lang w:val="en-US"/>
              </w:rPr>
            </w:pPr>
          </w:p>
        </w:tc>
      </w:tr>
    </w:tbl>
    <w:p w14:paraId="50CE4EAF" w14:textId="77777777" w:rsidR="00F02A07" w:rsidRPr="00D95C57" w:rsidRDefault="00A7771A" w:rsidP="006F5015">
      <w:pPr>
        <w:jc w:val="both"/>
        <w:rPr>
          <w:rFonts w:asciiTheme="majorHAnsi" w:hAnsiTheme="majorHAnsi" w:cstheme="majorBidi"/>
        </w:rPr>
      </w:pPr>
      <w:r>
        <w:rPr>
          <w:rFonts w:asciiTheme="majorHAnsi" w:hAnsiTheme="majorHAnsi" w:cstheme="majorBidi"/>
          <w:noProof/>
          <w:lang w:val="en-US"/>
        </w:rPr>
        <w:drawing>
          <wp:inline distT="0" distB="0" distL="0" distR="0" wp14:anchorId="6F8C6EA8" wp14:editId="797E173E">
            <wp:extent cx="5944235" cy="32251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3225165"/>
                    </a:xfrm>
                    <a:prstGeom prst="rect">
                      <a:avLst/>
                    </a:prstGeom>
                    <a:noFill/>
                  </pic:spPr>
                </pic:pic>
              </a:graphicData>
            </a:graphic>
          </wp:inline>
        </w:drawing>
      </w:r>
    </w:p>
    <w:p w14:paraId="15AD618C" w14:textId="77777777" w:rsidR="0054644F" w:rsidRDefault="0054644F" w:rsidP="00756487">
      <w:pPr>
        <w:jc w:val="both"/>
        <w:rPr>
          <w:rFonts w:asciiTheme="majorHAnsi" w:hAnsiTheme="majorHAnsi" w:cstheme="majorBidi"/>
        </w:rPr>
      </w:pPr>
    </w:p>
    <w:p w14:paraId="378406C2" w14:textId="77777777" w:rsidR="00756487" w:rsidRDefault="00756487" w:rsidP="00756487">
      <w:pPr>
        <w:jc w:val="both"/>
        <w:rPr>
          <w:rFonts w:asciiTheme="majorHAnsi" w:hAnsiTheme="majorHAnsi" w:cstheme="majorBidi"/>
        </w:rPr>
      </w:pPr>
      <w:r w:rsidRPr="00756487">
        <w:rPr>
          <w:rFonts w:asciiTheme="majorHAnsi" w:hAnsiTheme="majorHAnsi" w:cstheme="majorBidi"/>
        </w:rPr>
        <w:t>Dividendele/vărsămintele repartizate de ÎPC care activează în două sectoare de activitate respectiv „producția de energie electrică” și „extracția gazelor naturale” reprezintă 72,23% din totalul dividendelor/vărsămintelor repartizate de cele 32 ÎPC.</w:t>
      </w:r>
    </w:p>
    <w:p w14:paraId="5F042494" w14:textId="77777777" w:rsidR="0054644F" w:rsidRDefault="0054644F" w:rsidP="00756487">
      <w:pPr>
        <w:jc w:val="both"/>
        <w:rPr>
          <w:rFonts w:asciiTheme="majorHAnsi" w:hAnsiTheme="majorHAnsi" w:cstheme="majorBidi"/>
        </w:rPr>
      </w:pPr>
    </w:p>
    <w:p w14:paraId="3CFC3561" w14:textId="77777777" w:rsidR="0054644F" w:rsidRDefault="0054644F" w:rsidP="00756487">
      <w:pPr>
        <w:jc w:val="both"/>
        <w:rPr>
          <w:rFonts w:asciiTheme="majorHAnsi" w:hAnsiTheme="majorHAnsi" w:cstheme="majorBidi"/>
        </w:rPr>
      </w:pPr>
    </w:p>
    <w:p w14:paraId="3298AE7E" w14:textId="5F3217DC" w:rsidR="0054644F" w:rsidRDefault="0054644F" w:rsidP="00756487">
      <w:pPr>
        <w:jc w:val="both"/>
        <w:rPr>
          <w:rFonts w:asciiTheme="majorHAnsi" w:hAnsiTheme="majorHAnsi" w:cstheme="majorBidi"/>
        </w:rPr>
      </w:pPr>
    </w:p>
    <w:p w14:paraId="1FCA318F" w14:textId="77777777" w:rsidR="00B06C32" w:rsidRDefault="00B06C32" w:rsidP="00756487">
      <w:pPr>
        <w:jc w:val="both"/>
        <w:rPr>
          <w:rFonts w:asciiTheme="majorHAnsi" w:hAnsiTheme="majorHAnsi" w:cstheme="majorBidi"/>
        </w:rPr>
      </w:pPr>
    </w:p>
    <w:p w14:paraId="266AF2F7" w14:textId="77777777" w:rsidR="0054644F" w:rsidRPr="00756487" w:rsidRDefault="0054644F" w:rsidP="00756487">
      <w:pPr>
        <w:jc w:val="both"/>
        <w:rPr>
          <w:rFonts w:asciiTheme="majorHAnsi" w:hAnsiTheme="majorHAnsi" w:cstheme="majorBidi"/>
        </w:rPr>
      </w:pPr>
    </w:p>
    <w:p w14:paraId="6FF7A360" w14:textId="77777777" w:rsidR="00756487" w:rsidRPr="00756487" w:rsidRDefault="00756487" w:rsidP="00756487">
      <w:pPr>
        <w:spacing w:before="0" w:after="0" w:line="240" w:lineRule="auto"/>
        <w:jc w:val="both"/>
        <w:rPr>
          <w:rFonts w:ascii="Calibri Light" w:eastAsia="Times New Roman" w:hAnsi="Calibri Light" w:cs="Calibri Light"/>
          <w:lang w:val="fr-FR"/>
        </w:rPr>
      </w:pPr>
      <w:r w:rsidRPr="00756487">
        <w:rPr>
          <w:rFonts w:ascii="Calibri Light" w:eastAsia="Times New Roman" w:hAnsi="Calibri Light" w:cs="Calibri Light"/>
          <w:lang w:val="fr-FR"/>
        </w:rPr>
        <w:t>Primele zece ÎPC care au repartizat dividende sau vărsăminte din profit către bugetul de stat în anul 2020</w:t>
      </w:r>
    </w:p>
    <w:p w14:paraId="0A439C2E" w14:textId="77777777" w:rsidR="00756487" w:rsidRPr="00F53D1F" w:rsidRDefault="00756487" w:rsidP="00756487">
      <w:pPr>
        <w:spacing w:before="0" w:after="0" w:line="240" w:lineRule="auto"/>
        <w:jc w:val="both"/>
        <w:rPr>
          <w:rFonts w:ascii="Calibri Light" w:eastAsia="Times New Roman" w:hAnsi="Calibri Light" w:cs="Calibri Light"/>
          <w:color w:val="4F81BD"/>
          <w:lang w:val="fr-FR"/>
        </w:rPr>
      </w:pPr>
    </w:p>
    <w:tbl>
      <w:tblPr>
        <w:tblW w:w="9071" w:type="dxa"/>
        <w:tblInd w:w="110" w:type="dxa"/>
        <w:tblLook w:val="04A0" w:firstRow="1" w:lastRow="0" w:firstColumn="1" w:lastColumn="0" w:noHBand="0" w:noVBand="1"/>
      </w:tblPr>
      <w:tblGrid>
        <w:gridCol w:w="559"/>
        <w:gridCol w:w="4578"/>
        <w:gridCol w:w="1871"/>
        <w:gridCol w:w="2063"/>
      </w:tblGrid>
      <w:tr w:rsidR="00756487" w:rsidRPr="005F0C66" w14:paraId="42807245" w14:textId="77777777" w:rsidTr="001F003D">
        <w:trPr>
          <w:trHeight w:val="581"/>
        </w:trPr>
        <w:tc>
          <w:tcPr>
            <w:tcW w:w="559" w:type="dxa"/>
            <w:vMerge w:val="restart"/>
            <w:tcBorders>
              <w:top w:val="single" w:sz="8" w:space="0" w:color="4F81BD"/>
              <w:bottom w:val="single" w:sz="4" w:space="0" w:color="4F81BD"/>
              <w:right w:val="single" w:sz="4" w:space="0" w:color="FFFFFF"/>
            </w:tcBorders>
            <w:shd w:val="clear" w:color="000000" w:fill="FFFFFF"/>
            <w:hideMark/>
          </w:tcPr>
          <w:p w14:paraId="5ECB3F64" w14:textId="77777777" w:rsidR="00756487" w:rsidRPr="001F003D" w:rsidRDefault="00756487" w:rsidP="001F003D">
            <w:pPr>
              <w:spacing w:before="0" w:after="0" w:line="240" w:lineRule="auto"/>
              <w:rPr>
                <w:rFonts w:ascii="Calibri" w:eastAsia="Times New Roman" w:hAnsi="Calibri" w:cs="Calibri"/>
                <w:color w:val="0F6FC6" w:themeColor="accent1"/>
                <w:sz w:val="16"/>
                <w:szCs w:val="16"/>
                <w:lang w:val="en-US"/>
              </w:rPr>
            </w:pPr>
            <w:r w:rsidRPr="001F003D">
              <w:rPr>
                <w:rFonts w:ascii="Calibri" w:eastAsia="Times New Roman" w:hAnsi="Calibri" w:cs="Calibri"/>
                <w:color w:val="0F6FC6" w:themeColor="accent1"/>
                <w:sz w:val="16"/>
                <w:szCs w:val="16"/>
                <w:lang w:val="en-US"/>
              </w:rPr>
              <w:t>Nr. crt.</w:t>
            </w:r>
          </w:p>
        </w:tc>
        <w:tc>
          <w:tcPr>
            <w:tcW w:w="4578" w:type="dxa"/>
            <w:vMerge w:val="restart"/>
            <w:tcBorders>
              <w:top w:val="single" w:sz="8" w:space="0" w:color="4F81BD"/>
              <w:left w:val="single" w:sz="4" w:space="0" w:color="FFFFFF"/>
              <w:bottom w:val="single" w:sz="4" w:space="0" w:color="4F81BD"/>
              <w:right w:val="single" w:sz="4" w:space="0" w:color="FFFFFF"/>
            </w:tcBorders>
            <w:shd w:val="clear" w:color="auto" w:fill="auto"/>
            <w:hideMark/>
          </w:tcPr>
          <w:p w14:paraId="364BBF63" w14:textId="77777777" w:rsidR="00756487" w:rsidRPr="001F003D" w:rsidRDefault="00756487" w:rsidP="001F003D">
            <w:pPr>
              <w:spacing w:before="0" w:after="0" w:line="240" w:lineRule="auto"/>
              <w:rPr>
                <w:rFonts w:ascii="Calibri" w:eastAsia="Times New Roman" w:hAnsi="Calibri" w:cs="Calibri"/>
                <w:color w:val="0F6FC6" w:themeColor="accent1"/>
                <w:sz w:val="16"/>
                <w:szCs w:val="16"/>
                <w:lang w:val="en-US"/>
              </w:rPr>
            </w:pPr>
            <w:r w:rsidRPr="001F003D">
              <w:rPr>
                <w:rFonts w:ascii="Calibri" w:eastAsia="Times New Roman" w:hAnsi="Calibri" w:cs="Calibri"/>
                <w:color w:val="0F6FC6" w:themeColor="accent1"/>
                <w:sz w:val="16"/>
                <w:szCs w:val="16"/>
                <w:lang w:val="en-US"/>
              </w:rPr>
              <w:t>Denumire întreprindere publică</w:t>
            </w:r>
          </w:p>
        </w:tc>
        <w:tc>
          <w:tcPr>
            <w:tcW w:w="1871" w:type="dxa"/>
            <w:vMerge w:val="restart"/>
            <w:tcBorders>
              <w:top w:val="single" w:sz="8" w:space="0" w:color="4F81BD"/>
              <w:left w:val="single" w:sz="4" w:space="0" w:color="FFFFFF"/>
              <w:bottom w:val="single" w:sz="4" w:space="0" w:color="4F81BD"/>
              <w:right w:val="nil"/>
            </w:tcBorders>
            <w:shd w:val="clear" w:color="auto" w:fill="auto"/>
            <w:hideMark/>
          </w:tcPr>
          <w:p w14:paraId="12FA0D90" w14:textId="77777777" w:rsidR="00756487" w:rsidRPr="001F003D" w:rsidRDefault="00756487" w:rsidP="001F003D">
            <w:pPr>
              <w:spacing w:before="0" w:after="0" w:line="240" w:lineRule="auto"/>
              <w:jc w:val="right"/>
              <w:rPr>
                <w:rFonts w:ascii="Calibri" w:eastAsia="Times New Roman" w:hAnsi="Calibri" w:cs="Calibri"/>
                <w:color w:val="0F6FC6" w:themeColor="accent1"/>
                <w:sz w:val="16"/>
                <w:szCs w:val="16"/>
                <w:lang w:val="en-US"/>
              </w:rPr>
            </w:pPr>
            <w:r w:rsidRPr="001F003D">
              <w:rPr>
                <w:rFonts w:ascii="Calibri" w:eastAsia="Times New Roman" w:hAnsi="Calibri" w:cs="Calibri"/>
                <w:color w:val="0F6FC6" w:themeColor="accent1"/>
                <w:sz w:val="16"/>
                <w:szCs w:val="16"/>
                <w:lang w:val="en-US"/>
              </w:rPr>
              <w:t>Profit net</w:t>
            </w:r>
          </w:p>
        </w:tc>
        <w:tc>
          <w:tcPr>
            <w:tcW w:w="2063" w:type="dxa"/>
            <w:vMerge w:val="restart"/>
            <w:tcBorders>
              <w:top w:val="single" w:sz="8" w:space="0" w:color="4F81BD"/>
              <w:left w:val="nil"/>
              <w:bottom w:val="single" w:sz="4" w:space="0" w:color="4F81BD"/>
            </w:tcBorders>
            <w:shd w:val="clear" w:color="auto" w:fill="auto"/>
            <w:hideMark/>
          </w:tcPr>
          <w:p w14:paraId="1DE70390" w14:textId="77777777" w:rsidR="00756487" w:rsidRPr="001F003D" w:rsidRDefault="00756487" w:rsidP="001F003D">
            <w:pPr>
              <w:spacing w:before="0" w:after="0" w:line="240" w:lineRule="auto"/>
              <w:jc w:val="right"/>
              <w:rPr>
                <w:rFonts w:ascii="Calibri" w:eastAsia="Times New Roman" w:hAnsi="Calibri" w:cs="Calibri"/>
                <w:color w:val="0F6FC6" w:themeColor="accent1"/>
                <w:sz w:val="16"/>
                <w:szCs w:val="16"/>
                <w:lang w:val="en-US"/>
              </w:rPr>
            </w:pPr>
            <w:r w:rsidRPr="001F003D">
              <w:rPr>
                <w:rFonts w:ascii="Calibri" w:eastAsia="Times New Roman" w:hAnsi="Calibri" w:cs="Calibri"/>
                <w:color w:val="0F6FC6" w:themeColor="accent1"/>
                <w:sz w:val="16"/>
                <w:szCs w:val="16"/>
                <w:lang w:val="en-US"/>
              </w:rPr>
              <w:t>Dividende /vărsăminte repartizate din profit către BS</w:t>
            </w:r>
          </w:p>
        </w:tc>
      </w:tr>
      <w:tr w:rsidR="00756487" w:rsidRPr="005F0C66" w14:paraId="72F801AF" w14:textId="77777777" w:rsidTr="001F003D">
        <w:trPr>
          <w:trHeight w:val="581"/>
        </w:trPr>
        <w:tc>
          <w:tcPr>
            <w:tcW w:w="559" w:type="dxa"/>
            <w:vMerge/>
            <w:tcBorders>
              <w:top w:val="single" w:sz="8" w:space="0" w:color="4F81BD"/>
              <w:bottom w:val="single" w:sz="4" w:space="0" w:color="4F81BD"/>
              <w:right w:val="single" w:sz="4" w:space="0" w:color="FFFFFF"/>
            </w:tcBorders>
            <w:vAlign w:val="center"/>
            <w:hideMark/>
          </w:tcPr>
          <w:p w14:paraId="54AC9B6E" w14:textId="77777777" w:rsidR="00756487" w:rsidRPr="001F003D" w:rsidRDefault="00756487" w:rsidP="00A06393">
            <w:pPr>
              <w:spacing w:before="0" w:after="0" w:line="240" w:lineRule="auto"/>
              <w:rPr>
                <w:rFonts w:ascii="Calibri" w:eastAsia="Times New Roman" w:hAnsi="Calibri" w:cs="Calibri"/>
                <w:color w:val="0F6FC6" w:themeColor="accent1"/>
                <w:sz w:val="16"/>
                <w:szCs w:val="16"/>
                <w:lang w:val="en-US"/>
              </w:rPr>
            </w:pPr>
          </w:p>
        </w:tc>
        <w:tc>
          <w:tcPr>
            <w:tcW w:w="4578" w:type="dxa"/>
            <w:vMerge/>
            <w:tcBorders>
              <w:top w:val="single" w:sz="8" w:space="0" w:color="4F81BD"/>
              <w:left w:val="single" w:sz="4" w:space="0" w:color="FFFFFF"/>
              <w:bottom w:val="single" w:sz="4" w:space="0" w:color="4F81BD"/>
              <w:right w:val="single" w:sz="4" w:space="0" w:color="FFFFFF"/>
            </w:tcBorders>
            <w:vAlign w:val="center"/>
            <w:hideMark/>
          </w:tcPr>
          <w:p w14:paraId="7CD3A70B" w14:textId="77777777" w:rsidR="00756487" w:rsidRPr="001F003D" w:rsidRDefault="00756487" w:rsidP="00A06393">
            <w:pPr>
              <w:spacing w:before="0" w:after="0" w:line="240" w:lineRule="auto"/>
              <w:rPr>
                <w:rFonts w:ascii="Calibri" w:eastAsia="Times New Roman" w:hAnsi="Calibri" w:cs="Calibri"/>
                <w:color w:val="0F6FC6" w:themeColor="accent1"/>
                <w:sz w:val="16"/>
                <w:szCs w:val="16"/>
                <w:lang w:val="en-US"/>
              </w:rPr>
            </w:pPr>
          </w:p>
        </w:tc>
        <w:tc>
          <w:tcPr>
            <w:tcW w:w="1871" w:type="dxa"/>
            <w:vMerge/>
            <w:tcBorders>
              <w:top w:val="single" w:sz="8" w:space="0" w:color="4F81BD"/>
              <w:left w:val="single" w:sz="4" w:space="0" w:color="FFFFFF"/>
              <w:bottom w:val="single" w:sz="4" w:space="0" w:color="4F81BD"/>
              <w:right w:val="nil"/>
            </w:tcBorders>
            <w:vAlign w:val="center"/>
            <w:hideMark/>
          </w:tcPr>
          <w:p w14:paraId="5EBC5A43" w14:textId="77777777" w:rsidR="00756487" w:rsidRPr="001F003D" w:rsidRDefault="00756487" w:rsidP="00A06393">
            <w:pPr>
              <w:spacing w:before="0" w:after="0" w:line="240" w:lineRule="auto"/>
              <w:rPr>
                <w:rFonts w:ascii="Calibri" w:eastAsia="Times New Roman" w:hAnsi="Calibri" w:cs="Calibri"/>
                <w:color w:val="0F6FC6" w:themeColor="accent1"/>
                <w:sz w:val="16"/>
                <w:szCs w:val="16"/>
                <w:lang w:val="en-US"/>
              </w:rPr>
            </w:pPr>
          </w:p>
        </w:tc>
        <w:tc>
          <w:tcPr>
            <w:tcW w:w="2063" w:type="dxa"/>
            <w:vMerge/>
            <w:tcBorders>
              <w:top w:val="single" w:sz="8" w:space="0" w:color="4F81BD"/>
              <w:left w:val="nil"/>
              <w:bottom w:val="single" w:sz="4" w:space="0" w:color="4F81BD"/>
            </w:tcBorders>
            <w:vAlign w:val="center"/>
            <w:hideMark/>
          </w:tcPr>
          <w:p w14:paraId="7ADFB38C" w14:textId="77777777" w:rsidR="00756487" w:rsidRPr="001F003D" w:rsidRDefault="00756487" w:rsidP="00A06393">
            <w:pPr>
              <w:spacing w:before="0" w:after="0" w:line="240" w:lineRule="auto"/>
              <w:rPr>
                <w:rFonts w:ascii="Calibri" w:eastAsia="Times New Roman" w:hAnsi="Calibri" w:cs="Calibri"/>
                <w:color w:val="0F6FC6" w:themeColor="accent1"/>
                <w:sz w:val="16"/>
                <w:szCs w:val="16"/>
                <w:lang w:val="en-US"/>
              </w:rPr>
            </w:pPr>
          </w:p>
        </w:tc>
      </w:tr>
      <w:tr w:rsidR="00756487" w:rsidRPr="005F0C66" w14:paraId="0BE84E3B" w14:textId="77777777" w:rsidTr="001F003D">
        <w:trPr>
          <w:trHeight w:val="154"/>
        </w:trPr>
        <w:tc>
          <w:tcPr>
            <w:tcW w:w="559" w:type="dxa"/>
            <w:vMerge/>
            <w:tcBorders>
              <w:top w:val="single" w:sz="8" w:space="0" w:color="4F81BD"/>
              <w:bottom w:val="single" w:sz="4" w:space="0" w:color="4F81BD"/>
              <w:right w:val="single" w:sz="4" w:space="0" w:color="FFFFFF"/>
            </w:tcBorders>
            <w:vAlign w:val="center"/>
            <w:hideMark/>
          </w:tcPr>
          <w:p w14:paraId="2F659248" w14:textId="77777777" w:rsidR="00756487" w:rsidRPr="001F003D" w:rsidRDefault="00756487" w:rsidP="00A06393">
            <w:pPr>
              <w:spacing w:before="0" w:after="0" w:line="240" w:lineRule="auto"/>
              <w:rPr>
                <w:rFonts w:ascii="Calibri" w:eastAsia="Times New Roman" w:hAnsi="Calibri" w:cs="Calibri"/>
                <w:color w:val="0F6FC6" w:themeColor="accent1"/>
                <w:sz w:val="16"/>
                <w:szCs w:val="16"/>
                <w:lang w:val="en-US"/>
              </w:rPr>
            </w:pPr>
          </w:p>
        </w:tc>
        <w:tc>
          <w:tcPr>
            <w:tcW w:w="4578" w:type="dxa"/>
            <w:vMerge/>
            <w:tcBorders>
              <w:top w:val="single" w:sz="8" w:space="0" w:color="4F81BD"/>
              <w:left w:val="single" w:sz="4" w:space="0" w:color="FFFFFF"/>
              <w:bottom w:val="single" w:sz="4" w:space="0" w:color="4F81BD"/>
              <w:right w:val="single" w:sz="4" w:space="0" w:color="FFFFFF"/>
            </w:tcBorders>
            <w:vAlign w:val="center"/>
            <w:hideMark/>
          </w:tcPr>
          <w:p w14:paraId="66A9A9CC" w14:textId="77777777" w:rsidR="00756487" w:rsidRPr="001F003D" w:rsidRDefault="00756487" w:rsidP="00A06393">
            <w:pPr>
              <w:spacing w:before="0" w:after="0" w:line="240" w:lineRule="auto"/>
              <w:rPr>
                <w:rFonts w:ascii="Calibri" w:eastAsia="Times New Roman" w:hAnsi="Calibri" w:cs="Calibri"/>
                <w:color w:val="0F6FC6" w:themeColor="accent1"/>
                <w:sz w:val="16"/>
                <w:szCs w:val="16"/>
                <w:lang w:val="en-US"/>
              </w:rPr>
            </w:pPr>
          </w:p>
        </w:tc>
        <w:tc>
          <w:tcPr>
            <w:tcW w:w="1871" w:type="dxa"/>
            <w:tcBorders>
              <w:top w:val="nil"/>
              <w:left w:val="nil"/>
              <w:bottom w:val="single" w:sz="4" w:space="0" w:color="4F81BD"/>
              <w:right w:val="single" w:sz="4" w:space="0" w:color="FFFFFF"/>
            </w:tcBorders>
            <w:shd w:val="clear" w:color="auto" w:fill="auto"/>
            <w:vAlign w:val="center"/>
            <w:hideMark/>
          </w:tcPr>
          <w:p w14:paraId="15E3E88E" w14:textId="77777777" w:rsidR="00756487" w:rsidRPr="001F003D" w:rsidRDefault="00756487" w:rsidP="00A06393">
            <w:pPr>
              <w:spacing w:before="0" w:after="0" w:line="240" w:lineRule="auto"/>
              <w:jc w:val="right"/>
              <w:rPr>
                <w:rFonts w:ascii="Calibri" w:eastAsia="Times New Roman" w:hAnsi="Calibri" w:cs="Calibri"/>
                <w:color w:val="0F6FC6" w:themeColor="accent1"/>
                <w:sz w:val="14"/>
                <w:szCs w:val="16"/>
                <w:lang w:val="en-US"/>
              </w:rPr>
            </w:pPr>
            <w:r w:rsidRPr="001F003D">
              <w:rPr>
                <w:rFonts w:ascii="Calibri" w:eastAsia="Times New Roman" w:hAnsi="Calibri" w:cs="Calibri"/>
                <w:color w:val="0F6FC6" w:themeColor="accent1"/>
                <w:sz w:val="14"/>
                <w:szCs w:val="16"/>
                <w:lang w:val="en-US"/>
              </w:rPr>
              <w:t xml:space="preserve">mii lei </w:t>
            </w:r>
          </w:p>
        </w:tc>
        <w:tc>
          <w:tcPr>
            <w:tcW w:w="2063" w:type="dxa"/>
            <w:tcBorders>
              <w:top w:val="nil"/>
              <w:left w:val="nil"/>
              <w:bottom w:val="single" w:sz="4" w:space="0" w:color="4F81BD"/>
            </w:tcBorders>
            <w:shd w:val="clear" w:color="auto" w:fill="auto"/>
            <w:vAlign w:val="center"/>
            <w:hideMark/>
          </w:tcPr>
          <w:p w14:paraId="635D4336" w14:textId="77777777" w:rsidR="00756487" w:rsidRPr="001F003D" w:rsidRDefault="00756487" w:rsidP="00A06393">
            <w:pPr>
              <w:spacing w:before="0" w:after="0" w:line="240" w:lineRule="auto"/>
              <w:jc w:val="right"/>
              <w:rPr>
                <w:rFonts w:ascii="Calibri" w:eastAsia="Times New Roman" w:hAnsi="Calibri" w:cs="Calibri"/>
                <w:color w:val="0F6FC6" w:themeColor="accent1"/>
                <w:sz w:val="14"/>
                <w:szCs w:val="16"/>
                <w:lang w:val="en-US"/>
              </w:rPr>
            </w:pPr>
            <w:r w:rsidRPr="001F003D">
              <w:rPr>
                <w:rFonts w:ascii="Calibri" w:eastAsia="Times New Roman" w:hAnsi="Calibri" w:cs="Calibri"/>
                <w:color w:val="0F6FC6" w:themeColor="accent1"/>
                <w:sz w:val="14"/>
                <w:szCs w:val="16"/>
                <w:lang w:val="en-US"/>
              </w:rPr>
              <w:t>mii lei</w:t>
            </w:r>
          </w:p>
        </w:tc>
      </w:tr>
      <w:tr w:rsidR="00756487" w:rsidRPr="005F0C66" w14:paraId="33E5151E" w14:textId="77777777" w:rsidTr="001F003D">
        <w:trPr>
          <w:trHeight w:val="281"/>
        </w:trPr>
        <w:tc>
          <w:tcPr>
            <w:tcW w:w="559" w:type="dxa"/>
            <w:tcBorders>
              <w:top w:val="nil"/>
              <w:bottom w:val="single" w:sz="4" w:space="0" w:color="FFFFFF"/>
              <w:right w:val="single" w:sz="4" w:space="0" w:color="FFFFFF"/>
            </w:tcBorders>
            <w:shd w:val="clear" w:color="000000" w:fill="FFFFFF"/>
            <w:hideMark/>
          </w:tcPr>
          <w:p w14:paraId="6A0DD837"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1</w:t>
            </w:r>
          </w:p>
        </w:tc>
        <w:tc>
          <w:tcPr>
            <w:tcW w:w="4578" w:type="dxa"/>
            <w:tcBorders>
              <w:top w:val="nil"/>
              <w:left w:val="nil"/>
              <w:bottom w:val="single" w:sz="8" w:space="0" w:color="FFFFFF"/>
              <w:right w:val="single" w:sz="4" w:space="0" w:color="FFFFFF"/>
            </w:tcBorders>
            <w:shd w:val="clear" w:color="000000" w:fill="FFFFFF"/>
            <w:hideMark/>
          </w:tcPr>
          <w:p w14:paraId="302CAB52"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SOCIETATEA DE PRODUCERE A ENERGIEI ELECTRICE IN HIDROCENTRALE " HIDROELECTRICA" S.A.</w:t>
            </w:r>
          </w:p>
        </w:tc>
        <w:tc>
          <w:tcPr>
            <w:tcW w:w="1871" w:type="dxa"/>
            <w:tcBorders>
              <w:top w:val="nil"/>
              <w:left w:val="nil"/>
              <w:bottom w:val="single" w:sz="8" w:space="0" w:color="FFFFFF"/>
              <w:right w:val="single" w:sz="4" w:space="0" w:color="FFFFFF"/>
            </w:tcBorders>
            <w:shd w:val="clear" w:color="auto" w:fill="auto"/>
            <w:hideMark/>
          </w:tcPr>
          <w:p w14:paraId="3CB52D80"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1.451.575</w:t>
            </w:r>
          </w:p>
        </w:tc>
        <w:tc>
          <w:tcPr>
            <w:tcW w:w="2063" w:type="dxa"/>
            <w:tcBorders>
              <w:top w:val="nil"/>
              <w:left w:val="nil"/>
              <w:bottom w:val="single" w:sz="8" w:space="0" w:color="FFFFFF"/>
            </w:tcBorders>
            <w:shd w:val="clear" w:color="auto" w:fill="auto"/>
            <w:hideMark/>
          </w:tcPr>
          <w:p w14:paraId="0D9F50A2"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1.029.819</w:t>
            </w:r>
          </w:p>
        </w:tc>
      </w:tr>
      <w:tr w:rsidR="00756487" w:rsidRPr="005F0C66" w14:paraId="1CE04131"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7667F790"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2</w:t>
            </w:r>
          </w:p>
        </w:tc>
        <w:tc>
          <w:tcPr>
            <w:tcW w:w="4578" w:type="dxa"/>
            <w:tcBorders>
              <w:top w:val="nil"/>
              <w:left w:val="nil"/>
              <w:bottom w:val="single" w:sz="8" w:space="0" w:color="FFFFFF"/>
              <w:right w:val="single" w:sz="4" w:space="0" w:color="FFFFFF"/>
            </w:tcBorders>
            <w:shd w:val="clear" w:color="000000" w:fill="FFFFFF"/>
            <w:hideMark/>
          </w:tcPr>
          <w:p w14:paraId="0D913D16"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SOCIETATEA NATIONALA "NUCLEARELECTRICA" SA</w:t>
            </w:r>
          </w:p>
        </w:tc>
        <w:tc>
          <w:tcPr>
            <w:tcW w:w="1871" w:type="dxa"/>
            <w:tcBorders>
              <w:top w:val="single" w:sz="4" w:space="0" w:color="4F81BD"/>
              <w:left w:val="nil"/>
              <w:bottom w:val="single" w:sz="8" w:space="0" w:color="FFFFFF"/>
              <w:right w:val="single" w:sz="4" w:space="0" w:color="FFFFFF"/>
            </w:tcBorders>
            <w:shd w:val="clear" w:color="auto" w:fill="auto"/>
            <w:hideMark/>
          </w:tcPr>
          <w:p w14:paraId="17E12C84"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1.278.885</w:t>
            </w:r>
          </w:p>
        </w:tc>
        <w:tc>
          <w:tcPr>
            <w:tcW w:w="2063" w:type="dxa"/>
            <w:tcBorders>
              <w:top w:val="single" w:sz="4" w:space="0" w:color="4F81BD"/>
              <w:left w:val="nil"/>
              <w:bottom w:val="single" w:sz="8" w:space="0" w:color="FFFFFF"/>
            </w:tcBorders>
            <w:shd w:val="clear" w:color="auto" w:fill="auto"/>
            <w:hideMark/>
          </w:tcPr>
          <w:p w14:paraId="34758E48"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482.983</w:t>
            </w:r>
          </w:p>
        </w:tc>
      </w:tr>
      <w:tr w:rsidR="00756487" w:rsidRPr="005F0C66" w14:paraId="1434011A"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6231B0E4"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3</w:t>
            </w:r>
          </w:p>
        </w:tc>
        <w:tc>
          <w:tcPr>
            <w:tcW w:w="4578" w:type="dxa"/>
            <w:tcBorders>
              <w:top w:val="nil"/>
              <w:left w:val="nil"/>
              <w:bottom w:val="single" w:sz="8" w:space="0" w:color="FFFFFF"/>
              <w:right w:val="single" w:sz="4" w:space="0" w:color="FFFFFF"/>
            </w:tcBorders>
            <w:shd w:val="clear" w:color="000000" w:fill="FFFFFF"/>
            <w:hideMark/>
          </w:tcPr>
          <w:p w14:paraId="275C0E98"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SOCIETATEA NATIONALA DE GAZE NATURALE " ROMGAZ " SA</w:t>
            </w:r>
          </w:p>
        </w:tc>
        <w:tc>
          <w:tcPr>
            <w:tcW w:w="1871" w:type="dxa"/>
            <w:tcBorders>
              <w:top w:val="single" w:sz="4" w:space="0" w:color="4F81BD"/>
              <w:left w:val="nil"/>
              <w:bottom w:val="single" w:sz="8" w:space="0" w:color="FFFFFF"/>
              <w:right w:val="single" w:sz="4" w:space="0" w:color="FFFFFF"/>
            </w:tcBorders>
            <w:shd w:val="clear" w:color="auto" w:fill="auto"/>
            <w:hideMark/>
          </w:tcPr>
          <w:p w14:paraId="11A8A90D"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699.322</w:t>
            </w:r>
          </w:p>
        </w:tc>
        <w:tc>
          <w:tcPr>
            <w:tcW w:w="2063" w:type="dxa"/>
            <w:tcBorders>
              <w:top w:val="single" w:sz="4" w:space="0" w:color="4F81BD"/>
              <w:left w:val="nil"/>
              <w:bottom w:val="single" w:sz="8" w:space="0" w:color="FFFFFF"/>
            </w:tcBorders>
            <w:shd w:val="clear" w:color="auto" w:fill="auto"/>
            <w:hideMark/>
          </w:tcPr>
          <w:p w14:paraId="0E6A044F"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389.488</w:t>
            </w:r>
          </w:p>
        </w:tc>
      </w:tr>
      <w:tr w:rsidR="00756487" w:rsidRPr="005F0C66" w14:paraId="7751822A"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2A1AF0FA"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4</w:t>
            </w:r>
          </w:p>
        </w:tc>
        <w:tc>
          <w:tcPr>
            <w:tcW w:w="4578" w:type="dxa"/>
            <w:tcBorders>
              <w:top w:val="nil"/>
              <w:left w:val="nil"/>
              <w:bottom w:val="single" w:sz="8" w:space="0" w:color="FFFFFF"/>
              <w:right w:val="single" w:sz="4" w:space="0" w:color="FFFFFF"/>
            </w:tcBorders>
            <w:shd w:val="clear" w:color="000000" w:fill="FFFFFF"/>
            <w:hideMark/>
          </w:tcPr>
          <w:p w14:paraId="669B78F1"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COMPANIA NATIONALA "IMPRIMERIA NATIONALA" SA</w:t>
            </w:r>
          </w:p>
        </w:tc>
        <w:tc>
          <w:tcPr>
            <w:tcW w:w="1871" w:type="dxa"/>
            <w:tcBorders>
              <w:top w:val="single" w:sz="4" w:space="0" w:color="4F81BD"/>
              <w:left w:val="nil"/>
              <w:bottom w:val="single" w:sz="8" w:space="0" w:color="FFFFFF"/>
              <w:right w:val="single" w:sz="4" w:space="0" w:color="FFFFFF"/>
            </w:tcBorders>
            <w:shd w:val="clear" w:color="auto" w:fill="auto"/>
            <w:hideMark/>
          </w:tcPr>
          <w:p w14:paraId="757B9262"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396.628</w:t>
            </w:r>
          </w:p>
        </w:tc>
        <w:tc>
          <w:tcPr>
            <w:tcW w:w="2063" w:type="dxa"/>
            <w:tcBorders>
              <w:top w:val="single" w:sz="4" w:space="0" w:color="4F81BD"/>
              <w:left w:val="nil"/>
              <w:bottom w:val="single" w:sz="8" w:space="0" w:color="FFFFFF"/>
            </w:tcBorders>
            <w:shd w:val="clear" w:color="auto" w:fill="auto"/>
            <w:hideMark/>
          </w:tcPr>
          <w:p w14:paraId="20ABBBD4"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188.543</w:t>
            </w:r>
          </w:p>
        </w:tc>
      </w:tr>
      <w:tr w:rsidR="00756487" w:rsidRPr="005F0C66" w14:paraId="262AF7C1"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0CFB7069"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5</w:t>
            </w:r>
          </w:p>
        </w:tc>
        <w:tc>
          <w:tcPr>
            <w:tcW w:w="4578" w:type="dxa"/>
            <w:tcBorders>
              <w:top w:val="nil"/>
              <w:left w:val="nil"/>
              <w:bottom w:val="single" w:sz="8" w:space="0" w:color="FFFFFF"/>
              <w:right w:val="single" w:sz="4" w:space="0" w:color="FFFFFF"/>
            </w:tcBorders>
            <w:shd w:val="clear" w:color="000000" w:fill="FFFFFF"/>
            <w:hideMark/>
          </w:tcPr>
          <w:p w14:paraId="25141608"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COMPANIA NATIONALA "AEROPORTURI BUCURESTI" SA</w:t>
            </w:r>
          </w:p>
        </w:tc>
        <w:tc>
          <w:tcPr>
            <w:tcW w:w="1871" w:type="dxa"/>
            <w:tcBorders>
              <w:top w:val="single" w:sz="4" w:space="0" w:color="4F81BD"/>
              <w:left w:val="nil"/>
              <w:bottom w:val="single" w:sz="8" w:space="0" w:color="FFFFFF"/>
              <w:right w:val="single" w:sz="4" w:space="0" w:color="FFFFFF"/>
            </w:tcBorders>
            <w:shd w:val="clear" w:color="auto" w:fill="auto"/>
            <w:hideMark/>
          </w:tcPr>
          <w:p w14:paraId="0E9DF8FE"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192.586</w:t>
            </w:r>
          </w:p>
        </w:tc>
        <w:tc>
          <w:tcPr>
            <w:tcW w:w="2063" w:type="dxa"/>
            <w:tcBorders>
              <w:top w:val="single" w:sz="4" w:space="0" w:color="4F81BD"/>
              <w:left w:val="nil"/>
              <w:bottom w:val="single" w:sz="8" w:space="0" w:color="FFFFFF"/>
            </w:tcBorders>
            <w:shd w:val="clear" w:color="auto" w:fill="auto"/>
            <w:hideMark/>
          </w:tcPr>
          <w:p w14:paraId="5D65D1B5"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175.212</w:t>
            </w:r>
          </w:p>
        </w:tc>
      </w:tr>
      <w:tr w:rsidR="00756487" w:rsidRPr="005F0C66" w14:paraId="4B34E94C"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596F6946"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6</w:t>
            </w:r>
          </w:p>
        </w:tc>
        <w:tc>
          <w:tcPr>
            <w:tcW w:w="4578" w:type="dxa"/>
            <w:tcBorders>
              <w:top w:val="nil"/>
              <w:left w:val="nil"/>
              <w:bottom w:val="single" w:sz="8" w:space="0" w:color="FFFFFF"/>
              <w:right w:val="single" w:sz="4" w:space="0" w:color="FFFFFF"/>
            </w:tcBorders>
            <w:shd w:val="clear" w:color="000000" w:fill="FFFFFF"/>
            <w:hideMark/>
          </w:tcPr>
          <w:p w14:paraId="22268B2E"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SOCIETATEA NAŢIONALĂ DE TRANSPORT GAZE NATURALE TRANSGAZ SA</w:t>
            </w:r>
          </w:p>
        </w:tc>
        <w:tc>
          <w:tcPr>
            <w:tcW w:w="1871" w:type="dxa"/>
            <w:tcBorders>
              <w:top w:val="single" w:sz="4" w:space="0" w:color="4F81BD"/>
              <w:left w:val="nil"/>
              <w:bottom w:val="single" w:sz="8" w:space="0" w:color="FFFFFF"/>
              <w:right w:val="single" w:sz="4" w:space="0" w:color="FFFFFF"/>
            </w:tcBorders>
            <w:shd w:val="clear" w:color="auto" w:fill="auto"/>
            <w:hideMark/>
          </w:tcPr>
          <w:p w14:paraId="3BB63B01"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128.418</w:t>
            </w:r>
          </w:p>
        </w:tc>
        <w:tc>
          <w:tcPr>
            <w:tcW w:w="2063" w:type="dxa"/>
            <w:tcBorders>
              <w:top w:val="single" w:sz="4" w:space="0" w:color="4F81BD"/>
              <w:left w:val="nil"/>
              <w:bottom w:val="single" w:sz="8" w:space="0" w:color="FFFFFF"/>
            </w:tcBorders>
            <w:shd w:val="clear" w:color="auto" w:fill="auto"/>
            <w:hideMark/>
          </w:tcPr>
          <w:p w14:paraId="5902604A"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125.048</w:t>
            </w:r>
          </w:p>
        </w:tc>
      </w:tr>
      <w:tr w:rsidR="00756487" w:rsidRPr="005F0C66" w14:paraId="604CD133"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47E6F076"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7</w:t>
            </w:r>
          </w:p>
        </w:tc>
        <w:tc>
          <w:tcPr>
            <w:tcW w:w="4578" w:type="dxa"/>
            <w:tcBorders>
              <w:top w:val="nil"/>
              <w:left w:val="nil"/>
              <w:bottom w:val="single" w:sz="8" w:space="0" w:color="FFFFFF"/>
              <w:right w:val="single" w:sz="4" w:space="0" w:color="FFFFFF"/>
            </w:tcBorders>
            <w:shd w:val="clear" w:color="000000" w:fill="FFFFFF"/>
            <w:hideMark/>
          </w:tcPr>
          <w:p w14:paraId="01A3AF45"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REGISTRUL AUTO ROMAN RA</w:t>
            </w:r>
          </w:p>
        </w:tc>
        <w:tc>
          <w:tcPr>
            <w:tcW w:w="1871" w:type="dxa"/>
            <w:tcBorders>
              <w:top w:val="single" w:sz="4" w:space="0" w:color="4F81BD"/>
              <w:left w:val="nil"/>
              <w:bottom w:val="single" w:sz="8" w:space="0" w:color="FFFFFF"/>
              <w:right w:val="single" w:sz="4" w:space="0" w:color="FFFFFF"/>
            </w:tcBorders>
            <w:shd w:val="clear" w:color="auto" w:fill="auto"/>
            <w:hideMark/>
          </w:tcPr>
          <w:p w14:paraId="7F8799B8"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175.001</w:t>
            </w:r>
          </w:p>
        </w:tc>
        <w:tc>
          <w:tcPr>
            <w:tcW w:w="2063" w:type="dxa"/>
            <w:tcBorders>
              <w:top w:val="single" w:sz="4" w:space="0" w:color="4F81BD"/>
              <w:left w:val="nil"/>
              <w:bottom w:val="single" w:sz="8" w:space="0" w:color="FFFFFF"/>
            </w:tcBorders>
            <w:shd w:val="clear" w:color="auto" w:fill="auto"/>
            <w:hideMark/>
          </w:tcPr>
          <w:p w14:paraId="102115C5"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56.075</w:t>
            </w:r>
          </w:p>
        </w:tc>
      </w:tr>
      <w:tr w:rsidR="00756487" w:rsidRPr="005F0C66" w14:paraId="023F7846" w14:textId="77777777" w:rsidTr="001F003D">
        <w:trPr>
          <w:trHeight w:val="281"/>
        </w:trPr>
        <w:tc>
          <w:tcPr>
            <w:tcW w:w="559" w:type="dxa"/>
            <w:tcBorders>
              <w:top w:val="nil"/>
              <w:bottom w:val="single" w:sz="4" w:space="0" w:color="FFFFFF"/>
              <w:right w:val="single" w:sz="4" w:space="0" w:color="FFFFFF"/>
            </w:tcBorders>
            <w:shd w:val="clear" w:color="000000" w:fill="FFFFFF"/>
            <w:hideMark/>
          </w:tcPr>
          <w:p w14:paraId="7E0278ED"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8</w:t>
            </w:r>
          </w:p>
        </w:tc>
        <w:tc>
          <w:tcPr>
            <w:tcW w:w="4578" w:type="dxa"/>
            <w:tcBorders>
              <w:top w:val="nil"/>
              <w:left w:val="nil"/>
              <w:bottom w:val="nil"/>
              <w:right w:val="single" w:sz="4" w:space="0" w:color="FFFFFF"/>
            </w:tcBorders>
            <w:shd w:val="clear" w:color="000000" w:fill="FFFFFF"/>
            <w:hideMark/>
          </w:tcPr>
          <w:p w14:paraId="3FE60F6A"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FONDUL NATIONAL DE GARANTARE A CREDITELOR PENTRU INTREPRINDERILE MICI SI MIJLOCII SA - IFN</w:t>
            </w:r>
          </w:p>
        </w:tc>
        <w:tc>
          <w:tcPr>
            <w:tcW w:w="1871" w:type="dxa"/>
            <w:tcBorders>
              <w:top w:val="single" w:sz="4" w:space="0" w:color="4F81BD"/>
              <w:left w:val="nil"/>
              <w:bottom w:val="single" w:sz="8" w:space="0" w:color="FFFFFF"/>
              <w:right w:val="single" w:sz="4" w:space="0" w:color="FFFFFF"/>
            </w:tcBorders>
            <w:shd w:val="clear" w:color="auto" w:fill="auto"/>
            <w:hideMark/>
          </w:tcPr>
          <w:p w14:paraId="77EA1DF6"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60.847</w:t>
            </w:r>
          </w:p>
        </w:tc>
        <w:tc>
          <w:tcPr>
            <w:tcW w:w="2063" w:type="dxa"/>
            <w:tcBorders>
              <w:top w:val="single" w:sz="4" w:space="0" w:color="4F81BD"/>
              <w:left w:val="nil"/>
              <w:bottom w:val="single" w:sz="8" w:space="0" w:color="FFFFFF"/>
            </w:tcBorders>
            <w:shd w:val="clear" w:color="auto" w:fill="auto"/>
            <w:hideMark/>
          </w:tcPr>
          <w:p w14:paraId="6B8C5901"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35.058</w:t>
            </w:r>
          </w:p>
        </w:tc>
      </w:tr>
      <w:tr w:rsidR="00756487" w:rsidRPr="005F0C66" w14:paraId="31EC2A3D" w14:textId="77777777" w:rsidTr="001F003D">
        <w:trPr>
          <w:trHeight w:val="237"/>
        </w:trPr>
        <w:tc>
          <w:tcPr>
            <w:tcW w:w="559" w:type="dxa"/>
            <w:tcBorders>
              <w:top w:val="nil"/>
              <w:bottom w:val="single" w:sz="4" w:space="0" w:color="FFFFFF"/>
              <w:right w:val="single" w:sz="4" w:space="0" w:color="FFFFFF"/>
            </w:tcBorders>
            <w:shd w:val="clear" w:color="000000" w:fill="FFFFFF"/>
            <w:hideMark/>
          </w:tcPr>
          <w:p w14:paraId="57F5C11D"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9</w:t>
            </w:r>
          </w:p>
        </w:tc>
        <w:tc>
          <w:tcPr>
            <w:tcW w:w="4578" w:type="dxa"/>
            <w:tcBorders>
              <w:top w:val="nil"/>
              <w:left w:val="nil"/>
              <w:bottom w:val="single" w:sz="8" w:space="0" w:color="FFFFFF"/>
              <w:right w:val="single" w:sz="4" w:space="0" w:color="FFFFFF"/>
            </w:tcBorders>
            <w:shd w:val="clear" w:color="000000" w:fill="FFFFFF"/>
            <w:hideMark/>
          </w:tcPr>
          <w:p w14:paraId="09FE4B69"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COMPANIA NATIONALA "LOTERIA ROMANA" SA</w:t>
            </w:r>
          </w:p>
        </w:tc>
        <w:tc>
          <w:tcPr>
            <w:tcW w:w="1871" w:type="dxa"/>
            <w:tcBorders>
              <w:top w:val="single" w:sz="4" w:space="0" w:color="4F81BD"/>
              <w:left w:val="nil"/>
              <w:bottom w:val="single" w:sz="8" w:space="0" w:color="FFFFFF"/>
              <w:right w:val="single" w:sz="4" w:space="0" w:color="FFFFFF"/>
            </w:tcBorders>
            <w:shd w:val="clear" w:color="auto" w:fill="auto"/>
            <w:hideMark/>
          </w:tcPr>
          <w:p w14:paraId="7B9FA567"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130.290</w:t>
            </w:r>
          </w:p>
        </w:tc>
        <w:tc>
          <w:tcPr>
            <w:tcW w:w="2063" w:type="dxa"/>
            <w:tcBorders>
              <w:top w:val="single" w:sz="4" w:space="0" w:color="4F81BD"/>
              <w:left w:val="nil"/>
              <w:bottom w:val="single" w:sz="8" w:space="0" w:color="FFFFFF"/>
            </w:tcBorders>
            <w:shd w:val="clear" w:color="auto" w:fill="auto"/>
            <w:hideMark/>
          </w:tcPr>
          <w:p w14:paraId="36994B57"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26.766</w:t>
            </w:r>
          </w:p>
        </w:tc>
      </w:tr>
      <w:tr w:rsidR="00756487" w:rsidRPr="005F0C66" w14:paraId="434ABED0" w14:textId="77777777" w:rsidTr="001F003D">
        <w:trPr>
          <w:trHeight w:val="225"/>
        </w:trPr>
        <w:tc>
          <w:tcPr>
            <w:tcW w:w="559" w:type="dxa"/>
            <w:tcBorders>
              <w:top w:val="nil"/>
              <w:bottom w:val="nil"/>
              <w:right w:val="single" w:sz="4" w:space="0" w:color="FFFFFF"/>
            </w:tcBorders>
            <w:shd w:val="clear" w:color="000000" w:fill="FFFFFF"/>
            <w:hideMark/>
          </w:tcPr>
          <w:p w14:paraId="4C1D33A3" w14:textId="77777777" w:rsidR="00756487" w:rsidRPr="001F003D" w:rsidRDefault="00756487" w:rsidP="00A06393">
            <w:pPr>
              <w:spacing w:before="0" w:after="0" w:line="240" w:lineRule="auto"/>
              <w:jc w:val="center"/>
              <w:rPr>
                <w:rFonts w:ascii="Calibri" w:eastAsia="Times New Roman" w:hAnsi="Calibri" w:cs="Calibri"/>
                <w:b/>
                <w:bCs/>
                <w:sz w:val="16"/>
                <w:szCs w:val="14"/>
                <w:lang w:val="en-US"/>
              </w:rPr>
            </w:pPr>
            <w:r w:rsidRPr="001F003D">
              <w:rPr>
                <w:rFonts w:ascii="Calibri" w:eastAsia="Times New Roman" w:hAnsi="Calibri" w:cs="Calibri"/>
                <w:b/>
                <w:bCs/>
                <w:sz w:val="16"/>
                <w:szCs w:val="14"/>
                <w:lang w:val="en-US"/>
              </w:rPr>
              <w:t>10</w:t>
            </w:r>
          </w:p>
        </w:tc>
        <w:tc>
          <w:tcPr>
            <w:tcW w:w="4578" w:type="dxa"/>
            <w:tcBorders>
              <w:top w:val="nil"/>
              <w:left w:val="nil"/>
              <w:bottom w:val="single" w:sz="4" w:space="0" w:color="4F81BD"/>
              <w:right w:val="single" w:sz="4" w:space="0" w:color="FFFFFF"/>
            </w:tcBorders>
            <w:shd w:val="clear" w:color="000000" w:fill="FFFFFF"/>
            <w:hideMark/>
          </w:tcPr>
          <w:p w14:paraId="1752C703" w14:textId="77777777" w:rsidR="00756487" w:rsidRPr="001F003D" w:rsidRDefault="00756487" w:rsidP="00A06393">
            <w:pPr>
              <w:spacing w:before="0" w:after="0" w:line="240" w:lineRule="auto"/>
              <w:rPr>
                <w:rFonts w:ascii="Calibri" w:eastAsia="Times New Roman" w:hAnsi="Calibri" w:cs="Calibri"/>
                <w:sz w:val="16"/>
                <w:szCs w:val="14"/>
                <w:lang w:val="en-US"/>
              </w:rPr>
            </w:pPr>
            <w:r w:rsidRPr="001F003D">
              <w:rPr>
                <w:rFonts w:ascii="Calibri" w:eastAsia="Times New Roman" w:hAnsi="Calibri" w:cs="Calibri"/>
                <w:sz w:val="16"/>
                <w:szCs w:val="14"/>
                <w:lang w:val="en-US"/>
              </w:rPr>
              <w:t>REGIA NATIONALA A PADURILOR ROMSILVA RA</w:t>
            </w:r>
          </w:p>
        </w:tc>
        <w:tc>
          <w:tcPr>
            <w:tcW w:w="1871" w:type="dxa"/>
            <w:tcBorders>
              <w:top w:val="nil"/>
              <w:left w:val="nil"/>
              <w:bottom w:val="single" w:sz="4" w:space="0" w:color="4F81BD"/>
              <w:right w:val="single" w:sz="4" w:space="0" w:color="FFFFFF"/>
            </w:tcBorders>
            <w:shd w:val="clear" w:color="auto" w:fill="auto"/>
            <w:hideMark/>
          </w:tcPr>
          <w:p w14:paraId="5DA98CEA"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144.957</w:t>
            </w:r>
          </w:p>
        </w:tc>
        <w:tc>
          <w:tcPr>
            <w:tcW w:w="2063" w:type="dxa"/>
            <w:tcBorders>
              <w:top w:val="nil"/>
              <w:left w:val="nil"/>
              <w:bottom w:val="single" w:sz="4" w:space="0" w:color="4F81BD"/>
            </w:tcBorders>
            <w:shd w:val="clear" w:color="auto" w:fill="auto"/>
            <w:hideMark/>
          </w:tcPr>
          <w:p w14:paraId="4C8FCA25" w14:textId="77777777" w:rsidR="00756487" w:rsidRPr="001F003D" w:rsidRDefault="00756487" w:rsidP="00A06393">
            <w:pPr>
              <w:spacing w:before="0" w:after="0" w:line="240" w:lineRule="auto"/>
              <w:jc w:val="right"/>
              <w:rPr>
                <w:rFonts w:ascii="Calibri" w:eastAsia="Times New Roman" w:hAnsi="Calibri" w:cs="Calibri"/>
                <w:sz w:val="16"/>
                <w:szCs w:val="14"/>
                <w:lang w:val="en-US"/>
              </w:rPr>
            </w:pPr>
            <w:r w:rsidRPr="001F003D">
              <w:rPr>
                <w:rFonts w:ascii="Calibri" w:eastAsia="Times New Roman" w:hAnsi="Calibri" w:cs="Calibri"/>
                <w:sz w:val="16"/>
                <w:szCs w:val="14"/>
                <w:lang w:val="en-US"/>
              </w:rPr>
              <w:t>25.382</w:t>
            </w:r>
          </w:p>
        </w:tc>
      </w:tr>
      <w:tr w:rsidR="00756487" w:rsidRPr="005F0C66" w14:paraId="068FE7C9" w14:textId="77777777" w:rsidTr="001F003D">
        <w:trPr>
          <w:trHeight w:val="338"/>
        </w:trPr>
        <w:tc>
          <w:tcPr>
            <w:tcW w:w="5137" w:type="dxa"/>
            <w:gridSpan w:val="2"/>
            <w:tcBorders>
              <w:top w:val="single" w:sz="4" w:space="0" w:color="4F81BD"/>
              <w:bottom w:val="single" w:sz="8" w:space="0" w:color="4F81BD"/>
              <w:right w:val="single" w:sz="4" w:space="0" w:color="FFFFFF"/>
            </w:tcBorders>
            <w:shd w:val="clear" w:color="auto" w:fill="auto"/>
            <w:hideMark/>
          </w:tcPr>
          <w:p w14:paraId="25871572" w14:textId="77777777" w:rsidR="00756487" w:rsidRPr="005E4009" w:rsidRDefault="00756487" w:rsidP="00A06393">
            <w:pPr>
              <w:spacing w:before="0" w:after="0" w:line="240" w:lineRule="auto"/>
              <w:rPr>
                <w:rFonts w:ascii="Calibri" w:eastAsia="Times New Roman" w:hAnsi="Calibri" w:cs="Calibri"/>
                <w:bCs/>
                <w:sz w:val="16"/>
                <w:szCs w:val="14"/>
                <w:lang w:val="en-US"/>
              </w:rPr>
            </w:pPr>
            <w:r w:rsidRPr="005E4009">
              <w:rPr>
                <w:rFonts w:ascii="Calibri" w:eastAsia="Times New Roman" w:hAnsi="Calibri" w:cs="Calibri"/>
                <w:bCs/>
                <w:sz w:val="16"/>
                <w:szCs w:val="14"/>
                <w:lang w:val="en-US"/>
              </w:rPr>
              <w:t>Total primele zece întreprinderi publice după dividende/vărsăminte repartizate la bugetul de stat</w:t>
            </w:r>
          </w:p>
        </w:tc>
        <w:tc>
          <w:tcPr>
            <w:tcW w:w="1871" w:type="dxa"/>
            <w:tcBorders>
              <w:top w:val="nil"/>
              <w:left w:val="nil"/>
              <w:bottom w:val="single" w:sz="8" w:space="0" w:color="4F81BD"/>
              <w:right w:val="single" w:sz="4" w:space="0" w:color="FFFFFF"/>
            </w:tcBorders>
            <w:shd w:val="clear" w:color="auto" w:fill="auto"/>
            <w:noWrap/>
            <w:hideMark/>
          </w:tcPr>
          <w:p w14:paraId="4A4E6EC3" w14:textId="77777777" w:rsidR="00756487" w:rsidRPr="005E4009" w:rsidRDefault="00756487" w:rsidP="00A06393">
            <w:pPr>
              <w:spacing w:before="0" w:after="0" w:line="240" w:lineRule="auto"/>
              <w:jc w:val="right"/>
              <w:rPr>
                <w:rFonts w:ascii="Calibri" w:eastAsia="Times New Roman" w:hAnsi="Calibri" w:cs="Calibri"/>
                <w:bCs/>
                <w:sz w:val="16"/>
                <w:szCs w:val="14"/>
                <w:lang w:val="en-US"/>
              </w:rPr>
            </w:pPr>
            <w:r w:rsidRPr="005E4009">
              <w:rPr>
                <w:rFonts w:ascii="Calibri" w:eastAsia="Times New Roman" w:hAnsi="Calibri" w:cs="Calibri"/>
                <w:bCs/>
                <w:sz w:val="16"/>
                <w:szCs w:val="14"/>
                <w:lang w:val="en-US"/>
              </w:rPr>
              <w:t>4.658.508</w:t>
            </w:r>
          </w:p>
        </w:tc>
        <w:tc>
          <w:tcPr>
            <w:tcW w:w="2063" w:type="dxa"/>
            <w:tcBorders>
              <w:top w:val="nil"/>
              <w:left w:val="nil"/>
              <w:bottom w:val="single" w:sz="8" w:space="0" w:color="4F81BD"/>
            </w:tcBorders>
            <w:shd w:val="clear" w:color="auto" w:fill="auto"/>
            <w:noWrap/>
            <w:hideMark/>
          </w:tcPr>
          <w:p w14:paraId="3DFBF918" w14:textId="77777777" w:rsidR="00756487" w:rsidRPr="005E4009" w:rsidRDefault="00756487" w:rsidP="00A06393">
            <w:pPr>
              <w:spacing w:before="0" w:after="0" w:line="240" w:lineRule="auto"/>
              <w:jc w:val="right"/>
              <w:rPr>
                <w:rFonts w:ascii="Calibri" w:eastAsia="Times New Roman" w:hAnsi="Calibri" w:cs="Calibri"/>
                <w:bCs/>
                <w:sz w:val="16"/>
                <w:szCs w:val="14"/>
                <w:lang w:val="en-US"/>
              </w:rPr>
            </w:pPr>
            <w:r w:rsidRPr="005E4009">
              <w:rPr>
                <w:rFonts w:ascii="Calibri" w:eastAsia="Times New Roman" w:hAnsi="Calibri" w:cs="Calibri"/>
                <w:bCs/>
                <w:sz w:val="16"/>
                <w:szCs w:val="14"/>
                <w:lang w:val="en-US"/>
              </w:rPr>
              <w:t>2.534.374</w:t>
            </w:r>
          </w:p>
        </w:tc>
      </w:tr>
    </w:tbl>
    <w:p w14:paraId="59BBCA3B" w14:textId="77777777" w:rsidR="00756487" w:rsidRPr="00F53D1F" w:rsidRDefault="00756487" w:rsidP="00756487">
      <w:pPr>
        <w:jc w:val="both"/>
        <w:rPr>
          <w:sz w:val="22"/>
          <w:szCs w:val="22"/>
        </w:rPr>
      </w:pPr>
      <w:r>
        <w:fldChar w:fldCharType="begin"/>
      </w:r>
      <w:r>
        <w:instrText xml:space="preserve"> LINK Excel.Sheet.12 "D:\\Mariana Maftei\\4. - Raportul IP\\raport 2020\\BAZA DATE 2018 date-indicatori.xlsx" "tab div top 10!R8C1:R23C4" \a \f 4 \h  \* MERGEFORMAT </w:instrText>
      </w:r>
      <w:r>
        <w:fldChar w:fldCharType="separate"/>
      </w:r>
    </w:p>
    <w:p w14:paraId="144A2CD3" w14:textId="77777777" w:rsidR="00756487" w:rsidRDefault="00756487" w:rsidP="00756487">
      <w:pPr>
        <w:jc w:val="both"/>
        <w:rPr>
          <w:rFonts w:asciiTheme="majorHAnsi" w:hAnsiTheme="majorHAnsi" w:cstheme="majorBidi"/>
        </w:rPr>
      </w:pPr>
      <w:r>
        <w:rPr>
          <w:rFonts w:asciiTheme="majorHAnsi" w:hAnsiTheme="majorHAnsi" w:cstheme="majorBidi"/>
          <w:color w:val="595959" w:themeColor="text1" w:themeTint="A6"/>
        </w:rPr>
        <w:fldChar w:fldCharType="end"/>
      </w:r>
      <w:r w:rsidRPr="00756487">
        <w:rPr>
          <w:rFonts w:asciiTheme="majorHAnsi" w:hAnsiTheme="majorHAnsi" w:cstheme="majorBidi"/>
        </w:rPr>
        <w:t>În anul 2020, primele 10 IPC care au repartizat dividende/vărsăminte la bugetul de stat au avut o pondere de 96,23% din totalul general al dividendelor/vărsămintelor repartizate către bugetul de stat, iar în topul primelor zece ÎPC care au repartizat dividende/vărsăminte la bugetul de stat, în anul 2020 sunt aproximativ aceleași societăți ca în anul precedent. Societatea de Producere a Energiei Electrice in Hidrocentrale "HIDROELECTRICA" S.A. este societatea care a repartizat cea mai mare sumă către stat sub formă de dividende/vărsăminte din profitul net cu o pondere de 39,10% din totalul general al dividendelor/vărsămintelor repartizate către bugetul de stat în anul 2020.</w:t>
      </w:r>
    </w:p>
    <w:p w14:paraId="7CA669FF" w14:textId="77777777" w:rsidR="001F003D" w:rsidRPr="001F003D" w:rsidRDefault="001F003D" w:rsidP="001F003D">
      <w:pPr>
        <w:jc w:val="both"/>
        <w:rPr>
          <w:rFonts w:asciiTheme="majorHAnsi" w:hAnsiTheme="majorHAnsi" w:cstheme="majorBidi"/>
        </w:rPr>
      </w:pPr>
      <w:r w:rsidRPr="001F003D">
        <w:rPr>
          <w:rFonts w:asciiTheme="majorHAnsi" w:hAnsiTheme="majorHAnsi" w:cstheme="majorBidi"/>
        </w:rPr>
        <w:t xml:space="preserve">Dividendele/vărsămintele repartizate și virate la bugetul de stat de către ÎPC în anul 2020 sunt compuse din dividendele/vărsămintele repartizate din profitul net, din alte rezerve și din rezultat reportat. </w:t>
      </w:r>
    </w:p>
    <w:p w14:paraId="173D698E" w14:textId="77777777" w:rsidR="00F02A07" w:rsidRPr="00D95C57" w:rsidRDefault="001F003D" w:rsidP="006F5015">
      <w:pPr>
        <w:jc w:val="both"/>
        <w:rPr>
          <w:rFonts w:asciiTheme="majorHAnsi" w:hAnsiTheme="majorHAnsi" w:cstheme="majorBidi"/>
        </w:rPr>
      </w:pPr>
      <w:r w:rsidRPr="001F003D">
        <w:rPr>
          <w:rFonts w:asciiTheme="majorHAnsi" w:hAnsiTheme="majorHAnsi" w:cstheme="majorBidi"/>
        </w:rPr>
        <w:t xml:space="preserve">Valoarea dividendelor/vărsămintelor repartizate la bugetul de stat de către ÎPC în anul 2020 este de 2.646.062 mii lei și care se compune din dividende repartizate din profitul net  aferent anului 2019 în sumă de 2.633.626 mi lei, precum și din dividende/vărsăminte repartizate din rezultat reportat în sumă de 12.431 mi lei și din dividende/vărsăminte repartizate din Alte rezerve în sumă de 5 mii lei, conform prevederilor OUG </w:t>
      </w:r>
      <w:r>
        <w:rPr>
          <w:rFonts w:asciiTheme="majorHAnsi" w:hAnsiTheme="majorHAnsi" w:cstheme="majorBidi"/>
        </w:rPr>
        <w:t xml:space="preserve">nr. </w:t>
      </w:r>
      <w:r w:rsidRPr="001F003D">
        <w:rPr>
          <w:rFonts w:asciiTheme="majorHAnsi" w:hAnsiTheme="majorHAnsi" w:cstheme="majorBidi"/>
        </w:rPr>
        <w:t>29/2017.</w:t>
      </w:r>
    </w:p>
    <w:p w14:paraId="2A072143" w14:textId="77777777" w:rsidR="0095406E" w:rsidRDefault="0095406E" w:rsidP="006F5015">
      <w:pPr>
        <w:jc w:val="both"/>
        <w:rPr>
          <w:rFonts w:asciiTheme="majorHAnsi" w:hAnsiTheme="majorHAnsi" w:cstheme="majorBidi"/>
        </w:rPr>
      </w:pPr>
    </w:p>
    <w:p w14:paraId="6E93D56A" w14:textId="77777777" w:rsidR="0054644F" w:rsidRDefault="0054644F" w:rsidP="006F5015">
      <w:pPr>
        <w:jc w:val="both"/>
        <w:rPr>
          <w:rFonts w:asciiTheme="majorHAnsi" w:hAnsiTheme="majorHAnsi" w:cstheme="majorBidi"/>
        </w:rPr>
      </w:pPr>
    </w:p>
    <w:p w14:paraId="386F27B0" w14:textId="698DCDE7" w:rsidR="0054644F" w:rsidRDefault="0054644F" w:rsidP="006F5015">
      <w:pPr>
        <w:jc w:val="both"/>
        <w:rPr>
          <w:rFonts w:asciiTheme="majorHAnsi" w:hAnsiTheme="majorHAnsi" w:cstheme="majorBidi"/>
        </w:rPr>
      </w:pPr>
    </w:p>
    <w:p w14:paraId="002114A7" w14:textId="77777777" w:rsidR="00B06C32" w:rsidRDefault="00B06C32" w:rsidP="006F5015">
      <w:pPr>
        <w:jc w:val="both"/>
        <w:rPr>
          <w:rFonts w:asciiTheme="majorHAnsi" w:hAnsiTheme="majorHAnsi" w:cstheme="majorBidi"/>
        </w:rPr>
      </w:pPr>
    </w:p>
    <w:p w14:paraId="1B525F3C" w14:textId="77777777" w:rsidR="0054644F" w:rsidRDefault="0054644F" w:rsidP="006F5015">
      <w:pPr>
        <w:jc w:val="both"/>
        <w:rPr>
          <w:rFonts w:asciiTheme="majorHAnsi" w:hAnsiTheme="majorHAnsi" w:cstheme="majorBidi"/>
        </w:rPr>
      </w:pPr>
    </w:p>
    <w:p w14:paraId="421C4189" w14:textId="77777777" w:rsidR="0054644F" w:rsidRDefault="0054644F" w:rsidP="006F5015">
      <w:pPr>
        <w:jc w:val="both"/>
        <w:rPr>
          <w:rFonts w:asciiTheme="majorHAnsi" w:hAnsiTheme="majorHAnsi" w:cstheme="majorBidi"/>
        </w:rPr>
      </w:pPr>
    </w:p>
    <w:p w14:paraId="510AFC36" w14:textId="77777777" w:rsidR="0054644F" w:rsidRDefault="0054644F" w:rsidP="006F5015">
      <w:pPr>
        <w:jc w:val="both"/>
        <w:rPr>
          <w:rFonts w:asciiTheme="majorHAnsi" w:hAnsiTheme="majorHAnsi" w:cstheme="majorBidi"/>
        </w:rPr>
      </w:pPr>
    </w:p>
    <w:p w14:paraId="2D7A7C7C" w14:textId="77777777" w:rsidR="0054644F" w:rsidRDefault="0054644F" w:rsidP="006F5015">
      <w:pPr>
        <w:jc w:val="both"/>
        <w:rPr>
          <w:rFonts w:asciiTheme="majorHAnsi" w:hAnsiTheme="majorHAnsi" w:cstheme="majorBidi"/>
        </w:rPr>
      </w:pPr>
    </w:p>
    <w:p w14:paraId="4F0664DB" w14:textId="77777777" w:rsidR="0054644F" w:rsidRDefault="0054644F" w:rsidP="006F5015">
      <w:pPr>
        <w:jc w:val="both"/>
        <w:rPr>
          <w:rFonts w:asciiTheme="majorHAnsi" w:hAnsiTheme="majorHAnsi" w:cstheme="majorBidi"/>
        </w:rPr>
      </w:pPr>
    </w:p>
    <w:p w14:paraId="43580E29" w14:textId="77777777" w:rsidR="0054644F" w:rsidRPr="00D95C57" w:rsidRDefault="0054644F" w:rsidP="006F5015">
      <w:pPr>
        <w:jc w:val="both"/>
        <w:rPr>
          <w:rFonts w:asciiTheme="majorHAnsi" w:hAnsiTheme="majorHAnsi" w:cstheme="majorBidi"/>
        </w:rPr>
      </w:pPr>
    </w:p>
    <w:p w14:paraId="24240440" w14:textId="77777777" w:rsidR="00677FE9" w:rsidRPr="00522CC8" w:rsidRDefault="004F0014" w:rsidP="0002056A">
      <w:pPr>
        <w:pStyle w:val="ListParagraph"/>
        <w:ind w:left="0" w:right="-144"/>
        <w:jc w:val="both"/>
        <w:outlineLvl w:val="2"/>
        <w:rPr>
          <w:rFonts w:asciiTheme="majorHAnsi" w:hAnsiTheme="majorHAnsi"/>
          <w:b/>
          <w:bCs/>
          <w:color w:val="0F6FC6" w:themeColor="accent1"/>
          <w:sz w:val="28"/>
          <w:szCs w:val="28"/>
        </w:rPr>
      </w:pPr>
      <w:bookmarkStart w:id="65" w:name="_Toc87875953"/>
      <w:r>
        <w:rPr>
          <w:rFonts w:asciiTheme="majorHAnsi" w:hAnsiTheme="majorHAnsi"/>
          <w:b/>
          <w:bCs/>
          <w:color w:val="0F6FC6" w:themeColor="accent1"/>
          <w:sz w:val="28"/>
          <w:szCs w:val="28"/>
        </w:rPr>
        <w:t>3</w:t>
      </w:r>
      <w:r w:rsidR="00677FE9" w:rsidRPr="00522CC8">
        <w:rPr>
          <w:rFonts w:asciiTheme="majorHAnsi" w:hAnsiTheme="majorHAnsi"/>
          <w:b/>
          <w:bCs/>
          <w:color w:val="0F6FC6" w:themeColor="accent1"/>
          <w:sz w:val="28"/>
          <w:szCs w:val="28"/>
        </w:rPr>
        <w:t>.7</w:t>
      </w:r>
      <w:r w:rsidR="00077F3B" w:rsidRPr="00522CC8">
        <w:rPr>
          <w:rFonts w:asciiTheme="majorHAnsi" w:hAnsiTheme="majorHAnsi"/>
          <w:b/>
          <w:bCs/>
          <w:color w:val="0F6FC6" w:themeColor="accent1"/>
          <w:sz w:val="28"/>
          <w:szCs w:val="28"/>
        </w:rPr>
        <w:t xml:space="preserve"> – </w:t>
      </w:r>
      <w:r w:rsidR="00F1374E" w:rsidRPr="00522CC8">
        <w:rPr>
          <w:rFonts w:asciiTheme="majorHAnsi" w:hAnsiTheme="majorHAnsi"/>
          <w:b/>
          <w:bCs/>
          <w:color w:val="0F6FC6" w:themeColor="accent1"/>
          <w:sz w:val="28"/>
          <w:szCs w:val="28"/>
        </w:rPr>
        <w:t xml:space="preserve">Primele zece întreprinderi </w:t>
      </w:r>
      <w:r w:rsidR="00110AFD" w:rsidRPr="00522CC8">
        <w:rPr>
          <w:rFonts w:asciiTheme="majorHAnsi" w:hAnsiTheme="majorHAnsi"/>
          <w:b/>
          <w:bCs/>
          <w:color w:val="0F6FC6" w:themeColor="accent1"/>
          <w:sz w:val="28"/>
          <w:szCs w:val="28"/>
        </w:rPr>
        <w:t>publice centrale</w:t>
      </w:r>
      <w:r w:rsidR="00077F3B" w:rsidRPr="00522CC8">
        <w:rPr>
          <w:rFonts w:asciiTheme="majorHAnsi" w:hAnsiTheme="majorHAnsi"/>
          <w:b/>
          <w:bCs/>
          <w:color w:val="0F6FC6" w:themeColor="accent1"/>
          <w:sz w:val="28"/>
          <w:szCs w:val="28"/>
        </w:rPr>
        <w:t xml:space="preserve"> </w:t>
      </w:r>
      <w:r w:rsidR="00654C0B" w:rsidRPr="00522CC8">
        <w:rPr>
          <w:rFonts w:asciiTheme="majorHAnsi" w:hAnsiTheme="majorHAnsi"/>
          <w:b/>
          <w:bCs/>
          <w:color w:val="0F6FC6" w:themeColor="accent1"/>
          <w:sz w:val="28"/>
          <w:szCs w:val="28"/>
        </w:rPr>
        <w:t xml:space="preserve">active </w:t>
      </w:r>
      <w:r w:rsidR="00F1374E" w:rsidRPr="00522CC8">
        <w:rPr>
          <w:rFonts w:asciiTheme="majorHAnsi" w:hAnsiTheme="majorHAnsi"/>
          <w:b/>
          <w:bCs/>
          <w:color w:val="0F6FC6" w:themeColor="accent1"/>
          <w:sz w:val="28"/>
          <w:szCs w:val="28"/>
        </w:rPr>
        <w:t>care au înregistra</w:t>
      </w:r>
      <w:r w:rsidR="00077F3B" w:rsidRPr="00522CC8">
        <w:rPr>
          <w:rFonts w:asciiTheme="majorHAnsi" w:hAnsiTheme="majorHAnsi"/>
          <w:b/>
          <w:bCs/>
          <w:color w:val="0F6FC6" w:themeColor="accent1"/>
          <w:sz w:val="28"/>
          <w:szCs w:val="28"/>
        </w:rPr>
        <w:t>t pierdere brută în anul 20</w:t>
      </w:r>
      <w:bookmarkEnd w:id="62"/>
      <w:bookmarkEnd w:id="63"/>
      <w:bookmarkEnd w:id="64"/>
      <w:r w:rsidR="001F003D">
        <w:rPr>
          <w:rFonts w:asciiTheme="majorHAnsi" w:hAnsiTheme="majorHAnsi"/>
          <w:b/>
          <w:bCs/>
          <w:color w:val="0F6FC6" w:themeColor="accent1"/>
          <w:sz w:val="28"/>
          <w:szCs w:val="28"/>
        </w:rPr>
        <w:t>20</w:t>
      </w:r>
      <w:bookmarkEnd w:id="65"/>
    </w:p>
    <w:p w14:paraId="14C3DE6C" w14:textId="77777777" w:rsidR="001255B0" w:rsidRPr="00ED19D1" w:rsidRDefault="001255B0" w:rsidP="00AE0A65">
      <w:pPr>
        <w:spacing w:before="120" w:after="120"/>
        <w:jc w:val="both"/>
        <w:rPr>
          <w:rFonts w:asciiTheme="majorHAnsi" w:hAnsiTheme="majorHAnsi" w:cstheme="majorBidi"/>
          <w:noProof/>
          <w:lang w:val="en-US"/>
        </w:rPr>
      </w:pPr>
    </w:p>
    <w:p w14:paraId="3938A08A" w14:textId="77777777" w:rsidR="00ED19D1" w:rsidRPr="00ED19D1" w:rsidRDefault="00ED19D1" w:rsidP="00ED19D1">
      <w:pPr>
        <w:spacing w:before="120" w:after="120"/>
        <w:jc w:val="both"/>
        <w:rPr>
          <w:rFonts w:asciiTheme="majorHAnsi" w:hAnsiTheme="majorHAnsi" w:cstheme="majorBidi"/>
        </w:rPr>
      </w:pPr>
      <w:r w:rsidRPr="00ED19D1">
        <w:rPr>
          <w:rFonts w:asciiTheme="majorHAnsi" w:hAnsiTheme="majorHAnsi" w:cstheme="majorBidi"/>
        </w:rPr>
        <w:t>TABEL– Primele zece întreprinderi publice centrale active care au înregistrat cea mai mare pierdere brută în anul 2020 ordonate descrescător după pierderea brută înregistrată</w:t>
      </w:r>
    </w:p>
    <w:tbl>
      <w:tblPr>
        <w:tblW w:w="9098" w:type="dxa"/>
        <w:tblInd w:w="198" w:type="dxa"/>
        <w:tblLook w:val="04A0" w:firstRow="1" w:lastRow="0" w:firstColumn="1" w:lastColumn="0" w:noHBand="0" w:noVBand="1"/>
      </w:tblPr>
      <w:tblGrid>
        <w:gridCol w:w="502"/>
        <w:gridCol w:w="3188"/>
        <w:gridCol w:w="757"/>
        <w:gridCol w:w="966"/>
        <w:gridCol w:w="913"/>
        <w:gridCol w:w="951"/>
        <w:gridCol w:w="951"/>
        <w:gridCol w:w="870"/>
      </w:tblGrid>
      <w:tr w:rsidR="00ED19D1" w:rsidRPr="00993E61" w14:paraId="2FDFFC18" w14:textId="77777777" w:rsidTr="00ED19D1">
        <w:trPr>
          <w:trHeight w:val="342"/>
        </w:trPr>
        <w:tc>
          <w:tcPr>
            <w:tcW w:w="502" w:type="dxa"/>
            <w:vMerge w:val="restart"/>
            <w:tcBorders>
              <w:top w:val="single" w:sz="4" w:space="0" w:color="9BC2E6"/>
              <w:left w:val="single" w:sz="4" w:space="0" w:color="FFFFFF"/>
              <w:bottom w:val="single" w:sz="4" w:space="0" w:color="9BC2E6"/>
              <w:right w:val="single" w:sz="4" w:space="0" w:color="FFFFFF"/>
            </w:tcBorders>
            <w:shd w:val="clear" w:color="5B9BD5" w:fill="FFFFFF"/>
            <w:hideMark/>
          </w:tcPr>
          <w:p w14:paraId="4C7396AA"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Nr Crt</w:t>
            </w:r>
          </w:p>
        </w:tc>
        <w:tc>
          <w:tcPr>
            <w:tcW w:w="3188" w:type="dxa"/>
            <w:vMerge w:val="restart"/>
            <w:tcBorders>
              <w:top w:val="single" w:sz="4" w:space="0" w:color="9BC2E6"/>
              <w:left w:val="single" w:sz="4" w:space="0" w:color="FFFFFF"/>
              <w:bottom w:val="single" w:sz="4" w:space="0" w:color="9BC2E6"/>
              <w:right w:val="single" w:sz="4" w:space="0" w:color="FFFFFF"/>
            </w:tcBorders>
            <w:shd w:val="clear" w:color="5B9BD5" w:fill="FFFFFF"/>
            <w:hideMark/>
          </w:tcPr>
          <w:p w14:paraId="0967CB02" w14:textId="77777777" w:rsidR="00ED19D1" w:rsidRPr="00ED19D1" w:rsidRDefault="00ED19D1" w:rsidP="00A06393">
            <w:pPr>
              <w:spacing w:before="0" w:after="0" w:line="240" w:lineRule="auto"/>
              <w:jc w:val="center"/>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Denumire ÎPS</w:t>
            </w:r>
          </w:p>
        </w:tc>
        <w:tc>
          <w:tcPr>
            <w:tcW w:w="757" w:type="dxa"/>
            <w:vMerge w:val="restart"/>
            <w:tcBorders>
              <w:top w:val="single" w:sz="4" w:space="0" w:color="9BC2E6"/>
              <w:left w:val="single" w:sz="4" w:space="0" w:color="FFFFFF"/>
              <w:bottom w:val="single" w:sz="4" w:space="0" w:color="9BC2E6"/>
              <w:right w:val="single" w:sz="4" w:space="0" w:color="FFFFFF"/>
            </w:tcBorders>
            <w:shd w:val="clear" w:color="5B9BD5" w:fill="FFFFFF"/>
            <w:hideMark/>
          </w:tcPr>
          <w:p w14:paraId="6DE3B7A2" w14:textId="77777777" w:rsidR="00ED19D1" w:rsidRPr="00ED19D1" w:rsidRDefault="00ED19D1" w:rsidP="00A06393">
            <w:pPr>
              <w:spacing w:before="0" w:after="0" w:line="240" w:lineRule="auto"/>
              <w:jc w:val="right"/>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Anul</w:t>
            </w:r>
          </w:p>
        </w:tc>
        <w:tc>
          <w:tcPr>
            <w:tcW w:w="966" w:type="dxa"/>
            <w:tcBorders>
              <w:top w:val="single" w:sz="4" w:space="0" w:color="9BC2E6"/>
              <w:left w:val="nil"/>
              <w:bottom w:val="single" w:sz="4" w:space="0" w:color="9BC2E6"/>
              <w:right w:val="single" w:sz="4" w:space="0" w:color="FFFFFF"/>
            </w:tcBorders>
            <w:shd w:val="clear" w:color="000000" w:fill="FFFFFF"/>
            <w:hideMark/>
          </w:tcPr>
          <w:p w14:paraId="5408ACA0" w14:textId="77777777" w:rsidR="00ED19D1" w:rsidRPr="00ED19D1" w:rsidRDefault="00ED19D1" w:rsidP="00A06393">
            <w:pPr>
              <w:spacing w:before="0" w:after="0" w:line="240" w:lineRule="auto"/>
              <w:jc w:val="right"/>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Plăți restante înregistrate</w:t>
            </w:r>
          </w:p>
        </w:tc>
        <w:tc>
          <w:tcPr>
            <w:tcW w:w="913" w:type="dxa"/>
            <w:tcBorders>
              <w:top w:val="single" w:sz="4" w:space="0" w:color="9BC2E6"/>
              <w:left w:val="nil"/>
              <w:bottom w:val="single" w:sz="4" w:space="0" w:color="9BC2E6"/>
              <w:right w:val="single" w:sz="4" w:space="0" w:color="FFFFFF"/>
            </w:tcBorders>
            <w:shd w:val="clear" w:color="000000" w:fill="FFFFFF"/>
            <w:hideMark/>
          </w:tcPr>
          <w:p w14:paraId="6BD349D1" w14:textId="77777777" w:rsidR="00ED19D1" w:rsidRPr="00ED19D1" w:rsidRDefault="00ED19D1" w:rsidP="00A06393">
            <w:pPr>
              <w:spacing w:before="0" w:after="0" w:line="240" w:lineRule="auto"/>
              <w:jc w:val="right"/>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Pierdere brută din exploatare</w:t>
            </w:r>
          </w:p>
        </w:tc>
        <w:tc>
          <w:tcPr>
            <w:tcW w:w="951" w:type="dxa"/>
            <w:tcBorders>
              <w:top w:val="single" w:sz="4" w:space="0" w:color="9BC2E6"/>
              <w:left w:val="nil"/>
              <w:bottom w:val="single" w:sz="4" w:space="0" w:color="9BC2E6"/>
              <w:right w:val="single" w:sz="4" w:space="0" w:color="FFFFFF"/>
            </w:tcBorders>
            <w:shd w:val="clear" w:color="5B9BD5" w:fill="FFFFFF"/>
            <w:hideMark/>
          </w:tcPr>
          <w:p w14:paraId="23C3D302" w14:textId="77777777" w:rsidR="00ED19D1" w:rsidRPr="00ED19D1" w:rsidRDefault="00ED19D1" w:rsidP="00A06393">
            <w:pPr>
              <w:spacing w:before="0" w:after="0" w:line="240" w:lineRule="auto"/>
              <w:jc w:val="right"/>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Venituri totale</w:t>
            </w:r>
          </w:p>
        </w:tc>
        <w:tc>
          <w:tcPr>
            <w:tcW w:w="951" w:type="dxa"/>
            <w:tcBorders>
              <w:top w:val="single" w:sz="4" w:space="0" w:color="9BC2E6"/>
              <w:left w:val="nil"/>
              <w:bottom w:val="single" w:sz="4" w:space="0" w:color="9BC2E6"/>
              <w:right w:val="single" w:sz="4" w:space="0" w:color="FFFFFF"/>
            </w:tcBorders>
            <w:shd w:val="clear" w:color="5B9BD5" w:fill="FFFFFF"/>
            <w:hideMark/>
          </w:tcPr>
          <w:p w14:paraId="2A82C5C6" w14:textId="77777777" w:rsidR="00ED19D1" w:rsidRPr="00ED19D1" w:rsidRDefault="00ED19D1" w:rsidP="00A06393">
            <w:pPr>
              <w:spacing w:before="0" w:after="0" w:line="240" w:lineRule="auto"/>
              <w:jc w:val="right"/>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 xml:space="preserve">Cheltuieli totale </w:t>
            </w:r>
          </w:p>
        </w:tc>
        <w:tc>
          <w:tcPr>
            <w:tcW w:w="870" w:type="dxa"/>
            <w:tcBorders>
              <w:top w:val="single" w:sz="4" w:space="0" w:color="9BC2E6"/>
              <w:left w:val="nil"/>
              <w:bottom w:val="single" w:sz="4" w:space="0" w:color="9BC2E6"/>
              <w:right w:val="single" w:sz="4" w:space="0" w:color="FFFFFF"/>
            </w:tcBorders>
            <w:shd w:val="clear" w:color="000000" w:fill="FFFFFF"/>
            <w:hideMark/>
          </w:tcPr>
          <w:p w14:paraId="75EA12CB" w14:textId="77777777" w:rsidR="00ED19D1" w:rsidRPr="00ED19D1" w:rsidRDefault="00ED19D1" w:rsidP="00A06393">
            <w:pPr>
              <w:spacing w:before="0" w:after="0" w:line="240" w:lineRule="auto"/>
              <w:jc w:val="right"/>
              <w:rPr>
                <w:rFonts w:ascii="Calibri" w:eastAsia="Times New Roman" w:hAnsi="Calibri" w:cs="Times New Roman"/>
                <w:color w:val="0F6FC6" w:themeColor="accent1"/>
                <w:sz w:val="16"/>
                <w:szCs w:val="16"/>
                <w:lang w:eastAsia="ro-RO"/>
              </w:rPr>
            </w:pPr>
            <w:r w:rsidRPr="00ED19D1">
              <w:rPr>
                <w:rFonts w:ascii="Calibri" w:eastAsia="Times New Roman" w:hAnsi="Calibri" w:cs="Times New Roman"/>
                <w:color w:val="0F6FC6" w:themeColor="accent1"/>
                <w:sz w:val="16"/>
                <w:szCs w:val="16"/>
                <w:lang w:eastAsia="ro-RO"/>
              </w:rPr>
              <w:t>Pierdere brută</w:t>
            </w:r>
          </w:p>
        </w:tc>
      </w:tr>
      <w:tr w:rsidR="00ED19D1" w:rsidRPr="00993E61" w14:paraId="43436950" w14:textId="77777777" w:rsidTr="00ED19D1">
        <w:trPr>
          <w:trHeight w:val="152"/>
        </w:trPr>
        <w:tc>
          <w:tcPr>
            <w:tcW w:w="502" w:type="dxa"/>
            <w:vMerge/>
            <w:tcBorders>
              <w:top w:val="single" w:sz="4" w:space="0" w:color="9BC2E6"/>
              <w:left w:val="single" w:sz="4" w:space="0" w:color="FFFFFF"/>
              <w:bottom w:val="single" w:sz="4" w:space="0" w:color="9BC2E6"/>
              <w:right w:val="single" w:sz="4" w:space="0" w:color="FFFFFF"/>
            </w:tcBorders>
            <w:vAlign w:val="center"/>
            <w:hideMark/>
          </w:tcPr>
          <w:p w14:paraId="3ED6F26B"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p>
        </w:tc>
        <w:tc>
          <w:tcPr>
            <w:tcW w:w="3188" w:type="dxa"/>
            <w:vMerge/>
            <w:tcBorders>
              <w:top w:val="single" w:sz="4" w:space="0" w:color="9BC2E6"/>
              <w:left w:val="single" w:sz="4" w:space="0" w:color="FFFFFF"/>
              <w:bottom w:val="single" w:sz="4" w:space="0" w:color="9BC2E6"/>
              <w:right w:val="single" w:sz="4" w:space="0" w:color="FFFFFF"/>
            </w:tcBorders>
            <w:vAlign w:val="center"/>
            <w:hideMark/>
          </w:tcPr>
          <w:p w14:paraId="571EDA92"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p>
        </w:tc>
        <w:tc>
          <w:tcPr>
            <w:tcW w:w="757" w:type="dxa"/>
            <w:vMerge/>
            <w:tcBorders>
              <w:top w:val="single" w:sz="4" w:space="0" w:color="9BC2E6"/>
              <w:left w:val="single" w:sz="4" w:space="0" w:color="FFFFFF"/>
              <w:bottom w:val="single" w:sz="4" w:space="0" w:color="9BC2E6"/>
              <w:right w:val="single" w:sz="4" w:space="0" w:color="FFFFFF"/>
            </w:tcBorders>
            <w:vAlign w:val="center"/>
            <w:hideMark/>
          </w:tcPr>
          <w:p w14:paraId="55B3FBDD"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p>
        </w:tc>
        <w:tc>
          <w:tcPr>
            <w:tcW w:w="966" w:type="dxa"/>
            <w:tcBorders>
              <w:top w:val="nil"/>
              <w:left w:val="nil"/>
              <w:bottom w:val="single" w:sz="4" w:space="0" w:color="9BC2E6"/>
              <w:right w:val="single" w:sz="4" w:space="0" w:color="FFFFFF"/>
            </w:tcBorders>
            <w:shd w:val="clear" w:color="000000" w:fill="FFFFFF"/>
            <w:noWrap/>
            <w:hideMark/>
          </w:tcPr>
          <w:p w14:paraId="74D22B8B"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1</w:t>
            </w:r>
          </w:p>
        </w:tc>
        <w:tc>
          <w:tcPr>
            <w:tcW w:w="913" w:type="dxa"/>
            <w:tcBorders>
              <w:top w:val="nil"/>
              <w:left w:val="nil"/>
              <w:bottom w:val="single" w:sz="4" w:space="0" w:color="9BC2E6"/>
              <w:right w:val="single" w:sz="4" w:space="0" w:color="FFFFFF"/>
            </w:tcBorders>
            <w:shd w:val="clear" w:color="000000" w:fill="FFFFFF"/>
            <w:noWrap/>
            <w:hideMark/>
          </w:tcPr>
          <w:p w14:paraId="3DDD60AB"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2</w:t>
            </w:r>
          </w:p>
        </w:tc>
        <w:tc>
          <w:tcPr>
            <w:tcW w:w="951" w:type="dxa"/>
            <w:tcBorders>
              <w:top w:val="nil"/>
              <w:left w:val="nil"/>
              <w:bottom w:val="single" w:sz="4" w:space="0" w:color="9BC2E6"/>
              <w:right w:val="single" w:sz="4" w:space="0" w:color="FFFFFF"/>
            </w:tcBorders>
            <w:shd w:val="clear" w:color="000000" w:fill="FFFFFF"/>
            <w:noWrap/>
            <w:hideMark/>
          </w:tcPr>
          <w:p w14:paraId="70D24C9F"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4</w:t>
            </w:r>
          </w:p>
        </w:tc>
        <w:tc>
          <w:tcPr>
            <w:tcW w:w="951" w:type="dxa"/>
            <w:tcBorders>
              <w:top w:val="nil"/>
              <w:left w:val="nil"/>
              <w:bottom w:val="single" w:sz="4" w:space="0" w:color="9BC2E6"/>
              <w:right w:val="single" w:sz="4" w:space="0" w:color="FFFFFF"/>
            </w:tcBorders>
            <w:shd w:val="clear" w:color="000000" w:fill="FFFFFF"/>
            <w:noWrap/>
            <w:hideMark/>
          </w:tcPr>
          <w:p w14:paraId="4ED25B0F"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5</w:t>
            </w:r>
          </w:p>
        </w:tc>
        <w:tc>
          <w:tcPr>
            <w:tcW w:w="870" w:type="dxa"/>
            <w:tcBorders>
              <w:top w:val="nil"/>
              <w:left w:val="nil"/>
              <w:bottom w:val="single" w:sz="4" w:space="0" w:color="9BC2E6"/>
              <w:right w:val="single" w:sz="4" w:space="0" w:color="FFFFFF"/>
            </w:tcBorders>
            <w:shd w:val="clear" w:color="000000" w:fill="FFFFFF"/>
            <w:noWrap/>
            <w:hideMark/>
          </w:tcPr>
          <w:p w14:paraId="76FC2C7B"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6</w:t>
            </w:r>
          </w:p>
        </w:tc>
      </w:tr>
      <w:tr w:rsidR="00ED19D1" w:rsidRPr="00993E61" w14:paraId="1A335321" w14:textId="77777777" w:rsidTr="00ED19D1">
        <w:trPr>
          <w:trHeight w:val="152"/>
        </w:trPr>
        <w:tc>
          <w:tcPr>
            <w:tcW w:w="502" w:type="dxa"/>
            <w:vMerge/>
            <w:tcBorders>
              <w:top w:val="single" w:sz="4" w:space="0" w:color="9BC2E6"/>
              <w:left w:val="single" w:sz="4" w:space="0" w:color="FFFFFF"/>
              <w:bottom w:val="single" w:sz="4" w:space="0" w:color="9BC2E6"/>
              <w:right w:val="single" w:sz="4" w:space="0" w:color="FFFFFF"/>
            </w:tcBorders>
            <w:vAlign w:val="center"/>
            <w:hideMark/>
          </w:tcPr>
          <w:p w14:paraId="0C2BFB02"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p>
        </w:tc>
        <w:tc>
          <w:tcPr>
            <w:tcW w:w="3188" w:type="dxa"/>
            <w:vMerge/>
            <w:tcBorders>
              <w:top w:val="single" w:sz="4" w:space="0" w:color="9BC2E6"/>
              <w:left w:val="single" w:sz="4" w:space="0" w:color="FFFFFF"/>
              <w:bottom w:val="single" w:sz="4" w:space="0" w:color="9BC2E6"/>
              <w:right w:val="single" w:sz="4" w:space="0" w:color="FFFFFF"/>
            </w:tcBorders>
            <w:vAlign w:val="center"/>
            <w:hideMark/>
          </w:tcPr>
          <w:p w14:paraId="0E492025"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p>
        </w:tc>
        <w:tc>
          <w:tcPr>
            <w:tcW w:w="757" w:type="dxa"/>
            <w:vMerge/>
            <w:tcBorders>
              <w:top w:val="single" w:sz="4" w:space="0" w:color="9BC2E6"/>
              <w:left w:val="single" w:sz="4" w:space="0" w:color="FFFFFF"/>
              <w:bottom w:val="single" w:sz="4" w:space="0" w:color="9BC2E6"/>
              <w:right w:val="single" w:sz="4" w:space="0" w:color="FFFFFF"/>
            </w:tcBorders>
            <w:vAlign w:val="center"/>
            <w:hideMark/>
          </w:tcPr>
          <w:p w14:paraId="2662E98F" w14:textId="77777777" w:rsidR="00ED19D1" w:rsidRPr="00ED19D1" w:rsidRDefault="00ED19D1" w:rsidP="00A06393">
            <w:pPr>
              <w:spacing w:before="0" w:after="0" w:line="240" w:lineRule="auto"/>
              <w:rPr>
                <w:rFonts w:ascii="Calibri" w:eastAsia="Times New Roman" w:hAnsi="Calibri" w:cs="Times New Roman"/>
                <w:color w:val="0F6FC6" w:themeColor="accent1"/>
                <w:sz w:val="16"/>
                <w:szCs w:val="16"/>
                <w:lang w:eastAsia="ro-RO"/>
              </w:rPr>
            </w:pPr>
          </w:p>
        </w:tc>
        <w:tc>
          <w:tcPr>
            <w:tcW w:w="966" w:type="dxa"/>
            <w:tcBorders>
              <w:top w:val="nil"/>
              <w:left w:val="nil"/>
              <w:bottom w:val="single" w:sz="4" w:space="0" w:color="9BC2E6"/>
              <w:right w:val="single" w:sz="4" w:space="0" w:color="FFFFFF"/>
            </w:tcBorders>
            <w:shd w:val="clear" w:color="000000" w:fill="FFFFFF"/>
            <w:noWrap/>
            <w:hideMark/>
          </w:tcPr>
          <w:p w14:paraId="3BA6DCAE"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mii lei</w:t>
            </w:r>
          </w:p>
        </w:tc>
        <w:tc>
          <w:tcPr>
            <w:tcW w:w="913" w:type="dxa"/>
            <w:tcBorders>
              <w:top w:val="nil"/>
              <w:left w:val="nil"/>
              <w:bottom w:val="single" w:sz="4" w:space="0" w:color="9BC2E6"/>
              <w:right w:val="single" w:sz="4" w:space="0" w:color="FFFFFF"/>
            </w:tcBorders>
            <w:shd w:val="clear" w:color="000000" w:fill="FFFFFF"/>
            <w:noWrap/>
            <w:hideMark/>
          </w:tcPr>
          <w:p w14:paraId="0B6CCEDD"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mii lei</w:t>
            </w:r>
          </w:p>
        </w:tc>
        <w:tc>
          <w:tcPr>
            <w:tcW w:w="951" w:type="dxa"/>
            <w:tcBorders>
              <w:top w:val="nil"/>
              <w:left w:val="nil"/>
              <w:bottom w:val="single" w:sz="4" w:space="0" w:color="9BC2E6"/>
              <w:right w:val="single" w:sz="4" w:space="0" w:color="FFFFFF"/>
            </w:tcBorders>
            <w:shd w:val="clear" w:color="000000" w:fill="FFFFFF"/>
            <w:noWrap/>
            <w:hideMark/>
          </w:tcPr>
          <w:p w14:paraId="6848AAFB"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mii lei</w:t>
            </w:r>
          </w:p>
        </w:tc>
        <w:tc>
          <w:tcPr>
            <w:tcW w:w="951" w:type="dxa"/>
            <w:tcBorders>
              <w:top w:val="nil"/>
              <w:left w:val="nil"/>
              <w:bottom w:val="single" w:sz="4" w:space="0" w:color="9BC2E6"/>
              <w:right w:val="single" w:sz="4" w:space="0" w:color="FFFFFF"/>
            </w:tcBorders>
            <w:shd w:val="clear" w:color="000000" w:fill="FFFFFF"/>
            <w:noWrap/>
            <w:hideMark/>
          </w:tcPr>
          <w:p w14:paraId="46D44FF3"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mii lei</w:t>
            </w:r>
          </w:p>
        </w:tc>
        <w:tc>
          <w:tcPr>
            <w:tcW w:w="870" w:type="dxa"/>
            <w:tcBorders>
              <w:top w:val="nil"/>
              <w:left w:val="nil"/>
              <w:bottom w:val="single" w:sz="4" w:space="0" w:color="9BC2E6"/>
              <w:right w:val="single" w:sz="4" w:space="0" w:color="FFFFFF"/>
            </w:tcBorders>
            <w:shd w:val="clear" w:color="000000" w:fill="FFFFFF"/>
            <w:noWrap/>
            <w:hideMark/>
          </w:tcPr>
          <w:p w14:paraId="5A0C0547" w14:textId="77777777" w:rsidR="00ED19D1" w:rsidRPr="00915604" w:rsidRDefault="00ED19D1" w:rsidP="00A06393">
            <w:pPr>
              <w:spacing w:before="0" w:after="0" w:line="240" w:lineRule="auto"/>
              <w:jc w:val="right"/>
              <w:rPr>
                <w:rFonts w:ascii="Calibri" w:eastAsia="Times New Roman" w:hAnsi="Calibri" w:cs="Times New Roman"/>
                <w:i/>
                <w:color w:val="0F6FC6" w:themeColor="accent1"/>
                <w:sz w:val="14"/>
                <w:szCs w:val="14"/>
                <w:lang w:eastAsia="ro-RO"/>
              </w:rPr>
            </w:pPr>
            <w:r w:rsidRPr="00915604">
              <w:rPr>
                <w:rFonts w:ascii="Calibri" w:eastAsia="Times New Roman" w:hAnsi="Calibri" w:cs="Times New Roman"/>
                <w:i/>
                <w:color w:val="0F6FC6" w:themeColor="accent1"/>
                <w:sz w:val="14"/>
                <w:szCs w:val="14"/>
                <w:lang w:eastAsia="ro-RO"/>
              </w:rPr>
              <w:t>mii lei</w:t>
            </w:r>
          </w:p>
        </w:tc>
      </w:tr>
      <w:tr w:rsidR="00ED19D1" w:rsidRPr="00993E61" w14:paraId="43D5D64D" w14:textId="77777777" w:rsidTr="00ED19D1">
        <w:trPr>
          <w:trHeight w:val="236"/>
        </w:trPr>
        <w:tc>
          <w:tcPr>
            <w:tcW w:w="502" w:type="dxa"/>
            <w:tcBorders>
              <w:top w:val="nil"/>
              <w:left w:val="nil"/>
              <w:bottom w:val="nil"/>
              <w:right w:val="nil"/>
            </w:tcBorders>
            <w:shd w:val="clear" w:color="000000" w:fill="FFFFFF"/>
            <w:noWrap/>
            <w:hideMark/>
          </w:tcPr>
          <w:p w14:paraId="3E08E6C4"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1</w:t>
            </w:r>
          </w:p>
        </w:tc>
        <w:tc>
          <w:tcPr>
            <w:tcW w:w="3188" w:type="dxa"/>
            <w:tcBorders>
              <w:top w:val="nil"/>
              <w:left w:val="nil"/>
              <w:bottom w:val="nil"/>
              <w:right w:val="nil"/>
            </w:tcBorders>
            <w:shd w:val="clear" w:color="000000" w:fill="FFFFFF"/>
            <w:hideMark/>
          </w:tcPr>
          <w:p w14:paraId="7689B582"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SOCIETATEA COMPLEXUL ENERGETIC OLTENIA S.A.</w:t>
            </w:r>
          </w:p>
        </w:tc>
        <w:tc>
          <w:tcPr>
            <w:tcW w:w="757" w:type="dxa"/>
            <w:tcBorders>
              <w:top w:val="nil"/>
              <w:left w:val="nil"/>
              <w:bottom w:val="nil"/>
              <w:right w:val="nil"/>
            </w:tcBorders>
            <w:shd w:val="clear" w:color="000000" w:fill="FFFFFF"/>
            <w:noWrap/>
            <w:hideMark/>
          </w:tcPr>
          <w:p w14:paraId="1C0520EF"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0BCD2919"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8.681</w:t>
            </w:r>
          </w:p>
        </w:tc>
        <w:tc>
          <w:tcPr>
            <w:tcW w:w="913" w:type="dxa"/>
            <w:tcBorders>
              <w:top w:val="nil"/>
              <w:left w:val="nil"/>
              <w:bottom w:val="nil"/>
              <w:right w:val="nil"/>
            </w:tcBorders>
            <w:shd w:val="clear" w:color="000000" w:fill="FFFFFF"/>
            <w:noWrap/>
            <w:hideMark/>
          </w:tcPr>
          <w:p w14:paraId="58AE675E"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853.594</w:t>
            </w:r>
          </w:p>
        </w:tc>
        <w:tc>
          <w:tcPr>
            <w:tcW w:w="951" w:type="dxa"/>
            <w:tcBorders>
              <w:top w:val="nil"/>
              <w:left w:val="nil"/>
              <w:bottom w:val="nil"/>
              <w:right w:val="nil"/>
            </w:tcBorders>
            <w:shd w:val="clear" w:color="000000" w:fill="FFFFFF"/>
            <w:noWrap/>
            <w:hideMark/>
          </w:tcPr>
          <w:p w14:paraId="35C05F56"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2.358.115</w:t>
            </w:r>
          </w:p>
        </w:tc>
        <w:tc>
          <w:tcPr>
            <w:tcW w:w="951" w:type="dxa"/>
            <w:tcBorders>
              <w:top w:val="nil"/>
              <w:left w:val="nil"/>
              <w:bottom w:val="nil"/>
              <w:right w:val="nil"/>
            </w:tcBorders>
            <w:shd w:val="clear" w:color="000000" w:fill="FFFFFF"/>
            <w:noWrap/>
            <w:hideMark/>
          </w:tcPr>
          <w:p w14:paraId="30162615"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3.297.524</w:t>
            </w:r>
          </w:p>
        </w:tc>
        <w:tc>
          <w:tcPr>
            <w:tcW w:w="870" w:type="dxa"/>
            <w:tcBorders>
              <w:top w:val="nil"/>
              <w:left w:val="nil"/>
              <w:bottom w:val="nil"/>
              <w:right w:val="nil"/>
            </w:tcBorders>
            <w:shd w:val="clear" w:color="000000" w:fill="FFFFFF"/>
            <w:noWrap/>
            <w:hideMark/>
          </w:tcPr>
          <w:p w14:paraId="5CBFC42D"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939.409</w:t>
            </w:r>
          </w:p>
        </w:tc>
      </w:tr>
      <w:tr w:rsidR="00ED19D1" w:rsidRPr="00993E61" w14:paraId="4EFA0B08" w14:textId="77777777" w:rsidTr="00ED19D1">
        <w:trPr>
          <w:trHeight w:val="350"/>
        </w:trPr>
        <w:tc>
          <w:tcPr>
            <w:tcW w:w="502" w:type="dxa"/>
            <w:tcBorders>
              <w:top w:val="nil"/>
              <w:left w:val="nil"/>
              <w:bottom w:val="nil"/>
              <w:right w:val="nil"/>
            </w:tcBorders>
            <w:shd w:val="clear" w:color="000000" w:fill="FFFFFF"/>
            <w:noWrap/>
            <w:hideMark/>
          </w:tcPr>
          <w:p w14:paraId="7D8B2DA6"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2</w:t>
            </w:r>
          </w:p>
        </w:tc>
        <w:tc>
          <w:tcPr>
            <w:tcW w:w="3188" w:type="dxa"/>
            <w:tcBorders>
              <w:top w:val="nil"/>
              <w:left w:val="nil"/>
              <w:bottom w:val="nil"/>
              <w:right w:val="nil"/>
            </w:tcBorders>
            <w:shd w:val="clear" w:color="000000" w:fill="FFFFFF"/>
            <w:hideMark/>
          </w:tcPr>
          <w:p w14:paraId="5F6325CD"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COMPANIA NAȚIONALĂ DE TRANSPORTURI AERIENE ROMÂNE TAROM SA</w:t>
            </w:r>
          </w:p>
        </w:tc>
        <w:tc>
          <w:tcPr>
            <w:tcW w:w="757" w:type="dxa"/>
            <w:tcBorders>
              <w:top w:val="nil"/>
              <w:left w:val="nil"/>
              <w:bottom w:val="nil"/>
              <w:right w:val="nil"/>
            </w:tcBorders>
            <w:shd w:val="clear" w:color="000000" w:fill="FFFFFF"/>
            <w:noWrap/>
            <w:hideMark/>
          </w:tcPr>
          <w:p w14:paraId="79AE03E8"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23D8E4B4"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101.918</w:t>
            </w:r>
          </w:p>
        </w:tc>
        <w:tc>
          <w:tcPr>
            <w:tcW w:w="913" w:type="dxa"/>
            <w:tcBorders>
              <w:top w:val="nil"/>
              <w:left w:val="nil"/>
              <w:bottom w:val="nil"/>
              <w:right w:val="nil"/>
            </w:tcBorders>
            <w:shd w:val="clear" w:color="000000" w:fill="FFFFFF"/>
            <w:noWrap/>
            <w:hideMark/>
          </w:tcPr>
          <w:p w14:paraId="52CA85F6"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459.039</w:t>
            </w:r>
          </w:p>
        </w:tc>
        <w:tc>
          <w:tcPr>
            <w:tcW w:w="951" w:type="dxa"/>
            <w:tcBorders>
              <w:top w:val="nil"/>
              <w:left w:val="nil"/>
              <w:bottom w:val="nil"/>
              <w:right w:val="nil"/>
            </w:tcBorders>
            <w:shd w:val="clear" w:color="000000" w:fill="FFFFFF"/>
            <w:noWrap/>
            <w:hideMark/>
          </w:tcPr>
          <w:p w14:paraId="3E820D87"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652.854</w:t>
            </w:r>
          </w:p>
        </w:tc>
        <w:tc>
          <w:tcPr>
            <w:tcW w:w="951" w:type="dxa"/>
            <w:tcBorders>
              <w:top w:val="nil"/>
              <w:left w:val="nil"/>
              <w:bottom w:val="nil"/>
              <w:right w:val="nil"/>
            </w:tcBorders>
            <w:shd w:val="clear" w:color="000000" w:fill="FFFFFF"/>
            <w:noWrap/>
            <w:hideMark/>
          </w:tcPr>
          <w:p w14:paraId="1E4DC1BF"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1.095.175</w:t>
            </w:r>
          </w:p>
        </w:tc>
        <w:tc>
          <w:tcPr>
            <w:tcW w:w="870" w:type="dxa"/>
            <w:tcBorders>
              <w:top w:val="nil"/>
              <w:left w:val="nil"/>
              <w:bottom w:val="nil"/>
              <w:right w:val="nil"/>
            </w:tcBorders>
            <w:shd w:val="clear" w:color="000000" w:fill="FFFFFF"/>
            <w:noWrap/>
            <w:hideMark/>
          </w:tcPr>
          <w:p w14:paraId="280E7DBA"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442.321</w:t>
            </w:r>
          </w:p>
        </w:tc>
      </w:tr>
      <w:tr w:rsidR="00ED19D1" w:rsidRPr="00993E61" w14:paraId="2757AF83" w14:textId="77777777" w:rsidTr="00ED19D1">
        <w:trPr>
          <w:trHeight w:val="350"/>
        </w:trPr>
        <w:tc>
          <w:tcPr>
            <w:tcW w:w="502" w:type="dxa"/>
            <w:tcBorders>
              <w:top w:val="nil"/>
              <w:left w:val="nil"/>
              <w:bottom w:val="nil"/>
              <w:right w:val="nil"/>
            </w:tcBorders>
            <w:shd w:val="clear" w:color="000000" w:fill="FFFFFF"/>
            <w:noWrap/>
            <w:hideMark/>
          </w:tcPr>
          <w:p w14:paraId="6986102A"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3</w:t>
            </w:r>
          </w:p>
        </w:tc>
        <w:tc>
          <w:tcPr>
            <w:tcW w:w="3188" w:type="dxa"/>
            <w:tcBorders>
              <w:top w:val="nil"/>
              <w:left w:val="nil"/>
              <w:bottom w:val="nil"/>
              <w:right w:val="nil"/>
            </w:tcBorders>
            <w:shd w:val="clear" w:color="000000" w:fill="FFFFFF"/>
            <w:hideMark/>
          </w:tcPr>
          <w:p w14:paraId="5727086D"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SOCIETATEA NAȚIONALĂ DE TRANSPORT FEROVIAR DE CĂLĂTORI - CFR - CĂLĂTORI SA</w:t>
            </w:r>
          </w:p>
        </w:tc>
        <w:tc>
          <w:tcPr>
            <w:tcW w:w="757" w:type="dxa"/>
            <w:tcBorders>
              <w:top w:val="nil"/>
              <w:left w:val="nil"/>
              <w:bottom w:val="nil"/>
              <w:right w:val="nil"/>
            </w:tcBorders>
            <w:shd w:val="clear" w:color="000000" w:fill="FFFFFF"/>
            <w:noWrap/>
            <w:hideMark/>
          </w:tcPr>
          <w:p w14:paraId="0F7B3064"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03FC2A4C"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254.768</w:t>
            </w:r>
          </w:p>
        </w:tc>
        <w:tc>
          <w:tcPr>
            <w:tcW w:w="913" w:type="dxa"/>
            <w:tcBorders>
              <w:top w:val="nil"/>
              <w:left w:val="nil"/>
              <w:bottom w:val="nil"/>
              <w:right w:val="nil"/>
            </w:tcBorders>
            <w:shd w:val="clear" w:color="000000" w:fill="FFFFFF"/>
            <w:noWrap/>
            <w:hideMark/>
          </w:tcPr>
          <w:p w14:paraId="7BEF6166"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364.900</w:t>
            </w:r>
          </w:p>
        </w:tc>
        <w:tc>
          <w:tcPr>
            <w:tcW w:w="951" w:type="dxa"/>
            <w:tcBorders>
              <w:top w:val="nil"/>
              <w:left w:val="nil"/>
              <w:bottom w:val="nil"/>
              <w:right w:val="nil"/>
            </w:tcBorders>
            <w:shd w:val="clear" w:color="000000" w:fill="FFFFFF"/>
            <w:noWrap/>
            <w:hideMark/>
          </w:tcPr>
          <w:p w14:paraId="29788450"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2.022.098</w:t>
            </w:r>
          </w:p>
        </w:tc>
        <w:tc>
          <w:tcPr>
            <w:tcW w:w="951" w:type="dxa"/>
            <w:tcBorders>
              <w:top w:val="nil"/>
              <w:left w:val="nil"/>
              <w:bottom w:val="nil"/>
              <w:right w:val="nil"/>
            </w:tcBorders>
            <w:shd w:val="clear" w:color="000000" w:fill="FFFFFF"/>
            <w:noWrap/>
            <w:hideMark/>
          </w:tcPr>
          <w:p w14:paraId="0F78A717"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2.398.586</w:t>
            </w:r>
          </w:p>
        </w:tc>
        <w:tc>
          <w:tcPr>
            <w:tcW w:w="870" w:type="dxa"/>
            <w:tcBorders>
              <w:top w:val="nil"/>
              <w:left w:val="nil"/>
              <w:bottom w:val="nil"/>
              <w:right w:val="nil"/>
            </w:tcBorders>
            <w:shd w:val="clear" w:color="000000" w:fill="FFFFFF"/>
            <w:noWrap/>
            <w:hideMark/>
          </w:tcPr>
          <w:p w14:paraId="22AECF69"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376.488</w:t>
            </w:r>
          </w:p>
        </w:tc>
      </w:tr>
      <w:tr w:rsidR="00ED19D1" w:rsidRPr="00993E61" w14:paraId="7E720455" w14:textId="77777777" w:rsidTr="00ED19D1">
        <w:trPr>
          <w:trHeight w:val="236"/>
        </w:trPr>
        <w:tc>
          <w:tcPr>
            <w:tcW w:w="502" w:type="dxa"/>
            <w:tcBorders>
              <w:top w:val="nil"/>
              <w:left w:val="nil"/>
              <w:bottom w:val="nil"/>
              <w:right w:val="nil"/>
            </w:tcBorders>
            <w:shd w:val="clear" w:color="000000" w:fill="FFFFFF"/>
            <w:noWrap/>
            <w:hideMark/>
          </w:tcPr>
          <w:p w14:paraId="69F4E930"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4</w:t>
            </w:r>
          </w:p>
        </w:tc>
        <w:tc>
          <w:tcPr>
            <w:tcW w:w="3188" w:type="dxa"/>
            <w:tcBorders>
              <w:top w:val="nil"/>
              <w:left w:val="nil"/>
              <w:bottom w:val="nil"/>
              <w:right w:val="nil"/>
            </w:tcBorders>
            <w:shd w:val="clear" w:color="000000" w:fill="FFFFFF"/>
            <w:hideMark/>
          </w:tcPr>
          <w:p w14:paraId="73A2C3E8"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SOCIETATEA NAȚIONALĂ DE TRANSPORT FEROVIAR DE MARFĂ "CFR - MARFĂ" SA</w:t>
            </w:r>
          </w:p>
        </w:tc>
        <w:tc>
          <w:tcPr>
            <w:tcW w:w="757" w:type="dxa"/>
            <w:tcBorders>
              <w:top w:val="nil"/>
              <w:left w:val="nil"/>
              <w:bottom w:val="nil"/>
              <w:right w:val="nil"/>
            </w:tcBorders>
            <w:shd w:val="clear" w:color="000000" w:fill="FFFFFF"/>
            <w:noWrap/>
            <w:hideMark/>
          </w:tcPr>
          <w:p w14:paraId="46428395"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00BEBEFA"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3.948.053</w:t>
            </w:r>
          </w:p>
        </w:tc>
        <w:tc>
          <w:tcPr>
            <w:tcW w:w="913" w:type="dxa"/>
            <w:tcBorders>
              <w:top w:val="nil"/>
              <w:left w:val="nil"/>
              <w:bottom w:val="nil"/>
              <w:right w:val="nil"/>
            </w:tcBorders>
            <w:shd w:val="clear" w:color="000000" w:fill="FFFFFF"/>
            <w:noWrap/>
            <w:hideMark/>
          </w:tcPr>
          <w:p w14:paraId="30B13A1D"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337.862</w:t>
            </w:r>
          </w:p>
        </w:tc>
        <w:tc>
          <w:tcPr>
            <w:tcW w:w="951" w:type="dxa"/>
            <w:tcBorders>
              <w:top w:val="nil"/>
              <w:left w:val="nil"/>
              <w:bottom w:val="nil"/>
              <w:right w:val="nil"/>
            </w:tcBorders>
            <w:shd w:val="clear" w:color="000000" w:fill="FFFFFF"/>
            <w:noWrap/>
            <w:hideMark/>
          </w:tcPr>
          <w:p w14:paraId="1A0F3458"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576.783</w:t>
            </w:r>
          </w:p>
        </w:tc>
        <w:tc>
          <w:tcPr>
            <w:tcW w:w="951" w:type="dxa"/>
            <w:tcBorders>
              <w:top w:val="nil"/>
              <w:left w:val="nil"/>
              <w:bottom w:val="nil"/>
              <w:right w:val="nil"/>
            </w:tcBorders>
            <w:shd w:val="clear" w:color="000000" w:fill="FFFFFF"/>
            <w:noWrap/>
            <w:hideMark/>
          </w:tcPr>
          <w:p w14:paraId="5457CFB9"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911.863</w:t>
            </w:r>
          </w:p>
        </w:tc>
        <w:tc>
          <w:tcPr>
            <w:tcW w:w="870" w:type="dxa"/>
            <w:tcBorders>
              <w:top w:val="nil"/>
              <w:left w:val="nil"/>
              <w:bottom w:val="nil"/>
              <w:right w:val="nil"/>
            </w:tcBorders>
            <w:shd w:val="clear" w:color="000000" w:fill="FFFFFF"/>
            <w:noWrap/>
            <w:hideMark/>
          </w:tcPr>
          <w:p w14:paraId="47C8D3CC"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335.079</w:t>
            </w:r>
          </w:p>
        </w:tc>
      </w:tr>
      <w:tr w:rsidR="00ED19D1" w:rsidRPr="00993E61" w14:paraId="4BBF184F" w14:textId="77777777" w:rsidTr="00ED19D1">
        <w:trPr>
          <w:trHeight w:val="152"/>
        </w:trPr>
        <w:tc>
          <w:tcPr>
            <w:tcW w:w="502" w:type="dxa"/>
            <w:tcBorders>
              <w:top w:val="nil"/>
              <w:left w:val="nil"/>
              <w:bottom w:val="nil"/>
              <w:right w:val="nil"/>
            </w:tcBorders>
            <w:shd w:val="clear" w:color="000000" w:fill="FFFFFF"/>
            <w:noWrap/>
            <w:hideMark/>
          </w:tcPr>
          <w:p w14:paraId="771D3F2A"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5</w:t>
            </w:r>
          </w:p>
        </w:tc>
        <w:tc>
          <w:tcPr>
            <w:tcW w:w="3188" w:type="dxa"/>
            <w:tcBorders>
              <w:top w:val="nil"/>
              <w:left w:val="nil"/>
              <w:bottom w:val="nil"/>
              <w:right w:val="nil"/>
            </w:tcBorders>
            <w:shd w:val="clear" w:color="000000" w:fill="FFFFFF"/>
            <w:hideMark/>
          </w:tcPr>
          <w:p w14:paraId="380D2C10"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COMPANIA NAȚIONALĂ UNIFARM SA</w:t>
            </w:r>
          </w:p>
        </w:tc>
        <w:tc>
          <w:tcPr>
            <w:tcW w:w="757" w:type="dxa"/>
            <w:tcBorders>
              <w:top w:val="nil"/>
              <w:left w:val="nil"/>
              <w:bottom w:val="nil"/>
              <w:right w:val="nil"/>
            </w:tcBorders>
            <w:shd w:val="clear" w:color="000000" w:fill="FFFFFF"/>
            <w:noWrap/>
            <w:hideMark/>
          </w:tcPr>
          <w:p w14:paraId="6C603AC0"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42BAC8E4"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1.173.420</w:t>
            </w:r>
          </w:p>
        </w:tc>
        <w:tc>
          <w:tcPr>
            <w:tcW w:w="913" w:type="dxa"/>
            <w:tcBorders>
              <w:top w:val="nil"/>
              <w:left w:val="nil"/>
              <w:bottom w:val="nil"/>
              <w:right w:val="nil"/>
            </w:tcBorders>
            <w:shd w:val="clear" w:color="000000" w:fill="FFFFFF"/>
            <w:noWrap/>
            <w:hideMark/>
          </w:tcPr>
          <w:p w14:paraId="12B9B776"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243.254</w:t>
            </w:r>
          </w:p>
        </w:tc>
        <w:tc>
          <w:tcPr>
            <w:tcW w:w="951" w:type="dxa"/>
            <w:tcBorders>
              <w:top w:val="nil"/>
              <w:left w:val="nil"/>
              <w:bottom w:val="nil"/>
              <w:right w:val="nil"/>
            </w:tcBorders>
            <w:shd w:val="clear" w:color="000000" w:fill="FFFFFF"/>
            <w:noWrap/>
            <w:hideMark/>
          </w:tcPr>
          <w:p w14:paraId="79BFDB2B"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433.408</w:t>
            </w:r>
          </w:p>
        </w:tc>
        <w:tc>
          <w:tcPr>
            <w:tcW w:w="951" w:type="dxa"/>
            <w:tcBorders>
              <w:top w:val="nil"/>
              <w:left w:val="nil"/>
              <w:bottom w:val="nil"/>
              <w:right w:val="nil"/>
            </w:tcBorders>
            <w:shd w:val="clear" w:color="000000" w:fill="FFFFFF"/>
            <w:noWrap/>
            <w:hideMark/>
          </w:tcPr>
          <w:p w14:paraId="5047EE64"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730.873</w:t>
            </w:r>
          </w:p>
        </w:tc>
        <w:tc>
          <w:tcPr>
            <w:tcW w:w="870" w:type="dxa"/>
            <w:tcBorders>
              <w:top w:val="nil"/>
              <w:left w:val="nil"/>
              <w:bottom w:val="nil"/>
              <w:right w:val="nil"/>
            </w:tcBorders>
            <w:shd w:val="clear" w:color="000000" w:fill="FFFFFF"/>
            <w:noWrap/>
            <w:hideMark/>
          </w:tcPr>
          <w:p w14:paraId="72915036"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297.466</w:t>
            </w:r>
          </w:p>
        </w:tc>
      </w:tr>
      <w:tr w:rsidR="00ED19D1" w:rsidRPr="00993E61" w14:paraId="770EA043" w14:textId="77777777" w:rsidTr="00ED19D1">
        <w:trPr>
          <w:trHeight w:val="236"/>
        </w:trPr>
        <w:tc>
          <w:tcPr>
            <w:tcW w:w="502" w:type="dxa"/>
            <w:tcBorders>
              <w:top w:val="nil"/>
              <w:left w:val="nil"/>
              <w:bottom w:val="nil"/>
              <w:right w:val="nil"/>
            </w:tcBorders>
            <w:shd w:val="clear" w:color="000000" w:fill="FFFFFF"/>
            <w:noWrap/>
            <w:hideMark/>
          </w:tcPr>
          <w:p w14:paraId="7D146FBA"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6</w:t>
            </w:r>
          </w:p>
        </w:tc>
        <w:tc>
          <w:tcPr>
            <w:tcW w:w="3188" w:type="dxa"/>
            <w:tcBorders>
              <w:top w:val="nil"/>
              <w:left w:val="nil"/>
              <w:bottom w:val="nil"/>
              <w:right w:val="nil"/>
            </w:tcBorders>
            <w:shd w:val="clear" w:color="000000" w:fill="FFFFFF"/>
            <w:hideMark/>
          </w:tcPr>
          <w:p w14:paraId="140F3B64"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COMPANIA NAȚIONALĂ DE CĂI FERATE "CFR" SA</w:t>
            </w:r>
          </w:p>
        </w:tc>
        <w:tc>
          <w:tcPr>
            <w:tcW w:w="757" w:type="dxa"/>
            <w:tcBorders>
              <w:top w:val="nil"/>
              <w:left w:val="nil"/>
              <w:bottom w:val="nil"/>
              <w:right w:val="nil"/>
            </w:tcBorders>
            <w:shd w:val="clear" w:color="000000" w:fill="FFFFFF"/>
            <w:noWrap/>
            <w:hideMark/>
          </w:tcPr>
          <w:p w14:paraId="276638E1"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17A0E981"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104.598</w:t>
            </w:r>
          </w:p>
        </w:tc>
        <w:tc>
          <w:tcPr>
            <w:tcW w:w="913" w:type="dxa"/>
            <w:tcBorders>
              <w:top w:val="nil"/>
              <w:left w:val="nil"/>
              <w:bottom w:val="nil"/>
              <w:right w:val="nil"/>
            </w:tcBorders>
            <w:shd w:val="clear" w:color="000000" w:fill="FFFFFF"/>
            <w:noWrap/>
            <w:hideMark/>
          </w:tcPr>
          <w:p w14:paraId="132AC492"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289.433</w:t>
            </w:r>
          </w:p>
        </w:tc>
        <w:tc>
          <w:tcPr>
            <w:tcW w:w="951" w:type="dxa"/>
            <w:tcBorders>
              <w:top w:val="nil"/>
              <w:left w:val="nil"/>
              <w:bottom w:val="nil"/>
              <w:right w:val="nil"/>
            </w:tcBorders>
            <w:shd w:val="clear" w:color="000000" w:fill="FFFFFF"/>
            <w:noWrap/>
            <w:hideMark/>
          </w:tcPr>
          <w:p w14:paraId="6AC3CC2F"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5.083.993</w:t>
            </w:r>
          </w:p>
        </w:tc>
        <w:tc>
          <w:tcPr>
            <w:tcW w:w="951" w:type="dxa"/>
            <w:tcBorders>
              <w:top w:val="nil"/>
              <w:left w:val="nil"/>
              <w:bottom w:val="nil"/>
              <w:right w:val="nil"/>
            </w:tcBorders>
            <w:shd w:val="clear" w:color="000000" w:fill="FFFFFF"/>
            <w:noWrap/>
            <w:hideMark/>
          </w:tcPr>
          <w:p w14:paraId="747D1B49"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5.365.675</w:t>
            </w:r>
          </w:p>
        </w:tc>
        <w:tc>
          <w:tcPr>
            <w:tcW w:w="870" w:type="dxa"/>
            <w:tcBorders>
              <w:top w:val="nil"/>
              <w:left w:val="nil"/>
              <w:bottom w:val="nil"/>
              <w:right w:val="nil"/>
            </w:tcBorders>
            <w:shd w:val="clear" w:color="000000" w:fill="FFFFFF"/>
            <w:noWrap/>
            <w:hideMark/>
          </w:tcPr>
          <w:p w14:paraId="7E8CB527"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281.683</w:t>
            </w:r>
          </w:p>
        </w:tc>
      </w:tr>
      <w:tr w:rsidR="00ED19D1" w:rsidRPr="00993E61" w14:paraId="27E03BCF" w14:textId="77777777" w:rsidTr="00ED19D1">
        <w:trPr>
          <w:trHeight w:val="152"/>
        </w:trPr>
        <w:tc>
          <w:tcPr>
            <w:tcW w:w="502" w:type="dxa"/>
            <w:tcBorders>
              <w:top w:val="nil"/>
              <w:left w:val="nil"/>
              <w:bottom w:val="nil"/>
              <w:right w:val="nil"/>
            </w:tcBorders>
            <w:shd w:val="clear" w:color="000000" w:fill="FFFFFF"/>
            <w:noWrap/>
            <w:hideMark/>
          </w:tcPr>
          <w:p w14:paraId="0727175D"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7</w:t>
            </w:r>
          </w:p>
        </w:tc>
        <w:tc>
          <w:tcPr>
            <w:tcW w:w="3188" w:type="dxa"/>
            <w:tcBorders>
              <w:top w:val="nil"/>
              <w:left w:val="nil"/>
              <w:bottom w:val="nil"/>
              <w:right w:val="nil"/>
            </w:tcBorders>
            <w:shd w:val="clear" w:color="000000" w:fill="FFFFFF"/>
            <w:hideMark/>
          </w:tcPr>
          <w:p w14:paraId="01B8095B"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METROREX SA</w:t>
            </w:r>
          </w:p>
        </w:tc>
        <w:tc>
          <w:tcPr>
            <w:tcW w:w="757" w:type="dxa"/>
            <w:tcBorders>
              <w:top w:val="nil"/>
              <w:left w:val="nil"/>
              <w:bottom w:val="nil"/>
              <w:right w:val="nil"/>
            </w:tcBorders>
            <w:shd w:val="clear" w:color="000000" w:fill="FFFFFF"/>
            <w:noWrap/>
            <w:hideMark/>
          </w:tcPr>
          <w:p w14:paraId="0C4B8EE0"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49B4DE4D"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0</w:t>
            </w:r>
          </w:p>
        </w:tc>
        <w:tc>
          <w:tcPr>
            <w:tcW w:w="913" w:type="dxa"/>
            <w:tcBorders>
              <w:top w:val="nil"/>
              <w:left w:val="nil"/>
              <w:bottom w:val="nil"/>
              <w:right w:val="nil"/>
            </w:tcBorders>
            <w:shd w:val="clear" w:color="000000" w:fill="FFFFFF"/>
            <w:noWrap/>
            <w:hideMark/>
          </w:tcPr>
          <w:p w14:paraId="3AC0FFEA"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210.531</w:t>
            </w:r>
          </w:p>
        </w:tc>
        <w:tc>
          <w:tcPr>
            <w:tcW w:w="951" w:type="dxa"/>
            <w:tcBorders>
              <w:top w:val="nil"/>
              <w:left w:val="nil"/>
              <w:bottom w:val="nil"/>
              <w:right w:val="nil"/>
            </w:tcBorders>
            <w:shd w:val="clear" w:color="000000" w:fill="FFFFFF"/>
            <w:noWrap/>
            <w:hideMark/>
          </w:tcPr>
          <w:p w14:paraId="1926774C"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1.050.964</w:t>
            </w:r>
          </w:p>
        </w:tc>
        <w:tc>
          <w:tcPr>
            <w:tcW w:w="951" w:type="dxa"/>
            <w:tcBorders>
              <w:top w:val="nil"/>
              <w:left w:val="nil"/>
              <w:bottom w:val="nil"/>
              <w:right w:val="nil"/>
            </w:tcBorders>
            <w:shd w:val="clear" w:color="000000" w:fill="FFFFFF"/>
            <w:noWrap/>
            <w:hideMark/>
          </w:tcPr>
          <w:p w14:paraId="73BB566E"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1.261.540</w:t>
            </w:r>
          </w:p>
        </w:tc>
        <w:tc>
          <w:tcPr>
            <w:tcW w:w="870" w:type="dxa"/>
            <w:tcBorders>
              <w:top w:val="nil"/>
              <w:left w:val="nil"/>
              <w:bottom w:val="nil"/>
              <w:right w:val="nil"/>
            </w:tcBorders>
            <w:shd w:val="clear" w:color="000000" w:fill="FFFFFF"/>
            <w:noWrap/>
            <w:hideMark/>
          </w:tcPr>
          <w:p w14:paraId="74EFA029"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210.575</w:t>
            </w:r>
          </w:p>
        </w:tc>
      </w:tr>
      <w:tr w:rsidR="00ED19D1" w:rsidRPr="00993E61" w14:paraId="655FC4BB" w14:textId="77777777" w:rsidTr="00ED19D1">
        <w:trPr>
          <w:trHeight w:val="236"/>
        </w:trPr>
        <w:tc>
          <w:tcPr>
            <w:tcW w:w="502" w:type="dxa"/>
            <w:tcBorders>
              <w:top w:val="nil"/>
              <w:left w:val="nil"/>
              <w:bottom w:val="nil"/>
              <w:right w:val="nil"/>
            </w:tcBorders>
            <w:shd w:val="clear" w:color="000000" w:fill="FFFFFF"/>
            <w:noWrap/>
            <w:hideMark/>
          </w:tcPr>
          <w:p w14:paraId="606331DD"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8</w:t>
            </w:r>
          </w:p>
        </w:tc>
        <w:tc>
          <w:tcPr>
            <w:tcW w:w="3188" w:type="dxa"/>
            <w:tcBorders>
              <w:top w:val="nil"/>
              <w:left w:val="nil"/>
              <w:bottom w:val="nil"/>
              <w:right w:val="nil"/>
            </w:tcBorders>
            <w:shd w:val="clear" w:color="000000" w:fill="FFFFFF"/>
            <w:hideMark/>
          </w:tcPr>
          <w:p w14:paraId="587CD7EE"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COMPANIA NAȚIONALĂ "AEROPORTURI BUCUREȘTI" SA</w:t>
            </w:r>
          </w:p>
        </w:tc>
        <w:tc>
          <w:tcPr>
            <w:tcW w:w="757" w:type="dxa"/>
            <w:tcBorders>
              <w:top w:val="nil"/>
              <w:left w:val="nil"/>
              <w:bottom w:val="nil"/>
              <w:right w:val="nil"/>
            </w:tcBorders>
            <w:shd w:val="clear" w:color="000000" w:fill="FFFFFF"/>
            <w:noWrap/>
            <w:hideMark/>
          </w:tcPr>
          <w:p w14:paraId="4874ADD6"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3F3DC58E"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0</w:t>
            </w:r>
          </w:p>
        </w:tc>
        <w:tc>
          <w:tcPr>
            <w:tcW w:w="913" w:type="dxa"/>
            <w:tcBorders>
              <w:top w:val="nil"/>
              <w:left w:val="nil"/>
              <w:bottom w:val="nil"/>
              <w:right w:val="nil"/>
            </w:tcBorders>
            <w:shd w:val="clear" w:color="000000" w:fill="FFFFFF"/>
            <w:noWrap/>
            <w:hideMark/>
          </w:tcPr>
          <w:p w14:paraId="3FD0B81F"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178.004</w:t>
            </w:r>
          </w:p>
        </w:tc>
        <w:tc>
          <w:tcPr>
            <w:tcW w:w="951" w:type="dxa"/>
            <w:tcBorders>
              <w:top w:val="nil"/>
              <w:left w:val="nil"/>
              <w:bottom w:val="nil"/>
              <w:right w:val="nil"/>
            </w:tcBorders>
            <w:shd w:val="clear" w:color="000000" w:fill="FFFFFF"/>
            <w:noWrap/>
            <w:hideMark/>
          </w:tcPr>
          <w:p w14:paraId="45344771"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413.051</w:t>
            </w:r>
          </w:p>
        </w:tc>
        <w:tc>
          <w:tcPr>
            <w:tcW w:w="951" w:type="dxa"/>
            <w:tcBorders>
              <w:top w:val="nil"/>
              <w:left w:val="nil"/>
              <w:bottom w:val="nil"/>
              <w:right w:val="nil"/>
            </w:tcBorders>
            <w:shd w:val="clear" w:color="000000" w:fill="FFFFFF"/>
            <w:noWrap/>
            <w:hideMark/>
          </w:tcPr>
          <w:p w14:paraId="01A58D26"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587.047</w:t>
            </w:r>
          </w:p>
        </w:tc>
        <w:tc>
          <w:tcPr>
            <w:tcW w:w="870" w:type="dxa"/>
            <w:tcBorders>
              <w:top w:val="nil"/>
              <w:left w:val="nil"/>
              <w:bottom w:val="nil"/>
              <w:right w:val="nil"/>
            </w:tcBorders>
            <w:shd w:val="clear" w:color="000000" w:fill="FFFFFF"/>
            <w:noWrap/>
            <w:hideMark/>
          </w:tcPr>
          <w:p w14:paraId="4724AF24"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173.997</w:t>
            </w:r>
          </w:p>
        </w:tc>
      </w:tr>
      <w:tr w:rsidR="00ED19D1" w:rsidRPr="00993E61" w14:paraId="434D1FD1" w14:textId="77777777" w:rsidTr="00ED19D1">
        <w:trPr>
          <w:trHeight w:val="236"/>
        </w:trPr>
        <w:tc>
          <w:tcPr>
            <w:tcW w:w="502" w:type="dxa"/>
            <w:tcBorders>
              <w:top w:val="nil"/>
              <w:left w:val="nil"/>
              <w:bottom w:val="nil"/>
              <w:right w:val="nil"/>
            </w:tcBorders>
            <w:shd w:val="clear" w:color="000000" w:fill="FFFFFF"/>
            <w:noWrap/>
            <w:hideMark/>
          </w:tcPr>
          <w:p w14:paraId="260B1845"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9</w:t>
            </w:r>
          </w:p>
        </w:tc>
        <w:tc>
          <w:tcPr>
            <w:tcW w:w="3188" w:type="dxa"/>
            <w:tcBorders>
              <w:top w:val="nil"/>
              <w:left w:val="nil"/>
              <w:bottom w:val="nil"/>
              <w:right w:val="nil"/>
            </w:tcBorders>
            <w:shd w:val="clear" w:color="000000" w:fill="FFFFFF"/>
            <w:hideMark/>
          </w:tcPr>
          <w:p w14:paraId="12AEDCD8"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COMPANIA NAȚIONALĂ ROMTEHNICA SA</w:t>
            </w:r>
          </w:p>
        </w:tc>
        <w:tc>
          <w:tcPr>
            <w:tcW w:w="757" w:type="dxa"/>
            <w:tcBorders>
              <w:top w:val="nil"/>
              <w:left w:val="nil"/>
              <w:bottom w:val="nil"/>
              <w:right w:val="nil"/>
            </w:tcBorders>
            <w:shd w:val="clear" w:color="000000" w:fill="FFFFFF"/>
            <w:noWrap/>
            <w:hideMark/>
          </w:tcPr>
          <w:p w14:paraId="595B12C6"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15EC1AA3"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0</w:t>
            </w:r>
          </w:p>
        </w:tc>
        <w:tc>
          <w:tcPr>
            <w:tcW w:w="913" w:type="dxa"/>
            <w:tcBorders>
              <w:top w:val="nil"/>
              <w:left w:val="nil"/>
              <w:bottom w:val="nil"/>
              <w:right w:val="nil"/>
            </w:tcBorders>
            <w:shd w:val="clear" w:color="000000" w:fill="FFFFFF"/>
            <w:noWrap/>
            <w:hideMark/>
          </w:tcPr>
          <w:p w14:paraId="1DC6977D"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37.154</w:t>
            </w:r>
          </w:p>
        </w:tc>
        <w:tc>
          <w:tcPr>
            <w:tcW w:w="951" w:type="dxa"/>
            <w:tcBorders>
              <w:top w:val="nil"/>
              <w:left w:val="nil"/>
              <w:bottom w:val="nil"/>
              <w:right w:val="nil"/>
            </w:tcBorders>
            <w:shd w:val="clear" w:color="000000" w:fill="FFFFFF"/>
            <w:noWrap/>
            <w:hideMark/>
          </w:tcPr>
          <w:p w14:paraId="66AE59B2"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76.964</w:t>
            </w:r>
          </w:p>
        </w:tc>
        <w:tc>
          <w:tcPr>
            <w:tcW w:w="951" w:type="dxa"/>
            <w:tcBorders>
              <w:top w:val="nil"/>
              <w:left w:val="nil"/>
              <w:bottom w:val="nil"/>
              <w:right w:val="nil"/>
            </w:tcBorders>
            <w:shd w:val="clear" w:color="000000" w:fill="FFFFFF"/>
            <w:noWrap/>
            <w:hideMark/>
          </w:tcPr>
          <w:p w14:paraId="49B3DFD9"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139.616</w:t>
            </w:r>
          </w:p>
        </w:tc>
        <w:tc>
          <w:tcPr>
            <w:tcW w:w="870" w:type="dxa"/>
            <w:tcBorders>
              <w:top w:val="nil"/>
              <w:left w:val="nil"/>
              <w:bottom w:val="nil"/>
              <w:right w:val="nil"/>
            </w:tcBorders>
            <w:shd w:val="clear" w:color="000000" w:fill="FFFFFF"/>
            <w:noWrap/>
            <w:hideMark/>
          </w:tcPr>
          <w:p w14:paraId="149F6E0A"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62.652</w:t>
            </w:r>
          </w:p>
        </w:tc>
      </w:tr>
      <w:tr w:rsidR="00ED19D1" w:rsidRPr="00993E61" w14:paraId="5F753BFD" w14:textId="77777777" w:rsidTr="00ED19D1">
        <w:trPr>
          <w:trHeight w:val="152"/>
        </w:trPr>
        <w:tc>
          <w:tcPr>
            <w:tcW w:w="502" w:type="dxa"/>
            <w:tcBorders>
              <w:top w:val="nil"/>
              <w:left w:val="nil"/>
              <w:bottom w:val="nil"/>
              <w:right w:val="nil"/>
            </w:tcBorders>
            <w:shd w:val="clear" w:color="000000" w:fill="FFFFFF"/>
            <w:noWrap/>
            <w:hideMark/>
          </w:tcPr>
          <w:p w14:paraId="00CA78E2" w14:textId="77777777" w:rsidR="00ED19D1" w:rsidRPr="00ED19D1" w:rsidRDefault="00ED19D1" w:rsidP="0054644F">
            <w:pPr>
              <w:spacing w:before="0" w:after="0" w:line="240" w:lineRule="auto"/>
              <w:jc w:val="center"/>
              <w:rPr>
                <w:rFonts w:ascii="Calibri" w:eastAsia="Times New Roman" w:hAnsi="Calibri" w:cs="Times New Roman"/>
                <w:sz w:val="16"/>
                <w:szCs w:val="16"/>
                <w:lang w:eastAsia="ro-RO"/>
              </w:rPr>
            </w:pPr>
            <w:r w:rsidRPr="00ED19D1">
              <w:rPr>
                <w:rFonts w:ascii="Calibri" w:eastAsia="Times New Roman" w:hAnsi="Calibri" w:cs="Times New Roman"/>
                <w:sz w:val="16"/>
                <w:szCs w:val="16"/>
                <w:lang w:eastAsia="ro-RO"/>
              </w:rPr>
              <w:t>10</w:t>
            </w:r>
          </w:p>
        </w:tc>
        <w:tc>
          <w:tcPr>
            <w:tcW w:w="3188" w:type="dxa"/>
            <w:tcBorders>
              <w:top w:val="nil"/>
              <w:left w:val="nil"/>
              <w:bottom w:val="nil"/>
              <w:right w:val="nil"/>
            </w:tcBorders>
            <w:shd w:val="clear" w:color="000000" w:fill="FFFFFF"/>
            <w:hideMark/>
          </w:tcPr>
          <w:p w14:paraId="728C356A"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ROMAERO SA</w:t>
            </w:r>
          </w:p>
        </w:tc>
        <w:tc>
          <w:tcPr>
            <w:tcW w:w="757" w:type="dxa"/>
            <w:tcBorders>
              <w:top w:val="nil"/>
              <w:left w:val="nil"/>
              <w:bottom w:val="nil"/>
              <w:right w:val="nil"/>
            </w:tcBorders>
            <w:shd w:val="clear" w:color="000000" w:fill="FFFFFF"/>
            <w:noWrap/>
            <w:hideMark/>
          </w:tcPr>
          <w:p w14:paraId="07EA1002" w14:textId="77777777" w:rsidR="00ED19D1" w:rsidRPr="00915604" w:rsidRDefault="00ED19D1" w:rsidP="00ED19D1">
            <w:pPr>
              <w:spacing w:before="0" w:after="0" w:line="240" w:lineRule="auto"/>
              <w:jc w:val="right"/>
              <w:rPr>
                <w:rFonts w:eastAsia="Times New Roman" w:cstheme="minorHAnsi"/>
                <w:bCs/>
                <w:sz w:val="16"/>
                <w:szCs w:val="16"/>
                <w:lang w:eastAsia="ro-RO"/>
              </w:rPr>
            </w:pPr>
            <w:r w:rsidRPr="00915604">
              <w:rPr>
                <w:rFonts w:eastAsia="Times New Roman" w:cstheme="minorHAnsi"/>
                <w:bCs/>
                <w:sz w:val="16"/>
                <w:szCs w:val="16"/>
                <w:lang w:eastAsia="ro-RO"/>
              </w:rPr>
              <w:t>2020</w:t>
            </w:r>
          </w:p>
        </w:tc>
        <w:tc>
          <w:tcPr>
            <w:tcW w:w="966" w:type="dxa"/>
            <w:tcBorders>
              <w:top w:val="nil"/>
              <w:left w:val="nil"/>
              <w:bottom w:val="nil"/>
              <w:right w:val="nil"/>
            </w:tcBorders>
            <w:shd w:val="clear" w:color="000000" w:fill="FFFFFF"/>
            <w:noWrap/>
            <w:hideMark/>
          </w:tcPr>
          <w:p w14:paraId="3974DC57"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51.390</w:t>
            </w:r>
          </w:p>
        </w:tc>
        <w:tc>
          <w:tcPr>
            <w:tcW w:w="913" w:type="dxa"/>
            <w:tcBorders>
              <w:top w:val="nil"/>
              <w:left w:val="nil"/>
              <w:bottom w:val="nil"/>
              <w:right w:val="nil"/>
            </w:tcBorders>
            <w:shd w:val="clear" w:color="000000" w:fill="FFFFFF"/>
            <w:noWrap/>
            <w:hideMark/>
          </w:tcPr>
          <w:p w14:paraId="5335D79C"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56.512</w:t>
            </w:r>
          </w:p>
        </w:tc>
        <w:tc>
          <w:tcPr>
            <w:tcW w:w="951" w:type="dxa"/>
            <w:tcBorders>
              <w:top w:val="nil"/>
              <w:left w:val="nil"/>
              <w:bottom w:val="nil"/>
              <w:right w:val="nil"/>
            </w:tcBorders>
            <w:shd w:val="clear" w:color="000000" w:fill="FFFFFF"/>
            <w:noWrap/>
            <w:hideMark/>
          </w:tcPr>
          <w:p w14:paraId="539D6BFD"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122.318</w:t>
            </w:r>
          </w:p>
        </w:tc>
        <w:tc>
          <w:tcPr>
            <w:tcW w:w="951" w:type="dxa"/>
            <w:tcBorders>
              <w:top w:val="nil"/>
              <w:left w:val="nil"/>
              <w:bottom w:val="nil"/>
              <w:right w:val="nil"/>
            </w:tcBorders>
            <w:shd w:val="clear" w:color="000000" w:fill="FFFFFF"/>
            <w:noWrap/>
            <w:hideMark/>
          </w:tcPr>
          <w:p w14:paraId="5944AD76" w14:textId="77777777" w:rsidR="00ED19D1" w:rsidRPr="00915604" w:rsidRDefault="00ED19D1" w:rsidP="00ED19D1">
            <w:pPr>
              <w:spacing w:before="0" w:after="0" w:line="240" w:lineRule="auto"/>
              <w:jc w:val="right"/>
              <w:rPr>
                <w:rFonts w:eastAsia="Times New Roman" w:cstheme="minorHAnsi"/>
                <w:sz w:val="16"/>
                <w:szCs w:val="16"/>
                <w:lang w:eastAsia="ro-RO"/>
              </w:rPr>
            </w:pPr>
            <w:r w:rsidRPr="00915604">
              <w:rPr>
                <w:rFonts w:eastAsia="Times New Roman" w:cstheme="minorHAnsi"/>
                <w:sz w:val="16"/>
                <w:szCs w:val="16"/>
                <w:lang w:eastAsia="ro-RO"/>
              </w:rPr>
              <w:t>178.090</w:t>
            </w:r>
          </w:p>
        </w:tc>
        <w:tc>
          <w:tcPr>
            <w:tcW w:w="870" w:type="dxa"/>
            <w:tcBorders>
              <w:top w:val="nil"/>
              <w:left w:val="nil"/>
              <w:bottom w:val="nil"/>
              <w:right w:val="nil"/>
            </w:tcBorders>
            <w:shd w:val="clear" w:color="000000" w:fill="FFFFFF"/>
            <w:noWrap/>
            <w:hideMark/>
          </w:tcPr>
          <w:p w14:paraId="3ABF7EEE" w14:textId="77777777" w:rsidR="00ED19D1" w:rsidRPr="00915604" w:rsidRDefault="00ED19D1" w:rsidP="00ED19D1">
            <w:pPr>
              <w:spacing w:before="0" w:after="0" w:line="240" w:lineRule="auto"/>
              <w:jc w:val="right"/>
              <w:rPr>
                <w:rFonts w:ascii="Calibri" w:eastAsia="Times New Roman" w:hAnsi="Calibri" w:cs="Calibri"/>
                <w:color w:val="FF0000"/>
                <w:sz w:val="16"/>
                <w:szCs w:val="16"/>
                <w:lang w:eastAsia="ro-RO"/>
              </w:rPr>
            </w:pPr>
            <w:r w:rsidRPr="00915604">
              <w:rPr>
                <w:rFonts w:ascii="Calibri" w:eastAsia="Times New Roman" w:hAnsi="Calibri" w:cs="Calibri"/>
                <w:color w:val="FF0000"/>
                <w:sz w:val="16"/>
                <w:szCs w:val="16"/>
                <w:lang w:eastAsia="ro-RO"/>
              </w:rPr>
              <w:t>55.772</w:t>
            </w:r>
          </w:p>
        </w:tc>
      </w:tr>
      <w:tr w:rsidR="00ED19D1" w:rsidRPr="00993E61" w14:paraId="563B6D81" w14:textId="77777777" w:rsidTr="00ED19D1">
        <w:trPr>
          <w:trHeight w:val="282"/>
        </w:trPr>
        <w:tc>
          <w:tcPr>
            <w:tcW w:w="3690" w:type="dxa"/>
            <w:gridSpan w:val="2"/>
            <w:tcBorders>
              <w:top w:val="single" w:sz="4" w:space="0" w:color="B4C6E7"/>
              <w:left w:val="single" w:sz="4" w:space="0" w:color="FFFFFF"/>
              <w:bottom w:val="single" w:sz="4" w:space="0" w:color="B4C6E7"/>
              <w:right w:val="single" w:sz="4" w:space="0" w:color="FFFFFF"/>
            </w:tcBorders>
            <w:shd w:val="clear" w:color="000000" w:fill="FFFFFF"/>
            <w:hideMark/>
          </w:tcPr>
          <w:p w14:paraId="2F8B3659" w14:textId="77777777" w:rsidR="00ED19D1" w:rsidRPr="00ED19D1" w:rsidRDefault="00ED19D1" w:rsidP="00ED19D1">
            <w:pPr>
              <w:spacing w:before="0" w:after="0" w:line="240" w:lineRule="auto"/>
              <w:rPr>
                <w:rFonts w:ascii="Calibri" w:eastAsia="Times New Roman" w:hAnsi="Calibri" w:cs="Times New Roman"/>
                <w:bCs/>
                <w:sz w:val="16"/>
                <w:szCs w:val="16"/>
                <w:lang w:eastAsia="ro-RO"/>
              </w:rPr>
            </w:pPr>
            <w:r w:rsidRPr="00ED19D1">
              <w:rPr>
                <w:rFonts w:ascii="Calibri" w:eastAsia="Times New Roman" w:hAnsi="Calibri" w:cs="Times New Roman"/>
                <w:bCs/>
                <w:sz w:val="16"/>
                <w:szCs w:val="16"/>
                <w:lang w:eastAsia="ro-RO"/>
              </w:rPr>
              <w:t>Total general primele zece ÎPC care înregistrează pierdere brută</w:t>
            </w:r>
          </w:p>
        </w:tc>
        <w:tc>
          <w:tcPr>
            <w:tcW w:w="757" w:type="dxa"/>
            <w:tcBorders>
              <w:top w:val="single" w:sz="4" w:space="0" w:color="B4C6E7"/>
              <w:left w:val="nil"/>
              <w:bottom w:val="single" w:sz="4" w:space="0" w:color="B4C6E7"/>
              <w:right w:val="nil"/>
            </w:tcBorders>
            <w:shd w:val="clear" w:color="000000" w:fill="FFFFFF"/>
            <w:noWrap/>
            <w:hideMark/>
          </w:tcPr>
          <w:p w14:paraId="0AB0BB38" w14:textId="77777777" w:rsidR="00ED19D1" w:rsidRPr="00915604" w:rsidRDefault="00ED19D1" w:rsidP="00ED19D1">
            <w:pPr>
              <w:spacing w:before="0" w:after="0" w:line="240" w:lineRule="auto"/>
              <w:jc w:val="right"/>
              <w:rPr>
                <w:rFonts w:eastAsia="Times New Roman" w:cstheme="minorHAnsi"/>
                <w:b/>
                <w:bCs/>
                <w:sz w:val="16"/>
                <w:szCs w:val="16"/>
                <w:lang w:eastAsia="ro-RO"/>
              </w:rPr>
            </w:pPr>
            <w:r w:rsidRPr="00915604">
              <w:rPr>
                <w:rFonts w:eastAsia="Times New Roman" w:cstheme="minorHAnsi"/>
                <w:b/>
                <w:bCs/>
                <w:sz w:val="16"/>
                <w:szCs w:val="16"/>
                <w:lang w:eastAsia="ro-RO"/>
              </w:rPr>
              <w:t>2020</w:t>
            </w:r>
          </w:p>
        </w:tc>
        <w:tc>
          <w:tcPr>
            <w:tcW w:w="966" w:type="dxa"/>
            <w:tcBorders>
              <w:top w:val="single" w:sz="4" w:space="0" w:color="B4C6E7"/>
              <w:left w:val="nil"/>
              <w:bottom w:val="single" w:sz="4" w:space="0" w:color="B4C6E7"/>
              <w:right w:val="nil"/>
            </w:tcBorders>
            <w:shd w:val="clear" w:color="000000" w:fill="FFFFFF"/>
            <w:noWrap/>
            <w:hideMark/>
          </w:tcPr>
          <w:p w14:paraId="390B0060" w14:textId="77777777" w:rsidR="00ED19D1" w:rsidRPr="00915604" w:rsidRDefault="00ED19D1" w:rsidP="00ED19D1">
            <w:pPr>
              <w:spacing w:before="0" w:after="0" w:line="240" w:lineRule="auto"/>
              <w:jc w:val="right"/>
              <w:rPr>
                <w:rFonts w:eastAsia="Times New Roman" w:cstheme="minorHAnsi"/>
                <w:b/>
                <w:bCs/>
                <w:sz w:val="16"/>
                <w:szCs w:val="16"/>
                <w:lang w:eastAsia="ro-RO"/>
              </w:rPr>
            </w:pPr>
            <w:r w:rsidRPr="00915604">
              <w:rPr>
                <w:rFonts w:eastAsia="Times New Roman" w:cstheme="minorHAnsi"/>
                <w:b/>
                <w:bCs/>
                <w:sz w:val="16"/>
                <w:szCs w:val="16"/>
                <w:lang w:eastAsia="ro-RO"/>
              </w:rPr>
              <w:t>5.642.828</w:t>
            </w:r>
          </w:p>
        </w:tc>
        <w:tc>
          <w:tcPr>
            <w:tcW w:w="913" w:type="dxa"/>
            <w:tcBorders>
              <w:top w:val="single" w:sz="4" w:space="0" w:color="B4C6E7"/>
              <w:left w:val="nil"/>
              <w:bottom w:val="single" w:sz="4" w:space="0" w:color="B4C6E7"/>
              <w:right w:val="nil"/>
            </w:tcBorders>
            <w:shd w:val="clear" w:color="000000" w:fill="FFFFFF"/>
            <w:noWrap/>
            <w:hideMark/>
          </w:tcPr>
          <w:p w14:paraId="761A4314" w14:textId="77777777" w:rsidR="00ED19D1" w:rsidRPr="00915604" w:rsidRDefault="00ED19D1" w:rsidP="00ED19D1">
            <w:pPr>
              <w:spacing w:before="0" w:after="0" w:line="240" w:lineRule="auto"/>
              <w:jc w:val="right"/>
              <w:rPr>
                <w:rFonts w:eastAsia="Times New Roman" w:cstheme="minorHAnsi"/>
                <w:b/>
                <w:bCs/>
                <w:sz w:val="16"/>
                <w:szCs w:val="16"/>
                <w:lang w:eastAsia="ro-RO"/>
              </w:rPr>
            </w:pPr>
            <w:r w:rsidRPr="00915604">
              <w:rPr>
                <w:rFonts w:eastAsia="Times New Roman" w:cstheme="minorHAnsi"/>
                <w:b/>
                <w:bCs/>
                <w:sz w:val="16"/>
                <w:szCs w:val="16"/>
                <w:lang w:eastAsia="ro-RO"/>
              </w:rPr>
              <w:t>3.030.283</w:t>
            </w:r>
          </w:p>
        </w:tc>
        <w:tc>
          <w:tcPr>
            <w:tcW w:w="951" w:type="dxa"/>
            <w:tcBorders>
              <w:top w:val="single" w:sz="4" w:space="0" w:color="B4C6E7"/>
              <w:left w:val="nil"/>
              <w:bottom w:val="single" w:sz="4" w:space="0" w:color="B4C6E7"/>
              <w:right w:val="nil"/>
            </w:tcBorders>
            <w:shd w:val="clear" w:color="000000" w:fill="FFFFFF"/>
            <w:noWrap/>
            <w:hideMark/>
          </w:tcPr>
          <w:p w14:paraId="688C5F28" w14:textId="77777777" w:rsidR="00ED19D1" w:rsidRPr="00915604" w:rsidRDefault="00ED19D1" w:rsidP="00ED19D1">
            <w:pPr>
              <w:spacing w:before="0" w:after="0" w:line="240" w:lineRule="auto"/>
              <w:jc w:val="right"/>
              <w:rPr>
                <w:rFonts w:eastAsia="Times New Roman" w:cstheme="minorHAnsi"/>
                <w:b/>
                <w:bCs/>
                <w:sz w:val="16"/>
                <w:szCs w:val="16"/>
                <w:lang w:eastAsia="ro-RO"/>
              </w:rPr>
            </w:pPr>
            <w:r w:rsidRPr="00915604">
              <w:rPr>
                <w:rFonts w:eastAsia="Times New Roman" w:cstheme="minorHAnsi"/>
                <w:b/>
                <w:bCs/>
                <w:sz w:val="16"/>
                <w:szCs w:val="16"/>
                <w:lang w:eastAsia="ro-RO"/>
              </w:rPr>
              <w:t>12.790.547</w:t>
            </w:r>
          </w:p>
        </w:tc>
        <w:tc>
          <w:tcPr>
            <w:tcW w:w="951" w:type="dxa"/>
            <w:tcBorders>
              <w:top w:val="single" w:sz="4" w:space="0" w:color="B4C6E7"/>
              <w:left w:val="nil"/>
              <w:bottom w:val="single" w:sz="4" w:space="0" w:color="B4C6E7"/>
              <w:right w:val="nil"/>
            </w:tcBorders>
            <w:shd w:val="clear" w:color="000000" w:fill="FFFFFF"/>
            <w:noWrap/>
            <w:hideMark/>
          </w:tcPr>
          <w:p w14:paraId="6C2B7C56" w14:textId="77777777" w:rsidR="00ED19D1" w:rsidRPr="00915604" w:rsidRDefault="00ED19D1" w:rsidP="00ED19D1">
            <w:pPr>
              <w:spacing w:before="0" w:after="0" w:line="240" w:lineRule="auto"/>
              <w:jc w:val="right"/>
              <w:rPr>
                <w:rFonts w:eastAsia="Times New Roman" w:cstheme="minorHAnsi"/>
                <w:b/>
                <w:bCs/>
                <w:sz w:val="16"/>
                <w:szCs w:val="16"/>
                <w:lang w:eastAsia="ro-RO"/>
              </w:rPr>
            </w:pPr>
            <w:r w:rsidRPr="00915604">
              <w:rPr>
                <w:rFonts w:eastAsia="Times New Roman" w:cstheme="minorHAnsi"/>
                <w:b/>
                <w:bCs/>
                <w:sz w:val="16"/>
                <w:szCs w:val="16"/>
                <w:lang w:eastAsia="ro-RO"/>
              </w:rPr>
              <w:t>15.965.989</w:t>
            </w:r>
          </w:p>
        </w:tc>
        <w:tc>
          <w:tcPr>
            <w:tcW w:w="870" w:type="dxa"/>
            <w:tcBorders>
              <w:top w:val="single" w:sz="4" w:space="0" w:color="B4C6E7"/>
              <w:left w:val="nil"/>
              <w:bottom w:val="single" w:sz="4" w:space="0" w:color="B4C6E7"/>
              <w:right w:val="nil"/>
            </w:tcBorders>
            <w:shd w:val="clear" w:color="000000" w:fill="FFFFFF"/>
            <w:noWrap/>
            <w:hideMark/>
          </w:tcPr>
          <w:p w14:paraId="5B4DE447" w14:textId="77777777" w:rsidR="00ED19D1" w:rsidRPr="00915604" w:rsidRDefault="00ED19D1" w:rsidP="00ED19D1">
            <w:pPr>
              <w:spacing w:before="0" w:after="0" w:line="240" w:lineRule="auto"/>
              <w:jc w:val="right"/>
              <w:rPr>
                <w:rFonts w:ascii="Calibri" w:eastAsia="Times New Roman" w:hAnsi="Calibri" w:cs="Calibri"/>
                <w:b/>
                <w:bCs/>
                <w:color w:val="FF0000"/>
                <w:sz w:val="16"/>
                <w:szCs w:val="16"/>
                <w:lang w:eastAsia="ro-RO"/>
              </w:rPr>
            </w:pPr>
            <w:r w:rsidRPr="00915604">
              <w:rPr>
                <w:rFonts w:ascii="Calibri" w:eastAsia="Times New Roman" w:hAnsi="Calibri" w:cs="Calibri"/>
                <w:b/>
                <w:bCs/>
                <w:color w:val="FF0000"/>
                <w:sz w:val="16"/>
                <w:szCs w:val="16"/>
                <w:lang w:eastAsia="ro-RO"/>
              </w:rPr>
              <w:t>3.175.442</w:t>
            </w:r>
          </w:p>
        </w:tc>
      </w:tr>
      <w:tr w:rsidR="00ED19D1" w:rsidRPr="00993E61" w14:paraId="25DC1E66" w14:textId="77777777" w:rsidTr="00ED19D1">
        <w:trPr>
          <w:trHeight w:val="152"/>
        </w:trPr>
        <w:tc>
          <w:tcPr>
            <w:tcW w:w="9098" w:type="dxa"/>
            <w:gridSpan w:val="8"/>
            <w:tcBorders>
              <w:top w:val="nil"/>
              <w:left w:val="nil"/>
              <w:bottom w:val="nil"/>
              <w:right w:val="nil"/>
            </w:tcBorders>
            <w:shd w:val="clear" w:color="000000" w:fill="FFFFFF"/>
            <w:noWrap/>
            <w:vAlign w:val="bottom"/>
            <w:hideMark/>
          </w:tcPr>
          <w:p w14:paraId="40E4D56A" w14:textId="77777777" w:rsidR="00ED19D1" w:rsidRPr="00ED19D1" w:rsidRDefault="00ED19D1" w:rsidP="00A06393">
            <w:pPr>
              <w:spacing w:before="0" w:after="0" w:line="240" w:lineRule="auto"/>
              <w:rPr>
                <w:rFonts w:ascii="Calibri Light" w:eastAsia="Times New Roman" w:hAnsi="Calibri Light" w:cs="Times New Roman"/>
                <w:sz w:val="16"/>
                <w:szCs w:val="16"/>
                <w:lang w:eastAsia="ro-RO"/>
              </w:rPr>
            </w:pPr>
            <w:r w:rsidRPr="00ED19D1">
              <w:rPr>
                <w:rFonts w:ascii="Calibri Light" w:eastAsia="Times New Roman" w:hAnsi="Calibri Light" w:cs="Times New Roman"/>
                <w:sz w:val="16"/>
                <w:szCs w:val="16"/>
                <w:lang w:eastAsia="ro-RO"/>
              </w:rPr>
              <w:t>Notă: în tabel s-a folosit starea ÎP la finele anului 2020.</w:t>
            </w:r>
          </w:p>
        </w:tc>
      </w:tr>
    </w:tbl>
    <w:p w14:paraId="0886EF32" w14:textId="77777777" w:rsidR="00ED19D1" w:rsidRPr="008C6972" w:rsidRDefault="00ED19D1" w:rsidP="00ED19D1">
      <w:pPr>
        <w:spacing w:before="120" w:after="120"/>
        <w:jc w:val="both"/>
        <w:rPr>
          <w:rFonts w:asciiTheme="majorHAnsi" w:hAnsiTheme="majorHAnsi" w:cstheme="majorBidi"/>
          <w:color w:val="0F6FC6" w:themeColor="accent1"/>
        </w:rPr>
      </w:pPr>
    </w:p>
    <w:p w14:paraId="3B931739" w14:textId="77777777" w:rsidR="00ED19D1" w:rsidRDefault="00ED19D1" w:rsidP="00ED19D1">
      <w:pPr>
        <w:spacing w:before="0" w:after="0" w:line="23" w:lineRule="atLeast"/>
        <w:rPr>
          <w:rFonts w:asciiTheme="majorHAnsi" w:hAnsiTheme="majorHAnsi" w:cstheme="majorBidi"/>
        </w:rPr>
      </w:pPr>
      <w:r w:rsidRPr="001C3C53">
        <w:rPr>
          <w:rFonts w:asciiTheme="majorHAnsi" w:hAnsiTheme="majorHAnsi" w:cstheme="majorBidi"/>
        </w:rPr>
        <w:t xml:space="preserve">Dintre </w:t>
      </w:r>
      <w:r w:rsidRPr="001C3C53">
        <w:rPr>
          <w:rFonts w:asciiTheme="majorHAnsi" w:hAnsiTheme="majorHAnsi" w:cstheme="majorBidi"/>
          <w:b/>
          <w:bCs/>
        </w:rPr>
        <w:t>cauzele</w:t>
      </w:r>
      <w:r w:rsidRPr="001C3C53">
        <w:rPr>
          <w:rFonts w:asciiTheme="majorHAnsi" w:hAnsiTheme="majorHAnsi" w:cstheme="majorBidi"/>
        </w:rPr>
        <w:t xml:space="preserve"> care au determinat acumularea celor mai mari pierderi în anul 2020, amintim: </w:t>
      </w:r>
    </w:p>
    <w:p w14:paraId="14EEB92E" w14:textId="77777777" w:rsidR="00ED19D1" w:rsidRPr="001C3C53" w:rsidRDefault="00ED19D1" w:rsidP="00ED19D1">
      <w:pPr>
        <w:spacing w:before="0" w:after="0" w:line="23" w:lineRule="atLeast"/>
        <w:rPr>
          <w:rFonts w:asciiTheme="majorHAnsi" w:hAnsiTheme="majorHAnsi" w:cstheme="majorBidi"/>
        </w:rPr>
      </w:pPr>
    </w:p>
    <w:p w14:paraId="2542DA87" w14:textId="77777777" w:rsidR="00ED19D1" w:rsidRPr="001C3C53" w:rsidRDefault="00ED19D1" w:rsidP="00F26763">
      <w:pPr>
        <w:numPr>
          <w:ilvl w:val="0"/>
          <w:numId w:val="10"/>
        </w:numPr>
        <w:spacing w:before="0" w:after="0" w:line="23" w:lineRule="atLeast"/>
        <w:ind w:left="270" w:hanging="270"/>
        <w:contextualSpacing/>
        <w:jc w:val="both"/>
        <w:rPr>
          <w:rFonts w:asciiTheme="majorHAnsi" w:hAnsiTheme="majorHAnsi"/>
        </w:rPr>
      </w:pPr>
      <w:r w:rsidRPr="001C3C53">
        <w:rPr>
          <w:rFonts w:asciiTheme="majorHAnsi" w:hAnsiTheme="majorHAnsi" w:cstheme="majorBidi"/>
          <w:b/>
          <w:bCs/>
          <w:kern w:val="20"/>
          <w:lang w:eastAsia="ja-JP"/>
        </w:rPr>
        <w:t xml:space="preserve">la Societatea Complexul Energetic Oltenia S.A. – </w:t>
      </w:r>
      <w:r w:rsidRPr="001C3C53">
        <w:rPr>
          <w:rFonts w:asciiTheme="majorHAnsi" w:hAnsiTheme="majorHAnsi" w:cs="Times New Roman"/>
          <w:iCs/>
        </w:rPr>
        <w:t xml:space="preserve">reducerea veniturilor totale, </w:t>
      </w:r>
      <w:r w:rsidR="006F2436">
        <w:rPr>
          <w:rFonts w:asciiTheme="majorHAnsi" w:hAnsiTheme="majorHAnsi" w:cs="Times New Roman"/>
          <w:iCs/>
        </w:rPr>
        <w:t xml:space="preserve">din cauza </w:t>
      </w:r>
      <w:r w:rsidR="006F2436" w:rsidRPr="001C3C53">
        <w:rPr>
          <w:rFonts w:asciiTheme="majorHAnsi" w:hAnsiTheme="majorHAnsi" w:cs="Times New Roman"/>
          <w:iCs/>
        </w:rPr>
        <w:t xml:space="preserve"> </w:t>
      </w:r>
      <w:r w:rsidRPr="001C3C53">
        <w:rPr>
          <w:rFonts w:asciiTheme="majorHAnsi" w:hAnsiTheme="majorHAnsi" w:cs="Times New Roman"/>
          <w:iCs/>
        </w:rPr>
        <w:t xml:space="preserve">lipsei cererii de energie în Sistemul Energetic Național, aceasta și ca urmare a reducerii activității în economia națională generată de măsurile luate de Guvern pentru reducerea răspândirii infecției cu virusul </w:t>
      </w:r>
      <w:r>
        <w:rPr>
          <w:rFonts w:asciiTheme="majorHAnsi" w:hAnsiTheme="majorHAnsi" w:cs="Times New Roman"/>
          <w:iCs/>
        </w:rPr>
        <w:t>COVID 19</w:t>
      </w:r>
      <w:r w:rsidRPr="001C3C53">
        <w:rPr>
          <w:rFonts w:asciiTheme="majorHAnsi" w:hAnsiTheme="majorHAnsi" w:cs="Times New Roman"/>
          <w:iCs/>
        </w:rPr>
        <w:t xml:space="preserve"> concomitent cu scăderea prețului la energia electrică, ceea ce a condus la reducerea profitului brut;</w:t>
      </w:r>
    </w:p>
    <w:p w14:paraId="10C62518" w14:textId="77777777" w:rsidR="00ED19D1" w:rsidRPr="001C3C53" w:rsidRDefault="00ED19D1" w:rsidP="00F26763">
      <w:pPr>
        <w:numPr>
          <w:ilvl w:val="0"/>
          <w:numId w:val="10"/>
        </w:numPr>
        <w:spacing w:before="0" w:after="0" w:line="23" w:lineRule="atLeast"/>
        <w:ind w:left="270" w:hanging="270"/>
        <w:contextualSpacing/>
        <w:jc w:val="both"/>
        <w:rPr>
          <w:rFonts w:asciiTheme="majorHAnsi" w:hAnsiTheme="majorHAnsi" w:cs="Times New Roman"/>
          <w:iCs/>
        </w:rPr>
      </w:pPr>
      <w:r w:rsidRPr="001C3C53">
        <w:rPr>
          <w:rFonts w:asciiTheme="majorHAnsi" w:hAnsiTheme="majorHAnsi" w:cstheme="majorBidi"/>
          <w:b/>
          <w:kern w:val="20"/>
          <w:lang w:eastAsia="ja-JP"/>
        </w:rPr>
        <w:t>la Compania Națională de Transporturi Aeriene Române Tarom S.A. –</w:t>
      </w:r>
      <w:r w:rsidRPr="001C3C53">
        <w:rPr>
          <w:rFonts w:asciiTheme="majorHAnsi" w:hAnsiTheme="majorHAnsi" w:cstheme="majorBidi"/>
          <w:kern w:val="20"/>
          <w:lang w:eastAsia="ja-JP"/>
        </w:rPr>
        <w:t xml:space="preserve"> din cauza </w:t>
      </w:r>
      <w:r w:rsidRPr="001C3C53">
        <w:rPr>
          <w:rFonts w:asciiTheme="majorHAnsi" w:hAnsiTheme="majorHAnsi" w:cs="Times New Roman"/>
          <w:iCs/>
        </w:rPr>
        <w:t>scăderii drastice a activității (prin scăderea numărului de curse și a numărului de pasageri transportați), aceasta fiind afectată de criza provocată pe perioada pandemiei cu virusul COVID</w:t>
      </w:r>
      <w:r>
        <w:rPr>
          <w:rFonts w:asciiTheme="majorHAnsi" w:hAnsiTheme="majorHAnsi" w:cs="Times New Roman"/>
          <w:iCs/>
        </w:rPr>
        <w:t xml:space="preserve"> </w:t>
      </w:r>
      <w:r w:rsidRPr="001C3C53">
        <w:rPr>
          <w:rFonts w:asciiTheme="majorHAnsi" w:hAnsiTheme="majorHAnsi" w:cs="Times New Roman"/>
          <w:iCs/>
        </w:rPr>
        <w:t>19;</w:t>
      </w:r>
    </w:p>
    <w:p w14:paraId="1C89B81A" w14:textId="77777777" w:rsidR="00ED19D1" w:rsidRPr="001C3C53" w:rsidRDefault="00ED19D1" w:rsidP="00F26763">
      <w:pPr>
        <w:numPr>
          <w:ilvl w:val="0"/>
          <w:numId w:val="10"/>
        </w:numPr>
        <w:spacing w:before="0" w:after="0" w:line="23" w:lineRule="atLeast"/>
        <w:ind w:left="270" w:hanging="270"/>
        <w:contextualSpacing/>
        <w:jc w:val="both"/>
        <w:rPr>
          <w:rFonts w:asciiTheme="majorHAnsi" w:hAnsiTheme="majorHAnsi"/>
          <w:b/>
          <w:bCs/>
          <w:color w:val="000000" w:themeColor="text1"/>
        </w:rPr>
      </w:pPr>
      <w:r w:rsidRPr="001C3C53">
        <w:rPr>
          <w:rFonts w:asciiTheme="majorHAnsi" w:hAnsiTheme="majorHAnsi"/>
          <w:b/>
          <w:bCs/>
        </w:rPr>
        <w:t>la Societatea Națională de Transport Feroviar de Călători „C.F.R. Călători” S.A. –</w:t>
      </w:r>
      <w:r w:rsidRPr="001C3C53">
        <w:rPr>
          <w:rFonts w:asciiTheme="majorHAnsi" w:hAnsiTheme="majorHAnsi"/>
        </w:rPr>
        <w:t xml:space="preserve"> din cauza nealocării compensației pentru susținerea transportului feroviar public de călători, la nivelul necesarului și</w:t>
      </w:r>
      <w:r w:rsidRPr="001C3C53">
        <w:rPr>
          <w:rFonts w:ascii="Bookman Old Style" w:hAnsi="Bookman Old Style"/>
          <w:b/>
        </w:rPr>
        <w:t xml:space="preserve"> </w:t>
      </w:r>
      <w:r w:rsidRPr="001C3C53">
        <w:rPr>
          <w:rFonts w:asciiTheme="majorHAnsi" w:hAnsiTheme="majorHAnsi"/>
        </w:rPr>
        <w:t xml:space="preserve">nerealizarea veniturilor bugetate ca urmare a situației epidemiologice determinată de răspândirea COVID 19, restrângerea dreptului de circulație; </w:t>
      </w:r>
    </w:p>
    <w:p w14:paraId="6A6881A1" w14:textId="77777777" w:rsidR="00ED19D1" w:rsidRPr="001C3C53" w:rsidRDefault="00ED19D1" w:rsidP="00F26763">
      <w:pPr>
        <w:numPr>
          <w:ilvl w:val="0"/>
          <w:numId w:val="10"/>
        </w:numPr>
        <w:spacing w:before="0" w:after="0" w:line="23" w:lineRule="atLeast"/>
        <w:ind w:left="270" w:hanging="270"/>
        <w:contextualSpacing/>
        <w:jc w:val="both"/>
        <w:rPr>
          <w:rFonts w:asciiTheme="majorHAnsi" w:hAnsiTheme="majorHAnsi"/>
        </w:rPr>
      </w:pPr>
      <w:r w:rsidRPr="001C3C53">
        <w:rPr>
          <w:rFonts w:asciiTheme="majorHAnsi" w:hAnsiTheme="majorHAnsi" w:cstheme="majorBidi"/>
          <w:b/>
          <w:bCs/>
          <w:kern w:val="20"/>
          <w:lang w:eastAsia="ja-JP"/>
        </w:rPr>
        <w:t>la Societatea Națională de Transport Feroviar de Marfă „C.F.R. Marfă” S.A.</w:t>
      </w:r>
      <w:r w:rsidRPr="001C3C53">
        <w:rPr>
          <w:rFonts w:asciiTheme="majorHAnsi" w:hAnsiTheme="majorHAnsi" w:cstheme="majorBidi"/>
          <w:kern w:val="20"/>
          <w:lang w:eastAsia="ja-JP"/>
        </w:rPr>
        <w:t xml:space="preserve">  - </w:t>
      </w:r>
      <w:r w:rsidRPr="001C3C53">
        <w:rPr>
          <w:rFonts w:asciiTheme="majorHAnsi" w:hAnsiTheme="majorHAnsi" w:cs="Times New Roman"/>
          <w:lang w:eastAsia="ro-RO"/>
        </w:rPr>
        <w:t>n</w:t>
      </w:r>
      <w:r w:rsidRPr="001C3C53">
        <w:rPr>
          <w:rFonts w:asciiTheme="majorHAnsi" w:hAnsiTheme="majorHAnsi" w:cs="Times New Roman"/>
        </w:rPr>
        <w:t>erealizarea veniturilor prognozate prin BVC aprobat pentru anul 2020; restricțiile impuse, reducerea în lanț a producției și diminuarea consumului de materii prime și energie pe fondul pandemiei COVID 19; condițiile externe de secetă au generat pierderi pentru produsele agricole cu impact negativ asupra transportului; preluarea unor clienți importanți de către operatori privați de transport feroviar</w:t>
      </w:r>
      <w:r w:rsidRPr="001C3C53">
        <w:rPr>
          <w:rFonts w:asciiTheme="majorHAnsi" w:hAnsiTheme="majorHAnsi" w:cs="Times New Roman"/>
          <w:lang w:eastAsia="ro-RO"/>
        </w:rPr>
        <w:t>;</w:t>
      </w:r>
    </w:p>
    <w:p w14:paraId="4641E291" w14:textId="77777777" w:rsidR="00ED19D1" w:rsidRPr="001C3C53" w:rsidRDefault="00ED19D1" w:rsidP="00F26763">
      <w:pPr>
        <w:numPr>
          <w:ilvl w:val="0"/>
          <w:numId w:val="10"/>
        </w:numPr>
        <w:spacing w:before="0" w:after="0" w:line="23" w:lineRule="atLeast"/>
        <w:ind w:left="270" w:hanging="270"/>
        <w:contextualSpacing/>
        <w:jc w:val="both"/>
        <w:rPr>
          <w:rFonts w:asciiTheme="majorHAnsi" w:hAnsiTheme="majorHAnsi"/>
        </w:rPr>
      </w:pPr>
      <w:r w:rsidRPr="001C3C53">
        <w:rPr>
          <w:rFonts w:asciiTheme="majorHAnsi" w:eastAsia="SimSun" w:hAnsiTheme="majorHAnsi" w:cstheme="majorBidi"/>
          <w:b/>
          <w:bCs/>
        </w:rPr>
        <w:t xml:space="preserve">la Unifarm SA </w:t>
      </w:r>
      <w:r w:rsidRPr="001C3C53">
        <w:rPr>
          <w:rFonts w:asciiTheme="majorHAnsi" w:hAnsiTheme="majorHAnsi"/>
        </w:rPr>
        <w:t xml:space="preserve">– achiziționarea de urgență a unor stocuri de materiale de protecție și dispozitive medicale la prețuri mult mai mari decât prețurile înregistrate în condiții normale, în contextul dezechilibrării pieței datorate ruperii lanțului de aprovizionare în perioada de debut a crizei sanitare precum și derularea contractelor aferente, în contextul crizei induse de pandemia </w:t>
      </w:r>
      <w:r>
        <w:rPr>
          <w:rFonts w:asciiTheme="majorHAnsi" w:hAnsiTheme="majorHAnsi"/>
        </w:rPr>
        <w:t>COVID 19</w:t>
      </w:r>
      <w:r w:rsidRPr="001C3C53">
        <w:rPr>
          <w:rFonts w:asciiTheme="majorHAnsi" w:hAnsiTheme="majorHAnsi"/>
        </w:rPr>
        <w:t>;</w:t>
      </w:r>
    </w:p>
    <w:p w14:paraId="689DAFC9" w14:textId="77777777" w:rsidR="00ED19D1" w:rsidRDefault="00ED19D1" w:rsidP="00F26763">
      <w:pPr>
        <w:widowControl w:val="0"/>
        <w:numPr>
          <w:ilvl w:val="0"/>
          <w:numId w:val="10"/>
        </w:numPr>
        <w:suppressAutoHyphens/>
        <w:autoSpaceDN w:val="0"/>
        <w:spacing w:before="0" w:after="0" w:line="23" w:lineRule="atLeast"/>
        <w:ind w:left="270" w:hanging="270"/>
        <w:contextualSpacing/>
        <w:jc w:val="both"/>
        <w:textAlignment w:val="baseline"/>
        <w:rPr>
          <w:rFonts w:asciiTheme="majorHAnsi" w:hAnsiTheme="majorHAnsi"/>
        </w:rPr>
      </w:pPr>
      <w:r w:rsidRPr="00ED19D1">
        <w:rPr>
          <w:rFonts w:asciiTheme="majorHAnsi" w:hAnsiTheme="majorHAnsi" w:cstheme="majorBidi"/>
          <w:b/>
          <w:kern w:val="20"/>
          <w:lang w:eastAsia="ja-JP"/>
        </w:rPr>
        <w:t xml:space="preserve">la Compania Națională  de Căi Ferate CFR SA - </w:t>
      </w:r>
      <w:r w:rsidRPr="00ED19D1">
        <w:rPr>
          <w:rFonts w:asciiTheme="majorHAnsi" w:hAnsiTheme="majorHAnsi"/>
        </w:rPr>
        <w:t>reducerea alocațiilor de la bugetul de stat (reducere față de alocările din anul 2019), reducerea veniturilor proprii și creșterea tuturor prețurilor și tarifelor aferente desfășurării activității curente; evoluția pandemiei cu COVID 19 care a condus la reducerea veniturilor proprii;</w:t>
      </w:r>
    </w:p>
    <w:p w14:paraId="046DAD6E" w14:textId="77777777" w:rsidR="00ED19D1" w:rsidRPr="00ED19D1" w:rsidRDefault="00ED19D1" w:rsidP="00F26763">
      <w:pPr>
        <w:widowControl w:val="0"/>
        <w:numPr>
          <w:ilvl w:val="0"/>
          <w:numId w:val="10"/>
        </w:numPr>
        <w:suppressAutoHyphens/>
        <w:autoSpaceDN w:val="0"/>
        <w:spacing w:before="0" w:after="0" w:line="23" w:lineRule="atLeast"/>
        <w:ind w:left="270" w:hanging="270"/>
        <w:contextualSpacing/>
        <w:jc w:val="both"/>
        <w:textAlignment w:val="baseline"/>
        <w:rPr>
          <w:rFonts w:asciiTheme="majorHAnsi" w:hAnsiTheme="majorHAnsi"/>
        </w:rPr>
      </w:pPr>
      <w:r w:rsidRPr="00ED19D1">
        <w:rPr>
          <w:rFonts w:asciiTheme="majorHAnsi" w:hAnsiTheme="majorHAnsi" w:cstheme="majorBidi"/>
          <w:b/>
          <w:bCs/>
          <w:kern w:val="20"/>
          <w:lang w:eastAsia="ja-JP"/>
        </w:rPr>
        <w:t xml:space="preserve">la Societatea Metrorex SA – </w:t>
      </w:r>
      <w:r w:rsidRPr="00ED19D1">
        <w:rPr>
          <w:rFonts w:asciiTheme="majorHAnsi" w:hAnsiTheme="majorHAnsi" w:cstheme="majorBidi"/>
          <w:bCs/>
          <w:kern w:val="20"/>
          <w:lang w:eastAsia="ja-JP"/>
        </w:rPr>
        <w:t>evoluția</w:t>
      </w:r>
      <w:r w:rsidRPr="00ED19D1">
        <w:rPr>
          <w:rFonts w:asciiTheme="majorHAnsi" w:eastAsia="SimSun" w:hAnsiTheme="majorHAnsi" w:cstheme="majorBidi"/>
        </w:rPr>
        <w:t xml:space="preserve"> situației epidemiologice determinată de răspândirea COVID 19 care a condus la aplicarea unor măsuri de prevenire și la diminuarea numărului de călători transportați și implicit a veniturilor; neacordarea compensației/subvenției pentru transportul de călători cu metroul, în cuantumul fundamentat și solicitat; </w:t>
      </w:r>
    </w:p>
    <w:p w14:paraId="7EA30EA7" w14:textId="77777777" w:rsidR="00ED19D1" w:rsidRPr="001C3C53" w:rsidRDefault="00ED19D1" w:rsidP="00F26763">
      <w:pPr>
        <w:widowControl w:val="0"/>
        <w:numPr>
          <w:ilvl w:val="0"/>
          <w:numId w:val="10"/>
        </w:numPr>
        <w:suppressAutoHyphens/>
        <w:autoSpaceDN w:val="0"/>
        <w:spacing w:before="0" w:after="0" w:line="23" w:lineRule="atLeast"/>
        <w:ind w:left="270" w:hanging="270"/>
        <w:contextualSpacing/>
        <w:jc w:val="both"/>
        <w:textAlignment w:val="baseline"/>
        <w:rPr>
          <w:rFonts w:asciiTheme="majorHAnsi" w:hAnsiTheme="majorHAnsi"/>
        </w:rPr>
      </w:pPr>
      <w:r w:rsidRPr="001C3C53">
        <w:rPr>
          <w:rFonts w:asciiTheme="majorHAnsi" w:hAnsiTheme="majorHAnsi" w:cstheme="majorBidi"/>
          <w:b/>
          <w:bCs/>
          <w:kern w:val="20"/>
          <w:lang w:eastAsia="ja-JP"/>
        </w:rPr>
        <w:t xml:space="preserve">la </w:t>
      </w:r>
      <w:bookmarkStart w:id="66" w:name="_Hlk82435039"/>
      <w:r w:rsidRPr="001C3C53">
        <w:rPr>
          <w:rFonts w:asciiTheme="majorHAnsi" w:hAnsiTheme="majorHAnsi" w:cstheme="majorBidi"/>
          <w:b/>
          <w:bCs/>
          <w:kern w:val="20"/>
          <w:lang w:eastAsia="ja-JP"/>
        </w:rPr>
        <w:t xml:space="preserve">Compania Națională </w:t>
      </w:r>
      <w:bookmarkEnd w:id="66"/>
      <w:r w:rsidRPr="001C3C53">
        <w:rPr>
          <w:rFonts w:asciiTheme="majorHAnsi" w:hAnsiTheme="majorHAnsi" w:cstheme="majorBidi"/>
          <w:b/>
          <w:bCs/>
          <w:kern w:val="20"/>
          <w:lang w:eastAsia="ja-JP"/>
        </w:rPr>
        <w:t>"Aeroporturi Bucure</w:t>
      </w:r>
      <w:r>
        <w:rPr>
          <w:rFonts w:asciiTheme="majorHAnsi" w:hAnsiTheme="majorHAnsi" w:cstheme="majorBidi"/>
          <w:b/>
          <w:bCs/>
          <w:kern w:val="20"/>
          <w:lang w:eastAsia="ja-JP"/>
        </w:rPr>
        <w:t>ș</w:t>
      </w:r>
      <w:r w:rsidRPr="001C3C53">
        <w:rPr>
          <w:rFonts w:asciiTheme="majorHAnsi" w:hAnsiTheme="majorHAnsi" w:cstheme="majorBidi"/>
          <w:b/>
          <w:bCs/>
          <w:kern w:val="20"/>
          <w:lang w:eastAsia="ja-JP"/>
        </w:rPr>
        <w:t xml:space="preserve">ti" SA  - </w:t>
      </w:r>
      <w:r w:rsidRPr="001C3C53">
        <w:rPr>
          <w:rFonts w:asciiTheme="majorHAnsi" w:hAnsiTheme="majorHAnsi"/>
        </w:rPr>
        <w:t xml:space="preserve">epidemia provocată din cauza </w:t>
      </w:r>
      <w:r>
        <w:rPr>
          <w:rFonts w:asciiTheme="majorHAnsi" w:hAnsiTheme="majorHAnsi"/>
        </w:rPr>
        <w:t>COVID 19</w:t>
      </w:r>
      <w:r w:rsidRPr="001C3C53">
        <w:rPr>
          <w:rFonts w:asciiTheme="majorHAnsi" w:hAnsiTheme="majorHAnsi"/>
        </w:rPr>
        <w:t xml:space="preserve">, restricționarea  circulației pentru persoane, suspendarea zborurilor comerciale, a condus la o scădere semnificativă a veniturilor realizate, </w:t>
      </w:r>
      <w:r w:rsidR="000F0CAA" w:rsidRPr="001C3C53">
        <w:rPr>
          <w:rFonts w:asciiTheme="majorHAnsi" w:hAnsiTheme="majorHAnsi"/>
        </w:rPr>
        <w:t>determin</w:t>
      </w:r>
      <w:r w:rsidR="00031C66">
        <w:rPr>
          <w:rFonts w:asciiTheme="majorHAnsi" w:hAnsiTheme="majorHAnsi"/>
        </w:rPr>
        <w:t>â</w:t>
      </w:r>
      <w:r w:rsidR="000F0CAA" w:rsidRPr="001C3C53">
        <w:rPr>
          <w:rFonts w:asciiTheme="majorHAnsi" w:hAnsiTheme="majorHAnsi"/>
        </w:rPr>
        <w:t xml:space="preserve">nd </w:t>
      </w:r>
      <w:r w:rsidRPr="001C3C53">
        <w:rPr>
          <w:rFonts w:asciiTheme="majorHAnsi" w:hAnsiTheme="majorHAnsi"/>
        </w:rPr>
        <w:t xml:space="preserve">astfel pierdere; </w:t>
      </w:r>
    </w:p>
    <w:p w14:paraId="507617A0" w14:textId="77777777" w:rsidR="00ED19D1" w:rsidRPr="001C3C53" w:rsidRDefault="00ED19D1" w:rsidP="00F26763">
      <w:pPr>
        <w:numPr>
          <w:ilvl w:val="0"/>
          <w:numId w:val="10"/>
        </w:numPr>
        <w:spacing w:before="0" w:after="0" w:line="23" w:lineRule="atLeast"/>
        <w:ind w:left="270" w:hanging="270"/>
        <w:contextualSpacing/>
        <w:jc w:val="both"/>
        <w:rPr>
          <w:rFonts w:ascii="Cambria" w:hAnsi="Cambria"/>
          <w:sz w:val="24"/>
          <w:szCs w:val="24"/>
        </w:rPr>
      </w:pPr>
      <w:r w:rsidRPr="001C3C53">
        <w:rPr>
          <w:rFonts w:asciiTheme="majorHAnsi" w:hAnsiTheme="majorHAnsi"/>
          <w:b/>
        </w:rPr>
        <w:t xml:space="preserve">la </w:t>
      </w:r>
      <w:r w:rsidRPr="001C3C53">
        <w:rPr>
          <w:rFonts w:asciiTheme="majorHAnsi" w:hAnsiTheme="majorHAnsi" w:cstheme="majorBidi"/>
          <w:b/>
          <w:bCs/>
          <w:kern w:val="20"/>
          <w:lang w:eastAsia="ja-JP"/>
        </w:rPr>
        <w:t xml:space="preserve">Compania Națională </w:t>
      </w:r>
      <w:r w:rsidRPr="001C3C53">
        <w:rPr>
          <w:rFonts w:asciiTheme="majorHAnsi" w:hAnsiTheme="majorHAnsi"/>
          <w:b/>
        </w:rPr>
        <w:t xml:space="preserve">Romtehnica SA </w:t>
      </w:r>
      <w:r w:rsidRPr="001C3C53">
        <w:rPr>
          <w:rFonts w:asciiTheme="majorHAnsi" w:hAnsiTheme="majorHAnsi"/>
        </w:rPr>
        <w:t>– din cauza deprecierii semnificative a valutei USD față de moneda națională în cursul anului 2020 (în evidența contabilă a Companiei se regăsesc atât creanţele în valuta USD rezultate din operațiuni de export efectuate înainte de anul 1990 către Marea Jamahirie Arabă Libiană Populară Socialistă, cât și acreditivele deschise în valuta USD pe seama fondurilor puse la dispoziţie de Ministerul Apărării Naţionale pentru achiziţii de echipamente şi servicii de la furnizorii externi precum și alte disponibilități în valuta USD implicate în activitatea de export);</w:t>
      </w:r>
    </w:p>
    <w:p w14:paraId="5D7531CF" w14:textId="77777777" w:rsidR="00ED19D1" w:rsidRPr="001C3C53" w:rsidRDefault="00ED19D1" w:rsidP="00F26763">
      <w:pPr>
        <w:numPr>
          <w:ilvl w:val="0"/>
          <w:numId w:val="10"/>
        </w:numPr>
        <w:spacing w:before="0" w:after="0" w:line="23" w:lineRule="atLeast"/>
        <w:ind w:left="270" w:hanging="270"/>
        <w:contextualSpacing/>
        <w:jc w:val="both"/>
        <w:rPr>
          <w:rFonts w:asciiTheme="majorHAnsi" w:hAnsiTheme="majorHAnsi"/>
        </w:rPr>
      </w:pPr>
      <w:r w:rsidRPr="001C3C53">
        <w:rPr>
          <w:rFonts w:asciiTheme="majorHAnsi" w:eastAsia="Times New Roman" w:hAnsiTheme="majorHAnsi" w:cs="Times New Roman"/>
          <w:b/>
          <w:bCs/>
          <w:color w:val="000000" w:themeColor="text1"/>
          <w:lang w:eastAsia="ro-RO"/>
        </w:rPr>
        <w:t>la Societatea Romaero S.A.</w:t>
      </w:r>
      <w:r w:rsidRPr="001C3C53">
        <w:rPr>
          <w:rFonts w:asciiTheme="majorHAnsi" w:eastAsia="Times New Roman" w:hAnsiTheme="majorHAnsi" w:cs="Times New Roman"/>
          <w:color w:val="000000" w:themeColor="text1"/>
          <w:lang w:eastAsia="ro-RO"/>
        </w:rPr>
        <w:t xml:space="preserve"> – </w:t>
      </w:r>
      <w:r w:rsidRPr="001C3C53">
        <w:rPr>
          <w:rFonts w:asciiTheme="majorHAnsi" w:hAnsiTheme="majorHAnsi"/>
        </w:rPr>
        <w:t xml:space="preserve">efectele neprevăzute ale </w:t>
      </w:r>
      <w:bookmarkStart w:id="67" w:name="_Hlk80359044"/>
      <w:r w:rsidRPr="001C3C53">
        <w:rPr>
          <w:rFonts w:asciiTheme="majorHAnsi" w:hAnsiTheme="majorHAnsi"/>
        </w:rPr>
        <w:t xml:space="preserve">pandemiei </w:t>
      </w:r>
      <w:bookmarkEnd w:id="67"/>
      <w:r>
        <w:rPr>
          <w:rFonts w:asciiTheme="majorHAnsi" w:hAnsiTheme="majorHAnsi"/>
        </w:rPr>
        <w:t>COVID 19</w:t>
      </w:r>
      <w:r w:rsidRPr="001C3C53">
        <w:rPr>
          <w:rFonts w:asciiTheme="majorHAnsi" w:hAnsiTheme="majorHAnsi"/>
        </w:rPr>
        <w:t>, cheltuielile cu accesoriile aferente datoriilor bugetare istorice acumulate în ultimii 10 ani, găzduirea (forțată) a unui număr de opt aeronave dezafectate ce aparțin unor companii românești intrate în faliment.</w:t>
      </w:r>
    </w:p>
    <w:p w14:paraId="7404C67C" w14:textId="7B9E238B" w:rsidR="00B46BE8" w:rsidRDefault="00B46BE8" w:rsidP="00AE0A65">
      <w:pPr>
        <w:spacing w:before="120" w:after="120"/>
        <w:jc w:val="both"/>
        <w:rPr>
          <w:rFonts w:asciiTheme="majorHAnsi" w:hAnsiTheme="majorHAnsi" w:cstheme="majorBidi"/>
        </w:rPr>
      </w:pPr>
    </w:p>
    <w:p w14:paraId="7CC69570" w14:textId="695FD2F6" w:rsidR="004A1E2B" w:rsidRDefault="004A1E2B" w:rsidP="00AE0A65">
      <w:pPr>
        <w:spacing w:before="120" w:after="120"/>
        <w:jc w:val="both"/>
        <w:rPr>
          <w:rFonts w:asciiTheme="majorHAnsi" w:hAnsiTheme="majorHAnsi" w:cstheme="majorBidi"/>
        </w:rPr>
      </w:pPr>
    </w:p>
    <w:p w14:paraId="1C2D0927" w14:textId="71634573" w:rsidR="004A1E2B" w:rsidRDefault="004A1E2B" w:rsidP="00AE0A65">
      <w:pPr>
        <w:spacing w:before="120" w:after="120"/>
        <w:jc w:val="both"/>
        <w:rPr>
          <w:rFonts w:asciiTheme="majorHAnsi" w:hAnsiTheme="majorHAnsi" w:cstheme="majorBidi"/>
        </w:rPr>
      </w:pPr>
    </w:p>
    <w:p w14:paraId="086C42DE" w14:textId="3C4DFC51" w:rsidR="005E1D54" w:rsidRDefault="005E1D54" w:rsidP="00AE0A65">
      <w:pPr>
        <w:spacing w:before="120" w:after="120"/>
        <w:jc w:val="both"/>
        <w:rPr>
          <w:rFonts w:asciiTheme="majorHAnsi" w:hAnsiTheme="majorHAnsi" w:cstheme="majorBidi"/>
        </w:rPr>
      </w:pPr>
    </w:p>
    <w:p w14:paraId="16D575B6" w14:textId="11D44502" w:rsidR="005E1D54" w:rsidRDefault="005E1D54" w:rsidP="00AE0A65">
      <w:pPr>
        <w:spacing w:before="120" w:after="120"/>
        <w:jc w:val="both"/>
        <w:rPr>
          <w:rFonts w:asciiTheme="majorHAnsi" w:hAnsiTheme="majorHAnsi" w:cstheme="majorBidi"/>
        </w:rPr>
      </w:pPr>
    </w:p>
    <w:p w14:paraId="176827E9" w14:textId="1DD51F0E" w:rsidR="005E1D54" w:rsidRDefault="005E1D54" w:rsidP="00AE0A65">
      <w:pPr>
        <w:spacing w:before="120" w:after="120"/>
        <w:jc w:val="both"/>
        <w:rPr>
          <w:rFonts w:asciiTheme="majorHAnsi" w:hAnsiTheme="majorHAnsi" w:cstheme="majorBidi"/>
        </w:rPr>
      </w:pPr>
    </w:p>
    <w:p w14:paraId="14152EF6" w14:textId="28564E60" w:rsidR="005E1D54" w:rsidRDefault="005E1D54" w:rsidP="00AE0A65">
      <w:pPr>
        <w:spacing w:before="120" w:after="120"/>
        <w:jc w:val="both"/>
        <w:rPr>
          <w:rFonts w:asciiTheme="majorHAnsi" w:hAnsiTheme="majorHAnsi" w:cstheme="majorBidi"/>
        </w:rPr>
      </w:pPr>
    </w:p>
    <w:p w14:paraId="120972DF" w14:textId="321FEB00" w:rsidR="005E1D54" w:rsidRDefault="005E1D54" w:rsidP="00AE0A65">
      <w:pPr>
        <w:spacing w:before="120" w:after="120"/>
        <w:jc w:val="both"/>
        <w:rPr>
          <w:rFonts w:asciiTheme="majorHAnsi" w:hAnsiTheme="majorHAnsi" w:cstheme="majorBidi"/>
        </w:rPr>
      </w:pPr>
    </w:p>
    <w:p w14:paraId="0D872B48" w14:textId="56799B19" w:rsidR="005E1D54" w:rsidRDefault="005E1D54" w:rsidP="00AE0A65">
      <w:pPr>
        <w:spacing w:before="120" w:after="120"/>
        <w:jc w:val="both"/>
        <w:rPr>
          <w:rFonts w:asciiTheme="majorHAnsi" w:hAnsiTheme="majorHAnsi" w:cstheme="majorBidi"/>
        </w:rPr>
      </w:pPr>
    </w:p>
    <w:p w14:paraId="123FF184" w14:textId="7C493D29" w:rsidR="005E1D54" w:rsidRDefault="005E1D54" w:rsidP="00AE0A65">
      <w:pPr>
        <w:spacing w:before="120" w:after="120"/>
        <w:jc w:val="both"/>
        <w:rPr>
          <w:rFonts w:asciiTheme="majorHAnsi" w:hAnsiTheme="majorHAnsi" w:cstheme="majorBidi"/>
        </w:rPr>
      </w:pPr>
    </w:p>
    <w:p w14:paraId="20BC499A" w14:textId="49DCE7F6" w:rsidR="005E1D54" w:rsidRDefault="005E1D54" w:rsidP="00AE0A65">
      <w:pPr>
        <w:spacing w:before="120" w:after="120"/>
        <w:jc w:val="both"/>
        <w:rPr>
          <w:rFonts w:asciiTheme="majorHAnsi" w:hAnsiTheme="majorHAnsi" w:cstheme="majorBidi"/>
        </w:rPr>
      </w:pPr>
    </w:p>
    <w:p w14:paraId="3ABBB5FD" w14:textId="26F2842B" w:rsidR="005E1D54" w:rsidRDefault="005E1D54" w:rsidP="00AE0A65">
      <w:pPr>
        <w:spacing w:before="120" w:after="120"/>
        <w:jc w:val="both"/>
        <w:rPr>
          <w:rFonts w:asciiTheme="majorHAnsi" w:hAnsiTheme="majorHAnsi" w:cstheme="majorBidi"/>
        </w:rPr>
      </w:pPr>
    </w:p>
    <w:p w14:paraId="40C52862" w14:textId="120D2A75" w:rsidR="005E1D54" w:rsidRDefault="005E1D54" w:rsidP="00AE0A65">
      <w:pPr>
        <w:spacing w:before="120" w:after="120"/>
        <w:jc w:val="both"/>
        <w:rPr>
          <w:rFonts w:asciiTheme="majorHAnsi" w:hAnsiTheme="majorHAnsi" w:cstheme="majorBidi"/>
        </w:rPr>
      </w:pPr>
    </w:p>
    <w:p w14:paraId="1E227A63" w14:textId="5AD7BFC5" w:rsidR="005E1D54" w:rsidRDefault="005E1D54" w:rsidP="00AE0A65">
      <w:pPr>
        <w:spacing w:before="120" w:after="120"/>
        <w:jc w:val="both"/>
        <w:rPr>
          <w:rFonts w:asciiTheme="majorHAnsi" w:hAnsiTheme="majorHAnsi" w:cstheme="majorBidi"/>
        </w:rPr>
      </w:pPr>
    </w:p>
    <w:p w14:paraId="21E4C3E8" w14:textId="15348BB1" w:rsidR="005E1D54" w:rsidRDefault="005E1D54" w:rsidP="00AE0A65">
      <w:pPr>
        <w:spacing w:before="120" w:after="120"/>
        <w:jc w:val="both"/>
        <w:rPr>
          <w:rFonts w:asciiTheme="majorHAnsi" w:hAnsiTheme="majorHAnsi" w:cstheme="majorBidi"/>
        </w:rPr>
      </w:pPr>
    </w:p>
    <w:p w14:paraId="1BDFB0FD" w14:textId="72EBBA79" w:rsidR="005E1D54" w:rsidRDefault="005E1D54" w:rsidP="00AE0A65">
      <w:pPr>
        <w:spacing w:before="120" w:after="120"/>
        <w:jc w:val="both"/>
        <w:rPr>
          <w:rFonts w:asciiTheme="majorHAnsi" w:hAnsiTheme="majorHAnsi" w:cstheme="majorBidi"/>
        </w:rPr>
      </w:pPr>
    </w:p>
    <w:p w14:paraId="585D9BA8" w14:textId="78125618" w:rsidR="005E1D54" w:rsidRDefault="005E1D54" w:rsidP="00AE0A65">
      <w:pPr>
        <w:spacing w:before="120" w:after="120"/>
        <w:jc w:val="both"/>
        <w:rPr>
          <w:rFonts w:asciiTheme="majorHAnsi" w:hAnsiTheme="majorHAnsi" w:cstheme="majorBidi"/>
        </w:rPr>
      </w:pPr>
    </w:p>
    <w:p w14:paraId="727DC982" w14:textId="48B599C9" w:rsidR="005E1D54" w:rsidRDefault="005E1D54" w:rsidP="00AE0A65">
      <w:pPr>
        <w:spacing w:before="120" w:after="120"/>
        <w:jc w:val="both"/>
        <w:rPr>
          <w:rFonts w:asciiTheme="majorHAnsi" w:hAnsiTheme="majorHAnsi" w:cstheme="majorBidi"/>
        </w:rPr>
      </w:pPr>
    </w:p>
    <w:p w14:paraId="79D98C5B" w14:textId="28A45C96" w:rsidR="005E1D54" w:rsidRDefault="005E1D54" w:rsidP="00AE0A65">
      <w:pPr>
        <w:spacing w:before="120" w:after="120"/>
        <w:jc w:val="both"/>
        <w:rPr>
          <w:rFonts w:asciiTheme="majorHAnsi" w:hAnsiTheme="majorHAnsi" w:cstheme="majorBidi"/>
        </w:rPr>
      </w:pPr>
    </w:p>
    <w:p w14:paraId="4480A3B5" w14:textId="5922B7CD" w:rsidR="005E1D54" w:rsidRDefault="005E1D54" w:rsidP="00AE0A65">
      <w:pPr>
        <w:spacing w:before="120" w:after="120"/>
        <w:jc w:val="both"/>
        <w:rPr>
          <w:rFonts w:asciiTheme="majorHAnsi" w:hAnsiTheme="majorHAnsi" w:cstheme="majorBidi"/>
        </w:rPr>
      </w:pPr>
    </w:p>
    <w:p w14:paraId="23F22823" w14:textId="79F626C0" w:rsidR="005E1D54" w:rsidRDefault="005E1D54" w:rsidP="00AE0A65">
      <w:pPr>
        <w:spacing w:before="120" w:after="120"/>
        <w:jc w:val="both"/>
        <w:rPr>
          <w:rFonts w:asciiTheme="majorHAnsi" w:hAnsiTheme="majorHAnsi" w:cstheme="majorBidi"/>
        </w:rPr>
      </w:pPr>
    </w:p>
    <w:p w14:paraId="73398B42" w14:textId="63B4B19B" w:rsidR="005E1D54" w:rsidRDefault="005E1D54" w:rsidP="00AE0A65">
      <w:pPr>
        <w:spacing w:before="120" w:after="120"/>
        <w:jc w:val="both"/>
        <w:rPr>
          <w:rFonts w:asciiTheme="majorHAnsi" w:hAnsiTheme="majorHAnsi" w:cstheme="majorBidi"/>
        </w:rPr>
      </w:pPr>
    </w:p>
    <w:p w14:paraId="260E73BB" w14:textId="5C9A83A1" w:rsidR="005E1D54" w:rsidRDefault="005E1D54" w:rsidP="00AE0A65">
      <w:pPr>
        <w:spacing w:before="120" w:after="120"/>
        <w:jc w:val="both"/>
        <w:rPr>
          <w:rFonts w:asciiTheme="majorHAnsi" w:hAnsiTheme="majorHAnsi" w:cstheme="majorBidi"/>
        </w:rPr>
      </w:pPr>
    </w:p>
    <w:p w14:paraId="2EB88C3C" w14:textId="49486487" w:rsidR="005E1D54" w:rsidRDefault="005E1D54" w:rsidP="00AE0A65">
      <w:pPr>
        <w:spacing w:before="120" w:after="120"/>
        <w:jc w:val="both"/>
        <w:rPr>
          <w:rFonts w:asciiTheme="majorHAnsi" w:hAnsiTheme="majorHAnsi" w:cstheme="majorBidi"/>
        </w:rPr>
      </w:pPr>
    </w:p>
    <w:p w14:paraId="79456B0D" w14:textId="5866CDD7" w:rsidR="005E1D54" w:rsidRDefault="005E1D54" w:rsidP="00AE0A65">
      <w:pPr>
        <w:spacing w:before="120" w:after="120"/>
        <w:jc w:val="both"/>
        <w:rPr>
          <w:rFonts w:asciiTheme="majorHAnsi" w:hAnsiTheme="majorHAnsi" w:cstheme="majorBidi"/>
        </w:rPr>
      </w:pPr>
    </w:p>
    <w:p w14:paraId="7AF38CBD" w14:textId="2E1F4703" w:rsidR="005E1D54" w:rsidRDefault="005E1D54" w:rsidP="00AE0A65">
      <w:pPr>
        <w:spacing w:before="120" w:after="120"/>
        <w:jc w:val="both"/>
        <w:rPr>
          <w:rFonts w:asciiTheme="majorHAnsi" w:hAnsiTheme="majorHAnsi" w:cstheme="majorBidi"/>
        </w:rPr>
      </w:pPr>
    </w:p>
    <w:p w14:paraId="00F400C8" w14:textId="73B0E018" w:rsidR="005E1D54" w:rsidRDefault="005E1D54" w:rsidP="00AE0A65">
      <w:pPr>
        <w:spacing w:before="120" w:after="120"/>
        <w:jc w:val="both"/>
        <w:rPr>
          <w:rFonts w:asciiTheme="majorHAnsi" w:hAnsiTheme="majorHAnsi" w:cstheme="majorBidi"/>
        </w:rPr>
      </w:pPr>
    </w:p>
    <w:p w14:paraId="6391E121" w14:textId="77777777" w:rsidR="005E1D54" w:rsidRDefault="005E1D54" w:rsidP="00AE0A65">
      <w:pPr>
        <w:spacing w:before="120" w:after="120"/>
        <w:jc w:val="both"/>
        <w:rPr>
          <w:rFonts w:asciiTheme="majorHAnsi" w:hAnsiTheme="majorHAnsi" w:cstheme="majorBidi"/>
        </w:rPr>
      </w:pPr>
    </w:p>
    <w:p w14:paraId="6447DF20" w14:textId="36C0BE59" w:rsidR="004A1E2B" w:rsidRPr="001467CC" w:rsidRDefault="004A1E2B" w:rsidP="004A1E2B">
      <w:pPr>
        <w:pStyle w:val="ListParagraph"/>
        <w:ind w:left="0" w:right="-144"/>
        <w:jc w:val="both"/>
        <w:outlineLvl w:val="1"/>
        <w:rPr>
          <w:rFonts w:asciiTheme="majorHAnsi" w:hAnsiTheme="majorHAnsi" w:cstheme="majorHAnsi"/>
          <w:b/>
          <w:bCs/>
          <w:color w:val="0F6FC6" w:themeColor="accent1"/>
          <w:sz w:val="32"/>
          <w:szCs w:val="32"/>
        </w:rPr>
      </w:pPr>
      <w:bookmarkStart w:id="68" w:name="_Toc490763514"/>
      <w:bookmarkStart w:id="69" w:name="_Toc490763695"/>
      <w:bookmarkStart w:id="70" w:name="_Toc490763863"/>
      <w:bookmarkStart w:id="71" w:name="_Toc16518168"/>
      <w:bookmarkStart w:id="72" w:name="_Toc87875954"/>
      <w:r w:rsidRPr="001467CC">
        <w:rPr>
          <w:rFonts w:asciiTheme="majorHAnsi" w:hAnsiTheme="majorHAnsi" w:cstheme="majorHAnsi"/>
          <w:b/>
          <w:bCs/>
          <w:color w:val="0F6FC6" w:themeColor="accent1"/>
          <w:sz w:val="32"/>
          <w:szCs w:val="32"/>
        </w:rPr>
        <w:t xml:space="preserve">Capitolul </w:t>
      </w:r>
      <w:r>
        <w:rPr>
          <w:rFonts w:asciiTheme="majorHAnsi" w:hAnsiTheme="majorHAnsi" w:cstheme="majorHAnsi"/>
          <w:b/>
          <w:bCs/>
          <w:color w:val="0F6FC6" w:themeColor="accent1"/>
          <w:sz w:val="32"/>
          <w:szCs w:val="32"/>
        </w:rPr>
        <w:t>4</w:t>
      </w:r>
      <w:r w:rsidRPr="001467CC">
        <w:rPr>
          <w:rFonts w:asciiTheme="majorHAnsi" w:hAnsiTheme="majorHAnsi" w:cstheme="majorHAnsi"/>
          <w:b/>
          <w:bCs/>
          <w:color w:val="0F6FC6" w:themeColor="accent1"/>
          <w:sz w:val="32"/>
          <w:szCs w:val="32"/>
        </w:rPr>
        <w:t xml:space="preserve"> – Aplicarea prevederilor O.U.G. nr. 109/2011 și a principiilor de guvernanță corporativă la întreprinderile publice centrale deținute de </w:t>
      </w:r>
      <w:bookmarkEnd w:id="68"/>
      <w:bookmarkEnd w:id="69"/>
      <w:bookmarkEnd w:id="70"/>
      <w:r w:rsidRPr="001467CC">
        <w:rPr>
          <w:rFonts w:asciiTheme="majorHAnsi" w:hAnsiTheme="majorHAnsi" w:cstheme="majorHAnsi"/>
          <w:b/>
          <w:bCs/>
          <w:color w:val="0F6FC6" w:themeColor="accent1"/>
          <w:sz w:val="32"/>
          <w:szCs w:val="32"/>
        </w:rPr>
        <w:t>autoritățile publice tutelare centrale</w:t>
      </w:r>
      <w:bookmarkEnd w:id="71"/>
      <w:bookmarkEnd w:id="72"/>
      <w:r w:rsidRPr="001467CC">
        <w:rPr>
          <w:rFonts w:asciiTheme="majorHAnsi" w:hAnsiTheme="majorHAnsi" w:cstheme="majorHAnsi"/>
          <w:b/>
          <w:bCs/>
          <w:color w:val="0F6FC6" w:themeColor="accent1"/>
          <w:sz w:val="32"/>
          <w:szCs w:val="32"/>
        </w:rPr>
        <w:t xml:space="preserve"> </w:t>
      </w:r>
    </w:p>
    <w:p w14:paraId="3447CB15" w14:textId="77777777" w:rsidR="004A1E2B" w:rsidRPr="001467CC" w:rsidRDefault="004A1E2B" w:rsidP="004A1E2B">
      <w:pPr>
        <w:jc w:val="both"/>
        <w:rPr>
          <w:rFonts w:asciiTheme="majorHAnsi" w:hAnsiTheme="majorHAnsi" w:cstheme="majorHAnsi"/>
          <w:b/>
          <w:color w:val="0F6FC6" w:themeColor="accent1"/>
        </w:rPr>
      </w:pPr>
      <w:r w:rsidRPr="001467CC">
        <w:rPr>
          <w:rFonts w:asciiTheme="majorHAnsi" w:hAnsiTheme="majorHAnsi" w:cstheme="majorHAnsi"/>
          <w:b/>
          <w:color w:val="0F6FC6" w:themeColor="accent1"/>
        </w:rPr>
        <w:t xml:space="preserve">Introducere </w:t>
      </w:r>
    </w:p>
    <w:p w14:paraId="4146B327" w14:textId="77777777" w:rsidR="004A1E2B" w:rsidRPr="001467CC" w:rsidRDefault="004A1E2B" w:rsidP="004A1E2B">
      <w:pPr>
        <w:jc w:val="both"/>
        <w:rPr>
          <w:rFonts w:asciiTheme="majorHAnsi" w:hAnsiTheme="majorHAnsi" w:cstheme="majorHAnsi"/>
        </w:rPr>
      </w:pPr>
      <w:r w:rsidRPr="001467CC">
        <w:rPr>
          <w:rFonts w:asciiTheme="majorHAnsi" w:hAnsiTheme="majorHAnsi" w:cstheme="majorHAnsi"/>
        </w:rPr>
        <w:t>Odată cu modificările aduse prin Legea nr. 111/2016 pentru aprobarea Ordonanței de Urgență a Guvernului nr. 109/2011 privind guvernanța corporativă a întreprinderilor publice au fost desemnate rolurile și atribuțiile părților implicate în aplicarea acestei legislații respectiv a APTC, a MF și a organelor de conducere ale ÎPC.</w:t>
      </w:r>
    </w:p>
    <w:p w14:paraId="5053C6CB" w14:textId="77777777" w:rsidR="004A1E2B" w:rsidRPr="001467CC" w:rsidRDefault="004A1E2B" w:rsidP="004A1E2B">
      <w:pPr>
        <w:jc w:val="both"/>
        <w:rPr>
          <w:rFonts w:asciiTheme="majorHAnsi" w:hAnsiTheme="majorHAnsi" w:cstheme="majorHAnsi"/>
        </w:rPr>
      </w:pPr>
      <w:r w:rsidRPr="001467CC">
        <w:rPr>
          <w:rFonts w:asciiTheme="majorHAnsi" w:hAnsiTheme="majorHAnsi" w:cstheme="majorHAnsi"/>
          <w:b/>
        </w:rPr>
        <w:t>Fluxul informațional</w:t>
      </w:r>
      <w:r w:rsidRPr="001467CC">
        <w:rPr>
          <w:rFonts w:asciiTheme="majorHAnsi" w:hAnsiTheme="majorHAnsi" w:cstheme="majorHAnsi"/>
        </w:rPr>
        <w:t xml:space="preserve"> cu privire la rolul și responsabilitățile participanților la procesul de implementare și monitorizare a prevederilor privind guvernanța corporativă se prezintă grafic, după cum urmează</w:t>
      </w:r>
      <w:r w:rsidRPr="001467CC">
        <w:rPr>
          <w:rFonts w:asciiTheme="majorHAnsi" w:hAnsiTheme="majorHAnsi" w:cstheme="majorHAnsi"/>
          <w:lang w:val="en-US"/>
        </w:rPr>
        <w:t>:</w:t>
      </w:r>
      <w:r w:rsidRPr="001467CC">
        <w:rPr>
          <w:rFonts w:asciiTheme="majorHAnsi" w:hAnsiTheme="majorHAnsi" w:cstheme="majorHAnsi"/>
        </w:rPr>
        <w:t xml:space="preserve"> </w:t>
      </w:r>
    </w:p>
    <w:p w14:paraId="38FE3B9A" w14:textId="77777777" w:rsidR="004A1E2B" w:rsidRPr="001467CC" w:rsidRDefault="004A1E2B" w:rsidP="004A1E2B">
      <w:pPr>
        <w:jc w:val="center"/>
        <w:rPr>
          <w:rFonts w:asciiTheme="majorHAnsi" w:hAnsiTheme="majorHAnsi" w:cstheme="majorHAnsi"/>
        </w:rPr>
      </w:pPr>
      <w:r w:rsidRPr="001467CC">
        <w:rPr>
          <w:rFonts w:asciiTheme="majorHAnsi" w:hAnsiTheme="majorHAnsi" w:cstheme="majorHAnsi"/>
          <w:noProof/>
          <w:lang w:val="en-US"/>
        </w:rPr>
        <w:drawing>
          <wp:inline distT="0" distB="7620" distL="0" distR="0" wp14:anchorId="5D0ACA24" wp14:editId="01F9A2DF">
            <wp:extent cx="3741420" cy="2735580"/>
            <wp:effectExtent l="0" t="0" r="0" b="0"/>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0"/>
                    <pic:cNvPicPr>
                      <a:picLocks noChangeAspect="1" noChangeArrowheads="1"/>
                    </pic:cNvPicPr>
                  </pic:nvPicPr>
                  <pic:blipFill>
                    <a:blip r:embed="rId36"/>
                    <a:stretch>
                      <a:fillRect/>
                    </a:stretch>
                  </pic:blipFill>
                  <pic:spPr bwMode="auto">
                    <a:xfrm>
                      <a:off x="0" y="0"/>
                      <a:ext cx="3741420" cy="2735580"/>
                    </a:xfrm>
                    <a:prstGeom prst="rect">
                      <a:avLst/>
                    </a:prstGeom>
                  </pic:spPr>
                </pic:pic>
              </a:graphicData>
            </a:graphic>
          </wp:inline>
        </w:drawing>
      </w:r>
      <w:r w:rsidRPr="001467CC">
        <w:rPr>
          <w:rFonts w:asciiTheme="majorHAnsi" w:hAnsiTheme="majorHAnsi" w:cstheme="majorHAnsi"/>
        </w:rPr>
        <w:tab/>
      </w:r>
    </w:p>
    <w:p w14:paraId="0C416554" w14:textId="77777777" w:rsidR="004A1E2B" w:rsidRPr="001467CC" w:rsidRDefault="004A1E2B" w:rsidP="004A1E2B">
      <w:pPr>
        <w:pStyle w:val="ListParagraph"/>
        <w:ind w:left="0"/>
        <w:jc w:val="both"/>
        <w:rPr>
          <w:rFonts w:asciiTheme="majorHAnsi" w:hAnsiTheme="majorHAnsi" w:cstheme="majorHAnsi"/>
        </w:rPr>
      </w:pPr>
      <w:r w:rsidRPr="001467CC">
        <w:rPr>
          <w:rFonts w:asciiTheme="majorHAnsi" w:hAnsiTheme="majorHAnsi" w:cstheme="majorHAnsi"/>
        </w:rPr>
        <w:t xml:space="preserve">Conform prevederilor din Legea nr.111/2016 pentru aprobarea Ordonanței de Urgență a Guvernului nr. 109/2011 privind guvernanța corporativă a întreprinderilor publice, APTC aveau obligația </w:t>
      </w:r>
      <w:r w:rsidRPr="001467CC">
        <w:rPr>
          <w:rFonts w:asciiTheme="majorHAnsi" w:hAnsiTheme="majorHAnsi" w:cstheme="majorHAnsi"/>
          <w:b/>
        </w:rPr>
        <w:t>înființării</w:t>
      </w:r>
      <w:r w:rsidRPr="001467CC">
        <w:rPr>
          <w:rFonts w:asciiTheme="majorHAnsi" w:hAnsiTheme="majorHAnsi" w:cstheme="majorHAnsi"/>
        </w:rPr>
        <w:t xml:space="preserve"> </w:t>
      </w:r>
      <w:r w:rsidRPr="001467CC">
        <w:rPr>
          <w:rFonts w:asciiTheme="majorHAnsi" w:hAnsiTheme="majorHAnsi" w:cstheme="majorHAnsi"/>
          <w:b/>
        </w:rPr>
        <w:t>structurilor de guvernanță corporativă proprii</w:t>
      </w:r>
      <w:r w:rsidRPr="001467CC">
        <w:rPr>
          <w:rFonts w:asciiTheme="majorHAnsi" w:hAnsiTheme="majorHAnsi" w:cstheme="majorHAnsi"/>
        </w:rPr>
        <w:t xml:space="preserve"> care să asigure exercitarea atribuțiilor și competențelor prevăzute de legislația privind guvernanța corporativă. </w:t>
      </w:r>
    </w:p>
    <w:p w14:paraId="43D90DF3" w14:textId="31A8177E" w:rsidR="004A1E2B" w:rsidRDefault="004A1E2B" w:rsidP="004A1E2B">
      <w:pPr>
        <w:pStyle w:val="ListParagraph"/>
        <w:ind w:left="0"/>
        <w:jc w:val="both"/>
        <w:rPr>
          <w:rFonts w:asciiTheme="majorHAnsi" w:hAnsiTheme="majorHAnsi" w:cstheme="majorHAnsi"/>
        </w:rPr>
      </w:pPr>
      <w:r w:rsidRPr="001467CC">
        <w:rPr>
          <w:rFonts w:asciiTheme="majorHAnsi" w:hAnsiTheme="majorHAnsi" w:cstheme="majorHAnsi"/>
        </w:rPr>
        <w:t xml:space="preserve">Pe parcursul  anului 2020, din totalul de 16 entități care exercită calitatea de autoritate publică tutelară, un număr de </w:t>
      </w:r>
      <w:r w:rsidRPr="001467CC">
        <w:rPr>
          <w:rFonts w:asciiTheme="majorHAnsi" w:hAnsiTheme="majorHAnsi" w:cstheme="majorHAnsi"/>
          <w:b/>
        </w:rPr>
        <w:t xml:space="preserve">14 APTC au declarat înființarea unei structuri proprii </w:t>
      </w:r>
      <w:r w:rsidRPr="001467CC">
        <w:rPr>
          <w:rFonts w:asciiTheme="majorHAnsi" w:hAnsiTheme="majorHAnsi" w:cstheme="majorHAnsi"/>
        </w:rPr>
        <w:t xml:space="preserve">de guvernanță care să asigure exercitarea atribuţiilor şi competenţelor prevăzute de  O.U.G. nr.109/2011. </w:t>
      </w:r>
    </w:p>
    <w:p w14:paraId="189A169D" w14:textId="77777777" w:rsidR="00B06C32" w:rsidRPr="001467CC" w:rsidRDefault="00B06C32" w:rsidP="004A1E2B">
      <w:pPr>
        <w:pStyle w:val="ListParagraph"/>
        <w:ind w:left="0"/>
        <w:jc w:val="both"/>
        <w:rPr>
          <w:rFonts w:asciiTheme="majorHAnsi" w:hAnsiTheme="majorHAnsi" w:cstheme="majorHAnsi"/>
        </w:rPr>
      </w:pPr>
    </w:p>
    <w:p w14:paraId="78F8F339" w14:textId="60C15816" w:rsidR="004A1E2B" w:rsidRPr="001467CC" w:rsidRDefault="004A1E2B" w:rsidP="004A1E2B">
      <w:pPr>
        <w:jc w:val="both"/>
        <w:outlineLvl w:val="2"/>
        <w:rPr>
          <w:rFonts w:asciiTheme="majorHAnsi" w:hAnsiTheme="majorHAnsi" w:cstheme="majorHAnsi"/>
          <w:color w:val="0F6FC6" w:themeColor="accent1"/>
        </w:rPr>
      </w:pPr>
      <w:bookmarkStart w:id="73" w:name="_Toc519186385"/>
      <w:bookmarkStart w:id="74" w:name="_Toc16518169"/>
      <w:bookmarkStart w:id="75" w:name="_Toc87875955"/>
      <w:r>
        <w:rPr>
          <w:rFonts w:asciiTheme="majorHAnsi" w:hAnsiTheme="majorHAnsi" w:cstheme="majorHAnsi"/>
          <w:b/>
          <w:bCs/>
          <w:color w:val="0F6FC6" w:themeColor="accent1"/>
          <w:sz w:val="28"/>
          <w:szCs w:val="28"/>
        </w:rPr>
        <w:t>4</w:t>
      </w:r>
      <w:r w:rsidRPr="001467CC">
        <w:rPr>
          <w:rFonts w:asciiTheme="majorHAnsi" w:hAnsiTheme="majorHAnsi" w:cstheme="majorHAnsi"/>
          <w:b/>
          <w:bCs/>
          <w:color w:val="0F6FC6" w:themeColor="accent1"/>
          <w:sz w:val="28"/>
          <w:szCs w:val="28"/>
        </w:rPr>
        <w:t>.1 - Stadiul transmiterii informațiilor de către autoritățile publice tutelare centrale conform prevederilor O.M.F.P. nr. 1952/2018</w:t>
      </w:r>
      <w:bookmarkEnd w:id="73"/>
      <w:bookmarkEnd w:id="74"/>
      <w:bookmarkEnd w:id="75"/>
    </w:p>
    <w:p w14:paraId="0197CAA5"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rPr>
        <w:t xml:space="preserve">În conformitate cu prevederile Ordinului Ministrului Finanțelor Publice nr. 1952/2018 un număr de 16 APTC aveau obligația de a transmite date și informații privind modul de aplicare a prevederilor privind guvernanța corporativă, pentru un număr de 151 ÎPC active. Această obligație a fost îndeplinită de 14 APTC </w:t>
      </w:r>
      <w:r w:rsidRPr="001467CC">
        <w:rPr>
          <w:rFonts w:asciiTheme="majorHAnsi" w:hAnsiTheme="majorHAnsi" w:cstheme="majorHAnsi"/>
          <w:bCs/>
        </w:rPr>
        <w:t xml:space="preserve">pentru </w:t>
      </w:r>
      <w:r w:rsidRPr="001467CC">
        <w:rPr>
          <w:rFonts w:asciiTheme="majorHAnsi" w:hAnsiTheme="majorHAnsi" w:cstheme="majorHAnsi"/>
        </w:rPr>
        <w:t xml:space="preserve">un număr </w:t>
      </w:r>
      <w:r w:rsidRPr="001467CC">
        <w:rPr>
          <w:rFonts w:asciiTheme="majorHAnsi" w:hAnsiTheme="majorHAnsi" w:cstheme="majorHAnsi"/>
          <w:b/>
        </w:rPr>
        <w:t>total de</w:t>
      </w:r>
      <w:r w:rsidRPr="001467CC">
        <w:rPr>
          <w:rFonts w:asciiTheme="majorHAnsi" w:hAnsiTheme="majorHAnsi" w:cstheme="majorHAnsi"/>
        </w:rPr>
        <w:t xml:space="preserve"> </w:t>
      </w:r>
      <w:r w:rsidRPr="001467CC">
        <w:rPr>
          <w:rFonts w:asciiTheme="majorHAnsi" w:hAnsiTheme="majorHAnsi" w:cstheme="majorHAnsi"/>
          <w:b/>
        </w:rPr>
        <w:t>142 ÎPC aflate în subordinea, în coordonarea, sub autoritatea ori în portofoliul acestora.</w:t>
      </w:r>
    </w:p>
    <w:p w14:paraId="3745D603" w14:textId="77777777" w:rsidR="004A1E2B" w:rsidRPr="001467CC" w:rsidRDefault="004A1E2B" w:rsidP="004A1E2B">
      <w:pPr>
        <w:pStyle w:val="NoSpacing"/>
        <w:spacing w:line="276" w:lineRule="auto"/>
        <w:jc w:val="both"/>
        <w:rPr>
          <w:rFonts w:asciiTheme="majorHAnsi" w:hAnsiTheme="majorHAnsi" w:cstheme="majorHAnsi"/>
          <w:b/>
        </w:rPr>
      </w:pPr>
      <w:r w:rsidRPr="001467CC">
        <w:rPr>
          <w:rFonts w:asciiTheme="majorHAnsi" w:hAnsiTheme="majorHAnsi" w:cstheme="majorHAnsi"/>
        </w:rPr>
        <w:t xml:space="preserve">Astfel, se constată </w:t>
      </w:r>
      <w:r w:rsidRPr="001467CC">
        <w:rPr>
          <w:rFonts w:asciiTheme="majorHAnsi" w:hAnsiTheme="majorHAnsi" w:cstheme="majorHAnsi"/>
          <w:b/>
        </w:rPr>
        <w:t xml:space="preserve">un grad de conformare de 94% </w:t>
      </w:r>
      <w:r w:rsidRPr="001467CC">
        <w:rPr>
          <w:rFonts w:asciiTheme="majorHAnsi" w:hAnsiTheme="majorHAnsi" w:cstheme="majorHAnsi"/>
        </w:rPr>
        <w:t>în ceea ce privește transmiterea datelor și informațiilor de către APTC privind modul de aplicare a prevederilor privind guvernanța corporativă, în cre</w:t>
      </w:r>
      <w:r w:rsidRPr="001467CC">
        <w:rPr>
          <w:rFonts w:asciiTheme="majorHAnsi" w:hAnsiTheme="majorHAnsi" w:cstheme="majorHAnsi"/>
          <w:noProof/>
        </w:rPr>
        <w:t>stere</w:t>
      </w:r>
      <w:r w:rsidRPr="001467CC">
        <w:rPr>
          <w:rFonts w:asciiTheme="majorHAnsi" w:hAnsiTheme="majorHAnsi" w:cstheme="majorHAnsi"/>
        </w:rPr>
        <w:t xml:space="preserve"> cu 10 procente faţă de raportarea datelor pentru anul 2019.</w:t>
      </w:r>
    </w:p>
    <w:p w14:paraId="0D30022B"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rPr>
        <w:t>Stadiul transmiterii informațiilor de către APTC, pentru ÎPC aflate în subordine, în coordonare, sub autoritate ori în portofoliu este prezentat în graficul de mai jos:</w:t>
      </w:r>
    </w:p>
    <w:p w14:paraId="05CFD8BB"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noProof/>
          <w:lang w:val="en-US"/>
        </w:rPr>
        <w:drawing>
          <wp:inline distT="0" distB="0" distL="0" distR="0" wp14:anchorId="60E9E5AE" wp14:editId="7E53BEC0">
            <wp:extent cx="5848446" cy="3478024"/>
            <wp:effectExtent l="0" t="0" r="0" b="8255"/>
            <wp:docPr id="8" name="Chart 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BA3EC0" w14:textId="77777777" w:rsidR="004A1E2B" w:rsidRPr="001467CC" w:rsidRDefault="004A1E2B" w:rsidP="004A1E2B">
      <w:pPr>
        <w:pStyle w:val="NoSpacing"/>
        <w:spacing w:line="276" w:lineRule="auto"/>
        <w:jc w:val="both"/>
        <w:rPr>
          <w:rFonts w:asciiTheme="majorHAnsi" w:hAnsiTheme="majorHAnsi" w:cstheme="majorHAnsi"/>
        </w:rPr>
      </w:pPr>
    </w:p>
    <w:p w14:paraId="310603CC" w14:textId="77777777" w:rsidR="004A1E2B" w:rsidRPr="001467CC" w:rsidRDefault="004A1E2B" w:rsidP="005E1D54">
      <w:pPr>
        <w:pStyle w:val="NoSpacing"/>
        <w:jc w:val="both"/>
        <w:rPr>
          <w:rFonts w:asciiTheme="majorHAnsi" w:hAnsiTheme="majorHAnsi" w:cstheme="majorHAnsi"/>
        </w:rPr>
      </w:pPr>
      <w:r w:rsidRPr="001467CC">
        <w:rPr>
          <w:rFonts w:asciiTheme="majorHAnsi" w:hAnsiTheme="majorHAnsi" w:cstheme="majorHAnsi"/>
        </w:rPr>
        <w:t>Din analiza stadiului transmiterii informațiilor, de către APTC, se constată că nu au transmis date 5 APT -uri pentru un numar de 9 intreprinderi publice, dupa cum urmeaza:</w:t>
      </w:r>
    </w:p>
    <w:p w14:paraId="4ECC7DDA" w14:textId="1AA72C76" w:rsidR="004A1E2B" w:rsidRPr="001467CC" w:rsidRDefault="004A1E2B" w:rsidP="005E1D54">
      <w:pPr>
        <w:spacing w:before="0" w:after="0" w:line="240" w:lineRule="auto"/>
        <w:jc w:val="both"/>
        <w:rPr>
          <w:rFonts w:asciiTheme="majorHAnsi" w:hAnsiTheme="majorHAnsi" w:cstheme="majorHAnsi"/>
          <w:bCs/>
          <w:color w:val="000000"/>
        </w:rPr>
      </w:pPr>
      <w:r w:rsidRPr="001467CC">
        <w:rPr>
          <w:rFonts w:asciiTheme="majorHAnsi" w:hAnsiTheme="majorHAnsi" w:cstheme="majorHAnsi"/>
        </w:rPr>
        <w:t>-</w:t>
      </w:r>
      <w:r w:rsidRPr="001467CC">
        <w:rPr>
          <w:rFonts w:asciiTheme="majorHAnsi" w:hAnsiTheme="majorHAnsi" w:cstheme="majorHAnsi"/>
          <w:b/>
          <w:sz w:val="18"/>
          <w:szCs w:val="18"/>
        </w:rPr>
        <w:t xml:space="preserve"> </w:t>
      </w:r>
      <w:r w:rsidRPr="001467CC">
        <w:rPr>
          <w:rFonts w:asciiTheme="majorHAnsi" w:hAnsiTheme="majorHAnsi" w:cstheme="majorHAnsi"/>
          <w:bCs/>
          <w:sz w:val="18"/>
          <w:szCs w:val="18"/>
        </w:rPr>
        <w:t xml:space="preserve">AUTORITATEA PENTRU ADMINISTRAREA ACTIVELOR STATULUI pentru: </w:t>
      </w:r>
      <w:r w:rsidRPr="001467CC">
        <w:rPr>
          <w:rFonts w:asciiTheme="majorHAnsi" w:hAnsiTheme="majorHAnsi" w:cstheme="majorHAnsi"/>
          <w:bCs/>
          <w:color w:val="000000"/>
        </w:rPr>
        <w:t>Agromec Utvin S</w:t>
      </w:r>
      <w:r w:rsidR="005E1D54">
        <w:rPr>
          <w:rFonts w:asciiTheme="majorHAnsi" w:hAnsiTheme="majorHAnsi" w:cstheme="majorHAnsi"/>
          <w:bCs/>
          <w:color w:val="000000"/>
        </w:rPr>
        <w:t>A</w:t>
      </w:r>
      <w:r w:rsidRPr="001467CC">
        <w:rPr>
          <w:rFonts w:asciiTheme="majorHAnsi" w:hAnsiTheme="majorHAnsi" w:cstheme="majorHAnsi"/>
          <w:bCs/>
          <w:color w:val="000000"/>
        </w:rPr>
        <w:t xml:space="preserve">, Transauto </w:t>
      </w:r>
      <w:r w:rsidR="005E1D54">
        <w:rPr>
          <w:rFonts w:asciiTheme="majorHAnsi" w:hAnsiTheme="majorHAnsi" w:cstheme="majorHAnsi"/>
          <w:bCs/>
          <w:color w:val="000000"/>
        </w:rPr>
        <w:t>SA</w:t>
      </w:r>
    </w:p>
    <w:p w14:paraId="1604FEBF" w14:textId="097D9A5F" w:rsidR="004A1E2B" w:rsidRPr="001467CC" w:rsidRDefault="004A1E2B" w:rsidP="005E1D54">
      <w:pPr>
        <w:spacing w:before="0" w:after="0" w:line="240" w:lineRule="auto"/>
        <w:jc w:val="both"/>
        <w:rPr>
          <w:rFonts w:asciiTheme="majorHAnsi" w:hAnsiTheme="majorHAnsi" w:cstheme="majorHAnsi"/>
          <w:color w:val="000000"/>
        </w:rPr>
      </w:pPr>
      <w:r w:rsidRPr="001467CC">
        <w:rPr>
          <w:rFonts w:asciiTheme="majorHAnsi" w:hAnsiTheme="majorHAnsi" w:cstheme="majorHAnsi"/>
          <w:bCs/>
          <w:color w:val="000000"/>
        </w:rPr>
        <w:t xml:space="preserve">- </w:t>
      </w:r>
      <w:r w:rsidRPr="001467CC">
        <w:rPr>
          <w:rFonts w:asciiTheme="majorHAnsi" w:hAnsiTheme="majorHAnsi" w:cstheme="majorHAnsi"/>
          <w:color w:val="000000"/>
        </w:rPr>
        <w:t xml:space="preserve">AGENTIA DOMENIILOR STATULUI pentru: Agroprodcom Odorheiu Secuiesc </w:t>
      </w:r>
      <w:r w:rsidR="005E1D54">
        <w:rPr>
          <w:rFonts w:asciiTheme="majorHAnsi" w:hAnsiTheme="majorHAnsi" w:cstheme="majorHAnsi"/>
          <w:color w:val="000000"/>
        </w:rPr>
        <w:t>SA</w:t>
      </w:r>
      <w:r w:rsidRPr="001467CC">
        <w:rPr>
          <w:rFonts w:asciiTheme="majorHAnsi" w:hAnsiTheme="majorHAnsi" w:cstheme="majorHAnsi"/>
          <w:color w:val="000000"/>
        </w:rPr>
        <w:t xml:space="preserve">, Sericarom </w:t>
      </w:r>
      <w:r w:rsidR="005E1D54">
        <w:rPr>
          <w:rFonts w:asciiTheme="majorHAnsi" w:hAnsiTheme="majorHAnsi" w:cstheme="majorHAnsi"/>
          <w:color w:val="000000"/>
        </w:rPr>
        <w:t>SA</w:t>
      </w:r>
      <w:r w:rsidRPr="001467CC">
        <w:rPr>
          <w:rFonts w:asciiTheme="majorHAnsi" w:hAnsiTheme="majorHAnsi" w:cstheme="majorHAnsi"/>
          <w:color w:val="000000"/>
        </w:rPr>
        <w:t xml:space="preserve">, Agroprodcom Lazarea </w:t>
      </w:r>
      <w:r w:rsidR="005E1D54">
        <w:rPr>
          <w:rFonts w:asciiTheme="majorHAnsi" w:hAnsiTheme="majorHAnsi" w:cstheme="majorHAnsi"/>
          <w:color w:val="000000"/>
        </w:rPr>
        <w:t>SA</w:t>
      </w:r>
    </w:p>
    <w:p w14:paraId="58ADA41A" w14:textId="2866A17F" w:rsidR="004A1E2B" w:rsidRPr="001467CC" w:rsidRDefault="004A1E2B" w:rsidP="005E1D54">
      <w:pPr>
        <w:spacing w:before="0" w:after="0" w:line="240" w:lineRule="auto"/>
        <w:jc w:val="both"/>
        <w:rPr>
          <w:rFonts w:asciiTheme="majorHAnsi" w:hAnsiTheme="majorHAnsi" w:cstheme="majorHAnsi"/>
          <w:color w:val="000000"/>
        </w:rPr>
      </w:pPr>
      <w:r w:rsidRPr="001467CC">
        <w:rPr>
          <w:rFonts w:asciiTheme="majorHAnsi" w:hAnsiTheme="majorHAnsi" w:cstheme="majorHAnsi"/>
          <w:color w:val="000000"/>
        </w:rPr>
        <w:t>- MINISTERUL LUCRARILOR PUBLICE, DEZVOLTARII SI ADMINISTRATIEI PUBLICE pentru: Compania Naţională De Investiţii " CNI "</w:t>
      </w:r>
      <w:r w:rsidR="005E1D54">
        <w:rPr>
          <w:rFonts w:asciiTheme="majorHAnsi" w:hAnsiTheme="majorHAnsi" w:cstheme="majorHAnsi"/>
          <w:color w:val="000000"/>
        </w:rPr>
        <w:t>SA</w:t>
      </w:r>
    </w:p>
    <w:p w14:paraId="187D5490" w14:textId="718159CD" w:rsidR="004A1E2B" w:rsidRPr="001467CC" w:rsidRDefault="004A1E2B" w:rsidP="005E1D54">
      <w:pPr>
        <w:spacing w:before="0" w:after="0" w:line="240" w:lineRule="auto"/>
        <w:jc w:val="both"/>
        <w:rPr>
          <w:rFonts w:asciiTheme="majorHAnsi" w:hAnsiTheme="majorHAnsi" w:cstheme="majorHAnsi"/>
          <w:color w:val="000000"/>
        </w:rPr>
      </w:pPr>
      <w:r w:rsidRPr="001467CC">
        <w:rPr>
          <w:rFonts w:asciiTheme="majorHAnsi" w:hAnsiTheme="majorHAnsi" w:cstheme="majorHAnsi"/>
          <w:color w:val="000000"/>
        </w:rPr>
        <w:t xml:space="preserve">- MINISTERUL EDUCATIEI SI CERCETARII pentru:  Farmacia Veterinara F.M.V. </w:t>
      </w:r>
      <w:r w:rsidR="005E1D54">
        <w:rPr>
          <w:rFonts w:asciiTheme="majorHAnsi" w:hAnsiTheme="majorHAnsi" w:cstheme="majorHAnsi"/>
          <w:color w:val="000000"/>
        </w:rPr>
        <w:t>SRL</w:t>
      </w:r>
      <w:r w:rsidRPr="001467CC">
        <w:rPr>
          <w:rFonts w:asciiTheme="majorHAnsi" w:hAnsiTheme="majorHAnsi" w:cstheme="majorHAnsi"/>
          <w:color w:val="000000"/>
        </w:rPr>
        <w:t xml:space="preserve">,  Institutul De Cercetari In Transporturi Incertrans </w:t>
      </w:r>
      <w:r w:rsidR="005E1D54">
        <w:rPr>
          <w:rFonts w:asciiTheme="majorHAnsi" w:hAnsiTheme="majorHAnsi" w:cstheme="majorHAnsi"/>
          <w:color w:val="000000"/>
        </w:rPr>
        <w:t>SA</w:t>
      </w:r>
    </w:p>
    <w:p w14:paraId="79DBDE54" w14:textId="1EF7CFE7" w:rsidR="004A1E2B" w:rsidRPr="00B06C32" w:rsidRDefault="004A1E2B" w:rsidP="00B06C32">
      <w:pPr>
        <w:spacing w:before="0" w:after="0" w:line="240" w:lineRule="auto"/>
        <w:jc w:val="both"/>
        <w:rPr>
          <w:rFonts w:asciiTheme="majorHAnsi" w:hAnsiTheme="majorHAnsi" w:cstheme="majorHAnsi"/>
          <w:color w:val="000000"/>
        </w:rPr>
      </w:pPr>
      <w:r w:rsidRPr="001467CC">
        <w:rPr>
          <w:rFonts w:asciiTheme="majorHAnsi" w:hAnsiTheme="majorHAnsi" w:cstheme="majorHAnsi"/>
          <w:color w:val="000000"/>
        </w:rPr>
        <w:t xml:space="preserve">- MINISTERUL AGRICULTURII SI DEZVOLTARII RURALE pentru: Piscicola </w:t>
      </w:r>
      <w:r w:rsidR="005E1D54">
        <w:rPr>
          <w:rFonts w:asciiTheme="majorHAnsi" w:hAnsiTheme="majorHAnsi" w:cstheme="majorHAnsi"/>
          <w:color w:val="000000"/>
        </w:rPr>
        <w:t>SA</w:t>
      </w:r>
    </w:p>
    <w:p w14:paraId="02ED377A" w14:textId="77777777" w:rsidR="004A1E2B" w:rsidRPr="001467CC" w:rsidRDefault="004A1E2B" w:rsidP="004A1E2B">
      <w:pPr>
        <w:pStyle w:val="NoSpacing"/>
        <w:spacing w:line="276" w:lineRule="auto"/>
        <w:jc w:val="both"/>
        <w:rPr>
          <w:rFonts w:asciiTheme="majorHAnsi" w:hAnsiTheme="majorHAnsi" w:cstheme="majorHAnsi"/>
        </w:rPr>
      </w:pPr>
    </w:p>
    <w:p w14:paraId="6175F9A4"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rPr>
        <w:t>Stadiul transmiterii informațiilor pentru ÎPC aflate în subordine, în coordonare, sub autoritate ori în portofoliu, grupate în funcție de forma de organizare este prezentat în graficul următor:</w:t>
      </w:r>
    </w:p>
    <w:p w14:paraId="05F6FCDF" w14:textId="77777777" w:rsidR="004A1E2B" w:rsidRPr="001467CC" w:rsidRDefault="004A1E2B" w:rsidP="004A1E2B">
      <w:pPr>
        <w:pStyle w:val="NoSpacing"/>
        <w:spacing w:line="276" w:lineRule="auto"/>
        <w:jc w:val="both"/>
        <w:rPr>
          <w:rFonts w:asciiTheme="majorHAnsi" w:hAnsiTheme="majorHAnsi" w:cstheme="majorHAnsi"/>
        </w:rPr>
      </w:pPr>
    </w:p>
    <w:p w14:paraId="300A6F7C" w14:textId="06D82997" w:rsidR="00B06C32" w:rsidRPr="0075406A" w:rsidRDefault="004A1E2B" w:rsidP="0075406A">
      <w:pPr>
        <w:pStyle w:val="NoSpacing"/>
        <w:rPr>
          <w:rFonts w:asciiTheme="majorHAnsi" w:hAnsiTheme="majorHAnsi" w:cstheme="majorHAnsi"/>
        </w:rPr>
      </w:pPr>
      <w:r w:rsidRPr="001467CC">
        <w:rPr>
          <w:rFonts w:asciiTheme="majorHAnsi" w:hAnsiTheme="majorHAnsi" w:cstheme="majorHAnsi"/>
          <w:noProof/>
          <w:lang w:val="en-US"/>
        </w:rPr>
        <w:drawing>
          <wp:inline distT="0" distB="0" distL="0" distR="0" wp14:anchorId="61363477" wp14:editId="1CEA6491">
            <wp:extent cx="5759450" cy="2509284"/>
            <wp:effectExtent l="0" t="0" r="0" b="5715"/>
            <wp:docPr id="9" name="Chart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76" w:name="_Toc519186386"/>
      <w:bookmarkStart w:id="77" w:name="_Toc16518170"/>
    </w:p>
    <w:p w14:paraId="41BFD3C6" w14:textId="58E04D83" w:rsidR="004A1E2B" w:rsidRPr="001467CC" w:rsidRDefault="004A1E2B" w:rsidP="004A1E2B">
      <w:pPr>
        <w:pStyle w:val="ListParagraph"/>
        <w:ind w:left="0"/>
        <w:jc w:val="both"/>
        <w:outlineLvl w:val="2"/>
        <w:rPr>
          <w:rFonts w:asciiTheme="majorHAnsi" w:hAnsiTheme="majorHAnsi" w:cstheme="majorHAnsi"/>
          <w:b/>
          <w:bCs/>
          <w:color w:val="0F6FC6" w:themeColor="accent1"/>
          <w:sz w:val="28"/>
          <w:szCs w:val="28"/>
        </w:rPr>
      </w:pPr>
      <w:bookmarkStart w:id="78" w:name="_Toc87875956"/>
      <w:r>
        <w:rPr>
          <w:rFonts w:asciiTheme="majorHAnsi" w:hAnsiTheme="majorHAnsi" w:cstheme="majorHAnsi"/>
          <w:b/>
          <w:bCs/>
          <w:color w:val="0F6FC6" w:themeColor="accent1"/>
          <w:sz w:val="28"/>
          <w:szCs w:val="28"/>
        </w:rPr>
        <w:t>4</w:t>
      </w:r>
      <w:r w:rsidRPr="001467CC">
        <w:rPr>
          <w:rFonts w:asciiTheme="majorHAnsi" w:hAnsiTheme="majorHAnsi" w:cstheme="majorHAnsi"/>
          <w:b/>
          <w:bCs/>
          <w:color w:val="0F6FC6" w:themeColor="accent1"/>
          <w:sz w:val="28"/>
          <w:szCs w:val="28"/>
        </w:rPr>
        <w:t>.2 – Stadiul procesului de selecție a consiliului de administrație sau supraveghere și a directorilor sau directoratului la întreprinderile publice centrale</w:t>
      </w:r>
      <w:bookmarkEnd w:id="76"/>
      <w:bookmarkEnd w:id="77"/>
      <w:bookmarkEnd w:id="78"/>
    </w:p>
    <w:p w14:paraId="772C3C6D"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rPr>
        <w:t>Ca urmare a analizei informațiilor desprinse din centralizarea formularelor transmise de către APTC, privind modul de aplicare a prevederilor privind guvernanța corporativă, au rezultat următoarele date prezentate în tabel</w:t>
      </w:r>
    </w:p>
    <w:tbl>
      <w:tblPr>
        <w:tblW w:w="8980" w:type="dxa"/>
        <w:tblBorders>
          <w:top w:val="single" w:sz="8" w:space="0" w:color="FFFFFF"/>
          <w:left w:val="single" w:sz="8" w:space="0" w:color="FFFFFF"/>
          <w:bottom w:val="single" w:sz="4" w:space="0" w:color="9CC2E5"/>
          <w:right w:val="single" w:sz="8" w:space="0" w:color="FFFFFF"/>
          <w:insideH w:val="single" w:sz="4" w:space="0" w:color="9CC2E5"/>
          <w:insideV w:val="single" w:sz="8" w:space="0" w:color="FFFFFF"/>
        </w:tblBorders>
        <w:tblLook w:val="04A0" w:firstRow="1" w:lastRow="0" w:firstColumn="1" w:lastColumn="0" w:noHBand="0" w:noVBand="1"/>
      </w:tblPr>
      <w:tblGrid>
        <w:gridCol w:w="959"/>
        <w:gridCol w:w="1221"/>
        <w:gridCol w:w="1220"/>
        <w:gridCol w:w="960"/>
        <w:gridCol w:w="960"/>
        <w:gridCol w:w="1361"/>
        <w:gridCol w:w="1240"/>
        <w:gridCol w:w="1059"/>
      </w:tblGrid>
      <w:tr w:rsidR="004A1E2B" w:rsidRPr="001467CC" w14:paraId="00B35DC7" w14:textId="77777777" w:rsidTr="00B06C32">
        <w:trPr>
          <w:trHeight w:val="510"/>
        </w:trPr>
        <w:tc>
          <w:tcPr>
            <w:tcW w:w="8979" w:type="dxa"/>
            <w:gridSpan w:val="8"/>
            <w:tcBorders>
              <w:top w:val="single" w:sz="8" w:space="0" w:color="FFFFFF"/>
              <w:left w:val="single" w:sz="8" w:space="0" w:color="FFFFFF"/>
              <w:bottom w:val="single" w:sz="4" w:space="0" w:color="9CC2E5"/>
              <w:right w:val="single" w:sz="8" w:space="0" w:color="FFFFFF"/>
            </w:tcBorders>
            <w:shd w:val="clear" w:color="auto" w:fill="auto"/>
            <w:vAlign w:val="center"/>
          </w:tcPr>
          <w:p w14:paraId="77171835" w14:textId="77777777" w:rsidR="004A1E2B" w:rsidRPr="001467CC" w:rsidRDefault="004A1E2B" w:rsidP="00B06C32">
            <w:pPr>
              <w:spacing w:before="0" w:after="0" w:line="240" w:lineRule="auto"/>
              <w:ind w:left="-118"/>
              <w:jc w:val="both"/>
              <w:rPr>
                <w:rFonts w:asciiTheme="majorHAnsi" w:eastAsia="Times New Roman" w:hAnsiTheme="majorHAnsi" w:cstheme="majorHAnsi"/>
                <w:color w:val="0F6FC6" w:themeColor="accent1"/>
                <w:lang w:eastAsia="ro-RO"/>
              </w:rPr>
            </w:pPr>
          </w:p>
          <w:p w14:paraId="4C0897C6" w14:textId="77777777" w:rsidR="004A1E2B" w:rsidRPr="001467CC" w:rsidRDefault="004A1E2B" w:rsidP="00B06C32">
            <w:pPr>
              <w:spacing w:before="0" w:after="0" w:line="240" w:lineRule="auto"/>
              <w:jc w:val="both"/>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Stadiul procesului de selecție a consiliului de administrație/supraveghere la ÎPC cf. O.U.G. nr 109/2011 în perioada 01.01.2020 – 31.12.2020, conform informațiilor transmise de către APTC</w:t>
            </w:r>
          </w:p>
        </w:tc>
      </w:tr>
      <w:tr w:rsidR="004A1E2B" w:rsidRPr="001467CC" w14:paraId="7E0AE053" w14:textId="77777777" w:rsidTr="00B06C32">
        <w:trPr>
          <w:trHeight w:val="158"/>
        </w:trPr>
        <w:tc>
          <w:tcPr>
            <w:tcW w:w="959" w:type="dxa"/>
            <w:vMerge w:val="restart"/>
            <w:tcBorders>
              <w:top w:val="single" w:sz="4" w:space="0" w:color="9CC2E5"/>
              <w:left w:val="single" w:sz="4" w:space="0" w:color="FFFFFF"/>
              <w:bottom w:val="single" w:sz="4" w:space="0" w:color="9CC2E5"/>
              <w:right w:val="single" w:sz="4" w:space="0" w:color="FFFFFF"/>
            </w:tcBorders>
            <w:shd w:val="clear" w:color="auto" w:fill="auto"/>
          </w:tcPr>
          <w:p w14:paraId="7C213C68"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Anul</w:t>
            </w:r>
          </w:p>
        </w:tc>
        <w:tc>
          <w:tcPr>
            <w:tcW w:w="1221" w:type="dxa"/>
            <w:vMerge w:val="restart"/>
            <w:tcBorders>
              <w:top w:val="single" w:sz="4" w:space="0" w:color="9CC2E5"/>
              <w:left w:val="single" w:sz="4" w:space="0" w:color="FFFFFF"/>
              <w:bottom w:val="single" w:sz="4" w:space="0" w:color="9CC2E5"/>
              <w:right w:val="single" w:sz="4" w:space="0" w:color="FFFFFF"/>
            </w:tcBorders>
            <w:shd w:val="clear" w:color="auto" w:fill="FFFFFF"/>
          </w:tcPr>
          <w:p w14:paraId="22176CED" w14:textId="3BF145D4"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ÎPC obligate la aplicarea prevederilor OUG nr. 109/2011</w:t>
            </w:r>
          </w:p>
        </w:tc>
        <w:tc>
          <w:tcPr>
            <w:tcW w:w="5740" w:type="dxa"/>
            <w:gridSpan w:val="5"/>
            <w:tcBorders>
              <w:top w:val="single" w:sz="4" w:space="0" w:color="9CC2E5"/>
              <w:bottom w:val="single" w:sz="4" w:space="0" w:color="9CC2E5"/>
              <w:right w:val="single" w:sz="4" w:space="0" w:color="FFFFFF"/>
            </w:tcBorders>
            <w:shd w:val="clear" w:color="auto" w:fill="FFFFFF"/>
          </w:tcPr>
          <w:p w14:paraId="77BA8AF3"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din care:</w:t>
            </w:r>
          </w:p>
        </w:tc>
        <w:tc>
          <w:tcPr>
            <w:tcW w:w="1059" w:type="dxa"/>
            <w:tcBorders>
              <w:top w:val="single" w:sz="4" w:space="0" w:color="9CC2E5"/>
              <w:bottom w:val="single" w:sz="4" w:space="0" w:color="9CC2E5"/>
              <w:right w:val="single" w:sz="4" w:space="0" w:color="FFFFFF"/>
            </w:tcBorders>
            <w:shd w:val="clear" w:color="auto" w:fill="FFFFFF"/>
          </w:tcPr>
          <w:p w14:paraId="4A7177B9" w14:textId="77777777" w:rsidR="004A1E2B" w:rsidRPr="001467CC" w:rsidRDefault="004A1E2B" w:rsidP="00B06C32">
            <w:pPr>
              <w:rPr>
                <w:rFonts w:asciiTheme="majorHAnsi" w:eastAsia="Times New Roman" w:hAnsiTheme="majorHAnsi" w:cstheme="majorHAnsi"/>
                <w:color w:val="0F6FC6" w:themeColor="accent1"/>
                <w:sz w:val="16"/>
                <w:szCs w:val="16"/>
                <w:lang w:eastAsia="ro-RO"/>
              </w:rPr>
            </w:pPr>
          </w:p>
        </w:tc>
      </w:tr>
      <w:tr w:rsidR="004A1E2B" w:rsidRPr="001467CC" w14:paraId="08AD2D90" w14:textId="77777777" w:rsidTr="00B06C32">
        <w:trPr>
          <w:trHeight w:val="276"/>
        </w:trPr>
        <w:tc>
          <w:tcPr>
            <w:tcW w:w="959"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024CD47B" w14:textId="77777777" w:rsidR="004A1E2B" w:rsidRPr="001467CC" w:rsidRDefault="004A1E2B" w:rsidP="00B06C32">
            <w:pPr>
              <w:spacing w:before="0" w:after="0"/>
              <w:rPr>
                <w:rFonts w:asciiTheme="majorHAnsi" w:eastAsia="Times New Roman" w:hAnsiTheme="majorHAnsi" w:cstheme="majorHAnsi"/>
                <w:color w:val="0F6FC6" w:themeColor="accent1"/>
                <w:lang w:eastAsia="ro-RO"/>
              </w:rPr>
            </w:pPr>
          </w:p>
        </w:tc>
        <w:tc>
          <w:tcPr>
            <w:tcW w:w="1221"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58801DC4"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eastAsia="ro-RO"/>
              </w:rPr>
            </w:pPr>
          </w:p>
        </w:tc>
        <w:tc>
          <w:tcPr>
            <w:tcW w:w="1220" w:type="dxa"/>
            <w:vMerge w:val="restart"/>
            <w:tcBorders>
              <w:top w:val="single" w:sz="4" w:space="0" w:color="9CC2E5"/>
              <w:left w:val="single" w:sz="4" w:space="0" w:color="FFFFFF"/>
              <w:bottom w:val="single" w:sz="4" w:space="0" w:color="9CC2E5"/>
              <w:right w:val="single" w:sz="4" w:space="0" w:color="FFFFFF"/>
            </w:tcBorders>
            <w:shd w:val="clear" w:color="auto" w:fill="FFFFFF"/>
          </w:tcPr>
          <w:p w14:paraId="4602D30E"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 TOTAL ÎPC în diferite stadii ale procesului de selecție,</w:t>
            </w:r>
          </w:p>
        </w:tc>
        <w:tc>
          <w:tcPr>
            <w:tcW w:w="3280" w:type="dxa"/>
            <w:gridSpan w:val="3"/>
            <w:tcBorders>
              <w:top w:val="single" w:sz="4" w:space="0" w:color="9CC2E5"/>
              <w:bottom w:val="single" w:sz="4" w:space="0" w:color="9CC2E5"/>
              <w:right w:val="single" w:sz="4" w:space="0" w:color="FFFFFF"/>
            </w:tcBorders>
            <w:shd w:val="clear" w:color="auto" w:fill="auto"/>
          </w:tcPr>
          <w:p w14:paraId="75678B50"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din care:</w:t>
            </w:r>
          </w:p>
        </w:tc>
        <w:tc>
          <w:tcPr>
            <w:tcW w:w="1240" w:type="dxa"/>
            <w:vMerge w:val="restart"/>
            <w:tcBorders>
              <w:top w:val="single" w:sz="4" w:space="0" w:color="9CC2E5"/>
              <w:left w:val="single" w:sz="4" w:space="0" w:color="FFFFFF"/>
              <w:bottom w:val="single" w:sz="4" w:space="0" w:color="9CC2E5"/>
              <w:right w:val="single" w:sz="4" w:space="0" w:color="FFFFFF"/>
            </w:tcBorders>
            <w:shd w:val="clear" w:color="auto" w:fill="FFFFFF"/>
          </w:tcPr>
          <w:p w14:paraId="205863FE"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b) TOTAL ÎPC pentru care procedura este nedeclanșată</w:t>
            </w:r>
          </w:p>
        </w:tc>
        <w:tc>
          <w:tcPr>
            <w:tcW w:w="1059" w:type="dxa"/>
            <w:vMerge w:val="restart"/>
            <w:tcBorders>
              <w:top w:val="single" w:sz="4" w:space="0" w:color="9CC2E5"/>
              <w:left w:val="single" w:sz="4" w:space="0" w:color="FFFFFF"/>
              <w:bottom w:val="single" w:sz="4" w:space="0" w:color="9CC2E5"/>
              <w:right w:val="single" w:sz="4" w:space="0" w:color="FFFFFF"/>
            </w:tcBorders>
            <w:shd w:val="clear" w:color="auto" w:fill="FFFFFF"/>
          </w:tcPr>
          <w:p w14:paraId="7A00B859"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c) Total ÎPC pentru care APTC nu a transmis informații</w:t>
            </w:r>
          </w:p>
        </w:tc>
      </w:tr>
      <w:tr w:rsidR="004A1E2B" w:rsidRPr="001467CC" w14:paraId="62C19890" w14:textId="77777777" w:rsidTr="00B06C32">
        <w:trPr>
          <w:trHeight w:val="900"/>
        </w:trPr>
        <w:tc>
          <w:tcPr>
            <w:tcW w:w="959"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76B9B145" w14:textId="77777777" w:rsidR="004A1E2B" w:rsidRPr="001467CC" w:rsidRDefault="004A1E2B" w:rsidP="00B06C32">
            <w:pPr>
              <w:spacing w:before="0" w:after="0"/>
              <w:rPr>
                <w:rFonts w:asciiTheme="majorHAnsi" w:eastAsia="Times New Roman" w:hAnsiTheme="majorHAnsi" w:cstheme="majorHAnsi"/>
                <w:color w:val="0F6FC6" w:themeColor="accent1"/>
                <w:lang w:eastAsia="ro-RO"/>
              </w:rPr>
            </w:pPr>
          </w:p>
        </w:tc>
        <w:tc>
          <w:tcPr>
            <w:tcW w:w="1221"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4CD29A9A"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eastAsia="ro-RO"/>
              </w:rPr>
            </w:pPr>
          </w:p>
        </w:tc>
        <w:tc>
          <w:tcPr>
            <w:tcW w:w="1220"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4681ED92"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eastAsia="ro-RO"/>
              </w:rPr>
            </w:pPr>
          </w:p>
        </w:tc>
        <w:tc>
          <w:tcPr>
            <w:tcW w:w="960" w:type="dxa"/>
            <w:tcBorders>
              <w:top w:val="single" w:sz="4" w:space="0" w:color="9CC2E5"/>
              <w:bottom w:val="single" w:sz="4" w:space="0" w:color="9CC2E5"/>
              <w:right w:val="single" w:sz="4" w:space="0" w:color="FFFFFF"/>
            </w:tcBorders>
            <w:shd w:val="clear" w:color="auto" w:fill="FFFFFF"/>
          </w:tcPr>
          <w:p w14:paraId="0183DBE6"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procedură definitivată</w:t>
            </w:r>
          </w:p>
        </w:tc>
        <w:tc>
          <w:tcPr>
            <w:tcW w:w="960" w:type="dxa"/>
            <w:tcBorders>
              <w:top w:val="single" w:sz="4" w:space="0" w:color="9CC2E5"/>
              <w:bottom w:val="single" w:sz="4" w:space="0" w:color="9CC2E5"/>
              <w:right w:val="single" w:sz="4" w:space="0" w:color="FFFFFF"/>
            </w:tcBorders>
            <w:shd w:val="clear" w:color="auto" w:fill="FFFFFF"/>
          </w:tcPr>
          <w:p w14:paraId="3A97C293"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procedură reluată</w:t>
            </w:r>
          </w:p>
        </w:tc>
        <w:tc>
          <w:tcPr>
            <w:tcW w:w="1361" w:type="dxa"/>
            <w:tcBorders>
              <w:top w:val="single" w:sz="4" w:space="0" w:color="9CC2E5"/>
              <w:bottom w:val="single" w:sz="4" w:space="0" w:color="9CC2E5"/>
              <w:right w:val="single" w:sz="4" w:space="0" w:color="FFFFFF"/>
            </w:tcBorders>
            <w:shd w:val="clear" w:color="auto" w:fill="FFFFFF"/>
          </w:tcPr>
          <w:p w14:paraId="6B1047D5"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procedură declanșată pentru prima dată</w:t>
            </w:r>
          </w:p>
        </w:tc>
        <w:tc>
          <w:tcPr>
            <w:tcW w:w="1240"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6AA0B827"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eastAsia="ro-RO"/>
              </w:rPr>
            </w:pPr>
          </w:p>
        </w:tc>
        <w:tc>
          <w:tcPr>
            <w:tcW w:w="1058"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32C5A116"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eastAsia="ro-RO"/>
              </w:rPr>
            </w:pPr>
          </w:p>
        </w:tc>
      </w:tr>
      <w:tr w:rsidR="004A1E2B" w:rsidRPr="001467CC" w14:paraId="0B6037FA" w14:textId="77777777" w:rsidTr="00B06C32">
        <w:trPr>
          <w:trHeight w:val="124"/>
        </w:trPr>
        <w:tc>
          <w:tcPr>
            <w:tcW w:w="959"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3806C8C5" w14:textId="77777777" w:rsidR="004A1E2B" w:rsidRPr="001467CC" w:rsidRDefault="004A1E2B" w:rsidP="00B06C32">
            <w:pPr>
              <w:spacing w:before="0" w:after="0"/>
              <w:rPr>
                <w:rFonts w:asciiTheme="majorHAnsi" w:eastAsia="Times New Roman" w:hAnsiTheme="majorHAnsi" w:cstheme="majorHAnsi"/>
                <w:color w:val="0F6FC6" w:themeColor="accent1"/>
                <w:lang w:eastAsia="ro-RO"/>
              </w:rPr>
            </w:pPr>
          </w:p>
        </w:tc>
        <w:tc>
          <w:tcPr>
            <w:tcW w:w="1221" w:type="dxa"/>
            <w:tcBorders>
              <w:top w:val="single" w:sz="4" w:space="0" w:color="9CC2E5"/>
              <w:bottom w:val="single" w:sz="4" w:space="0" w:color="9CC2E5"/>
              <w:right w:val="single" w:sz="4" w:space="0" w:color="FFFFFF"/>
            </w:tcBorders>
            <w:shd w:val="clear" w:color="auto" w:fill="FFFFFF"/>
            <w:vAlign w:val="center"/>
          </w:tcPr>
          <w:p w14:paraId="7750FC1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c>
          <w:tcPr>
            <w:tcW w:w="1220" w:type="dxa"/>
            <w:tcBorders>
              <w:top w:val="single" w:sz="4" w:space="0" w:color="9CC2E5"/>
              <w:bottom w:val="single" w:sz="4" w:space="0" w:color="9CC2E5"/>
              <w:right w:val="single" w:sz="4" w:space="0" w:color="FFFFFF"/>
            </w:tcBorders>
            <w:shd w:val="clear" w:color="auto" w:fill="FFFFFF"/>
            <w:vAlign w:val="center"/>
          </w:tcPr>
          <w:p w14:paraId="78E3E5FA"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c>
          <w:tcPr>
            <w:tcW w:w="960" w:type="dxa"/>
            <w:tcBorders>
              <w:top w:val="single" w:sz="4" w:space="0" w:color="9CC2E5"/>
              <w:bottom w:val="single" w:sz="4" w:space="0" w:color="9CC2E5"/>
              <w:right w:val="single" w:sz="4" w:space="0" w:color="FFFFFF"/>
            </w:tcBorders>
            <w:shd w:val="clear" w:color="auto" w:fill="FFFFFF"/>
            <w:vAlign w:val="center"/>
          </w:tcPr>
          <w:p w14:paraId="59FAB01D"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c>
          <w:tcPr>
            <w:tcW w:w="960" w:type="dxa"/>
            <w:tcBorders>
              <w:top w:val="single" w:sz="4" w:space="0" w:color="9CC2E5"/>
              <w:bottom w:val="single" w:sz="4" w:space="0" w:color="9CC2E5"/>
              <w:right w:val="single" w:sz="4" w:space="0" w:color="FFFFFF"/>
            </w:tcBorders>
            <w:shd w:val="clear" w:color="auto" w:fill="FFFFFF"/>
            <w:vAlign w:val="center"/>
          </w:tcPr>
          <w:p w14:paraId="014331F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c>
          <w:tcPr>
            <w:tcW w:w="1361" w:type="dxa"/>
            <w:tcBorders>
              <w:top w:val="single" w:sz="4" w:space="0" w:color="9CC2E5"/>
              <w:bottom w:val="single" w:sz="4" w:space="0" w:color="9CC2E5"/>
              <w:right w:val="single" w:sz="4" w:space="0" w:color="FFFFFF"/>
            </w:tcBorders>
            <w:shd w:val="clear" w:color="auto" w:fill="FFFFFF"/>
            <w:vAlign w:val="center"/>
          </w:tcPr>
          <w:p w14:paraId="09E073A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c>
          <w:tcPr>
            <w:tcW w:w="1240" w:type="dxa"/>
            <w:tcBorders>
              <w:top w:val="single" w:sz="4" w:space="0" w:color="9CC2E5"/>
              <w:bottom w:val="single" w:sz="4" w:space="0" w:color="9CC2E5"/>
              <w:right w:val="single" w:sz="4" w:space="0" w:color="FFFFFF"/>
            </w:tcBorders>
            <w:shd w:val="clear" w:color="auto" w:fill="FFFFFF"/>
            <w:vAlign w:val="center"/>
          </w:tcPr>
          <w:p w14:paraId="02C17383"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c>
          <w:tcPr>
            <w:tcW w:w="1058" w:type="dxa"/>
            <w:tcBorders>
              <w:top w:val="single" w:sz="4" w:space="0" w:color="9CC2E5"/>
              <w:bottom w:val="single" w:sz="4" w:space="0" w:color="9CC2E5"/>
              <w:right w:val="single" w:sz="4" w:space="0" w:color="FFFFFF"/>
            </w:tcBorders>
            <w:shd w:val="clear" w:color="auto" w:fill="FFFFFF"/>
            <w:vAlign w:val="center"/>
          </w:tcPr>
          <w:p w14:paraId="52791D2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nr ÎPC</w:t>
            </w:r>
          </w:p>
        </w:tc>
      </w:tr>
      <w:tr w:rsidR="004A1E2B" w:rsidRPr="001467CC" w14:paraId="5AAD9C6E" w14:textId="77777777" w:rsidTr="00B06C32">
        <w:trPr>
          <w:trHeight w:val="98"/>
        </w:trPr>
        <w:tc>
          <w:tcPr>
            <w:tcW w:w="959" w:type="dxa"/>
            <w:vMerge/>
            <w:tcBorders>
              <w:top w:val="single" w:sz="4" w:space="0" w:color="9CC2E5"/>
              <w:left w:val="single" w:sz="4" w:space="0" w:color="FFFFFF"/>
              <w:bottom w:val="single" w:sz="4" w:space="0" w:color="9CC2E5"/>
              <w:right w:val="single" w:sz="4" w:space="0" w:color="FFFFFF"/>
            </w:tcBorders>
            <w:shd w:val="clear" w:color="auto" w:fill="auto"/>
            <w:vAlign w:val="center"/>
          </w:tcPr>
          <w:p w14:paraId="0550399B" w14:textId="77777777" w:rsidR="004A1E2B" w:rsidRPr="001467CC" w:rsidRDefault="004A1E2B" w:rsidP="00B06C32">
            <w:pPr>
              <w:spacing w:before="0" w:after="0"/>
              <w:rPr>
                <w:rFonts w:asciiTheme="majorHAnsi" w:eastAsia="Times New Roman" w:hAnsiTheme="majorHAnsi" w:cstheme="majorHAnsi"/>
                <w:color w:val="0F6FC6" w:themeColor="accent1"/>
                <w:lang w:eastAsia="ro-RO"/>
              </w:rPr>
            </w:pPr>
          </w:p>
        </w:tc>
        <w:tc>
          <w:tcPr>
            <w:tcW w:w="1221" w:type="dxa"/>
            <w:tcBorders>
              <w:top w:val="single" w:sz="4" w:space="0" w:color="9CC2E5"/>
              <w:bottom w:val="single" w:sz="4" w:space="0" w:color="9CC2E5"/>
              <w:right w:val="single" w:sz="4" w:space="0" w:color="FFFFFF"/>
            </w:tcBorders>
            <w:shd w:val="clear" w:color="auto" w:fill="FFFFFF"/>
            <w:vAlign w:val="center"/>
          </w:tcPr>
          <w:p w14:paraId="71BEA33B"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 xml:space="preserve"> 1=2+6+7</w:t>
            </w:r>
          </w:p>
        </w:tc>
        <w:tc>
          <w:tcPr>
            <w:tcW w:w="1220" w:type="dxa"/>
            <w:tcBorders>
              <w:top w:val="single" w:sz="4" w:space="0" w:color="9CC2E5"/>
              <w:bottom w:val="single" w:sz="4" w:space="0" w:color="9CC2E5"/>
              <w:right w:val="single" w:sz="4" w:space="0" w:color="FFFFFF"/>
            </w:tcBorders>
            <w:shd w:val="clear" w:color="auto" w:fill="FFFFFF"/>
            <w:vAlign w:val="center"/>
          </w:tcPr>
          <w:p w14:paraId="398909EB"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2=3+4+5</w:t>
            </w:r>
          </w:p>
        </w:tc>
        <w:tc>
          <w:tcPr>
            <w:tcW w:w="960" w:type="dxa"/>
            <w:tcBorders>
              <w:top w:val="single" w:sz="4" w:space="0" w:color="9CC2E5"/>
              <w:bottom w:val="single" w:sz="4" w:space="0" w:color="9CC2E5"/>
              <w:right w:val="single" w:sz="4" w:space="0" w:color="FFFFFF"/>
            </w:tcBorders>
            <w:shd w:val="clear" w:color="auto" w:fill="FFFFFF"/>
            <w:vAlign w:val="center"/>
          </w:tcPr>
          <w:p w14:paraId="594E3D08"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3</w:t>
            </w:r>
          </w:p>
        </w:tc>
        <w:tc>
          <w:tcPr>
            <w:tcW w:w="960" w:type="dxa"/>
            <w:tcBorders>
              <w:top w:val="single" w:sz="4" w:space="0" w:color="9CC2E5"/>
              <w:bottom w:val="single" w:sz="4" w:space="0" w:color="9CC2E5"/>
              <w:right w:val="single" w:sz="4" w:space="0" w:color="FFFFFF"/>
            </w:tcBorders>
            <w:shd w:val="clear" w:color="auto" w:fill="FFFFFF"/>
            <w:vAlign w:val="center"/>
          </w:tcPr>
          <w:p w14:paraId="298852BF"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4</w:t>
            </w:r>
          </w:p>
        </w:tc>
        <w:tc>
          <w:tcPr>
            <w:tcW w:w="1361" w:type="dxa"/>
            <w:tcBorders>
              <w:top w:val="single" w:sz="4" w:space="0" w:color="9CC2E5"/>
              <w:bottom w:val="single" w:sz="4" w:space="0" w:color="9CC2E5"/>
              <w:right w:val="single" w:sz="4" w:space="0" w:color="FFFFFF"/>
            </w:tcBorders>
            <w:shd w:val="clear" w:color="auto" w:fill="FFFFFF"/>
            <w:vAlign w:val="center"/>
          </w:tcPr>
          <w:p w14:paraId="6DDB2002"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5</w:t>
            </w:r>
          </w:p>
        </w:tc>
        <w:tc>
          <w:tcPr>
            <w:tcW w:w="1240" w:type="dxa"/>
            <w:tcBorders>
              <w:top w:val="single" w:sz="4" w:space="0" w:color="9CC2E5"/>
              <w:bottom w:val="single" w:sz="4" w:space="0" w:color="9CC2E5"/>
              <w:right w:val="single" w:sz="4" w:space="0" w:color="FFFFFF"/>
            </w:tcBorders>
            <w:shd w:val="clear" w:color="auto" w:fill="FFFFFF"/>
            <w:vAlign w:val="center"/>
          </w:tcPr>
          <w:p w14:paraId="0A67D68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6</w:t>
            </w:r>
          </w:p>
        </w:tc>
        <w:tc>
          <w:tcPr>
            <w:tcW w:w="1058" w:type="dxa"/>
            <w:tcBorders>
              <w:top w:val="single" w:sz="4" w:space="0" w:color="9CC2E5"/>
              <w:bottom w:val="single" w:sz="4" w:space="0" w:color="9CC2E5"/>
              <w:right w:val="single" w:sz="4" w:space="0" w:color="FFFFFF"/>
            </w:tcBorders>
            <w:shd w:val="clear" w:color="auto" w:fill="FFFFFF"/>
            <w:vAlign w:val="center"/>
          </w:tcPr>
          <w:p w14:paraId="4C9DBECD"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7</w:t>
            </w:r>
          </w:p>
        </w:tc>
      </w:tr>
      <w:tr w:rsidR="004A1E2B" w:rsidRPr="001467CC" w14:paraId="52FA2209" w14:textId="77777777" w:rsidTr="00B06C32">
        <w:trPr>
          <w:trHeight w:val="300"/>
        </w:trPr>
        <w:tc>
          <w:tcPr>
            <w:tcW w:w="959" w:type="dxa"/>
            <w:tcBorders>
              <w:top w:val="single" w:sz="4" w:space="0" w:color="9CC2E5"/>
              <w:left w:val="single" w:sz="4" w:space="0" w:color="FFFFFF"/>
              <w:bottom w:val="single" w:sz="4" w:space="0" w:color="9CC2E5"/>
              <w:right w:val="single" w:sz="4" w:space="0" w:color="FFFFFF"/>
            </w:tcBorders>
            <w:shd w:val="clear" w:color="auto" w:fill="FFFFFF"/>
            <w:vAlign w:val="center"/>
          </w:tcPr>
          <w:p w14:paraId="51571F9F"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1467CC">
              <w:rPr>
                <w:rFonts w:asciiTheme="majorHAnsi" w:eastAsia="Times New Roman" w:hAnsiTheme="majorHAnsi" w:cstheme="majorHAnsi"/>
                <w:b/>
                <w:bCs/>
                <w:color w:val="0F6FC6" w:themeColor="accent1"/>
                <w:sz w:val="16"/>
                <w:szCs w:val="16"/>
                <w:lang w:eastAsia="ro-RO"/>
              </w:rPr>
              <w:t>2017</w:t>
            </w:r>
          </w:p>
        </w:tc>
        <w:tc>
          <w:tcPr>
            <w:tcW w:w="1221" w:type="dxa"/>
            <w:tcBorders>
              <w:top w:val="single" w:sz="4" w:space="0" w:color="9CC2E5"/>
              <w:bottom w:val="single" w:sz="4" w:space="0" w:color="9CC2E5"/>
              <w:right w:val="single" w:sz="4" w:space="0" w:color="FFFFFF"/>
            </w:tcBorders>
            <w:shd w:val="clear" w:color="auto" w:fill="FFFFFF"/>
            <w:vAlign w:val="center"/>
          </w:tcPr>
          <w:p w14:paraId="1664F3A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145</w:t>
            </w:r>
          </w:p>
        </w:tc>
        <w:tc>
          <w:tcPr>
            <w:tcW w:w="1220" w:type="dxa"/>
            <w:tcBorders>
              <w:top w:val="single" w:sz="4" w:space="0" w:color="9CC2E5"/>
              <w:bottom w:val="single" w:sz="4" w:space="0" w:color="9CC2E5"/>
              <w:right w:val="single" w:sz="4" w:space="0" w:color="FFFFFF"/>
            </w:tcBorders>
            <w:shd w:val="clear" w:color="auto" w:fill="FFFFFF"/>
            <w:vAlign w:val="center"/>
          </w:tcPr>
          <w:p w14:paraId="39E4F05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86</w:t>
            </w:r>
          </w:p>
        </w:tc>
        <w:tc>
          <w:tcPr>
            <w:tcW w:w="960" w:type="dxa"/>
            <w:tcBorders>
              <w:top w:val="single" w:sz="4" w:space="0" w:color="9CC2E5"/>
              <w:bottom w:val="single" w:sz="4" w:space="0" w:color="9CC2E5"/>
              <w:right w:val="single" w:sz="4" w:space="0" w:color="FFFFFF"/>
            </w:tcBorders>
            <w:shd w:val="clear" w:color="auto" w:fill="FFFFFF"/>
            <w:vAlign w:val="center"/>
          </w:tcPr>
          <w:p w14:paraId="1EE41D4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26</w:t>
            </w:r>
          </w:p>
        </w:tc>
        <w:tc>
          <w:tcPr>
            <w:tcW w:w="960" w:type="dxa"/>
            <w:tcBorders>
              <w:top w:val="single" w:sz="4" w:space="0" w:color="9CC2E5"/>
              <w:bottom w:val="single" w:sz="4" w:space="0" w:color="9CC2E5"/>
              <w:right w:val="single" w:sz="4" w:space="0" w:color="FFFFFF"/>
            </w:tcBorders>
            <w:shd w:val="clear" w:color="auto" w:fill="FFFFFF"/>
            <w:vAlign w:val="center"/>
          </w:tcPr>
          <w:p w14:paraId="304516E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 xml:space="preserve">  10</w:t>
            </w:r>
          </w:p>
        </w:tc>
        <w:tc>
          <w:tcPr>
            <w:tcW w:w="1361" w:type="dxa"/>
            <w:tcBorders>
              <w:top w:val="single" w:sz="4" w:space="0" w:color="9CC2E5"/>
              <w:bottom w:val="single" w:sz="4" w:space="0" w:color="9CC2E5"/>
              <w:right w:val="single" w:sz="4" w:space="0" w:color="FFFFFF"/>
            </w:tcBorders>
            <w:shd w:val="clear" w:color="auto" w:fill="FFFFFF"/>
            <w:vAlign w:val="center"/>
          </w:tcPr>
          <w:p w14:paraId="658D308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50</w:t>
            </w:r>
          </w:p>
        </w:tc>
        <w:tc>
          <w:tcPr>
            <w:tcW w:w="1240" w:type="dxa"/>
            <w:tcBorders>
              <w:top w:val="single" w:sz="4" w:space="0" w:color="9CC2E5"/>
              <w:bottom w:val="single" w:sz="4" w:space="0" w:color="9CC2E5"/>
              <w:right w:val="single" w:sz="4" w:space="0" w:color="FFFFFF"/>
            </w:tcBorders>
            <w:shd w:val="clear" w:color="auto" w:fill="FFFFFF"/>
            <w:vAlign w:val="center"/>
          </w:tcPr>
          <w:p w14:paraId="748C82B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27</w:t>
            </w:r>
          </w:p>
        </w:tc>
        <w:tc>
          <w:tcPr>
            <w:tcW w:w="1058" w:type="dxa"/>
            <w:tcBorders>
              <w:top w:val="single" w:sz="4" w:space="0" w:color="9CC2E5"/>
              <w:bottom w:val="single" w:sz="4" w:space="0" w:color="9CC2E5"/>
              <w:right w:val="single" w:sz="4" w:space="0" w:color="FFFFFF"/>
            </w:tcBorders>
            <w:shd w:val="clear" w:color="auto" w:fill="FFFFFF"/>
            <w:vAlign w:val="center"/>
          </w:tcPr>
          <w:p w14:paraId="4D806D9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32</w:t>
            </w:r>
          </w:p>
        </w:tc>
      </w:tr>
      <w:tr w:rsidR="004A1E2B" w:rsidRPr="001467CC" w14:paraId="3DF71647" w14:textId="77777777" w:rsidTr="00B06C32">
        <w:trPr>
          <w:trHeight w:val="300"/>
        </w:trPr>
        <w:tc>
          <w:tcPr>
            <w:tcW w:w="959" w:type="dxa"/>
            <w:tcBorders>
              <w:top w:val="single" w:sz="4" w:space="0" w:color="9CC2E5"/>
              <w:left w:val="single" w:sz="4" w:space="0" w:color="FFFFFF"/>
              <w:bottom w:val="single" w:sz="4" w:space="0" w:color="9CC2E5"/>
              <w:right w:val="single" w:sz="4" w:space="0" w:color="FFFFFF"/>
            </w:tcBorders>
            <w:shd w:val="clear" w:color="auto" w:fill="FFFFFF"/>
            <w:vAlign w:val="center"/>
          </w:tcPr>
          <w:p w14:paraId="60F892BA"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1467CC">
              <w:rPr>
                <w:rFonts w:asciiTheme="majorHAnsi" w:eastAsia="Times New Roman" w:hAnsiTheme="majorHAnsi" w:cstheme="majorHAnsi"/>
                <w:b/>
                <w:bCs/>
                <w:color w:val="0F6FC6" w:themeColor="accent1"/>
                <w:sz w:val="16"/>
                <w:szCs w:val="16"/>
                <w:lang w:eastAsia="ro-RO"/>
              </w:rPr>
              <w:t>2018</w:t>
            </w:r>
          </w:p>
        </w:tc>
        <w:tc>
          <w:tcPr>
            <w:tcW w:w="1221" w:type="dxa"/>
            <w:tcBorders>
              <w:top w:val="single" w:sz="4" w:space="0" w:color="9CC2E5"/>
              <w:bottom w:val="single" w:sz="4" w:space="0" w:color="9CC2E5"/>
              <w:right w:val="single" w:sz="4" w:space="0" w:color="FFFFFF"/>
            </w:tcBorders>
            <w:shd w:val="clear" w:color="auto" w:fill="FFFFFF"/>
            <w:vAlign w:val="center"/>
          </w:tcPr>
          <w:p w14:paraId="3B21D32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147</w:t>
            </w:r>
          </w:p>
        </w:tc>
        <w:tc>
          <w:tcPr>
            <w:tcW w:w="1220" w:type="dxa"/>
            <w:tcBorders>
              <w:top w:val="single" w:sz="4" w:space="0" w:color="9CC2E5"/>
              <w:bottom w:val="single" w:sz="4" w:space="0" w:color="9CC2E5"/>
              <w:right w:val="single" w:sz="4" w:space="0" w:color="FFFFFF"/>
            </w:tcBorders>
            <w:shd w:val="clear" w:color="auto" w:fill="FFFFFF"/>
            <w:vAlign w:val="center"/>
          </w:tcPr>
          <w:p w14:paraId="1BAE09A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90</w:t>
            </w:r>
          </w:p>
        </w:tc>
        <w:tc>
          <w:tcPr>
            <w:tcW w:w="960" w:type="dxa"/>
            <w:tcBorders>
              <w:top w:val="single" w:sz="4" w:space="0" w:color="9CC2E5"/>
              <w:bottom w:val="single" w:sz="4" w:space="0" w:color="9CC2E5"/>
              <w:right w:val="single" w:sz="4" w:space="0" w:color="FFFFFF"/>
            </w:tcBorders>
            <w:shd w:val="clear" w:color="auto" w:fill="FFFFFF"/>
            <w:vAlign w:val="center"/>
          </w:tcPr>
          <w:p w14:paraId="7EB55C5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34</w:t>
            </w:r>
          </w:p>
        </w:tc>
        <w:tc>
          <w:tcPr>
            <w:tcW w:w="960" w:type="dxa"/>
            <w:tcBorders>
              <w:top w:val="single" w:sz="4" w:space="0" w:color="9CC2E5"/>
              <w:bottom w:val="single" w:sz="4" w:space="0" w:color="9CC2E5"/>
              <w:right w:val="single" w:sz="4" w:space="0" w:color="FFFFFF"/>
            </w:tcBorders>
            <w:shd w:val="clear" w:color="auto" w:fill="FFFFFF"/>
            <w:vAlign w:val="center"/>
          </w:tcPr>
          <w:p w14:paraId="0EA4DF3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 xml:space="preserve">  9</w:t>
            </w:r>
          </w:p>
        </w:tc>
        <w:tc>
          <w:tcPr>
            <w:tcW w:w="1361" w:type="dxa"/>
            <w:tcBorders>
              <w:top w:val="single" w:sz="4" w:space="0" w:color="9CC2E5"/>
              <w:bottom w:val="single" w:sz="4" w:space="0" w:color="9CC2E5"/>
              <w:right w:val="single" w:sz="4" w:space="0" w:color="FFFFFF"/>
            </w:tcBorders>
            <w:shd w:val="clear" w:color="auto" w:fill="FFFFFF"/>
            <w:vAlign w:val="center"/>
          </w:tcPr>
          <w:p w14:paraId="6614C20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47</w:t>
            </w:r>
          </w:p>
        </w:tc>
        <w:tc>
          <w:tcPr>
            <w:tcW w:w="1240" w:type="dxa"/>
            <w:tcBorders>
              <w:top w:val="single" w:sz="4" w:space="0" w:color="9CC2E5"/>
              <w:bottom w:val="single" w:sz="4" w:space="0" w:color="9CC2E5"/>
              <w:right w:val="single" w:sz="4" w:space="0" w:color="FFFFFF"/>
            </w:tcBorders>
            <w:shd w:val="clear" w:color="auto" w:fill="FFFFFF"/>
            <w:vAlign w:val="center"/>
          </w:tcPr>
          <w:p w14:paraId="45659B4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36</w:t>
            </w:r>
          </w:p>
        </w:tc>
        <w:tc>
          <w:tcPr>
            <w:tcW w:w="1058" w:type="dxa"/>
            <w:tcBorders>
              <w:top w:val="single" w:sz="4" w:space="0" w:color="9CC2E5"/>
              <w:bottom w:val="single" w:sz="4" w:space="0" w:color="9CC2E5"/>
              <w:right w:val="single" w:sz="4" w:space="0" w:color="FFFFFF"/>
            </w:tcBorders>
            <w:shd w:val="clear" w:color="auto" w:fill="FFFFFF"/>
            <w:vAlign w:val="center"/>
          </w:tcPr>
          <w:p w14:paraId="6603E1B7"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21</w:t>
            </w:r>
          </w:p>
        </w:tc>
      </w:tr>
      <w:tr w:rsidR="004A1E2B" w:rsidRPr="001467CC" w14:paraId="6DF2B7FE" w14:textId="77777777" w:rsidTr="00B06C32">
        <w:trPr>
          <w:trHeight w:val="300"/>
        </w:trPr>
        <w:tc>
          <w:tcPr>
            <w:tcW w:w="959" w:type="dxa"/>
            <w:tcBorders>
              <w:top w:val="single" w:sz="4" w:space="0" w:color="9CC2E5"/>
              <w:left w:val="single" w:sz="4" w:space="0" w:color="FFFFFF"/>
              <w:bottom w:val="single" w:sz="4" w:space="0" w:color="9CC2E5"/>
              <w:right w:val="single" w:sz="4" w:space="0" w:color="FFFFFF"/>
            </w:tcBorders>
            <w:shd w:val="clear" w:color="auto" w:fill="FFFFFF"/>
            <w:vAlign w:val="center"/>
          </w:tcPr>
          <w:p w14:paraId="4B1E71BE"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1467CC">
              <w:rPr>
                <w:rFonts w:asciiTheme="majorHAnsi" w:eastAsia="Times New Roman" w:hAnsiTheme="majorHAnsi" w:cstheme="majorHAnsi"/>
                <w:b/>
                <w:bCs/>
                <w:color w:val="0F6FC6" w:themeColor="accent1"/>
                <w:sz w:val="16"/>
                <w:szCs w:val="16"/>
                <w:lang w:eastAsia="ro-RO"/>
              </w:rPr>
              <w:t xml:space="preserve">2019               </w:t>
            </w:r>
          </w:p>
        </w:tc>
        <w:tc>
          <w:tcPr>
            <w:tcW w:w="1221" w:type="dxa"/>
            <w:tcBorders>
              <w:top w:val="single" w:sz="4" w:space="0" w:color="9CC2E5"/>
              <w:bottom w:val="single" w:sz="4" w:space="0" w:color="9CC2E5"/>
              <w:right w:val="single" w:sz="4" w:space="0" w:color="FFFFFF"/>
            </w:tcBorders>
            <w:shd w:val="clear" w:color="auto" w:fill="FFFFFF"/>
            <w:vAlign w:val="center"/>
          </w:tcPr>
          <w:p w14:paraId="69FE5898"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 xml:space="preserve">                    146</w:t>
            </w:r>
          </w:p>
        </w:tc>
        <w:tc>
          <w:tcPr>
            <w:tcW w:w="1220" w:type="dxa"/>
            <w:tcBorders>
              <w:top w:val="single" w:sz="4" w:space="0" w:color="9CC2E5"/>
              <w:bottom w:val="single" w:sz="4" w:space="0" w:color="9CC2E5"/>
              <w:right w:val="single" w:sz="4" w:space="0" w:color="FFFFFF"/>
            </w:tcBorders>
            <w:shd w:val="clear" w:color="auto" w:fill="FFFFFF"/>
            <w:vAlign w:val="center"/>
          </w:tcPr>
          <w:p w14:paraId="5D999F80"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85</w:t>
            </w:r>
          </w:p>
        </w:tc>
        <w:tc>
          <w:tcPr>
            <w:tcW w:w="960" w:type="dxa"/>
            <w:tcBorders>
              <w:top w:val="single" w:sz="4" w:space="0" w:color="9CC2E5"/>
              <w:bottom w:val="single" w:sz="4" w:space="0" w:color="9CC2E5"/>
              <w:right w:val="single" w:sz="4" w:space="0" w:color="FFFFFF"/>
            </w:tcBorders>
            <w:shd w:val="clear" w:color="auto" w:fill="FFFFFF"/>
            <w:vAlign w:val="center"/>
          </w:tcPr>
          <w:p w14:paraId="6988DAF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26</w:t>
            </w:r>
          </w:p>
        </w:tc>
        <w:tc>
          <w:tcPr>
            <w:tcW w:w="960" w:type="dxa"/>
            <w:tcBorders>
              <w:top w:val="single" w:sz="4" w:space="0" w:color="9CC2E5"/>
              <w:bottom w:val="single" w:sz="4" w:space="0" w:color="9CC2E5"/>
              <w:right w:val="single" w:sz="4" w:space="0" w:color="FFFFFF"/>
            </w:tcBorders>
            <w:shd w:val="clear" w:color="auto" w:fill="FFFFFF"/>
            <w:vAlign w:val="center"/>
          </w:tcPr>
          <w:p w14:paraId="42465F40"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7</w:t>
            </w:r>
          </w:p>
        </w:tc>
        <w:tc>
          <w:tcPr>
            <w:tcW w:w="1361" w:type="dxa"/>
            <w:tcBorders>
              <w:top w:val="single" w:sz="4" w:space="0" w:color="9CC2E5"/>
              <w:bottom w:val="single" w:sz="4" w:space="0" w:color="9CC2E5"/>
              <w:right w:val="single" w:sz="4" w:space="0" w:color="FFFFFF"/>
            </w:tcBorders>
            <w:shd w:val="clear" w:color="auto" w:fill="FFFFFF"/>
            <w:vAlign w:val="center"/>
          </w:tcPr>
          <w:p w14:paraId="20C0E25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52</w:t>
            </w:r>
          </w:p>
        </w:tc>
        <w:tc>
          <w:tcPr>
            <w:tcW w:w="1240" w:type="dxa"/>
            <w:tcBorders>
              <w:top w:val="single" w:sz="4" w:space="0" w:color="9CC2E5"/>
              <w:bottom w:val="single" w:sz="4" w:space="0" w:color="9CC2E5"/>
              <w:right w:val="single" w:sz="4" w:space="0" w:color="FFFFFF"/>
            </w:tcBorders>
            <w:shd w:val="clear" w:color="auto" w:fill="FFFFFF"/>
            <w:vAlign w:val="center"/>
          </w:tcPr>
          <w:p w14:paraId="22B7A6A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38</w:t>
            </w:r>
          </w:p>
        </w:tc>
        <w:tc>
          <w:tcPr>
            <w:tcW w:w="1058" w:type="dxa"/>
            <w:tcBorders>
              <w:top w:val="single" w:sz="4" w:space="0" w:color="9CC2E5"/>
              <w:bottom w:val="single" w:sz="4" w:space="0" w:color="9CC2E5"/>
              <w:right w:val="single" w:sz="4" w:space="0" w:color="FFFFFF"/>
            </w:tcBorders>
            <w:shd w:val="clear" w:color="auto" w:fill="FFFFFF"/>
            <w:vAlign w:val="center"/>
          </w:tcPr>
          <w:p w14:paraId="7A8225D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23</w:t>
            </w:r>
          </w:p>
        </w:tc>
      </w:tr>
      <w:tr w:rsidR="004A1E2B" w:rsidRPr="001467CC" w14:paraId="10C2720C" w14:textId="77777777" w:rsidTr="00B06C32">
        <w:trPr>
          <w:trHeight w:val="300"/>
        </w:trPr>
        <w:tc>
          <w:tcPr>
            <w:tcW w:w="959" w:type="dxa"/>
            <w:tcBorders>
              <w:top w:val="single" w:sz="4" w:space="0" w:color="9CC2E5"/>
              <w:left w:val="single" w:sz="4" w:space="0" w:color="FFFFFF"/>
              <w:bottom w:val="single" w:sz="4" w:space="0" w:color="9CC2E5"/>
              <w:right w:val="single" w:sz="4" w:space="0" w:color="FFFFFF"/>
            </w:tcBorders>
            <w:shd w:val="clear" w:color="auto" w:fill="FFFFFF"/>
            <w:vAlign w:val="center"/>
          </w:tcPr>
          <w:p w14:paraId="1389741A"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1467CC">
              <w:rPr>
                <w:rFonts w:asciiTheme="majorHAnsi" w:eastAsia="Times New Roman" w:hAnsiTheme="majorHAnsi" w:cstheme="majorHAnsi"/>
                <w:b/>
                <w:bCs/>
                <w:color w:val="0F6FC6" w:themeColor="accent1"/>
                <w:sz w:val="16"/>
                <w:szCs w:val="16"/>
                <w:lang w:eastAsia="ro-RO"/>
              </w:rPr>
              <w:t>2020</w:t>
            </w:r>
          </w:p>
        </w:tc>
        <w:tc>
          <w:tcPr>
            <w:tcW w:w="1221" w:type="dxa"/>
            <w:tcBorders>
              <w:top w:val="single" w:sz="4" w:space="0" w:color="9CC2E5"/>
              <w:bottom w:val="single" w:sz="4" w:space="0" w:color="9CC2E5"/>
              <w:right w:val="single" w:sz="4" w:space="0" w:color="FFFFFF"/>
            </w:tcBorders>
            <w:shd w:val="clear" w:color="auto" w:fill="FFFFFF"/>
            <w:vAlign w:val="center"/>
          </w:tcPr>
          <w:p w14:paraId="1B37C16B"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 xml:space="preserve">                    151</w:t>
            </w:r>
          </w:p>
        </w:tc>
        <w:tc>
          <w:tcPr>
            <w:tcW w:w="1220" w:type="dxa"/>
            <w:tcBorders>
              <w:top w:val="single" w:sz="4" w:space="0" w:color="9CC2E5"/>
              <w:bottom w:val="single" w:sz="4" w:space="0" w:color="9CC2E5"/>
              <w:right w:val="single" w:sz="4" w:space="0" w:color="FFFFFF"/>
            </w:tcBorders>
            <w:shd w:val="clear" w:color="auto" w:fill="FFFFFF"/>
            <w:vAlign w:val="center"/>
          </w:tcPr>
          <w:p w14:paraId="4503F3A6"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92</w:t>
            </w:r>
          </w:p>
        </w:tc>
        <w:tc>
          <w:tcPr>
            <w:tcW w:w="960" w:type="dxa"/>
            <w:tcBorders>
              <w:top w:val="single" w:sz="4" w:space="0" w:color="9CC2E5"/>
              <w:bottom w:val="single" w:sz="4" w:space="0" w:color="9CC2E5"/>
              <w:right w:val="single" w:sz="4" w:space="0" w:color="FFFFFF"/>
            </w:tcBorders>
            <w:shd w:val="clear" w:color="auto" w:fill="FFFFFF"/>
            <w:vAlign w:val="center"/>
          </w:tcPr>
          <w:p w14:paraId="43A6EF9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31</w:t>
            </w:r>
          </w:p>
        </w:tc>
        <w:tc>
          <w:tcPr>
            <w:tcW w:w="960" w:type="dxa"/>
            <w:tcBorders>
              <w:top w:val="single" w:sz="4" w:space="0" w:color="9CC2E5"/>
              <w:bottom w:val="single" w:sz="4" w:space="0" w:color="9CC2E5"/>
              <w:right w:val="single" w:sz="4" w:space="0" w:color="FFFFFF"/>
            </w:tcBorders>
            <w:shd w:val="clear" w:color="auto" w:fill="FFFFFF"/>
            <w:vAlign w:val="center"/>
          </w:tcPr>
          <w:p w14:paraId="7643185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w:t>
            </w:r>
          </w:p>
        </w:tc>
        <w:tc>
          <w:tcPr>
            <w:tcW w:w="1361" w:type="dxa"/>
            <w:tcBorders>
              <w:top w:val="single" w:sz="4" w:space="0" w:color="9CC2E5"/>
              <w:bottom w:val="single" w:sz="4" w:space="0" w:color="9CC2E5"/>
              <w:right w:val="single" w:sz="4" w:space="0" w:color="FFFFFF"/>
            </w:tcBorders>
            <w:shd w:val="clear" w:color="auto" w:fill="FFFFFF"/>
            <w:vAlign w:val="center"/>
          </w:tcPr>
          <w:p w14:paraId="070AF983"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53</w:t>
            </w:r>
          </w:p>
        </w:tc>
        <w:tc>
          <w:tcPr>
            <w:tcW w:w="1240" w:type="dxa"/>
            <w:tcBorders>
              <w:top w:val="single" w:sz="4" w:space="0" w:color="9CC2E5"/>
              <w:bottom w:val="single" w:sz="4" w:space="0" w:color="9CC2E5"/>
              <w:right w:val="single" w:sz="4" w:space="0" w:color="FFFFFF"/>
            </w:tcBorders>
            <w:shd w:val="clear" w:color="auto" w:fill="FFFFFF"/>
            <w:vAlign w:val="center"/>
          </w:tcPr>
          <w:p w14:paraId="4B12D9F3"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50</w:t>
            </w:r>
          </w:p>
        </w:tc>
        <w:tc>
          <w:tcPr>
            <w:tcW w:w="1058" w:type="dxa"/>
            <w:tcBorders>
              <w:top w:val="single" w:sz="4" w:space="0" w:color="9CC2E5"/>
              <w:bottom w:val="single" w:sz="4" w:space="0" w:color="9CC2E5"/>
              <w:right w:val="single" w:sz="4" w:space="0" w:color="FFFFFF"/>
            </w:tcBorders>
            <w:shd w:val="clear" w:color="auto" w:fill="FFFFFF"/>
            <w:vAlign w:val="center"/>
          </w:tcPr>
          <w:p w14:paraId="2D40246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w:t>
            </w:r>
          </w:p>
        </w:tc>
      </w:tr>
      <w:tr w:rsidR="004A1E2B" w:rsidRPr="001467CC" w14:paraId="59CA77CD" w14:textId="77777777" w:rsidTr="00B06C32">
        <w:trPr>
          <w:trHeight w:val="360"/>
        </w:trPr>
        <w:tc>
          <w:tcPr>
            <w:tcW w:w="8979" w:type="dxa"/>
            <w:gridSpan w:val="8"/>
            <w:tcBorders>
              <w:top w:val="single" w:sz="4" w:space="0" w:color="9CC2E5"/>
              <w:left w:val="single" w:sz="8" w:space="0" w:color="FFFFFF"/>
              <w:bottom w:val="single" w:sz="8" w:space="0" w:color="FFFFFF"/>
            </w:tcBorders>
            <w:shd w:val="clear" w:color="auto" w:fill="auto"/>
            <w:vAlign w:val="center"/>
          </w:tcPr>
          <w:p w14:paraId="0E9DE0EC" w14:textId="3210A704" w:rsidR="004A1E2B" w:rsidRPr="001467CC" w:rsidRDefault="004A1E2B" w:rsidP="00B06C32">
            <w:pPr>
              <w:spacing w:before="0" w:after="0" w:line="240" w:lineRule="auto"/>
              <w:rPr>
                <w:rFonts w:asciiTheme="majorHAnsi" w:eastAsia="Times New Roman" w:hAnsiTheme="majorHAnsi" w:cstheme="majorHAnsi"/>
                <w:sz w:val="14"/>
                <w:szCs w:val="14"/>
                <w:lang w:eastAsia="ro-RO"/>
              </w:rPr>
            </w:pPr>
            <w:r w:rsidRPr="001467CC">
              <w:rPr>
                <w:rFonts w:asciiTheme="majorHAnsi" w:eastAsia="Times New Roman" w:hAnsiTheme="majorHAnsi" w:cstheme="majorHAnsi"/>
                <w:sz w:val="14"/>
                <w:szCs w:val="14"/>
                <w:lang w:eastAsia="ro-RO"/>
              </w:rPr>
              <w:t xml:space="preserve">*) Calcule proprii MF bazate atât pe datele raportate prin S1100 cât și și pe raportări anterioare ale APTC prin adrese semnate de conducătorul APTC. </w:t>
            </w:r>
          </w:p>
        </w:tc>
      </w:tr>
    </w:tbl>
    <w:p w14:paraId="4762EAE9"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rPr>
        <w:t>Din perspectiva aplicării cadrului normativ privind selecția administratorilor/directorilor</w:t>
      </w:r>
      <w:r w:rsidRPr="001467CC">
        <w:rPr>
          <w:rStyle w:val="FootnoteAnchor"/>
          <w:rFonts w:asciiTheme="majorHAnsi" w:hAnsiTheme="majorHAnsi" w:cstheme="majorHAnsi"/>
        </w:rPr>
        <w:footnoteReference w:id="6"/>
      </w:r>
      <w:r w:rsidRPr="001467CC">
        <w:rPr>
          <w:rFonts w:asciiTheme="majorHAnsi" w:hAnsiTheme="majorHAnsi" w:cstheme="majorHAnsi"/>
        </w:rPr>
        <w:t>, pe parcursul anului 2020, din totalul de</w:t>
      </w:r>
      <w:r w:rsidRPr="001467CC">
        <w:rPr>
          <w:rFonts w:asciiTheme="majorHAnsi" w:hAnsiTheme="majorHAnsi" w:cstheme="majorHAnsi"/>
          <w:b/>
        </w:rPr>
        <w:t xml:space="preserve"> 151 ÎPC obligate </w:t>
      </w:r>
      <w:r w:rsidRPr="001467CC">
        <w:rPr>
          <w:rFonts w:asciiTheme="majorHAnsi" w:hAnsiTheme="majorHAnsi" w:cstheme="majorHAnsi"/>
        </w:rPr>
        <w:t>la aplicarea prevederilor O.U.G. nr. 109/2011 privind guvernanța corporativă, stadiul se prezintă astfel:</w:t>
      </w:r>
    </w:p>
    <w:p w14:paraId="38DAB4A7" w14:textId="77777777" w:rsidR="004A1E2B" w:rsidRPr="001467CC" w:rsidRDefault="004A1E2B" w:rsidP="00F17378">
      <w:pPr>
        <w:pStyle w:val="NoSpacing"/>
        <w:numPr>
          <w:ilvl w:val="0"/>
          <w:numId w:val="29"/>
        </w:numPr>
        <w:spacing w:line="276" w:lineRule="auto"/>
        <w:ind w:left="284" w:hanging="284"/>
        <w:jc w:val="both"/>
        <w:rPr>
          <w:rFonts w:asciiTheme="majorHAnsi" w:hAnsiTheme="majorHAnsi" w:cstheme="majorHAnsi"/>
        </w:rPr>
      </w:pPr>
      <w:r w:rsidRPr="001467CC">
        <w:rPr>
          <w:rFonts w:asciiTheme="majorHAnsi" w:hAnsiTheme="majorHAnsi" w:cstheme="majorHAnsi"/>
          <w:b/>
        </w:rPr>
        <w:t>Din cele</w:t>
      </w:r>
      <w:r w:rsidRPr="001467CC">
        <w:rPr>
          <w:rFonts w:asciiTheme="majorHAnsi" w:hAnsiTheme="majorHAnsi" w:cstheme="majorHAnsi"/>
        </w:rPr>
        <w:t xml:space="preserve"> </w:t>
      </w:r>
      <w:r w:rsidRPr="001467CC">
        <w:rPr>
          <w:rFonts w:asciiTheme="majorHAnsi" w:hAnsiTheme="majorHAnsi" w:cstheme="majorHAnsi"/>
          <w:b/>
        </w:rPr>
        <w:t>31 ÎPC care au selectat administratorii/membrii CA/CS până la 31.12.2020, un număr de:</w:t>
      </w:r>
    </w:p>
    <w:p w14:paraId="39513380" w14:textId="77777777" w:rsidR="004A1E2B" w:rsidRPr="001467CC" w:rsidRDefault="004A1E2B" w:rsidP="00F17378">
      <w:pPr>
        <w:pStyle w:val="NoSpacing"/>
        <w:numPr>
          <w:ilvl w:val="0"/>
          <w:numId w:val="38"/>
        </w:numPr>
        <w:spacing w:line="276" w:lineRule="auto"/>
        <w:rPr>
          <w:rFonts w:asciiTheme="majorHAnsi" w:hAnsiTheme="majorHAnsi" w:cstheme="majorHAnsi"/>
        </w:rPr>
      </w:pPr>
      <w:r w:rsidRPr="001467CC">
        <w:rPr>
          <w:rFonts w:asciiTheme="majorHAnsi" w:hAnsiTheme="majorHAnsi" w:cstheme="majorHAnsi"/>
          <w:b/>
        </w:rPr>
        <w:t>26 ÎPC au finalizat</w:t>
      </w:r>
      <w:r w:rsidRPr="001467CC">
        <w:rPr>
          <w:rFonts w:asciiTheme="majorHAnsi" w:hAnsiTheme="majorHAnsi" w:cstheme="majorHAnsi"/>
        </w:rPr>
        <w:t xml:space="preserve"> procesul de selecție a administratorilor/membrilor CA/CS </w:t>
      </w:r>
      <w:r w:rsidRPr="001467CC">
        <w:rPr>
          <w:rFonts w:asciiTheme="majorHAnsi" w:hAnsiTheme="majorHAnsi" w:cstheme="majorHAnsi"/>
          <w:b/>
        </w:rPr>
        <w:t>și directorilor</w:t>
      </w:r>
      <w:r w:rsidRPr="001467CC">
        <w:rPr>
          <w:rFonts w:asciiTheme="majorHAnsi" w:hAnsiTheme="majorHAnsi" w:cstheme="majorHAnsi"/>
        </w:rPr>
        <w:t xml:space="preserve">/membrilor directoratului dupa cum urmeaza: </w:t>
      </w:r>
    </w:p>
    <w:tbl>
      <w:tblPr>
        <w:tblW w:w="7739" w:type="dxa"/>
        <w:tblLook w:val="04A0" w:firstRow="1" w:lastRow="0" w:firstColumn="1" w:lastColumn="0" w:noHBand="0" w:noVBand="1"/>
      </w:tblPr>
      <w:tblGrid>
        <w:gridCol w:w="699"/>
        <w:gridCol w:w="3640"/>
        <w:gridCol w:w="3400"/>
      </w:tblGrid>
      <w:tr w:rsidR="004A1E2B" w:rsidRPr="001467CC" w14:paraId="3EE451CF" w14:textId="77777777" w:rsidTr="004075A6">
        <w:trPr>
          <w:trHeight w:val="315"/>
          <w:tblHeader/>
        </w:trPr>
        <w:tc>
          <w:tcPr>
            <w:tcW w:w="699"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7B317E41" w14:textId="77777777" w:rsidR="004A1E2B" w:rsidRPr="001467CC" w:rsidRDefault="004A1E2B" w:rsidP="00B06C32">
            <w:pPr>
              <w:spacing w:before="0" w:after="0" w:line="240" w:lineRule="auto"/>
              <w:jc w:val="center"/>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Nr. crt.</w:t>
            </w:r>
          </w:p>
        </w:tc>
        <w:tc>
          <w:tcPr>
            <w:tcW w:w="3640" w:type="dxa"/>
            <w:tcBorders>
              <w:top w:val="single" w:sz="8" w:space="0" w:color="auto"/>
              <w:left w:val="nil"/>
              <w:bottom w:val="single" w:sz="8" w:space="0" w:color="auto"/>
              <w:right w:val="single" w:sz="8" w:space="0" w:color="auto"/>
            </w:tcBorders>
            <w:shd w:val="clear" w:color="000000" w:fill="5B9BD5"/>
            <w:noWrap/>
            <w:vAlign w:val="center"/>
            <w:hideMark/>
          </w:tcPr>
          <w:p w14:paraId="34C56BC4" w14:textId="77777777" w:rsidR="004A1E2B" w:rsidRPr="001467CC" w:rsidRDefault="004A1E2B" w:rsidP="00B06C32">
            <w:pPr>
              <w:spacing w:before="0" w:after="0" w:line="240" w:lineRule="auto"/>
              <w:jc w:val="center"/>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Denumire Întreprindere Publică</w:t>
            </w:r>
          </w:p>
        </w:tc>
        <w:tc>
          <w:tcPr>
            <w:tcW w:w="3400" w:type="dxa"/>
            <w:tcBorders>
              <w:top w:val="single" w:sz="8" w:space="0" w:color="auto"/>
              <w:left w:val="nil"/>
              <w:bottom w:val="single" w:sz="8" w:space="0" w:color="auto"/>
              <w:right w:val="single" w:sz="8" w:space="0" w:color="auto"/>
            </w:tcBorders>
            <w:shd w:val="clear" w:color="000000" w:fill="5B9BD5"/>
            <w:noWrap/>
            <w:vAlign w:val="center"/>
            <w:hideMark/>
          </w:tcPr>
          <w:p w14:paraId="14C40444" w14:textId="77777777" w:rsidR="004A1E2B" w:rsidRPr="001467CC" w:rsidRDefault="004A1E2B" w:rsidP="00B06C32">
            <w:pPr>
              <w:spacing w:before="0" w:after="0" w:line="240" w:lineRule="auto"/>
              <w:jc w:val="center"/>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Autoritate Publica Tutelară</w:t>
            </w:r>
          </w:p>
        </w:tc>
      </w:tr>
      <w:tr w:rsidR="004A1E2B" w:rsidRPr="001467CC" w14:paraId="11934BE4" w14:textId="77777777" w:rsidTr="004075A6">
        <w:trPr>
          <w:trHeight w:val="315"/>
          <w:tblHeader/>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58235960" w14:textId="77777777" w:rsidR="004A1E2B" w:rsidRPr="001467CC" w:rsidRDefault="004A1E2B" w:rsidP="00B06C32">
            <w:pPr>
              <w:spacing w:before="0" w:after="0" w:line="240" w:lineRule="auto"/>
              <w:jc w:val="center"/>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0</w:t>
            </w:r>
          </w:p>
        </w:tc>
        <w:tc>
          <w:tcPr>
            <w:tcW w:w="3640" w:type="dxa"/>
            <w:tcBorders>
              <w:top w:val="nil"/>
              <w:left w:val="nil"/>
              <w:bottom w:val="single" w:sz="8" w:space="0" w:color="auto"/>
              <w:right w:val="single" w:sz="8" w:space="0" w:color="auto"/>
            </w:tcBorders>
            <w:shd w:val="clear" w:color="000000" w:fill="5B9BD5"/>
            <w:noWrap/>
            <w:vAlign w:val="center"/>
            <w:hideMark/>
          </w:tcPr>
          <w:p w14:paraId="5F289648" w14:textId="77777777" w:rsidR="004A1E2B" w:rsidRPr="001467CC" w:rsidRDefault="004A1E2B" w:rsidP="00B06C32">
            <w:pPr>
              <w:spacing w:before="0" w:after="0" w:line="240" w:lineRule="auto"/>
              <w:jc w:val="center"/>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w:t>
            </w:r>
          </w:p>
        </w:tc>
        <w:tc>
          <w:tcPr>
            <w:tcW w:w="3400" w:type="dxa"/>
            <w:tcBorders>
              <w:top w:val="nil"/>
              <w:left w:val="nil"/>
              <w:bottom w:val="single" w:sz="8" w:space="0" w:color="auto"/>
              <w:right w:val="single" w:sz="8" w:space="0" w:color="auto"/>
            </w:tcBorders>
            <w:shd w:val="clear" w:color="000000" w:fill="5B9BD5"/>
            <w:noWrap/>
            <w:vAlign w:val="center"/>
            <w:hideMark/>
          </w:tcPr>
          <w:p w14:paraId="331A4344" w14:textId="77777777" w:rsidR="004A1E2B" w:rsidRPr="001467CC" w:rsidRDefault="004A1E2B" w:rsidP="00B06C32">
            <w:pPr>
              <w:spacing w:before="0" w:after="0" w:line="240" w:lineRule="auto"/>
              <w:jc w:val="center"/>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w:t>
            </w:r>
          </w:p>
        </w:tc>
      </w:tr>
      <w:tr w:rsidR="004A1E2B" w:rsidRPr="001467CC" w14:paraId="4932BC9D" w14:textId="77777777" w:rsidTr="00B06C32">
        <w:trPr>
          <w:trHeight w:val="485"/>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5AD3288B"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w:t>
            </w:r>
          </w:p>
        </w:tc>
        <w:tc>
          <w:tcPr>
            <w:tcW w:w="3640" w:type="dxa"/>
            <w:tcBorders>
              <w:top w:val="nil"/>
              <w:left w:val="nil"/>
              <w:bottom w:val="single" w:sz="8" w:space="0" w:color="auto"/>
              <w:right w:val="single" w:sz="8" w:space="0" w:color="auto"/>
            </w:tcBorders>
            <w:shd w:val="clear" w:color="auto" w:fill="auto"/>
            <w:vAlign w:val="center"/>
            <w:hideMark/>
          </w:tcPr>
          <w:p w14:paraId="71C7379B"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SOCIETATEA NAŢIONALĂ DE TRANSPORT GAZE NATURALE TRANSGAZ SA</w:t>
            </w:r>
          </w:p>
        </w:tc>
        <w:tc>
          <w:tcPr>
            <w:tcW w:w="3400" w:type="dxa"/>
            <w:tcBorders>
              <w:top w:val="nil"/>
              <w:left w:val="nil"/>
              <w:bottom w:val="single" w:sz="8" w:space="0" w:color="auto"/>
              <w:right w:val="single" w:sz="8" w:space="0" w:color="auto"/>
            </w:tcBorders>
            <w:shd w:val="clear" w:color="auto" w:fill="auto"/>
            <w:vAlign w:val="center"/>
            <w:hideMark/>
          </w:tcPr>
          <w:p w14:paraId="02AD30B8"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SECRETARIATUL GENERAL AL GUVERNULUI</w:t>
            </w:r>
          </w:p>
        </w:tc>
      </w:tr>
      <w:tr w:rsidR="004A1E2B" w:rsidRPr="001467CC" w14:paraId="588DCD12" w14:textId="77777777" w:rsidTr="00B06C32">
        <w:trPr>
          <w:trHeight w:val="421"/>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3A7AAE9A"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w:t>
            </w:r>
          </w:p>
        </w:tc>
        <w:tc>
          <w:tcPr>
            <w:tcW w:w="3640" w:type="dxa"/>
            <w:tcBorders>
              <w:top w:val="nil"/>
              <w:left w:val="nil"/>
              <w:bottom w:val="single" w:sz="8" w:space="0" w:color="auto"/>
              <w:right w:val="single" w:sz="8" w:space="0" w:color="auto"/>
            </w:tcBorders>
            <w:shd w:val="clear" w:color="auto" w:fill="auto"/>
            <w:vAlign w:val="center"/>
            <w:hideMark/>
          </w:tcPr>
          <w:p w14:paraId="0F891314"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COMPANIA NATIONALA DE TRANSPORT AL ENERGIEI ELECTRICE "TRANSELECTRICA" SA</w:t>
            </w:r>
          </w:p>
        </w:tc>
        <w:tc>
          <w:tcPr>
            <w:tcW w:w="3400" w:type="dxa"/>
            <w:tcBorders>
              <w:top w:val="nil"/>
              <w:left w:val="nil"/>
              <w:bottom w:val="single" w:sz="8" w:space="0" w:color="auto"/>
              <w:right w:val="single" w:sz="8" w:space="0" w:color="auto"/>
            </w:tcBorders>
            <w:shd w:val="clear" w:color="auto" w:fill="auto"/>
            <w:vAlign w:val="center"/>
            <w:hideMark/>
          </w:tcPr>
          <w:p w14:paraId="18ADA489"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SECRETARIATUL GENERAL AL GUVERNULUI</w:t>
            </w:r>
          </w:p>
        </w:tc>
      </w:tr>
      <w:tr w:rsidR="004A1E2B" w:rsidRPr="001467CC" w14:paraId="29A47482" w14:textId="77777777" w:rsidTr="00B06C32">
        <w:trPr>
          <w:trHeight w:val="398"/>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5301194F"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3</w:t>
            </w:r>
          </w:p>
        </w:tc>
        <w:tc>
          <w:tcPr>
            <w:tcW w:w="3640" w:type="dxa"/>
            <w:tcBorders>
              <w:top w:val="nil"/>
              <w:left w:val="nil"/>
              <w:bottom w:val="single" w:sz="8" w:space="0" w:color="auto"/>
              <w:right w:val="single" w:sz="8" w:space="0" w:color="auto"/>
            </w:tcBorders>
            <w:shd w:val="clear" w:color="auto" w:fill="auto"/>
            <w:vAlign w:val="center"/>
            <w:hideMark/>
          </w:tcPr>
          <w:p w14:paraId="6C34C982"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COMPANIA NATIONALA "IMPRIMERIA NATIONALA" SA</w:t>
            </w:r>
          </w:p>
        </w:tc>
        <w:tc>
          <w:tcPr>
            <w:tcW w:w="3400" w:type="dxa"/>
            <w:tcBorders>
              <w:top w:val="nil"/>
              <w:left w:val="nil"/>
              <w:bottom w:val="single" w:sz="8" w:space="0" w:color="auto"/>
              <w:right w:val="single" w:sz="8" w:space="0" w:color="auto"/>
            </w:tcBorders>
            <w:shd w:val="clear" w:color="auto" w:fill="auto"/>
            <w:vAlign w:val="center"/>
            <w:hideMark/>
          </w:tcPr>
          <w:p w14:paraId="402369F3"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FINANTELOR</w:t>
            </w:r>
          </w:p>
        </w:tc>
      </w:tr>
      <w:tr w:rsidR="004A1E2B" w:rsidRPr="001467CC" w14:paraId="38191247" w14:textId="77777777" w:rsidTr="00B06C32">
        <w:trPr>
          <w:trHeight w:val="390"/>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251661EA"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4</w:t>
            </w:r>
          </w:p>
        </w:tc>
        <w:tc>
          <w:tcPr>
            <w:tcW w:w="3640" w:type="dxa"/>
            <w:tcBorders>
              <w:top w:val="nil"/>
              <w:left w:val="nil"/>
              <w:bottom w:val="single" w:sz="8" w:space="0" w:color="auto"/>
              <w:right w:val="single" w:sz="8" w:space="0" w:color="auto"/>
            </w:tcBorders>
            <w:shd w:val="clear" w:color="auto" w:fill="auto"/>
            <w:vAlign w:val="center"/>
            <w:hideMark/>
          </w:tcPr>
          <w:p w14:paraId="66B71ACF"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COMPANIA DE ASIGURARI-REASIGURARI EXIM ROMANIA (CARE-ROMANIA) SA</w:t>
            </w:r>
          </w:p>
        </w:tc>
        <w:tc>
          <w:tcPr>
            <w:tcW w:w="3400" w:type="dxa"/>
            <w:tcBorders>
              <w:top w:val="nil"/>
              <w:left w:val="nil"/>
              <w:bottom w:val="single" w:sz="8" w:space="0" w:color="auto"/>
              <w:right w:val="single" w:sz="8" w:space="0" w:color="auto"/>
            </w:tcBorders>
            <w:shd w:val="clear" w:color="auto" w:fill="auto"/>
            <w:vAlign w:val="center"/>
            <w:hideMark/>
          </w:tcPr>
          <w:p w14:paraId="198C5802"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FINANTELOR</w:t>
            </w:r>
          </w:p>
        </w:tc>
      </w:tr>
      <w:tr w:rsidR="004A1E2B" w:rsidRPr="001467CC" w14:paraId="7BB8A18F" w14:textId="77777777" w:rsidTr="00B06C32">
        <w:trPr>
          <w:trHeight w:val="269"/>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34DF078F"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5</w:t>
            </w:r>
          </w:p>
        </w:tc>
        <w:tc>
          <w:tcPr>
            <w:tcW w:w="3640" w:type="dxa"/>
            <w:tcBorders>
              <w:top w:val="nil"/>
              <w:left w:val="nil"/>
              <w:bottom w:val="single" w:sz="8" w:space="0" w:color="auto"/>
              <w:right w:val="single" w:sz="8" w:space="0" w:color="auto"/>
            </w:tcBorders>
            <w:shd w:val="clear" w:color="auto" w:fill="auto"/>
            <w:vAlign w:val="center"/>
            <w:hideMark/>
          </w:tcPr>
          <w:p w14:paraId="6B31C3A7"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IMPRIMERIA BANCII NATIONALE A ROMANIEI RA</w:t>
            </w:r>
          </w:p>
        </w:tc>
        <w:tc>
          <w:tcPr>
            <w:tcW w:w="3400" w:type="dxa"/>
            <w:tcBorders>
              <w:top w:val="nil"/>
              <w:left w:val="nil"/>
              <w:bottom w:val="single" w:sz="8" w:space="0" w:color="auto"/>
              <w:right w:val="single" w:sz="8" w:space="0" w:color="auto"/>
            </w:tcBorders>
            <w:shd w:val="clear" w:color="auto" w:fill="auto"/>
            <w:vAlign w:val="center"/>
            <w:hideMark/>
          </w:tcPr>
          <w:p w14:paraId="6F2BBB2D"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BANCA NATIONALA A ROMANIEI</w:t>
            </w:r>
          </w:p>
        </w:tc>
      </w:tr>
      <w:tr w:rsidR="004A1E2B" w:rsidRPr="001467CC" w14:paraId="6D1CB8BC" w14:textId="77777777" w:rsidTr="00B06C32">
        <w:trPr>
          <w:trHeight w:val="272"/>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751AE0A9"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6</w:t>
            </w:r>
          </w:p>
        </w:tc>
        <w:tc>
          <w:tcPr>
            <w:tcW w:w="3640" w:type="dxa"/>
            <w:tcBorders>
              <w:top w:val="nil"/>
              <w:left w:val="nil"/>
              <w:bottom w:val="single" w:sz="8" w:space="0" w:color="auto"/>
              <w:right w:val="single" w:sz="8" w:space="0" w:color="auto"/>
            </w:tcBorders>
            <w:shd w:val="clear" w:color="auto" w:fill="auto"/>
            <w:vAlign w:val="center"/>
            <w:hideMark/>
          </w:tcPr>
          <w:p w14:paraId="23299B06"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CONPET SA</w:t>
            </w:r>
          </w:p>
        </w:tc>
        <w:tc>
          <w:tcPr>
            <w:tcW w:w="3400" w:type="dxa"/>
            <w:tcBorders>
              <w:top w:val="nil"/>
              <w:left w:val="nil"/>
              <w:bottom w:val="single" w:sz="8" w:space="0" w:color="auto"/>
              <w:right w:val="single" w:sz="8" w:space="0" w:color="auto"/>
            </w:tcBorders>
            <w:shd w:val="clear" w:color="auto" w:fill="auto"/>
            <w:vAlign w:val="center"/>
            <w:hideMark/>
          </w:tcPr>
          <w:p w14:paraId="0E2CF0C0"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3B657353" w14:textId="77777777" w:rsidTr="00B06C32">
        <w:trPr>
          <w:trHeight w:val="405"/>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01E7ECFA"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7</w:t>
            </w:r>
          </w:p>
        </w:tc>
        <w:tc>
          <w:tcPr>
            <w:tcW w:w="3640" w:type="dxa"/>
            <w:tcBorders>
              <w:top w:val="nil"/>
              <w:left w:val="nil"/>
              <w:bottom w:val="single" w:sz="8" w:space="0" w:color="auto"/>
              <w:right w:val="single" w:sz="8" w:space="0" w:color="auto"/>
            </w:tcBorders>
            <w:shd w:val="clear" w:color="auto" w:fill="auto"/>
            <w:vAlign w:val="center"/>
            <w:hideMark/>
          </w:tcPr>
          <w:p w14:paraId="397ADCDB"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SNGN "ROMGAZ" SA-FILIALA DE ÎNMAGAZINARE GAZE NATURALE DEPOGAZ PLOIEŞTI SRL</w:t>
            </w:r>
          </w:p>
        </w:tc>
        <w:tc>
          <w:tcPr>
            <w:tcW w:w="3400" w:type="dxa"/>
            <w:tcBorders>
              <w:top w:val="nil"/>
              <w:left w:val="nil"/>
              <w:bottom w:val="single" w:sz="8" w:space="0" w:color="auto"/>
              <w:right w:val="single" w:sz="8" w:space="0" w:color="auto"/>
            </w:tcBorders>
            <w:shd w:val="clear" w:color="auto" w:fill="auto"/>
            <w:vAlign w:val="center"/>
            <w:hideMark/>
          </w:tcPr>
          <w:p w14:paraId="39779394"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3818F87D" w14:textId="77777777" w:rsidTr="00B06C32">
        <w:trPr>
          <w:trHeight w:val="269"/>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3E0619D5"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8</w:t>
            </w:r>
          </w:p>
        </w:tc>
        <w:tc>
          <w:tcPr>
            <w:tcW w:w="3640" w:type="dxa"/>
            <w:tcBorders>
              <w:top w:val="nil"/>
              <w:left w:val="nil"/>
              <w:bottom w:val="single" w:sz="8" w:space="0" w:color="auto"/>
              <w:right w:val="single" w:sz="8" w:space="0" w:color="auto"/>
            </w:tcBorders>
            <w:shd w:val="clear" w:color="auto" w:fill="auto"/>
            <w:vAlign w:val="center"/>
            <w:hideMark/>
          </w:tcPr>
          <w:p w14:paraId="0B19E2B0"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ELECTROCENTRALE GRUP S.A.</w:t>
            </w:r>
          </w:p>
        </w:tc>
        <w:tc>
          <w:tcPr>
            <w:tcW w:w="3400" w:type="dxa"/>
            <w:tcBorders>
              <w:top w:val="nil"/>
              <w:left w:val="nil"/>
              <w:bottom w:val="single" w:sz="8" w:space="0" w:color="auto"/>
              <w:right w:val="single" w:sz="8" w:space="0" w:color="auto"/>
            </w:tcBorders>
            <w:shd w:val="clear" w:color="auto" w:fill="auto"/>
            <w:vAlign w:val="center"/>
            <w:hideMark/>
          </w:tcPr>
          <w:p w14:paraId="7B1A3966"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1C804993" w14:textId="77777777" w:rsidTr="00B06C32">
        <w:trPr>
          <w:trHeight w:val="400"/>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3101A5C2"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9</w:t>
            </w:r>
          </w:p>
        </w:tc>
        <w:tc>
          <w:tcPr>
            <w:tcW w:w="3640" w:type="dxa"/>
            <w:tcBorders>
              <w:top w:val="nil"/>
              <w:left w:val="nil"/>
              <w:bottom w:val="single" w:sz="8" w:space="0" w:color="auto"/>
              <w:right w:val="single" w:sz="8" w:space="0" w:color="auto"/>
            </w:tcBorders>
            <w:shd w:val="clear" w:color="auto" w:fill="auto"/>
            <w:vAlign w:val="center"/>
            <w:hideMark/>
          </w:tcPr>
          <w:p w14:paraId="2740CEDB"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SOCIETATEA DE PRODUCERE A ENERGIEI ELECTRICE IN HIDROCENTRALE " HIDROELECTRICA" S.A.</w:t>
            </w:r>
          </w:p>
        </w:tc>
        <w:tc>
          <w:tcPr>
            <w:tcW w:w="3400" w:type="dxa"/>
            <w:tcBorders>
              <w:top w:val="nil"/>
              <w:left w:val="nil"/>
              <w:bottom w:val="single" w:sz="8" w:space="0" w:color="auto"/>
              <w:right w:val="single" w:sz="8" w:space="0" w:color="auto"/>
            </w:tcBorders>
            <w:shd w:val="clear" w:color="auto" w:fill="auto"/>
            <w:vAlign w:val="center"/>
            <w:hideMark/>
          </w:tcPr>
          <w:p w14:paraId="7C4C770E"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716AA2D8" w14:textId="77777777" w:rsidTr="00B06C32">
        <w:trPr>
          <w:trHeight w:val="123"/>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00935F0D"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10</w:t>
            </w:r>
          </w:p>
        </w:tc>
        <w:tc>
          <w:tcPr>
            <w:tcW w:w="3640" w:type="dxa"/>
            <w:tcBorders>
              <w:top w:val="nil"/>
              <w:left w:val="nil"/>
              <w:bottom w:val="single" w:sz="8" w:space="0" w:color="auto"/>
              <w:right w:val="single" w:sz="8" w:space="0" w:color="auto"/>
            </w:tcBorders>
            <w:shd w:val="clear" w:color="auto" w:fill="auto"/>
            <w:vAlign w:val="center"/>
            <w:hideMark/>
          </w:tcPr>
          <w:p w14:paraId="30B2369D"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MEDSERV MIN S.A.</w:t>
            </w:r>
          </w:p>
        </w:tc>
        <w:tc>
          <w:tcPr>
            <w:tcW w:w="3400" w:type="dxa"/>
            <w:tcBorders>
              <w:top w:val="nil"/>
              <w:left w:val="nil"/>
              <w:bottom w:val="single" w:sz="8" w:space="0" w:color="auto"/>
              <w:right w:val="single" w:sz="8" w:space="0" w:color="auto"/>
            </w:tcBorders>
            <w:shd w:val="clear" w:color="auto" w:fill="auto"/>
            <w:vAlign w:val="center"/>
            <w:hideMark/>
          </w:tcPr>
          <w:p w14:paraId="3FE5E40D"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5E0BA8B1" w14:textId="77777777" w:rsidTr="00B06C32">
        <w:trPr>
          <w:trHeight w:val="324"/>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22F63201"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11</w:t>
            </w:r>
          </w:p>
        </w:tc>
        <w:tc>
          <w:tcPr>
            <w:tcW w:w="3640" w:type="dxa"/>
            <w:tcBorders>
              <w:top w:val="nil"/>
              <w:left w:val="nil"/>
              <w:bottom w:val="single" w:sz="8" w:space="0" w:color="auto"/>
              <w:right w:val="single" w:sz="8" w:space="0" w:color="auto"/>
            </w:tcBorders>
            <w:shd w:val="clear" w:color="auto" w:fill="auto"/>
            <w:vAlign w:val="center"/>
            <w:hideMark/>
          </w:tcPr>
          <w:p w14:paraId="59E91BD1"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SOCIETATEA NATIONALA "NUCLEARELECTRICA" SA</w:t>
            </w:r>
          </w:p>
        </w:tc>
        <w:tc>
          <w:tcPr>
            <w:tcW w:w="3400" w:type="dxa"/>
            <w:tcBorders>
              <w:top w:val="nil"/>
              <w:left w:val="nil"/>
              <w:bottom w:val="single" w:sz="8" w:space="0" w:color="auto"/>
              <w:right w:val="single" w:sz="8" w:space="0" w:color="auto"/>
            </w:tcBorders>
            <w:shd w:val="clear" w:color="auto" w:fill="auto"/>
            <w:vAlign w:val="center"/>
            <w:hideMark/>
          </w:tcPr>
          <w:p w14:paraId="5EDCF764"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7356580D" w14:textId="77777777" w:rsidTr="00B06C32">
        <w:trPr>
          <w:trHeight w:val="259"/>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005387B0"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12</w:t>
            </w:r>
          </w:p>
        </w:tc>
        <w:tc>
          <w:tcPr>
            <w:tcW w:w="3640" w:type="dxa"/>
            <w:tcBorders>
              <w:top w:val="nil"/>
              <w:left w:val="nil"/>
              <w:bottom w:val="single" w:sz="8" w:space="0" w:color="auto"/>
              <w:right w:val="single" w:sz="8" w:space="0" w:color="auto"/>
            </w:tcBorders>
            <w:shd w:val="clear" w:color="auto" w:fill="auto"/>
            <w:vAlign w:val="center"/>
            <w:hideMark/>
          </w:tcPr>
          <w:p w14:paraId="1F89284E"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OIL TERMINAL SA</w:t>
            </w:r>
          </w:p>
        </w:tc>
        <w:tc>
          <w:tcPr>
            <w:tcW w:w="3400" w:type="dxa"/>
            <w:tcBorders>
              <w:top w:val="nil"/>
              <w:left w:val="nil"/>
              <w:bottom w:val="single" w:sz="8" w:space="0" w:color="auto"/>
              <w:right w:val="single" w:sz="8" w:space="0" w:color="auto"/>
            </w:tcBorders>
            <w:shd w:val="clear" w:color="auto" w:fill="auto"/>
            <w:vAlign w:val="center"/>
            <w:hideMark/>
          </w:tcPr>
          <w:p w14:paraId="6BDC091C"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4EE675ED" w14:textId="77777777" w:rsidTr="00B06C32">
        <w:trPr>
          <w:trHeight w:val="276"/>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527CE5AE"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13</w:t>
            </w:r>
          </w:p>
        </w:tc>
        <w:tc>
          <w:tcPr>
            <w:tcW w:w="3640" w:type="dxa"/>
            <w:tcBorders>
              <w:top w:val="nil"/>
              <w:left w:val="nil"/>
              <w:bottom w:val="single" w:sz="8" w:space="0" w:color="auto"/>
              <w:right w:val="single" w:sz="8" w:space="0" w:color="auto"/>
            </w:tcBorders>
            <w:shd w:val="clear" w:color="auto" w:fill="auto"/>
            <w:vAlign w:val="center"/>
            <w:hideMark/>
          </w:tcPr>
          <w:p w14:paraId="1C8420E6"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SOCIETATEA DE ADMINISTRARE A PARTICIPAŢIILOR ÎN ENERGIE S.A.</w:t>
            </w:r>
          </w:p>
        </w:tc>
        <w:tc>
          <w:tcPr>
            <w:tcW w:w="3400" w:type="dxa"/>
            <w:tcBorders>
              <w:top w:val="nil"/>
              <w:left w:val="nil"/>
              <w:bottom w:val="single" w:sz="8" w:space="0" w:color="auto"/>
              <w:right w:val="single" w:sz="8" w:space="0" w:color="auto"/>
            </w:tcBorders>
            <w:shd w:val="clear" w:color="auto" w:fill="auto"/>
            <w:vAlign w:val="center"/>
            <w:hideMark/>
          </w:tcPr>
          <w:p w14:paraId="13EEE57C"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0AFCED42" w14:textId="77777777" w:rsidTr="00B06C32">
        <w:trPr>
          <w:trHeight w:val="283"/>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7A46E18E"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14</w:t>
            </w:r>
          </w:p>
        </w:tc>
        <w:tc>
          <w:tcPr>
            <w:tcW w:w="3640" w:type="dxa"/>
            <w:tcBorders>
              <w:top w:val="nil"/>
              <w:left w:val="nil"/>
              <w:bottom w:val="single" w:sz="8" w:space="0" w:color="auto"/>
              <w:right w:val="single" w:sz="8" w:space="0" w:color="auto"/>
            </w:tcBorders>
            <w:shd w:val="clear" w:color="auto" w:fill="auto"/>
            <w:vAlign w:val="center"/>
            <w:hideMark/>
          </w:tcPr>
          <w:p w14:paraId="0C480A56"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UZINA TERMOELECTRICĂ MIDIA SA</w:t>
            </w:r>
          </w:p>
        </w:tc>
        <w:tc>
          <w:tcPr>
            <w:tcW w:w="3400" w:type="dxa"/>
            <w:tcBorders>
              <w:top w:val="nil"/>
              <w:left w:val="nil"/>
              <w:bottom w:val="single" w:sz="8" w:space="0" w:color="auto"/>
              <w:right w:val="single" w:sz="8" w:space="0" w:color="auto"/>
            </w:tcBorders>
            <w:shd w:val="clear" w:color="auto" w:fill="auto"/>
            <w:vAlign w:val="center"/>
            <w:hideMark/>
          </w:tcPr>
          <w:p w14:paraId="42C1418F"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ENERGIEI</w:t>
            </w:r>
          </w:p>
        </w:tc>
      </w:tr>
      <w:tr w:rsidR="004A1E2B" w:rsidRPr="001467CC" w14:paraId="34176E62" w14:textId="77777777" w:rsidTr="00B06C32">
        <w:trPr>
          <w:trHeight w:val="401"/>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2426BC71"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15</w:t>
            </w:r>
          </w:p>
        </w:tc>
        <w:tc>
          <w:tcPr>
            <w:tcW w:w="3640" w:type="dxa"/>
            <w:tcBorders>
              <w:top w:val="nil"/>
              <w:left w:val="nil"/>
              <w:bottom w:val="single" w:sz="8" w:space="0" w:color="auto"/>
              <w:right w:val="single" w:sz="8" w:space="0" w:color="auto"/>
            </w:tcBorders>
            <w:shd w:val="clear" w:color="auto" w:fill="auto"/>
            <w:vAlign w:val="center"/>
            <w:hideMark/>
          </w:tcPr>
          <w:p w14:paraId="7D180F1E"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B.T.T.PERLA COSTINESTIULUI S.A.</w:t>
            </w:r>
          </w:p>
        </w:tc>
        <w:tc>
          <w:tcPr>
            <w:tcW w:w="3400" w:type="dxa"/>
            <w:tcBorders>
              <w:top w:val="nil"/>
              <w:left w:val="nil"/>
              <w:bottom w:val="single" w:sz="8" w:space="0" w:color="auto"/>
              <w:right w:val="single" w:sz="8" w:space="0" w:color="auto"/>
            </w:tcBorders>
            <w:shd w:val="clear" w:color="auto" w:fill="auto"/>
            <w:vAlign w:val="center"/>
            <w:hideMark/>
          </w:tcPr>
          <w:p w14:paraId="1F08EA76"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ECONOMIEI, ANTREPRENORIATULUI SI TURISMULUI</w:t>
            </w:r>
          </w:p>
        </w:tc>
      </w:tr>
      <w:tr w:rsidR="004A1E2B" w:rsidRPr="001467CC" w14:paraId="7FFD74FD" w14:textId="77777777" w:rsidTr="00B06C32">
        <w:trPr>
          <w:trHeight w:val="548"/>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01F28451"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16</w:t>
            </w:r>
          </w:p>
        </w:tc>
        <w:tc>
          <w:tcPr>
            <w:tcW w:w="3640" w:type="dxa"/>
            <w:tcBorders>
              <w:top w:val="nil"/>
              <w:left w:val="nil"/>
              <w:bottom w:val="single" w:sz="8" w:space="0" w:color="auto"/>
              <w:right w:val="single" w:sz="8" w:space="0" w:color="auto"/>
            </w:tcBorders>
            <w:shd w:val="clear" w:color="auto" w:fill="auto"/>
            <w:vAlign w:val="center"/>
            <w:hideMark/>
          </w:tcPr>
          <w:p w14:paraId="4FCABB51"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COMPANIA NAŢIONALĂ "ADMINISTRAŢIA PORTURILOR MARITIME" - S.A.CONSTANŢA</w:t>
            </w:r>
          </w:p>
        </w:tc>
        <w:tc>
          <w:tcPr>
            <w:tcW w:w="3400" w:type="dxa"/>
            <w:tcBorders>
              <w:top w:val="nil"/>
              <w:left w:val="nil"/>
              <w:bottom w:val="single" w:sz="8" w:space="0" w:color="auto"/>
              <w:right w:val="single" w:sz="8" w:space="0" w:color="auto"/>
            </w:tcBorders>
            <w:shd w:val="clear" w:color="auto" w:fill="auto"/>
            <w:vAlign w:val="center"/>
            <w:hideMark/>
          </w:tcPr>
          <w:p w14:paraId="2F80EC7E"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TRANSPORTURILOR ȘI INFRASTRUCTURII</w:t>
            </w:r>
          </w:p>
        </w:tc>
      </w:tr>
      <w:tr w:rsidR="004A1E2B" w:rsidRPr="001467CC" w14:paraId="19CC18DA" w14:textId="77777777" w:rsidTr="00B06C32">
        <w:trPr>
          <w:trHeight w:val="414"/>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397DF83C"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17</w:t>
            </w:r>
          </w:p>
        </w:tc>
        <w:tc>
          <w:tcPr>
            <w:tcW w:w="3640" w:type="dxa"/>
            <w:tcBorders>
              <w:top w:val="nil"/>
              <w:left w:val="nil"/>
              <w:bottom w:val="single" w:sz="8" w:space="0" w:color="auto"/>
              <w:right w:val="single" w:sz="8" w:space="0" w:color="auto"/>
            </w:tcBorders>
            <w:shd w:val="clear" w:color="auto" w:fill="auto"/>
            <w:vAlign w:val="center"/>
            <w:hideMark/>
          </w:tcPr>
          <w:p w14:paraId="30A8E60C"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COMPANIA NAŢIONALĂ ADMINISTRAŢIA CANALELOR NAVIGABILE SA</w:t>
            </w:r>
          </w:p>
        </w:tc>
        <w:tc>
          <w:tcPr>
            <w:tcW w:w="3400" w:type="dxa"/>
            <w:tcBorders>
              <w:top w:val="nil"/>
              <w:left w:val="nil"/>
              <w:bottom w:val="single" w:sz="8" w:space="0" w:color="auto"/>
              <w:right w:val="single" w:sz="8" w:space="0" w:color="auto"/>
            </w:tcBorders>
            <w:shd w:val="clear" w:color="auto" w:fill="auto"/>
            <w:vAlign w:val="center"/>
            <w:hideMark/>
          </w:tcPr>
          <w:p w14:paraId="5A8E2270"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TRANSPORTURILOR ȘI INFRASTRUCTURII</w:t>
            </w:r>
          </w:p>
        </w:tc>
      </w:tr>
      <w:tr w:rsidR="004A1E2B" w:rsidRPr="001467CC" w14:paraId="0855CB66" w14:textId="77777777" w:rsidTr="00B06C32">
        <w:trPr>
          <w:trHeight w:val="265"/>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45E227D4"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18</w:t>
            </w:r>
          </w:p>
        </w:tc>
        <w:tc>
          <w:tcPr>
            <w:tcW w:w="3640" w:type="dxa"/>
            <w:tcBorders>
              <w:top w:val="nil"/>
              <w:left w:val="nil"/>
              <w:bottom w:val="single" w:sz="8" w:space="0" w:color="auto"/>
              <w:right w:val="single" w:sz="8" w:space="0" w:color="auto"/>
            </w:tcBorders>
            <w:shd w:val="clear" w:color="auto" w:fill="auto"/>
            <w:vAlign w:val="center"/>
            <w:hideMark/>
          </w:tcPr>
          <w:p w14:paraId="101ED88B"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ROMFILATELIA SA</w:t>
            </w:r>
          </w:p>
        </w:tc>
        <w:tc>
          <w:tcPr>
            <w:tcW w:w="3400" w:type="dxa"/>
            <w:tcBorders>
              <w:top w:val="nil"/>
              <w:left w:val="nil"/>
              <w:bottom w:val="single" w:sz="8" w:space="0" w:color="auto"/>
              <w:right w:val="single" w:sz="8" w:space="0" w:color="auto"/>
            </w:tcBorders>
            <w:shd w:val="clear" w:color="auto" w:fill="auto"/>
            <w:vAlign w:val="center"/>
            <w:hideMark/>
          </w:tcPr>
          <w:p w14:paraId="0A660EE3"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TRANSPORTURILOR ȘI INFRASTRUCTURII</w:t>
            </w:r>
          </w:p>
        </w:tc>
      </w:tr>
      <w:tr w:rsidR="004A1E2B" w:rsidRPr="001467CC" w14:paraId="6180CD0E" w14:textId="77777777" w:rsidTr="00B06C32">
        <w:trPr>
          <w:trHeight w:val="427"/>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5E68AC9E"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19</w:t>
            </w:r>
          </w:p>
        </w:tc>
        <w:tc>
          <w:tcPr>
            <w:tcW w:w="3640" w:type="dxa"/>
            <w:tcBorders>
              <w:top w:val="nil"/>
              <w:left w:val="nil"/>
              <w:bottom w:val="single" w:sz="8" w:space="0" w:color="auto"/>
              <w:right w:val="single" w:sz="8" w:space="0" w:color="auto"/>
            </w:tcBorders>
            <w:shd w:val="clear" w:color="auto" w:fill="auto"/>
            <w:vAlign w:val="center"/>
            <w:hideMark/>
          </w:tcPr>
          <w:p w14:paraId="70B31BD0"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REGISTRUL AUTO ROMAN RA</w:t>
            </w:r>
          </w:p>
        </w:tc>
        <w:tc>
          <w:tcPr>
            <w:tcW w:w="3400" w:type="dxa"/>
            <w:tcBorders>
              <w:top w:val="nil"/>
              <w:left w:val="nil"/>
              <w:bottom w:val="single" w:sz="8" w:space="0" w:color="auto"/>
              <w:right w:val="single" w:sz="8" w:space="0" w:color="auto"/>
            </w:tcBorders>
            <w:shd w:val="clear" w:color="auto" w:fill="auto"/>
            <w:vAlign w:val="center"/>
            <w:hideMark/>
          </w:tcPr>
          <w:p w14:paraId="223EE26A"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TRANSPORTURILOR ȘI INFRASTRUCTURII</w:t>
            </w:r>
          </w:p>
        </w:tc>
      </w:tr>
      <w:tr w:rsidR="004A1E2B" w:rsidRPr="001467CC" w14:paraId="2A78CA9B" w14:textId="77777777" w:rsidTr="00B06C32">
        <w:trPr>
          <w:trHeight w:val="249"/>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2547760B"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20</w:t>
            </w:r>
          </w:p>
        </w:tc>
        <w:tc>
          <w:tcPr>
            <w:tcW w:w="3640" w:type="dxa"/>
            <w:tcBorders>
              <w:top w:val="nil"/>
              <w:left w:val="nil"/>
              <w:bottom w:val="single" w:sz="8" w:space="0" w:color="auto"/>
              <w:right w:val="single" w:sz="8" w:space="0" w:color="auto"/>
            </w:tcBorders>
            <w:shd w:val="clear" w:color="auto" w:fill="auto"/>
            <w:vAlign w:val="center"/>
            <w:hideMark/>
          </w:tcPr>
          <w:p w14:paraId="41884350"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RO-ARMYSECURITY SA</w:t>
            </w:r>
          </w:p>
        </w:tc>
        <w:tc>
          <w:tcPr>
            <w:tcW w:w="3400" w:type="dxa"/>
            <w:tcBorders>
              <w:top w:val="nil"/>
              <w:left w:val="nil"/>
              <w:bottom w:val="single" w:sz="8" w:space="0" w:color="auto"/>
              <w:right w:val="single" w:sz="8" w:space="0" w:color="auto"/>
            </w:tcBorders>
            <w:shd w:val="clear" w:color="auto" w:fill="auto"/>
            <w:vAlign w:val="center"/>
            <w:hideMark/>
          </w:tcPr>
          <w:p w14:paraId="238B1A33"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APĂRĂRII NAȚIONALE</w:t>
            </w:r>
          </w:p>
        </w:tc>
      </w:tr>
      <w:tr w:rsidR="004A1E2B" w:rsidRPr="001467CC" w14:paraId="73E13B56" w14:textId="77777777" w:rsidTr="00B06C32">
        <w:trPr>
          <w:trHeight w:val="267"/>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770158FF"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21</w:t>
            </w:r>
          </w:p>
        </w:tc>
        <w:tc>
          <w:tcPr>
            <w:tcW w:w="3640" w:type="dxa"/>
            <w:tcBorders>
              <w:top w:val="nil"/>
              <w:left w:val="nil"/>
              <w:bottom w:val="single" w:sz="8" w:space="0" w:color="auto"/>
              <w:right w:val="single" w:sz="8" w:space="0" w:color="auto"/>
            </w:tcBorders>
            <w:shd w:val="clear" w:color="auto" w:fill="auto"/>
            <w:vAlign w:val="center"/>
            <w:hideMark/>
          </w:tcPr>
          <w:p w14:paraId="09C033CA"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EDITURA DIDACTICĂ ŞI PEDAGOGICĂ S.A.</w:t>
            </w:r>
          </w:p>
        </w:tc>
        <w:tc>
          <w:tcPr>
            <w:tcW w:w="3400" w:type="dxa"/>
            <w:tcBorders>
              <w:top w:val="nil"/>
              <w:left w:val="nil"/>
              <w:bottom w:val="single" w:sz="8" w:space="0" w:color="auto"/>
              <w:right w:val="single" w:sz="8" w:space="0" w:color="auto"/>
            </w:tcBorders>
            <w:shd w:val="clear" w:color="auto" w:fill="auto"/>
            <w:vAlign w:val="center"/>
            <w:hideMark/>
          </w:tcPr>
          <w:p w14:paraId="2D8F7751"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EDUCATIEI</w:t>
            </w:r>
          </w:p>
        </w:tc>
      </w:tr>
      <w:tr w:rsidR="004A1E2B" w:rsidRPr="001467CC" w14:paraId="615F823B" w14:textId="77777777" w:rsidTr="00B06C32">
        <w:trPr>
          <w:trHeight w:val="271"/>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22AE3513"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22</w:t>
            </w:r>
          </w:p>
        </w:tc>
        <w:tc>
          <w:tcPr>
            <w:tcW w:w="3640" w:type="dxa"/>
            <w:tcBorders>
              <w:top w:val="nil"/>
              <w:left w:val="nil"/>
              <w:bottom w:val="single" w:sz="8" w:space="0" w:color="auto"/>
              <w:right w:val="single" w:sz="8" w:space="0" w:color="auto"/>
            </w:tcBorders>
            <w:shd w:val="clear" w:color="auto" w:fill="auto"/>
            <w:vAlign w:val="center"/>
            <w:hideMark/>
          </w:tcPr>
          <w:p w14:paraId="1036E3DC"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CENTRUL DE TEHNOLOGII,INVENTICA SI BUSINESS SA</w:t>
            </w:r>
          </w:p>
        </w:tc>
        <w:tc>
          <w:tcPr>
            <w:tcW w:w="3400" w:type="dxa"/>
            <w:tcBorders>
              <w:top w:val="nil"/>
              <w:left w:val="nil"/>
              <w:bottom w:val="single" w:sz="8" w:space="0" w:color="auto"/>
              <w:right w:val="single" w:sz="8" w:space="0" w:color="auto"/>
            </w:tcBorders>
            <w:shd w:val="clear" w:color="auto" w:fill="auto"/>
            <w:vAlign w:val="center"/>
            <w:hideMark/>
          </w:tcPr>
          <w:p w14:paraId="24D02D1D"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EDUCATIEI</w:t>
            </w:r>
          </w:p>
        </w:tc>
      </w:tr>
      <w:tr w:rsidR="004A1E2B" w:rsidRPr="001467CC" w14:paraId="03C2150F" w14:textId="77777777" w:rsidTr="00B06C32">
        <w:trPr>
          <w:trHeight w:val="544"/>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28140354"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23</w:t>
            </w:r>
          </w:p>
        </w:tc>
        <w:tc>
          <w:tcPr>
            <w:tcW w:w="3640" w:type="dxa"/>
            <w:tcBorders>
              <w:top w:val="nil"/>
              <w:left w:val="nil"/>
              <w:bottom w:val="single" w:sz="8" w:space="0" w:color="auto"/>
              <w:right w:val="single" w:sz="8" w:space="0" w:color="auto"/>
            </w:tcBorders>
            <w:shd w:val="clear" w:color="auto" w:fill="auto"/>
            <w:vAlign w:val="center"/>
            <w:hideMark/>
          </w:tcPr>
          <w:p w14:paraId="22D06497"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ICTCM INSTITUTUL DE CERCETARE SI PROIECTARE TEHNOLOGICA PENTRU CONSTRUCTII MASINI SA</w:t>
            </w:r>
          </w:p>
        </w:tc>
        <w:tc>
          <w:tcPr>
            <w:tcW w:w="3400" w:type="dxa"/>
            <w:tcBorders>
              <w:top w:val="nil"/>
              <w:left w:val="nil"/>
              <w:bottom w:val="single" w:sz="8" w:space="0" w:color="auto"/>
              <w:right w:val="single" w:sz="8" w:space="0" w:color="auto"/>
            </w:tcBorders>
            <w:shd w:val="clear" w:color="auto" w:fill="auto"/>
            <w:vAlign w:val="center"/>
            <w:hideMark/>
          </w:tcPr>
          <w:p w14:paraId="2FAFBBBD"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AUTORITATEA PENTRU ADMINISTRAREA ACTIVELOR STATULUI</w:t>
            </w:r>
          </w:p>
        </w:tc>
      </w:tr>
      <w:tr w:rsidR="004A1E2B" w:rsidRPr="001467CC" w14:paraId="40D4E877" w14:textId="77777777" w:rsidTr="00B06C32">
        <w:trPr>
          <w:trHeight w:val="255"/>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47AE9A4B"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24</w:t>
            </w:r>
          </w:p>
        </w:tc>
        <w:tc>
          <w:tcPr>
            <w:tcW w:w="3640" w:type="dxa"/>
            <w:tcBorders>
              <w:top w:val="nil"/>
              <w:left w:val="nil"/>
              <w:bottom w:val="single" w:sz="8" w:space="0" w:color="auto"/>
              <w:right w:val="single" w:sz="8" w:space="0" w:color="auto"/>
            </w:tcBorders>
            <w:shd w:val="clear" w:color="auto" w:fill="auto"/>
            <w:vAlign w:val="center"/>
            <w:hideMark/>
          </w:tcPr>
          <w:p w14:paraId="106211C8"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COMALEX S.A.</w:t>
            </w:r>
          </w:p>
        </w:tc>
        <w:tc>
          <w:tcPr>
            <w:tcW w:w="3400" w:type="dxa"/>
            <w:tcBorders>
              <w:top w:val="nil"/>
              <w:left w:val="nil"/>
              <w:bottom w:val="single" w:sz="8" w:space="0" w:color="auto"/>
              <w:right w:val="single" w:sz="8" w:space="0" w:color="auto"/>
            </w:tcBorders>
            <w:shd w:val="clear" w:color="auto" w:fill="auto"/>
            <w:vAlign w:val="center"/>
            <w:hideMark/>
          </w:tcPr>
          <w:p w14:paraId="1D50D3AA"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AUTORITATEA PENTRU ADMINISTRAREA ACTIVELOR STATULUI</w:t>
            </w:r>
          </w:p>
        </w:tc>
      </w:tr>
      <w:tr w:rsidR="004A1E2B" w:rsidRPr="001467CC" w14:paraId="729CDD4F" w14:textId="77777777" w:rsidTr="00B06C32">
        <w:trPr>
          <w:trHeight w:val="275"/>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42E6F08D"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25</w:t>
            </w:r>
          </w:p>
        </w:tc>
        <w:tc>
          <w:tcPr>
            <w:tcW w:w="3640" w:type="dxa"/>
            <w:tcBorders>
              <w:top w:val="nil"/>
              <w:left w:val="nil"/>
              <w:bottom w:val="single" w:sz="8" w:space="0" w:color="auto"/>
              <w:right w:val="single" w:sz="8" w:space="0" w:color="auto"/>
            </w:tcBorders>
            <w:shd w:val="clear" w:color="auto" w:fill="auto"/>
            <w:vAlign w:val="center"/>
            <w:hideMark/>
          </w:tcPr>
          <w:p w14:paraId="30A72A77"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COMPANIA NATIONALA UNIFARM SA</w:t>
            </w:r>
          </w:p>
        </w:tc>
        <w:tc>
          <w:tcPr>
            <w:tcW w:w="3400" w:type="dxa"/>
            <w:tcBorders>
              <w:top w:val="nil"/>
              <w:left w:val="nil"/>
              <w:bottom w:val="single" w:sz="8" w:space="0" w:color="auto"/>
              <w:right w:val="single" w:sz="8" w:space="0" w:color="auto"/>
            </w:tcBorders>
            <w:shd w:val="clear" w:color="auto" w:fill="auto"/>
            <w:vAlign w:val="center"/>
            <w:hideMark/>
          </w:tcPr>
          <w:p w14:paraId="1814D786"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SANATATII</w:t>
            </w:r>
          </w:p>
        </w:tc>
      </w:tr>
      <w:tr w:rsidR="004A1E2B" w:rsidRPr="001467CC" w14:paraId="05CD3B94" w14:textId="77777777" w:rsidTr="00B06C32">
        <w:trPr>
          <w:trHeight w:val="264"/>
        </w:trPr>
        <w:tc>
          <w:tcPr>
            <w:tcW w:w="699" w:type="dxa"/>
            <w:tcBorders>
              <w:top w:val="nil"/>
              <w:left w:val="single" w:sz="8" w:space="0" w:color="auto"/>
              <w:bottom w:val="single" w:sz="8" w:space="0" w:color="auto"/>
              <w:right w:val="single" w:sz="8" w:space="0" w:color="auto"/>
            </w:tcBorders>
            <w:shd w:val="clear" w:color="000000" w:fill="5B9BD5"/>
            <w:noWrap/>
            <w:vAlign w:val="center"/>
            <w:hideMark/>
          </w:tcPr>
          <w:p w14:paraId="06E3114B" w14:textId="77777777" w:rsidR="004A1E2B" w:rsidRPr="001467CC" w:rsidRDefault="004A1E2B" w:rsidP="00B06C32">
            <w:pPr>
              <w:spacing w:before="0" w:after="0" w:line="240" w:lineRule="auto"/>
              <w:jc w:val="right"/>
              <w:rPr>
                <w:rFonts w:asciiTheme="majorHAnsi" w:eastAsia="Times New Roman" w:hAnsiTheme="majorHAnsi" w:cstheme="majorHAnsi"/>
                <w:color w:val="FFFFFF"/>
                <w:sz w:val="16"/>
                <w:szCs w:val="16"/>
                <w:lang w:eastAsia="ro-RO"/>
              </w:rPr>
            </w:pPr>
            <w:r w:rsidRPr="001467CC">
              <w:rPr>
                <w:rFonts w:asciiTheme="majorHAnsi" w:eastAsia="Times New Roman" w:hAnsiTheme="majorHAnsi" w:cstheme="majorHAnsi"/>
                <w:color w:val="FFFFFF" w:themeColor="background1"/>
                <w:sz w:val="16"/>
                <w:szCs w:val="16"/>
                <w:lang w:eastAsia="ro-RO"/>
              </w:rPr>
              <w:t>26</w:t>
            </w:r>
          </w:p>
        </w:tc>
        <w:tc>
          <w:tcPr>
            <w:tcW w:w="3640" w:type="dxa"/>
            <w:tcBorders>
              <w:top w:val="nil"/>
              <w:left w:val="nil"/>
              <w:bottom w:val="single" w:sz="8" w:space="0" w:color="auto"/>
              <w:right w:val="single" w:sz="8" w:space="0" w:color="auto"/>
            </w:tcBorders>
            <w:shd w:val="clear" w:color="auto" w:fill="auto"/>
            <w:vAlign w:val="center"/>
            <w:hideMark/>
          </w:tcPr>
          <w:p w14:paraId="501B2BCF"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REGIA NATIONALA A PADURILOR ROMSILVA RA</w:t>
            </w:r>
          </w:p>
        </w:tc>
        <w:tc>
          <w:tcPr>
            <w:tcW w:w="3400" w:type="dxa"/>
            <w:tcBorders>
              <w:top w:val="nil"/>
              <w:left w:val="nil"/>
              <w:bottom w:val="single" w:sz="8" w:space="0" w:color="auto"/>
              <w:right w:val="single" w:sz="8" w:space="0" w:color="auto"/>
            </w:tcBorders>
            <w:shd w:val="clear" w:color="auto" w:fill="auto"/>
            <w:vAlign w:val="center"/>
            <w:hideMark/>
          </w:tcPr>
          <w:p w14:paraId="3D6C7B91" w14:textId="77777777" w:rsidR="004A1E2B" w:rsidRPr="001467CC" w:rsidRDefault="004A1E2B" w:rsidP="00B06C32">
            <w:pPr>
              <w:spacing w:before="0" w:after="0" w:line="240" w:lineRule="auto"/>
              <w:rPr>
                <w:rFonts w:asciiTheme="majorHAnsi" w:eastAsia="Times New Roman" w:hAnsiTheme="majorHAnsi" w:cstheme="majorHAnsi"/>
                <w:color w:val="000000"/>
                <w:sz w:val="16"/>
                <w:szCs w:val="16"/>
                <w:lang w:eastAsia="ro-RO"/>
              </w:rPr>
            </w:pPr>
            <w:r w:rsidRPr="001467CC">
              <w:rPr>
                <w:rFonts w:asciiTheme="majorHAnsi" w:eastAsia="Times New Roman" w:hAnsiTheme="majorHAnsi" w:cstheme="majorHAnsi"/>
                <w:color w:val="000000"/>
                <w:sz w:val="16"/>
                <w:szCs w:val="16"/>
                <w:lang w:eastAsia="ro-RO"/>
              </w:rPr>
              <w:t>MINISTERUL MEDIULUI, APELOR ȘI PĂDURILOR</w:t>
            </w:r>
          </w:p>
        </w:tc>
      </w:tr>
    </w:tbl>
    <w:p w14:paraId="2D733E56" w14:textId="77777777" w:rsidR="004A1E2B" w:rsidRPr="001467CC" w:rsidRDefault="004A1E2B" w:rsidP="004A1E2B">
      <w:pPr>
        <w:pStyle w:val="NoSpacing"/>
        <w:spacing w:line="276" w:lineRule="auto"/>
        <w:ind w:left="644"/>
        <w:rPr>
          <w:rFonts w:asciiTheme="majorHAnsi" w:hAnsiTheme="majorHAnsi" w:cstheme="majorHAnsi"/>
        </w:rPr>
      </w:pPr>
    </w:p>
    <w:p w14:paraId="392B2B1B" w14:textId="77777777" w:rsidR="004A1E2B" w:rsidRPr="001467CC" w:rsidRDefault="004A1E2B" w:rsidP="004A1E2B">
      <w:pPr>
        <w:pStyle w:val="NoSpacing"/>
        <w:spacing w:line="276" w:lineRule="auto"/>
        <w:ind w:left="284"/>
        <w:jc w:val="both"/>
        <w:rPr>
          <w:rFonts w:asciiTheme="majorHAnsi" w:hAnsiTheme="majorHAnsi" w:cstheme="majorHAnsi"/>
        </w:rPr>
      </w:pPr>
      <w:r w:rsidRPr="001467CC">
        <w:rPr>
          <w:rFonts w:asciiTheme="majorHAnsi" w:hAnsiTheme="majorHAnsi" w:cstheme="majorHAnsi"/>
        </w:rPr>
        <w:t xml:space="preserve">b) </w:t>
      </w:r>
      <w:r w:rsidRPr="001467CC">
        <w:rPr>
          <w:rFonts w:asciiTheme="majorHAnsi" w:hAnsiTheme="majorHAnsi" w:cstheme="majorHAnsi"/>
          <w:b/>
        </w:rPr>
        <w:t>5 ÎPC au finalizat</w:t>
      </w:r>
      <w:r w:rsidRPr="001467CC">
        <w:rPr>
          <w:rFonts w:asciiTheme="majorHAnsi" w:hAnsiTheme="majorHAnsi" w:cstheme="majorHAnsi"/>
        </w:rPr>
        <w:t xml:space="preserve"> procesul de selecție a administratorilor/membrilor CA/CS </w:t>
      </w:r>
      <w:r w:rsidRPr="001467CC">
        <w:rPr>
          <w:rFonts w:asciiTheme="majorHAnsi" w:hAnsiTheme="majorHAnsi" w:cstheme="majorHAnsi"/>
          <w:b/>
        </w:rPr>
        <w:t>dar nu au declanșat</w:t>
      </w:r>
      <w:r w:rsidRPr="001467CC">
        <w:rPr>
          <w:rFonts w:asciiTheme="majorHAnsi" w:hAnsiTheme="majorHAnsi" w:cstheme="majorHAnsi"/>
        </w:rPr>
        <w:t xml:space="preserve"> procesul de selecție al directorilor/membrilor directoratului;</w:t>
      </w:r>
    </w:p>
    <w:p w14:paraId="482177AF" w14:textId="77777777" w:rsidR="004A1E2B" w:rsidRPr="001467CC" w:rsidRDefault="004A1E2B" w:rsidP="00F17378">
      <w:pPr>
        <w:pStyle w:val="NoSpacing"/>
        <w:numPr>
          <w:ilvl w:val="0"/>
          <w:numId w:val="29"/>
        </w:numPr>
        <w:spacing w:line="276" w:lineRule="auto"/>
        <w:ind w:left="284" w:hanging="284"/>
        <w:jc w:val="both"/>
        <w:rPr>
          <w:rFonts w:asciiTheme="majorHAnsi" w:hAnsiTheme="majorHAnsi" w:cstheme="majorHAnsi"/>
        </w:rPr>
      </w:pPr>
      <w:r w:rsidRPr="001467CC">
        <w:rPr>
          <w:rFonts w:asciiTheme="majorHAnsi" w:hAnsiTheme="majorHAnsi" w:cstheme="majorHAnsi"/>
          <w:b/>
        </w:rPr>
        <w:t>61 ÎPC se află în diferite stadii de aplicare</w:t>
      </w:r>
      <w:r w:rsidRPr="001467CC">
        <w:rPr>
          <w:rFonts w:asciiTheme="majorHAnsi" w:hAnsiTheme="majorHAnsi" w:cstheme="majorHAnsi"/>
        </w:rPr>
        <w:t xml:space="preserve"> a procesului de selecție a administratorilor/membrilor CA/CS , din care: </w:t>
      </w:r>
    </w:p>
    <w:p w14:paraId="46F95C5A" w14:textId="77777777" w:rsidR="004A1E2B" w:rsidRPr="001467CC" w:rsidRDefault="004A1E2B" w:rsidP="004A1E2B">
      <w:pPr>
        <w:pStyle w:val="NoSpacing"/>
        <w:spacing w:line="276" w:lineRule="auto"/>
        <w:ind w:left="284"/>
        <w:jc w:val="both"/>
        <w:rPr>
          <w:rFonts w:asciiTheme="majorHAnsi" w:hAnsiTheme="majorHAnsi" w:cstheme="majorHAnsi"/>
        </w:rPr>
      </w:pPr>
      <w:r w:rsidRPr="001467CC">
        <w:rPr>
          <w:rFonts w:asciiTheme="majorHAnsi" w:hAnsiTheme="majorHAnsi" w:cstheme="majorHAnsi"/>
        </w:rPr>
        <w:t xml:space="preserve">a) </w:t>
      </w:r>
      <w:r w:rsidRPr="001467CC">
        <w:rPr>
          <w:rFonts w:asciiTheme="majorHAnsi" w:hAnsiTheme="majorHAnsi" w:cstheme="majorHAnsi"/>
          <w:b/>
        </w:rPr>
        <w:t xml:space="preserve">8 ÎPC au reluat </w:t>
      </w:r>
      <w:r w:rsidRPr="001467CC">
        <w:rPr>
          <w:rFonts w:asciiTheme="majorHAnsi" w:hAnsiTheme="majorHAnsi" w:cstheme="majorHAnsi"/>
        </w:rPr>
        <w:t xml:space="preserve">procesul de selecție a administratorilor/membrilor CA/CS, ca urmare a expirării contractelor de mandat, a revocării din funcție de către organele statutare și a demisiei membrilor din CA/CS; </w:t>
      </w:r>
    </w:p>
    <w:p w14:paraId="6758B21F" w14:textId="77777777" w:rsidR="004A1E2B" w:rsidRPr="001467CC" w:rsidRDefault="004A1E2B" w:rsidP="004A1E2B">
      <w:pPr>
        <w:pStyle w:val="NoSpacing"/>
        <w:spacing w:line="276" w:lineRule="auto"/>
        <w:ind w:left="284"/>
        <w:jc w:val="both"/>
        <w:rPr>
          <w:rFonts w:asciiTheme="majorHAnsi" w:hAnsiTheme="majorHAnsi" w:cstheme="majorHAnsi"/>
        </w:rPr>
      </w:pPr>
      <w:r w:rsidRPr="001467CC">
        <w:rPr>
          <w:rFonts w:asciiTheme="majorHAnsi" w:hAnsiTheme="majorHAnsi" w:cstheme="majorHAnsi"/>
        </w:rPr>
        <w:t xml:space="preserve">b) </w:t>
      </w:r>
      <w:r w:rsidRPr="001467CC">
        <w:rPr>
          <w:rFonts w:asciiTheme="majorHAnsi" w:hAnsiTheme="majorHAnsi" w:cstheme="majorHAnsi"/>
          <w:b/>
        </w:rPr>
        <w:t>53 ÎPC au declanșat pentru prima dată</w:t>
      </w:r>
      <w:r w:rsidRPr="001467CC">
        <w:rPr>
          <w:rFonts w:asciiTheme="majorHAnsi" w:hAnsiTheme="majorHAnsi" w:cstheme="majorHAnsi"/>
        </w:rPr>
        <w:t xml:space="preserve"> procesul de selecție a administratorilor/ membrilor CA/CS, procesul fiind declanșat la:</w:t>
      </w:r>
    </w:p>
    <w:p w14:paraId="50B64FC3" w14:textId="77777777" w:rsidR="004A1E2B" w:rsidRPr="001467CC" w:rsidRDefault="004A1E2B" w:rsidP="00F17378">
      <w:pPr>
        <w:pStyle w:val="NoSpacing"/>
        <w:numPr>
          <w:ilvl w:val="0"/>
          <w:numId w:val="30"/>
        </w:numPr>
        <w:spacing w:line="276" w:lineRule="auto"/>
        <w:ind w:left="567" w:hanging="284"/>
        <w:jc w:val="both"/>
        <w:rPr>
          <w:rFonts w:asciiTheme="majorHAnsi" w:hAnsiTheme="majorHAnsi" w:cstheme="majorHAnsi"/>
        </w:rPr>
      </w:pPr>
      <w:r w:rsidRPr="004075A6">
        <w:rPr>
          <w:rFonts w:asciiTheme="majorHAnsi" w:hAnsiTheme="majorHAnsi" w:cstheme="majorHAnsi"/>
        </w:rPr>
        <w:t xml:space="preserve">33 </w:t>
      </w:r>
      <w:r w:rsidRPr="001467CC">
        <w:rPr>
          <w:rFonts w:asciiTheme="majorHAnsi" w:hAnsiTheme="majorHAnsi" w:cstheme="majorHAnsi"/>
        </w:rPr>
        <w:t xml:space="preserve">ÎPC </w:t>
      </w:r>
      <w:r w:rsidRPr="001467CC">
        <w:rPr>
          <w:rFonts w:asciiTheme="majorHAnsi" w:hAnsiTheme="majorHAnsi" w:cstheme="majorHAnsi"/>
          <w:u w:val="single"/>
        </w:rPr>
        <w:t>de către APTC</w:t>
      </w:r>
      <w:r w:rsidRPr="001467CC">
        <w:rPr>
          <w:rFonts w:asciiTheme="majorHAnsi" w:hAnsiTheme="majorHAnsi" w:cstheme="majorHAnsi"/>
        </w:rPr>
        <w:t>;</w:t>
      </w:r>
    </w:p>
    <w:p w14:paraId="7D1ED962" w14:textId="77777777" w:rsidR="004A1E2B" w:rsidRPr="001467CC" w:rsidRDefault="004A1E2B" w:rsidP="00F17378">
      <w:pPr>
        <w:pStyle w:val="NoSpacing"/>
        <w:numPr>
          <w:ilvl w:val="0"/>
          <w:numId w:val="30"/>
        </w:numPr>
        <w:spacing w:line="276" w:lineRule="auto"/>
        <w:ind w:left="567" w:hanging="284"/>
        <w:jc w:val="both"/>
        <w:rPr>
          <w:rFonts w:asciiTheme="majorHAnsi" w:hAnsiTheme="majorHAnsi" w:cstheme="majorHAnsi"/>
        </w:rPr>
      </w:pPr>
      <w:r w:rsidRPr="001467CC">
        <w:rPr>
          <w:rFonts w:asciiTheme="majorHAnsi" w:hAnsiTheme="majorHAnsi" w:cstheme="majorHAnsi"/>
        </w:rPr>
        <w:t xml:space="preserve">20 ÎPC </w:t>
      </w:r>
      <w:r w:rsidRPr="001467CC">
        <w:rPr>
          <w:rFonts w:asciiTheme="majorHAnsi" w:hAnsiTheme="majorHAnsi" w:cstheme="majorHAnsi"/>
          <w:u w:val="single"/>
        </w:rPr>
        <w:t>de către  întreprinderea publică</w:t>
      </w:r>
      <w:r w:rsidRPr="001467CC">
        <w:rPr>
          <w:rFonts w:asciiTheme="majorHAnsi" w:hAnsiTheme="majorHAnsi" w:cstheme="majorHAnsi"/>
        </w:rPr>
        <w:t xml:space="preserve"> care deţine o participaţie majoritară sau care îi asigură controlul.</w:t>
      </w:r>
    </w:p>
    <w:p w14:paraId="238673DF" w14:textId="77777777" w:rsidR="004A1E2B" w:rsidRPr="001467CC" w:rsidRDefault="004A1E2B" w:rsidP="004A1E2B">
      <w:pPr>
        <w:pStyle w:val="NoSpacing"/>
        <w:spacing w:line="276" w:lineRule="auto"/>
        <w:ind w:left="284"/>
        <w:jc w:val="both"/>
        <w:rPr>
          <w:rFonts w:asciiTheme="majorHAnsi" w:hAnsiTheme="majorHAnsi" w:cstheme="majorHAnsi"/>
        </w:rPr>
      </w:pPr>
      <w:r w:rsidRPr="001467CC">
        <w:rPr>
          <w:rFonts w:asciiTheme="majorHAnsi" w:hAnsiTheme="majorHAnsi" w:cstheme="majorHAnsi"/>
        </w:rPr>
        <w:t xml:space="preserve">Din totalul de 53 ÎPC care au declanșat pentru prima dată procesul de selecție a CA/CS, pentru </w:t>
      </w:r>
      <w:r w:rsidRPr="001467CC">
        <w:rPr>
          <w:rFonts w:asciiTheme="majorHAnsi" w:hAnsiTheme="majorHAnsi" w:cstheme="majorHAnsi"/>
          <w:b/>
        </w:rPr>
        <w:t>47 societăți numirile se fac prin Hotărâre A.G.A. și</w:t>
      </w:r>
      <w:r w:rsidRPr="001467CC">
        <w:rPr>
          <w:rFonts w:asciiTheme="majorHAnsi" w:hAnsiTheme="majorHAnsi" w:cstheme="majorHAnsi"/>
        </w:rPr>
        <w:t xml:space="preserve"> pentru </w:t>
      </w:r>
      <w:r w:rsidRPr="001467CC">
        <w:rPr>
          <w:rFonts w:asciiTheme="majorHAnsi" w:hAnsiTheme="majorHAnsi" w:cstheme="majorHAnsi"/>
          <w:b/>
          <w:bCs/>
        </w:rPr>
        <w:t>6</w:t>
      </w:r>
      <w:r w:rsidRPr="001467CC">
        <w:rPr>
          <w:rFonts w:asciiTheme="majorHAnsi" w:hAnsiTheme="majorHAnsi" w:cstheme="majorHAnsi"/>
          <w:b/>
        </w:rPr>
        <w:t xml:space="preserve"> regii autonome prin Ordin al conducătorului APTC.</w:t>
      </w:r>
      <w:r w:rsidRPr="001467CC">
        <w:rPr>
          <w:rFonts w:asciiTheme="majorHAnsi" w:hAnsiTheme="majorHAnsi" w:cstheme="majorHAnsi"/>
        </w:rPr>
        <w:t xml:space="preserve"> </w:t>
      </w:r>
    </w:p>
    <w:p w14:paraId="781801CF" w14:textId="77777777" w:rsidR="004A1E2B" w:rsidRPr="001467CC" w:rsidRDefault="004A1E2B" w:rsidP="00F17378">
      <w:pPr>
        <w:pStyle w:val="NoSpacing"/>
        <w:numPr>
          <w:ilvl w:val="0"/>
          <w:numId w:val="29"/>
        </w:numPr>
        <w:spacing w:line="276" w:lineRule="auto"/>
        <w:ind w:left="284" w:hanging="284"/>
        <w:jc w:val="both"/>
        <w:rPr>
          <w:rFonts w:asciiTheme="majorHAnsi" w:hAnsiTheme="majorHAnsi" w:cstheme="majorHAnsi"/>
        </w:rPr>
      </w:pPr>
      <w:r w:rsidRPr="001467CC">
        <w:rPr>
          <w:rFonts w:asciiTheme="majorHAnsi" w:hAnsiTheme="majorHAnsi" w:cstheme="majorHAnsi"/>
          <w:b/>
        </w:rPr>
        <w:t>50 ÎPC nu au declanșat</w:t>
      </w:r>
      <w:r w:rsidRPr="001467CC">
        <w:rPr>
          <w:rFonts w:asciiTheme="majorHAnsi" w:hAnsiTheme="majorHAnsi" w:cstheme="majorHAnsi"/>
        </w:rPr>
        <w:t xml:space="preserve"> procedura de selecție a administratorilor/membrilor CA/CS;</w:t>
      </w:r>
    </w:p>
    <w:p w14:paraId="4C0A4D32" w14:textId="77777777" w:rsidR="004A1E2B" w:rsidRPr="001467CC" w:rsidRDefault="004A1E2B" w:rsidP="00F17378">
      <w:pPr>
        <w:pStyle w:val="NoSpacing"/>
        <w:numPr>
          <w:ilvl w:val="0"/>
          <w:numId w:val="29"/>
        </w:numPr>
        <w:spacing w:line="276" w:lineRule="auto"/>
        <w:ind w:left="284" w:hanging="284"/>
        <w:jc w:val="both"/>
        <w:rPr>
          <w:rFonts w:asciiTheme="majorHAnsi" w:hAnsiTheme="majorHAnsi" w:cstheme="majorHAnsi"/>
        </w:rPr>
      </w:pPr>
      <w:r w:rsidRPr="001467CC">
        <w:rPr>
          <w:rFonts w:asciiTheme="majorHAnsi" w:hAnsiTheme="majorHAnsi" w:cstheme="majorHAnsi"/>
          <w:b/>
        </w:rPr>
        <w:t>9 ÎPC pentru care APTC</w:t>
      </w:r>
      <w:r w:rsidRPr="001467CC">
        <w:rPr>
          <w:rFonts w:asciiTheme="majorHAnsi" w:hAnsiTheme="majorHAnsi" w:cstheme="majorHAnsi"/>
        </w:rPr>
        <w:t xml:space="preserve"> nu și-au îndeplinit obligațiile de raportare. </w:t>
      </w:r>
    </w:p>
    <w:p w14:paraId="42405FB0" w14:textId="77777777" w:rsidR="004A1E2B" w:rsidRPr="001467CC" w:rsidRDefault="004A1E2B" w:rsidP="004A1E2B">
      <w:pPr>
        <w:spacing w:after="0"/>
        <w:jc w:val="both"/>
        <w:rPr>
          <w:rFonts w:asciiTheme="majorHAnsi" w:hAnsiTheme="majorHAnsi" w:cstheme="majorHAnsi"/>
          <w:lang w:val="en-US"/>
        </w:rPr>
      </w:pPr>
      <w:r w:rsidRPr="001467CC">
        <w:rPr>
          <w:rFonts w:asciiTheme="majorHAnsi" w:hAnsiTheme="majorHAnsi" w:cstheme="majorHAnsi"/>
        </w:rPr>
        <w:t>Faţă de anul 2019, se constată atât o crestere  a numărului întreprinderilor publice care aplica prevederile O.U.G. nr.109</w:t>
      </w:r>
      <w:r w:rsidRPr="001467CC">
        <w:rPr>
          <w:rFonts w:asciiTheme="majorHAnsi" w:hAnsiTheme="majorHAnsi" w:cstheme="majorHAnsi"/>
          <w:lang w:val="en-US"/>
        </w:rPr>
        <w:t xml:space="preserve">/2011 </w:t>
      </w:r>
      <w:r w:rsidRPr="001467CC">
        <w:rPr>
          <w:rFonts w:asciiTheme="majorHAnsi" w:hAnsiTheme="majorHAnsi" w:cstheme="majorHAnsi"/>
        </w:rPr>
        <w:t>de la 146 de ÎPC la 151 ÎPC si în același timp se observă o crestere cu 3%</w:t>
      </w:r>
      <w:r w:rsidRPr="001467CC">
        <w:rPr>
          <w:rFonts w:asciiTheme="majorHAnsi" w:hAnsiTheme="majorHAnsi" w:cstheme="majorHAnsi"/>
          <w:lang w:val="en-US"/>
        </w:rPr>
        <w:t xml:space="preserve"> a num</w:t>
      </w:r>
      <w:r w:rsidRPr="001467CC">
        <w:rPr>
          <w:rFonts w:asciiTheme="majorHAnsi" w:hAnsiTheme="majorHAnsi" w:cstheme="majorHAnsi"/>
        </w:rPr>
        <w:t xml:space="preserve">ărului </w:t>
      </w:r>
      <w:r w:rsidRPr="001467CC">
        <w:rPr>
          <w:rFonts w:asciiTheme="majorHAnsi" w:hAnsiTheme="majorHAnsi" w:cstheme="majorHAnsi"/>
          <w:lang w:val="en-US"/>
        </w:rPr>
        <w:t>întreprinderilor publice aflate în diferite stadii de aplicare a procesului de selecție conform prevederilor O.U.G. nr.109/2011, de la 59 ÎPC la 61 ÎPC.</w:t>
      </w:r>
    </w:p>
    <w:p w14:paraId="3AA3CBB0" w14:textId="3CC8064C"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rPr>
        <w:t>Responsabilii cu realizarea procesului de selecție, cât și forma juridică de organizare a ÎPC la care s-a declanșat procesul de selecție a administratorilor, sunt prezentate în cele 2 grafice de mai jos:</w:t>
      </w:r>
    </w:p>
    <w:p w14:paraId="38C9F63B" w14:textId="7417C83A" w:rsidR="004A1E2B" w:rsidRPr="001467CC" w:rsidRDefault="004A1E2B" w:rsidP="004A1E2B">
      <w:pPr>
        <w:pStyle w:val="NoSpacing"/>
        <w:spacing w:line="276" w:lineRule="auto"/>
        <w:jc w:val="both"/>
        <w:rPr>
          <w:rFonts w:asciiTheme="majorHAnsi" w:hAnsiTheme="majorHAnsi" w:cstheme="majorHAnsi"/>
        </w:rPr>
      </w:pPr>
    </w:p>
    <w:p w14:paraId="36F8005D"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noProof/>
          <w:lang w:val="en-US"/>
        </w:rPr>
        <w:drawing>
          <wp:inline distT="0" distB="0" distL="0" distR="0" wp14:anchorId="370F9BD6" wp14:editId="5257C01D">
            <wp:extent cx="5964555" cy="2080895"/>
            <wp:effectExtent l="0" t="0" r="0" b="0"/>
            <wp:docPr id="12" name="Chart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32BBD6" w14:textId="77777777" w:rsidR="004A1E2B" w:rsidRPr="001467CC" w:rsidRDefault="004A1E2B" w:rsidP="004A1E2B">
      <w:pPr>
        <w:pStyle w:val="NoSpacing"/>
        <w:spacing w:line="276" w:lineRule="auto"/>
        <w:jc w:val="both"/>
        <w:rPr>
          <w:rFonts w:asciiTheme="majorHAnsi" w:hAnsiTheme="majorHAnsi" w:cstheme="majorHAnsi"/>
        </w:rPr>
      </w:pPr>
    </w:p>
    <w:p w14:paraId="314E5E96" w14:textId="268F6B33" w:rsidR="004075A6" w:rsidRDefault="004075A6" w:rsidP="004A1E2B">
      <w:pPr>
        <w:pStyle w:val="NoSpacing"/>
        <w:spacing w:line="276" w:lineRule="auto"/>
        <w:jc w:val="both"/>
        <w:rPr>
          <w:rFonts w:asciiTheme="majorHAnsi" w:hAnsiTheme="majorHAnsi" w:cstheme="majorHAnsi"/>
        </w:rPr>
      </w:pPr>
      <w:r w:rsidRPr="001467CC">
        <w:rPr>
          <w:rFonts w:asciiTheme="majorHAnsi" w:hAnsiTheme="majorHAnsi" w:cstheme="majorHAnsi"/>
          <w:noProof/>
          <w:lang w:val="en-US"/>
        </w:rPr>
        <w:drawing>
          <wp:inline distT="0" distB="0" distL="0" distR="0" wp14:anchorId="67103AAC" wp14:editId="74A7CCB2">
            <wp:extent cx="3514725" cy="2724150"/>
            <wp:effectExtent l="0" t="0" r="0" b="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53DF9F" w14:textId="018DD115" w:rsidR="004A1E2B" w:rsidRPr="004075A6" w:rsidRDefault="004A1E2B" w:rsidP="004075A6">
      <w:pPr>
        <w:pStyle w:val="NoSpacing"/>
        <w:spacing w:line="276" w:lineRule="auto"/>
        <w:jc w:val="both"/>
        <w:rPr>
          <w:rFonts w:asciiTheme="majorHAnsi" w:hAnsiTheme="majorHAnsi" w:cstheme="majorHAnsi"/>
          <w:b/>
        </w:rPr>
      </w:pPr>
      <w:r w:rsidRPr="001467CC">
        <w:rPr>
          <w:rFonts w:asciiTheme="majorHAnsi" w:hAnsiTheme="majorHAnsi" w:cstheme="majorHAnsi"/>
        </w:rPr>
        <w:t xml:space="preserve">Astfel, se constată că majoritatea ÎPC care au declanșat procesul de selecție sunt organizate ca </w:t>
      </w:r>
      <w:r w:rsidRPr="001467CC">
        <w:rPr>
          <w:rFonts w:asciiTheme="majorHAnsi" w:hAnsiTheme="majorHAnsi" w:cstheme="majorHAnsi"/>
          <w:b/>
        </w:rPr>
        <w:t>societăți pe acțiuni</w:t>
      </w:r>
      <w:r w:rsidRPr="001467CC">
        <w:rPr>
          <w:rFonts w:asciiTheme="majorHAnsi" w:hAnsiTheme="majorHAnsi" w:cstheme="majorHAnsi"/>
        </w:rPr>
        <w:t xml:space="preserve"> și majoritatea proceselor se desfășoară </w:t>
      </w:r>
      <w:r w:rsidRPr="001467CC">
        <w:rPr>
          <w:rFonts w:asciiTheme="majorHAnsi" w:hAnsiTheme="majorHAnsi" w:cstheme="majorHAnsi"/>
          <w:b/>
        </w:rPr>
        <w:t>prin comisia de selecție organizată la nivelul APTC.</w:t>
      </w:r>
    </w:p>
    <w:p w14:paraId="43B6866B" w14:textId="77777777" w:rsidR="004A1E2B" w:rsidRPr="001467CC" w:rsidRDefault="004A1E2B" w:rsidP="004A1E2B">
      <w:pPr>
        <w:spacing w:after="0"/>
        <w:jc w:val="both"/>
        <w:rPr>
          <w:rFonts w:asciiTheme="majorHAnsi" w:hAnsiTheme="majorHAnsi" w:cstheme="majorHAnsi"/>
          <w:lang w:val="en-US"/>
        </w:rPr>
      </w:pPr>
      <w:r w:rsidRPr="001467CC">
        <w:rPr>
          <w:rFonts w:asciiTheme="majorHAnsi" w:hAnsiTheme="majorHAnsi" w:cstheme="majorHAnsi"/>
          <w:lang w:val="en-US"/>
        </w:rPr>
        <w:t>Stadiul</w:t>
      </w:r>
      <w:r w:rsidRPr="001467CC">
        <w:rPr>
          <w:rFonts w:asciiTheme="majorHAnsi" w:hAnsiTheme="majorHAnsi" w:cstheme="majorHAnsi"/>
        </w:rPr>
        <w:t xml:space="preserve"> etapelor </w:t>
      </w:r>
      <w:r w:rsidRPr="001467CC">
        <w:rPr>
          <w:rFonts w:asciiTheme="majorHAnsi" w:hAnsiTheme="majorHAnsi" w:cstheme="majorHAnsi"/>
          <w:lang w:val="en-US"/>
        </w:rPr>
        <w:t>procesului de selecție a administratorilor/membrilor CA/CS și a directorilor/membrilor directoratului, la cele 61</w:t>
      </w:r>
      <w:r w:rsidRPr="001467CC">
        <w:rPr>
          <w:rFonts w:asciiTheme="majorHAnsi" w:hAnsiTheme="majorHAnsi" w:cstheme="majorHAnsi"/>
          <w:b/>
          <w:lang w:val="en-US"/>
        </w:rPr>
        <w:t xml:space="preserve"> </w:t>
      </w:r>
      <w:r w:rsidRPr="001467CC">
        <w:rPr>
          <w:rFonts w:asciiTheme="majorHAnsi" w:hAnsiTheme="majorHAnsi" w:cstheme="majorHAnsi"/>
          <w:lang w:val="en-US"/>
        </w:rPr>
        <w:t xml:space="preserve">ÎPC pentru care procesul de selecție a fost demarat sau reluat ca urmare a vacantării unor posturi, dar </w:t>
      </w:r>
      <w:r w:rsidRPr="001467CC">
        <w:rPr>
          <w:rFonts w:asciiTheme="majorHAnsi" w:hAnsiTheme="majorHAnsi" w:cstheme="majorHAnsi"/>
          <w:b/>
          <w:bCs/>
          <w:lang w:val="en-US"/>
        </w:rPr>
        <w:t>nu a fost finalizat</w:t>
      </w:r>
      <w:r w:rsidRPr="001467CC">
        <w:rPr>
          <w:rFonts w:asciiTheme="majorHAnsi" w:hAnsiTheme="majorHAnsi" w:cstheme="majorHAnsi"/>
          <w:lang w:val="en-US"/>
        </w:rPr>
        <w:t>, se prezint</w:t>
      </w:r>
      <w:r w:rsidRPr="001467CC">
        <w:rPr>
          <w:rFonts w:asciiTheme="majorHAnsi" w:hAnsiTheme="majorHAnsi" w:cstheme="majorHAnsi"/>
        </w:rPr>
        <w:t>ă conform graficului</w:t>
      </w:r>
      <w:r w:rsidRPr="001467CC">
        <w:rPr>
          <w:rFonts w:asciiTheme="majorHAnsi" w:hAnsiTheme="majorHAnsi" w:cstheme="majorHAnsi"/>
          <w:lang w:val="en-US"/>
        </w:rPr>
        <w:t>:</w:t>
      </w:r>
    </w:p>
    <w:p w14:paraId="4C4F7E6E" w14:textId="77777777" w:rsidR="004A1E2B" w:rsidRPr="001467CC" w:rsidRDefault="004A1E2B" w:rsidP="004A1E2B">
      <w:pPr>
        <w:pStyle w:val="NoSpacing"/>
        <w:spacing w:line="276" w:lineRule="auto"/>
        <w:jc w:val="both"/>
        <w:rPr>
          <w:rFonts w:asciiTheme="majorHAnsi" w:hAnsiTheme="majorHAnsi" w:cstheme="majorHAnsi"/>
        </w:rPr>
      </w:pPr>
      <w:r w:rsidRPr="001467CC">
        <w:rPr>
          <w:rFonts w:asciiTheme="majorHAnsi" w:hAnsiTheme="majorHAnsi" w:cstheme="majorHAnsi"/>
          <w:noProof/>
          <w:lang w:val="en-US"/>
        </w:rPr>
        <w:drawing>
          <wp:inline distT="0" distB="0" distL="0" distR="0" wp14:anchorId="0B680A69" wp14:editId="31641585">
            <wp:extent cx="5740017" cy="2988000"/>
            <wp:effectExtent l="0" t="0" r="0" b="3175"/>
            <wp:docPr id="17" name="Chart 1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B21E5A" w14:textId="6B33074E" w:rsidR="004A1E2B" w:rsidRPr="001467CC" w:rsidRDefault="004A1E2B" w:rsidP="004A1E2B">
      <w:pPr>
        <w:pStyle w:val="NoSpacing"/>
        <w:spacing w:line="276" w:lineRule="auto"/>
        <w:jc w:val="both"/>
        <w:rPr>
          <w:rFonts w:asciiTheme="majorHAnsi" w:hAnsiTheme="majorHAnsi" w:cstheme="majorHAnsi"/>
        </w:rPr>
      </w:pPr>
      <w:bookmarkStart w:id="79" w:name="_Hlk87524974"/>
      <w:r w:rsidRPr="001467CC">
        <w:rPr>
          <w:rFonts w:asciiTheme="majorHAnsi" w:hAnsiTheme="majorHAnsi" w:cstheme="majorHAnsi"/>
        </w:rPr>
        <w:t>Ca urmare a analizei, se constată că din cele 61 ÎPC  majoritatea întreprinderilor publice centrale se afla in stadi</w:t>
      </w:r>
      <w:r w:rsidR="004075A6">
        <w:rPr>
          <w:rFonts w:asciiTheme="majorHAnsi" w:hAnsiTheme="majorHAnsi" w:cstheme="majorHAnsi"/>
        </w:rPr>
        <w:t>i</w:t>
      </w:r>
      <w:r w:rsidRPr="001467CC">
        <w:rPr>
          <w:rFonts w:asciiTheme="majorHAnsi" w:hAnsiTheme="majorHAnsi" w:cstheme="majorHAnsi"/>
        </w:rPr>
        <w:t xml:space="preserve"> incipiente ale procesului de selecţie conform prevederilor O.U.G. nr.109/2011, respectiv la elaborarea componentei iniţiale a planului de selecţie.</w:t>
      </w:r>
    </w:p>
    <w:bookmarkEnd w:id="79"/>
    <w:p w14:paraId="6C4314BF" w14:textId="77777777" w:rsidR="004A1E2B" w:rsidRPr="001467CC" w:rsidRDefault="004A1E2B" w:rsidP="004A1E2B">
      <w:pPr>
        <w:spacing w:after="0"/>
        <w:jc w:val="both"/>
        <w:rPr>
          <w:rFonts w:asciiTheme="majorHAnsi" w:hAnsiTheme="majorHAnsi" w:cstheme="majorHAnsi"/>
        </w:rPr>
      </w:pPr>
      <w:r w:rsidRPr="001467CC">
        <w:rPr>
          <w:rFonts w:asciiTheme="majorHAnsi" w:hAnsiTheme="majorHAnsi" w:cstheme="majorHAnsi"/>
        </w:rPr>
        <w:t>Ca urmare a nerespectării termenului legal prevăzut de legislația în vigoare pentru declanșarea/finalizarea procesului de selecție la ÎPC, precum si pentru netransmiterea formularului S1100 de catre APTC, a fost transmisă către organele abilitate o situație a acestora,  în vederea aplicării sancţiunilor prevăzute de Ordonanţa de urgenţă a Guvernului nr. 109/2011.</w:t>
      </w:r>
    </w:p>
    <w:p w14:paraId="647FCA1D" w14:textId="77777777" w:rsidR="004A1E2B" w:rsidRPr="001467CC" w:rsidRDefault="004A1E2B" w:rsidP="004A1E2B">
      <w:pPr>
        <w:spacing w:before="0" w:after="0"/>
        <w:jc w:val="both"/>
        <w:rPr>
          <w:rFonts w:asciiTheme="majorHAnsi" w:hAnsiTheme="majorHAnsi" w:cstheme="majorHAnsi"/>
        </w:rPr>
      </w:pPr>
      <w:r w:rsidRPr="001467CC">
        <w:rPr>
          <w:rFonts w:asciiTheme="majorHAnsi" w:hAnsiTheme="majorHAnsi" w:cstheme="majorHAnsi"/>
        </w:rPr>
        <w:t>În cazul ÎPC pentru care APTC nu a transmis formularul S1100, nu ne putem pronunța cu privire la respectarea prevederilor O.U.G. nr.109/2011.</w:t>
      </w:r>
    </w:p>
    <w:p w14:paraId="15799593" w14:textId="77777777" w:rsidR="004A1E2B" w:rsidRPr="001467CC" w:rsidRDefault="004A1E2B" w:rsidP="004A1E2B">
      <w:pPr>
        <w:spacing w:before="0" w:after="0"/>
        <w:jc w:val="both"/>
        <w:rPr>
          <w:rFonts w:asciiTheme="majorHAnsi" w:hAnsiTheme="majorHAnsi" w:cstheme="majorHAnsi"/>
        </w:rPr>
      </w:pPr>
    </w:p>
    <w:p w14:paraId="746BF67A" w14:textId="626346E1" w:rsidR="004A1E2B" w:rsidRPr="001467CC" w:rsidRDefault="004A1E2B" w:rsidP="004A1E2B">
      <w:pPr>
        <w:pStyle w:val="ListParagraph"/>
        <w:ind w:left="0" w:right="-144"/>
        <w:jc w:val="both"/>
        <w:outlineLvl w:val="2"/>
        <w:rPr>
          <w:rFonts w:asciiTheme="majorHAnsi" w:hAnsiTheme="majorHAnsi" w:cstheme="majorHAnsi"/>
          <w:b/>
          <w:bCs/>
          <w:color w:val="0F6FC6" w:themeColor="accent1"/>
          <w:sz w:val="28"/>
          <w:szCs w:val="28"/>
        </w:rPr>
      </w:pPr>
      <w:bookmarkStart w:id="80" w:name="_Toc16518171"/>
      <w:bookmarkStart w:id="81" w:name="_Toc490763516"/>
      <w:bookmarkStart w:id="82" w:name="_Toc490763697"/>
      <w:bookmarkStart w:id="83" w:name="_Toc490763865"/>
      <w:bookmarkStart w:id="84" w:name="_Toc87875957"/>
      <w:r>
        <w:rPr>
          <w:rFonts w:asciiTheme="majorHAnsi" w:hAnsiTheme="majorHAnsi" w:cstheme="majorHAnsi"/>
          <w:b/>
          <w:bCs/>
          <w:color w:val="0F6FC6" w:themeColor="accent1"/>
          <w:sz w:val="28"/>
          <w:szCs w:val="28"/>
        </w:rPr>
        <w:t>4</w:t>
      </w:r>
      <w:r w:rsidRPr="001467CC">
        <w:rPr>
          <w:rFonts w:asciiTheme="majorHAnsi" w:hAnsiTheme="majorHAnsi" w:cstheme="majorHAnsi"/>
          <w:b/>
          <w:bCs/>
          <w:color w:val="0F6FC6" w:themeColor="accent1"/>
          <w:sz w:val="28"/>
          <w:szCs w:val="28"/>
        </w:rPr>
        <w:t>.3 – Stadiul îndeplinirii indicatorilor cheie de performanță din contractele de mandat ale administratorilor și directorilor/directoratului la întreprinderile publice centrale</w:t>
      </w:r>
      <w:bookmarkEnd w:id="80"/>
      <w:bookmarkEnd w:id="84"/>
      <w:r w:rsidRPr="001467CC">
        <w:rPr>
          <w:rFonts w:asciiTheme="majorHAnsi" w:hAnsiTheme="majorHAnsi" w:cstheme="majorHAnsi"/>
          <w:b/>
          <w:bCs/>
          <w:color w:val="0F6FC6" w:themeColor="accent1"/>
          <w:sz w:val="28"/>
          <w:szCs w:val="28"/>
        </w:rPr>
        <w:t xml:space="preserve"> </w:t>
      </w:r>
      <w:bookmarkEnd w:id="81"/>
      <w:bookmarkEnd w:id="82"/>
      <w:bookmarkEnd w:id="83"/>
    </w:p>
    <w:p w14:paraId="6CDB8A7F" w14:textId="77777777" w:rsidR="004A1E2B" w:rsidRPr="001467CC" w:rsidRDefault="004A1E2B" w:rsidP="004A1E2B">
      <w:pPr>
        <w:jc w:val="both"/>
        <w:rPr>
          <w:rFonts w:asciiTheme="majorHAnsi" w:hAnsiTheme="majorHAnsi" w:cstheme="majorHAnsi"/>
        </w:rPr>
      </w:pPr>
      <w:r w:rsidRPr="001467CC">
        <w:rPr>
          <w:rFonts w:asciiTheme="majorHAnsi" w:hAnsiTheme="majorHAnsi" w:cstheme="majorHAnsi"/>
        </w:rPr>
        <w:t xml:space="preserve">În conformitate cu prevederile O.U.G. nr. 109/2011 la ÎPC la care a fost finalizat procesul de selecție a  administratorilor și directorilor/directoratului există obligația încheierii contractelor de mandat între aceștia, pe de o parte, și APTC/consiliul de administrație, pe de altă parte. În contractele de mandat sunt stabiliți indicatorii cheie de performanță cu ajutorul cărora să se măsoare cantitativ și calitativ performanțele financiare și nefinanciare ale ÎPC.  </w:t>
      </w:r>
    </w:p>
    <w:p w14:paraId="3D5D24CB" w14:textId="77777777" w:rsidR="004A1E2B" w:rsidRPr="001467CC" w:rsidRDefault="004A1E2B" w:rsidP="004A1E2B">
      <w:pPr>
        <w:jc w:val="both"/>
        <w:rPr>
          <w:rFonts w:asciiTheme="majorHAnsi" w:hAnsiTheme="majorHAnsi" w:cstheme="majorHAnsi"/>
        </w:rPr>
      </w:pPr>
      <w:r w:rsidRPr="001467CC">
        <w:rPr>
          <w:rFonts w:asciiTheme="majorHAnsi" w:hAnsiTheme="majorHAnsi" w:cstheme="majorHAnsi"/>
        </w:rPr>
        <w:t xml:space="preserve">Din informațiile centralizate se constată că pentru anul  2020, un numar de 31 ÎPC au raportat </w:t>
      </w:r>
      <w:r w:rsidRPr="001467CC">
        <w:rPr>
          <w:rFonts w:asciiTheme="majorHAnsi" w:hAnsiTheme="majorHAnsi" w:cstheme="majorHAnsi"/>
          <w:b/>
        </w:rPr>
        <w:t>indicatori cheie de performanță pentru administratori</w:t>
      </w:r>
      <w:r w:rsidRPr="001467CC">
        <w:rPr>
          <w:rFonts w:asciiTheme="majorHAnsi" w:hAnsiTheme="majorHAnsi" w:cstheme="majorHAnsi"/>
        </w:rPr>
        <w:t xml:space="preserve"> și un numar de 26  ÎPC au raportat </w:t>
      </w:r>
      <w:r w:rsidRPr="001467CC">
        <w:rPr>
          <w:rFonts w:asciiTheme="majorHAnsi" w:hAnsiTheme="majorHAnsi" w:cstheme="majorHAnsi"/>
          <w:b/>
        </w:rPr>
        <w:t>indicatori cheie de performanță pentru directori</w:t>
      </w:r>
      <w:r w:rsidRPr="001467CC">
        <w:rPr>
          <w:rFonts w:asciiTheme="majorHAnsi" w:hAnsiTheme="majorHAnsi" w:cstheme="majorHAnsi"/>
        </w:rPr>
        <w:t>.</w:t>
      </w:r>
    </w:p>
    <w:p w14:paraId="395966EC" w14:textId="77777777" w:rsidR="004A1E2B" w:rsidRPr="001467CC" w:rsidRDefault="004A1E2B" w:rsidP="004A1E2B">
      <w:pPr>
        <w:jc w:val="both"/>
        <w:rPr>
          <w:rFonts w:asciiTheme="majorHAnsi" w:hAnsiTheme="majorHAnsi" w:cstheme="majorHAnsi"/>
        </w:rPr>
      </w:pPr>
      <w:r w:rsidRPr="001467CC">
        <w:rPr>
          <w:rFonts w:asciiTheme="majorHAnsi" w:hAnsiTheme="majorHAnsi" w:cstheme="majorHAnsi"/>
        </w:rPr>
        <w:t xml:space="preserve">În funcție de resursele pe care le măsoară, în vederea desfășurării unei activități optime a întreprinderilor publice, indicatorii de performanță sunt împărțiți pe categorii, după cum urmează: indicatori cheie de performanță financiari, indicatori cheie de performanță </w:t>
      </w:r>
      <w:r w:rsidRPr="001467CC">
        <w:rPr>
          <w:rFonts w:asciiTheme="majorHAnsi" w:hAnsiTheme="majorHAnsi" w:cstheme="majorHAnsi"/>
          <w:b/>
        </w:rPr>
        <w:t>nefinanciari operaționali</w:t>
      </w:r>
      <w:r w:rsidRPr="001467CC">
        <w:rPr>
          <w:rFonts w:asciiTheme="majorHAnsi" w:hAnsiTheme="majorHAnsi" w:cstheme="majorHAnsi"/>
        </w:rPr>
        <w:t xml:space="preserve">  și indicatori cheie de </w:t>
      </w:r>
      <w:r w:rsidRPr="001467CC">
        <w:rPr>
          <w:rFonts w:asciiTheme="majorHAnsi" w:hAnsiTheme="majorHAnsi" w:cstheme="majorHAnsi"/>
          <w:b/>
        </w:rPr>
        <w:t>guvernanță corporativă</w:t>
      </w:r>
      <w:r w:rsidRPr="001467CC">
        <w:rPr>
          <w:rFonts w:asciiTheme="majorHAnsi" w:hAnsiTheme="majorHAnsi" w:cstheme="majorHAnsi"/>
        </w:rPr>
        <w:t xml:space="preserve">. </w:t>
      </w:r>
    </w:p>
    <w:p w14:paraId="35CE4A25" w14:textId="77777777" w:rsidR="004A1E2B" w:rsidRPr="001467CC" w:rsidRDefault="004A1E2B" w:rsidP="004A1E2B">
      <w:pPr>
        <w:jc w:val="both"/>
        <w:rPr>
          <w:rFonts w:asciiTheme="majorHAnsi" w:hAnsiTheme="majorHAnsi" w:cstheme="majorHAnsi"/>
        </w:rPr>
      </w:pPr>
      <w:r w:rsidRPr="001467CC">
        <w:rPr>
          <w:rFonts w:asciiTheme="majorHAnsi" w:hAnsiTheme="majorHAnsi" w:cstheme="majorHAnsi"/>
        </w:rPr>
        <w:t>În urma analizei informațiilor transmise de către APTC, se observă că în contractele de mandat ale administratorilor și directorilor</w:t>
      </w:r>
      <w:r w:rsidRPr="001467CC">
        <w:rPr>
          <w:rStyle w:val="FootnoteAnchor"/>
          <w:rFonts w:asciiTheme="majorHAnsi" w:hAnsiTheme="majorHAnsi" w:cstheme="majorHAnsi"/>
        </w:rPr>
        <w:footnoteReference w:id="7"/>
      </w:r>
      <w:r w:rsidRPr="001467CC">
        <w:rPr>
          <w:rFonts w:asciiTheme="majorHAnsi" w:hAnsiTheme="majorHAnsi" w:cstheme="majorHAnsi"/>
        </w:rPr>
        <w:t xml:space="preserve"> au fost aprobați indicatori cheie de performanță, după cum urmează:</w:t>
      </w:r>
    </w:p>
    <w:p w14:paraId="45FF422F" w14:textId="2EA51235" w:rsidR="004A1E2B" w:rsidRDefault="004A1E2B" w:rsidP="004A1E2B">
      <w:pPr>
        <w:spacing w:before="0" w:after="0" w:line="240" w:lineRule="auto"/>
        <w:rPr>
          <w:rFonts w:asciiTheme="majorHAnsi" w:eastAsia="Times New Roman" w:hAnsiTheme="majorHAnsi" w:cstheme="majorHAnsi"/>
          <w:lang w:eastAsia="ro-RO"/>
        </w:rPr>
      </w:pPr>
      <w:r w:rsidRPr="001467CC">
        <w:rPr>
          <w:rFonts w:asciiTheme="majorHAnsi" w:eastAsia="Times New Roman" w:hAnsiTheme="majorHAnsi" w:cstheme="majorHAnsi"/>
          <w:lang w:eastAsia="ro-RO"/>
        </w:rPr>
        <w:t>Situația indicatorilor cheie de performanță raportați pentru administratori și directori ale ÎPC:</w:t>
      </w:r>
    </w:p>
    <w:p w14:paraId="0DB838C6" w14:textId="77777777" w:rsidR="00A643C1" w:rsidRPr="001467CC" w:rsidRDefault="00A643C1" w:rsidP="004A1E2B">
      <w:pPr>
        <w:spacing w:before="0" w:after="0" w:line="240" w:lineRule="auto"/>
        <w:rPr>
          <w:rFonts w:asciiTheme="majorHAnsi" w:hAnsiTheme="majorHAnsi" w:cstheme="majorHAnsi"/>
        </w:rPr>
      </w:pPr>
    </w:p>
    <w:tbl>
      <w:tblPr>
        <w:tblW w:w="8495" w:type="dxa"/>
        <w:tblBorders>
          <w:top w:val="single" w:sz="8" w:space="0" w:color="95B3D7"/>
          <w:left w:val="single" w:sz="8" w:space="0" w:color="FFFFFF"/>
          <w:right w:val="single" w:sz="8" w:space="0" w:color="FFFFFF"/>
          <w:insideV w:val="single" w:sz="8" w:space="0" w:color="FFFFFF"/>
        </w:tblBorders>
        <w:tblLook w:val="04A0" w:firstRow="1" w:lastRow="0" w:firstColumn="1" w:lastColumn="0" w:noHBand="0" w:noVBand="1"/>
      </w:tblPr>
      <w:tblGrid>
        <w:gridCol w:w="4735"/>
        <w:gridCol w:w="1880"/>
        <w:gridCol w:w="1880"/>
      </w:tblGrid>
      <w:tr w:rsidR="004A1E2B" w:rsidRPr="001467CC" w14:paraId="05B52343" w14:textId="77777777" w:rsidTr="00A643C1">
        <w:trPr>
          <w:trHeight w:val="946"/>
        </w:trPr>
        <w:tc>
          <w:tcPr>
            <w:tcW w:w="4735" w:type="dxa"/>
            <w:tcBorders>
              <w:top w:val="single" w:sz="8" w:space="0" w:color="95B3D7"/>
              <w:left w:val="single" w:sz="8" w:space="0" w:color="FFFFFF"/>
              <w:right w:val="single" w:sz="8" w:space="0" w:color="FFFFFF"/>
            </w:tcBorders>
            <w:shd w:val="clear" w:color="auto" w:fill="auto"/>
            <w:vAlign w:val="center"/>
          </w:tcPr>
          <w:p w14:paraId="6C9AEF9F" w14:textId="77777777" w:rsidR="004A1E2B" w:rsidRPr="001467CC" w:rsidRDefault="004A1E2B" w:rsidP="00A643C1">
            <w:pPr>
              <w:spacing w:before="0" w:after="0" w:line="240" w:lineRule="auto"/>
              <w:rPr>
                <w:rFonts w:asciiTheme="majorHAnsi" w:hAnsiTheme="majorHAnsi" w:cstheme="majorHAnsi"/>
              </w:rPr>
            </w:pPr>
            <w:r w:rsidRPr="001467CC">
              <w:rPr>
                <w:rFonts w:asciiTheme="majorHAnsi" w:eastAsia="Times New Roman" w:hAnsiTheme="majorHAnsi" w:cstheme="majorHAnsi"/>
                <w:color w:val="5B9BD5"/>
                <w:lang w:val="en-US"/>
              </w:rPr>
              <w:t>Tip indicator cheie de performanță</w:t>
            </w:r>
          </w:p>
        </w:tc>
        <w:tc>
          <w:tcPr>
            <w:tcW w:w="1880" w:type="dxa"/>
            <w:tcBorders>
              <w:top w:val="single" w:sz="8" w:space="0" w:color="95B3D7"/>
              <w:bottom w:val="single" w:sz="8" w:space="0" w:color="95B3D7"/>
              <w:right w:val="single" w:sz="8" w:space="0" w:color="FFFFFF"/>
            </w:tcBorders>
            <w:shd w:val="clear" w:color="auto" w:fill="auto"/>
          </w:tcPr>
          <w:p w14:paraId="0EE78BD8" w14:textId="77777777" w:rsidR="004A1E2B" w:rsidRPr="001467CC" w:rsidRDefault="004A1E2B" w:rsidP="00A643C1">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5B9BD5"/>
                <w:lang w:val="en-US"/>
              </w:rPr>
              <w:t xml:space="preserve">Număr total de indicatori raportați de 31 ÎPC pentru </w:t>
            </w:r>
            <w:r w:rsidRPr="001467CC">
              <w:rPr>
                <w:rFonts w:asciiTheme="majorHAnsi" w:eastAsia="Times New Roman" w:hAnsiTheme="majorHAnsi" w:cstheme="majorHAnsi"/>
                <w:b/>
                <w:bCs/>
                <w:color w:val="5B9BD5"/>
                <w:lang w:val="en-US"/>
              </w:rPr>
              <w:t>Administratori</w:t>
            </w:r>
          </w:p>
        </w:tc>
        <w:tc>
          <w:tcPr>
            <w:tcW w:w="1880" w:type="dxa"/>
            <w:tcBorders>
              <w:top w:val="single" w:sz="8" w:space="0" w:color="95B3D7"/>
              <w:bottom w:val="single" w:sz="8" w:space="0" w:color="95B3D7"/>
              <w:right w:val="single" w:sz="8" w:space="0" w:color="FFFFFF"/>
            </w:tcBorders>
            <w:shd w:val="clear" w:color="auto" w:fill="auto"/>
          </w:tcPr>
          <w:p w14:paraId="63EC924B" w14:textId="77777777" w:rsidR="004A1E2B" w:rsidRPr="001467CC" w:rsidRDefault="004A1E2B" w:rsidP="00A643C1">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color w:val="5B9BD5"/>
                <w:lang w:val="en-US"/>
              </w:rPr>
              <w:t xml:space="preserve">Număr total de indicatori raportați de 26 ÎPC pentru </w:t>
            </w:r>
            <w:r w:rsidRPr="001467CC">
              <w:rPr>
                <w:rFonts w:asciiTheme="majorHAnsi" w:eastAsia="Times New Roman" w:hAnsiTheme="majorHAnsi" w:cstheme="majorHAnsi"/>
                <w:b/>
                <w:bCs/>
                <w:color w:val="5B9BD5"/>
                <w:lang w:val="en-US"/>
              </w:rPr>
              <w:t>Directori</w:t>
            </w:r>
          </w:p>
        </w:tc>
      </w:tr>
      <w:tr w:rsidR="004A1E2B" w:rsidRPr="001467CC" w14:paraId="277C915D" w14:textId="77777777" w:rsidTr="00A643C1">
        <w:trPr>
          <w:trHeight w:val="284"/>
        </w:trPr>
        <w:tc>
          <w:tcPr>
            <w:tcW w:w="4735" w:type="dxa"/>
            <w:tcBorders>
              <w:left w:val="single" w:sz="8" w:space="0" w:color="FFFFFF"/>
              <w:right w:val="single" w:sz="8" w:space="0" w:color="FFFFFF"/>
            </w:tcBorders>
            <w:shd w:val="clear" w:color="auto" w:fill="auto"/>
            <w:vAlign w:val="center"/>
          </w:tcPr>
          <w:p w14:paraId="111676EB" w14:textId="299479EE" w:rsidR="004A1E2B" w:rsidRPr="001467CC" w:rsidRDefault="004A1E2B" w:rsidP="00A643C1">
            <w:pPr>
              <w:spacing w:before="0" w:after="0" w:line="240" w:lineRule="auto"/>
              <w:rPr>
                <w:rFonts w:asciiTheme="majorHAnsi" w:eastAsia="Times New Roman" w:hAnsiTheme="majorHAnsi" w:cstheme="majorHAnsi"/>
                <w:color w:val="5B9BD5"/>
                <w:sz w:val="24"/>
                <w:szCs w:val="24"/>
                <w:lang w:val="en-US"/>
              </w:rPr>
            </w:pPr>
          </w:p>
        </w:tc>
        <w:tc>
          <w:tcPr>
            <w:tcW w:w="1880" w:type="dxa"/>
            <w:tcBorders>
              <w:bottom w:val="single" w:sz="8" w:space="0" w:color="95B3D7"/>
              <w:right w:val="single" w:sz="8" w:space="0" w:color="FFFFFF"/>
            </w:tcBorders>
            <w:shd w:val="clear" w:color="auto" w:fill="auto"/>
            <w:vAlign w:val="center"/>
          </w:tcPr>
          <w:p w14:paraId="25DCC3FA" w14:textId="77777777" w:rsidR="004A1E2B" w:rsidRPr="001467CC" w:rsidRDefault="004A1E2B" w:rsidP="00A643C1">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lang w:val="en-US"/>
              </w:rPr>
              <w:t>nr.</w:t>
            </w:r>
          </w:p>
        </w:tc>
        <w:tc>
          <w:tcPr>
            <w:tcW w:w="1880" w:type="dxa"/>
            <w:tcBorders>
              <w:bottom w:val="single" w:sz="8" w:space="0" w:color="95B3D7"/>
              <w:right w:val="single" w:sz="8" w:space="0" w:color="FFFFFF"/>
            </w:tcBorders>
            <w:shd w:val="clear" w:color="auto" w:fill="auto"/>
            <w:vAlign w:val="center"/>
          </w:tcPr>
          <w:p w14:paraId="215726EA" w14:textId="77777777" w:rsidR="004A1E2B" w:rsidRPr="001467CC" w:rsidRDefault="004A1E2B" w:rsidP="00A643C1">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lang w:val="en-US"/>
              </w:rPr>
              <w:t>nr.</w:t>
            </w:r>
          </w:p>
        </w:tc>
      </w:tr>
      <w:tr w:rsidR="004A1E2B" w:rsidRPr="001467CC" w14:paraId="4610EB23" w14:textId="77777777" w:rsidTr="00A643C1">
        <w:trPr>
          <w:trHeight w:val="246"/>
        </w:trPr>
        <w:tc>
          <w:tcPr>
            <w:tcW w:w="4735" w:type="dxa"/>
            <w:tcBorders>
              <w:left w:val="single" w:sz="8" w:space="0" w:color="FFFFFF"/>
              <w:bottom w:val="single" w:sz="8" w:space="0" w:color="95B3D7"/>
              <w:right w:val="single" w:sz="8" w:space="0" w:color="FFFFFF"/>
            </w:tcBorders>
            <w:shd w:val="clear" w:color="auto" w:fill="auto"/>
            <w:vAlign w:val="center"/>
          </w:tcPr>
          <w:p w14:paraId="70E152A8" w14:textId="03101ABE" w:rsidR="004A1E2B" w:rsidRPr="001467CC" w:rsidRDefault="004A1E2B" w:rsidP="00A643C1">
            <w:pPr>
              <w:spacing w:before="0" w:after="0" w:line="240" w:lineRule="auto"/>
              <w:rPr>
                <w:rFonts w:asciiTheme="majorHAnsi" w:eastAsia="Times New Roman" w:hAnsiTheme="majorHAnsi" w:cstheme="majorHAnsi"/>
                <w:color w:val="5B9BD5"/>
                <w:sz w:val="24"/>
                <w:szCs w:val="24"/>
                <w:lang w:val="en-US"/>
              </w:rPr>
            </w:pPr>
          </w:p>
        </w:tc>
        <w:tc>
          <w:tcPr>
            <w:tcW w:w="1880" w:type="dxa"/>
            <w:tcBorders>
              <w:bottom w:val="single" w:sz="8" w:space="0" w:color="95B3D7"/>
              <w:right w:val="single" w:sz="8" w:space="0" w:color="FFFFFF"/>
            </w:tcBorders>
            <w:shd w:val="clear" w:color="auto" w:fill="auto"/>
            <w:vAlign w:val="center"/>
          </w:tcPr>
          <w:p w14:paraId="0F2CE7E0" w14:textId="77777777" w:rsidR="004A1E2B" w:rsidRPr="001467CC" w:rsidRDefault="004A1E2B" w:rsidP="00A643C1">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lang w:val="en-US"/>
              </w:rPr>
              <w:t>1</w:t>
            </w:r>
          </w:p>
        </w:tc>
        <w:tc>
          <w:tcPr>
            <w:tcW w:w="1880" w:type="dxa"/>
            <w:tcBorders>
              <w:bottom w:val="single" w:sz="8" w:space="0" w:color="95B3D7"/>
              <w:right w:val="single" w:sz="8" w:space="0" w:color="FFFFFF"/>
            </w:tcBorders>
            <w:shd w:val="clear" w:color="auto" w:fill="auto"/>
            <w:vAlign w:val="center"/>
          </w:tcPr>
          <w:p w14:paraId="48C84521" w14:textId="77777777" w:rsidR="004A1E2B" w:rsidRPr="001467CC" w:rsidRDefault="004A1E2B" w:rsidP="00A643C1">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lang w:val="en-US"/>
              </w:rPr>
              <w:t>2</w:t>
            </w:r>
          </w:p>
        </w:tc>
      </w:tr>
      <w:tr w:rsidR="004A1E2B" w:rsidRPr="001467CC" w14:paraId="73729354" w14:textId="77777777" w:rsidTr="00B06C32">
        <w:trPr>
          <w:trHeight w:val="329"/>
        </w:trPr>
        <w:tc>
          <w:tcPr>
            <w:tcW w:w="4735" w:type="dxa"/>
            <w:tcBorders>
              <w:left w:val="single" w:sz="8" w:space="0" w:color="FFFFFF"/>
              <w:bottom w:val="single" w:sz="8" w:space="0" w:color="FFFFFF"/>
              <w:right w:val="single" w:sz="8" w:space="0" w:color="FFFFFF"/>
            </w:tcBorders>
            <w:shd w:val="clear" w:color="auto" w:fill="auto"/>
            <w:vAlign w:val="center"/>
          </w:tcPr>
          <w:p w14:paraId="121989FD" w14:textId="77777777" w:rsidR="004A1E2B" w:rsidRPr="001467CC" w:rsidRDefault="004A1E2B" w:rsidP="00A643C1">
            <w:pPr>
              <w:spacing w:before="0" w:after="0" w:line="240" w:lineRule="auto"/>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Indicator financiar</w:t>
            </w:r>
          </w:p>
        </w:tc>
        <w:tc>
          <w:tcPr>
            <w:tcW w:w="1880" w:type="dxa"/>
            <w:tcBorders>
              <w:bottom w:val="single" w:sz="8" w:space="0" w:color="FFFFFF"/>
              <w:right w:val="single" w:sz="8" w:space="0" w:color="FFFFFF"/>
            </w:tcBorders>
            <w:shd w:val="clear" w:color="auto" w:fill="auto"/>
            <w:vAlign w:val="center"/>
          </w:tcPr>
          <w:p w14:paraId="78CF7471"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118</w:t>
            </w:r>
          </w:p>
        </w:tc>
        <w:tc>
          <w:tcPr>
            <w:tcW w:w="1880" w:type="dxa"/>
            <w:tcBorders>
              <w:bottom w:val="single" w:sz="8" w:space="0" w:color="FFFFFF"/>
              <w:right w:val="single" w:sz="8" w:space="0" w:color="FFFFFF"/>
            </w:tcBorders>
            <w:shd w:val="clear" w:color="auto" w:fill="auto"/>
            <w:vAlign w:val="center"/>
          </w:tcPr>
          <w:p w14:paraId="49B30278"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126</w:t>
            </w:r>
          </w:p>
        </w:tc>
      </w:tr>
      <w:tr w:rsidR="004A1E2B" w:rsidRPr="001467CC" w14:paraId="3B29A44A" w14:textId="77777777" w:rsidTr="00B06C32">
        <w:trPr>
          <w:trHeight w:val="329"/>
        </w:trPr>
        <w:tc>
          <w:tcPr>
            <w:tcW w:w="4735" w:type="dxa"/>
            <w:tcBorders>
              <w:left w:val="single" w:sz="8" w:space="0" w:color="FFFFFF"/>
              <w:bottom w:val="single" w:sz="8" w:space="0" w:color="FFFFFF"/>
              <w:right w:val="single" w:sz="8" w:space="0" w:color="FFFFFF"/>
            </w:tcBorders>
            <w:shd w:val="clear" w:color="auto" w:fill="auto"/>
            <w:vAlign w:val="center"/>
          </w:tcPr>
          <w:p w14:paraId="0D8AE046" w14:textId="77777777" w:rsidR="004A1E2B" w:rsidRPr="001467CC" w:rsidRDefault="004A1E2B" w:rsidP="00A643C1">
            <w:pPr>
              <w:spacing w:before="0" w:after="0" w:line="240" w:lineRule="auto"/>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Indicator operațional nefinanciar</w:t>
            </w:r>
          </w:p>
        </w:tc>
        <w:tc>
          <w:tcPr>
            <w:tcW w:w="1880" w:type="dxa"/>
            <w:tcBorders>
              <w:bottom w:val="single" w:sz="8" w:space="0" w:color="FFFFFF"/>
              <w:right w:val="single" w:sz="8" w:space="0" w:color="FFFFFF"/>
            </w:tcBorders>
            <w:shd w:val="clear" w:color="auto" w:fill="auto"/>
            <w:vAlign w:val="center"/>
          </w:tcPr>
          <w:p w14:paraId="23CAA07E"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121</w:t>
            </w:r>
          </w:p>
        </w:tc>
        <w:tc>
          <w:tcPr>
            <w:tcW w:w="1880" w:type="dxa"/>
            <w:tcBorders>
              <w:bottom w:val="single" w:sz="8" w:space="0" w:color="FFFFFF"/>
              <w:right w:val="single" w:sz="8" w:space="0" w:color="FFFFFF"/>
            </w:tcBorders>
            <w:shd w:val="clear" w:color="auto" w:fill="auto"/>
            <w:vAlign w:val="center"/>
          </w:tcPr>
          <w:p w14:paraId="2F7BCB0E"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101</w:t>
            </w:r>
          </w:p>
        </w:tc>
      </w:tr>
      <w:tr w:rsidR="004A1E2B" w:rsidRPr="001467CC" w14:paraId="69BBCF07" w14:textId="77777777" w:rsidTr="00B06C32">
        <w:trPr>
          <w:trHeight w:val="329"/>
        </w:trPr>
        <w:tc>
          <w:tcPr>
            <w:tcW w:w="4735" w:type="dxa"/>
            <w:tcBorders>
              <w:left w:val="single" w:sz="8" w:space="0" w:color="FFFFFF"/>
              <w:bottom w:val="single" w:sz="8" w:space="0" w:color="95B3D7"/>
              <w:right w:val="single" w:sz="8" w:space="0" w:color="FFFFFF"/>
            </w:tcBorders>
            <w:shd w:val="clear" w:color="auto" w:fill="auto"/>
            <w:vAlign w:val="center"/>
          </w:tcPr>
          <w:p w14:paraId="47907A4F" w14:textId="77777777" w:rsidR="004A1E2B" w:rsidRPr="001467CC" w:rsidRDefault="004A1E2B" w:rsidP="00A643C1">
            <w:pPr>
              <w:spacing w:before="0" w:after="0" w:line="240" w:lineRule="auto"/>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Indicator privind guvernanța corporativă</w:t>
            </w:r>
          </w:p>
        </w:tc>
        <w:tc>
          <w:tcPr>
            <w:tcW w:w="1880" w:type="dxa"/>
            <w:tcBorders>
              <w:bottom w:val="single" w:sz="8" w:space="0" w:color="95B3D7"/>
              <w:right w:val="single" w:sz="8" w:space="0" w:color="FFFFFF"/>
            </w:tcBorders>
            <w:shd w:val="clear" w:color="auto" w:fill="auto"/>
            <w:vAlign w:val="center"/>
          </w:tcPr>
          <w:p w14:paraId="0CB0F0DC"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76</w:t>
            </w:r>
          </w:p>
        </w:tc>
        <w:tc>
          <w:tcPr>
            <w:tcW w:w="1880" w:type="dxa"/>
            <w:tcBorders>
              <w:bottom w:val="single" w:sz="8" w:space="0" w:color="95B3D7"/>
              <w:right w:val="single" w:sz="8" w:space="0" w:color="FFFFFF"/>
            </w:tcBorders>
            <w:shd w:val="clear" w:color="auto" w:fill="auto"/>
            <w:vAlign w:val="center"/>
          </w:tcPr>
          <w:p w14:paraId="7B14D853"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54</w:t>
            </w:r>
          </w:p>
        </w:tc>
      </w:tr>
      <w:tr w:rsidR="004A1E2B" w:rsidRPr="001467CC" w14:paraId="1109937A" w14:textId="77777777" w:rsidTr="00B06C32">
        <w:trPr>
          <w:trHeight w:val="329"/>
        </w:trPr>
        <w:tc>
          <w:tcPr>
            <w:tcW w:w="4735" w:type="dxa"/>
            <w:tcBorders>
              <w:left w:val="single" w:sz="8" w:space="0" w:color="FFFFFF"/>
              <w:bottom w:val="single" w:sz="8" w:space="0" w:color="95B3D7"/>
              <w:right w:val="single" w:sz="8" w:space="0" w:color="FFFFFF"/>
            </w:tcBorders>
            <w:shd w:val="clear" w:color="auto" w:fill="auto"/>
            <w:vAlign w:val="center"/>
          </w:tcPr>
          <w:p w14:paraId="65022884" w14:textId="77777777" w:rsidR="004A1E2B" w:rsidRPr="001467CC" w:rsidRDefault="004A1E2B" w:rsidP="00A643C1">
            <w:pPr>
              <w:spacing w:before="0" w:after="0" w:line="240" w:lineRule="auto"/>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TOTAL</w:t>
            </w:r>
          </w:p>
        </w:tc>
        <w:tc>
          <w:tcPr>
            <w:tcW w:w="1880" w:type="dxa"/>
            <w:tcBorders>
              <w:bottom w:val="single" w:sz="8" w:space="0" w:color="95B3D7"/>
              <w:right w:val="single" w:sz="8" w:space="0" w:color="FFFFFF"/>
            </w:tcBorders>
            <w:shd w:val="clear" w:color="auto" w:fill="auto"/>
            <w:vAlign w:val="center"/>
          </w:tcPr>
          <w:p w14:paraId="1ED93C27"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315</w:t>
            </w:r>
          </w:p>
        </w:tc>
        <w:tc>
          <w:tcPr>
            <w:tcW w:w="1880" w:type="dxa"/>
            <w:tcBorders>
              <w:bottom w:val="single" w:sz="8" w:space="0" w:color="95B3D7"/>
              <w:right w:val="single" w:sz="8" w:space="0" w:color="FFFFFF"/>
            </w:tcBorders>
            <w:shd w:val="clear" w:color="auto" w:fill="auto"/>
            <w:vAlign w:val="center"/>
          </w:tcPr>
          <w:p w14:paraId="0EE562BD" w14:textId="77777777" w:rsidR="004A1E2B" w:rsidRPr="001467CC" w:rsidRDefault="004A1E2B" w:rsidP="00A643C1">
            <w:pPr>
              <w:spacing w:before="0" w:after="0" w:line="240" w:lineRule="auto"/>
              <w:jc w:val="right"/>
              <w:rPr>
                <w:rFonts w:asciiTheme="majorHAnsi" w:eastAsia="Times New Roman" w:hAnsiTheme="majorHAnsi" w:cstheme="majorHAnsi"/>
                <w:color w:val="5B9BD5"/>
                <w:lang w:val="en-US"/>
              </w:rPr>
            </w:pPr>
            <w:r w:rsidRPr="001467CC">
              <w:rPr>
                <w:rFonts w:asciiTheme="majorHAnsi" w:eastAsia="Times New Roman" w:hAnsiTheme="majorHAnsi" w:cstheme="majorHAnsi"/>
                <w:color w:val="5B9BD5"/>
                <w:lang w:val="en-US"/>
              </w:rPr>
              <w:t>281</w:t>
            </w:r>
          </w:p>
        </w:tc>
      </w:tr>
    </w:tbl>
    <w:p w14:paraId="376B663E" w14:textId="77777777" w:rsidR="004A1E2B" w:rsidRPr="001467CC" w:rsidRDefault="004A1E2B" w:rsidP="004A1E2B">
      <w:pPr>
        <w:jc w:val="both"/>
        <w:rPr>
          <w:rFonts w:asciiTheme="majorHAnsi" w:hAnsiTheme="majorHAnsi" w:cstheme="majorHAnsi"/>
        </w:rPr>
      </w:pPr>
    </w:p>
    <w:p w14:paraId="2E3E37D5" w14:textId="1DF2CE7F" w:rsidR="004A1E2B" w:rsidRDefault="004A1E2B" w:rsidP="004A1E2B">
      <w:pPr>
        <w:jc w:val="both"/>
        <w:rPr>
          <w:rFonts w:asciiTheme="majorHAnsi" w:hAnsiTheme="majorHAnsi" w:cstheme="majorHAnsi"/>
        </w:rPr>
      </w:pPr>
      <w:r w:rsidRPr="001467CC">
        <w:rPr>
          <w:rFonts w:asciiTheme="majorHAnsi" w:hAnsiTheme="majorHAnsi" w:cstheme="majorHAnsi"/>
        </w:rPr>
        <w:t>Atât în contractele de mandat ale administratorilor, cât și în cele ale directorilor predomină indicatorii cheie  nefinanciari, urmați de indicatorii financiari operaționali, specifici fiecărei ÎPC în funcție de activitățiile desfășurate, pentru ca cei de guvernanță corporativă să se situeze pe ultimul loc.</w:t>
      </w:r>
    </w:p>
    <w:p w14:paraId="06E8A2ED" w14:textId="77777777" w:rsidR="00B06C32" w:rsidRPr="001467CC" w:rsidRDefault="00B06C32" w:rsidP="004A1E2B">
      <w:pPr>
        <w:jc w:val="both"/>
        <w:rPr>
          <w:rFonts w:asciiTheme="majorHAnsi" w:hAnsiTheme="majorHAnsi" w:cstheme="majorHAnsi"/>
        </w:rPr>
      </w:pPr>
    </w:p>
    <w:p w14:paraId="23F0C205" w14:textId="77777777" w:rsidR="004A1E2B" w:rsidRPr="001467CC" w:rsidRDefault="004A1E2B" w:rsidP="004A1E2B">
      <w:pPr>
        <w:jc w:val="both"/>
        <w:rPr>
          <w:rFonts w:asciiTheme="majorHAnsi" w:hAnsiTheme="majorHAnsi" w:cstheme="majorHAnsi"/>
          <w:bCs/>
          <w:lang w:eastAsia="ro-RO"/>
        </w:rPr>
      </w:pPr>
      <w:r w:rsidRPr="001467CC">
        <w:rPr>
          <w:rFonts w:asciiTheme="majorHAnsi" w:hAnsiTheme="majorHAnsi" w:cstheme="majorHAnsi"/>
          <w:noProof/>
          <w:lang w:val="en-US"/>
        </w:rPr>
        <w:drawing>
          <wp:inline distT="0" distB="0" distL="0" distR="0" wp14:anchorId="679A4BB5" wp14:editId="0C332087">
            <wp:extent cx="2849245" cy="2860158"/>
            <wp:effectExtent l="0" t="0" r="8255" b="1651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467CC">
        <w:rPr>
          <w:rFonts w:asciiTheme="majorHAnsi" w:hAnsiTheme="majorHAnsi" w:cstheme="majorHAnsi"/>
          <w:noProof/>
          <w:lang w:val="en-US"/>
        </w:rPr>
        <w:drawing>
          <wp:inline distT="0" distB="0" distL="0" distR="0" wp14:anchorId="20731640" wp14:editId="61BE20C9">
            <wp:extent cx="2604770" cy="2864485"/>
            <wp:effectExtent l="0" t="0" r="5080" b="12065"/>
            <wp:docPr id="18" name="Chart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4FF2E9" w14:textId="77777777" w:rsidR="004A1E2B" w:rsidRPr="001467CC" w:rsidRDefault="004A1E2B" w:rsidP="004A1E2B">
      <w:pPr>
        <w:jc w:val="both"/>
        <w:rPr>
          <w:rFonts w:asciiTheme="majorHAnsi" w:hAnsiTheme="majorHAnsi" w:cstheme="majorHAnsi"/>
          <w:bCs/>
          <w:lang w:eastAsia="ro-RO"/>
        </w:rPr>
      </w:pPr>
    </w:p>
    <w:p w14:paraId="2426BE38" w14:textId="77777777" w:rsidR="004A1E2B" w:rsidRPr="001467CC" w:rsidRDefault="004A1E2B" w:rsidP="004A1E2B">
      <w:pPr>
        <w:spacing w:before="0" w:after="0" w:line="240" w:lineRule="auto"/>
        <w:jc w:val="both"/>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Situația îndeplinirii indicatorilor cheie de performanță din contractele de mandat ale administratorilor și directorilor pe tipuri de indicatori</w:t>
      </w:r>
    </w:p>
    <w:tbl>
      <w:tblPr>
        <w:tblpPr w:leftFromText="180" w:rightFromText="180" w:vertAnchor="text" w:horzAnchor="margin" w:tblpXSpec="center" w:tblpY="217"/>
        <w:tblW w:w="9913" w:type="dxa"/>
        <w:jc w:val="center"/>
        <w:tblBorders>
          <w:top w:val="single" w:sz="8" w:space="0" w:color="95B3D7"/>
          <w:left w:val="single" w:sz="8" w:space="0" w:color="FFFFFF"/>
          <w:bottom w:val="single" w:sz="8" w:space="0" w:color="95B3D7"/>
          <w:right w:val="single" w:sz="8" w:space="0" w:color="FFFFFF"/>
          <w:insideH w:val="single" w:sz="8" w:space="0" w:color="95B3D7"/>
          <w:insideV w:val="single" w:sz="8" w:space="0" w:color="FFFFFF"/>
        </w:tblBorders>
        <w:tblLook w:val="04A0" w:firstRow="1" w:lastRow="0" w:firstColumn="1" w:lastColumn="0" w:noHBand="0" w:noVBand="1"/>
      </w:tblPr>
      <w:tblGrid>
        <w:gridCol w:w="2147"/>
        <w:gridCol w:w="1559"/>
        <w:gridCol w:w="1272"/>
        <w:gridCol w:w="1400"/>
        <w:gridCol w:w="1197"/>
        <w:gridCol w:w="1118"/>
        <w:gridCol w:w="1220"/>
      </w:tblGrid>
      <w:tr w:rsidR="004A1E2B" w:rsidRPr="001467CC" w14:paraId="3F4DE4DC" w14:textId="77777777" w:rsidTr="00B06C32">
        <w:trPr>
          <w:trHeight w:val="1118"/>
          <w:jc w:val="center"/>
        </w:trPr>
        <w:tc>
          <w:tcPr>
            <w:tcW w:w="2222" w:type="dxa"/>
            <w:vMerge w:val="restart"/>
            <w:tcBorders>
              <w:top w:val="single" w:sz="8" w:space="0" w:color="95B3D7"/>
              <w:left w:val="single" w:sz="8" w:space="0" w:color="FFFFFF"/>
              <w:bottom w:val="single" w:sz="8" w:space="0" w:color="95B3D7"/>
              <w:right w:val="single" w:sz="8" w:space="0" w:color="FFFFFF"/>
            </w:tcBorders>
            <w:shd w:val="clear" w:color="auto" w:fill="auto"/>
            <w:vAlign w:val="center"/>
          </w:tcPr>
          <w:p w14:paraId="7D5C418F" w14:textId="77777777" w:rsidR="004A1E2B" w:rsidRPr="001467CC" w:rsidRDefault="004A1E2B" w:rsidP="00B06C32">
            <w:pPr>
              <w:spacing w:before="0" w:after="0" w:line="240" w:lineRule="auto"/>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color w:val="0F6FC6" w:themeColor="accent1"/>
                <w:lang w:eastAsia="ro-RO"/>
              </w:rPr>
              <w:t>Tip indicator cheie de performanță</w:t>
            </w:r>
          </w:p>
        </w:tc>
        <w:tc>
          <w:tcPr>
            <w:tcW w:w="1574" w:type="dxa"/>
            <w:tcBorders>
              <w:top w:val="single" w:sz="8" w:space="0" w:color="95B3D7"/>
              <w:bottom w:val="single" w:sz="8" w:space="0" w:color="95B3D7"/>
              <w:right w:val="single" w:sz="8" w:space="0" w:color="FFFFFF"/>
            </w:tcBorders>
            <w:shd w:val="clear" w:color="auto" w:fill="auto"/>
          </w:tcPr>
          <w:p w14:paraId="574BF545" w14:textId="77777777" w:rsidR="004A1E2B" w:rsidRPr="001467CC" w:rsidRDefault="004A1E2B" w:rsidP="00B06C32">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b/>
                <w:bCs/>
                <w:color w:val="0F6FC6" w:themeColor="accent1"/>
                <w:lang w:eastAsia="ro-RO"/>
              </w:rPr>
              <w:t>Număr total</w:t>
            </w:r>
            <w:r w:rsidRPr="001467CC">
              <w:rPr>
                <w:rFonts w:asciiTheme="majorHAnsi" w:eastAsia="Times New Roman" w:hAnsiTheme="majorHAnsi" w:cstheme="majorHAnsi"/>
                <w:color w:val="0F6FC6" w:themeColor="accent1"/>
                <w:lang w:eastAsia="ro-RO"/>
              </w:rPr>
              <w:t xml:space="preserve"> de indicatori cheie pentru </w:t>
            </w:r>
            <w:r w:rsidRPr="001467CC">
              <w:rPr>
                <w:rFonts w:asciiTheme="majorHAnsi" w:eastAsia="Times New Roman" w:hAnsiTheme="majorHAnsi" w:cstheme="majorHAnsi"/>
                <w:b/>
                <w:bCs/>
                <w:color w:val="0F6FC6" w:themeColor="accent1"/>
                <w:lang w:eastAsia="ro-RO"/>
              </w:rPr>
              <w:t>Administratori</w:t>
            </w:r>
          </w:p>
        </w:tc>
        <w:tc>
          <w:tcPr>
            <w:tcW w:w="1293" w:type="dxa"/>
            <w:tcBorders>
              <w:top w:val="single" w:sz="8" w:space="0" w:color="95B3D7"/>
              <w:bottom w:val="single" w:sz="8" w:space="0" w:color="95B3D7"/>
              <w:right w:val="single" w:sz="8" w:space="0" w:color="FFFFFF"/>
            </w:tcBorders>
            <w:shd w:val="clear" w:color="auto" w:fill="auto"/>
          </w:tcPr>
          <w:p w14:paraId="180D4EAE" w14:textId="77777777" w:rsidR="004A1E2B" w:rsidRPr="001467CC" w:rsidRDefault="004A1E2B" w:rsidP="00B06C32">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color w:val="0F6FC6" w:themeColor="accent1"/>
                <w:lang w:eastAsia="ro-RO"/>
              </w:rPr>
              <w:t>Număr indicatori cheie îndepliniți</w:t>
            </w:r>
          </w:p>
        </w:tc>
        <w:tc>
          <w:tcPr>
            <w:tcW w:w="1415" w:type="dxa"/>
            <w:tcBorders>
              <w:top w:val="single" w:sz="8" w:space="0" w:color="95B3D7"/>
              <w:bottom w:val="single" w:sz="8" w:space="0" w:color="95B3D7"/>
              <w:right w:val="single" w:sz="8" w:space="0" w:color="9BC2E6"/>
            </w:tcBorders>
            <w:shd w:val="clear" w:color="auto" w:fill="auto"/>
          </w:tcPr>
          <w:p w14:paraId="5190314B" w14:textId="77777777" w:rsidR="004A1E2B" w:rsidRPr="001467CC" w:rsidRDefault="004A1E2B" w:rsidP="00B06C32">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color w:val="0F6FC6" w:themeColor="accent1"/>
                <w:lang w:eastAsia="ro-RO"/>
              </w:rPr>
              <w:t>Număr indicatori cheie neîndepliniți</w:t>
            </w:r>
          </w:p>
        </w:tc>
        <w:tc>
          <w:tcPr>
            <w:tcW w:w="1215" w:type="dxa"/>
            <w:tcBorders>
              <w:top w:val="single" w:sz="8" w:space="0" w:color="95B3D7"/>
              <w:bottom w:val="single" w:sz="8" w:space="0" w:color="95B3D7"/>
              <w:right w:val="single" w:sz="8" w:space="0" w:color="FFFFFF"/>
            </w:tcBorders>
            <w:shd w:val="clear" w:color="auto" w:fill="auto"/>
          </w:tcPr>
          <w:p w14:paraId="23BFDA0C" w14:textId="77777777" w:rsidR="004A1E2B" w:rsidRPr="001467CC" w:rsidRDefault="004A1E2B" w:rsidP="00B06C32">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b/>
                <w:bCs/>
                <w:color w:val="0F6FC6" w:themeColor="accent1"/>
                <w:lang w:eastAsia="ro-RO"/>
              </w:rPr>
              <w:t>Număr total</w:t>
            </w:r>
            <w:r w:rsidRPr="001467CC">
              <w:rPr>
                <w:rFonts w:asciiTheme="majorHAnsi" w:eastAsia="Times New Roman" w:hAnsiTheme="majorHAnsi" w:cstheme="majorHAnsi"/>
                <w:color w:val="0F6FC6" w:themeColor="accent1"/>
                <w:lang w:eastAsia="ro-RO"/>
              </w:rPr>
              <w:t xml:space="preserve"> de indicatori cheie pentru </w:t>
            </w:r>
            <w:r w:rsidRPr="001467CC">
              <w:rPr>
                <w:rFonts w:asciiTheme="majorHAnsi" w:eastAsia="Times New Roman" w:hAnsiTheme="majorHAnsi" w:cstheme="majorHAnsi"/>
                <w:b/>
                <w:bCs/>
                <w:color w:val="0F6FC6" w:themeColor="accent1"/>
                <w:lang w:eastAsia="ro-RO"/>
              </w:rPr>
              <w:t>directori</w:t>
            </w:r>
          </w:p>
        </w:tc>
        <w:tc>
          <w:tcPr>
            <w:tcW w:w="1126" w:type="dxa"/>
            <w:tcBorders>
              <w:top w:val="single" w:sz="8" w:space="0" w:color="95B3D7"/>
              <w:bottom w:val="single" w:sz="8" w:space="0" w:color="95B3D7"/>
              <w:right w:val="single" w:sz="8" w:space="0" w:color="FFFFFF"/>
            </w:tcBorders>
            <w:shd w:val="clear" w:color="auto" w:fill="auto"/>
          </w:tcPr>
          <w:p w14:paraId="121CC2FF" w14:textId="77777777" w:rsidR="004A1E2B" w:rsidRPr="001467CC" w:rsidRDefault="004A1E2B" w:rsidP="00B06C32">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color w:val="0F6FC6" w:themeColor="accent1"/>
                <w:lang w:eastAsia="ro-RO"/>
              </w:rPr>
              <w:t>Număr indicatori cheie îndepliniți</w:t>
            </w:r>
          </w:p>
        </w:tc>
        <w:tc>
          <w:tcPr>
            <w:tcW w:w="1068" w:type="dxa"/>
            <w:tcBorders>
              <w:top w:val="single" w:sz="8" w:space="0" w:color="95B3D7"/>
              <w:bottom w:val="single" w:sz="8" w:space="0" w:color="95B3D7"/>
              <w:right w:val="single" w:sz="8" w:space="0" w:color="FFFFFF"/>
            </w:tcBorders>
            <w:shd w:val="clear" w:color="auto" w:fill="auto"/>
          </w:tcPr>
          <w:p w14:paraId="747172CC" w14:textId="77777777" w:rsidR="004A1E2B" w:rsidRPr="001467CC" w:rsidRDefault="004A1E2B" w:rsidP="00B06C32">
            <w:pPr>
              <w:spacing w:before="0" w:after="0" w:line="240" w:lineRule="auto"/>
              <w:jc w:val="right"/>
              <w:rPr>
                <w:rFonts w:asciiTheme="majorHAnsi" w:eastAsia="Times New Roman" w:hAnsiTheme="majorHAnsi" w:cstheme="majorHAnsi"/>
                <w:color w:val="5B9BD5"/>
                <w:sz w:val="24"/>
                <w:szCs w:val="24"/>
                <w:lang w:val="en-US"/>
              </w:rPr>
            </w:pPr>
            <w:r w:rsidRPr="001467CC">
              <w:rPr>
                <w:rFonts w:asciiTheme="majorHAnsi" w:eastAsia="Times New Roman" w:hAnsiTheme="majorHAnsi" w:cstheme="majorHAnsi"/>
                <w:color w:val="0F6FC6" w:themeColor="accent1"/>
                <w:lang w:eastAsia="ro-RO"/>
              </w:rPr>
              <w:t>Număr indicatori cheie neîndepliniți</w:t>
            </w:r>
          </w:p>
        </w:tc>
      </w:tr>
      <w:tr w:rsidR="004A1E2B" w:rsidRPr="001467CC" w14:paraId="3F5455DD" w14:textId="77777777" w:rsidTr="00B06C32">
        <w:trPr>
          <w:trHeight w:val="208"/>
          <w:jc w:val="center"/>
        </w:trPr>
        <w:tc>
          <w:tcPr>
            <w:tcW w:w="2222" w:type="dxa"/>
            <w:vMerge/>
            <w:tcBorders>
              <w:top w:val="single" w:sz="8" w:space="0" w:color="95B3D7"/>
              <w:left w:val="single" w:sz="8" w:space="0" w:color="FFFFFF"/>
              <w:bottom w:val="single" w:sz="8" w:space="0" w:color="95B3D7"/>
              <w:right w:val="single" w:sz="8" w:space="0" w:color="FFFFFF"/>
            </w:tcBorders>
            <w:shd w:val="clear" w:color="auto" w:fill="auto"/>
            <w:vAlign w:val="center"/>
          </w:tcPr>
          <w:p w14:paraId="2A51A35D" w14:textId="77777777" w:rsidR="004A1E2B" w:rsidRPr="001467CC" w:rsidRDefault="004A1E2B" w:rsidP="00B06C32">
            <w:pPr>
              <w:spacing w:before="0" w:after="0" w:line="240" w:lineRule="auto"/>
              <w:rPr>
                <w:rFonts w:asciiTheme="majorHAnsi" w:eastAsia="Times New Roman" w:hAnsiTheme="majorHAnsi" w:cstheme="majorHAnsi"/>
                <w:color w:val="5B9BD5"/>
                <w:sz w:val="24"/>
                <w:szCs w:val="24"/>
                <w:lang w:val="en-US"/>
              </w:rPr>
            </w:pPr>
          </w:p>
        </w:tc>
        <w:tc>
          <w:tcPr>
            <w:tcW w:w="1574" w:type="dxa"/>
            <w:tcBorders>
              <w:bottom w:val="single" w:sz="8" w:space="0" w:color="95B3D7"/>
              <w:right w:val="single" w:sz="8" w:space="0" w:color="FFFFFF"/>
            </w:tcBorders>
            <w:shd w:val="clear" w:color="auto" w:fill="auto"/>
            <w:vAlign w:val="center"/>
          </w:tcPr>
          <w:p w14:paraId="18F4FFA7"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nr.</w:t>
            </w:r>
          </w:p>
        </w:tc>
        <w:tc>
          <w:tcPr>
            <w:tcW w:w="1293" w:type="dxa"/>
            <w:tcBorders>
              <w:bottom w:val="single" w:sz="8" w:space="0" w:color="95B3D7"/>
              <w:right w:val="single" w:sz="8" w:space="0" w:color="FFFFFF"/>
            </w:tcBorders>
            <w:shd w:val="clear" w:color="auto" w:fill="auto"/>
            <w:vAlign w:val="center"/>
          </w:tcPr>
          <w:p w14:paraId="0A006D7B"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nr.</w:t>
            </w:r>
          </w:p>
        </w:tc>
        <w:tc>
          <w:tcPr>
            <w:tcW w:w="1415" w:type="dxa"/>
            <w:tcBorders>
              <w:bottom w:val="single" w:sz="8" w:space="0" w:color="95B3D7"/>
              <w:right w:val="single" w:sz="8" w:space="0" w:color="9BC2E6"/>
            </w:tcBorders>
            <w:shd w:val="clear" w:color="auto" w:fill="auto"/>
            <w:vAlign w:val="center"/>
          </w:tcPr>
          <w:p w14:paraId="4D74C9EB"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nr.</w:t>
            </w:r>
          </w:p>
        </w:tc>
        <w:tc>
          <w:tcPr>
            <w:tcW w:w="1215" w:type="dxa"/>
            <w:tcBorders>
              <w:bottom w:val="single" w:sz="8" w:space="0" w:color="95B3D7"/>
              <w:right w:val="single" w:sz="8" w:space="0" w:color="FFFFFF"/>
            </w:tcBorders>
            <w:shd w:val="clear" w:color="auto" w:fill="auto"/>
            <w:vAlign w:val="center"/>
          </w:tcPr>
          <w:p w14:paraId="14732C18"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nr.</w:t>
            </w:r>
          </w:p>
        </w:tc>
        <w:tc>
          <w:tcPr>
            <w:tcW w:w="1126" w:type="dxa"/>
            <w:tcBorders>
              <w:bottom w:val="single" w:sz="8" w:space="0" w:color="95B3D7"/>
              <w:right w:val="single" w:sz="8" w:space="0" w:color="FFFFFF"/>
            </w:tcBorders>
            <w:shd w:val="clear" w:color="auto" w:fill="auto"/>
            <w:vAlign w:val="center"/>
          </w:tcPr>
          <w:p w14:paraId="216F4187"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nr.</w:t>
            </w:r>
          </w:p>
        </w:tc>
        <w:tc>
          <w:tcPr>
            <w:tcW w:w="1068" w:type="dxa"/>
            <w:tcBorders>
              <w:bottom w:val="single" w:sz="8" w:space="0" w:color="95B3D7"/>
              <w:right w:val="single" w:sz="8" w:space="0" w:color="FFFFFF"/>
            </w:tcBorders>
            <w:shd w:val="clear" w:color="auto" w:fill="auto"/>
            <w:vAlign w:val="center"/>
          </w:tcPr>
          <w:p w14:paraId="4431A359"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nr.</w:t>
            </w:r>
          </w:p>
        </w:tc>
      </w:tr>
      <w:tr w:rsidR="004A1E2B" w:rsidRPr="001467CC" w14:paraId="2FAB2B8A" w14:textId="77777777" w:rsidTr="00B06C32">
        <w:trPr>
          <w:trHeight w:val="208"/>
          <w:jc w:val="center"/>
        </w:trPr>
        <w:tc>
          <w:tcPr>
            <w:tcW w:w="2222" w:type="dxa"/>
            <w:vMerge/>
            <w:tcBorders>
              <w:top w:val="single" w:sz="8" w:space="0" w:color="95B3D7"/>
              <w:left w:val="single" w:sz="8" w:space="0" w:color="FFFFFF"/>
              <w:bottom w:val="single" w:sz="8" w:space="0" w:color="95B3D7"/>
              <w:right w:val="single" w:sz="8" w:space="0" w:color="FFFFFF"/>
            </w:tcBorders>
            <w:shd w:val="clear" w:color="auto" w:fill="auto"/>
            <w:vAlign w:val="center"/>
          </w:tcPr>
          <w:p w14:paraId="216ED288" w14:textId="77777777" w:rsidR="004A1E2B" w:rsidRPr="001467CC" w:rsidRDefault="004A1E2B" w:rsidP="00B06C32">
            <w:pPr>
              <w:spacing w:before="0" w:after="0" w:line="240" w:lineRule="auto"/>
              <w:rPr>
                <w:rFonts w:asciiTheme="majorHAnsi" w:eastAsia="Times New Roman" w:hAnsiTheme="majorHAnsi" w:cstheme="majorHAnsi"/>
                <w:color w:val="5B9BD5"/>
                <w:sz w:val="24"/>
                <w:szCs w:val="24"/>
                <w:lang w:val="en-US"/>
              </w:rPr>
            </w:pPr>
          </w:p>
        </w:tc>
        <w:tc>
          <w:tcPr>
            <w:tcW w:w="1574" w:type="dxa"/>
            <w:tcBorders>
              <w:bottom w:val="single" w:sz="8" w:space="0" w:color="95B3D7"/>
              <w:right w:val="single" w:sz="8" w:space="0" w:color="FFFFFF"/>
            </w:tcBorders>
            <w:shd w:val="clear" w:color="auto" w:fill="auto"/>
            <w:vAlign w:val="center"/>
          </w:tcPr>
          <w:p w14:paraId="338F7DAE"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1</w:t>
            </w:r>
          </w:p>
        </w:tc>
        <w:tc>
          <w:tcPr>
            <w:tcW w:w="1293" w:type="dxa"/>
            <w:tcBorders>
              <w:bottom w:val="single" w:sz="8" w:space="0" w:color="95B3D7"/>
              <w:right w:val="single" w:sz="8" w:space="0" w:color="FFFFFF"/>
            </w:tcBorders>
            <w:shd w:val="clear" w:color="auto" w:fill="auto"/>
            <w:vAlign w:val="center"/>
          </w:tcPr>
          <w:p w14:paraId="22D5409F"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2</w:t>
            </w:r>
          </w:p>
        </w:tc>
        <w:tc>
          <w:tcPr>
            <w:tcW w:w="1415" w:type="dxa"/>
            <w:tcBorders>
              <w:bottom w:val="single" w:sz="8" w:space="0" w:color="95B3D7"/>
              <w:right w:val="single" w:sz="8" w:space="0" w:color="9BC2E6"/>
            </w:tcBorders>
            <w:shd w:val="clear" w:color="auto" w:fill="auto"/>
            <w:vAlign w:val="center"/>
          </w:tcPr>
          <w:p w14:paraId="6A1CE761"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3</w:t>
            </w:r>
          </w:p>
        </w:tc>
        <w:tc>
          <w:tcPr>
            <w:tcW w:w="1215" w:type="dxa"/>
            <w:tcBorders>
              <w:bottom w:val="single" w:sz="8" w:space="0" w:color="95B3D7"/>
              <w:right w:val="single" w:sz="8" w:space="0" w:color="FFFFFF"/>
            </w:tcBorders>
            <w:shd w:val="clear" w:color="auto" w:fill="auto"/>
            <w:vAlign w:val="center"/>
          </w:tcPr>
          <w:p w14:paraId="71E56959"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1</w:t>
            </w:r>
          </w:p>
        </w:tc>
        <w:tc>
          <w:tcPr>
            <w:tcW w:w="1126" w:type="dxa"/>
            <w:tcBorders>
              <w:bottom w:val="single" w:sz="8" w:space="0" w:color="95B3D7"/>
              <w:right w:val="single" w:sz="8" w:space="0" w:color="FFFFFF"/>
            </w:tcBorders>
            <w:shd w:val="clear" w:color="auto" w:fill="auto"/>
            <w:vAlign w:val="center"/>
          </w:tcPr>
          <w:p w14:paraId="090777DE"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2</w:t>
            </w:r>
          </w:p>
        </w:tc>
        <w:tc>
          <w:tcPr>
            <w:tcW w:w="1068" w:type="dxa"/>
            <w:tcBorders>
              <w:bottom w:val="single" w:sz="8" w:space="0" w:color="95B3D7"/>
              <w:right w:val="single" w:sz="8" w:space="0" w:color="FFFFFF"/>
            </w:tcBorders>
            <w:shd w:val="clear" w:color="auto" w:fill="auto"/>
            <w:vAlign w:val="center"/>
          </w:tcPr>
          <w:p w14:paraId="7E8E2EED" w14:textId="77777777" w:rsidR="004A1E2B" w:rsidRPr="001467CC" w:rsidRDefault="004A1E2B" w:rsidP="00B06C32">
            <w:pPr>
              <w:spacing w:before="0" w:after="0" w:line="240" w:lineRule="auto"/>
              <w:jc w:val="right"/>
              <w:rPr>
                <w:rFonts w:asciiTheme="majorHAnsi" w:eastAsia="Times New Roman" w:hAnsiTheme="majorHAnsi" w:cstheme="majorHAnsi"/>
                <w:i/>
                <w:iCs/>
                <w:color w:val="5B9BD5"/>
                <w:sz w:val="24"/>
                <w:szCs w:val="24"/>
                <w:lang w:val="en-US"/>
              </w:rPr>
            </w:pPr>
            <w:r w:rsidRPr="001467CC">
              <w:rPr>
                <w:rFonts w:asciiTheme="majorHAnsi" w:eastAsia="Times New Roman" w:hAnsiTheme="majorHAnsi" w:cstheme="majorHAnsi"/>
                <w:i/>
                <w:iCs/>
                <w:color w:val="5B9BD5"/>
                <w:sz w:val="24"/>
                <w:szCs w:val="24"/>
                <w:lang w:val="en-US"/>
              </w:rPr>
              <w:t>3</w:t>
            </w:r>
          </w:p>
        </w:tc>
      </w:tr>
      <w:tr w:rsidR="004A1E2B" w:rsidRPr="001467CC" w14:paraId="5052EA99" w14:textId="77777777" w:rsidTr="00B06C32">
        <w:trPr>
          <w:trHeight w:val="208"/>
          <w:jc w:val="center"/>
        </w:trPr>
        <w:tc>
          <w:tcPr>
            <w:tcW w:w="2222" w:type="dxa"/>
            <w:tcBorders>
              <w:left w:val="single" w:sz="8" w:space="0" w:color="FFFFFF"/>
              <w:bottom w:val="single" w:sz="8" w:space="0" w:color="FFFFFF"/>
              <w:right w:val="single" w:sz="8" w:space="0" w:color="FFFFFF"/>
            </w:tcBorders>
            <w:shd w:val="clear" w:color="auto" w:fill="auto"/>
            <w:vAlign w:val="center"/>
          </w:tcPr>
          <w:p w14:paraId="54B22745"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Indicator financiar</w:t>
            </w:r>
          </w:p>
        </w:tc>
        <w:tc>
          <w:tcPr>
            <w:tcW w:w="1574" w:type="dxa"/>
            <w:tcBorders>
              <w:bottom w:val="single" w:sz="8" w:space="0" w:color="FFFFFF"/>
              <w:right w:val="single" w:sz="8" w:space="0" w:color="FFFFFF"/>
            </w:tcBorders>
            <w:shd w:val="clear" w:color="auto" w:fill="auto"/>
            <w:vAlign w:val="center"/>
          </w:tcPr>
          <w:p w14:paraId="51996F9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118</w:t>
            </w:r>
          </w:p>
        </w:tc>
        <w:tc>
          <w:tcPr>
            <w:tcW w:w="1293" w:type="dxa"/>
            <w:tcBorders>
              <w:bottom w:val="single" w:sz="8" w:space="0" w:color="FFFFFF"/>
              <w:right w:val="single" w:sz="8" w:space="0" w:color="FFFFFF"/>
            </w:tcBorders>
            <w:shd w:val="clear" w:color="auto" w:fill="auto"/>
            <w:vAlign w:val="center"/>
          </w:tcPr>
          <w:p w14:paraId="065BA2F2"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95</w:t>
            </w:r>
          </w:p>
        </w:tc>
        <w:tc>
          <w:tcPr>
            <w:tcW w:w="1415" w:type="dxa"/>
            <w:tcBorders>
              <w:bottom w:val="single" w:sz="8" w:space="0" w:color="FFFFFF"/>
              <w:right w:val="single" w:sz="8" w:space="0" w:color="9BC2E6"/>
            </w:tcBorders>
            <w:shd w:val="clear" w:color="auto" w:fill="auto"/>
            <w:vAlign w:val="center"/>
          </w:tcPr>
          <w:p w14:paraId="0486C747"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23</w:t>
            </w:r>
          </w:p>
        </w:tc>
        <w:tc>
          <w:tcPr>
            <w:tcW w:w="1215" w:type="dxa"/>
            <w:tcBorders>
              <w:bottom w:val="single" w:sz="8" w:space="0" w:color="FFFFFF"/>
              <w:right w:val="single" w:sz="8" w:space="0" w:color="FFFFFF"/>
            </w:tcBorders>
            <w:shd w:val="clear" w:color="auto" w:fill="auto"/>
            <w:vAlign w:val="center"/>
          </w:tcPr>
          <w:p w14:paraId="4197AC76"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126</w:t>
            </w:r>
          </w:p>
        </w:tc>
        <w:tc>
          <w:tcPr>
            <w:tcW w:w="1126" w:type="dxa"/>
            <w:tcBorders>
              <w:bottom w:val="single" w:sz="8" w:space="0" w:color="FFFFFF"/>
              <w:right w:val="single" w:sz="8" w:space="0" w:color="FFFFFF"/>
            </w:tcBorders>
            <w:shd w:val="clear" w:color="auto" w:fill="auto"/>
            <w:vAlign w:val="center"/>
          </w:tcPr>
          <w:p w14:paraId="72BFF126"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102</w:t>
            </w:r>
          </w:p>
        </w:tc>
        <w:tc>
          <w:tcPr>
            <w:tcW w:w="1068" w:type="dxa"/>
            <w:tcBorders>
              <w:bottom w:val="single" w:sz="8" w:space="0" w:color="FFFFFF"/>
              <w:right w:val="single" w:sz="8" w:space="0" w:color="FFFFFF"/>
            </w:tcBorders>
            <w:shd w:val="clear" w:color="auto" w:fill="auto"/>
            <w:vAlign w:val="center"/>
          </w:tcPr>
          <w:p w14:paraId="4893272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24</w:t>
            </w:r>
          </w:p>
        </w:tc>
      </w:tr>
      <w:tr w:rsidR="004A1E2B" w:rsidRPr="001467CC" w14:paraId="04A47F7A" w14:textId="77777777" w:rsidTr="00B06C32">
        <w:trPr>
          <w:trHeight w:val="408"/>
          <w:jc w:val="center"/>
        </w:trPr>
        <w:tc>
          <w:tcPr>
            <w:tcW w:w="2222" w:type="dxa"/>
            <w:tcBorders>
              <w:left w:val="single" w:sz="8" w:space="0" w:color="FFFFFF"/>
              <w:bottom w:val="single" w:sz="8" w:space="0" w:color="FFFFFF"/>
              <w:right w:val="single" w:sz="8" w:space="0" w:color="FFFFFF"/>
            </w:tcBorders>
            <w:shd w:val="clear" w:color="auto" w:fill="auto"/>
            <w:vAlign w:val="center"/>
          </w:tcPr>
          <w:p w14:paraId="17FED616"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Indicator operațional nefinanciar</w:t>
            </w:r>
          </w:p>
        </w:tc>
        <w:tc>
          <w:tcPr>
            <w:tcW w:w="1574" w:type="dxa"/>
            <w:tcBorders>
              <w:bottom w:val="single" w:sz="8" w:space="0" w:color="FFFFFF"/>
              <w:right w:val="single" w:sz="8" w:space="0" w:color="FFFFFF"/>
            </w:tcBorders>
            <w:shd w:val="clear" w:color="auto" w:fill="auto"/>
            <w:vAlign w:val="center"/>
          </w:tcPr>
          <w:p w14:paraId="2667D00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121</w:t>
            </w:r>
          </w:p>
        </w:tc>
        <w:tc>
          <w:tcPr>
            <w:tcW w:w="1293" w:type="dxa"/>
            <w:tcBorders>
              <w:bottom w:val="single" w:sz="8" w:space="0" w:color="FFFFFF"/>
              <w:right w:val="single" w:sz="8" w:space="0" w:color="FFFFFF"/>
            </w:tcBorders>
            <w:shd w:val="clear" w:color="auto" w:fill="auto"/>
            <w:vAlign w:val="center"/>
          </w:tcPr>
          <w:p w14:paraId="77A5563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99</w:t>
            </w:r>
          </w:p>
        </w:tc>
        <w:tc>
          <w:tcPr>
            <w:tcW w:w="1415" w:type="dxa"/>
            <w:tcBorders>
              <w:bottom w:val="single" w:sz="8" w:space="0" w:color="FFFFFF"/>
              <w:right w:val="single" w:sz="8" w:space="0" w:color="9BC2E6"/>
            </w:tcBorders>
            <w:shd w:val="clear" w:color="auto" w:fill="auto"/>
            <w:vAlign w:val="center"/>
          </w:tcPr>
          <w:p w14:paraId="1CE87CFB"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22</w:t>
            </w:r>
          </w:p>
        </w:tc>
        <w:tc>
          <w:tcPr>
            <w:tcW w:w="1215" w:type="dxa"/>
            <w:tcBorders>
              <w:bottom w:val="single" w:sz="8" w:space="0" w:color="FFFFFF"/>
              <w:right w:val="single" w:sz="8" w:space="0" w:color="FFFFFF"/>
            </w:tcBorders>
            <w:shd w:val="clear" w:color="auto" w:fill="auto"/>
            <w:vAlign w:val="center"/>
          </w:tcPr>
          <w:p w14:paraId="1E0F614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101</w:t>
            </w:r>
          </w:p>
        </w:tc>
        <w:tc>
          <w:tcPr>
            <w:tcW w:w="1126" w:type="dxa"/>
            <w:tcBorders>
              <w:bottom w:val="single" w:sz="8" w:space="0" w:color="FFFFFF"/>
              <w:right w:val="single" w:sz="8" w:space="0" w:color="FFFFFF"/>
            </w:tcBorders>
            <w:shd w:val="clear" w:color="auto" w:fill="auto"/>
            <w:vAlign w:val="center"/>
          </w:tcPr>
          <w:p w14:paraId="4F14C90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92</w:t>
            </w:r>
          </w:p>
        </w:tc>
        <w:tc>
          <w:tcPr>
            <w:tcW w:w="1068" w:type="dxa"/>
            <w:tcBorders>
              <w:bottom w:val="single" w:sz="8" w:space="0" w:color="FFFFFF"/>
              <w:right w:val="single" w:sz="8" w:space="0" w:color="FFFFFF"/>
            </w:tcBorders>
            <w:shd w:val="clear" w:color="auto" w:fill="auto"/>
            <w:vAlign w:val="center"/>
          </w:tcPr>
          <w:p w14:paraId="6B71B7C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9</w:t>
            </w:r>
          </w:p>
        </w:tc>
      </w:tr>
      <w:tr w:rsidR="004A1E2B" w:rsidRPr="001467CC" w14:paraId="5D197E09" w14:textId="77777777" w:rsidTr="00B06C32">
        <w:trPr>
          <w:trHeight w:val="501"/>
          <w:jc w:val="center"/>
        </w:trPr>
        <w:tc>
          <w:tcPr>
            <w:tcW w:w="2222" w:type="dxa"/>
            <w:tcBorders>
              <w:left w:val="single" w:sz="8" w:space="0" w:color="FFFFFF"/>
              <w:bottom w:val="single" w:sz="8" w:space="0" w:color="95B3D7"/>
              <w:right w:val="single" w:sz="8" w:space="0" w:color="FFFFFF"/>
            </w:tcBorders>
            <w:shd w:val="clear" w:color="auto" w:fill="auto"/>
            <w:vAlign w:val="center"/>
          </w:tcPr>
          <w:p w14:paraId="35BB1CB3"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Indicator privind guvernanța corporativă</w:t>
            </w:r>
          </w:p>
        </w:tc>
        <w:tc>
          <w:tcPr>
            <w:tcW w:w="1574" w:type="dxa"/>
            <w:tcBorders>
              <w:bottom w:val="single" w:sz="8" w:space="0" w:color="95B3D7"/>
              <w:right w:val="single" w:sz="8" w:space="0" w:color="FFFFFF"/>
            </w:tcBorders>
            <w:shd w:val="clear" w:color="auto" w:fill="auto"/>
            <w:vAlign w:val="center"/>
          </w:tcPr>
          <w:p w14:paraId="6648CD66"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76</w:t>
            </w:r>
          </w:p>
        </w:tc>
        <w:tc>
          <w:tcPr>
            <w:tcW w:w="1293" w:type="dxa"/>
            <w:tcBorders>
              <w:bottom w:val="single" w:sz="8" w:space="0" w:color="95B3D7"/>
              <w:right w:val="single" w:sz="8" w:space="0" w:color="FFFFFF"/>
            </w:tcBorders>
            <w:shd w:val="clear" w:color="auto" w:fill="auto"/>
            <w:vAlign w:val="center"/>
          </w:tcPr>
          <w:p w14:paraId="11FCC21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68</w:t>
            </w:r>
          </w:p>
        </w:tc>
        <w:tc>
          <w:tcPr>
            <w:tcW w:w="1415" w:type="dxa"/>
            <w:tcBorders>
              <w:right w:val="single" w:sz="8" w:space="0" w:color="9BC2E6"/>
            </w:tcBorders>
            <w:shd w:val="clear" w:color="auto" w:fill="auto"/>
            <w:vAlign w:val="center"/>
          </w:tcPr>
          <w:p w14:paraId="28AF6FE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8</w:t>
            </w:r>
          </w:p>
        </w:tc>
        <w:tc>
          <w:tcPr>
            <w:tcW w:w="1215" w:type="dxa"/>
            <w:tcBorders>
              <w:bottom w:val="single" w:sz="8" w:space="0" w:color="95B3D7"/>
              <w:right w:val="single" w:sz="8" w:space="0" w:color="FFFFFF"/>
            </w:tcBorders>
            <w:shd w:val="clear" w:color="auto" w:fill="auto"/>
            <w:vAlign w:val="center"/>
          </w:tcPr>
          <w:p w14:paraId="6D64F8E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54</w:t>
            </w:r>
          </w:p>
        </w:tc>
        <w:tc>
          <w:tcPr>
            <w:tcW w:w="1126" w:type="dxa"/>
            <w:tcBorders>
              <w:bottom w:val="single" w:sz="8" w:space="0" w:color="95B3D7"/>
              <w:right w:val="single" w:sz="8" w:space="0" w:color="FFFFFF"/>
            </w:tcBorders>
            <w:shd w:val="clear" w:color="auto" w:fill="auto"/>
            <w:vAlign w:val="center"/>
          </w:tcPr>
          <w:p w14:paraId="55ADF67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47</w:t>
            </w:r>
          </w:p>
        </w:tc>
        <w:tc>
          <w:tcPr>
            <w:tcW w:w="1068" w:type="dxa"/>
            <w:tcBorders>
              <w:right w:val="single" w:sz="8" w:space="0" w:color="FFFFFF"/>
            </w:tcBorders>
            <w:shd w:val="clear" w:color="auto" w:fill="auto"/>
            <w:vAlign w:val="center"/>
          </w:tcPr>
          <w:p w14:paraId="0DD5C5F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7</w:t>
            </w:r>
          </w:p>
        </w:tc>
      </w:tr>
      <w:tr w:rsidR="004A1E2B" w:rsidRPr="001467CC" w14:paraId="07CE8327" w14:textId="77777777" w:rsidTr="00B06C32">
        <w:trPr>
          <w:trHeight w:val="208"/>
          <w:jc w:val="center"/>
        </w:trPr>
        <w:tc>
          <w:tcPr>
            <w:tcW w:w="2222" w:type="dxa"/>
            <w:tcBorders>
              <w:left w:val="single" w:sz="8" w:space="0" w:color="FFFFFF"/>
              <w:bottom w:val="single" w:sz="8" w:space="0" w:color="95B3D7"/>
              <w:right w:val="single" w:sz="8" w:space="0" w:color="FFFFFF"/>
            </w:tcBorders>
            <w:shd w:val="clear" w:color="auto" w:fill="auto"/>
            <w:vAlign w:val="center"/>
          </w:tcPr>
          <w:p w14:paraId="3604F42A"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TOTAL</w:t>
            </w:r>
          </w:p>
        </w:tc>
        <w:tc>
          <w:tcPr>
            <w:tcW w:w="1574" w:type="dxa"/>
            <w:tcBorders>
              <w:bottom w:val="single" w:sz="8" w:space="0" w:color="95B3D7"/>
              <w:right w:val="single" w:sz="8" w:space="0" w:color="FFFFFF"/>
            </w:tcBorders>
            <w:shd w:val="clear" w:color="auto" w:fill="auto"/>
            <w:vAlign w:val="center"/>
          </w:tcPr>
          <w:p w14:paraId="7717C160"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315</w:t>
            </w:r>
          </w:p>
        </w:tc>
        <w:tc>
          <w:tcPr>
            <w:tcW w:w="1293" w:type="dxa"/>
            <w:tcBorders>
              <w:bottom w:val="single" w:sz="8" w:space="0" w:color="95B3D7"/>
              <w:right w:val="single" w:sz="8" w:space="0" w:color="FFFFFF"/>
            </w:tcBorders>
            <w:shd w:val="clear" w:color="auto" w:fill="auto"/>
            <w:vAlign w:val="center"/>
          </w:tcPr>
          <w:p w14:paraId="65628313"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262</w:t>
            </w:r>
          </w:p>
        </w:tc>
        <w:tc>
          <w:tcPr>
            <w:tcW w:w="1415" w:type="dxa"/>
            <w:tcBorders>
              <w:bottom w:val="single" w:sz="8" w:space="0" w:color="95B3D7"/>
              <w:right w:val="single" w:sz="8" w:space="0" w:color="9BC2E6"/>
            </w:tcBorders>
            <w:shd w:val="clear" w:color="auto" w:fill="auto"/>
            <w:vAlign w:val="center"/>
          </w:tcPr>
          <w:p w14:paraId="0F4B4BD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53</w:t>
            </w:r>
          </w:p>
        </w:tc>
        <w:tc>
          <w:tcPr>
            <w:tcW w:w="1215" w:type="dxa"/>
            <w:tcBorders>
              <w:bottom w:val="single" w:sz="8" w:space="0" w:color="95B3D7"/>
              <w:right w:val="single" w:sz="8" w:space="0" w:color="FFFFFF"/>
            </w:tcBorders>
            <w:shd w:val="clear" w:color="auto" w:fill="auto"/>
            <w:vAlign w:val="center"/>
          </w:tcPr>
          <w:p w14:paraId="56A94C13"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281</w:t>
            </w:r>
          </w:p>
        </w:tc>
        <w:tc>
          <w:tcPr>
            <w:tcW w:w="1126" w:type="dxa"/>
            <w:tcBorders>
              <w:bottom w:val="single" w:sz="8" w:space="0" w:color="95B3D7"/>
              <w:right w:val="single" w:sz="8" w:space="0" w:color="FFFFFF"/>
            </w:tcBorders>
            <w:shd w:val="clear" w:color="auto" w:fill="auto"/>
            <w:vAlign w:val="center"/>
          </w:tcPr>
          <w:p w14:paraId="37D84DF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241</w:t>
            </w:r>
          </w:p>
        </w:tc>
        <w:tc>
          <w:tcPr>
            <w:tcW w:w="1068" w:type="dxa"/>
            <w:tcBorders>
              <w:bottom w:val="single" w:sz="8" w:space="0" w:color="95B3D7"/>
              <w:right w:val="single" w:sz="8" w:space="0" w:color="FFFFFF"/>
            </w:tcBorders>
            <w:shd w:val="clear" w:color="auto" w:fill="auto"/>
            <w:vAlign w:val="center"/>
          </w:tcPr>
          <w:p w14:paraId="0034E1F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40</w:t>
            </w:r>
          </w:p>
        </w:tc>
      </w:tr>
    </w:tbl>
    <w:p w14:paraId="188A134A" w14:textId="77777777" w:rsidR="004A1E2B" w:rsidRPr="001467CC" w:rsidRDefault="004A1E2B" w:rsidP="004A1E2B">
      <w:pPr>
        <w:jc w:val="both"/>
        <w:rPr>
          <w:rFonts w:asciiTheme="majorHAnsi" w:hAnsiTheme="majorHAnsi" w:cstheme="majorHAnsi"/>
          <w:bCs/>
          <w:lang w:eastAsia="ro-RO"/>
        </w:rPr>
      </w:pPr>
    </w:p>
    <w:p w14:paraId="0412AE82" w14:textId="77777777" w:rsidR="004A1E2B" w:rsidRPr="001467CC" w:rsidRDefault="004A1E2B" w:rsidP="004A1E2B">
      <w:pPr>
        <w:spacing w:after="0" w:line="240" w:lineRule="auto"/>
        <w:jc w:val="both"/>
        <w:rPr>
          <w:rFonts w:asciiTheme="majorHAnsi" w:hAnsiTheme="majorHAnsi" w:cstheme="majorHAnsi"/>
        </w:rPr>
      </w:pPr>
      <w:r w:rsidRPr="001467CC">
        <w:rPr>
          <w:rFonts w:asciiTheme="majorHAnsi" w:hAnsiTheme="majorHAnsi" w:cstheme="majorHAnsi"/>
          <w:b/>
        </w:rPr>
        <w:t>Cei 118 indicatori cheie de performanță financiari</w:t>
      </w:r>
      <w:r w:rsidRPr="001467CC">
        <w:rPr>
          <w:rFonts w:asciiTheme="majorHAnsi" w:hAnsiTheme="majorHAnsi" w:cstheme="majorHAnsi"/>
        </w:rPr>
        <w:t xml:space="preserve"> regăsiți în contractele de mandat ale administratorilor sunt grupați la rândul lor, în funcție de scopurile întreprinderilor publice, după cum urmează:</w:t>
      </w:r>
    </w:p>
    <w:p w14:paraId="5BBD5108"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17</w:t>
      </w:r>
      <w:r w:rsidRPr="001467CC">
        <w:rPr>
          <w:rFonts w:asciiTheme="majorHAnsi" w:hAnsiTheme="majorHAnsi" w:cstheme="majorHAnsi"/>
        </w:rPr>
        <w:t xml:space="preserve"> indicatori privind </w:t>
      </w:r>
      <w:r w:rsidRPr="001467CC">
        <w:rPr>
          <w:rFonts w:asciiTheme="majorHAnsi" w:hAnsiTheme="majorHAnsi" w:cstheme="majorHAnsi"/>
          <w:b/>
        </w:rPr>
        <w:t>fluxul de numerar</w:t>
      </w:r>
      <w:r w:rsidRPr="001467CC">
        <w:rPr>
          <w:rFonts w:asciiTheme="majorHAnsi" w:hAnsiTheme="majorHAnsi" w:cstheme="majorHAnsi"/>
        </w:rPr>
        <w:t>;</w:t>
      </w:r>
    </w:p>
    <w:p w14:paraId="08DA9104"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16</w:t>
      </w:r>
      <w:r w:rsidRPr="001467CC">
        <w:rPr>
          <w:rFonts w:asciiTheme="majorHAnsi" w:hAnsiTheme="majorHAnsi" w:cstheme="majorHAnsi"/>
        </w:rPr>
        <w:t xml:space="preserve"> indicatori privind </w:t>
      </w:r>
      <w:r w:rsidRPr="001467CC">
        <w:rPr>
          <w:rFonts w:asciiTheme="majorHAnsi" w:hAnsiTheme="majorHAnsi" w:cstheme="majorHAnsi"/>
          <w:b/>
        </w:rPr>
        <w:t>costurile;</w:t>
      </w:r>
    </w:p>
    <w:p w14:paraId="43F9EDDE"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18</w:t>
      </w:r>
      <w:r w:rsidRPr="001467CC">
        <w:rPr>
          <w:rFonts w:asciiTheme="majorHAnsi" w:hAnsiTheme="majorHAnsi" w:cstheme="majorHAnsi"/>
        </w:rPr>
        <w:t xml:space="preserve"> indicatori privind </w:t>
      </w:r>
      <w:r w:rsidRPr="001467CC">
        <w:rPr>
          <w:rFonts w:asciiTheme="majorHAnsi" w:hAnsiTheme="majorHAnsi" w:cstheme="majorHAnsi"/>
          <w:b/>
        </w:rPr>
        <w:t>datoriile</w:t>
      </w:r>
      <w:r w:rsidRPr="001467CC">
        <w:rPr>
          <w:rFonts w:asciiTheme="majorHAnsi" w:hAnsiTheme="majorHAnsi" w:cstheme="majorHAnsi"/>
        </w:rPr>
        <w:t>;</w:t>
      </w:r>
    </w:p>
    <w:p w14:paraId="662725F4"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20 i</w:t>
      </w:r>
      <w:r w:rsidRPr="001467CC">
        <w:rPr>
          <w:rFonts w:asciiTheme="majorHAnsi" w:hAnsiTheme="majorHAnsi" w:cstheme="majorHAnsi"/>
        </w:rPr>
        <w:t xml:space="preserve">ndicatori privind </w:t>
      </w:r>
      <w:r w:rsidRPr="001467CC">
        <w:rPr>
          <w:rFonts w:asciiTheme="majorHAnsi" w:hAnsiTheme="majorHAnsi" w:cstheme="majorHAnsi"/>
          <w:b/>
        </w:rPr>
        <w:t>venitul</w:t>
      </w:r>
      <w:r w:rsidRPr="001467CC">
        <w:rPr>
          <w:rFonts w:asciiTheme="majorHAnsi" w:hAnsiTheme="majorHAnsi" w:cstheme="majorHAnsi"/>
        </w:rPr>
        <w:t>;</w:t>
      </w:r>
    </w:p>
    <w:p w14:paraId="06E7E659"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 xml:space="preserve">23 </w:t>
      </w:r>
      <w:r w:rsidRPr="001467CC">
        <w:rPr>
          <w:rFonts w:asciiTheme="majorHAnsi" w:hAnsiTheme="majorHAnsi" w:cstheme="majorHAnsi"/>
        </w:rPr>
        <w:t xml:space="preserve">Indicatori privind </w:t>
      </w:r>
      <w:r w:rsidRPr="001467CC">
        <w:rPr>
          <w:rFonts w:asciiTheme="majorHAnsi" w:hAnsiTheme="majorHAnsi" w:cstheme="majorHAnsi"/>
          <w:b/>
        </w:rPr>
        <w:t>profitabilitatea</w:t>
      </w:r>
      <w:r w:rsidRPr="001467CC">
        <w:rPr>
          <w:rFonts w:asciiTheme="majorHAnsi" w:hAnsiTheme="majorHAnsi" w:cstheme="majorHAnsi"/>
        </w:rPr>
        <w:t>;</w:t>
      </w:r>
    </w:p>
    <w:p w14:paraId="097C9C9B"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 xml:space="preserve">11 </w:t>
      </w:r>
      <w:r w:rsidRPr="001467CC">
        <w:rPr>
          <w:rFonts w:asciiTheme="majorHAnsi" w:hAnsiTheme="majorHAnsi" w:cstheme="majorHAnsi"/>
        </w:rPr>
        <w:t xml:space="preserve">indicatori privind </w:t>
      </w:r>
      <w:r w:rsidRPr="001467CC">
        <w:rPr>
          <w:rFonts w:asciiTheme="majorHAnsi" w:hAnsiTheme="majorHAnsi" w:cstheme="majorHAnsi"/>
          <w:b/>
        </w:rPr>
        <w:t>investițiile</w:t>
      </w:r>
      <w:r w:rsidRPr="001467CC">
        <w:rPr>
          <w:rFonts w:asciiTheme="majorHAnsi" w:hAnsiTheme="majorHAnsi" w:cstheme="majorHAnsi"/>
        </w:rPr>
        <w:t>;</w:t>
      </w:r>
    </w:p>
    <w:p w14:paraId="0C90A999" w14:textId="77777777" w:rsidR="004A1E2B" w:rsidRPr="001467CC"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 xml:space="preserve">2 </w:t>
      </w:r>
      <w:r w:rsidRPr="001467CC">
        <w:rPr>
          <w:rFonts w:asciiTheme="majorHAnsi" w:hAnsiTheme="majorHAnsi" w:cstheme="majorHAnsi"/>
        </w:rPr>
        <w:t xml:space="preserve">indicatori privind </w:t>
      </w:r>
      <w:r w:rsidRPr="001467CC">
        <w:rPr>
          <w:rFonts w:asciiTheme="majorHAnsi" w:hAnsiTheme="majorHAnsi" w:cstheme="majorHAnsi"/>
          <w:b/>
        </w:rPr>
        <w:t>politica de dividende</w:t>
      </w:r>
      <w:r w:rsidRPr="001467CC">
        <w:rPr>
          <w:rFonts w:asciiTheme="majorHAnsi" w:hAnsiTheme="majorHAnsi" w:cstheme="majorHAnsi"/>
        </w:rPr>
        <w:t>;</w:t>
      </w:r>
    </w:p>
    <w:p w14:paraId="24C70A68" w14:textId="18536E47" w:rsidR="004A1E2B" w:rsidRDefault="004A1E2B" w:rsidP="00F17378">
      <w:pPr>
        <w:pStyle w:val="ListParagraph"/>
        <w:numPr>
          <w:ilvl w:val="0"/>
          <w:numId w:val="31"/>
        </w:numPr>
        <w:spacing w:before="0" w:after="160"/>
        <w:ind w:left="284" w:hanging="284"/>
        <w:jc w:val="both"/>
        <w:rPr>
          <w:rFonts w:asciiTheme="majorHAnsi" w:hAnsiTheme="majorHAnsi" w:cstheme="majorHAnsi"/>
        </w:rPr>
      </w:pPr>
      <w:r w:rsidRPr="001467CC">
        <w:rPr>
          <w:rFonts w:asciiTheme="majorHAnsi" w:hAnsiTheme="majorHAnsi" w:cstheme="majorHAnsi"/>
          <w:b/>
        </w:rPr>
        <w:t>11</w:t>
      </w:r>
      <w:r w:rsidRPr="001467CC">
        <w:rPr>
          <w:rFonts w:asciiTheme="majorHAnsi" w:hAnsiTheme="majorHAnsi" w:cstheme="majorHAnsi"/>
        </w:rPr>
        <w:t xml:space="preserve"> </w:t>
      </w:r>
      <w:r w:rsidRPr="001467CC">
        <w:rPr>
          <w:rFonts w:asciiTheme="majorHAnsi" w:hAnsiTheme="majorHAnsi" w:cstheme="majorHAnsi"/>
          <w:b/>
        </w:rPr>
        <w:t>alți indicatori</w:t>
      </w:r>
      <w:r w:rsidRPr="001467CC">
        <w:rPr>
          <w:rFonts w:asciiTheme="majorHAnsi" w:hAnsiTheme="majorHAnsi" w:cstheme="majorHAnsi"/>
        </w:rPr>
        <w:t>.</w:t>
      </w:r>
    </w:p>
    <w:p w14:paraId="53BA4B3F" w14:textId="77777777" w:rsidR="00B06C32" w:rsidRPr="001467CC" w:rsidRDefault="00B06C32" w:rsidP="00F17378">
      <w:pPr>
        <w:pStyle w:val="ListParagraph"/>
        <w:numPr>
          <w:ilvl w:val="0"/>
          <w:numId w:val="31"/>
        </w:numPr>
        <w:spacing w:before="0" w:after="160"/>
        <w:ind w:left="284" w:hanging="284"/>
        <w:jc w:val="both"/>
        <w:rPr>
          <w:rFonts w:asciiTheme="majorHAnsi" w:hAnsiTheme="majorHAnsi" w:cstheme="majorHAnsi"/>
        </w:rPr>
      </w:pPr>
    </w:p>
    <w:p w14:paraId="02E6F7A0" w14:textId="77777777" w:rsidR="004A1E2B" w:rsidRPr="001467CC" w:rsidRDefault="004A1E2B" w:rsidP="004A1E2B">
      <w:pPr>
        <w:pStyle w:val="ListParagraph"/>
        <w:spacing w:before="0" w:after="160"/>
        <w:ind w:left="284"/>
        <w:jc w:val="both"/>
        <w:rPr>
          <w:rFonts w:asciiTheme="majorHAnsi" w:hAnsiTheme="majorHAnsi" w:cstheme="majorHAnsi"/>
          <w:b/>
        </w:rPr>
      </w:pPr>
    </w:p>
    <w:p w14:paraId="71B65F4F" w14:textId="77777777" w:rsidR="004A1E2B" w:rsidRPr="001467CC" w:rsidRDefault="004A1E2B" w:rsidP="004A1E2B">
      <w:pPr>
        <w:pStyle w:val="ListParagraph"/>
        <w:spacing w:before="0" w:after="160"/>
        <w:ind w:left="284"/>
        <w:jc w:val="both"/>
        <w:rPr>
          <w:rFonts w:asciiTheme="majorHAnsi" w:hAnsiTheme="majorHAnsi" w:cstheme="majorHAnsi"/>
          <w:b/>
        </w:rPr>
      </w:pPr>
    </w:p>
    <w:p w14:paraId="7C733DA7" w14:textId="77777777" w:rsidR="004A1E2B" w:rsidRPr="001467CC" w:rsidRDefault="004A1E2B" w:rsidP="004A1E2B">
      <w:pPr>
        <w:spacing w:after="0" w:line="240" w:lineRule="auto"/>
        <w:jc w:val="both"/>
        <w:rPr>
          <w:rFonts w:asciiTheme="majorHAnsi" w:hAnsiTheme="majorHAnsi" w:cstheme="majorHAnsi"/>
        </w:rPr>
      </w:pPr>
      <w:r w:rsidRPr="001467CC">
        <w:rPr>
          <w:rFonts w:asciiTheme="majorHAnsi" w:hAnsiTheme="majorHAnsi" w:cstheme="majorHAnsi"/>
          <w:b/>
        </w:rPr>
        <w:t>Cei 126 indicatori cheie de performanță financiari</w:t>
      </w:r>
      <w:r w:rsidRPr="001467CC">
        <w:rPr>
          <w:rFonts w:asciiTheme="majorHAnsi" w:hAnsiTheme="majorHAnsi" w:cstheme="majorHAnsi"/>
        </w:rPr>
        <w:t xml:space="preserve"> regăsiți în contractele de mandat ale directorilor sunt grupați la rândul lor, în funcție de scopurile întreprinderilor publice, după cum urmează:</w:t>
      </w:r>
    </w:p>
    <w:p w14:paraId="6C112C6C"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14</w:t>
      </w:r>
      <w:r w:rsidRPr="001467CC">
        <w:rPr>
          <w:rFonts w:asciiTheme="majorHAnsi" w:hAnsiTheme="majorHAnsi" w:cstheme="majorHAnsi"/>
        </w:rPr>
        <w:t xml:space="preserve"> indicatori privind </w:t>
      </w:r>
      <w:r w:rsidRPr="001467CC">
        <w:rPr>
          <w:rFonts w:asciiTheme="majorHAnsi" w:hAnsiTheme="majorHAnsi" w:cstheme="majorHAnsi"/>
          <w:b/>
        </w:rPr>
        <w:t>fluxul de numerar</w:t>
      </w:r>
      <w:r w:rsidRPr="001467CC">
        <w:rPr>
          <w:rFonts w:asciiTheme="majorHAnsi" w:hAnsiTheme="majorHAnsi" w:cstheme="majorHAnsi"/>
        </w:rPr>
        <w:t>;</w:t>
      </w:r>
    </w:p>
    <w:p w14:paraId="69E215B5"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19</w:t>
      </w:r>
      <w:r w:rsidRPr="001467CC">
        <w:rPr>
          <w:rFonts w:asciiTheme="majorHAnsi" w:hAnsiTheme="majorHAnsi" w:cstheme="majorHAnsi"/>
        </w:rPr>
        <w:t xml:space="preserve"> indicatori privind </w:t>
      </w:r>
      <w:r w:rsidRPr="001467CC">
        <w:rPr>
          <w:rFonts w:asciiTheme="majorHAnsi" w:hAnsiTheme="majorHAnsi" w:cstheme="majorHAnsi"/>
          <w:b/>
        </w:rPr>
        <w:t>costurile;</w:t>
      </w:r>
    </w:p>
    <w:p w14:paraId="21679EF1"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16</w:t>
      </w:r>
      <w:r w:rsidRPr="001467CC">
        <w:rPr>
          <w:rFonts w:asciiTheme="majorHAnsi" w:hAnsiTheme="majorHAnsi" w:cstheme="majorHAnsi"/>
        </w:rPr>
        <w:t xml:space="preserve"> indicatori privind </w:t>
      </w:r>
      <w:r w:rsidRPr="001467CC">
        <w:rPr>
          <w:rFonts w:asciiTheme="majorHAnsi" w:hAnsiTheme="majorHAnsi" w:cstheme="majorHAnsi"/>
          <w:b/>
        </w:rPr>
        <w:t>datoriile</w:t>
      </w:r>
      <w:r w:rsidRPr="001467CC">
        <w:rPr>
          <w:rFonts w:asciiTheme="majorHAnsi" w:hAnsiTheme="majorHAnsi" w:cstheme="majorHAnsi"/>
        </w:rPr>
        <w:t>;</w:t>
      </w:r>
    </w:p>
    <w:p w14:paraId="1F494364"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29 i</w:t>
      </w:r>
      <w:r w:rsidRPr="001467CC">
        <w:rPr>
          <w:rFonts w:asciiTheme="majorHAnsi" w:hAnsiTheme="majorHAnsi" w:cstheme="majorHAnsi"/>
        </w:rPr>
        <w:t xml:space="preserve">ndicatori privind </w:t>
      </w:r>
      <w:r w:rsidRPr="001467CC">
        <w:rPr>
          <w:rFonts w:asciiTheme="majorHAnsi" w:hAnsiTheme="majorHAnsi" w:cstheme="majorHAnsi"/>
          <w:b/>
        </w:rPr>
        <w:t>venitul</w:t>
      </w:r>
      <w:r w:rsidRPr="001467CC">
        <w:rPr>
          <w:rFonts w:asciiTheme="majorHAnsi" w:hAnsiTheme="majorHAnsi" w:cstheme="majorHAnsi"/>
        </w:rPr>
        <w:t>;</w:t>
      </w:r>
    </w:p>
    <w:p w14:paraId="58AB23E0"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 xml:space="preserve">27 </w:t>
      </w:r>
      <w:r w:rsidRPr="001467CC">
        <w:rPr>
          <w:rFonts w:asciiTheme="majorHAnsi" w:hAnsiTheme="majorHAnsi" w:cstheme="majorHAnsi"/>
        </w:rPr>
        <w:t xml:space="preserve">Indicatori privind </w:t>
      </w:r>
      <w:r w:rsidRPr="001467CC">
        <w:rPr>
          <w:rFonts w:asciiTheme="majorHAnsi" w:hAnsiTheme="majorHAnsi" w:cstheme="majorHAnsi"/>
          <w:b/>
        </w:rPr>
        <w:t>profitabilitatea</w:t>
      </w:r>
      <w:r w:rsidRPr="001467CC">
        <w:rPr>
          <w:rFonts w:asciiTheme="majorHAnsi" w:hAnsiTheme="majorHAnsi" w:cstheme="majorHAnsi"/>
        </w:rPr>
        <w:t>;</w:t>
      </w:r>
    </w:p>
    <w:p w14:paraId="388C2C55"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 xml:space="preserve">9 </w:t>
      </w:r>
      <w:r w:rsidRPr="001467CC">
        <w:rPr>
          <w:rFonts w:asciiTheme="majorHAnsi" w:hAnsiTheme="majorHAnsi" w:cstheme="majorHAnsi"/>
        </w:rPr>
        <w:t xml:space="preserve">indicatori privind </w:t>
      </w:r>
      <w:r w:rsidRPr="001467CC">
        <w:rPr>
          <w:rFonts w:asciiTheme="majorHAnsi" w:hAnsiTheme="majorHAnsi" w:cstheme="majorHAnsi"/>
          <w:b/>
        </w:rPr>
        <w:t>investițiile</w:t>
      </w:r>
      <w:r w:rsidRPr="001467CC">
        <w:rPr>
          <w:rFonts w:asciiTheme="majorHAnsi" w:hAnsiTheme="majorHAnsi" w:cstheme="majorHAnsi"/>
        </w:rPr>
        <w:t>;</w:t>
      </w:r>
    </w:p>
    <w:p w14:paraId="748D7831"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rPr>
        <w:t xml:space="preserve">2 </w:t>
      </w:r>
      <w:r w:rsidRPr="001467CC">
        <w:rPr>
          <w:rFonts w:asciiTheme="majorHAnsi" w:hAnsiTheme="majorHAnsi" w:cstheme="majorHAnsi"/>
        </w:rPr>
        <w:t xml:space="preserve">indicatori privind </w:t>
      </w:r>
      <w:r w:rsidRPr="001467CC">
        <w:rPr>
          <w:rFonts w:asciiTheme="majorHAnsi" w:hAnsiTheme="majorHAnsi" w:cstheme="majorHAnsi"/>
          <w:b/>
        </w:rPr>
        <w:t>politica de dividende</w:t>
      </w:r>
      <w:r w:rsidRPr="001467CC">
        <w:rPr>
          <w:rFonts w:asciiTheme="majorHAnsi" w:hAnsiTheme="majorHAnsi" w:cstheme="majorHAnsi"/>
        </w:rPr>
        <w:t>;</w:t>
      </w:r>
    </w:p>
    <w:p w14:paraId="7248DC4B" w14:textId="77777777" w:rsidR="004A1E2B" w:rsidRPr="001467CC" w:rsidRDefault="004A1E2B" w:rsidP="00F17378">
      <w:pPr>
        <w:pStyle w:val="ListParagraph"/>
        <w:numPr>
          <w:ilvl w:val="0"/>
          <w:numId w:val="42"/>
        </w:numPr>
        <w:spacing w:before="0" w:after="160"/>
        <w:ind w:left="426"/>
        <w:jc w:val="both"/>
        <w:rPr>
          <w:rFonts w:asciiTheme="majorHAnsi" w:hAnsiTheme="majorHAnsi" w:cstheme="majorHAnsi"/>
        </w:rPr>
      </w:pPr>
      <w:r w:rsidRPr="001467CC">
        <w:rPr>
          <w:rFonts w:asciiTheme="majorHAnsi" w:hAnsiTheme="majorHAnsi" w:cstheme="majorHAnsi"/>
          <w:b/>
          <w:bCs/>
        </w:rPr>
        <w:t>10</w:t>
      </w:r>
      <w:r w:rsidRPr="001467CC">
        <w:rPr>
          <w:rFonts w:asciiTheme="majorHAnsi" w:hAnsiTheme="majorHAnsi" w:cstheme="majorHAnsi"/>
        </w:rPr>
        <w:t xml:space="preserve"> </w:t>
      </w:r>
      <w:r w:rsidRPr="001467CC">
        <w:rPr>
          <w:rFonts w:asciiTheme="majorHAnsi" w:hAnsiTheme="majorHAnsi" w:cstheme="majorHAnsi"/>
          <w:b/>
        </w:rPr>
        <w:t>alți indicatori</w:t>
      </w:r>
      <w:r w:rsidRPr="001467CC">
        <w:rPr>
          <w:rFonts w:asciiTheme="majorHAnsi" w:hAnsiTheme="majorHAnsi" w:cstheme="majorHAnsi"/>
        </w:rPr>
        <w:t>.</w:t>
      </w:r>
    </w:p>
    <w:p w14:paraId="70382A0C" w14:textId="77777777" w:rsidR="004A1E2B" w:rsidRPr="001467CC" w:rsidRDefault="004A1E2B" w:rsidP="004A1E2B">
      <w:pPr>
        <w:spacing w:after="0" w:line="240" w:lineRule="auto"/>
        <w:jc w:val="both"/>
        <w:rPr>
          <w:rFonts w:asciiTheme="majorHAnsi" w:hAnsiTheme="majorHAnsi" w:cstheme="majorHAnsi"/>
        </w:rPr>
      </w:pPr>
    </w:p>
    <w:p w14:paraId="738BAEE0" w14:textId="52AA1178" w:rsidR="00102DF8" w:rsidRDefault="004A1E2B" w:rsidP="004A1E2B">
      <w:pPr>
        <w:pStyle w:val="ListParagraph"/>
        <w:spacing w:before="0" w:after="160"/>
        <w:ind w:left="284"/>
        <w:jc w:val="both"/>
        <w:rPr>
          <w:rFonts w:asciiTheme="majorHAnsi" w:hAnsiTheme="majorHAnsi" w:cstheme="majorHAnsi"/>
        </w:rPr>
      </w:pPr>
      <w:r w:rsidRPr="001467CC">
        <w:rPr>
          <w:rFonts w:asciiTheme="majorHAnsi" w:hAnsiTheme="majorHAnsi" w:cstheme="majorHAnsi"/>
        </w:rPr>
        <w:t>Din perspectiva realizării indicatorilor cheie de performanță din contractele de mandat ale administratorilor, respectiv ale directorilor, pe categorii de indicatori, situația se prezintă astfel</w:t>
      </w:r>
    </w:p>
    <w:p w14:paraId="616D10E4" w14:textId="77777777" w:rsidR="00102DF8" w:rsidRDefault="00102DF8" w:rsidP="004A1E2B">
      <w:pPr>
        <w:pStyle w:val="ListParagraph"/>
        <w:spacing w:before="0" w:after="160"/>
        <w:ind w:left="284"/>
        <w:jc w:val="both"/>
        <w:rPr>
          <w:rFonts w:asciiTheme="majorHAnsi" w:hAnsiTheme="majorHAnsi" w:cstheme="majorHAnsi"/>
        </w:rPr>
      </w:pPr>
    </w:p>
    <w:p w14:paraId="068A2E3E" w14:textId="302DF50A" w:rsidR="004A1E2B" w:rsidRPr="001467CC" w:rsidRDefault="00102DF8" w:rsidP="004A1E2B">
      <w:pPr>
        <w:pStyle w:val="ListParagraph"/>
        <w:spacing w:before="0" w:after="160"/>
        <w:ind w:left="284"/>
        <w:jc w:val="both"/>
        <w:rPr>
          <w:rFonts w:asciiTheme="majorHAnsi" w:hAnsiTheme="majorHAnsi" w:cstheme="majorHAnsi"/>
        </w:rPr>
      </w:pPr>
      <w:r w:rsidRPr="001467CC">
        <w:rPr>
          <w:rFonts w:asciiTheme="majorHAnsi" w:hAnsiTheme="majorHAnsi" w:cstheme="majorHAnsi"/>
          <w:noProof/>
          <w:lang w:val="en-US"/>
        </w:rPr>
        <w:drawing>
          <wp:anchor distT="0" distB="0" distL="114300" distR="114300" simplePos="0" relativeHeight="251673600" behindDoc="1" locked="0" layoutInCell="1" allowOverlap="1" wp14:anchorId="3BB1FF56" wp14:editId="08190FA7">
            <wp:simplePos x="0" y="0"/>
            <wp:positionH relativeFrom="margin">
              <wp:align>right</wp:align>
            </wp:positionH>
            <wp:positionV relativeFrom="paragraph">
              <wp:posOffset>3175</wp:posOffset>
            </wp:positionV>
            <wp:extent cx="2781300" cy="3457575"/>
            <wp:effectExtent l="0" t="0" r="0" b="9525"/>
            <wp:wrapNone/>
            <wp:docPr id="21" name="Chart 2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4A1E2B" w:rsidRPr="001467CC">
        <w:rPr>
          <w:rFonts w:asciiTheme="majorHAnsi" w:hAnsiTheme="majorHAnsi" w:cstheme="majorHAnsi"/>
          <w:noProof/>
          <w:lang w:val="en-US"/>
        </w:rPr>
        <w:drawing>
          <wp:inline distT="0" distB="0" distL="0" distR="0" wp14:anchorId="21C8A057" wp14:editId="07FEA23A">
            <wp:extent cx="2800350" cy="3462020"/>
            <wp:effectExtent l="0" t="0" r="0" b="5080"/>
            <wp:docPr id="19" name="Chart 1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14075F" w14:textId="17F640E4" w:rsidR="004A1E2B" w:rsidRPr="001467CC" w:rsidRDefault="004A1E2B" w:rsidP="004A1E2B">
      <w:pPr>
        <w:jc w:val="both"/>
        <w:rPr>
          <w:rFonts w:asciiTheme="majorHAnsi" w:hAnsiTheme="majorHAnsi" w:cstheme="majorHAnsi"/>
        </w:rPr>
      </w:pPr>
    </w:p>
    <w:p w14:paraId="176B7FDC" w14:textId="24637E6F" w:rsidR="004A1E2B" w:rsidRPr="001467CC" w:rsidRDefault="004A1E2B" w:rsidP="004A1E2B">
      <w:pPr>
        <w:pStyle w:val="ListParagraph"/>
        <w:ind w:left="0"/>
        <w:outlineLvl w:val="2"/>
        <w:rPr>
          <w:rFonts w:asciiTheme="majorHAnsi" w:hAnsiTheme="majorHAnsi" w:cstheme="majorHAnsi"/>
          <w:b/>
          <w:bCs/>
          <w:color w:val="0F6FC6" w:themeColor="accent1"/>
          <w:sz w:val="28"/>
          <w:szCs w:val="28"/>
        </w:rPr>
      </w:pPr>
      <w:bookmarkStart w:id="85" w:name="_Toc16518172"/>
      <w:bookmarkStart w:id="86" w:name="_Toc87875958"/>
      <w:r>
        <w:rPr>
          <w:rFonts w:asciiTheme="majorHAnsi" w:hAnsiTheme="majorHAnsi" w:cstheme="majorHAnsi"/>
          <w:b/>
          <w:bCs/>
          <w:color w:val="0F6FC6" w:themeColor="accent1"/>
          <w:sz w:val="28"/>
          <w:szCs w:val="28"/>
        </w:rPr>
        <w:t>4</w:t>
      </w:r>
      <w:r w:rsidRPr="001467CC">
        <w:rPr>
          <w:rFonts w:asciiTheme="majorHAnsi" w:hAnsiTheme="majorHAnsi" w:cstheme="majorHAnsi"/>
          <w:b/>
          <w:bCs/>
          <w:color w:val="0F6FC6" w:themeColor="accent1"/>
          <w:sz w:val="28"/>
          <w:szCs w:val="28"/>
        </w:rPr>
        <w:t xml:space="preserve">.4 – Structura organelor de conducere ale întreprinderilor publice centrale, pe parcursul anului </w:t>
      </w:r>
      <w:bookmarkEnd w:id="85"/>
      <w:r w:rsidRPr="001467CC">
        <w:rPr>
          <w:rFonts w:asciiTheme="majorHAnsi" w:hAnsiTheme="majorHAnsi" w:cstheme="majorHAnsi"/>
          <w:b/>
          <w:bCs/>
          <w:color w:val="0F6FC6" w:themeColor="accent1"/>
          <w:sz w:val="28"/>
          <w:szCs w:val="28"/>
        </w:rPr>
        <w:t>2020</w:t>
      </w:r>
      <w:bookmarkEnd w:id="86"/>
    </w:p>
    <w:p w14:paraId="1214E52E" w14:textId="77777777" w:rsidR="004A1E2B" w:rsidRPr="001467CC" w:rsidRDefault="004A1E2B" w:rsidP="004A1E2B">
      <w:pPr>
        <w:spacing w:before="0" w:after="0"/>
        <w:jc w:val="both"/>
        <w:rPr>
          <w:rFonts w:asciiTheme="majorHAnsi" w:hAnsiTheme="majorHAnsi" w:cstheme="majorHAnsi"/>
          <w:lang w:val="en-US"/>
        </w:rPr>
      </w:pPr>
      <w:r w:rsidRPr="001467CC">
        <w:rPr>
          <w:rFonts w:asciiTheme="majorHAnsi" w:hAnsiTheme="majorHAnsi" w:cstheme="majorHAnsi"/>
        </w:rPr>
        <w:t xml:space="preserve">Ca urmare a analizei informațiilor desprinse din centralizarea formularelor transmise de către APTC, privind </w:t>
      </w:r>
      <w:r w:rsidRPr="001467CC">
        <w:rPr>
          <w:rFonts w:asciiTheme="majorHAnsi" w:hAnsiTheme="majorHAnsi" w:cstheme="majorHAnsi"/>
          <w:b/>
        </w:rPr>
        <w:t xml:space="preserve">structura consiliilor de administrație/supraveghere </w:t>
      </w:r>
      <w:r w:rsidRPr="001467CC">
        <w:rPr>
          <w:rFonts w:asciiTheme="majorHAnsi" w:hAnsiTheme="majorHAnsi" w:cstheme="majorHAnsi"/>
        </w:rPr>
        <w:t>la cele 142 ÎPC pentru care au fost îndeplinite obligațiile de raportare, se desprind următoarele concluzii</w:t>
      </w:r>
      <w:r w:rsidRPr="001467CC">
        <w:rPr>
          <w:rFonts w:asciiTheme="majorHAnsi" w:hAnsiTheme="majorHAnsi" w:cstheme="majorHAnsi"/>
          <w:lang w:val="en-US"/>
        </w:rPr>
        <w:t>:</w:t>
      </w:r>
    </w:p>
    <w:p w14:paraId="46A8C969" w14:textId="77777777" w:rsidR="004A1E2B" w:rsidRPr="001467CC" w:rsidRDefault="004A1E2B" w:rsidP="00F17378">
      <w:pPr>
        <w:numPr>
          <w:ilvl w:val="0"/>
          <w:numId w:val="32"/>
        </w:numPr>
        <w:spacing w:before="0" w:after="0"/>
        <w:ind w:left="284" w:hanging="284"/>
        <w:contextualSpacing/>
        <w:jc w:val="both"/>
        <w:rPr>
          <w:rFonts w:asciiTheme="majorHAnsi" w:hAnsiTheme="majorHAnsi" w:cstheme="majorHAnsi"/>
        </w:rPr>
      </w:pPr>
      <w:r w:rsidRPr="001467CC">
        <w:rPr>
          <w:rFonts w:asciiTheme="majorHAnsi" w:hAnsiTheme="majorHAnsi" w:cstheme="majorHAnsi"/>
        </w:rPr>
        <w:t>din totalul de 610 posturi de administrator ocupate la 31.12.2020, un număr de:</w:t>
      </w:r>
    </w:p>
    <w:p w14:paraId="5443A7B8" w14:textId="77777777" w:rsidR="004A1E2B" w:rsidRPr="001467CC" w:rsidRDefault="004A1E2B" w:rsidP="00F17378">
      <w:pPr>
        <w:pStyle w:val="ListParagraph"/>
        <w:numPr>
          <w:ilvl w:val="0"/>
          <w:numId w:val="39"/>
        </w:numPr>
        <w:spacing w:before="0" w:after="0"/>
        <w:jc w:val="both"/>
        <w:rPr>
          <w:rFonts w:asciiTheme="majorHAnsi" w:hAnsiTheme="majorHAnsi" w:cstheme="majorHAnsi"/>
        </w:rPr>
      </w:pPr>
      <w:r w:rsidRPr="001467CC">
        <w:rPr>
          <w:rFonts w:asciiTheme="majorHAnsi" w:hAnsiTheme="majorHAnsi" w:cstheme="majorHAnsi"/>
          <w:b/>
        </w:rPr>
        <w:t xml:space="preserve">161 </w:t>
      </w:r>
      <w:r w:rsidRPr="001467CC">
        <w:rPr>
          <w:rFonts w:asciiTheme="majorHAnsi" w:hAnsiTheme="majorHAnsi" w:cstheme="majorHAnsi"/>
        </w:rPr>
        <w:t xml:space="preserve">posturi sunt ocupate de administratori numiți </w:t>
      </w:r>
      <w:r w:rsidRPr="001467CC">
        <w:rPr>
          <w:rFonts w:asciiTheme="majorHAnsi" w:hAnsiTheme="majorHAnsi" w:cstheme="majorHAnsi"/>
          <w:b/>
        </w:rPr>
        <w:t>definitiv, din care :</w:t>
      </w:r>
    </w:p>
    <w:p w14:paraId="4286313C" w14:textId="77777777" w:rsidR="004A1E2B" w:rsidRPr="001467CC" w:rsidRDefault="004A1E2B" w:rsidP="00F17378">
      <w:pPr>
        <w:pStyle w:val="ListParagraph"/>
        <w:numPr>
          <w:ilvl w:val="0"/>
          <w:numId w:val="40"/>
        </w:numPr>
        <w:spacing w:before="0" w:after="0"/>
        <w:jc w:val="both"/>
        <w:rPr>
          <w:rFonts w:asciiTheme="majorHAnsi" w:hAnsiTheme="majorHAnsi" w:cstheme="majorHAnsi"/>
        </w:rPr>
      </w:pPr>
      <w:r w:rsidRPr="001467CC">
        <w:rPr>
          <w:rFonts w:asciiTheme="majorHAnsi" w:hAnsiTheme="majorHAnsi" w:cstheme="majorHAnsi"/>
          <w:b/>
        </w:rPr>
        <w:t>127 au fost numiți conform prevederilor O.U.G. nr. 109/2011;</w:t>
      </w:r>
    </w:p>
    <w:p w14:paraId="311B9A26" w14:textId="77777777" w:rsidR="004A1E2B" w:rsidRPr="001467CC" w:rsidRDefault="004A1E2B" w:rsidP="00F17378">
      <w:pPr>
        <w:pStyle w:val="ListParagraph"/>
        <w:numPr>
          <w:ilvl w:val="0"/>
          <w:numId w:val="39"/>
        </w:numPr>
        <w:spacing w:before="0" w:after="0"/>
        <w:jc w:val="both"/>
        <w:rPr>
          <w:rFonts w:asciiTheme="majorHAnsi" w:hAnsiTheme="majorHAnsi" w:cstheme="majorHAnsi"/>
        </w:rPr>
      </w:pPr>
      <w:r w:rsidRPr="001467CC">
        <w:rPr>
          <w:rFonts w:asciiTheme="majorHAnsi" w:hAnsiTheme="majorHAnsi" w:cstheme="majorHAnsi"/>
          <w:b/>
        </w:rPr>
        <w:t xml:space="preserve">449 </w:t>
      </w:r>
      <w:r w:rsidRPr="001467CC">
        <w:rPr>
          <w:rFonts w:asciiTheme="majorHAnsi" w:hAnsiTheme="majorHAnsi" w:cstheme="majorHAnsi"/>
        </w:rPr>
        <w:t xml:space="preserve">posturi sunt ocupate de administratori numiți </w:t>
      </w:r>
      <w:r w:rsidRPr="001467CC">
        <w:rPr>
          <w:rFonts w:asciiTheme="majorHAnsi" w:hAnsiTheme="majorHAnsi" w:cstheme="majorHAnsi"/>
          <w:b/>
        </w:rPr>
        <w:t>provizoriu</w:t>
      </w:r>
      <w:r w:rsidRPr="001467CC">
        <w:rPr>
          <w:rFonts w:asciiTheme="majorHAnsi" w:hAnsiTheme="majorHAnsi" w:cstheme="majorHAnsi"/>
        </w:rPr>
        <w:t>.</w:t>
      </w:r>
    </w:p>
    <w:p w14:paraId="0AF564FF" w14:textId="77777777" w:rsidR="004A1E2B" w:rsidRPr="001467CC" w:rsidRDefault="004A1E2B" w:rsidP="004A1E2B">
      <w:pPr>
        <w:spacing w:before="0" w:after="0"/>
        <w:ind w:left="284"/>
        <w:contextualSpacing/>
        <w:jc w:val="both"/>
        <w:rPr>
          <w:rFonts w:asciiTheme="majorHAnsi" w:hAnsiTheme="majorHAnsi" w:cstheme="majorHAnsi"/>
        </w:rPr>
      </w:pPr>
      <w:r w:rsidRPr="001467CC">
        <w:rPr>
          <w:rFonts w:asciiTheme="majorHAnsi" w:hAnsiTheme="majorHAnsi" w:cstheme="majorHAnsi"/>
        </w:rPr>
        <w:t xml:space="preserve">Faţă de anul 2019, </w:t>
      </w:r>
      <w:r w:rsidRPr="001467CC">
        <w:rPr>
          <w:rFonts w:asciiTheme="majorHAnsi" w:hAnsiTheme="majorHAnsi" w:cstheme="majorHAnsi"/>
          <w:b/>
        </w:rPr>
        <w:t>se remarcă o scădere</w:t>
      </w:r>
      <w:r w:rsidRPr="001467CC">
        <w:rPr>
          <w:rFonts w:asciiTheme="majorHAnsi" w:hAnsiTheme="majorHAnsi" w:cstheme="majorHAnsi"/>
        </w:rPr>
        <w:t xml:space="preserve"> a numărului administratorilor numiţi conform prevederilor O.U.G. nr. 109/2011 cu un procent de 3%, de la 131 la 127 de posturi.</w:t>
      </w:r>
    </w:p>
    <w:p w14:paraId="03303F2A" w14:textId="77777777" w:rsidR="004A1E2B" w:rsidRPr="001467CC" w:rsidRDefault="004A1E2B" w:rsidP="00F17378">
      <w:pPr>
        <w:numPr>
          <w:ilvl w:val="0"/>
          <w:numId w:val="32"/>
        </w:numPr>
        <w:spacing w:before="0" w:after="0"/>
        <w:ind w:left="284" w:hanging="284"/>
        <w:contextualSpacing/>
        <w:jc w:val="both"/>
        <w:rPr>
          <w:rFonts w:asciiTheme="majorHAnsi" w:hAnsiTheme="majorHAnsi" w:cstheme="majorHAnsi"/>
        </w:rPr>
      </w:pPr>
      <w:r w:rsidRPr="001467CC">
        <w:rPr>
          <w:rFonts w:asciiTheme="majorHAnsi" w:hAnsiTheme="majorHAnsi" w:cstheme="majorHAnsi"/>
        </w:rPr>
        <w:t>din totalul de 610 administratori în funcție la 31.12.2020:</w:t>
      </w:r>
    </w:p>
    <w:p w14:paraId="6CF3EE65" w14:textId="77777777" w:rsidR="004A1E2B" w:rsidRPr="001467CC" w:rsidRDefault="004A1E2B" w:rsidP="00F17378">
      <w:pPr>
        <w:pStyle w:val="ListParagraph"/>
        <w:numPr>
          <w:ilvl w:val="0"/>
          <w:numId w:val="39"/>
        </w:numPr>
        <w:spacing w:before="0" w:after="0"/>
        <w:jc w:val="both"/>
        <w:rPr>
          <w:rFonts w:asciiTheme="majorHAnsi" w:hAnsiTheme="majorHAnsi" w:cstheme="majorHAnsi"/>
        </w:rPr>
      </w:pPr>
      <w:r w:rsidRPr="001467CC">
        <w:rPr>
          <w:rFonts w:asciiTheme="majorHAnsi" w:hAnsiTheme="majorHAnsi" w:cstheme="majorHAnsi"/>
        </w:rPr>
        <w:t>268</w:t>
      </w:r>
      <w:r w:rsidRPr="001467CC">
        <w:rPr>
          <w:rFonts w:asciiTheme="majorHAnsi" w:hAnsiTheme="majorHAnsi" w:cstheme="majorHAnsi"/>
          <w:b/>
        </w:rPr>
        <w:t xml:space="preserve"> administratori dețin o funcție publică / sunt angajați în instituții publice</w:t>
      </w:r>
      <w:r w:rsidRPr="001467CC">
        <w:rPr>
          <w:rFonts w:asciiTheme="majorHAnsi" w:hAnsiTheme="majorHAnsi" w:cstheme="majorHAnsi"/>
        </w:rPr>
        <w:t xml:space="preserve"> ;</w:t>
      </w:r>
    </w:p>
    <w:p w14:paraId="650D851D" w14:textId="77777777" w:rsidR="004A1E2B" w:rsidRPr="001467CC" w:rsidRDefault="004A1E2B" w:rsidP="00F17378">
      <w:pPr>
        <w:pStyle w:val="ListParagraph"/>
        <w:numPr>
          <w:ilvl w:val="0"/>
          <w:numId w:val="39"/>
        </w:numPr>
        <w:spacing w:before="0" w:after="0"/>
        <w:jc w:val="both"/>
        <w:rPr>
          <w:rFonts w:asciiTheme="majorHAnsi" w:hAnsiTheme="majorHAnsi" w:cstheme="majorHAnsi"/>
        </w:rPr>
      </w:pPr>
      <w:r w:rsidRPr="001467CC">
        <w:rPr>
          <w:rFonts w:asciiTheme="majorHAnsi" w:hAnsiTheme="majorHAnsi" w:cstheme="majorHAnsi"/>
        </w:rPr>
        <w:t xml:space="preserve"> 149 posturi de administrator sunt ocupate de</w:t>
      </w:r>
      <w:r w:rsidRPr="001467CC">
        <w:rPr>
          <w:rFonts w:asciiTheme="majorHAnsi" w:hAnsiTheme="majorHAnsi" w:cstheme="majorHAnsi"/>
          <w:b/>
        </w:rPr>
        <w:t xml:space="preserve"> persoane de gen feminin </w:t>
      </w:r>
      <w:r w:rsidRPr="001467CC">
        <w:rPr>
          <w:rFonts w:asciiTheme="majorHAnsi" w:hAnsiTheme="majorHAnsi" w:cstheme="majorHAnsi"/>
        </w:rPr>
        <w:t>reprezentând o pondere de 25%</w:t>
      </w:r>
      <w:r w:rsidRPr="001467CC">
        <w:rPr>
          <w:rFonts w:asciiTheme="majorHAnsi" w:hAnsiTheme="majorHAnsi" w:cstheme="majorHAnsi"/>
          <w:b/>
        </w:rPr>
        <w:t xml:space="preserve"> </w:t>
      </w:r>
      <w:r w:rsidRPr="001467CC">
        <w:rPr>
          <w:rFonts w:asciiTheme="majorHAnsi" w:hAnsiTheme="majorHAnsi" w:cstheme="majorHAnsi"/>
        </w:rPr>
        <w:t>din totalul administratorilor.</w:t>
      </w:r>
    </w:p>
    <w:p w14:paraId="52B89402" w14:textId="77777777" w:rsidR="004A1E2B" w:rsidRPr="001467CC" w:rsidRDefault="004A1E2B" w:rsidP="004A1E2B">
      <w:pPr>
        <w:spacing w:before="0" w:after="0"/>
        <w:jc w:val="both"/>
        <w:rPr>
          <w:rFonts w:asciiTheme="majorHAnsi" w:hAnsiTheme="majorHAnsi" w:cstheme="majorHAnsi"/>
        </w:rPr>
      </w:pPr>
    </w:p>
    <w:p w14:paraId="0E12EED7" w14:textId="77777777" w:rsidR="004A1E2B" w:rsidRPr="001467CC" w:rsidRDefault="004A1E2B" w:rsidP="004A1E2B">
      <w:pPr>
        <w:spacing w:before="0" w:after="0"/>
        <w:jc w:val="both"/>
        <w:rPr>
          <w:rFonts w:asciiTheme="majorHAnsi" w:hAnsiTheme="majorHAnsi" w:cstheme="majorHAnsi"/>
          <w:lang w:val="en-US"/>
        </w:rPr>
      </w:pPr>
      <w:r w:rsidRPr="001467CC">
        <w:rPr>
          <w:rFonts w:asciiTheme="majorHAnsi" w:hAnsiTheme="majorHAnsi" w:cstheme="majorHAnsi"/>
        </w:rPr>
        <w:t xml:space="preserve">Ca urmare a analizei informațiilor desprinse din centralizarea formularelor transmise de către APTC, </w:t>
      </w:r>
      <w:r w:rsidRPr="001467CC">
        <w:rPr>
          <w:rFonts w:asciiTheme="majorHAnsi" w:hAnsiTheme="majorHAnsi" w:cstheme="majorHAnsi"/>
          <w:b/>
        </w:rPr>
        <w:t xml:space="preserve">privind structura directorilor/directoratului </w:t>
      </w:r>
      <w:r w:rsidRPr="001467CC">
        <w:rPr>
          <w:rFonts w:asciiTheme="majorHAnsi" w:hAnsiTheme="majorHAnsi" w:cstheme="majorHAnsi"/>
        </w:rPr>
        <w:t>la cele 142 ÎPC pentru care au fost îndeplinite obligațiile de raportare, se desprind următoarele concluzii</w:t>
      </w:r>
      <w:r w:rsidRPr="001467CC">
        <w:rPr>
          <w:rFonts w:asciiTheme="majorHAnsi" w:hAnsiTheme="majorHAnsi" w:cstheme="majorHAnsi"/>
          <w:lang w:val="en-US"/>
        </w:rPr>
        <w:t>:</w:t>
      </w:r>
    </w:p>
    <w:p w14:paraId="076166FB" w14:textId="77777777" w:rsidR="004A1E2B" w:rsidRPr="001467CC" w:rsidRDefault="004A1E2B" w:rsidP="00F17378">
      <w:pPr>
        <w:numPr>
          <w:ilvl w:val="0"/>
          <w:numId w:val="33"/>
        </w:numPr>
        <w:spacing w:before="0" w:after="0"/>
        <w:ind w:left="284" w:hanging="284"/>
        <w:jc w:val="both"/>
        <w:rPr>
          <w:rFonts w:asciiTheme="majorHAnsi" w:hAnsiTheme="majorHAnsi" w:cstheme="majorHAnsi"/>
        </w:rPr>
      </w:pPr>
      <w:r w:rsidRPr="001467CC">
        <w:rPr>
          <w:rFonts w:asciiTheme="majorHAnsi" w:hAnsiTheme="majorHAnsi" w:cstheme="majorHAnsi"/>
          <w:b/>
        </w:rPr>
        <w:t>din totalul de 194 posturi de director ocupate:</w:t>
      </w:r>
    </w:p>
    <w:p w14:paraId="3EB8597D" w14:textId="5D243920" w:rsidR="004A1E2B" w:rsidRPr="001467CC" w:rsidRDefault="004A1E2B" w:rsidP="00F17378">
      <w:pPr>
        <w:pStyle w:val="ListParagraph"/>
        <w:numPr>
          <w:ilvl w:val="0"/>
          <w:numId w:val="41"/>
        </w:numPr>
        <w:spacing w:before="0" w:after="0"/>
        <w:jc w:val="both"/>
        <w:rPr>
          <w:rFonts w:asciiTheme="majorHAnsi" w:hAnsiTheme="majorHAnsi" w:cstheme="majorHAnsi"/>
        </w:rPr>
      </w:pPr>
      <w:r w:rsidRPr="001467CC">
        <w:rPr>
          <w:rFonts w:asciiTheme="majorHAnsi" w:hAnsiTheme="majorHAnsi" w:cstheme="majorHAnsi"/>
          <w:b/>
        </w:rPr>
        <w:t xml:space="preserve">71 </w:t>
      </w:r>
      <w:r w:rsidRPr="001467CC">
        <w:rPr>
          <w:rFonts w:asciiTheme="majorHAnsi" w:hAnsiTheme="majorHAnsi" w:cstheme="majorHAnsi"/>
        </w:rPr>
        <w:t xml:space="preserve">posturi sunt ocupate de directori numiți </w:t>
      </w:r>
      <w:r w:rsidRPr="001467CC">
        <w:rPr>
          <w:rFonts w:asciiTheme="majorHAnsi" w:hAnsiTheme="majorHAnsi" w:cstheme="majorHAnsi"/>
          <w:b/>
        </w:rPr>
        <w:t>definitiv</w:t>
      </w:r>
      <w:r w:rsidRPr="001467CC">
        <w:rPr>
          <w:rFonts w:asciiTheme="majorHAnsi" w:hAnsiTheme="majorHAnsi" w:cstheme="majorHAnsi"/>
        </w:rPr>
        <w:t>:</w:t>
      </w:r>
    </w:p>
    <w:p w14:paraId="414DF3FD" w14:textId="77777777" w:rsidR="004A1E2B" w:rsidRPr="001467CC" w:rsidRDefault="004A1E2B" w:rsidP="00F17378">
      <w:pPr>
        <w:pStyle w:val="ListParagraph"/>
        <w:numPr>
          <w:ilvl w:val="0"/>
          <w:numId w:val="40"/>
        </w:numPr>
        <w:spacing w:before="0" w:after="0"/>
        <w:jc w:val="both"/>
        <w:rPr>
          <w:rFonts w:asciiTheme="majorHAnsi" w:hAnsiTheme="majorHAnsi" w:cstheme="majorHAnsi"/>
        </w:rPr>
      </w:pPr>
      <w:r w:rsidRPr="001467CC">
        <w:rPr>
          <w:rFonts w:asciiTheme="majorHAnsi" w:hAnsiTheme="majorHAnsi" w:cstheme="majorHAnsi"/>
          <w:b/>
          <w:bCs/>
        </w:rPr>
        <w:t xml:space="preserve">48 </w:t>
      </w:r>
      <w:r w:rsidRPr="001467CC">
        <w:rPr>
          <w:rFonts w:asciiTheme="majorHAnsi" w:hAnsiTheme="majorHAnsi" w:cstheme="majorHAnsi"/>
        </w:rPr>
        <w:t xml:space="preserve">au fost numiți </w:t>
      </w:r>
      <w:r w:rsidRPr="001467CC">
        <w:rPr>
          <w:rFonts w:asciiTheme="majorHAnsi" w:hAnsiTheme="majorHAnsi" w:cstheme="majorHAnsi"/>
          <w:b/>
          <w:bCs/>
        </w:rPr>
        <w:t>conform prevederilor O.U.G. nr. 109/2011</w:t>
      </w:r>
      <w:r w:rsidRPr="001467CC">
        <w:rPr>
          <w:rFonts w:asciiTheme="majorHAnsi" w:hAnsiTheme="majorHAnsi" w:cstheme="majorHAnsi"/>
        </w:rPr>
        <w:t>;</w:t>
      </w:r>
    </w:p>
    <w:p w14:paraId="66961A1C" w14:textId="77777777" w:rsidR="004A1E2B" w:rsidRPr="001467CC" w:rsidRDefault="004A1E2B" w:rsidP="00F17378">
      <w:pPr>
        <w:pStyle w:val="ListParagraph"/>
        <w:numPr>
          <w:ilvl w:val="0"/>
          <w:numId w:val="41"/>
        </w:numPr>
        <w:spacing w:before="0" w:after="0"/>
        <w:jc w:val="both"/>
        <w:rPr>
          <w:rFonts w:asciiTheme="majorHAnsi" w:hAnsiTheme="majorHAnsi" w:cstheme="majorHAnsi"/>
        </w:rPr>
      </w:pPr>
      <w:r w:rsidRPr="001467CC">
        <w:rPr>
          <w:rFonts w:asciiTheme="majorHAnsi" w:hAnsiTheme="majorHAnsi" w:cstheme="majorHAnsi"/>
          <w:b/>
          <w:bCs/>
        </w:rPr>
        <w:t>123</w:t>
      </w:r>
      <w:r w:rsidRPr="001467CC">
        <w:rPr>
          <w:rFonts w:asciiTheme="majorHAnsi" w:hAnsiTheme="majorHAnsi" w:cstheme="majorHAnsi"/>
        </w:rPr>
        <w:t xml:space="preserve"> de posturi sunt ocupate de directori numiți </w:t>
      </w:r>
      <w:r w:rsidRPr="001467CC">
        <w:rPr>
          <w:rFonts w:asciiTheme="majorHAnsi" w:hAnsiTheme="majorHAnsi" w:cstheme="majorHAnsi"/>
          <w:b/>
        </w:rPr>
        <w:t>provizoriu</w:t>
      </w:r>
      <w:r w:rsidRPr="001467CC">
        <w:rPr>
          <w:rFonts w:asciiTheme="majorHAnsi" w:hAnsiTheme="majorHAnsi" w:cstheme="majorHAnsi"/>
        </w:rPr>
        <w:t>;</w:t>
      </w:r>
    </w:p>
    <w:p w14:paraId="27747EE9" w14:textId="77777777" w:rsidR="004A1E2B" w:rsidRPr="001467CC" w:rsidRDefault="004A1E2B" w:rsidP="004A1E2B">
      <w:pPr>
        <w:spacing w:before="0" w:after="0"/>
        <w:ind w:left="284"/>
        <w:jc w:val="both"/>
        <w:rPr>
          <w:rFonts w:asciiTheme="majorHAnsi" w:hAnsiTheme="majorHAnsi" w:cstheme="majorHAnsi"/>
        </w:rPr>
      </w:pPr>
      <w:r w:rsidRPr="001467CC">
        <w:rPr>
          <w:rFonts w:asciiTheme="majorHAnsi" w:hAnsiTheme="majorHAnsi" w:cstheme="majorHAnsi"/>
        </w:rPr>
        <w:t xml:space="preserve">Faţă de anul 2019, </w:t>
      </w:r>
      <w:r w:rsidRPr="001467CC">
        <w:rPr>
          <w:rFonts w:asciiTheme="majorHAnsi" w:hAnsiTheme="majorHAnsi" w:cstheme="majorHAnsi"/>
          <w:b/>
        </w:rPr>
        <w:t>se remarcă o creştere</w:t>
      </w:r>
      <w:r w:rsidRPr="001467CC">
        <w:rPr>
          <w:rFonts w:asciiTheme="majorHAnsi" w:hAnsiTheme="majorHAnsi" w:cstheme="majorHAnsi"/>
        </w:rPr>
        <w:t xml:space="preserve"> a numărului directorilor numiţi conform prevederilor O.U.G. nr. 109/2011 cu un procent de 4%, de la 46 la 48 posturi.</w:t>
      </w:r>
    </w:p>
    <w:p w14:paraId="3B358936" w14:textId="77777777" w:rsidR="004A1E2B" w:rsidRPr="001467CC" w:rsidRDefault="004A1E2B" w:rsidP="00F17378">
      <w:pPr>
        <w:numPr>
          <w:ilvl w:val="0"/>
          <w:numId w:val="33"/>
        </w:numPr>
        <w:spacing w:before="0" w:after="0"/>
        <w:ind w:left="284" w:hanging="284"/>
        <w:jc w:val="both"/>
        <w:rPr>
          <w:rFonts w:asciiTheme="majorHAnsi" w:hAnsiTheme="majorHAnsi" w:cstheme="majorHAnsi"/>
        </w:rPr>
      </w:pPr>
      <w:r w:rsidRPr="001467CC">
        <w:rPr>
          <w:rFonts w:asciiTheme="majorHAnsi" w:hAnsiTheme="majorHAnsi" w:cstheme="majorHAnsi"/>
          <w:b/>
        </w:rPr>
        <w:t>din totalul de 194 posturi de director ocupate:</w:t>
      </w:r>
    </w:p>
    <w:p w14:paraId="0FDDAAEC" w14:textId="77777777" w:rsidR="004A1E2B" w:rsidRPr="001467CC" w:rsidRDefault="004A1E2B" w:rsidP="00F17378">
      <w:pPr>
        <w:pStyle w:val="ListParagraph"/>
        <w:numPr>
          <w:ilvl w:val="0"/>
          <w:numId w:val="41"/>
        </w:numPr>
        <w:spacing w:before="0" w:after="0"/>
        <w:jc w:val="both"/>
        <w:rPr>
          <w:rFonts w:asciiTheme="majorHAnsi" w:hAnsiTheme="majorHAnsi" w:cstheme="majorHAnsi"/>
        </w:rPr>
      </w:pPr>
      <w:r w:rsidRPr="001467CC">
        <w:rPr>
          <w:rFonts w:asciiTheme="majorHAnsi" w:hAnsiTheme="majorHAnsi" w:cstheme="majorHAnsi"/>
          <w:b/>
        </w:rPr>
        <w:t xml:space="preserve">42  </w:t>
      </w:r>
      <w:r w:rsidRPr="001467CC">
        <w:rPr>
          <w:rFonts w:asciiTheme="majorHAnsi" w:hAnsiTheme="majorHAnsi" w:cstheme="majorHAnsi"/>
        </w:rPr>
        <w:t>posturi de director sunt ocupate de persoane</w:t>
      </w:r>
      <w:r w:rsidRPr="001467CC">
        <w:rPr>
          <w:rFonts w:asciiTheme="majorHAnsi" w:hAnsiTheme="majorHAnsi" w:cstheme="majorHAnsi"/>
          <w:b/>
        </w:rPr>
        <w:t xml:space="preserve"> de gen feminin </w:t>
      </w:r>
      <w:r w:rsidRPr="001467CC">
        <w:rPr>
          <w:rFonts w:asciiTheme="majorHAnsi" w:hAnsiTheme="majorHAnsi" w:cstheme="majorHAnsi"/>
        </w:rPr>
        <w:t>reprezentând o pondere de 22% din totalul directorilor</w:t>
      </w:r>
      <w:r w:rsidRPr="001467CC">
        <w:rPr>
          <w:rFonts w:asciiTheme="majorHAnsi" w:hAnsiTheme="majorHAnsi" w:cstheme="majorHAnsi"/>
          <w:b/>
        </w:rPr>
        <w:t>;</w:t>
      </w:r>
    </w:p>
    <w:p w14:paraId="45F2CC18" w14:textId="77777777" w:rsidR="004A1E2B" w:rsidRPr="001467CC" w:rsidRDefault="004A1E2B" w:rsidP="00F17378">
      <w:pPr>
        <w:pStyle w:val="ListParagraph"/>
        <w:numPr>
          <w:ilvl w:val="0"/>
          <w:numId w:val="41"/>
        </w:numPr>
        <w:spacing w:before="0" w:after="0"/>
        <w:jc w:val="both"/>
        <w:rPr>
          <w:rFonts w:asciiTheme="majorHAnsi" w:hAnsiTheme="majorHAnsi" w:cstheme="majorHAnsi"/>
        </w:rPr>
      </w:pPr>
      <w:r w:rsidRPr="001467CC">
        <w:rPr>
          <w:rFonts w:asciiTheme="majorHAnsi" w:hAnsiTheme="majorHAnsi" w:cstheme="majorHAnsi"/>
          <w:b/>
        </w:rPr>
        <w:t xml:space="preserve">din totalul de 194 posturi de director ocupate, </w:t>
      </w:r>
      <w:r w:rsidRPr="001467CC">
        <w:rPr>
          <w:rFonts w:asciiTheme="majorHAnsi" w:hAnsiTheme="majorHAnsi" w:cstheme="majorHAnsi"/>
        </w:rPr>
        <w:t>un număr de</w:t>
      </w:r>
      <w:r w:rsidRPr="001467CC">
        <w:rPr>
          <w:rFonts w:asciiTheme="majorHAnsi" w:hAnsiTheme="majorHAnsi" w:cstheme="majorHAnsi"/>
          <w:b/>
        </w:rPr>
        <w:t xml:space="preserve"> 9 </w:t>
      </w:r>
      <w:r w:rsidRPr="001467CC">
        <w:rPr>
          <w:rFonts w:asciiTheme="majorHAnsi" w:hAnsiTheme="majorHAnsi" w:cstheme="majorHAnsi"/>
        </w:rPr>
        <w:t xml:space="preserve">posturi sunt ocupate de </w:t>
      </w:r>
      <w:r w:rsidRPr="001467CC">
        <w:rPr>
          <w:rFonts w:asciiTheme="majorHAnsi" w:hAnsiTheme="majorHAnsi" w:cstheme="majorHAnsi"/>
          <w:b/>
        </w:rPr>
        <w:t>directori financiari</w:t>
      </w:r>
      <w:r w:rsidRPr="001467CC">
        <w:rPr>
          <w:rFonts w:asciiTheme="majorHAnsi" w:hAnsiTheme="majorHAnsi" w:cstheme="majorHAnsi"/>
        </w:rPr>
        <w:t xml:space="preserve"> numiți </w:t>
      </w:r>
      <w:r w:rsidRPr="001467CC">
        <w:rPr>
          <w:rFonts w:asciiTheme="majorHAnsi" w:hAnsiTheme="majorHAnsi" w:cstheme="majorHAnsi"/>
          <w:b/>
          <w:bCs/>
        </w:rPr>
        <w:t>conform prevederilor O.U.G. nr. 109/2011;</w:t>
      </w:r>
    </w:p>
    <w:p w14:paraId="0E8C7C94" w14:textId="77777777" w:rsidR="004A1E2B" w:rsidRPr="001467CC" w:rsidRDefault="004A1E2B" w:rsidP="004A1E2B">
      <w:pPr>
        <w:spacing w:before="0" w:after="0"/>
        <w:ind w:left="284"/>
        <w:jc w:val="both"/>
        <w:rPr>
          <w:rFonts w:asciiTheme="majorHAnsi" w:hAnsiTheme="majorHAnsi" w:cstheme="majorHAnsi"/>
        </w:rPr>
      </w:pPr>
    </w:p>
    <w:p w14:paraId="628039D8" w14:textId="77777777" w:rsidR="004A1E2B" w:rsidRPr="001467CC" w:rsidRDefault="004A1E2B" w:rsidP="004A1E2B">
      <w:pPr>
        <w:spacing w:before="0" w:after="0"/>
        <w:ind w:left="284"/>
        <w:jc w:val="both"/>
        <w:rPr>
          <w:rFonts w:asciiTheme="majorHAnsi" w:hAnsiTheme="majorHAnsi" w:cstheme="majorHAnsi"/>
        </w:rPr>
      </w:pPr>
    </w:p>
    <w:p w14:paraId="6C37FF23" w14:textId="757AFD2D" w:rsidR="004A1E2B" w:rsidRPr="001467CC" w:rsidRDefault="004A1E2B" w:rsidP="004A1E2B">
      <w:pPr>
        <w:pStyle w:val="ListParagraph"/>
        <w:ind w:left="0"/>
        <w:jc w:val="both"/>
        <w:outlineLvl w:val="2"/>
        <w:rPr>
          <w:rFonts w:asciiTheme="majorHAnsi" w:hAnsiTheme="majorHAnsi" w:cstheme="majorHAnsi"/>
          <w:b/>
          <w:bCs/>
          <w:color w:val="0F6FC6" w:themeColor="accent1"/>
          <w:sz w:val="28"/>
          <w:szCs w:val="28"/>
        </w:rPr>
      </w:pPr>
      <w:bookmarkStart w:id="87" w:name="_Toc490763517"/>
      <w:bookmarkStart w:id="88" w:name="_Toc490763698"/>
      <w:bookmarkStart w:id="89" w:name="_Toc490763866"/>
      <w:bookmarkStart w:id="90" w:name="_Toc16518173"/>
      <w:bookmarkStart w:id="91" w:name="_Toc87875959"/>
      <w:r>
        <w:rPr>
          <w:rFonts w:asciiTheme="majorHAnsi" w:hAnsiTheme="majorHAnsi" w:cstheme="majorHAnsi"/>
          <w:b/>
          <w:bCs/>
          <w:color w:val="0F6FC6" w:themeColor="accent1"/>
          <w:sz w:val="28"/>
          <w:szCs w:val="28"/>
        </w:rPr>
        <w:t>4</w:t>
      </w:r>
      <w:r w:rsidRPr="001467CC">
        <w:rPr>
          <w:rFonts w:asciiTheme="majorHAnsi" w:hAnsiTheme="majorHAnsi" w:cstheme="majorHAnsi"/>
          <w:b/>
          <w:bCs/>
          <w:color w:val="0F6FC6" w:themeColor="accent1"/>
          <w:sz w:val="28"/>
          <w:szCs w:val="28"/>
        </w:rPr>
        <w:t xml:space="preserve">.5 – Evoluția aplicării prevederilor și principiilor de transparență la </w:t>
      </w:r>
      <w:bookmarkEnd w:id="87"/>
      <w:bookmarkEnd w:id="88"/>
      <w:bookmarkEnd w:id="89"/>
      <w:r w:rsidRPr="001467CC">
        <w:rPr>
          <w:rFonts w:asciiTheme="majorHAnsi" w:hAnsiTheme="majorHAnsi" w:cstheme="majorHAnsi"/>
          <w:b/>
          <w:bCs/>
          <w:color w:val="0F6FC6" w:themeColor="accent1"/>
          <w:sz w:val="28"/>
          <w:szCs w:val="28"/>
        </w:rPr>
        <w:t>întreprinderile publice centrale</w:t>
      </w:r>
      <w:bookmarkEnd w:id="90"/>
      <w:bookmarkEnd w:id="91"/>
    </w:p>
    <w:p w14:paraId="3B43E298" w14:textId="77777777" w:rsidR="004A1E2B" w:rsidRPr="001467CC" w:rsidRDefault="004A1E2B" w:rsidP="004A1E2B">
      <w:pPr>
        <w:spacing w:before="0" w:after="160"/>
        <w:jc w:val="both"/>
        <w:rPr>
          <w:rFonts w:asciiTheme="majorHAnsi" w:hAnsiTheme="majorHAnsi" w:cstheme="majorHAnsi"/>
        </w:rPr>
      </w:pPr>
      <w:r w:rsidRPr="001467CC">
        <w:rPr>
          <w:rFonts w:asciiTheme="majorHAnsi" w:hAnsiTheme="majorHAnsi" w:cstheme="majorHAnsi"/>
        </w:rPr>
        <w:t xml:space="preserve">Potrivit prevederilor art. 2 din Legea nr. 544/2001, ÎP sunt asimilate categoriei instituțiilor publice și au obligația de a asigura transparența activității desfășurate, prin comunicarea din oficiu a anumitor informații de interes public, dar și de a răspunde solicitărilor, prin furnizarea informațiilor de interes public, în afara acelor informații exceptate potrivit reglementărilor legale în vigoare.  </w:t>
      </w:r>
    </w:p>
    <w:p w14:paraId="3658A4E1" w14:textId="77777777" w:rsidR="004A1E2B" w:rsidRPr="001467CC" w:rsidRDefault="004A1E2B" w:rsidP="004A1E2B">
      <w:pPr>
        <w:suppressAutoHyphens/>
        <w:spacing w:before="0" w:after="0" w:line="240" w:lineRule="auto"/>
        <w:jc w:val="both"/>
        <w:rPr>
          <w:rFonts w:asciiTheme="majorHAnsi" w:hAnsiTheme="majorHAnsi" w:cstheme="majorHAnsi"/>
          <w:bCs/>
        </w:rPr>
      </w:pPr>
    </w:p>
    <w:p w14:paraId="01BA2668" w14:textId="77777777" w:rsidR="004A1E2B" w:rsidRPr="001467CC" w:rsidRDefault="004A1E2B" w:rsidP="004A1E2B">
      <w:pPr>
        <w:suppressAutoHyphens/>
        <w:spacing w:before="0" w:after="0" w:line="240" w:lineRule="auto"/>
        <w:jc w:val="both"/>
        <w:rPr>
          <w:rFonts w:asciiTheme="majorHAnsi" w:hAnsiTheme="majorHAnsi" w:cstheme="majorHAnsi"/>
          <w:bCs/>
        </w:rPr>
      </w:pPr>
    </w:p>
    <w:p w14:paraId="5D600F03" w14:textId="77777777" w:rsidR="004A1E2B" w:rsidRPr="00A643C1" w:rsidRDefault="004A1E2B" w:rsidP="00F17378">
      <w:pPr>
        <w:pStyle w:val="ListParagraph"/>
        <w:numPr>
          <w:ilvl w:val="0"/>
          <w:numId w:val="34"/>
        </w:numPr>
        <w:suppressAutoHyphens/>
        <w:spacing w:before="0" w:after="0" w:line="240" w:lineRule="auto"/>
        <w:jc w:val="both"/>
        <w:rPr>
          <w:rFonts w:asciiTheme="majorHAnsi" w:hAnsiTheme="majorHAnsi" w:cstheme="majorHAnsi"/>
          <w:b/>
          <w:bCs/>
          <w:color w:val="0F6FC6" w:themeColor="accent1"/>
          <w:sz w:val="28"/>
          <w:szCs w:val="28"/>
        </w:rPr>
      </w:pPr>
      <w:r w:rsidRPr="00A643C1">
        <w:rPr>
          <w:rFonts w:asciiTheme="majorHAnsi" w:hAnsiTheme="majorHAnsi" w:cstheme="majorHAnsi"/>
          <w:b/>
          <w:bCs/>
          <w:color w:val="0F6FC6" w:themeColor="accent1"/>
          <w:sz w:val="28"/>
          <w:szCs w:val="28"/>
        </w:rPr>
        <w:t>Transparență la nivelul ÎPC</w:t>
      </w:r>
    </w:p>
    <w:p w14:paraId="492CDEE0" w14:textId="77777777" w:rsidR="004A1E2B" w:rsidRPr="001467CC" w:rsidRDefault="004A1E2B" w:rsidP="004A1E2B">
      <w:pPr>
        <w:pStyle w:val="ListParagraph"/>
        <w:suppressAutoHyphens/>
        <w:spacing w:before="0" w:after="0" w:line="240" w:lineRule="auto"/>
        <w:ind w:left="1410"/>
        <w:jc w:val="both"/>
        <w:rPr>
          <w:rFonts w:asciiTheme="majorHAnsi" w:hAnsiTheme="majorHAnsi" w:cstheme="majorHAnsi"/>
          <w:b/>
        </w:rPr>
      </w:pPr>
    </w:p>
    <w:p w14:paraId="596F20B9" w14:textId="77777777" w:rsidR="004A1E2B" w:rsidRPr="001467CC" w:rsidRDefault="004A1E2B" w:rsidP="004A1E2B">
      <w:pPr>
        <w:pStyle w:val="ListParagraph"/>
        <w:suppressAutoHyphens/>
        <w:spacing w:before="0" w:after="0" w:line="240" w:lineRule="auto"/>
        <w:ind w:left="1410"/>
        <w:jc w:val="both"/>
        <w:rPr>
          <w:rFonts w:asciiTheme="majorHAnsi" w:hAnsiTheme="majorHAnsi" w:cstheme="majorHAnsi"/>
          <w:b/>
        </w:rPr>
      </w:pPr>
    </w:p>
    <w:p w14:paraId="174741E2" w14:textId="77777777" w:rsidR="004A1E2B" w:rsidRPr="001467CC" w:rsidRDefault="004A1E2B" w:rsidP="004A1E2B">
      <w:pPr>
        <w:suppressAutoHyphens/>
        <w:spacing w:before="0" w:after="0" w:line="240" w:lineRule="auto"/>
        <w:jc w:val="both"/>
        <w:rPr>
          <w:rFonts w:asciiTheme="majorHAnsi" w:hAnsiTheme="majorHAnsi" w:cstheme="majorHAnsi"/>
          <w:b/>
        </w:rPr>
      </w:pPr>
    </w:p>
    <w:p w14:paraId="23B74B6D" w14:textId="77777777" w:rsidR="004A1E2B" w:rsidRPr="001467CC" w:rsidRDefault="004A1E2B" w:rsidP="004A1E2B">
      <w:pPr>
        <w:spacing w:before="0" w:after="0" w:line="240" w:lineRule="auto"/>
        <w:ind w:left="-108"/>
        <w:jc w:val="both"/>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Situația îndeplinirii obligațiilor de transparență conform prevederilor O.U.G. nr. 109/2011 la nivelul ÎPC</w:t>
      </w:r>
    </w:p>
    <w:tbl>
      <w:tblPr>
        <w:tblW w:w="9260" w:type="dxa"/>
        <w:tblInd w:w="-5" w:type="dxa"/>
        <w:tblBorders>
          <w:top w:val="single" w:sz="4" w:space="0" w:color="9BC2E6"/>
          <w:left w:val="single" w:sz="4" w:space="0" w:color="FFFFFF"/>
          <w:bottom w:val="single" w:sz="4" w:space="0" w:color="9BC2E6"/>
          <w:right w:val="single" w:sz="4" w:space="0" w:color="FFFFFF"/>
          <w:insideH w:val="single" w:sz="4" w:space="0" w:color="9BC2E6"/>
          <w:insideV w:val="single" w:sz="4" w:space="0" w:color="FFFFFF"/>
        </w:tblBorders>
        <w:tblLook w:val="04A0" w:firstRow="1" w:lastRow="0" w:firstColumn="1" w:lastColumn="0" w:noHBand="0" w:noVBand="1"/>
      </w:tblPr>
      <w:tblGrid>
        <w:gridCol w:w="6885"/>
        <w:gridCol w:w="222"/>
        <w:gridCol w:w="717"/>
        <w:gridCol w:w="718"/>
        <w:gridCol w:w="718"/>
      </w:tblGrid>
      <w:tr w:rsidR="004A1E2B" w:rsidRPr="001467CC" w14:paraId="3BA7D03D" w14:textId="77777777" w:rsidTr="00B06C32">
        <w:trPr>
          <w:trHeight w:val="248"/>
        </w:trPr>
        <w:tc>
          <w:tcPr>
            <w:tcW w:w="6885" w:type="dxa"/>
            <w:tcBorders>
              <w:top w:val="single" w:sz="4" w:space="0" w:color="9BC2E6"/>
              <w:left w:val="single" w:sz="4" w:space="0" w:color="FFFFFF"/>
              <w:bottom w:val="single" w:sz="4" w:space="0" w:color="9BC2E6"/>
              <w:right w:val="single" w:sz="4" w:space="0" w:color="FFFFFF"/>
            </w:tcBorders>
            <w:shd w:val="clear" w:color="auto" w:fill="FFFFFF"/>
          </w:tcPr>
          <w:p w14:paraId="49D563A6"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Anul</w:t>
            </w:r>
          </w:p>
        </w:tc>
        <w:tc>
          <w:tcPr>
            <w:tcW w:w="222" w:type="dxa"/>
            <w:tcBorders>
              <w:top w:val="single" w:sz="4" w:space="0" w:color="9BC2E6"/>
              <w:bottom w:val="single" w:sz="4" w:space="0" w:color="9BC2E6"/>
              <w:right w:val="single" w:sz="4" w:space="0" w:color="FFFFFF"/>
            </w:tcBorders>
            <w:shd w:val="clear" w:color="auto" w:fill="auto"/>
          </w:tcPr>
          <w:p w14:paraId="1A5CA2F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top w:val="single" w:sz="4" w:space="0" w:color="9BC2E6"/>
              <w:bottom w:val="single" w:sz="4" w:space="0" w:color="9BC2E6"/>
            </w:tcBorders>
            <w:shd w:val="clear" w:color="auto" w:fill="auto"/>
          </w:tcPr>
          <w:p w14:paraId="6EE5628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2018</w:t>
            </w:r>
          </w:p>
        </w:tc>
        <w:tc>
          <w:tcPr>
            <w:tcW w:w="718" w:type="dxa"/>
            <w:tcBorders>
              <w:top w:val="single" w:sz="4" w:space="0" w:color="9BC2E6"/>
              <w:bottom w:val="single" w:sz="4" w:space="0" w:color="9BC2E6"/>
              <w:right w:val="single" w:sz="4" w:space="0" w:color="FFFFFF"/>
            </w:tcBorders>
            <w:shd w:val="clear" w:color="auto" w:fill="auto"/>
          </w:tcPr>
          <w:p w14:paraId="7102C696"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2019</w:t>
            </w:r>
          </w:p>
        </w:tc>
        <w:tc>
          <w:tcPr>
            <w:tcW w:w="718" w:type="dxa"/>
            <w:tcBorders>
              <w:top w:val="single" w:sz="4" w:space="0" w:color="9BC2E6"/>
              <w:bottom w:val="single" w:sz="4" w:space="0" w:color="9BC2E6"/>
              <w:right w:val="single" w:sz="4" w:space="0" w:color="FFFFFF"/>
            </w:tcBorders>
          </w:tcPr>
          <w:p w14:paraId="1289630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2020</w:t>
            </w:r>
          </w:p>
        </w:tc>
      </w:tr>
      <w:tr w:rsidR="004A1E2B" w:rsidRPr="001467CC" w14:paraId="53F21C01"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2FEC9AD0" w14:textId="77777777" w:rsidR="004A1E2B" w:rsidRPr="001467CC" w:rsidRDefault="004A1E2B" w:rsidP="00B06C32">
            <w:pPr>
              <w:spacing w:before="0" w:after="0" w:line="240" w:lineRule="auto"/>
              <w:rPr>
                <w:rFonts w:asciiTheme="majorHAnsi" w:eastAsia="Times New Roman" w:hAnsiTheme="majorHAnsi" w:cstheme="majorHAnsi"/>
                <w:i/>
                <w:iCs/>
                <w:color w:val="0F6FC6" w:themeColor="accent1"/>
                <w:sz w:val="14"/>
                <w:szCs w:val="14"/>
                <w:lang w:eastAsia="ro-RO"/>
              </w:rPr>
            </w:pPr>
            <w:r w:rsidRPr="001467CC">
              <w:rPr>
                <w:rFonts w:asciiTheme="majorHAnsi" w:eastAsia="Times New Roman" w:hAnsiTheme="majorHAnsi" w:cstheme="majorHAnsi"/>
                <w:i/>
                <w:iCs/>
                <w:color w:val="0F6FC6" w:themeColor="accent1"/>
                <w:sz w:val="14"/>
                <w:szCs w:val="14"/>
                <w:lang w:eastAsia="ro-RO"/>
              </w:rPr>
              <w:t>U.M.</w:t>
            </w:r>
          </w:p>
        </w:tc>
        <w:tc>
          <w:tcPr>
            <w:tcW w:w="222" w:type="dxa"/>
            <w:tcBorders>
              <w:bottom w:val="single" w:sz="4" w:space="0" w:color="9BC2E6"/>
              <w:right w:val="single" w:sz="4" w:space="0" w:color="FFFFFF"/>
            </w:tcBorders>
            <w:shd w:val="clear" w:color="auto" w:fill="auto"/>
          </w:tcPr>
          <w:p w14:paraId="22FBF18F"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c>
          <w:tcPr>
            <w:tcW w:w="717" w:type="dxa"/>
            <w:tcBorders>
              <w:bottom w:val="single" w:sz="4" w:space="0" w:color="9BC2E6"/>
            </w:tcBorders>
            <w:shd w:val="clear" w:color="auto" w:fill="auto"/>
          </w:tcPr>
          <w:p w14:paraId="366EC62E"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c>
          <w:tcPr>
            <w:tcW w:w="718" w:type="dxa"/>
            <w:tcBorders>
              <w:bottom w:val="single" w:sz="4" w:space="0" w:color="9BC2E6"/>
              <w:right w:val="single" w:sz="4" w:space="0" w:color="FFFFFF"/>
            </w:tcBorders>
            <w:shd w:val="clear" w:color="auto" w:fill="auto"/>
          </w:tcPr>
          <w:p w14:paraId="52B59446"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c>
          <w:tcPr>
            <w:tcW w:w="718" w:type="dxa"/>
            <w:tcBorders>
              <w:bottom w:val="single" w:sz="4" w:space="0" w:color="9BC2E6"/>
              <w:right w:val="single" w:sz="4" w:space="0" w:color="FFFFFF"/>
            </w:tcBorders>
          </w:tcPr>
          <w:p w14:paraId="1B0618CC"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r>
      <w:tr w:rsidR="004A1E2B" w:rsidRPr="001467CC" w14:paraId="52E23E62" w14:textId="77777777" w:rsidTr="00B06C32">
        <w:trPr>
          <w:trHeight w:val="283"/>
        </w:trPr>
        <w:tc>
          <w:tcPr>
            <w:tcW w:w="6885" w:type="dxa"/>
            <w:tcBorders>
              <w:left w:val="single" w:sz="4" w:space="0" w:color="FFFFFF"/>
              <w:bottom w:val="single" w:sz="4" w:space="0" w:color="9BC2E6"/>
              <w:right w:val="single" w:sz="4" w:space="0" w:color="FFFFFF"/>
            </w:tcBorders>
            <w:shd w:val="clear" w:color="auto" w:fill="FFFFFF"/>
          </w:tcPr>
          <w:p w14:paraId="0A2940A9" w14:textId="77777777" w:rsidR="004A1E2B" w:rsidRPr="001467CC" w:rsidRDefault="004A1E2B" w:rsidP="00B06C32">
            <w:pPr>
              <w:spacing w:before="0" w:after="0" w:line="240" w:lineRule="auto"/>
              <w:rPr>
                <w:rFonts w:asciiTheme="majorHAnsi" w:eastAsia="Times New Roman" w:hAnsiTheme="majorHAnsi" w:cstheme="majorHAnsi"/>
                <w:b/>
                <w:bCs/>
                <w:color w:val="0F6FC6" w:themeColor="accent1"/>
                <w:sz w:val="16"/>
                <w:szCs w:val="16"/>
                <w:lang w:eastAsia="ro-RO"/>
              </w:rPr>
            </w:pPr>
            <w:r w:rsidRPr="001467CC">
              <w:rPr>
                <w:rFonts w:asciiTheme="majorHAnsi" w:eastAsia="Times New Roman" w:hAnsiTheme="majorHAnsi" w:cstheme="majorHAnsi"/>
                <w:b/>
                <w:bCs/>
                <w:color w:val="0F6FC6" w:themeColor="accent1"/>
                <w:sz w:val="16"/>
                <w:szCs w:val="16"/>
                <w:lang w:eastAsia="ro-RO"/>
              </w:rPr>
              <w:t>Număr total ÎPL obligate la aplicarea prevederilor OUG nr. 109/2011 care au transmis informații, din care:</w:t>
            </w:r>
          </w:p>
        </w:tc>
        <w:tc>
          <w:tcPr>
            <w:tcW w:w="222" w:type="dxa"/>
            <w:tcBorders>
              <w:bottom w:val="single" w:sz="4" w:space="0" w:color="9BC2E6"/>
              <w:right w:val="single" w:sz="4" w:space="0" w:color="FFFFFF"/>
            </w:tcBorders>
            <w:shd w:val="clear" w:color="auto" w:fill="auto"/>
          </w:tcPr>
          <w:p w14:paraId="6BA2554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4DAD91D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147</w:t>
            </w:r>
          </w:p>
        </w:tc>
        <w:tc>
          <w:tcPr>
            <w:tcW w:w="718" w:type="dxa"/>
            <w:tcBorders>
              <w:bottom w:val="single" w:sz="4" w:space="0" w:color="9BC2E6"/>
              <w:right w:val="single" w:sz="4" w:space="0" w:color="FFFFFF"/>
            </w:tcBorders>
            <w:shd w:val="clear" w:color="auto" w:fill="auto"/>
          </w:tcPr>
          <w:p w14:paraId="16C14020"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146</w:t>
            </w:r>
          </w:p>
        </w:tc>
        <w:tc>
          <w:tcPr>
            <w:tcW w:w="718" w:type="dxa"/>
            <w:tcBorders>
              <w:bottom w:val="single" w:sz="4" w:space="0" w:color="9BC2E6"/>
              <w:right w:val="single" w:sz="4" w:space="0" w:color="FFFFFF"/>
            </w:tcBorders>
          </w:tcPr>
          <w:p w14:paraId="0EC5BCA2"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151</w:t>
            </w:r>
          </w:p>
        </w:tc>
      </w:tr>
      <w:tr w:rsidR="004A1E2B" w:rsidRPr="001467CC" w14:paraId="7CA96A01"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4C8023E5"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pagină de internet proprie</w:t>
            </w:r>
          </w:p>
        </w:tc>
        <w:tc>
          <w:tcPr>
            <w:tcW w:w="222" w:type="dxa"/>
            <w:tcBorders>
              <w:bottom w:val="single" w:sz="4" w:space="0" w:color="9BC2E6"/>
              <w:right w:val="single" w:sz="4" w:space="0" w:color="FFFFFF"/>
            </w:tcBorders>
            <w:shd w:val="clear" w:color="auto" w:fill="auto"/>
          </w:tcPr>
          <w:p w14:paraId="6AEDF06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452D05B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123</w:t>
            </w:r>
          </w:p>
        </w:tc>
        <w:tc>
          <w:tcPr>
            <w:tcW w:w="718" w:type="dxa"/>
            <w:tcBorders>
              <w:bottom w:val="single" w:sz="4" w:space="0" w:color="9BC2E6"/>
              <w:right w:val="single" w:sz="4" w:space="0" w:color="FFFFFF"/>
            </w:tcBorders>
            <w:shd w:val="clear" w:color="auto" w:fill="auto"/>
          </w:tcPr>
          <w:p w14:paraId="6B42584F"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1</w:t>
            </w:r>
            <w:r w:rsidRPr="001467CC">
              <w:rPr>
                <w:rFonts w:asciiTheme="majorHAnsi" w:eastAsia="Times New Roman" w:hAnsiTheme="majorHAnsi" w:cstheme="majorHAnsi"/>
                <w:color w:val="0F6FC6" w:themeColor="accent1"/>
                <w:sz w:val="16"/>
                <w:szCs w:val="16"/>
                <w:lang w:val="en-US" w:eastAsia="ro-RO"/>
              </w:rPr>
              <w:t>15</w:t>
            </w:r>
          </w:p>
        </w:tc>
        <w:tc>
          <w:tcPr>
            <w:tcW w:w="718" w:type="dxa"/>
            <w:tcBorders>
              <w:bottom w:val="single" w:sz="4" w:space="0" w:color="9BC2E6"/>
              <w:right w:val="single" w:sz="4" w:space="0" w:color="FFFFFF"/>
            </w:tcBorders>
          </w:tcPr>
          <w:p w14:paraId="6B42CC6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129</w:t>
            </w:r>
          </w:p>
        </w:tc>
      </w:tr>
      <w:tr w:rsidR="004A1E2B" w:rsidRPr="001467CC" w14:paraId="2B7C9343"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0A54A4AC"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Raportul de audit la situațiile financiare anuale</w:t>
            </w:r>
          </w:p>
        </w:tc>
        <w:tc>
          <w:tcPr>
            <w:tcW w:w="222" w:type="dxa"/>
            <w:tcBorders>
              <w:bottom w:val="single" w:sz="4" w:space="0" w:color="9BC2E6"/>
              <w:right w:val="single" w:sz="4" w:space="0" w:color="FFFFFF"/>
            </w:tcBorders>
            <w:shd w:val="clear" w:color="auto" w:fill="auto"/>
          </w:tcPr>
          <w:p w14:paraId="6C3E1B2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25A4514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98</w:t>
            </w:r>
          </w:p>
        </w:tc>
        <w:tc>
          <w:tcPr>
            <w:tcW w:w="718" w:type="dxa"/>
            <w:tcBorders>
              <w:bottom w:val="single" w:sz="4" w:space="0" w:color="9BC2E6"/>
              <w:right w:val="single" w:sz="4" w:space="0" w:color="FFFFFF"/>
            </w:tcBorders>
            <w:shd w:val="clear" w:color="auto" w:fill="auto"/>
          </w:tcPr>
          <w:p w14:paraId="2BCEEDEE" w14:textId="77777777" w:rsidR="004A1E2B" w:rsidRPr="001467CC" w:rsidRDefault="004A1E2B" w:rsidP="00B06C32">
            <w:pPr>
              <w:spacing w:before="0" w:after="0" w:line="240" w:lineRule="auto"/>
              <w:jc w:val="right"/>
              <w:rPr>
                <w:rFonts w:asciiTheme="majorHAnsi" w:hAnsiTheme="majorHAnsi" w:cstheme="majorHAnsi"/>
                <w:lang w:val="en-US"/>
              </w:rPr>
            </w:pPr>
            <w:r w:rsidRPr="001467CC">
              <w:rPr>
                <w:rFonts w:asciiTheme="majorHAnsi" w:eastAsia="Times New Roman" w:hAnsiTheme="majorHAnsi" w:cstheme="majorHAnsi"/>
                <w:color w:val="0F6FC6" w:themeColor="accent1"/>
                <w:sz w:val="16"/>
                <w:szCs w:val="16"/>
                <w:lang w:val="en-US" w:eastAsia="ro-RO"/>
              </w:rPr>
              <w:t>90</w:t>
            </w:r>
          </w:p>
        </w:tc>
        <w:tc>
          <w:tcPr>
            <w:tcW w:w="718" w:type="dxa"/>
            <w:tcBorders>
              <w:bottom w:val="single" w:sz="4" w:space="0" w:color="9BC2E6"/>
              <w:right w:val="single" w:sz="4" w:space="0" w:color="FFFFFF"/>
            </w:tcBorders>
          </w:tcPr>
          <w:p w14:paraId="3C8A94D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eastAsia="ro-RO"/>
              </w:rPr>
            </w:pPr>
            <w:r w:rsidRPr="001467CC">
              <w:rPr>
                <w:rFonts w:asciiTheme="majorHAnsi" w:eastAsia="Times New Roman" w:hAnsiTheme="majorHAnsi" w:cstheme="majorHAnsi"/>
                <w:color w:val="0F6FC6" w:themeColor="accent1"/>
                <w:sz w:val="16"/>
                <w:szCs w:val="16"/>
                <w:lang w:val="en-US" w:eastAsia="ro-RO"/>
              </w:rPr>
              <w:t>94</w:t>
            </w:r>
          </w:p>
        </w:tc>
      </w:tr>
      <w:tr w:rsidR="004A1E2B" w:rsidRPr="001467CC" w14:paraId="71716348"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652A29AF"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raportările/situațiile financiare anuale</w:t>
            </w:r>
          </w:p>
        </w:tc>
        <w:tc>
          <w:tcPr>
            <w:tcW w:w="222" w:type="dxa"/>
            <w:tcBorders>
              <w:bottom w:val="single" w:sz="4" w:space="0" w:color="9BC2E6"/>
              <w:right w:val="single" w:sz="4" w:space="0" w:color="FFFFFF"/>
            </w:tcBorders>
            <w:shd w:val="clear" w:color="auto" w:fill="auto"/>
          </w:tcPr>
          <w:p w14:paraId="1D8E0F32"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6DE9A4D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98</w:t>
            </w:r>
          </w:p>
        </w:tc>
        <w:tc>
          <w:tcPr>
            <w:tcW w:w="718" w:type="dxa"/>
            <w:tcBorders>
              <w:bottom w:val="single" w:sz="4" w:space="0" w:color="9BC2E6"/>
              <w:right w:val="single" w:sz="4" w:space="0" w:color="FFFFFF"/>
            </w:tcBorders>
            <w:shd w:val="clear" w:color="auto" w:fill="auto"/>
          </w:tcPr>
          <w:p w14:paraId="376698DD"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9</w:t>
            </w:r>
            <w:r w:rsidRPr="001467CC">
              <w:rPr>
                <w:rFonts w:asciiTheme="majorHAnsi" w:eastAsia="Times New Roman" w:hAnsiTheme="majorHAnsi" w:cstheme="majorHAnsi"/>
                <w:color w:val="0F6FC6" w:themeColor="accent1"/>
                <w:sz w:val="16"/>
                <w:szCs w:val="16"/>
                <w:lang w:val="en-US" w:eastAsia="ro-RO"/>
              </w:rPr>
              <w:t>8</w:t>
            </w:r>
          </w:p>
        </w:tc>
        <w:tc>
          <w:tcPr>
            <w:tcW w:w="718" w:type="dxa"/>
            <w:tcBorders>
              <w:bottom w:val="single" w:sz="4" w:space="0" w:color="9BC2E6"/>
              <w:right w:val="single" w:sz="4" w:space="0" w:color="FFFFFF"/>
            </w:tcBorders>
          </w:tcPr>
          <w:p w14:paraId="76032362"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102</w:t>
            </w:r>
          </w:p>
        </w:tc>
      </w:tr>
      <w:tr w:rsidR="004A1E2B" w:rsidRPr="001467CC" w14:paraId="6247E257"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25FAA497"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raportările contabile semestriale</w:t>
            </w:r>
          </w:p>
        </w:tc>
        <w:tc>
          <w:tcPr>
            <w:tcW w:w="222" w:type="dxa"/>
            <w:tcBorders>
              <w:bottom w:val="single" w:sz="4" w:space="0" w:color="9BC2E6"/>
              <w:right w:val="single" w:sz="4" w:space="0" w:color="FFFFFF"/>
            </w:tcBorders>
            <w:shd w:val="clear" w:color="auto" w:fill="auto"/>
          </w:tcPr>
          <w:p w14:paraId="1B88E9D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6E7F53F6"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93</w:t>
            </w:r>
          </w:p>
        </w:tc>
        <w:tc>
          <w:tcPr>
            <w:tcW w:w="718" w:type="dxa"/>
            <w:tcBorders>
              <w:bottom w:val="single" w:sz="4" w:space="0" w:color="9BC2E6"/>
              <w:right w:val="single" w:sz="4" w:space="0" w:color="FFFFFF"/>
            </w:tcBorders>
            <w:shd w:val="clear" w:color="auto" w:fill="auto"/>
          </w:tcPr>
          <w:p w14:paraId="25C4FE6D"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9</w:t>
            </w:r>
            <w:r w:rsidRPr="001467CC">
              <w:rPr>
                <w:rFonts w:asciiTheme="majorHAnsi" w:eastAsia="Times New Roman" w:hAnsiTheme="majorHAnsi" w:cstheme="majorHAnsi"/>
                <w:color w:val="0F6FC6" w:themeColor="accent1"/>
                <w:sz w:val="16"/>
                <w:szCs w:val="16"/>
                <w:lang w:val="en-US" w:eastAsia="ro-RO"/>
              </w:rPr>
              <w:t>5</w:t>
            </w:r>
          </w:p>
        </w:tc>
        <w:tc>
          <w:tcPr>
            <w:tcW w:w="718" w:type="dxa"/>
            <w:tcBorders>
              <w:bottom w:val="single" w:sz="4" w:space="0" w:color="9BC2E6"/>
              <w:right w:val="single" w:sz="4" w:space="0" w:color="FFFFFF"/>
            </w:tcBorders>
          </w:tcPr>
          <w:p w14:paraId="1161716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96</w:t>
            </w:r>
          </w:p>
        </w:tc>
      </w:tr>
      <w:tr w:rsidR="004A1E2B" w:rsidRPr="001467CC" w14:paraId="33768627"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7AC31BB6"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Raportul administratorilor (CA/CS)</w:t>
            </w:r>
          </w:p>
        </w:tc>
        <w:tc>
          <w:tcPr>
            <w:tcW w:w="222" w:type="dxa"/>
            <w:tcBorders>
              <w:bottom w:val="single" w:sz="4" w:space="0" w:color="9BC2E6"/>
              <w:right w:val="single" w:sz="4" w:space="0" w:color="FFFFFF"/>
            </w:tcBorders>
            <w:shd w:val="clear" w:color="auto" w:fill="auto"/>
          </w:tcPr>
          <w:p w14:paraId="2A0B1BD7"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0737D15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84</w:t>
            </w:r>
          </w:p>
        </w:tc>
        <w:tc>
          <w:tcPr>
            <w:tcW w:w="718" w:type="dxa"/>
            <w:tcBorders>
              <w:bottom w:val="single" w:sz="4" w:space="0" w:color="9BC2E6"/>
              <w:right w:val="single" w:sz="4" w:space="0" w:color="FFFFFF"/>
            </w:tcBorders>
            <w:shd w:val="clear" w:color="auto" w:fill="auto"/>
          </w:tcPr>
          <w:p w14:paraId="0367907D"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8</w:t>
            </w:r>
            <w:r w:rsidRPr="001467CC">
              <w:rPr>
                <w:rFonts w:asciiTheme="majorHAnsi" w:eastAsia="Times New Roman" w:hAnsiTheme="majorHAnsi" w:cstheme="majorHAnsi"/>
                <w:color w:val="0F6FC6" w:themeColor="accent1"/>
                <w:sz w:val="16"/>
                <w:szCs w:val="16"/>
                <w:lang w:val="en-US" w:eastAsia="ro-RO"/>
              </w:rPr>
              <w:t>2</w:t>
            </w:r>
          </w:p>
        </w:tc>
        <w:tc>
          <w:tcPr>
            <w:tcW w:w="718" w:type="dxa"/>
            <w:tcBorders>
              <w:bottom w:val="single" w:sz="4" w:space="0" w:color="9BC2E6"/>
              <w:right w:val="single" w:sz="4" w:space="0" w:color="FFFFFF"/>
            </w:tcBorders>
          </w:tcPr>
          <w:p w14:paraId="371ECBA0"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 xml:space="preserve">   94</w:t>
            </w:r>
          </w:p>
        </w:tc>
      </w:tr>
      <w:tr w:rsidR="004A1E2B" w:rsidRPr="001467CC" w14:paraId="0146B809" w14:textId="77777777" w:rsidTr="00B06C32">
        <w:trPr>
          <w:trHeight w:val="75"/>
        </w:trPr>
        <w:tc>
          <w:tcPr>
            <w:tcW w:w="6885" w:type="dxa"/>
            <w:tcBorders>
              <w:left w:val="single" w:sz="4" w:space="0" w:color="FFFFFF"/>
              <w:bottom w:val="single" w:sz="4" w:space="0" w:color="9BC2E6"/>
              <w:right w:val="single" w:sz="4" w:space="0" w:color="FFFFFF"/>
            </w:tcBorders>
            <w:shd w:val="clear" w:color="auto" w:fill="FFFFFF"/>
          </w:tcPr>
          <w:p w14:paraId="65055584"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Codul de conduită etică și profesională</w:t>
            </w:r>
          </w:p>
        </w:tc>
        <w:tc>
          <w:tcPr>
            <w:tcW w:w="222" w:type="dxa"/>
            <w:tcBorders>
              <w:bottom w:val="single" w:sz="4" w:space="0" w:color="9BC2E6"/>
              <w:right w:val="single" w:sz="4" w:space="0" w:color="FFFFFF"/>
            </w:tcBorders>
            <w:shd w:val="clear" w:color="auto" w:fill="auto"/>
          </w:tcPr>
          <w:p w14:paraId="18AE9082"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7BEA7FB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85</w:t>
            </w:r>
          </w:p>
        </w:tc>
        <w:tc>
          <w:tcPr>
            <w:tcW w:w="718" w:type="dxa"/>
            <w:tcBorders>
              <w:bottom w:val="single" w:sz="4" w:space="0" w:color="9BC2E6"/>
              <w:right w:val="single" w:sz="4" w:space="0" w:color="FFFFFF"/>
            </w:tcBorders>
            <w:shd w:val="clear" w:color="auto" w:fill="auto"/>
          </w:tcPr>
          <w:p w14:paraId="6E33CF40"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8</w:t>
            </w:r>
            <w:r w:rsidRPr="001467CC">
              <w:rPr>
                <w:rFonts w:asciiTheme="majorHAnsi" w:eastAsia="Times New Roman" w:hAnsiTheme="majorHAnsi" w:cstheme="majorHAnsi"/>
                <w:color w:val="0F6FC6" w:themeColor="accent1"/>
                <w:sz w:val="16"/>
                <w:szCs w:val="16"/>
                <w:lang w:val="en-US" w:eastAsia="ro-RO"/>
              </w:rPr>
              <w:t>6</w:t>
            </w:r>
          </w:p>
        </w:tc>
        <w:tc>
          <w:tcPr>
            <w:tcW w:w="718" w:type="dxa"/>
            <w:tcBorders>
              <w:bottom w:val="single" w:sz="4" w:space="0" w:color="9BC2E6"/>
              <w:right w:val="single" w:sz="4" w:space="0" w:color="FFFFFF"/>
            </w:tcBorders>
          </w:tcPr>
          <w:p w14:paraId="54A2B6A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92</w:t>
            </w:r>
          </w:p>
        </w:tc>
      </w:tr>
      <w:tr w:rsidR="004A1E2B" w:rsidRPr="001467CC" w14:paraId="24AA54A7" w14:textId="77777777" w:rsidTr="00B06C32">
        <w:trPr>
          <w:trHeight w:val="274"/>
        </w:trPr>
        <w:tc>
          <w:tcPr>
            <w:tcW w:w="6885" w:type="dxa"/>
            <w:tcBorders>
              <w:left w:val="single" w:sz="4" w:space="0" w:color="FFFFFF"/>
              <w:bottom w:val="single" w:sz="4" w:space="0" w:color="9BC2E6"/>
              <w:right w:val="single" w:sz="4" w:space="0" w:color="FFFFFF"/>
            </w:tcBorders>
            <w:shd w:val="clear" w:color="auto" w:fill="FFFFFF"/>
          </w:tcPr>
          <w:p w14:paraId="110ED2B1"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Lista administratorilor și CV-urile acestora</w:t>
            </w:r>
          </w:p>
        </w:tc>
        <w:tc>
          <w:tcPr>
            <w:tcW w:w="222" w:type="dxa"/>
            <w:tcBorders>
              <w:bottom w:val="single" w:sz="4" w:space="0" w:color="9BC2E6"/>
              <w:right w:val="single" w:sz="4" w:space="0" w:color="FFFFFF"/>
            </w:tcBorders>
            <w:shd w:val="clear" w:color="auto" w:fill="auto"/>
          </w:tcPr>
          <w:p w14:paraId="00B5843B"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4E9E85B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96</w:t>
            </w:r>
          </w:p>
        </w:tc>
        <w:tc>
          <w:tcPr>
            <w:tcW w:w="718" w:type="dxa"/>
            <w:tcBorders>
              <w:bottom w:val="single" w:sz="4" w:space="0" w:color="9BC2E6"/>
              <w:right w:val="single" w:sz="4" w:space="0" w:color="FFFFFF"/>
            </w:tcBorders>
            <w:shd w:val="clear" w:color="auto" w:fill="auto"/>
          </w:tcPr>
          <w:p w14:paraId="327BA69D"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9</w:t>
            </w:r>
            <w:r w:rsidRPr="001467CC">
              <w:rPr>
                <w:rFonts w:asciiTheme="majorHAnsi" w:eastAsia="Times New Roman" w:hAnsiTheme="majorHAnsi" w:cstheme="majorHAnsi"/>
                <w:color w:val="0F6FC6" w:themeColor="accent1"/>
                <w:sz w:val="16"/>
                <w:szCs w:val="16"/>
                <w:lang w:val="en-US" w:eastAsia="ro-RO"/>
              </w:rPr>
              <w:t>9</w:t>
            </w:r>
          </w:p>
        </w:tc>
        <w:tc>
          <w:tcPr>
            <w:tcW w:w="718" w:type="dxa"/>
            <w:tcBorders>
              <w:bottom w:val="single" w:sz="4" w:space="0" w:color="9BC2E6"/>
              <w:right w:val="single" w:sz="4" w:space="0" w:color="FFFFFF"/>
            </w:tcBorders>
          </w:tcPr>
          <w:p w14:paraId="4CB3B16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104</w:t>
            </w:r>
          </w:p>
        </w:tc>
      </w:tr>
      <w:tr w:rsidR="004A1E2B" w:rsidRPr="001467CC" w14:paraId="5FB99D2A"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357E4B08"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remunerațiile administratorilor și directorilor/directoratului</w:t>
            </w:r>
          </w:p>
        </w:tc>
        <w:tc>
          <w:tcPr>
            <w:tcW w:w="222" w:type="dxa"/>
            <w:tcBorders>
              <w:bottom w:val="single" w:sz="4" w:space="0" w:color="9BC2E6"/>
              <w:right w:val="single" w:sz="4" w:space="0" w:color="FFFFFF"/>
            </w:tcBorders>
            <w:shd w:val="clear" w:color="auto" w:fill="auto"/>
          </w:tcPr>
          <w:p w14:paraId="49114CD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37BECE1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61</w:t>
            </w:r>
          </w:p>
        </w:tc>
        <w:tc>
          <w:tcPr>
            <w:tcW w:w="718" w:type="dxa"/>
            <w:tcBorders>
              <w:bottom w:val="single" w:sz="4" w:space="0" w:color="9BC2E6"/>
              <w:right w:val="single" w:sz="4" w:space="0" w:color="FFFFFF"/>
            </w:tcBorders>
            <w:shd w:val="clear" w:color="auto" w:fill="auto"/>
          </w:tcPr>
          <w:p w14:paraId="2DF63D33"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color w:val="0F6FC6" w:themeColor="accent1"/>
                <w:sz w:val="16"/>
                <w:szCs w:val="16"/>
                <w:lang w:eastAsia="ro-RO"/>
              </w:rPr>
              <w:t>6</w:t>
            </w:r>
            <w:r w:rsidRPr="001467CC">
              <w:rPr>
                <w:rFonts w:asciiTheme="majorHAnsi" w:eastAsia="Times New Roman" w:hAnsiTheme="majorHAnsi" w:cstheme="majorHAnsi"/>
                <w:color w:val="0F6FC6" w:themeColor="accent1"/>
                <w:sz w:val="16"/>
                <w:szCs w:val="16"/>
                <w:lang w:val="en-US" w:eastAsia="ro-RO"/>
              </w:rPr>
              <w:t>3</w:t>
            </w:r>
          </w:p>
        </w:tc>
        <w:tc>
          <w:tcPr>
            <w:tcW w:w="718" w:type="dxa"/>
            <w:tcBorders>
              <w:bottom w:val="single" w:sz="4" w:space="0" w:color="9BC2E6"/>
              <w:right w:val="single" w:sz="4" w:space="0" w:color="FFFFFF"/>
            </w:tcBorders>
          </w:tcPr>
          <w:p w14:paraId="5A96A15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71</w:t>
            </w:r>
          </w:p>
        </w:tc>
      </w:tr>
      <w:tr w:rsidR="004A1E2B" w:rsidRPr="001467CC" w14:paraId="0E0BE046" w14:textId="77777777" w:rsidTr="00B06C32">
        <w:trPr>
          <w:trHeight w:val="195"/>
        </w:trPr>
        <w:tc>
          <w:tcPr>
            <w:tcW w:w="6885" w:type="dxa"/>
            <w:tcBorders>
              <w:left w:val="single" w:sz="4" w:space="0" w:color="FFFFFF"/>
              <w:right w:val="single" w:sz="4" w:space="0" w:color="FFFFFF"/>
            </w:tcBorders>
            <w:shd w:val="clear" w:color="auto" w:fill="FFFFFF"/>
          </w:tcPr>
          <w:p w14:paraId="6ECF446C"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au publicat hotărârile A.G.A.</w:t>
            </w:r>
          </w:p>
        </w:tc>
        <w:tc>
          <w:tcPr>
            <w:tcW w:w="222" w:type="dxa"/>
            <w:tcBorders>
              <w:right w:val="single" w:sz="4" w:space="0" w:color="FFFFFF"/>
            </w:tcBorders>
            <w:shd w:val="clear" w:color="auto" w:fill="auto"/>
          </w:tcPr>
          <w:p w14:paraId="2080E03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shd w:val="clear" w:color="auto" w:fill="auto"/>
          </w:tcPr>
          <w:p w14:paraId="0B2676E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83</w:t>
            </w:r>
          </w:p>
        </w:tc>
        <w:tc>
          <w:tcPr>
            <w:tcW w:w="718" w:type="dxa"/>
            <w:tcBorders>
              <w:right w:val="single" w:sz="4" w:space="0" w:color="FFFFFF"/>
            </w:tcBorders>
            <w:shd w:val="clear" w:color="auto" w:fill="auto"/>
          </w:tcPr>
          <w:p w14:paraId="5DAD0683" w14:textId="77777777" w:rsidR="004A1E2B" w:rsidRPr="001467CC" w:rsidRDefault="004A1E2B" w:rsidP="00B06C32">
            <w:pPr>
              <w:spacing w:before="0" w:after="0" w:line="240" w:lineRule="auto"/>
              <w:jc w:val="right"/>
              <w:rPr>
                <w:rFonts w:asciiTheme="majorHAnsi" w:hAnsiTheme="majorHAnsi" w:cstheme="majorHAnsi"/>
                <w:lang w:val="en-US"/>
              </w:rPr>
            </w:pPr>
            <w:r w:rsidRPr="001467CC">
              <w:rPr>
                <w:rFonts w:asciiTheme="majorHAnsi" w:eastAsia="Times New Roman" w:hAnsiTheme="majorHAnsi" w:cstheme="majorHAnsi"/>
                <w:color w:val="0F6FC6" w:themeColor="accent1"/>
                <w:sz w:val="16"/>
                <w:szCs w:val="16"/>
                <w:lang w:val="en-US" w:eastAsia="ro-RO"/>
              </w:rPr>
              <w:t>88</w:t>
            </w:r>
          </w:p>
        </w:tc>
        <w:tc>
          <w:tcPr>
            <w:tcW w:w="718" w:type="dxa"/>
            <w:tcBorders>
              <w:right w:val="single" w:sz="4" w:space="0" w:color="FFFFFF"/>
            </w:tcBorders>
          </w:tcPr>
          <w:p w14:paraId="51DFB41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eastAsia="ro-RO"/>
              </w:rPr>
            </w:pPr>
            <w:r w:rsidRPr="001467CC">
              <w:rPr>
                <w:rFonts w:asciiTheme="majorHAnsi" w:eastAsia="Times New Roman" w:hAnsiTheme="majorHAnsi" w:cstheme="majorHAnsi"/>
                <w:color w:val="0F6FC6" w:themeColor="accent1"/>
                <w:sz w:val="16"/>
                <w:szCs w:val="16"/>
                <w:lang w:val="en-US" w:eastAsia="ro-RO"/>
              </w:rPr>
              <w:t>93</w:t>
            </w:r>
          </w:p>
        </w:tc>
      </w:tr>
      <w:tr w:rsidR="004A1E2B" w:rsidRPr="001467CC" w14:paraId="14DC90EB" w14:textId="77777777" w:rsidTr="00B06C32">
        <w:trPr>
          <w:trHeight w:val="195"/>
        </w:trPr>
        <w:tc>
          <w:tcPr>
            <w:tcW w:w="6885" w:type="dxa"/>
            <w:tcBorders>
              <w:left w:val="single" w:sz="4" w:space="0" w:color="FFFFFF"/>
              <w:bottom w:val="single" w:sz="4" w:space="0" w:color="9BC2E6"/>
              <w:right w:val="single" w:sz="4" w:space="0" w:color="FFFFFF"/>
            </w:tcBorders>
            <w:shd w:val="clear" w:color="auto" w:fill="FFFFFF"/>
          </w:tcPr>
          <w:p w14:paraId="78A786B6"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hotărârile A.G.A. sunt accesibile publicului larg fără parolă</w:t>
            </w:r>
          </w:p>
        </w:tc>
        <w:tc>
          <w:tcPr>
            <w:tcW w:w="222" w:type="dxa"/>
            <w:tcBorders>
              <w:bottom w:val="single" w:sz="4" w:space="0" w:color="9BC2E6"/>
              <w:right w:val="single" w:sz="4" w:space="0" w:color="FFFFFF"/>
            </w:tcBorders>
            <w:shd w:val="clear" w:color="auto" w:fill="auto"/>
          </w:tcPr>
          <w:p w14:paraId="4DE7F78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717" w:type="dxa"/>
            <w:tcBorders>
              <w:bottom w:val="single" w:sz="4" w:space="0" w:color="9BC2E6"/>
            </w:tcBorders>
            <w:shd w:val="clear" w:color="auto" w:fill="auto"/>
          </w:tcPr>
          <w:p w14:paraId="57105A0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83</w:t>
            </w:r>
          </w:p>
        </w:tc>
        <w:tc>
          <w:tcPr>
            <w:tcW w:w="718" w:type="dxa"/>
            <w:tcBorders>
              <w:bottom w:val="single" w:sz="4" w:space="0" w:color="9BC2E6"/>
              <w:right w:val="single" w:sz="4" w:space="0" w:color="FFFFFF"/>
            </w:tcBorders>
            <w:shd w:val="clear" w:color="auto" w:fill="auto"/>
          </w:tcPr>
          <w:p w14:paraId="295B744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82</w:t>
            </w:r>
          </w:p>
        </w:tc>
        <w:tc>
          <w:tcPr>
            <w:tcW w:w="718" w:type="dxa"/>
            <w:tcBorders>
              <w:bottom w:val="single" w:sz="4" w:space="0" w:color="9BC2E6"/>
              <w:right w:val="single" w:sz="4" w:space="0" w:color="FFFFFF"/>
            </w:tcBorders>
          </w:tcPr>
          <w:p w14:paraId="34895DB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1467CC">
              <w:rPr>
                <w:rFonts w:asciiTheme="majorHAnsi" w:eastAsia="Times New Roman" w:hAnsiTheme="majorHAnsi" w:cstheme="majorHAnsi"/>
                <w:color w:val="0F6FC6" w:themeColor="accent1"/>
                <w:sz w:val="16"/>
                <w:szCs w:val="16"/>
                <w:lang w:eastAsia="ro-RO"/>
              </w:rPr>
              <w:t>91</w:t>
            </w:r>
          </w:p>
        </w:tc>
      </w:tr>
    </w:tbl>
    <w:p w14:paraId="6CB048A2" w14:textId="77777777" w:rsidR="004A1E2B" w:rsidRPr="001467CC" w:rsidRDefault="004A1E2B" w:rsidP="004A1E2B">
      <w:pPr>
        <w:spacing w:before="0" w:after="0" w:line="240" w:lineRule="auto"/>
        <w:ind w:left="-108"/>
        <w:jc w:val="both"/>
        <w:rPr>
          <w:rFonts w:asciiTheme="majorHAnsi" w:eastAsia="Times New Roman" w:hAnsiTheme="majorHAnsi" w:cstheme="majorHAnsi"/>
          <w:color w:val="0F6FC6" w:themeColor="accent1"/>
          <w:lang w:eastAsia="ro-RO"/>
        </w:rPr>
      </w:pPr>
    </w:p>
    <w:p w14:paraId="41DF50B5" w14:textId="77777777" w:rsidR="004A1E2B" w:rsidRPr="001467CC" w:rsidRDefault="004A1E2B" w:rsidP="004A1E2B">
      <w:pPr>
        <w:suppressAutoHyphens/>
        <w:spacing w:before="0" w:after="0" w:line="240" w:lineRule="auto"/>
        <w:jc w:val="both"/>
        <w:rPr>
          <w:rFonts w:asciiTheme="majorHAnsi" w:hAnsiTheme="majorHAnsi" w:cstheme="majorHAnsi"/>
          <w:b/>
        </w:rPr>
      </w:pPr>
    </w:p>
    <w:p w14:paraId="2F281249" w14:textId="77777777" w:rsidR="004A1E2B" w:rsidRPr="001467CC" w:rsidRDefault="004A1E2B" w:rsidP="004A1E2B">
      <w:pPr>
        <w:suppressAutoHyphens/>
        <w:spacing w:before="0" w:after="0" w:line="240" w:lineRule="auto"/>
        <w:jc w:val="both"/>
        <w:rPr>
          <w:rFonts w:asciiTheme="majorHAnsi" w:hAnsiTheme="majorHAnsi" w:cstheme="majorHAnsi"/>
          <w:b/>
        </w:rPr>
      </w:pPr>
    </w:p>
    <w:p w14:paraId="2F524EE4" w14:textId="77777777" w:rsidR="004A1E2B" w:rsidRPr="001467CC" w:rsidRDefault="004A1E2B" w:rsidP="004A1E2B">
      <w:pPr>
        <w:jc w:val="both"/>
        <w:rPr>
          <w:rFonts w:asciiTheme="majorHAnsi" w:eastAsia="Calibri" w:hAnsiTheme="majorHAnsi" w:cstheme="majorHAnsi"/>
        </w:rPr>
      </w:pPr>
      <w:r w:rsidRPr="001467CC">
        <w:rPr>
          <w:rFonts w:asciiTheme="majorHAnsi" w:eastAsia="Calibri" w:hAnsiTheme="majorHAnsi" w:cstheme="majorHAnsi"/>
        </w:rPr>
        <w:t xml:space="preserve">Pentru cele </w:t>
      </w:r>
      <w:r w:rsidRPr="001467CC">
        <w:rPr>
          <w:rFonts w:asciiTheme="majorHAnsi" w:eastAsia="Calibri" w:hAnsiTheme="majorHAnsi" w:cstheme="majorHAnsi"/>
          <w:b/>
        </w:rPr>
        <w:t>151 ÎPC obligate la respectarea obligațiilor de transparență</w:t>
      </w:r>
      <w:r w:rsidRPr="001467CC">
        <w:rPr>
          <w:rFonts w:asciiTheme="majorHAnsi" w:eastAsia="Calibri" w:hAnsiTheme="majorHAnsi" w:cstheme="majorHAnsi"/>
        </w:rPr>
        <w:t xml:space="preserve"> conform art. 51 din Ordonanța de Urgență a Guvernului nr. 109/2011, se constată o evoluție ușor pozitiva în anul 2020 față de anii precedenți în ce privește respectarea obligațiilor de transparență la nivelul ÎPC, după cum urmează:</w:t>
      </w:r>
    </w:p>
    <w:p w14:paraId="03A9488A"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 xml:space="preserve">o pondere de </w:t>
      </w:r>
      <w:r w:rsidRPr="001467CC">
        <w:rPr>
          <w:rFonts w:asciiTheme="majorHAnsi" w:eastAsia="Calibri" w:hAnsiTheme="majorHAnsi" w:cstheme="majorHAnsi"/>
          <w:lang w:val="en-US"/>
        </w:rPr>
        <w:t>85</w:t>
      </w:r>
      <w:r w:rsidRPr="001467CC">
        <w:rPr>
          <w:rFonts w:asciiTheme="majorHAnsi" w:eastAsia="Calibri" w:hAnsiTheme="majorHAnsi" w:cstheme="majorHAnsi"/>
        </w:rPr>
        <w:t>% ÎPC au pagină proprie de internet;</w:t>
      </w:r>
    </w:p>
    <w:p w14:paraId="10508318"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o pondere de 67% au publicat raportările / situațiile financiare anuale (SFA);</w:t>
      </w:r>
    </w:p>
    <w:p w14:paraId="7BC1E297"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 xml:space="preserve"> o pondere de 62% au publicat raportul de audit al situațiilor financiare anuale;</w:t>
      </w:r>
    </w:p>
    <w:p w14:paraId="581EC7DF"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o pondere de 6</w:t>
      </w:r>
      <w:r w:rsidRPr="001467CC">
        <w:rPr>
          <w:rFonts w:asciiTheme="majorHAnsi" w:eastAsia="Calibri" w:hAnsiTheme="majorHAnsi" w:cstheme="majorHAnsi"/>
          <w:lang w:val="en-US"/>
        </w:rPr>
        <w:t>4</w:t>
      </w:r>
      <w:r w:rsidRPr="001467CC">
        <w:rPr>
          <w:rFonts w:asciiTheme="majorHAnsi" w:eastAsia="Calibri" w:hAnsiTheme="majorHAnsi" w:cstheme="majorHAnsi"/>
        </w:rPr>
        <w:t>% au publicat raportările contabile semestriale;</w:t>
      </w:r>
    </w:p>
    <w:p w14:paraId="2FE68A28"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o pondere de 62% au publicat  raportul administratorilor(CA/CS);</w:t>
      </w:r>
    </w:p>
    <w:p w14:paraId="3A4EF9B2"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o pondere de 61% au publicat Codul de conduită și etică profesională</w:t>
      </w:r>
      <w:r w:rsidRPr="001467CC">
        <w:rPr>
          <w:rFonts w:asciiTheme="majorHAnsi" w:eastAsia="Calibri" w:hAnsiTheme="majorHAnsi" w:cstheme="majorHAnsi"/>
          <w:lang w:val="en-US"/>
        </w:rPr>
        <w:t>;</w:t>
      </w:r>
    </w:p>
    <w:p w14:paraId="02CE015A"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o pondere de 6</w:t>
      </w:r>
      <w:r w:rsidRPr="001467CC">
        <w:rPr>
          <w:rFonts w:asciiTheme="majorHAnsi" w:eastAsia="Calibri" w:hAnsiTheme="majorHAnsi" w:cstheme="majorHAnsi"/>
          <w:lang w:val="en-US"/>
        </w:rPr>
        <w:t>9</w:t>
      </w:r>
      <w:r w:rsidRPr="001467CC">
        <w:rPr>
          <w:rFonts w:asciiTheme="majorHAnsi" w:eastAsia="Calibri" w:hAnsiTheme="majorHAnsi" w:cstheme="majorHAnsi"/>
        </w:rPr>
        <w:t xml:space="preserve"> % au publicat CV- urile  administratorilor/directorilor, în creștere cu </w:t>
      </w:r>
      <w:r w:rsidRPr="001467CC">
        <w:rPr>
          <w:rFonts w:asciiTheme="majorHAnsi" w:eastAsia="Calibri" w:hAnsiTheme="majorHAnsi" w:cstheme="majorHAnsi"/>
          <w:lang w:val="en-US"/>
        </w:rPr>
        <w:t>1</w:t>
      </w:r>
      <w:r w:rsidRPr="001467CC">
        <w:rPr>
          <w:rFonts w:asciiTheme="majorHAnsi" w:eastAsia="Calibri" w:hAnsiTheme="majorHAnsi" w:cstheme="majorHAnsi"/>
        </w:rPr>
        <w:t xml:space="preserve"> % față de anul 2019 ;</w:t>
      </w:r>
    </w:p>
    <w:p w14:paraId="34168B73"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o pondere de 4</w:t>
      </w:r>
      <w:r w:rsidRPr="001467CC">
        <w:rPr>
          <w:rFonts w:asciiTheme="majorHAnsi" w:eastAsia="Calibri" w:hAnsiTheme="majorHAnsi" w:cstheme="majorHAnsi"/>
          <w:lang w:val="en-US"/>
        </w:rPr>
        <w:t>7</w:t>
      </w:r>
      <w:r w:rsidRPr="001467CC">
        <w:rPr>
          <w:rFonts w:asciiTheme="majorHAnsi" w:eastAsia="Calibri" w:hAnsiTheme="majorHAnsi" w:cstheme="majorHAnsi"/>
        </w:rPr>
        <w:t>% au publicat  informații privind remunerațiile administratorilor/directorilor;</w:t>
      </w:r>
    </w:p>
    <w:p w14:paraId="5FF085A2" w14:textId="77777777" w:rsidR="004A1E2B" w:rsidRPr="001467CC" w:rsidRDefault="004A1E2B" w:rsidP="00F17378">
      <w:pPr>
        <w:numPr>
          <w:ilvl w:val="0"/>
          <w:numId w:val="35"/>
        </w:numPr>
        <w:contextualSpacing/>
        <w:jc w:val="both"/>
        <w:rPr>
          <w:rFonts w:asciiTheme="majorHAnsi" w:hAnsiTheme="majorHAnsi" w:cstheme="majorHAnsi"/>
        </w:rPr>
      </w:pPr>
      <w:r w:rsidRPr="001467CC">
        <w:rPr>
          <w:rFonts w:asciiTheme="majorHAnsi" w:eastAsia="Calibri" w:hAnsiTheme="majorHAnsi" w:cstheme="majorHAnsi"/>
        </w:rPr>
        <w:t xml:space="preserve">o pondere de </w:t>
      </w:r>
      <w:r w:rsidRPr="001467CC">
        <w:rPr>
          <w:rFonts w:asciiTheme="majorHAnsi" w:eastAsia="Calibri" w:hAnsiTheme="majorHAnsi" w:cstheme="majorHAnsi"/>
          <w:lang w:val="en-US"/>
        </w:rPr>
        <w:t>62</w:t>
      </w:r>
      <w:r w:rsidRPr="001467CC">
        <w:rPr>
          <w:rFonts w:asciiTheme="majorHAnsi" w:eastAsia="Calibri" w:hAnsiTheme="majorHAnsi" w:cstheme="majorHAnsi"/>
        </w:rPr>
        <w:t>%  au publicat Hotărârile AGA;</w:t>
      </w:r>
    </w:p>
    <w:p w14:paraId="294373F1" w14:textId="77777777" w:rsidR="004A1E2B" w:rsidRPr="001467CC" w:rsidRDefault="004A1E2B" w:rsidP="00F17378">
      <w:pPr>
        <w:numPr>
          <w:ilvl w:val="0"/>
          <w:numId w:val="35"/>
        </w:numPr>
        <w:contextualSpacing/>
        <w:jc w:val="both"/>
        <w:rPr>
          <w:rFonts w:asciiTheme="majorHAnsi" w:eastAsia="Calibri" w:hAnsiTheme="majorHAnsi" w:cstheme="majorHAnsi"/>
        </w:rPr>
      </w:pPr>
      <w:r w:rsidRPr="001467CC">
        <w:rPr>
          <w:rFonts w:asciiTheme="majorHAnsi" w:eastAsia="Calibri" w:hAnsiTheme="majorHAnsi" w:cstheme="majorHAnsi"/>
        </w:rPr>
        <w:t>la 60 % din ÎPC, Hotărârile AGA  sunt accesibile publicului larg, fară parolă.</w:t>
      </w:r>
    </w:p>
    <w:p w14:paraId="1BC3A118" w14:textId="77777777" w:rsidR="004A1E2B" w:rsidRPr="001467CC" w:rsidRDefault="004A1E2B" w:rsidP="004A1E2B">
      <w:pPr>
        <w:jc w:val="both"/>
        <w:rPr>
          <w:rFonts w:asciiTheme="majorHAnsi" w:eastAsia="Calibri" w:hAnsiTheme="majorHAnsi" w:cstheme="majorHAnsi"/>
        </w:rPr>
      </w:pPr>
      <w:r w:rsidRPr="001467CC">
        <w:rPr>
          <w:rFonts w:asciiTheme="majorHAnsi" w:eastAsia="Calibri" w:hAnsiTheme="majorHAnsi" w:cstheme="majorHAnsi"/>
        </w:rPr>
        <w:t>În anul 2020 se constată o crestere a gradului de conformare în ceea ce privește publicarea pe site-uri a tuturor informațiilor publicate conform obligațiilor de transparență conform art. 51 din Ordonanța de Urgență a Guvernului nr. 109/2011, respectiv: raportul de audit al situațiilor financiare anuale , raportările contabile semestriale, raportul administratorilor, Codul de conduită și etică și Hotărârile AGA.</w:t>
      </w:r>
    </w:p>
    <w:p w14:paraId="3B07E691" w14:textId="77777777" w:rsidR="004A1E2B" w:rsidRPr="001467CC" w:rsidRDefault="004A1E2B" w:rsidP="004A1E2B">
      <w:pPr>
        <w:jc w:val="both"/>
        <w:rPr>
          <w:rFonts w:asciiTheme="majorHAnsi" w:eastAsia="Calibri" w:hAnsiTheme="majorHAnsi" w:cstheme="majorHAnsi"/>
        </w:rPr>
      </w:pPr>
      <w:r w:rsidRPr="001467CC">
        <w:rPr>
          <w:rFonts w:asciiTheme="majorHAnsi" w:eastAsia="Calibri" w:hAnsiTheme="majorHAnsi" w:cstheme="majorHAnsi"/>
        </w:rPr>
        <w:t xml:space="preserve">Pe viitor este necesară creșterea a gradului de conformare astfel încât toate ÎPC să îndeplinească obligațiile de transparență care le revin potrivit prevederilor legale în vigoare. </w:t>
      </w:r>
    </w:p>
    <w:p w14:paraId="39252224" w14:textId="51B079B5" w:rsidR="004A1E2B" w:rsidRPr="001467CC" w:rsidRDefault="004A1E2B" w:rsidP="004A1E2B">
      <w:pPr>
        <w:spacing w:before="0" w:after="0"/>
        <w:jc w:val="both"/>
        <w:rPr>
          <w:rFonts w:asciiTheme="majorHAnsi" w:eastAsia="Times New Roman" w:hAnsiTheme="majorHAnsi" w:cstheme="majorHAnsi"/>
          <w:lang w:val="en-US"/>
        </w:rPr>
      </w:pPr>
      <w:r w:rsidRPr="001467CC">
        <w:rPr>
          <w:rFonts w:asciiTheme="majorHAnsi" w:eastAsia="Times New Roman" w:hAnsiTheme="majorHAnsi" w:cstheme="majorHAnsi"/>
        </w:rPr>
        <w:t>Pentru facilitarea accesului părților interesate la informații privind guvernanța corporativă a întreprinderilor publice și având în vedere prevederile art. 2 din Legea nr. 544/2001</w:t>
      </w:r>
      <w:r w:rsidRPr="001467CC">
        <w:rPr>
          <w:rStyle w:val="FootnoteAnchor"/>
          <w:rFonts w:asciiTheme="majorHAnsi" w:eastAsia="Times New Roman" w:hAnsiTheme="majorHAnsi" w:cstheme="majorHAnsi"/>
        </w:rPr>
        <w:footnoteReference w:id="8"/>
      </w:r>
      <w:r w:rsidRPr="001467CC">
        <w:rPr>
          <w:rFonts w:asciiTheme="majorHAnsi" w:eastAsia="Times New Roman" w:hAnsiTheme="majorHAnsi" w:cstheme="majorHAnsi"/>
        </w:rPr>
        <w:t xml:space="preserve"> privind liberul acces la informațiile de interes public, cu modificările și completările ulterioare, </w:t>
      </w:r>
      <w:r w:rsidRPr="001467CC">
        <w:rPr>
          <w:rFonts w:asciiTheme="majorHAnsi" w:eastAsia="Times New Roman" w:hAnsiTheme="majorHAnsi" w:cstheme="majorHAnsi"/>
          <w:b/>
          <w:bCs/>
        </w:rPr>
        <w:t>pe pagina de internet a Ministerului Finanțelor a fost creat un domeniu specific întreprinderilor publice</w:t>
      </w:r>
      <w:r w:rsidRPr="001467CC">
        <w:rPr>
          <w:rFonts w:asciiTheme="majorHAnsi" w:eastAsia="Times New Roman" w:hAnsiTheme="majorHAnsi" w:cstheme="majorHAnsi"/>
        </w:rPr>
        <w:t xml:space="preserve"> care cuprinde informații privind</w:t>
      </w:r>
      <w:r w:rsidRPr="001467CC">
        <w:rPr>
          <w:rFonts w:asciiTheme="majorHAnsi" w:eastAsia="Times New Roman" w:hAnsiTheme="majorHAnsi" w:cstheme="majorHAnsi"/>
          <w:lang w:val="en-US"/>
        </w:rPr>
        <w:t>:</w:t>
      </w:r>
    </w:p>
    <w:p w14:paraId="609B9445" w14:textId="77777777" w:rsidR="004A1E2B" w:rsidRPr="001467CC" w:rsidRDefault="004A1E2B" w:rsidP="00F17378">
      <w:pPr>
        <w:numPr>
          <w:ilvl w:val="1"/>
          <w:numId w:val="34"/>
        </w:numPr>
        <w:spacing w:before="0" w:after="0"/>
        <w:ind w:left="284" w:hanging="284"/>
        <w:contextualSpacing/>
        <w:jc w:val="both"/>
        <w:rPr>
          <w:rFonts w:asciiTheme="majorHAnsi" w:eastAsia="Times New Roman" w:hAnsiTheme="majorHAnsi" w:cstheme="majorHAnsi"/>
        </w:rPr>
      </w:pPr>
      <w:r w:rsidRPr="001467CC">
        <w:rPr>
          <w:rFonts w:asciiTheme="majorHAnsi" w:eastAsia="Times New Roman" w:hAnsiTheme="majorHAnsi" w:cstheme="majorHAnsi"/>
        </w:rPr>
        <w:t>legislația în domeniul guvernanței corporative a întreprinderilor publice</w:t>
      </w:r>
      <w:r w:rsidRPr="001467CC">
        <w:rPr>
          <w:rFonts w:asciiTheme="majorHAnsi" w:eastAsia="Times New Roman" w:hAnsiTheme="majorHAnsi" w:cstheme="majorHAnsi"/>
          <w:lang w:val="en-US"/>
        </w:rPr>
        <w:t>;</w:t>
      </w:r>
    </w:p>
    <w:p w14:paraId="4B940910" w14:textId="77777777" w:rsidR="004A1E2B" w:rsidRPr="001467CC" w:rsidRDefault="004A1E2B" w:rsidP="00F17378">
      <w:pPr>
        <w:numPr>
          <w:ilvl w:val="1"/>
          <w:numId w:val="34"/>
        </w:numPr>
        <w:spacing w:before="0" w:after="0"/>
        <w:ind w:left="284" w:hanging="284"/>
        <w:contextualSpacing/>
        <w:jc w:val="both"/>
        <w:rPr>
          <w:rFonts w:asciiTheme="majorHAnsi" w:eastAsia="Times New Roman" w:hAnsiTheme="majorHAnsi" w:cstheme="majorHAnsi"/>
        </w:rPr>
      </w:pPr>
      <w:r w:rsidRPr="001467CC">
        <w:rPr>
          <w:rFonts w:asciiTheme="majorHAnsi" w:eastAsia="Times New Roman" w:hAnsiTheme="majorHAnsi" w:cstheme="majorHAnsi"/>
        </w:rPr>
        <w:t>rapoarte generale periodice privind activitatea întreprinderilor publice;</w:t>
      </w:r>
    </w:p>
    <w:p w14:paraId="092C772B" w14:textId="77777777" w:rsidR="004A1E2B" w:rsidRPr="001467CC" w:rsidRDefault="004A1E2B" w:rsidP="00F17378">
      <w:pPr>
        <w:numPr>
          <w:ilvl w:val="1"/>
          <w:numId w:val="34"/>
        </w:numPr>
        <w:spacing w:before="0" w:after="0"/>
        <w:ind w:left="284" w:hanging="284"/>
        <w:contextualSpacing/>
        <w:jc w:val="both"/>
        <w:rPr>
          <w:rFonts w:asciiTheme="majorHAnsi" w:eastAsia="Times New Roman" w:hAnsiTheme="majorHAnsi" w:cstheme="majorHAnsi"/>
        </w:rPr>
      </w:pPr>
      <w:r w:rsidRPr="001467CC">
        <w:rPr>
          <w:rFonts w:asciiTheme="majorHAnsi" w:eastAsia="Times New Roman" w:hAnsiTheme="majorHAnsi" w:cstheme="majorHAnsi"/>
        </w:rPr>
        <w:t>informații de natură statistică și alte date cu caracter ocazional despre întreprinderile publice;</w:t>
      </w:r>
    </w:p>
    <w:p w14:paraId="09E4639F" w14:textId="77777777" w:rsidR="004A1E2B" w:rsidRPr="001467CC" w:rsidRDefault="004A1E2B" w:rsidP="00F17378">
      <w:pPr>
        <w:numPr>
          <w:ilvl w:val="1"/>
          <w:numId w:val="34"/>
        </w:numPr>
        <w:spacing w:before="0" w:after="0"/>
        <w:ind w:left="284" w:hanging="284"/>
        <w:contextualSpacing/>
        <w:jc w:val="both"/>
        <w:rPr>
          <w:rFonts w:asciiTheme="majorHAnsi" w:eastAsia="Times New Roman" w:hAnsiTheme="majorHAnsi" w:cstheme="majorHAnsi"/>
        </w:rPr>
      </w:pPr>
      <w:r w:rsidRPr="001467CC">
        <w:rPr>
          <w:rFonts w:asciiTheme="majorHAnsi" w:eastAsia="Times New Roman" w:hAnsiTheme="majorHAnsi" w:cstheme="majorHAnsi"/>
        </w:rPr>
        <w:t>prezentarea metodologiilor de evaluare și selecție cât și anunțuri legate de aceste metodologii;</w:t>
      </w:r>
    </w:p>
    <w:p w14:paraId="19CE8AAE" w14:textId="77777777" w:rsidR="004A1E2B" w:rsidRPr="001467CC" w:rsidRDefault="004A1E2B" w:rsidP="00F17378">
      <w:pPr>
        <w:numPr>
          <w:ilvl w:val="1"/>
          <w:numId w:val="34"/>
        </w:numPr>
        <w:spacing w:before="0" w:after="0"/>
        <w:ind w:left="284" w:hanging="284"/>
        <w:contextualSpacing/>
        <w:jc w:val="both"/>
        <w:rPr>
          <w:rFonts w:asciiTheme="majorHAnsi" w:eastAsia="Times New Roman" w:hAnsiTheme="majorHAnsi" w:cstheme="majorHAnsi"/>
        </w:rPr>
      </w:pPr>
      <w:r w:rsidRPr="001467CC">
        <w:rPr>
          <w:rFonts w:asciiTheme="majorHAnsi" w:eastAsia="Times New Roman" w:hAnsiTheme="majorHAnsi" w:cstheme="majorHAnsi"/>
        </w:rPr>
        <w:t>ghiduri și norme metodologice de aplicare a guvernanței corporative la întreprinderile publice.</w:t>
      </w:r>
    </w:p>
    <w:p w14:paraId="23AAE65E" w14:textId="77777777" w:rsidR="004A1E2B" w:rsidRPr="001467CC" w:rsidRDefault="004A1E2B" w:rsidP="004A1E2B">
      <w:pPr>
        <w:spacing w:before="0" w:after="0"/>
        <w:contextualSpacing/>
        <w:jc w:val="both"/>
        <w:rPr>
          <w:rFonts w:asciiTheme="majorHAnsi" w:hAnsiTheme="majorHAnsi" w:cstheme="majorHAnsi"/>
        </w:rPr>
      </w:pPr>
      <w:r w:rsidRPr="001467CC">
        <w:rPr>
          <w:rFonts w:asciiTheme="majorHAnsi" w:hAnsiTheme="majorHAnsi" w:cstheme="majorHAnsi"/>
        </w:rPr>
        <w:t>Informațiile pot fi consultate la adresa de internet</w:t>
      </w:r>
      <w:r w:rsidRPr="001467CC">
        <w:rPr>
          <w:rFonts w:asciiTheme="majorHAnsi" w:hAnsiTheme="majorHAnsi" w:cstheme="majorHAnsi"/>
          <w:lang w:val="en-US"/>
        </w:rPr>
        <w:t xml:space="preserve">: </w:t>
      </w:r>
      <w:hyperlink r:id="rId46">
        <w:r w:rsidRPr="001467CC">
          <w:rPr>
            <w:rStyle w:val="InternetLink"/>
            <w:rFonts w:asciiTheme="majorHAnsi" w:eastAsia="Times New Roman" w:hAnsiTheme="majorHAnsi" w:cstheme="majorHAnsi"/>
          </w:rPr>
          <w:t>http://www.mfinante.gov.ro/echipa.html?pagina=domenii</w:t>
        </w:r>
      </w:hyperlink>
    </w:p>
    <w:p w14:paraId="6E545D9E" w14:textId="77777777" w:rsidR="004A1E2B" w:rsidRPr="001467CC" w:rsidRDefault="004A1E2B" w:rsidP="004A1E2B">
      <w:pPr>
        <w:jc w:val="both"/>
        <w:rPr>
          <w:rFonts w:asciiTheme="majorHAnsi" w:eastAsia="Calibri" w:hAnsiTheme="majorHAnsi" w:cstheme="majorHAnsi"/>
        </w:rPr>
      </w:pPr>
    </w:p>
    <w:p w14:paraId="5541599F" w14:textId="77777777" w:rsidR="004A1E2B" w:rsidRPr="001467CC" w:rsidRDefault="004A1E2B" w:rsidP="004A1E2B">
      <w:pPr>
        <w:spacing w:before="0" w:after="0" w:line="240" w:lineRule="auto"/>
        <w:ind w:left="-113"/>
        <w:rPr>
          <w:rFonts w:asciiTheme="majorHAnsi" w:eastAsia="Times New Roman" w:hAnsiTheme="majorHAnsi" w:cstheme="majorHAnsi"/>
          <w:color w:val="0F6FC6" w:themeColor="accent1"/>
          <w:lang w:eastAsia="ro-RO"/>
        </w:rPr>
      </w:pPr>
      <w:r w:rsidRPr="001467CC">
        <w:rPr>
          <w:rFonts w:asciiTheme="majorHAnsi" w:eastAsia="Times New Roman" w:hAnsiTheme="majorHAnsi" w:cstheme="majorHAnsi"/>
          <w:color w:val="0F6FC6" w:themeColor="accent1"/>
          <w:lang w:eastAsia="ro-RO"/>
        </w:rPr>
        <w:t>Situația opiniilor de audit la situațiile financiare anuale ale ÎPC</w:t>
      </w:r>
    </w:p>
    <w:p w14:paraId="47181D0D" w14:textId="77777777" w:rsidR="004A1E2B" w:rsidRPr="001467CC" w:rsidRDefault="004A1E2B" w:rsidP="004A1E2B">
      <w:pPr>
        <w:jc w:val="both"/>
        <w:rPr>
          <w:rFonts w:asciiTheme="majorHAnsi" w:hAnsiTheme="majorHAnsi" w:cstheme="majorHAnsi"/>
          <w:color w:val="0F6FC6" w:themeColor="accent1"/>
          <w:sz w:val="16"/>
          <w:szCs w:val="16"/>
        </w:rPr>
      </w:pPr>
    </w:p>
    <w:tbl>
      <w:tblPr>
        <w:tblW w:w="8832" w:type="dxa"/>
        <w:tblBorders>
          <w:left w:val="single" w:sz="4" w:space="0" w:color="FFFFFF"/>
          <w:bottom w:val="single" w:sz="4" w:space="0" w:color="95B3D7"/>
          <w:right w:val="single" w:sz="4" w:space="0" w:color="FFFFFF"/>
          <w:insideH w:val="single" w:sz="4" w:space="0" w:color="95B3D7"/>
          <w:insideV w:val="single" w:sz="4" w:space="0" w:color="FFFFFF"/>
        </w:tblBorders>
        <w:tblLook w:val="04A0" w:firstRow="1" w:lastRow="0" w:firstColumn="1" w:lastColumn="0" w:noHBand="0" w:noVBand="1"/>
      </w:tblPr>
      <w:tblGrid>
        <w:gridCol w:w="1636"/>
        <w:gridCol w:w="1672"/>
        <w:gridCol w:w="1727"/>
        <w:gridCol w:w="726"/>
        <w:gridCol w:w="1672"/>
        <w:gridCol w:w="1399"/>
      </w:tblGrid>
      <w:tr w:rsidR="004A1E2B" w:rsidRPr="001467CC" w14:paraId="07A02FD9" w14:textId="77777777" w:rsidTr="00B06C32">
        <w:trPr>
          <w:trHeight w:val="183"/>
        </w:trPr>
        <w:tc>
          <w:tcPr>
            <w:tcW w:w="1635" w:type="dxa"/>
            <w:vMerge w:val="restart"/>
            <w:tcBorders>
              <w:left w:val="single" w:sz="4" w:space="0" w:color="FFFFFF"/>
              <w:bottom w:val="single" w:sz="4" w:space="0" w:color="95B3D7"/>
              <w:right w:val="single" w:sz="4" w:space="0" w:color="FFFFFF"/>
            </w:tcBorders>
            <w:shd w:val="clear" w:color="auto" w:fill="auto"/>
          </w:tcPr>
          <w:p w14:paraId="031F51F8"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Anul</w:t>
            </w:r>
          </w:p>
        </w:tc>
        <w:tc>
          <w:tcPr>
            <w:tcW w:w="1672" w:type="dxa"/>
            <w:vMerge w:val="restart"/>
            <w:tcBorders>
              <w:left w:val="single" w:sz="4" w:space="0" w:color="FFFFFF"/>
              <w:bottom w:val="single" w:sz="4" w:space="0" w:color="95B3D7"/>
              <w:right w:val="single" w:sz="4" w:space="0" w:color="FFFFFF"/>
            </w:tcBorders>
            <w:shd w:val="clear" w:color="auto" w:fill="auto"/>
          </w:tcPr>
          <w:p w14:paraId="63984D3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Număr de ÎPC cu obligația publicării raportului de audit la situațiile financiare anuale</w:t>
            </w:r>
          </w:p>
        </w:tc>
        <w:tc>
          <w:tcPr>
            <w:tcW w:w="1727" w:type="dxa"/>
            <w:vMerge w:val="restart"/>
            <w:tcBorders>
              <w:left w:val="single" w:sz="4" w:space="0" w:color="FFFFFF"/>
              <w:bottom w:val="single" w:sz="4" w:space="0" w:color="95B3D7"/>
              <w:right w:val="single" w:sz="4" w:space="0" w:color="FFFFFF"/>
            </w:tcBorders>
            <w:shd w:val="clear" w:color="auto" w:fill="auto"/>
          </w:tcPr>
          <w:p w14:paraId="64D6302F"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Nr. De ÎPC care au publicat Raportul de audit la situațiile financiare anuale</w:t>
            </w:r>
          </w:p>
        </w:tc>
        <w:tc>
          <w:tcPr>
            <w:tcW w:w="3797" w:type="dxa"/>
            <w:gridSpan w:val="3"/>
            <w:tcBorders>
              <w:top w:val="single" w:sz="4" w:space="0" w:color="95B3D7"/>
              <w:bottom w:val="single" w:sz="4" w:space="0" w:color="95B3D7"/>
              <w:right w:val="single" w:sz="4" w:space="0" w:color="FFFFFF"/>
            </w:tcBorders>
            <w:shd w:val="clear" w:color="auto" w:fill="auto"/>
          </w:tcPr>
          <w:p w14:paraId="080374B0" w14:textId="77777777" w:rsidR="004A1E2B" w:rsidRPr="001467CC" w:rsidRDefault="004A1E2B" w:rsidP="00B06C32">
            <w:pPr>
              <w:spacing w:before="0" w:after="0" w:line="240" w:lineRule="auto"/>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opinia de audit  la situațiile financiare anuale este:</w:t>
            </w:r>
          </w:p>
        </w:tc>
      </w:tr>
      <w:tr w:rsidR="004A1E2B" w:rsidRPr="001467CC" w14:paraId="598C09A6" w14:textId="77777777" w:rsidTr="00B06C32">
        <w:trPr>
          <w:trHeight w:val="412"/>
        </w:trPr>
        <w:tc>
          <w:tcPr>
            <w:tcW w:w="1635" w:type="dxa"/>
            <w:vMerge/>
            <w:tcBorders>
              <w:left w:val="single" w:sz="4" w:space="0" w:color="FFFFFF"/>
              <w:bottom w:val="single" w:sz="4" w:space="0" w:color="95B3D7"/>
              <w:right w:val="single" w:sz="4" w:space="0" w:color="FFFFFF"/>
            </w:tcBorders>
            <w:shd w:val="clear" w:color="auto" w:fill="auto"/>
            <w:vAlign w:val="center"/>
          </w:tcPr>
          <w:p w14:paraId="27585C3E"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val="en-US"/>
              </w:rPr>
            </w:pPr>
          </w:p>
        </w:tc>
        <w:tc>
          <w:tcPr>
            <w:tcW w:w="1672" w:type="dxa"/>
            <w:vMerge/>
            <w:tcBorders>
              <w:left w:val="single" w:sz="4" w:space="0" w:color="FFFFFF"/>
              <w:bottom w:val="single" w:sz="4" w:space="0" w:color="95B3D7"/>
              <w:right w:val="single" w:sz="4" w:space="0" w:color="FFFFFF"/>
            </w:tcBorders>
            <w:shd w:val="clear" w:color="auto" w:fill="auto"/>
            <w:vAlign w:val="center"/>
          </w:tcPr>
          <w:p w14:paraId="03D78A26"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val="en-US"/>
              </w:rPr>
            </w:pPr>
          </w:p>
        </w:tc>
        <w:tc>
          <w:tcPr>
            <w:tcW w:w="1727" w:type="dxa"/>
            <w:vMerge/>
            <w:tcBorders>
              <w:left w:val="single" w:sz="4" w:space="0" w:color="FFFFFF"/>
              <w:bottom w:val="single" w:sz="4" w:space="0" w:color="95B3D7"/>
              <w:right w:val="single" w:sz="4" w:space="0" w:color="FFFFFF"/>
            </w:tcBorders>
            <w:shd w:val="clear" w:color="auto" w:fill="auto"/>
            <w:vAlign w:val="center"/>
          </w:tcPr>
          <w:p w14:paraId="7EDB7C30"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val="en-US"/>
              </w:rPr>
            </w:pPr>
          </w:p>
        </w:tc>
        <w:tc>
          <w:tcPr>
            <w:tcW w:w="726" w:type="dxa"/>
            <w:tcBorders>
              <w:bottom w:val="single" w:sz="4" w:space="0" w:color="95B3D7"/>
              <w:right w:val="single" w:sz="4" w:space="0" w:color="FFFFFF"/>
            </w:tcBorders>
            <w:shd w:val="clear" w:color="auto" w:fill="auto"/>
          </w:tcPr>
          <w:p w14:paraId="453839F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Cu rezerve</w:t>
            </w:r>
          </w:p>
        </w:tc>
        <w:tc>
          <w:tcPr>
            <w:tcW w:w="1672" w:type="dxa"/>
            <w:tcBorders>
              <w:bottom w:val="single" w:sz="4" w:space="0" w:color="95B3D7"/>
              <w:right w:val="single" w:sz="4" w:space="0" w:color="FFFFFF"/>
            </w:tcBorders>
            <w:shd w:val="clear" w:color="auto" w:fill="auto"/>
          </w:tcPr>
          <w:p w14:paraId="1914B4B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Fără reserve</w:t>
            </w:r>
          </w:p>
        </w:tc>
        <w:tc>
          <w:tcPr>
            <w:tcW w:w="1399" w:type="dxa"/>
            <w:tcBorders>
              <w:bottom w:val="single" w:sz="4" w:space="0" w:color="95B3D7"/>
              <w:right w:val="single" w:sz="4" w:space="0" w:color="FFFFFF"/>
            </w:tcBorders>
            <w:shd w:val="clear" w:color="auto" w:fill="auto"/>
          </w:tcPr>
          <w:p w14:paraId="4A6681B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Imposibilitatea exprimării opiniei de audit</w:t>
            </w:r>
          </w:p>
        </w:tc>
      </w:tr>
      <w:tr w:rsidR="004A1E2B" w:rsidRPr="001467CC" w14:paraId="4967F653" w14:textId="77777777" w:rsidTr="00B06C32">
        <w:trPr>
          <w:trHeight w:val="183"/>
        </w:trPr>
        <w:tc>
          <w:tcPr>
            <w:tcW w:w="1635" w:type="dxa"/>
            <w:vMerge/>
            <w:tcBorders>
              <w:left w:val="single" w:sz="4" w:space="0" w:color="FFFFFF"/>
              <w:bottom w:val="single" w:sz="4" w:space="0" w:color="95B3D7"/>
              <w:right w:val="single" w:sz="4" w:space="0" w:color="FFFFFF"/>
            </w:tcBorders>
            <w:shd w:val="clear" w:color="auto" w:fill="auto"/>
            <w:vAlign w:val="center"/>
          </w:tcPr>
          <w:p w14:paraId="6C5B04E9" w14:textId="77777777" w:rsidR="004A1E2B" w:rsidRPr="001467CC" w:rsidRDefault="004A1E2B" w:rsidP="00B06C32">
            <w:pPr>
              <w:spacing w:before="0" w:after="0"/>
              <w:rPr>
                <w:rFonts w:asciiTheme="majorHAnsi" w:eastAsia="Times New Roman" w:hAnsiTheme="majorHAnsi" w:cstheme="majorHAnsi"/>
                <w:color w:val="0F6FC6" w:themeColor="accent1"/>
                <w:sz w:val="16"/>
                <w:szCs w:val="16"/>
                <w:lang w:val="en-US"/>
              </w:rPr>
            </w:pPr>
          </w:p>
        </w:tc>
        <w:tc>
          <w:tcPr>
            <w:tcW w:w="1672" w:type="dxa"/>
            <w:tcBorders>
              <w:bottom w:val="single" w:sz="4" w:space="0" w:color="95B3D7"/>
              <w:right w:val="single" w:sz="4" w:space="0" w:color="FFFFFF"/>
            </w:tcBorders>
            <w:shd w:val="clear" w:color="auto" w:fill="auto"/>
          </w:tcPr>
          <w:p w14:paraId="7AD8562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6"/>
                <w:szCs w:val="16"/>
                <w:lang w:val="en-US"/>
              </w:rPr>
            </w:pPr>
            <w:r w:rsidRPr="001467CC">
              <w:rPr>
                <w:rFonts w:asciiTheme="majorHAnsi" w:eastAsia="Times New Roman" w:hAnsiTheme="majorHAnsi" w:cstheme="majorHAnsi"/>
                <w:i/>
                <w:iCs/>
                <w:color w:val="0F6FC6" w:themeColor="accent1"/>
                <w:sz w:val="16"/>
                <w:szCs w:val="16"/>
                <w:lang w:val="en-US"/>
              </w:rPr>
              <w:t>nr ÎPC</w:t>
            </w:r>
          </w:p>
        </w:tc>
        <w:tc>
          <w:tcPr>
            <w:tcW w:w="1727" w:type="dxa"/>
            <w:tcBorders>
              <w:bottom w:val="single" w:sz="4" w:space="0" w:color="95B3D7"/>
              <w:right w:val="single" w:sz="4" w:space="0" w:color="FFFFFF"/>
            </w:tcBorders>
            <w:shd w:val="clear" w:color="auto" w:fill="auto"/>
          </w:tcPr>
          <w:p w14:paraId="586E0B94"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6"/>
                <w:szCs w:val="16"/>
                <w:lang w:val="en-US"/>
              </w:rPr>
            </w:pPr>
            <w:r w:rsidRPr="001467CC">
              <w:rPr>
                <w:rFonts w:asciiTheme="majorHAnsi" w:eastAsia="Times New Roman" w:hAnsiTheme="majorHAnsi" w:cstheme="majorHAnsi"/>
                <w:i/>
                <w:iCs/>
                <w:color w:val="0F6FC6" w:themeColor="accent1"/>
                <w:sz w:val="16"/>
                <w:szCs w:val="16"/>
                <w:lang w:val="en-US"/>
              </w:rPr>
              <w:t>nr ÎPC</w:t>
            </w:r>
          </w:p>
        </w:tc>
        <w:tc>
          <w:tcPr>
            <w:tcW w:w="726" w:type="dxa"/>
            <w:tcBorders>
              <w:bottom w:val="single" w:sz="4" w:space="0" w:color="95B3D7"/>
              <w:right w:val="single" w:sz="4" w:space="0" w:color="FFFFFF"/>
            </w:tcBorders>
            <w:shd w:val="clear" w:color="auto" w:fill="auto"/>
          </w:tcPr>
          <w:p w14:paraId="10BF1EE2"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6"/>
                <w:szCs w:val="16"/>
                <w:lang w:val="en-US"/>
              </w:rPr>
            </w:pPr>
            <w:r w:rsidRPr="001467CC">
              <w:rPr>
                <w:rFonts w:asciiTheme="majorHAnsi" w:eastAsia="Times New Roman" w:hAnsiTheme="majorHAnsi" w:cstheme="majorHAnsi"/>
                <w:i/>
                <w:iCs/>
                <w:color w:val="0F6FC6" w:themeColor="accent1"/>
                <w:sz w:val="16"/>
                <w:szCs w:val="16"/>
                <w:lang w:val="en-US"/>
              </w:rPr>
              <w:t>nr ÎPC</w:t>
            </w:r>
          </w:p>
        </w:tc>
        <w:tc>
          <w:tcPr>
            <w:tcW w:w="1672" w:type="dxa"/>
            <w:tcBorders>
              <w:bottom w:val="single" w:sz="4" w:space="0" w:color="95B3D7"/>
              <w:right w:val="single" w:sz="4" w:space="0" w:color="FFFFFF"/>
            </w:tcBorders>
            <w:shd w:val="clear" w:color="auto" w:fill="auto"/>
          </w:tcPr>
          <w:p w14:paraId="0F109015"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6"/>
                <w:szCs w:val="16"/>
                <w:lang w:val="en-US"/>
              </w:rPr>
            </w:pPr>
            <w:r w:rsidRPr="001467CC">
              <w:rPr>
                <w:rFonts w:asciiTheme="majorHAnsi" w:eastAsia="Times New Roman" w:hAnsiTheme="majorHAnsi" w:cstheme="majorHAnsi"/>
                <w:i/>
                <w:iCs/>
                <w:color w:val="0F6FC6" w:themeColor="accent1"/>
                <w:sz w:val="16"/>
                <w:szCs w:val="16"/>
                <w:lang w:val="en-US"/>
              </w:rPr>
              <w:t>nr ÎPC</w:t>
            </w:r>
          </w:p>
        </w:tc>
        <w:tc>
          <w:tcPr>
            <w:tcW w:w="1399" w:type="dxa"/>
            <w:tcBorders>
              <w:bottom w:val="single" w:sz="4" w:space="0" w:color="95B3D7"/>
              <w:right w:val="single" w:sz="4" w:space="0" w:color="FFFFFF"/>
            </w:tcBorders>
            <w:shd w:val="clear" w:color="auto" w:fill="auto"/>
          </w:tcPr>
          <w:p w14:paraId="09743027" w14:textId="77777777" w:rsidR="004A1E2B" w:rsidRPr="001467CC" w:rsidRDefault="004A1E2B" w:rsidP="00B06C32">
            <w:pPr>
              <w:spacing w:before="0" w:after="0" w:line="240" w:lineRule="auto"/>
              <w:jc w:val="right"/>
              <w:rPr>
                <w:rFonts w:asciiTheme="majorHAnsi" w:eastAsia="Times New Roman" w:hAnsiTheme="majorHAnsi" w:cstheme="majorHAnsi"/>
                <w:i/>
                <w:iCs/>
                <w:color w:val="0F6FC6" w:themeColor="accent1"/>
                <w:sz w:val="16"/>
                <w:szCs w:val="16"/>
                <w:lang w:val="en-US"/>
              </w:rPr>
            </w:pPr>
            <w:r w:rsidRPr="001467CC">
              <w:rPr>
                <w:rFonts w:asciiTheme="majorHAnsi" w:eastAsia="Times New Roman" w:hAnsiTheme="majorHAnsi" w:cstheme="majorHAnsi"/>
                <w:i/>
                <w:iCs/>
                <w:color w:val="0F6FC6" w:themeColor="accent1"/>
                <w:sz w:val="16"/>
                <w:szCs w:val="16"/>
                <w:lang w:val="en-US"/>
              </w:rPr>
              <w:t>nr ÎPC</w:t>
            </w:r>
          </w:p>
        </w:tc>
      </w:tr>
      <w:tr w:rsidR="004A1E2B" w:rsidRPr="001467CC" w14:paraId="6446C766" w14:textId="77777777" w:rsidTr="00B06C32">
        <w:trPr>
          <w:trHeight w:val="183"/>
        </w:trPr>
        <w:tc>
          <w:tcPr>
            <w:tcW w:w="1635" w:type="dxa"/>
            <w:tcBorders>
              <w:left w:val="single" w:sz="4" w:space="0" w:color="FFFFFF"/>
              <w:bottom w:val="single" w:sz="4" w:space="0" w:color="95B3D7"/>
              <w:right w:val="single" w:sz="4" w:space="0" w:color="FFFFFF"/>
            </w:tcBorders>
            <w:shd w:val="clear" w:color="auto" w:fill="FFFFFF"/>
          </w:tcPr>
          <w:p w14:paraId="3461A3C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2015</w:t>
            </w:r>
          </w:p>
        </w:tc>
        <w:tc>
          <w:tcPr>
            <w:tcW w:w="1672" w:type="dxa"/>
            <w:tcBorders>
              <w:bottom w:val="single" w:sz="4" w:space="0" w:color="95B3D7"/>
              <w:right w:val="single" w:sz="4" w:space="0" w:color="FFFFFF"/>
            </w:tcBorders>
            <w:shd w:val="clear" w:color="auto" w:fill="FFFFFF"/>
          </w:tcPr>
          <w:p w14:paraId="20D5943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148</w:t>
            </w:r>
          </w:p>
        </w:tc>
        <w:tc>
          <w:tcPr>
            <w:tcW w:w="1727" w:type="dxa"/>
            <w:tcBorders>
              <w:bottom w:val="single" w:sz="4" w:space="0" w:color="95B3D7"/>
              <w:right w:val="single" w:sz="4" w:space="0" w:color="FFFFFF"/>
            </w:tcBorders>
            <w:shd w:val="clear" w:color="auto" w:fill="FFFFFF"/>
          </w:tcPr>
          <w:p w14:paraId="3CA2CF6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109</w:t>
            </w:r>
          </w:p>
        </w:tc>
        <w:tc>
          <w:tcPr>
            <w:tcW w:w="726" w:type="dxa"/>
            <w:tcBorders>
              <w:bottom w:val="single" w:sz="4" w:space="0" w:color="95B3D7"/>
              <w:right w:val="single" w:sz="4" w:space="0" w:color="FFFFFF"/>
            </w:tcBorders>
            <w:shd w:val="clear" w:color="auto" w:fill="FFFFFF"/>
          </w:tcPr>
          <w:p w14:paraId="4CFC683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40</w:t>
            </w:r>
          </w:p>
        </w:tc>
        <w:tc>
          <w:tcPr>
            <w:tcW w:w="1672" w:type="dxa"/>
            <w:tcBorders>
              <w:bottom w:val="single" w:sz="4" w:space="0" w:color="95B3D7"/>
              <w:right w:val="single" w:sz="4" w:space="0" w:color="FFFFFF"/>
            </w:tcBorders>
            <w:shd w:val="clear" w:color="auto" w:fill="FFFFFF"/>
          </w:tcPr>
          <w:p w14:paraId="0A368A6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68</w:t>
            </w:r>
          </w:p>
        </w:tc>
        <w:tc>
          <w:tcPr>
            <w:tcW w:w="1399" w:type="dxa"/>
            <w:tcBorders>
              <w:bottom w:val="single" w:sz="4" w:space="0" w:color="95B3D7"/>
              <w:right w:val="single" w:sz="4" w:space="0" w:color="FFFFFF"/>
            </w:tcBorders>
            <w:shd w:val="clear" w:color="auto" w:fill="FFFFFF"/>
          </w:tcPr>
          <w:p w14:paraId="6968606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w:t>
            </w:r>
          </w:p>
        </w:tc>
      </w:tr>
      <w:tr w:rsidR="004A1E2B" w:rsidRPr="001467CC" w14:paraId="4E89C03F" w14:textId="77777777" w:rsidTr="00B06C32">
        <w:trPr>
          <w:trHeight w:val="183"/>
        </w:trPr>
        <w:tc>
          <w:tcPr>
            <w:tcW w:w="1635" w:type="dxa"/>
            <w:tcBorders>
              <w:left w:val="single" w:sz="4" w:space="0" w:color="FFFFFF"/>
              <w:bottom w:val="single" w:sz="4" w:space="0" w:color="95B3D7"/>
              <w:right w:val="single" w:sz="4" w:space="0" w:color="FFFFFF"/>
            </w:tcBorders>
            <w:shd w:val="clear" w:color="auto" w:fill="FFFFFF"/>
          </w:tcPr>
          <w:p w14:paraId="0A5C838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2016</w:t>
            </w:r>
          </w:p>
        </w:tc>
        <w:tc>
          <w:tcPr>
            <w:tcW w:w="1672" w:type="dxa"/>
            <w:tcBorders>
              <w:bottom w:val="single" w:sz="4" w:space="0" w:color="95B3D7"/>
              <w:right w:val="single" w:sz="4" w:space="0" w:color="FFFFFF"/>
            </w:tcBorders>
            <w:shd w:val="clear" w:color="auto" w:fill="FFFFFF"/>
          </w:tcPr>
          <w:p w14:paraId="1A2F767E"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148</w:t>
            </w:r>
          </w:p>
        </w:tc>
        <w:tc>
          <w:tcPr>
            <w:tcW w:w="1727" w:type="dxa"/>
            <w:tcBorders>
              <w:bottom w:val="single" w:sz="4" w:space="0" w:color="95B3D7"/>
              <w:right w:val="single" w:sz="4" w:space="0" w:color="FFFFFF"/>
            </w:tcBorders>
            <w:shd w:val="clear" w:color="auto" w:fill="FFFFFF"/>
          </w:tcPr>
          <w:p w14:paraId="29E1711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86</w:t>
            </w:r>
          </w:p>
        </w:tc>
        <w:tc>
          <w:tcPr>
            <w:tcW w:w="726" w:type="dxa"/>
            <w:tcBorders>
              <w:bottom w:val="single" w:sz="4" w:space="0" w:color="95B3D7"/>
              <w:right w:val="single" w:sz="4" w:space="0" w:color="FFFFFF"/>
            </w:tcBorders>
            <w:shd w:val="clear" w:color="auto" w:fill="FFFFFF"/>
          </w:tcPr>
          <w:p w14:paraId="48BBD3A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22</w:t>
            </w:r>
          </w:p>
        </w:tc>
        <w:tc>
          <w:tcPr>
            <w:tcW w:w="1672" w:type="dxa"/>
            <w:tcBorders>
              <w:bottom w:val="single" w:sz="4" w:space="0" w:color="95B3D7"/>
              <w:right w:val="single" w:sz="4" w:space="0" w:color="FFFFFF"/>
            </w:tcBorders>
            <w:shd w:val="clear" w:color="auto" w:fill="FFFFFF"/>
          </w:tcPr>
          <w:p w14:paraId="68B44B4B"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63</w:t>
            </w:r>
          </w:p>
        </w:tc>
        <w:tc>
          <w:tcPr>
            <w:tcW w:w="1399" w:type="dxa"/>
            <w:tcBorders>
              <w:bottom w:val="single" w:sz="4" w:space="0" w:color="95B3D7"/>
              <w:right w:val="single" w:sz="4" w:space="0" w:color="FFFFFF"/>
            </w:tcBorders>
            <w:shd w:val="clear" w:color="auto" w:fill="FFFFFF"/>
          </w:tcPr>
          <w:p w14:paraId="67B965F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w:t>
            </w:r>
          </w:p>
        </w:tc>
      </w:tr>
      <w:tr w:rsidR="004A1E2B" w:rsidRPr="001467CC" w14:paraId="4ED0C566" w14:textId="77777777" w:rsidTr="00B06C32">
        <w:trPr>
          <w:trHeight w:val="183"/>
        </w:trPr>
        <w:tc>
          <w:tcPr>
            <w:tcW w:w="1635" w:type="dxa"/>
            <w:tcBorders>
              <w:left w:val="single" w:sz="4" w:space="0" w:color="FFFFFF"/>
              <w:bottom w:val="single" w:sz="4" w:space="0" w:color="95B3D7"/>
              <w:right w:val="single" w:sz="4" w:space="0" w:color="FFFFFF"/>
            </w:tcBorders>
            <w:shd w:val="clear" w:color="auto" w:fill="FFFFFF"/>
          </w:tcPr>
          <w:p w14:paraId="15A112F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2017</w:t>
            </w:r>
          </w:p>
        </w:tc>
        <w:tc>
          <w:tcPr>
            <w:tcW w:w="1672" w:type="dxa"/>
            <w:tcBorders>
              <w:bottom w:val="single" w:sz="4" w:space="0" w:color="95B3D7"/>
              <w:right w:val="single" w:sz="4" w:space="0" w:color="FFFFFF"/>
            </w:tcBorders>
            <w:shd w:val="clear" w:color="auto" w:fill="FFFFFF"/>
          </w:tcPr>
          <w:p w14:paraId="5F61850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145</w:t>
            </w:r>
          </w:p>
        </w:tc>
        <w:tc>
          <w:tcPr>
            <w:tcW w:w="1727" w:type="dxa"/>
            <w:tcBorders>
              <w:bottom w:val="single" w:sz="4" w:space="0" w:color="95B3D7"/>
              <w:right w:val="single" w:sz="4" w:space="0" w:color="FFFFFF"/>
            </w:tcBorders>
            <w:shd w:val="clear" w:color="auto" w:fill="FFFFFF"/>
          </w:tcPr>
          <w:p w14:paraId="3B38CAE3"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97</w:t>
            </w:r>
          </w:p>
        </w:tc>
        <w:tc>
          <w:tcPr>
            <w:tcW w:w="726" w:type="dxa"/>
            <w:tcBorders>
              <w:bottom w:val="single" w:sz="4" w:space="0" w:color="95B3D7"/>
              <w:right w:val="single" w:sz="4" w:space="0" w:color="FFFFFF"/>
            </w:tcBorders>
            <w:shd w:val="clear" w:color="auto" w:fill="FFFFFF"/>
          </w:tcPr>
          <w:p w14:paraId="0CCC378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25</w:t>
            </w:r>
          </w:p>
        </w:tc>
        <w:tc>
          <w:tcPr>
            <w:tcW w:w="1672" w:type="dxa"/>
            <w:tcBorders>
              <w:bottom w:val="single" w:sz="4" w:space="0" w:color="95B3D7"/>
              <w:right w:val="single" w:sz="4" w:space="0" w:color="FFFFFF"/>
            </w:tcBorders>
            <w:shd w:val="clear" w:color="auto" w:fill="FFFFFF"/>
          </w:tcPr>
          <w:p w14:paraId="117B712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71</w:t>
            </w:r>
          </w:p>
        </w:tc>
        <w:tc>
          <w:tcPr>
            <w:tcW w:w="1399" w:type="dxa"/>
            <w:tcBorders>
              <w:bottom w:val="single" w:sz="4" w:space="0" w:color="95B3D7"/>
              <w:right w:val="single" w:sz="4" w:space="0" w:color="FFFFFF"/>
            </w:tcBorders>
            <w:shd w:val="clear" w:color="auto" w:fill="FFFFFF"/>
          </w:tcPr>
          <w:p w14:paraId="47B03AE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w:t>
            </w:r>
          </w:p>
        </w:tc>
      </w:tr>
      <w:tr w:rsidR="004A1E2B" w:rsidRPr="001467CC" w14:paraId="034C0730" w14:textId="77777777" w:rsidTr="00B06C32">
        <w:trPr>
          <w:trHeight w:val="183"/>
        </w:trPr>
        <w:tc>
          <w:tcPr>
            <w:tcW w:w="1635" w:type="dxa"/>
            <w:tcBorders>
              <w:left w:val="single" w:sz="4" w:space="0" w:color="FFFFFF"/>
              <w:bottom w:val="single" w:sz="4" w:space="0" w:color="95B3D7"/>
              <w:right w:val="single" w:sz="4" w:space="0" w:color="FFFFFF"/>
            </w:tcBorders>
            <w:shd w:val="clear" w:color="auto" w:fill="FFFFFF"/>
          </w:tcPr>
          <w:p w14:paraId="3A31C23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2018</w:t>
            </w:r>
          </w:p>
        </w:tc>
        <w:tc>
          <w:tcPr>
            <w:tcW w:w="1672" w:type="dxa"/>
            <w:tcBorders>
              <w:bottom w:val="single" w:sz="4" w:space="0" w:color="95B3D7"/>
              <w:right w:val="single" w:sz="4" w:space="0" w:color="FFFFFF"/>
            </w:tcBorders>
            <w:shd w:val="clear" w:color="auto" w:fill="FFFFFF"/>
          </w:tcPr>
          <w:p w14:paraId="21F4312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147</w:t>
            </w:r>
          </w:p>
        </w:tc>
        <w:tc>
          <w:tcPr>
            <w:tcW w:w="1727" w:type="dxa"/>
            <w:tcBorders>
              <w:bottom w:val="single" w:sz="4" w:space="0" w:color="95B3D7"/>
              <w:right w:val="single" w:sz="4" w:space="0" w:color="FFFFFF"/>
            </w:tcBorders>
            <w:shd w:val="clear" w:color="auto" w:fill="FFFFFF"/>
          </w:tcPr>
          <w:p w14:paraId="300EDDCB"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98</w:t>
            </w:r>
          </w:p>
        </w:tc>
        <w:tc>
          <w:tcPr>
            <w:tcW w:w="726" w:type="dxa"/>
            <w:tcBorders>
              <w:bottom w:val="single" w:sz="4" w:space="0" w:color="95B3D7"/>
              <w:right w:val="single" w:sz="4" w:space="0" w:color="FFFFFF"/>
            </w:tcBorders>
            <w:shd w:val="clear" w:color="auto" w:fill="FFFFFF"/>
          </w:tcPr>
          <w:p w14:paraId="455F7DCD"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28</w:t>
            </w:r>
          </w:p>
        </w:tc>
        <w:tc>
          <w:tcPr>
            <w:tcW w:w="1672" w:type="dxa"/>
            <w:tcBorders>
              <w:bottom w:val="single" w:sz="4" w:space="0" w:color="95B3D7"/>
              <w:right w:val="single" w:sz="4" w:space="0" w:color="FFFFFF"/>
            </w:tcBorders>
            <w:shd w:val="clear" w:color="auto" w:fill="FFFFFF"/>
          </w:tcPr>
          <w:p w14:paraId="7B69FF2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67</w:t>
            </w:r>
          </w:p>
        </w:tc>
        <w:tc>
          <w:tcPr>
            <w:tcW w:w="1399" w:type="dxa"/>
            <w:tcBorders>
              <w:bottom w:val="single" w:sz="4" w:space="0" w:color="95B3D7"/>
              <w:right w:val="single" w:sz="4" w:space="0" w:color="FFFFFF"/>
            </w:tcBorders>
            <w:shd w:val="clear" w:color="auto" w:fill="FFFFFF"/>
          </w:tcPr>
          <w:p w14:paraId="2C6D972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3</w:t>
            </w:r>
          </w:p>
        </w:tc>
      </w:tr>
      <w:tr w:rsidR="004A1E2B" w:rsidRPr="001467CC" w14:paraId="5CB3B27C" w14:textId="77777777" w:rsidTr="00B06C32">
        <w:trPr>
          <w:trHeight w:val="183"/>
        </w:trPr>
        <w:tc>
          <w:tcPr>
            <w:tcW w:w="1635" w:type="dxa"/>
            <w:tcBorders>
              <w:left w:val="single" w:sz="4" w:space="0" w:color="FFFFFF"/>
              <w:bottom w:val="single" w:sz="4" w:space="0" w:color="95B3D7"/>
              <w:right w:val="single" w:sz="4" w:space="0" w:color="FFFFFF"/>
            </w:tcBorders>
            <w:shd w:val="clear" w:color="auto" w:fill="FFFFFF"/>
          </w:tcPr>
          <w:p w14:paraId="16BC7E61"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2019</w:t>
            </w:r>
          </w:p>
        </w:tc>
        <w:tc>
          <w:tcPr>
            <w:tcW w:w="1672" w:type="dxa"/>
            <w:tcBorders>
              <w:bottom w:val="single" w:sz="4" w:space="0" w:color="95B3D7"/>
              <w:right w:val="single" w:sz="4" w:space="0" w:color="FFFFFF"/>
            </w:tcBorders>
            <w:shd w:val="clear" w:color="auto" w:fill="FFFFFF"/>
          </w:tcPr>
          <w:p w14:paraId="5848FCB9"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146</w:t>
            </w:r>
          </w:p>
        </w:tc>
        <w:tc>
          <w:tcPr>
            <w:tcW w:w="1727" w:type="dxa"/>
            <w:tcBorders>
              <w:bottom w:val="single" w:sz="4" w:space="0" w:color="95B3D7"/>
              <w:right w:val="single" w:sz="4" w:space="0" w:color="FFFFFF"/>
            </w:tcBorders>
            <w:shd w:val="clear" w:color="auto" w:fill="FFFFFF"/>
          </w:tcPr>
          <w:p w14:paraId="03141981"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 xml:space="preserve">                                     90</w:t>
            </w:r>
          </w:p>
        </w:tc>
        <w:tc>
          <w:tcPr>
            <w:tcW w:w="726" w:type="dxa"/>
            <w:tcBorders>
              <w:bottom w:val="single" w:sz="4" w:space="0" w:color="95B3D7"/>
              <w:right w:val="single" w:sz="4" w:space="0" w:color="FFFFFF"/>
            </w:tcBorders>
            <w:shd w:val="clear" w:color="auto" w:fill="FFFFFF"/>
          </w:tcPr>
          <w:p w14:paraId="35232A9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22</w:t>
            </w:r>
          </w:p>
        </w:tc>
        <w:tc>
          <w:tcPr>
            <w:tcW w:w="1672" w:type="dxa"/>
            <w:tcBorders>
              <w:bottom w:val="single" w:sz="4" w:space="0" w:color="95B3D7"/>
              <w:right w:val="single" w:sz="4" w:space="0" w:color="FFFFFF"/>
            </w:tcBorders>
            <w:shd w:val="clear" w:color="auto" w:fill="FFFFFF"/>
          </w:tcPr>
          <w:p w14:paraId="21262D64"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67</w:t>
            </w:r>
          </w:p>
        </w:tc>
        <w:tc>
          <w:tcPr>
            <w:tcW w:w="1399" w:type="dxa"/>
            <w:tcBorders>
              <w:bottom w:val="single" w:sz="4" w:space="0" w:color="95B3D7"/>
              <w:right w:val="single" w:sz="4" w:space="0" w:color="FFFFFF"/>
            </w:tcBorders>
            <w:shd w:val="clear" w:color="auto" w:fill="FFFFFF"/>
          </w:tcPr>
          <w:p w14:paraId="50A81ED5"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w:t>
            </w:r>
          </w:p>
        </w:tc>
      </w:tr>
      <w:tr w:rsidR="004A1E2B" w:rsidRPr="001467CC" w14:paraId="7C282D92" w14:textId="77777777" w:rsidTr="00B06C32">
        <w:trPr>
          <w:trHeight w:val="183"/>
        </w:trPr>
        <w:tc>
          <w:tcPr>
            <w:tcW w:w="1635" w:type="dxa"/>
            <w:tcBorders>
              <w:left w:val="single" w:sz="4" w:space="0" w:color="FFFFFF"/>
              <w:bottom w:val="single" w:sz="4" w:space="0" w:color="95B3D7"/>
              <w:right w:val="single" w:sz="4" w:space="0" w:color="FFFFFF"/>
            </w:tcBorders>
            <w:shd w:val="clear" w:color="auto" w:fill="FFFFFF"/>
          </w:tcPr>
          <w:p w14:paraId="74D32878"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2020</w:t>
            </w:r>
          </w:p>
        </w:tc>
        <w:tc>
          <w:tcPr>
            <w:tcW w:w="1672" w:type="dxa"/>
            <w:tcBorders>
              <w:bottom w:val="single" w:sz="4" w:space="0" w:color="95B3D7"/>
              <w:right w:val="single" w:sz="4" w:space="0" w:color="FFFFFF"/>
            </w:tcBorders>
            <w:shd w:val="clear" w:color="auto" w:fill="FFFFFF"/>
          </w:tcPr>
          <w:p w14:paraId="63C4733C"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151</w:t>
            </w:r>
          </w:p>
        </w:tc>
        <w:tc>
          <w:tcPr>
            <w:tcW w:w="1727" w:type="dxa"/>
            <w:tcBorders>
              <w:bottom w:val="single" w:sz="4" w:space="0" w:color="95B3D7"/>
              <w:right w:val="single" w:sz="4" w:space="0" w:color="FFFFFF"/>
            </w:tcBorders>
            <w:shd w:val="clear" w:color="auto" w:fill="FFFFFF"/>
          </w:tcPr>
          <w:p w14:paraId="0285B784" w14:textId="77777777" w:rsidR="004A1E2B" w:rsidRPr="001467CC" w:rsidRDefault="004A1E2B" w:rsidP="00B06C32">
            <w:pPr>
              <w:spacing w:before="0" w:after="0" w:line="240" w:lineRule="auto"/>
              <w:jc w:val="center"/>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 xml:space="preserve">                                     94</w:t>
            </w:r>
          </w:p>
        </w:tc>
        <w:tc>
          <w:tcPr>
            <w:tcW w:w="726" w:type="dxa"/>
            <w:tcBorders>
              <w:bottom w:val="single" w:sz="4" w:space="0" w:color="95B3D7"/>
              <w:right w:val="single" w:sz="4" w:space="0" w:color="FFFFFF"/>
            </w:tcBorders>
            <w:shd w:val="clear" w:color="auto" w:fill="FFFFFF"/>
          </w:tcPr>
          <w:p w14:paraId="5EDDF9F3"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24</w:t>
            </w:r>
          </w:p>
        </w:tc>
        <w:tc>
          <w:tcPr>
            <w:tcW w:w="1672" w:type="dxa"/>
            <w:tcBorders>
              <w:bottom w:val="single" w:sz="4" w:space="0" w:color="95B3D7"/>
              <w:right w:val="single" w:sz="4" w:space="0" w:color="FFFFFF"/>
            </w:tcBorders>
            <w:shd w:val="clear" w:color="auto" w:fill="FFFFFF"/>
          </w:tcPr>
          <w:p w14:paraId="04CAC590"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69</w:t>
            </w:r>
          </w:p>
        </w:tc>
        <w:tc>
          <w:tcPr>
            <w:tcW w:w="1399" w:type="dxa"/>
            <w:tcBorders>
              <w:bottom w:val="single" w:sz="4" w:space="0" w:color="95B3D7"/>
              <w:right w:val="single" w:sz="4" w:space="0" w:color="FFFFFF"/>
            </w:tcBorders>
            <w:shd w:val="clear" w:color="auto" w:fill="FFFFFF"/>
          </w:tcPr>
          <w:p w14:paraId="7209C71A" w14:textId="77777777" w:rsidR="004A1E2B" w:rsidRPr="001467CC" w:rsidRDefault="004A1E2B" w:rsidP="00B06C32">
            <w:pPr>
              <w:spacing w:before="0" w:after="0" w:line="240" w:lineRule="auto"/>
              <w:jc w:val="right"/>
              <w:rPr>
                <w:rFonts w:asciiTheme="majorHAnsi" w:eastAsia="Times New Roman" w:hAnsiTheme="majorHAnsi" w:cstheme="majorHAnsi"/>
                <w:color w:val="0F6FC6" w:themeColor="accent1"/>
                <w:sz w:val="16"/>
                <w:szCs w:val="16"/>
                <w:lang w:val="en-US"/>
              </w:rPr>
            </w:pPr>
            <w:r w:rsidRPr="001467CC">
              <w:rPr>
                <w:rFonts w:asciiTheme="majorHAnsi" w:eastAsia="Times New Roman" w:hAnsiTheme="majorHAnsi" w:cstheme="majorHAnsi"/>
                <w:color w:val="0F6FC6" w:themeColor="accent1"/>
                <w:sz w:val="16"/>
                <w:szCs w:val="16"/>
                <w:lang w:val="en-US"/>
              </w:rPr>
              <w:t>1</w:t>
            </w:r>
          </w:p>
        </w:tc>
      </w:tr>
      <w:tr w:rsidR="004A1E2B" w:rsidRPr="001467CC" w14:paraId="124C7665" w14:textId="77777777" w:rsidTr="00B06C32">
        <w:trPr>
          <w:trHeight w:val="260"/>
        </w:trPr>
        <w:tc>
          <w:tcPr>
            <w:tcW w:w="1635" w:type="dxa"/>
            <w:tcBorders>
              <w:left w:val="single" w:sz="4" w:space="0" w:color="FFFFFF"/>
              <w:bottom w:val="single" w:sz="4" w:space="0" w:color="95B3D7"/>
              <w:right w:val="single" w:sz="4" w:space="0" w:color="FFFFFF"/>
            </w:tcBorders>
            <w:shd w:val="clear" w:color="auto" w:fill="FFFFFF"/>
          </w:tcPr>
          <w:p w14:paraId="2C69476E"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val="en-US"/>
              </w:rPr>
            </w:pPr>
            <w:r w:rsidRPr="001467CC">
              <w:rPr>
                <w:rFonts w:asciiTheme="majorHAnsi" w:eastAsia="Times New Roman" w:hAnsiTheme="majorHAnsi" w:cstheme="majorHAnsi"/>
                <w:b/>
                <w:bCs/>
                <w:color w:val="0F6FC6" w:themeColor="accent1"/>
                <w:sz w:val="16"/>
                <w:szCs w:val="16"/>
                <w:lang w:val="en-US"/>
              </w:rPr>
              <w:t>Diferență 2020-2019</w:t>
            </w:r>
          </w:p>
        </w:tc>
        <w:tc>
          <w:tcPr>
            <w:tcW w:w="1672" w:type="dxa"/>
            <w:tcBorders>
              <w:bottom w:val="single" w:sz="4" w:space="0" w:color="95B3D7"/>
              <w:right w:val="single" w:sz="4" w:space="0" w:color="FFFFFF"/>
            </w:tcBorders>
            <w:shd w:val="clear" w:color="auto" w:fill="FFFFFF"/>
          </w:tcPr>
          <w:p w14:paraId="5DE61782"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val="en-US"/>
              </w:rPr>
            </w:pPr>
            <w:r w:rsidRPr="001467CC">
              <w:rPr>
                <w:rFonts w:asciiTheme="majorHAnsi" w:eastAsia="Times New Roman" w:hAnsiTheme="majorHAnsi" w:cstheme="majorHAnsi"/>
                <w:b/>
                <w:bCs/>
                <w:color w:val="0F6FC6" w:themeColor="accent1"/>
                <w:sz w:val="16"/>
                <w:szCs w:val="16"/>
                <w:lang w:val="en-US"/>
              </w:rPr>
              <w:t>5</w:t>
            </w:r>
          </w:p>
        </w:tc>
        <w:tc>
          <w:tcPr>
            <w:tcW w:w="1727" w:type="dxa"/>
            <w:tcBorders>
              <w:bottom w:val="single" w:sz="4" w:space="0" w:color="95B3D7"/>
              <w:right w:val="single" w:sz="4" w:space="0" w:color="FFFFFF"/>
            </w:tcBorders>
            <w:shd w:val="clear" w:color="auto" w:fill="FFFFFF"/>
          </w:tcPr>
          <w:p w14:paraId="5F20BA2E" w14:textId="77777777" w:rsidR="004A1E2B" w:rsidRPr="001467CC" w:rsidRDefault="004A1E2B" w:rsidP="00B06C32">
            <w:pPr>
              <w:spacing w:before="0" w:after="0" w:line="240" w:lineRule="auto"/>
              <w:jc w:val="right"/>
              <w:rPr>
                <w:rFonts w:asciiTheme="majorHAnsi" w:hAnsiTheme="majorHAnsi" w:cstheme="majorHAnsi"/>
              </w:rPr>
            </w:pPr>
            <w:r w:rsidRPr="001467CC">
              <w:rPr>
                <w:rFonts w:asciiTheme="majorHAnsi" w:eastAsia="Times New Roman" w:hAnsiTheme="majorHAnsi" w:cstheme="majorHAnsi"/>
                <w:b/>
                <w:bCs/>
                <w:color w:val="0F6FC6" w:themeColor="accent1"/>
                <w:sz w:val="16"/>
                <w:szCs w:val="16"/>
                <w:lang w:val="en-US"/>
              </w:rPr>
              <w:t xml:space="preserve">4 </w:t>
            </w:r>
          </w:p>
        </w:tc>
        <w:tc>
          <w:tcPr>
            <w:tcW w:w="726" w:type="dxa"/>
            <w:tcBorders>
              <w:bottom w:val="single" w:sz="4" w:space="0" w:color="95B3D7"/>
              <w:right w:val="single" w:sz="4" w:space="0" w:color="FFFFFF"/>
            </w:tcBorders>
            <w:shd w:val="clear" w:color="auto" w:fill="FFFFFF"/>
          </w:tcPr>
          <w:p w14:paraId="05935C64"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val="en-US"/>
              </w:rPr>
            </w:pPr>
            <w:r w:rsidRPr="001467CC">
              <w:rPr>
                <w:rFonts w:asciiTheme="majorHAnsi" w:eastAsia="Times New Roman" w:hAnsiTheme="majorHAnsi" w:cstheme="majorHAnsi"/>
                <w:b/>
                <w:bCs/>
                <w:color w:val="0F6FC6" w:themeColor="accent1"/>
                <w:sz w:val="16"/>
                <w:szCs w:val="16"/>
                <w:lang w:val="en-US"/>
              </w:rPr>
              <w:t>2</w:t>
            </w:r>
          </w:p>
        </w:tc>
        <w:tc>
          <w:tcPr>
            <w:tcW w:w="1672" w:type="dxa"/>
            <w:tcBorders>
              <w:bottom w:val="single" w:sz="4" w:space="0" w:color="95B3D7"/>
              <w:right w:val="single" w:sz="4" w:space="0" w:color="FFFFFF"/>
            </w:tcBorders>
            <w:shd w:val="clear" w:color="auto" w:fill="FFFFFF"/>
          </w:tcPr>
          <w:p w14:paraId="014C2E77"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val="en-US"/>
              </w:rPr>
            </w:pPr>
            <w:r w:rsidRPr="001467CC">
              <w:rPr>
                <w:rFonts w:asciiTheme="majorHAnsi" w:eastAsia="Times New Roman" w:hAnsiTheme="majorHAnsi" w:cstheme="majorHAnsi"/>
                <w:b/>
                <w:bCs/>
                <w:color w:val="0F6FC6" w:themeColor="accent1"/>
                <w:sz w:val="16"/>
                <w:szCs w:val="16"/>
                <w:lang w:val="en-US"/>
              </w:rPr>
              <w:t>2</w:t>
            </w:r>
          </w:p>
        </w:tc>
        <w:tc>
          <w:tcPr>
            <w:tcW w:w="1399" w:type="dxa"/>
            <w:tcBorders>
              <w:bottom w:val="single" w:sz="4" w:space="0" w:color="95B3D7"/>
              <w:right w:val="single" w:sz="4" w:space="0" w:color="FFFFFF"/>
            </w:tcBorders>
            <w:shd w:val="clear" w:color="auto" w:fill="FFFFFF"/>
          </w:tcPr>
          <w:p w14:paraId="629F3F4E" w14:textId="77777777" w:rsidR="004A1E2B" w:rsidRPr="001467CC" w:rsidRDefault="004A1E2B" w:rsidP="00B06C32">
            <w:pPr>
              <w:spacing w:before="0" w:after="0" w:line="240" w:lineRule="auto"/>
              <w:jc w:val="right"/>
              <w:rPr>
                <w:rFonts w:asciiTheme="majorHAnsi" w:eastAsia="Times New Roman" w:hAnsiTheme="majorHAnsi" w:cstheme="majorHAnsi"/>
                <w:b/>
                <w:bCs/>
                <w:color w:val="0F6FC6" w:themeColor="accent1"/>
                <w:sz w:val="16"/>
                <w:szCs w:val="16"/>
                <w:lang w:val="en-US"/>
              </w:rPr>
            </w:pPr>
            <w:r w:rsidRPr="001467CC">
              <w:rPr>
                <w:rFonts w:asciiTheme="majorHAnsi" w:eastAsia="Times New Roman" w:hAnsiTheme="majorHAnsi" w:cstheme="majorHAnsi"/>
                <w:b/>
                <w:bCs/>
                <w:color w:val="0F6FC6" w:themeColor="accent1"/>
                <w:sz w:val="16"/>
                <w:szCs w:val="16"/>
                <w:lang w:val="en-US"/>
              </w:rPr>
              <w:t>0</w:t>
            </w:r>
          </w:p>
        </w:tc>
      </w:tr>
    </w:tbl>
    <w:p w14:paraId="1A66C494" w14:textId="77777777" w:rsidR="004A1E2B" w:rsidRPr="001467CC" w:rsidRDefault="004A1E2B" w:rsidP="004A1E2B">
      <w:pPr>
        <w:suppressAutoHyphens/>
        <w:spacing w:before="0" w:after="0"/>
        <w:jc w:val="both"/>
        <w:rPr>
          <w:rFonts w:asciiTheme="majorHAnsi" w:hAnsiTheme="majorHAnsi" w:cstheme="majorHAnsi"/>
        </w:rPr>
      </w:pPr>
    </w:p>
    <w:p w14:paraId="73902AF8" w14:textId="77777777" w:rsidR="004A1E2B" w:rsidRPr="001467CC" w:rsidRDefault="004A1E2B" w:rsidP="004A1E2B">
      <w:pPr>
        <w:suppressAutoHyphens/>
        <w:spacing w:after="0"/>
        <w:jc w:val="both"/>
        <w:rPr>
          <w:rFonts w:asciiTheme="majorHAnsi" w:hAnsiTheme="majorHAnsi" w:cstheme="majorHAnsi"/>
        </w:rPr>
      </w:pPr>
      <w:r w:rsidRPr="001467CC">
        <w:rPr>
          <w:rFonts w:asciiTheme="majorHAnsi" w:eastAsia="Calibri" w:hAnsiTheme="majorHAnsi" w:cstheme="majorHAnsi"/>
        </w:rPr>
        <w:t xml:space="preserve">Din informațiile centralizate, se constată că din cele 151 ÎPC care aveau obligația publicării pe pagina proprie de internet a raportului de audit la situațiile financiare încheiate pentru anul 2020, pentru un număr de </w:t>
      </w:r>
      <w:r w:rsidRPr="001467CC">
        <w:rPr>
          <w:rFonts w:asciiTheme="majorHAnsi" w:eastAsia="Calibri" w:hAnsiTheme="majorHAnsi" w:cstheme="majorHAnsi"/>
          <w:b/>
          <w:lang w:val="en-US"/>
        </w:rPr>
        <w:t>94  ÎPC</w:t>
      </w:r>
      <w:r w:rsidRPr="001467CC">
        <w:rPr>
          <w:rFonts w:asciiTheme="majorHAnsi" w:eastAsia="Calibri" w:hAnsiTheme="majorHAnsi" w:cstheme="majorHAnsi"/>
          <w:b/>
        </w:rPr>
        <w:t xml:space="preserve"> a fost publicat raportul de audit pe pagina de internet a ÎP.  În  ceea ce privește opiniile de audit formulate</w:t>
      </w:r>
      <w:r w:rsidRPr="001467CC">
        <w:rPr>
          <w:rFonts w:asciiTheme="majorHAnsi" w:eastAsia="Calibri" w:hAnsiTheme="majorHAnsi" w:cstheme="majorHAnsi"/>
        </w:rPr>
        <w:t xml:space="preserve">, se constată că pentru  69 ÎPC opiniile de audit au fost exprimate </w:t>
      </w:r>
      <w:r w:rsidRPr="001467CC">
        <w:rPr>
          <w:rFonts w:asciiTheme="majorHAnsi" w:eastAsia="Calibri" w:hAnsiTheme="majorHAnsi" w:cstheme="majorHAnsi"/>
          <w:b/>
        </w:rPr>
        <w:t>fără rezerve</w:t>
      </w:r>
      <w:r w:rsidRPr="001467CC">
        <w:rPr>
          <w:rFonts w:asciiTheme="majorHAnsi" w:eastAsia="Calibri" w:hAnsiTheme="majorHAnsi" w:cstheme="majorHAnsi"/>
        </w:rPr>
        <w:t xml:space="preserve">, pentru  </w:t>
      </w:r>
      <w:r w:rsidRPr="001467CC">
        <w:rPr>
          <w:rFonts w:asciiTheme="majorHAnsi" w:eastAsia="Calibri" w:hAnsiTheme="majorHAnsi" w:cstheme="majorHAnsi"/>
          <w:lang w:val="en-US"/>
        </w:rPr>
        <w:t>24</w:t>
      </w:r>
      <w:r w:rsidRPr="001467CC">
        <w:rPr>
          <w:rFonts w:asciiTheme="majorHAnsi" w:eastAsia="Calibri" w:hAnsiTheme="majorHAnsi" w:cstheme="majorHAnsi"/>
          <w:b/>
        </w:rPr>
        <w:t xml:space="preserve"> ÎPC</w:t>
      </w:r>
      <w:r w:rsidRPr="001467CC">
        <w:rPr>
          <w:rFonts w:asciiTheme="majorHAnsi" w:eastAsia="Calibri" w:hAnsiTheme="majorHAnsi" w:cstheme="majorHAnsi"/>
        </w:rPr>
        <w:t xml:space="preserve"> opiniile au fost exprimate </w:t>
      </w:r>
      <w:r w:rsidRPr="001467CC">
        <w:rPr>
          <w:rFonts w:asciiTheme="majorHAnsi" w:eastAsia="Calibri" w:hAnsiTheme="majorHAnsi" w:cstheme="majorHAnsi"/>
          <w:b/>
        </w:rPr>
        <w:t>cu rezerve</w:t>
      </w:r>
      <w:r w:rsidRPr="001467CC">
        <w:rPr>
          <w:rFonts w:asciiTheme="majorHAnsi" w:eastAsia="Calibri" w:hAnsiTheme="majorHAnsi" w:cstheme="majorHAnsi"/>
        </w:rPr>
        <w:t xml:space="preserve"> , iar  pentru </w:t>
      </w:r>
      <w:r w:rsidRPr="001467CC">
        <w:rPr>
          <w:rFonts w:asciiTheme="majorHAnsi" w:eastAsia="Calibri" w:hAnsiTheme="majorHAnsi" w:cstheme="majorHAnsi"/>
          <w:b/>
        </w:rPr>
        <w:t>1 ÎPC</w:t>
      </w:r>
      <w:r w:rsidRPr="001467CC">
        <w:rPr>
          <w:rFonts w:asciiTheme="majorHAnsi" w:eastAsia="Calibri" w:hAnsiTheme="majorHAnsi" w:cstheme="majorHAnsi"/>
        </w:rPr>
        <w:t xml:space="preserve">  auditorul a fost în </w:t>
      </w:r>
      <w:r w:rsidRPr="001467CC">
        <w:rPr>
          <w:rFonts w:asciiTheme="majorHAnsi" w:eastAsia="Calibri" w:hAnsiTheme="majorHAnsi" w:cstheme="majorHAnsi"/>
          <w:b/>
        </w:rPr>
        <w:t>imposibilitatea exprimării opiniei de audit</w:t>
      </w:r>
      <w:r w:rsidRPr="001467CC">
        <w:rPr>
          <w:rFonts w:asciiTheme="majorHAnsi" w:eastAsia="Calibri" w:hAnsiTheme="majorHAnsi" w:cstheme="majorHAnsi"/>
        </w:rPr>
        <w:t xml:space="preserve"> datorită faptului că nu s-au obținut suficiente probe de audit sau probele de audit nu au fost adecvate pentru exprimarea opiniei de audit. Astfel, în cazul  Companiei Naționale Unifarm SA auditorul a fost în imposibilitatea exprimării opiniei de audit asupra situațiilor financiare ale anului 2019.</w:t>
      </w:r>
    </w:p>
    <w:p w14:paraId="7CCD57B0" w14:textId="77777777" w:rsidR="004A1E2B" w:rsidRPr="001467CC" w:rsidRDefault="004A1E2B" w:rsidP="004A1E2B">
      <w:pPr>
        <w:suppressAutoHyphens/>
        <w:spacing w:after="0"/>
        <w:jc w:val="both"/>
        <w:rPr>
          <w:rFonts w:asciiTheme="majorHAnsi" w:hAnsiTheme="majorHAnsi" w:cstheme="majorHAnsi"/>
        </w:rPr>
      </w:pPr>
      <w:r w:rsidRPr="001467CC">
        <w:rPr>
          <w:rFonts w:asciiTheme="majorHAnsi" w:eastAsia="Calibri" w:hAnsiTheme="majorHAnsi" w:cstheme="majorHAnsi"/>
        </w:rPr>
        <w:t xml:space="preserve">De asemenea se constată că din totalul de </w:t>
      </w:r>
      <w:r w:rsidRPr="001467CC">
        <w:rPr>
          <w:rFonts w:asciiTheme="majorHAnsi" w:eastAsia="Calibri" w:hAnsiTheme="majorHAnsi" w:cstheme="majorHAnsi"/>
          <w:b/>
        </w:rPr>
        <w:t>9</w:t>
      </w:r>
      <w:r w:rsidRPr="001467CC">
        <w:rPr>
          <w:rFonts w:asciiTheme="majorHAnsi" w:eastAsia="Calibri" w:hAnsiTheme="majorHAnsi" w:cstheme="majorHAnsi"/>
          <w:b/>
          <w:lang w:val="en-US"/>
        </w:rPr>
        <w:t>4</w:t>
      </w:r>
      <w:r w:rsidRPr="001467CC">
        <w:rPr>
          <w:rFonts w:asciiTheme="majorHAnsi" w:eastAsia="Calibri" w:hAnsiTheme="majorHAnsi" w:cstheme="majorHAnsi"/>
          <w:b/>
        </w:rPr>
        <w:t xml:space="preserve"> de ÎPC </w:t>
      </w:r>
      <w:r w:rsidRPr="001467CC">
        <w:rPr>
          <w:rFonts w:asciiTheme="majorHAnsi" w:eastAsia="Calibri" w:hAnsiTheme="majorHAnsi" w:cstheme="majorHAnsi"/>
        </w:rPr>
        <w:t xml:space="preserve">care au publicat raportul de audit  asupra situațiilor financiare ale anului 2020, un număr de </w:t>
      </w:r>
      <w:r w:rsidRPr="001467CC">
        <w:rPr>
          <w:rFonts w:asciiTheme="majorHAnsi" w:eastAsia="Calibri" w:hAnsiTheme="majorHAnsi" w:cstheme="majorHAnsi"/>
          <w:b/>
        </w:rPr>
        <w:t>89 ÎPC</w:t>
      </w:r>
      <w:r w:rsidRPr="001467CC">
        <w:rPr>
          <w:rFonts w:asciiTheme="majorHAnsi" w:eastAsia="Calibri" w:hAnsiTheme="majorHAnsi" w:cstheme="majorHAnsi"/>
        </w:rPr>
        <w:t xml:space="preserve">  au publicate și rapoartele de audit  asupra situațiilor financiare  ale anului 2019. Din analiza comparativă a  datelor centralizate privind opiniile de audit rezultă următoarele:</w:t>
      </w:r>
    </w:p>
    <w:p w14:paraId="6CA9F4D8" w14:textId="77777777" w:rsidR="004A1E2B" w:rsidRPr="001467CC" w:rsidRDefault="004A1E2B" w:rsidP="00F17378">
      <w:pPr>
        <w:numPr>
          <w:ilvl w:val="0"/>
          <w:numId w:val="36"/>
        </w:numPr>
        <w:suppressAutoHyphens/>
        <w:spacing w:after="0"/>
        <w:ind w:left="284" w:hanging="284"/>
        <w:contextualSpacing/>
        <w:jc w:val="both"/>
        <w:rPr>
          <w:rFonts w:asciiTheme="majorHAnsi" w:eastAsia="Calibri" w:hAnsiTheme="majorHAnsi" w:cstheme="majorHAnsi"/>
        </w:rPr>
      </w:pPr>
      <w:r w:rsidRPr="001467CC">
        <w:rPr>
          <w:rFonts w:asciiTheme="majorHAnsi" w:eastAsia="Calibri" w:hAnsiTheme="majorHAnsi" w:cstheme="majorHAnsi"/>
        </w:rPr>
        <w:t>pentru  un număr de 58 ÎPC opinia de audit asupra situațiilor  financiare ale anului 2019 și anului 2020  a fost exprimată fără rezerve;</w:t>
      </w:r>
    </w:p>
    <w:p w14:paraId="4F22F0B0" w14:textId="77777777" w:rsidR="004A1E2B" w:rsidRPr="001467CC" w:rsidRDefault="004A1E2B" w:rsidP="00F17378">
      <w:pPr>
        <w:numPr>
          <w:ilvl w:val="0"/>
          <w:numId w:val="36"/>
        </w:numPr>
        <w:suppressAutoHyphens/>
        <w:spacing w:after="0"/>
        <w:ind w:left="284" w:hanging="284"/>
        <w:contextualSpacing/>
        <w:jc w:val="both"/>
        <w:rPr>
          <w:rFonts w:asciiTheme="majorHAnsi" w:eastAsia="Calibri" w:hAnsiTheme="majorHAnsi" w:cstheme="majorHAnsi"/>
        </w:rPr>
      </w:pPr>
      <w:r w:rsidRPr="001467CC">
        <w:rPr>
          <w:rFonts w:asciiTheme="majorHAnsi" w:eastAsia="Calibri" w:hAnsiTheme="majorHAnsi" w:cstheme="majorHAnsi"/>
        </w:rPr>
        <w:t xml:space="preserve">pentru un  număr de 2  ÎPC opinia  de audit asupra situațiilor financiare ale anului 2020 a fost </w:t>
      </w:r>
      <w:r w:rsidRPr="001467CC">
        <w:rPr>
          <w:rFonts w:asciiTheme="majorHAnsi" w:eastAsia="Calibri" w:hAnsiTheme="majorHAnsi" w:cstheme="majorHAnsi"/>
          <w:b/>
        </w:rPr>
        <w:t>exprimată  fără rezerve</w:t>
      </w:r>
      <w:r w:rsidRPr="001467CC">
        <w:rPr>
          <w:rFonts w:asciiTheme="majorHAnsi" w:eastAsia="Calibri" w:hAnsiTheme="majorHAnsi" w:cstheme="majorHAnsi"/>
        </w:rPr>
        <w:t xml:space="preserve"> , comparativ cu  anul 2019 pentru care opinia de audit asupra  situațiilor  financiare ale anului 2019  a fost cu rezerve. Exemplificăm în acest sens următoarele ÎPC:</w:t>
      </w:r>
      <w:r w:rsidRPr="001467CC">
        <w:rPr>
          <w:rFonts w:asciiTheme="majorHAnsi" w:hAnsiTheme="majorHAnsi" w:cstheme="majorHAnsi"/>
        </w:rPr>
        <w:t xml:space="preserve"> </w:t>
      </w:r>
      <w:r w:rsidRPr="001467CC">
        <w:rPr>
          <w:rFonts w:asciiTheme="majorHAnsi" w:eastAsia="Calibri" w:hAnsiTheme="majorHAnsi" w:cstheme="majorHAnsi"/>
        </w:rPr>
        <w:t>ADMINISTRATIA PATRIMONIULUI PROTOCOLULUI DE STAT RA</w:t>
      </w:r>
      <w:r w:rsidRPr="001467CC">
        <w:rPr>
          <w:rFonts w:asciiTheme="majorHAnsi" w:eastAsia="Times New Roman" w:hAnsiTheme="majorHAnsi" w:cstheme="majorHAnsi"/>
          <w:color w:val="000000"/>
          <w:lang w:eastAsia="ro-RO"/>
        </w:rPr>
        <w:t>ADMINISTRATIA ROMANA A SERVICIILOR DE TRAFIC AERIAN ROMATSA RA</w:t>
      </w:r>
    </w:p>
    <w:p w14:paraId="0A787146" w14:textId="77777777" w:rsidR="004A1E2B" w:rsidRPr="001467CC" w:rsidRDefault="004A1E2B" w:rsidP="004A1E2B">
      <w:pPr>
        <w:spacing w:before="0" w:after="0" w:line="240" w:lineRule="auto"/>
        <w:jc w:val="center"/>
        <w:rPr>
          <w:rFonts w:asciiTheme="majorHAnsi" w:hAnsiTheme="majorHAnsi" w:cstheme="majorHAnsi"/>
        </w:rPr>
      </w:pPr>
    </w:p>
    <w:p w14:paraId="499E3C08" w14:textId="77777777" w:rsidR="004A1E2B" w:rsidRPr="001467CC" w:rsidRDefault="004A1E2B" w:rsidP="004A1E2B">
      <w:pPr>
        <w:spacing w:after="0"/>
        <w:jc w:val="both"/>
        <w:rPr>
          <w:rFonts w:asciiTheme="majorHAnsi" w:eastAsia="Calibri" w:hAnsiTheme="majorHAnsi" w:cstheme="majorHAnsi"/>
        </w:rPr>
      </w:pPr>
      <w:r w:rsidRPr="001467CC">
        <w:rPr>
          <w:rFonts w:asciiTheme="majorHAnsi" w:eastAsia="Calibri" w:hAnsiTheme="majorHAnsi" w:cstheme="majorHAnsi"/>
        </w:rPr>
        <w:t>Dintre rezervele exprimate în opinia de audit asupra situațiilor financiare ale anului 2020, amintim cu titlu exemplificativ:</w:t>
      </w:r>
    </w:p>
    <w:p w14:paraId="5671E22F" w14:textId="77777777" w:rsidR="004A1E2B" w:rsidRPr="001467CC" w:rsidRDefault="004A1E2B" w:rsidP="00F17378">
      <w:pPr>
        <w:numPr>
          <w:ilvl w:val="0"/>
          <w:numId w:val="37"/>
        </w:numPr>
        <w:ind w:left="426" w:hanging="426"/>
        <w:contextualSpacing/>
        <w:jc w:val="both"/>
        <w:rPr>
          <w:rFonts w:asciiTheme="majorHAnsi" w:eastAsia="Calibri" w:hAnsiTheme="majorHAnsi" w:cstheme="majorHAnsi"/>
        </w:rPr>
      </w:pPr>
      <w:r w:rsidRPr="001467CC">
        <w:rPr>
          <w:rFonts w:asciiTheme="majorHAnsi" w:eastAsia="Calibri" w:hAnsiTheme="majorHAnsi" w:cstheme="majorHAnsi"/>
        </w:rPr>
        <w:t>Auditorul nu a participat la inventarierea faptică a imobilizărilor corporale și necorporale și a stocurilor de materii prime și materiale, a producției în curs de execuție, a produselor finite și mărfurilor;</w:t>
      </w:r>
    </w:p>
    <w:p w14:paraId="69FF18C3" w14:textId="77777777" w:rsidR="004A1E2B" w:rsidRPr="001467CC" w:rsidRDefault="004A1E2B" w:rsidP="00F17378">
      <w:pPr>
        <w:numPr>
          <w:ilvl w:val="0"/>
          <w:numId w:val="37"/>
        </w:numPr>
        <w:ind w:left="426" w:hanging="426"/>
        <w:contextualSpacing/>
        <w:jc w:val="both"/>
        <w:rPr>
          <w:rFonts w:asciiTheme="majorHAnsi" w:eastAsia="Calibri" w:hAnsiTheme="majorHAnsi" w:cstheme="majorHAnsi"/>
        </w:rPr>
      </w:pPr>
      <w:r w:rsidRPr="001467CC">
        <w:rPr>
          <w:rFonts w:asciiTheme="majorHAnsi" w:eastAsia="Calibri" w:hAnsiTheme="majorHAnsi" w:cstheme="majorHAnsi"/>
        </w:rPr>
        <w:t xml:space="preserve">Imposibilitatea determinării necesității constituirii de ajustări pentru depreciere/provizioane suplimentare pentru creanțe, datorii, litigii în curs, imobilizări corporale și impactului corespunzător în contul de profit și pierdere și rezultatul reportat; </w:t>
      </w:r>
    </w:p>
    <w:p w14:paraId="7A65DC0F" w14:textId="77777777" w:rsidR="004A1E2B" w:rsidRPr="001467CC" w:rsidRDefault="004A1E2B" w:rsidP="00F17378">
      <w:pPr>
        <w:numPr>
          <w:ilvl w:val="0"/>
          <w:numId w:val="37"/>
        </w:numPr>
        <w:ind w:left="426" w:hanging="426"/>
        <w:contextualSpacing/>
        <w:jc w:val="both"/>
        <w:rPr>
          <w:rFonts w:asciiTheme="majorHAnsi" w:eastAsia="Calibri" w:hAnsiTheme="majorHAnsi" w:cstheme="majorHAnsi"/>
        </w:rPr>
      </w:pPr>
      <w:r w:rsidRPr="001467CC">
        <w:rPr>
          <w:rFonts w:asciiTheme="majorHAnsi" w:eastAsia="Calibri" w:hAnsiTheme="majorHAnsi" w:cstheme="majorHAnsi"/>
        </w:rPr>
        <w:t>Înregistrarea în contabilitate a unor imobilizări corporale de natura terenurilor și clădirilor pentru care ÎP nu deține titluri de proprietate;</w:t>
      </w:r>
    </w:p>
    <w:p w14:paraId="30B828E1" w14:textId="4A63B547" w:rsidR="004A1E2B" w:rsidRPr="001467CC" w:rsidRDefault="004A1E2B" w:rsidP="00F17378">
      <w:pPr>
        <w:numPr>
          <w:ilvl w:val="0"/>
          <w:numId w:val="37"/>
        </w:numPr>
        <w:ind w:left="426" w:hanging="426"/>
        <w:contextualSpacing/>
        <w:jc w:val="both"/>
        <w:rPr>
          <w:rFonts w:asciiTheme="majorHAnsi" w:eastAsia="Calibri" w:hAnsiTheme="majorHAnsi" w:cstheme="majorHAnsi"/>
        </w:rPr>
      </w:pPr>
      <w:r w:rsidRPr="001467CC">
        <w:rPr>
          <w:rFonts w:asciiTheme="majorHAnsi" w:eastAsia="Calibri" w:hAnsiTheme="majorHAnsi" w:cstheme="majorHAnsi"/>
        </w:rPr>
        <w:t>Valorile înregistrate în situațiile financiare la 31.12.2020 nu sunt comparabile cu cele rezultate în perioadele anterioare conform cerințelor IAS 8 în ceea ce privește rezulta</w:t>
      </w:r>
      <w:r w:rsidR="007928FE">
        <w:rPr>
          <w:rFonts w:asciiTheme="majorHAnsi" w:eastAsia="Calibri" w:hAnsiTheme="majorHAnsi" w:cstheme="majorHAnsi"/>
        </w:rPr>
        <w:t>tul</w:t>
      </w:r>
      <w:r w:rsidRPr="001467CC">
        <w:rPr>
          <w:rFonts w:asciiTheme="majorHAnsi" w:eastAsia="Calibri" w:hAnsiTheme="majorHAnsi" w:cstheme="majorHAnsi"/>
        </w:rPr>
        <w:t xml:space="preserve"> reportat și provizioanele;</w:t>
      </w:r>
    </w:p>
    <w:p w14:paraId="24051C47" w14:textId="77777777" w:rsidR="004A1E2B" w:rsidRPr="001467CC" w:rsidRDefault="004A1E2B" w:rsidP="00F17378">
      <w:pPr>
        <w:numPr>
          <w:ilvl w:val="0"/>
          <w:numId w:val="37"/>
        </w:numPr>
        <w:ind w:left="426" w:hanging="426"/>
        <w:contextualSpacing/>
        <w:jc w:val="both"/>
        <w:rPr>
          <w:rFonts w:asciiTheme="majorHAnsi" w:eastAsia="Calibri" w:hAnsiTheme="majorHAnsi" w:cstheme="majorHAnsi"/>
        </w:rPr>
      </w:pPr>
      <w:r w:rsidRPr="001467CC">
        <w:rPr>
          <w:rFonts w:asciiTheme="majorHAnsi" w:eastAsia="Calibri" w:hAnsiTheme="majorHAnsi" w:cstheme="majorHAnsi"/>
        </w:rPr>
        <w:t>Imposibilitatea auditorului de a determina eventuale corecții necesare cu privire la clasificarea împrumuturilor pe termen lung (acestea sunt condiționate de îndeplinirea anumitor indicatori și pot determina solicitarea rambursării anticipate, determinând o datorie pe termen scurt).</w:t>
      </w:r>
    </w:p>
    <w:p w14:paraId="731A8FC7" w14:textId="77777777" w:rsidR="004A1E2B" w:rsidRPr="001467CC" w:rsidRDefault="004A1E2B" w:rsidP="004A1E2B">
      <w:pPr>
        <w:rPr>
          <w:rFonts w:asciiTheme="majorHAnsi" w:hAnsiTheme="majorHAnsi" w:cstheme="majorHAnsi"/>
        </w:rPr>
      </w:pPr>
    </w:p>
    <w:p w14:paraId="47C178E6" w14:textId="77777777" w:rsidR="004A1E2B" w:rsidRPr="00D95C57" w:rsidRDefault="004A1E2B" w:rsidP="00AE0A65">
      <w:pPr>
        <w:spacing w:before="120" w:after="120"/>
        <w:jc w:val="both"/>
        <w:rPr>
          <w:rFonts w:asciiTheme="majorHAnsi" w:hAnsiTheme="majorHAnsi" w:cstheme="majorBidi"/>
        </w:rPr>
      </w:pPr>
    </w:p>
    <w:p w14:paraId="763F7FA6" w14:textId="77777777" w:rsidR="004C4C1A" w:rsidRDefault="004C4C1A" w:rsidP="00483C8D">
      <w:pPr>
        <w:jc w:val="both"/>
        <w:rPr>
          <w:rFonts w:asciiTheme="majorHAnsi" w:hAnsiTheme="majorHAnsi"/>
        </w:rPr>
      </w:pPr>
    </w:p>
    <w:p w14:paraId="7D110633" w14:textId="77777777" w:rsidR="00A30780" w:rsidRDefault="00A30780" w:rsidP="00483C8D">
      <w:pPr>
        <w:jc w:val="both"/>
        <w:rPr>
          <w:rFonts w:asciiTheme="majorHAnsi" w:hAnsiTheme="majorHAnsi"/>
        </w:rPr>
      </w:pPr>
    </w:p>
    <w:p w14:paraId="1127DF52" w14:textId="77777777" w:rsidR="00A30780" w:rsidRDefault="00A30780" w:rsidP="00483C8D">
      <w:pPr>
        <w:jc w:val="both"/>
        <w:rPr>
          <w:rFonts w:asciiTheme="majorHAnsi" w:hAnsiTheme="majorHAnsi"/>
        </w:rPr>
      </w:pPr>
    </w:p>
    <w:p w14:paraId="41AF0BF4" w14:textId="77777777" w:rsidR="00A30780" w:rsidRDefault="00A30780" w:rsidP="00483C8D">
      <w:pPr>
        <w:jc w:val="both"/>
        <w:rPr>
          <w:rFonts w:asciiTheme="majorHAnsi" w:hAnsiTheme="majorHAnsi"/>
        </w:rPr>
      </w:pPr>
    </w:p>
    <w:p w14:paraId="736A6E33" w14:textId="77777777" w:rsidR="00A30780" w:rsidRDefault="00A30780" w:rsidP="00483C8D">
      <w:pPr>
        <w:jc w:val="both"/>
        <w:rPr>
          <w:rFonts w:asciiTheme="majorHAnsi" w:hAnsiTheme="majorHAnsi"/>
        </w:rPr>
      </w:pPr>
    </w:p>
    <w:p w14:paraId="55127D35" w14:textId="77777777" w:rsidR="00A30780" w:rsidRDefault="00A30780" w:rsidP="00483C8D">
      <w:pPr>
        <w:jc w:val="both"/>
        <w:rPr>
          <w:rFonts w:asciiTheme="majorHAnsi" w:hAnsiTheme="majorHAnsi"/>
        </w:rPr>
      </w:pPr>
    </w:p>
    <w:p w14:paraId="415A3CA3" w14:textId="77777777" w:rsidR="00A30780" w:rsidRDefault="00A30780" w:rsidP="00483C8D">
      <w:pPr>
        <w:jc w:val="both"/>
        <w:rPr>
          <w:rFonts w:asciiTheme="majorHAnsi" w:hAnsiTheme="majorHAnsi"/>
        </w:rPr>
      </w:pPr>
    </w:p>
    <w:p w14:paraId="3DD4FFA6" w14:textId="77777777" w:rsidR="00A30780" w:rsidRDefault="00A30780" w:rsidP="00483C8D">
      <w:pPr>
        <w:jc w:val="both"/>
        <w:rPr>
          <w:rFonts w:asciiTheme="majorHAnsi" w:hAnsiTheme="majorHAnsi"/>
        </w:rPr>
      </w:pPr>
    </w:p>
    <w:p w14:paraId="2F605341" w14:textId="77777777" w:rsidR="00A30780" w:rsidRDefault="00A30780" w:rsidP="00483C8D">
      <w:pPr>
        <w:jc w:val="both"/>
        <w:rPr>
          <w:rFonts w:asciiTheme="majorHAnsi" w:hAnsiTheme="majorHAnsi"/>
        </w:rPr>
      </w:pPr>
    </w:p>
    <w:p w14:paraId="1D66B730" w14:textId="77777777" w:rsidR="00A30780" w:rsidRDefault="00A30780" w:rsidP="00483C8D">
      <w:pPr>
        <w:jc w:val="both"/>
        <w:rPr>
          <w:rFonts w:asciiTheme="majorHAnsi" w:hAnsiTheme="majorHAnsi"/>
        </w:rPr>
      </w:pPr>
    </w:p>
    <w:p w14:paraId="088E665C" w14:textId="77777777" w:rsidR="0054644F" w:rsidRDefault="0054644F" w:rsidP="00483C8D">
      <w:pPr>
        <w:jc w:val="both"/>
        <w:rPr>
          <w:rFonts w:asciiTheme="majorHAnsi" w:hAnsiTheme="majorHAnsi"/>
        </w:rPr>
      </w:pPr>
    </w:p>
    <w:p w14:paraId="7C71F6E9" w14:textId="77777777" w:rsidR="00A30780" w:rsidRPr="00D95C57" w:rsidRDefault="00A30780" w:rsidP="00483C8D">
      <w:pPr>
        <w:jc w:val="both"/>
        <w:rPr>
          <w:rFonts w:asciiTheme="majorHAnsi" w:hAnsiTheme="majorHAnsi"/>
        </w:rPr>
      </w:pPr>
    </w:p>
    <w:p w14:paraId="3B1A440D" w14:textId="77777777" w:rsidR="003146B7" w:rsidRPr="00522CC8" w:rsidRDefault="003146B7" w:rsidP="007C12DC">
      <w:pPr>
        <w:pStyle w:val="Style1"/>
        <w:rPr>
          <w:rFonts w:asciiTheme="majorHAnsi" w:hAnsiTheme="majorHAnsi"/>
          <w:b/>
          <w:bCs/>
          <w:sz w:val="40"/>
          <w:szCs w:val="36"/>
        </w:rPr>
      </w:pPr>
      <w:bookmarkStart w:id="92" w:name="_Toc490763529"/>
      <w:bookmarkStart w:id="93" w:name="_Toc490763710"/>
      <w:bookmarkStart w:id="94" w:name="_Toc490763878"/>
      <w:bookmarkStart w:id="95" w:name="_Toc87875960"/>
      <w:r w:rsidRPr="00522CC8">
        <w:rPr>
          <w:rFonts w:asciiTheme="majorHAnsi" w:hAnsiTheme="majorHAnsi"/>
          <w:b/>
          <w:bCs/>
          <w:sz w:val="40"/>
          <w:szCs w:val="36"/>
        </w:rPr>
        <w:t xml:space="preserve">PARTEA II – Raport privind activitatea </w:t>
      </w:r>
      <w:bookmarkEnd w:id="92"/>
      <w:bookmarkEnd w:id="93"/>
      <w:bookmarkEnd w:id="94"/>
      <w:r w:rsidR="007C12DC" w:rsidRPr="00522CC8">
        <w:rPr>
          <w:rFonts w:asciiTheme="majorHAnsi" w:hAnsiTheme="majorHAnsi"/>
          <w:b/>
          <w:bCs/>
          <w:sz w:val="40"/>
          <w:szCs w:val="36"/>
        </w:rPr>
        <w:t>ÎNTREPRINDERILOR PUBLICE LOCALE ÎN anul 20</w:t>
      </w:r>
      <w:r w:rsidR="00A30780">
        <w:rPr>
          <w:rFonts w:asciiTheme="majorHAnsi" w:hAnsiTheme="majorHAnsi"/>
          <w:b/>
          <w:bCs/>
          <w:sz w:val="40"/>
          <w:szCs w:val="36"/>
        </w:rPr>
        <w:t>20</w:t>
      </w:r>
      <w:bookmarkEnd w:id="95"/>
    </w:p>
    <w:p w14:paraId="79B186DA" w14:textId="77777777" w:rsidR="00860356" w:rsidRPr="00522CC8" w:rsidRDefault="00860356">
      <w:pPr>
        <w:rPr>
          <w:b/>
          <w:bCs/>
          <w:color w:val="0F6FC6" w:themeColor="accent1"/>
          <w:sz w:val="28"/>
          <w:szCs w:val="28"/>
        </w:rPr>
        <w:sectPr w:rsidR="00860356" w:rsidRPr="00522CC8" w:rsidSect="00D50F38">
          <w:type w:val="continuous"/>
          <w:pgSz w:w="11906" w:h="16838" w:code="9"/>
          <w:pgMar w:top="1134" w:right="1416" w:bottom="851" w:left="1418" w:header="454" w:footer="709" w:gutter="0"/>
          <w:cols w:space="708"/>
          <w:docGrid w:linePitch="360"/>
        </w:sectPr>
      </w:pPr>
    </w:p>
    <w:p w14:paraId="2A8F5B1F" w14:textId="77777777" w:rsidR="002C0AC8" w:rsidRPr="00522CC8" w:rsidRDefault="002C0AC8">
      <w:pPr>
        <w:rPr>
          <w:b/>
          <w:bCs/>
          <w:color w:val="0F6FC6" w:themeColor="accent1"/>
          <w:sz w:val="28"/>
          <w:szCs w:val="28"/>
        </w:rPr>
      </w:pPr>
    </w:p>
    <w:p w14:paraId="58A78CE7" w14:textId="77777777" w:rsidR="00860356" w:rsidRPr="00522CC8" w:rsidRDefault="00860356">
      <w:pPr>
        <w:rPr>
          <w:color w:val="0F6FC6" w:themeColor="accent1"/>
          <w:sz w:val="28"/>
          <w:szCs w:val="28"/>
        </w:rPr>
      </w:pPr>
      <w:r w:rsidRPr="00522CC8">
        <w:rPr>
          <w:color w:val="0F6FC6" w:themeColor="accent1"/>
          <w:sz w:val="28"/>
          <w:szCs w:val="28"/>
        </w:rPr>
        <w:t>INTRODUCERE</w:t>
      </w:r>
    </w:p>
    <w:p w14:paraId="2ED54F30" w14:textId="77777777" w:rsidR="00860356" w:rsidRPr="00D95C57" w:rsidRDefault="00860356" w:rsidP="003146B7">
      <w:pPr>
        <w:spacing w:before="0" w:after="160" w:line="240" w:lineRule="auto"/>
        <w:jc w:val="both"/>
        <w:rPr>
          <w:rFonts w:asciiTheme="majorHAnsi" w:hAnsiTheme="majorHAnsi" w:cs="Times New Roman"/>
        </w:rPr>
        <w:sectPr w:rsidR="00860356" w:rsidRPr="00D95C57" w:rsidSect="00147491">
          <w:type w:val="continuous"/>
          <w:pgSz w:w="11906" w:h="16838" w:code="9"/>
          <w:pgMar w:top="1418" w:right="1418" w:bottom="851" w:left="1418" w:header="284" w:footer="709" w:gutter="0"/>
          <w:cols w:space="708"/>
          <w:docGrid w:linePitch="360"/>
        </w:sectPr>
      </w:pPr>
    </w:p>
    <w:p w14:paraId="484BB309" w14:textId="77777777" w:rsidR="003F4F46" w:rsidRPr="00CF3217" w:rsidRDefault="003F4F46" w:rsidP="003F4F46">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Întreprinderile publice locale reprezintă un instrument necesar creării de valoare pentru comunitățile locale prin contribuția pe care o au în promovarea dezvoltării economice. Cele mai multe dintre ÎPL își desfășoară activitatea în cadrul unor piețe competitive, de aceea este deosebit de important să fie capabile să facă față exigențelor pieței.</w:t>
      </w:r>
    </w:p>
    <w:p w14:paraId="1B204EDE" w14:textId="77777777" w:rsidR="00860356" w:rsidRPr="00CF3217" w:rsidRDefault="00FF4311" w:rsidP="008E14A9">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 xml:space="preserve">La cele </w:t>
      </w:r>
      <w:r w:rsidRPr="00CF3217">
        <w:rPr>
          <w:rFonts w:asciiTheme="majorHAnsi" w:hAnsiTheme="majorHAnsi" w:cs="Times New Roman"/>
          <w:b/>
          <w:bCs/>
          <w:color w:val="000000" w:themeColor="text1"/>
        </w:rPr>
        <w:t>1.</w:t>
      </w:r>
      <w:r w:rsidR="005E32C4" w:rsidRPr="00CF3217">
        <w:rPr>
          <w:rFonts w:asciiTheme="majorHAnsi" w:hAnsiTheme="majorHAnsi" w:cs="Times New Roman"/>
          <w:b/>
          <w:bCs/>
          <w:color w:val="000000" w:themeColor="text1"/>
        </w:rPr>
        <w:t>238</w:t>
      </w:r>
      <w:r w:rsidRPr="00CF3217">
        <w:rPr>
          <w:rFonts w:asciiTheme="majorHAnsi" w:hAnsiTheme="majorHAnsi" w:cs="Times New Roman"/>
          <w:color w:val="000000" w:themeColor="text1"/>
        </w:rPr>
        <w:t xml:space="preserve"> de întreprinderi publice locale din România, autoritățile publice tutelare locale dețin participații într-o pondere </w:t>
      </w:r>
      <w:r w:rsidRPr="00CF3217">
        <w:rPr>
          <w:rFonts w:asciiTheme="majorHAnsi" w:hAnsiTheme="majorHAnsi" w:cs="Times New Roman"/>
          <w:b/>
          <w:bCs/>
          <w:color w:val="000000" w:themeColor="text1"/>
        </w:rPr>
        <w:t xml:space="preserve">de </w:t>
      </w:r>
      <w:r w:rsidR="00147491" w:rsidRPr="00CF3217">
        <w:rPr>
          <w:rFonts w:asciiTheme="majorHAnsi" w:hAnsiTheme="majorHAnsi" w:cs="Times New Roman"/>
          <w:b/>
          <w:bCs/>
          <w:color w:val="000000" w:themeColor="text1"/>
        </w:rPr>
        <w:t>0</w:t>
      </w:r>
      <w:r w:rsidRPr="00CF3217">
        <w:rPr>
          <w:rFonts w:asciiTheme="majorHAnsi" w:hAnsiTheme="majorHAnsi" w:cs="Times New Roman"/>
          <w:b/>
          <w:bCs/>
          <w:color w:val="000000" w:themeColor="text1"/>
        </w:rPr>
        <w:t>,</w:t>
      </w:r>
      <w:r w:rsidR="003F308B" w:rsidRPr="00CF3217">
        <w:rPr>
          <w:rFonts w:asciiTheme="majorHAnsi" w:hAnsiTheme="majorHAnsi" w:cs="Times New Roman"/>
          <w:b/>
          <w:bCs/>
          <w:color w:val="000000" w:themeColor="text1"/>
        </w:rPr>
        <w:t>5</w:t>
      </w:r>
      <w:r w:rsidR="005E32C4" w:rsidRPr="00CF3217">
        <w:rPr>
          <w:rFonts w:asciiTheme="majorHAnsi" w:hAnsiTheme="majorHAnsi" w:cs="Times New Roman"/>
          <w:b/>
          <w:bCs/>
          <w:color w:val="000000" w:themeColor="text1"/>
        </w:rPr>
        <w:t>0</w:t>
      </w:r>
      <w:r w:rsidR="00147491" w:rsidRPr="00CF3217">
        <w:rPr>
          <w:rFonts w:asciiTheme="majorHAnsi" w:hAnsiTheme="majorHAnsi" w:cs="Times New Roman"/>
          <w:b/>
          <w:bCs/>
          <w:color w:val="000000" w:themeColor="text1"/>
        </w:rPr>
        <w:t xml:space="preserve"> </w:t>
      </w:r>
      <w:r w:rsidRPr="00CF3217">
        <w:rPr>
          <w:rFonts w:asciiTheme="majorHAnsi" w:hAnsiTheme="majorHAnsi" w:cs="Times New Roman"/>
          <w:b/>
          <w:bCs/>
          <w:color w:val="000000" w:themeColor="text1"/>
        </w:rPr>
        <w:t>%</w:t>
      </w:r>
      <w:r w:rsidRPr="00CF3217">
        <w:rPr>
          <w:rFonts w:asciiTheme="majorHAnsi" w:hAnsiTheme="majorHAnsi" w:cs="Times New Roman"/>
          <w:color w:val="000000" w:themeColor="text1"/>
        </w:rPr>
        <w:t xml:space="preserve"> în PIB, contribuind astfel la dezvoltarea economică națională. </w:t>
      </w:r>
      <w:r w:rsidR="00860356" w:rsidRPr="00CF3217">
        <w:rPr>
          <w:rFonts w:asciiTheme="majorHAnsi" w:hAnsiTheme="majorHAnsi" w:cs="Times New Roman"/>
          <w:color w:val="000000" w:themeColor="text1"/>
        </w:rPr>
        <w:t xml:space="preserve">Cele mai multe </w:t>
      </w:r>
      <w:r w:rsidR="00581DF9" w:rsidRPr="00CF3217">
        <w:rPr>
          <w:rFonts w:asciiTheme="majorHAnsi" w:hAnsiTheme="majorHAnsi" w:cs="Times New Roman"/>
          <w:color w:val="000000" w:themeColor="text1"/>
        </w:rPr>
        <w:t xml:space="preserve">dintre </w:t>
      </w:r>
      <w:r w:rsidR="007C12DC" w:rsidRPr="00CF3217">
        <w:rPr>
          <w:rFonts w:asciiTheme="majorHAnsi" w:hAnsiTheme="majorHAnsi" w:cs="Times New Roman"/>
          <w:color w:val="000000" w:themeColor="text1"/>
        </w:rPr>
        <w:t>ÎPL</w:t>
      </w:r>
      <w:r w:rsidR="00860356" w:rsidRPr="00CF3217">
        <w:rPr>
          <w:rFonts w:asciiTheme="majorHAnsi" w:hAnsiTheme="majorHAnsi" w:cs="Times New Roman"/>
          <w:color w:val="000000" w:themeColor="text1"/>
        </w:rPr>
        <w:t xml:space="preserve"> își desfășoară activitatea </w:t>
      </w:r>
      <w:r w:rsidR="00581DF9" w:rsidRPr="00CF3217">
        <w:rPr>
          <w:rFonts w:asciiTheme="majorHAnsi" w:hAnsiTheme="majorHAnsi" w:cs="Times New Roman"/>
          <w:color w:val="000000" w:themeColor="text1"/>
        </w:rPr>
        <w:t xml:space="preserve">cu preponderență </w:t>
      </w:r>
      <w:r w:rsidR="00860356" w:rsidRPr="00CF3217">
        <w:rPr>
          <w:rFonts w:asciiTheme="majorHAnsi" w:hAnsiTheme="majorHAnsi" w:cs="Times New Roman"/>
          <w:color w:val="000000" w:themeColor="text1"/>
        </w:rPr>
        <w:t>în sectoare precum captare</w:t>
      </w:r>
      <w:r w:rsidR="00A16C00" w:rsidRPr="00CF3217">
        <w:rPr>
          <w:rFonts w:asciiTheme="majorHAnsi" w:hAnsiTheme="majorHAnsi" w:cs="Times New Roman"/>
          <w:color w:val="000000" w:themeColor="text1"/>
        </w:rPr>
        <w:t>a</w:t>
      </w:r>
      <w:r w:rsidR="00860356" w:rsidRPr="00CF3217">
        <w:rPr>
          <w:rFonts w:asciiTheme="majorHAnsi" w:hAnsiTheme="majorHAnsi" w:cs="Times New Roman"/>
          <w:color w:val="000000" w:themeColor="text1"/>
        </w:rPr>
        <w:t>, tratare</w:t>
      </w:r>
      <w:r w:rsidR="00A16C00" w:rsidRPr="00CF3217">
        <w:rPr>
          <w:rFonts w:asciiTheme="majorHAnsi" w:hAnsiTheme="majorHAnsi" w:cs="Times New Roman"/>
          <w:color w:val="000000" w:themeColor="text1"/>
        </w:rPr>
        <w:t>a</w:t>
      </w:r>
      <w:r w:rsidR="00860356" w:rsidRPr="00CF3217">
        <w:rPr>
          <w:rFonts w:asciiTheme="majorHAnsi" w:hAnsiTheme="majorHAnsi" w:cs="Times New Roman"/>
          <w:color w:val="000000" w:themeColor="text1"/>
        </w:rPr>
        <w:t xml:space="preserve"> și distribuția apei, salubritate, transporturi și construcții.</w:t>
      </w:r>
    </w:p>
    <w:p w14:paraId="417E5205" w14:textId="77777777" w:rsidR="00860356" w:rsidRPr="00CF3217" w:rsidRDefault="00860356" w:rsidP="0018492A">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 xml:space="preserve">Guvernarea </w:t>
      </w:r>
      <w:r w:rsidR="007C12DC" w:rsidRPr="00CF3217">
        <w:rPr>
          <w:rFonts w:asciiTheme="majorHAnsi" w:hAnsiTheme="majorHAnsi" w:cs="Times New Roman"/>
          <w:color w:val="000000" w:themeColor="text1"/>
        </w:rPr>
        <w:t>ÎPL</w:t>
      </w:r>
      <w:r w:rsidRPr="00CF3217">
        <w:rPr>
          <w:rFonts w:asciiTheme="majorHAnsi" w:hAnsiTheme="majorHAnsi" w:cs="Times New Roman"/>
          <w:color w:val="000000" w:themeColor="text1"/>
        </w:rPr>
        <w:t xml:space="preserve"> reprezintă o sarcină care impune o mare responsabilitate față de comunitățile locale iar autoritățile publice tutelare locale își asumă această responsabilitate prin implicarea în mod activ și profesionist în administrarea întreprinderilor publice la care dețin calitatea de autoritate publică tutelară. Întreprinderile publice au menirea să își desfășoare activitatea în mod eficient și profitabil pe termen lung astfel încât serviciile, utilitățile și beneficiile publice oferite de către acestea comunităților în mijlocul cărora activează să fie menținute la un nivel optim.</w:t>
      </w:r>
    </w:p>
    <w:p w14:paraId="261D6C93" w14:textId="77777777" w:rsidR="00860356" w:rsidRPr="00CF3217" w:rsidRDefault="00860356" w:rsidP="0099246A">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 xml:space="preserve">Autoritățile publice tutelare locale sunt obligate astfel ca prin implicarea în administrarea </w:t>
      </w:r>
      <w:r w:rsidR="0099246A" w:rsidRPr="00CF3217">
        <w:rPr>
          <w:rFonts w:asciiTheme="majorHAnsi" w:hAnsiTheme="majorHAnsi" w:cs="Times New Roman"/>
          <w:color w:val="000000" w:themeColor="text1"/>
        </w:rPr>
        <w:t>ÎPL</w:t>
      </w:r>
      <w:r w:rsidRPr="00CF3217">
        <w:rPr>
          <w:rFonts w:asciiTheme="majorHAnsi" w:hAnsiTheme="majorHAnsi" w:cs="Times New Roman"/>
          <w:color w:val="000000" w:themeColor="text1"/>
        </w:rPr>
        <w:t xml:space="preserve"> și prin urmărirea atingerii obiectivelor de politică publică să genereze valoare pentru comunitate.</w:t>
      </w:r>
    </w:p>
    <w:p w14:paraId="51DB0650" w14:textId="77777777" w:rsidR="00860356" w:rsidRPr="00CF3217" w:rsidRDefault="00860356" w:rsidP="0099246A">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 xml:space="preserve">Majoritatea </w:t>
      </w:r>
      <w:r w:rsidR="0099246A" w:rsidRPr="00CF3217">
        <w:rPr>
          <w:rFonts w:asciiTheme="majorHAnsi" w:hAnsiTheme="majorHAnsi" w:cs="Times New Roman"/>
          <w:color w:val="000000" w:themeColor="text1"/>
        </w:rPr>
        <w:t>ÎPL</w:t>
      </w:r>
      <w:r w:rsidRPr="00CF3217">
        <w:rPr>
          <w:rFonts w:asciiTheme="majorHAnsi" w:hAnsiTheme="majorHAnsi" w:cs="Times New Roman"/>
          <w:color w:val="000000" w:themeColor="text1"/>
        </w:rPr>
        <w:t xml:space="preserve"> sunt angajate în asigurarea infrastructurii și serviciilor conexe necesare pentru comunit</w:t>
      </w:r>
      <w:r w:rsidR="00CF4E49" w:rsidRPr="00CF3217">
        <w:rPr>
          <w:rFonts w:asciiTheme="majorHAnsi" w:hAnsiTheme="majorHAnsi" w:cs="Times New Roman"/>
          <w:color w:val="000000" w:themeColor="text1"/>
        </w:rPr>
        <w:t>ățile locale</w:t>
      </w:r>
      <w:r w:rsidRPr="00CF3217">
        <w:rPr>
          <w:rFonts w:asciiTheme="majorHAnsi" w:hAnsiTheme="majorHAnsi" w:cs="Times New Roman"/>
          <w:color w:val="000000" w:themeColor="text1"/>
        </w:rPr>
        <w:t xml:space="preserve"> (de exemplu, distribuția energiei electrice, a apei, termoficare, transporturi, etc).</w:t>
      </w:r>
    </w:p>
    <w:p w14:paraId="5A8E0CC5" w14:textId="77777777" w:rsidR="00860356" w:rsidRPr="00CF3217" w:rsidRDefault="00860356" w:rsidP="008E14A9">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 xml:space="preserve">Pe lângă faptul de a fi furnizorii semnificativi în domeniul infrastructurii, sectorul întreprinderilor publice este și un sector important în sine, deoarece </w:t>
      </w:r>
      <w:r w:rsidR="008E14A9" w:rsidRPr="00CF3217">
        <w:rPr>
          <w:rFonts w:asciiTheme="majorHAnsi" w:hAnsiTheme="majorHAnsi" w:cs="Times New Roman"/>
          <w:b/>
          <w:bCs/>
          <w:color w:val="000000" w:themeColor="text1"/>
        </w:rPr>
        <w:t xml:space="preserve">asigură peste </w:t>
      </w:r>
      <w:r w:rsidR="003F308B" w:rsidRPr="00CF3217">
        <w:rPr>
          <w:rFonts w:asciiTheme="majorHAnsi" w:hAnsiTheme="majorHAnsi" w:cs="Times New Roman"/>
          <w:b/>
          <w:bCs/>
          <w:color w:val="000000" w:themeColor="text1"/>
        </w:rPr>
        <w:t>10</w:t>
      </w:r>
      <w:r w:rsidR="005E32C4" w:rsidRPr="00CF3217">
        <w:rPr>
          <w:rFonts w:asciiTheme="majorHAnsi" w:hAnsiTheme="majorHAnsi" w:cs="Times New Roman"/>
          <w:b/>
          <w:bCs/>
          <w:color w:val="000000" w:themeColor="text1"/>
        </w:rPr>
        <w:t>1</w:t>
      </w:r>
      <w:r w:rsidR="003F308B" w:rsidRPr="00CF3217">
        <w:rPr>
          <w:rFonts w:asciiTheme="majorHAnsi" w:hAnsiTheme="majorHAnsi" w:cs="Times New Roman"/>
          <w:b/>
          <w:bCs/>
          <w:color w:val="000000" w:themeColor="text1"/>
        </w:rPr>
        <w:t>.4</w:t>
      </w:r>
      <w:r w:rsidR="005E32C4" w:rsidRPr="00CF3217">
        <w:rPr>
          <w:rFonts w:asciiTheme="majorHAnsi" w:hAnsiTheme="majorHAnsi" w:cs="Times New Roman"/>
          <w:b/>
          <w:bCs/>
          <w:color w:val="000000" w:themeColor="text1"/>
        </w:rPr>
        <w:t>47</w:t>
      </w:r>
      <w:r w:rsidR="003F308B" w:rsidRPr="00CF3217">
        <w:rPr>
          <w:rFonts w:asciiTheme="majorHAnsi" w:hAnsiTheme="majorHAnsi" w:cs="Times New Roman"/>
          <w:b/>
          <w:bCs/>
          <w:color w:val="000000" w:themeColor="text1"/>
        </w:rPr>
        <w:t xml:space="preserve"> </w:t>
      </w:r>
      <w:r w:rsidRPr="00CF3217">
        <w:rPr>
          <w:rFonts w:asciiTheme="majorHAnsi" w:hAnsiTheme="majorHAnsi" w:cs="Times New Roman"/>
          <w:b/>
          <w:bCs/>
          <w:color w:val="000000" w:themeColor="text1"/>
        </w:rPr>
        <w:t>locuri de muncă</w:t>
      </w:r>
      <w:r w:rsidRPr="00CF3217">
        <w:rPr>
          <w:rFonts w:asciiTheme="majorHAnsi" w:hAnsiTheme="majorHAnsi" w:cs="Times New Roman"/>
          <w:color w:val="000000" w:themeColor="text1"/>
        </w:rPr>
        <w:t>.</w:t>
      </w:r>
    </w:p>
    <w:p w14:paraId="168CB603" w14:textId="77777777" w:rsidR="00860356" w:rsidRPr="00CF3217" w:rsidRDefault="00402879" w:rsidP="0099246A">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Una</w:t>
      </w:r>
      <w:r w:rsidR="00860356" w:rsidRPr="00CF3217">
        <w:rPr>
          <w:rFonts w:asciiTheme="majorHAnsi" w:hAnsiTheme="majorHAnsi" w:cs="Times New Roman"/>
          <w:color w:val="000000" w:themeColor="text1"/>
        </w:rPr>
        <w:t xml:space="preserve"> dintre cele mai mari provocări ale autorităților publice tutelare locale în calitate de acționar este de a asigura sustenabilitatea </w:t>
      </w:r>
      <w:r w:rsidR="0099246A" w:rsidRPr="00CF3217">
        <w:rPr>
          <w:rFonts w:asciiTheme="majorHAnsi" w:hAnsiTheme="majorHAnsi" w:cs="Times New Roman"/>
          <w:color w:val="000000" w:themeColor="text1"/>
        </w:rPr>
        <w:t xml:space="preserve">ÎPL </w:t>
      </w:r>
      <w:r w:rsidR="00860356" w:rsidRPr="00CF3217">
        <w:rPr>
          <w:rFonts w:asciiTheme="majorHAnsi" w:hAnsiTheme="majorHAnsi" w:cs="Times New Roman"/>
          <w:color w:val="000000" w:themeColor="text1"/>
        </w:rPr>
        <w:t>în cadrul pieței în care activează astfel încât acestea să ofere servicii de calitate.</w:t>
      </w:r>
    </w:p>
    <w:p w14:paraId="2F2F5FC4" w14:textId="77777777" w:rsidR="003146B7" w:rsidRPr="00CF3217" w:rsidRDefault="00CF4E49" w:rsidP="0018492A">
      <w:pPr>
        <w:spacing w:before="0" w:after="160"/>
        <w:jc w:val="both"/>
        <w:rPr>
          <w:rFonts w:asciiTheme="majorHAnsi" w:hAnsiTheme="majorHAnsi" w:cs="Times New Roman"/>
          <w:color w:val="000000" w:themeColor="text1"/>
        </w:rPr>
      </w:pPr>
      <w:r w:rsidRPr="00CF3217">
        <w:rPr>
          <w:rFonts w:asciiTheme="majorHAnsi" w:hAnsiTheme="majorHAnsi" w:cs="Times New Roman"/>
          <w:color w:val="000000" w:themeColor="text1"/>
        </w:rPr>
        <w:t>D</w:t>
      </w:r>
      <w:r w:rsidR="003146B7" w:rsidRPr="00CF3217">
        <w:rPr>
          <w:rFonts w:asciiTheme="majorHAnsi" w:hAnsiTheme="majorHAnsi" w:cs="Times New Roman"/>
          <w:color w:val="000000" w:themeColor="text1"/>
        </w:rPr>
        <w:t xml:space="preserve">in punct de vedere </w:t>
      </w:r>
      <w:r w:rsidR="003146B7" w:rsidRPr="00CF3217">
        <w:rPr>
          <w:rFonts w:asciiTheme="majorHAnsi" w:hAnsiTheme="majorHAnsi" w:cs="Times New Roman"/>
          <w:b/>
          <w:bCs/>
          <w:color w:val="000000" w:themeColor="text1"/>
        </w:rPr>
        <w:t xml:space="preserve">al formei de organizare și a ponderii </w:t>
      </w:r>
      <w:r w:rsidRPr="00CF3217">
        <w:rPr>
          <w:rFonts w:asciiTheme="majorHAnsi" w:hAnsiTheme="majorHAnsi" w:cs="Times New Roman"/>
          <w:b/>
          <w:bCs/>
          <w:color w:val="000000" w:themeColor="text1"/>
        </w:rPr>
        <w:t xml:space="preserve">participațiilor </w:t>
      </w:r>
      <w:r w:rsidR="003146B7" w:rsidRPr="00CF3217">
        <w:rPr>
          <w:rFonts w:asciiTheme="majorHAnsi" w:hAnsiTheme="majorHAnsi" w:cs="Times New Roman"/>
          <w:b/>
          <w:bCs/>
          <w:color w:val="000000" w:themeColor="text1"/>
        </w:rPr>
        <w:t xml:space="preserve">deținute de autoritățile publice tutelare locale </w:t>
      </w:r>
      <w:r w:rsidRPr="00CF3217">
        <w:rPr>
          <w:rFonts w:asciiTheme="majorHAnsi" w:hAnsiTheme="majorHAnsi" w:cs="Times New Roman"/>
          <w:b/>
          <w:bCs/>
          <w:color w:val="000000" w:themeColor="text1"/>
        </w:rPr>
        <w:t xml:space="preserve">la </w:t>
      </w:r>
      <w:r w:rsidR="00C271CB" w:rsidRPr="00CF3217">
        <w:rPr>
          <w:rFonts w:asciiTheme="majorHAnsi" w:hAnsiTheme="majorHAnsi" w:cs="Times New Roman"/>
          <w:b/>
          <w:bCs/>
          <w:color w:val="000000" w:themeColor="text1"/>
        </w:rPr>
        <w:t>cele 1</w:t>
      </w:r>
      <w:r w:rsidR="003F308B" w:rsidRPr="00CF3217">
        <w:rPr>
          <w:rFonts w:asciiTheme="majorHAnsi" w:hAnsiTheme="majorHAnsi" w:cs="Times New Roman"/>
          <w:b/>
          <w:bCs/>
          <w:color w:val="000000" w:themeColor="text1"/>
        </w:rPr>
        <w:t>.</w:t>
      </w:r>
      <w:r w:rsidR="005E32C4" w:rsidRPr="00CF3217">
        <w:rPr>
          <w:rFonts w:asciiTheme="majorHAnsi" w:hAnsiTheme="majorHAnsi" w:cs="Times New Roman"/>
          <w:b/>
          <w:bCs/>
          <w:color w:val="000000" w:themeColor="text1"/>
        </w:rPr>
        <w:t>238</w:t>
      </w:r>
      <w:r w:rsidR="00C271CB" w:rsidRPr="00CF3217">
        <w:rPr>
          <w:rFonts w:asciiTheme="majorHAnsi" w:hAnsiTheme="majorHAnsi" w:cs="Times New Roman"/>
          <w:b/>
          <w:bCs/>
          <w:color w:val="000000" w:themeColor="text1"/>
        </w:rPr>
        <w:t xml:space="preserve"> </w:t>
      </w:r>
      <w:r w:rsidRPr="00CF3217">
        <w:rPr>
          <w:rFonts w:asciiTheme="majorHAnsi" w:hAnsiTheme="majorHAnsi" w:cs="Times New Roman"/>
          <w:color w:val="000000" w:themeColor="text1"/>
        </w:rPr>
        <w:t>ÎPL</w:t>
      </w:r>
      <w:r w:rsidR="003146B7" w:rsidRPr="00CF3217">
        <w:rPr>
          <w:rFonts w:asciiTheme="majorHAnsi" w:hAnsiTheme="majorHAnsi" w:cs="Times New Roman"/>
          <w:color w:val="000000" w:themeColor="text1"/>
        </w:rPr>
        <w:t>:</w:t>
      </w:r>
    </w:p>
    <w:p w14:paraId="4779B167" w14:textId="77777777" w:rsidR="003146B7" w:rsidRPr="00CF3217" w:rsidRDefault="005E32C4" w:rsidP="00F26763">
      <w:pPr>
        <w:numPr>
          <w:ilvl w:val="0"/>
          <w:numId w:val="26"/>
        </w:numPr>
        <w:spacing w:before="40" w:after="160"/>
        <w:ind w:left="270" w:hanging="270"/>
        <w:contextualSpacing/>
        <w:jc w:val="both"/>
        <w:rPr>
          <w:rFonts w:asciiTheme="majorHAnsi" w:hAnsiTheme="majorHAnsi" w:cs="Times New Roman"/>
          <w:color w:val="000000" w:themeColor="text1"/>
          <w:kern w:val="20"/>
          <w:lang w:eastAsia="ja-JP"/>
        </w:rPr>
      </w:pPr>
      <w:r w:rsidRPr="00CF3217">
        <w:rPr>
          <w:rFonts w:asciiTheme="majorHAnsi" w:hAnsiTheme="majorHAnsi" w:cs="Times New Roman"/>
          <w:b/>
          <w:bCs/>
          <w:color w:val="000000" w:themeColor="text1"/>
          <w:kern w:val="20"/>
          <w:lang w:eastAsia="ja-JP"/>
        </w:rPr>
        <w:t>862</w:t>
      </w:r>
      <w:r w:rsidR="003146B7" w:rsidRPr="00CF3217">
        <w:rPr>
          <w:rFonts w:asciiTheme="majorHAnsi" w:hAnsiTheme="majorHAnsi" w:cs="Times New Roman"/>
          <w:b/>
          <w:bCs/>
          <w:color w:val="000000" w:themeColor="text1"/>
          <w:kern w:val="20"/>
          <w:lang w:eastAsia="ja-JP"/>
        </w:rPr>
        <w:t xml:space="preserve"> </w:t>
      </w:r>
      <w:r w:rsidR="00CF4E49" w:rsidRPr="00CF3217">
        <w:rPr>
          <w:rFonts w:asciiTheme="majorHAnsi" w:hAnsiTheme="majorHAnsi" w:cs="Times New Roman"/>
          <w:b/>
          <w:bCs/>
          <w:color w:val="000000" w:themeColor="text1"/>
          <w:kern w:val="20"/>
          <w:lang w:eastAsia="ja-JP"/>
        </w:rPr>
        <w:t xml:space="preserve">sunt </w:t>
      </w:r>
      <w:r w:rsidR="003146B7" w:rsidRPr="00CF3217">
        <w:rPr>
          <w:rFonts w:asciiTheme="majorHAnsi" w:hAnsiTheme="majorHAnsi" w:cs="Times New Roman"/>
          <w:b/>
          <w:bCs/>
          <w:color w:val="000000" w:themeColor="text1"/>
          <w:kern w:val="20"/>
          <w:lang w:eastAsia="ja-JP"/>
        </w:rPr>
        <w:t>societăți cu răspundere limitată</w:t>
      </w:r>
      <w:r w:rsidR="003146B7" w:rsidRPr="00CF3217">
        <w:rPr>
          <w:rFonts w:asciiTheme="majorHAnsi" w:hAnsiTheme="majorHAnsi" w:cs="Times New Roman"/>
          <w:color w:val="000000" w:themeColor="text1"/>
          <w:kern w:val="20"/>
          <w:lang w:eastAsia="ja-JP"/>
        </w:rPr>
        <w:t xml:space="preserve">, din care un număr de </w:t>
      </w:r>
      <w:r w:rsidRPr="00CF3217">
        <w:rPr>
          <w:rFonts w:asciiTheme="majorHAnsi" w:hAnsiTheme="majorHAnsi" w:cs="Times New Roman"/>
          <w:b/>
          <w:color w:val="000000" w:themeColor="text1"/>
          <w:kern w:val="20"/>
          <w:lang w:eastAsia="ja-JP"/>
        </w:rPr>
        <w:t>821</w:t>
      </w:r>
      <w:r w:rsidR="003146B7" w:rsidRPr="00CF3217">
        <w:rPr>
          <w:rFonts w:asciiTheme="majorHAnsi" w:hAnsiTheme="majorHAnsi" w:cs="Times New Roman"/>
          <w:b/>
          <w:bCs/>
          <w:color w:val="000000" w:themeColor="text1"/>
          <w:kern w:val="20"/>
          <w:lang w:eastAsia="ja-JP"/>
        </w:rPr>
        <w:t xml:space="preserve"> </w:t>
      </w:r>
      <w:r w:rsidR="003146B7" w:rsidRPr="00CF3217">
        <w:rPr>
          <w:rFonts w:asciiTheme="majorHAnsi" w:hAnsiTheme="majorHAnsi" w:cs="Times New Roman"/>
          <w:color w:val="000000" w:themeColor="text1"/>
          <w:kern w:val="20"/>
          <w:lang w:eastAsia="ja-JP"/>
        </w:rPr>
        <w:t xml:space="preserve">sunt deținute în mod </w:t>
      </w:r>
      <w:r w:rsidR="003146B7" w:rsidRPr="00CF3217">
        <w:rPr>
          <w:rFonts w:asciiTheme="majorHAnsi" w:hAnsiTheme="majorHAnsi" w:cs="Times New Roman"/>
          <w:b/>
          <w:bCs/>
          <w:color w:val="000000" w:themeColor="text1"/>
          <w:kern w:val="20"/>
          <w:lang w:eastAsia="ja-JP"/>
        </w:rPr>
        <w:t>integral</w:t>
      </w:r>
      <w:r w:rsidR="003146B7" w:rsidRPr="00CF3217">
        <w:rPr>
          <w:rFonts w:asciiTheme="majorHAnsi" w:hAnsiTheme="majorHAnsi" w:cs="Times New Roman"/>
          <w:color w:val="000000" w:themeColor="text1"/>
          <w:kern w:val="20"/>
          <w:lang w:eastAsia="ja-JP"/>
        </w:rPr>
        <w:t xml:space="preserve"> și un număr de </w:t>
      </w:r>
      <w:r w:rsidRPr="00CF3217">
        <w:rPr>
          <w:rFonts w:asciiTheme="majorHAnsi" w:hAnsiTheme="majorHAnsi" w:cs="Times New Roman"/>
          <w:b/>
          <w:bCs/>
          <w:color w:val="000000" w:themeColor="text1"/>
          <w:kern w:val="20"/>
          <w:lang w:eastAsia="ja-JP"/>
        </w:rPr>
        <w:t>41</w:t>
      </w:r>
      <w:r w:rsidR="003146B7" w:rsidRPr="00CF3217">
        <w:rPr>
          <w:rFonts w:asciiTheme="majorHAnsi" w:hAnsiTheme="majorHAnsi" w:cs="Times New Roman"/>
          <w:color w:val="000000" w:themeColor="text1"/>
          <w:kern w:val="20"/>
          <w:lang w:eastAsia="ja-JP"/>
        </w:rPr>
        <w:t xml:space="preserve"> în mod </w:t>
      </w:r>
      <w:r w:rsidR="003146B7" w:rsidRPr="00CF3217">
        <w:rPr>
          <w:rFonts w:asciiTheme="majorHAnsi" w:hAnsiTheme="majorHAnsi" w:cs="Times New Roman"/>
          <w:b/>
          <w:bCs/>
          <w:color w:val="000000" w:themeColor="text1"/>
          <w:kern w:val="20"/>
          <w:lang w:eastAsia="ja-JP"/>
        </w:rPr>
        <w:t>majoritar</w:t>
      </w:r>
      <w:r w:rsidR="003146B7" w:rsidRPr="00CF3217">
        <w:rPr>
          <w:rFonts w:asciiTheme="majorHAnsi" w:hAnsiTheme="majorHAnsi" w:cs="Times New Roman"/>
          <w:color w:val="000000" w:themeColor="text1"/>
          <w:kern w:val="20"/>
          <w:lang w:eastAsia="ja-JP"/>
        </w:rPr>
        <w:t xml:space="preserve"> de către autoritățile publice tutelare locale; </w:t>
      </w:r>
    </w:p>
    <w:p w14:paraId="22979609" w14:textId="77777777" w:rsidR="00C65BFB" w:rsidRPr="00CF3217" w:rsidRDefault="005E32C4" w:rsidP="00F26763">
      <w:pPr>
        <w:numPr>
          <w:ilvl w:val="0"/>
          <w:numId w:val="26"/>
        </w:numPr>
        <w:spacing w:before="40" w:after="160"/>
        <w:ind w:left="270" w:hanging="270"/>
        <w:contextualSpacing/>
        <w:jc w:val="both"/>
        <w:rPr>
          <w:rFonts w:asciiTheme="majorHAnsi" w:hAnsiTheme="majorHAnsi" w:cs="Times New Roman"/>
          <w:color w:val="000000" w:themeColor="text1"/>
          <w:kern w:val="20"/>
          <w:lang w:eastAsia="ja-JP"/>
        </w:rPr>
      </w:pPr>
      <w:r w:rsidRPr="00CF3217">
        <w:rPr>
          <w:rFonts w:asciiTheme="majorHAnsi" w:hAnsiTheme="majorHAnsi" w:cs="Times New Roman"/>
          <w:b/>
          <w:bCs/>
          <w:color w:val="000000" w:themeColor="text1"/>
          <w:kern w:val="20"/>
          <w:lang w:eastAsia="ja-JP"/>
        </w:rPr>
        <w:t>292</w:t>
      </w:r>
      <w:r w:rsidR="003146B7" w:rsidRPr="00CF3217">
        <w:rPr>
          <w:rFonts w:asciiTheme="majorHAnsi" w:hAnsiTheme="majorHAnsi" w:cs="Times New Roman"/>
          <w:b/>
          <w:bCs/>
          <w:color w:val="000000" w:themeColor="text1"/>
          <w:kern w:val="20"/>
          <w:lang w:eastAsia="ja-JP"/>
        </w:rPr>
        <w:t xml:space="preserve"> </w:t>
      </w:r>
      <w:r w:rsidR="00CF4E49" w:rsidRPr="00CF3217">
        <w:rPr>
          <w:rFonts w:asciiTheme="majorHAnsi" w:hAnsiTheme="majorHAnsi" w:cs="Times New Roman"/>
          <w:b/>
          <w:bCs/>
          <w:color w:val="000000" w:themeColor="text1"/>
          <w:kern w:val="20"/>
          <w:lang w:eastAsia="ja-JP"/>
        </w:rPr>
        <w:t>sunt</w:t>
      </w:r>
      <w:r w:rsidR="003146B7" w:rsidRPr="00CF3217">
        <w:rPr>
          <w:rFonts w:asciiTheme="majorHAnsi" w:hAnsiTheme="majorHAnsi" w:cs="Times New Roman"/>
          <w:b/>
          <w:bCs/>
          <w:color w:val="000000" w:themeColor="text1"/>
          <w:kern w:val="20"/>
          <w:lang w:eastAsia="ja-JP"/>
        </w:rPr>
        <w:t xml:space="preserve"> societăți pe acțiuni</w:t>
      </w:r>
      <w:r w:rsidR="003146B7" w:rsidRPr="00CF3217">
        <w:rPr>
          <w:rFonts w:asciiTheme="majorHAnsi" w:hAnsiTheme="majorHAnsi" w:cs="Times New Roman"/>
          <w:color w:val="000000" w:themeColor="text1"/>
          <w:kern w:val="20"/>
          <w:lang w:eastAsia="ja-JP"/>
        </w:rPr>
        <w:t xml:space="preserve"> din care un număr de </w:t>
      </w:r>
      <w:r w:rsidR="00C271CB" w:rsidRPr="00CF3217">
        <w:rPr>
          <w:rFonts w:asciiTheme="majorHAnsi" w:hAnsiTheme="majorHAnsi" w:cs="Times New Roman"/>
          <w:b/>
          <w:bCs/>
          <w:color w:val="000000" w:themeColor="text1"/>
          <w:kern w:val="20"/>
          <w:lang w:eastAsia="ja-JP"/>
        </w:rPr>
        <w:t>2</w:t>
      </w:r>
      <w:r w:rsidRPr="00CF3217">
        <w:rPr>
          <w:rFonts w:asciiTheme="majorHAnsi" w:hAnsiTheme="majorHAnsi" w:cs="Times New Roman"/>
          <w:b/>
          <w:bCs/>
          <w:color w:val="000000" w:themeColor="text1"/>
          <w:kern w:val="20"/>
          <w:lang w:eastAsia="ja-JP"/>
        </w:rPr>
        <w:t>61</w:t>
      </w:r>
      <w:r w:rsidR="003146B7" w:rsidRPr="00CF3217">
        <w:rPr>
          <w:rFonts w:asciiTheme="majorHAnsi" w:hAnsiTheme="majorHAnsi" w:cs="Times New Roman"/>
          <w:color w:val="000000" w:themeColor="text1"/>
          <w:kern w:val="20"/>
          <w:lang w:eastAsia="ja-JP"/>
        </w:rPr>
        <w:t xml:space="preserve"> sunt deținute în mod </w:t>
      </w:r>
      <w:r w:rsidR="003146B7" w:rsidRPr="00CF3217">
        <w:rPr>
          <w:rFonts w:asciiTheme="majorHAnsi" w:hAnsiTheme="majorHAnsi" w:cs="Times New Roman"/>
          <w:b/>
          <w:bCs/>
          <w:color w:val="000000" w:themeColor="text1"/>
          <w:kern w:val="20"/>
          <w:lang w:eastAsia="ja-JP"/>
        </w:rPr>
        <w:t>integral</w:t>
      </w:r>
      <w:r w:rsidR="003146B7" w:rsidRPr="00CF3217">
        <w:rPr>
          <w:rFonts w:asciiTheme="majorHAnsi" w:hAnsiTheme="majorHAnsi" w:cs="Times New Roman"/>
          <w:color w:val="000000" w:themeColor="text1"/>
          <w:kern w:val="20"/>
          <w:lang w:eastAsia="ja-JP"/>
        </w:rPr>
        <w:t xml:space="preserve"> și un număr de </w:t>
      </w:r>
      <w:r w:rsidRPr="00CF3217">
        <w:rPr>
          <w:rFonts w:asciiTheme="majorHAnsi" w:hAnsiTheme="majorHAnsi" w:cs="Times New Roman"/>
          <w:color w:val="000000" w:themeColor="text1"/>
          <w:kern w:val="20"/>
          <w:lang w:eastAsia="ja-JP"/>
        </w:rPr>
        <w:t>31</w:t>
      </w:r>
      <w:r w:rsidR="003146B7" w:rsidRPr="00CF3217">
        <w:rPr>
          <w:rFonts w:asciiTheme="majorHAnsi" w:hAnsiTheme="majorHAnsi" w:cs="Times New Roman"/>
          <w:b/>
          <w:color w:val="000000" w:themeColor="text1"/>
          <w:kern w:val="20"/>
          <w:lang w:eastAsia="ja-JP"/>
        </w:rPr>
        <w:t xml:space="preserve"> </w:t>
      </w:r>
      <w:r w:rsidR="003146B7" w:rsidRPr="00CF3217">
        <w:rPr>
          <w:rFonts w:asciiTheme="majorHAnsi" w:hAnsiTheme="majorHAnsi" w:cs="Times New Roman"/>
          <w:color w:val="000000" w:themeColor="text1"/>
          <w:kern w:val="20"/>
          <w:lang w:eastAsia="ja-JP"/>
        </w:rPr>
        <w:t xml:space="preserve">în mod </w:t>
      </w:r>
      <w:r w:rsidR="003146B7" w:rsidRPr="00CF3217">
        <w:rPr>
          <w:rFonts w:asciiTheme="majorHAnsi" w:hAnsiTheme="majorHAnsi" w:cs="Times New Roman"/>
          <w:b/>
          <w:bCs/>
          <w:color w:val="000000" w:themeColor="text1"/>
          <w:kern w:val="20"/>
          <w:lang w:eastAsia="ja-JP"/>
        </w:rPr>
        <w:t>majoritar</w:t>
      </w:r>
      <w:r w:rsidR="003146B7" w:rsidRPr="00CF3217">
        <w:rPr>
          <w:rFonts w:asciiTheme="majorHAnsi" w:hAnsiTheme="majorHAnsi" w:cs="Times New Roman"/>
          <w:color w:val="000000" w:themeColor="text1"/>
          <w:kern w:val="20"/>
          <w:lang w:eastAsia="ja-JP"/>
        </w:rPr>
        <w:t xml:space="preserve"> de către autoritățile publice tutelare locale;</w:t>
      </w:r>
    </w:p>
    <w:p w14:paraId="2C63940A" w14:textId="77777777" w:rsidR="003146B7" w:rsidRPr="00CF3217" w:rsidRDefault="005E32C4" w:rsidP="00F26763">
      <w:pPr>
        <w:numPr>
          <w:ilvl w:val="0"/>
          <w:numId w:val="26"/>
        </w:numPr>
        <w:spacing w:before="40" w:after="160"/>
        <w:ind w:left="270" w:hanging="270"/>
        <w:contextualSpacing/>
        <w:jc w:val="both"/>
        <w:rPr>
          <w:rFonts w:asciiTheme="majorHAnsi" w:hAnsiTheme="majorHAnsi" w:cs="Times New Roman"/>
          <w:color w:val="000000" w:themeColor="text1"/>
          <w:kern w:val="20"/>
          <w:lang w:eastAsia="ja-JP"/>
        </w:rPr>
      </w:pPr>
      <w:r w:rsidRPr="00CF3217">
        <w:rPr>
          <w:rFonts w:asciiTheme="majorHAnsi" w:hAnsiTheme="majorHAnsi" w:cs="Times New Roman"/>
          <w:b/>
          <w:bCs/>
          <w:color w:val="000000" w:themeColor="text1"/>
          <w:kern w:val="20"/>
          <w:lang w:eastAsia="ja-JP"/>
        </w:rPr>
        <w:t>84</w:t>
      </w:r>
      <w:r w:rsidR="003146B7" w:rsidRPr="00CF3217">
        <w:rPr>
          <w:rFonts w:asciiTheme="majorHAnsi" w:hAnsiTheme="majorHAnsi" w:cs="Times New Roman"/>
          <w:b/>
          <w:bCs/>
          <w:color w:val="000000" w:themeColor="text1"/>
          <w:kern w:val="20"/>
          <w:lang w:eastAsia="ja-JP"/>
        </w:rPr>
        <w:t xml:space="preserve"> </w:t>
      </w:r>
      <w:r w:rsidR="00CF4E49" w:rsidRPr="00CF3217">
        <w:rPr>
          <w:rFonts w:asciiTheme="majorHAnsi" w:hAnsiTheme="majorHAnsi" w:cs="Times New Roman"/>
          <w:b/>
          <w:bCs/>
          <w:color w:val="000000" w:themeColor="text1"/>
          <w:kern w:val="20"/>
          <w:lang w:eastAsia="ja-JP"/>
        </w:rPr>
        <w:t xml:space="preserve">sunt </w:t>
      </w:r>
      <w:r w:rsidR="003146B7" w:rsidRPr="00CF3217">
        <w:rPr>
          <w:rFonts w:asciiTheme="majorHAnsi" w:hAnsiTheme="majorHAnsi" w:cs="Times New Roman"/>
          <w:b/>
          <w:bCs/>
          <w:color w:val="000000" w:themeColor="text1"/>
          <w:kern w:val="20"/>
          <w:lang w:eastAsia="ja-JP"/>
        </w:rPr>
        <w:t>regii autonome</w:t>
      </w:r>
      <w:r w:rsidR="003146B7" w:rsidRPr="00CF3217">
        <w:rPr>
          <w:rFonts w:asciiTheme="majorHAnsi" w:hAnsiTheme="majorHAnsi" w:cs="Times New Roman"/>
          <w:color w:val="000000" w:themeColor="text1"/>
          <w:kern w:val="20"/>
          <w:lang w:eastAsia="ja-JP"/>
        </w:rPr>
        <w:t xml:space="preserve"> deținute în mod </w:t>
      </w:r>
      <w:r w:rsidR="003146B7" w:rsidRPr="00CF3217">
        <w:rPr>
          <w:rFonts w:asciiTheme="majorHAnsi" w:hAnsiTheme="majorHAnsi" w:cs="Times New Roman"/>
          <w:b/>
          <w:bCs/>
          <w:color w:val="000000" w:themeColor="text1"/>
          <w:kern w:val="20"/>
          <w:lang w:eastAsia="ja-JP"/>
        </w:rPr>
        <w:t>integral</w:t>
      </w:r>
      <w:r w:rsidR="003146B7" w:rsidRPr="00CF3217">
        <w:rPr>
          <w:rFonts w:asciiTheme="majorHAnsi" w:hAnsiTheme="majorHAnsi" w:cs="Times New Roman"/>
          <w:color w:val="000000" w:themeColor="text1"/>
          <w:kern w:val="20"/>
          <w:lang w:eastAsia="ja-JP"/>
        </w:rPr>
        <w:t xml:space="preserve"> de autor</w:t>
      </w:r>
      <w:r w:rsidR="00A64725" w:rsidRPr="00CF3217">
        <w:rPr>
          <w:rFonts w:asciiTheme="majorHAnsi" w:hAnsiTheme="majorHAnsi" w:cs="Times New Roman"/>
          <w:color w:val="000000" w:themeColor="text1"/>
          <w:kern w:val="20"/>
          <w:lang w:eastAsia="ja-JP"/>
        </w:rPr>
        <w:t>itățile publice tutelare locale.</w:t>
      </w:r>
    </w:p>
    <w:p w14:paraId="03330307" w14:textId="77777777" w:rsidR="00147491" w:rsidRPr="00D95C57" w:rsidRDefault="00147491" w:rsidP="004B46E4">
      <w:pPr>
        <w:spacing w:before="40" w:after="160"/>
        <w:ind w:left="284"/>
        <w:contextualSpacing/>
        <w:jc w:val="both"/>
        <w:rPr>
          <w:rFonts w:asciiTheme="majorHAnsi" w:hAnsiTheme="majorHAnsi" w:cs="Times New Roman"/>
          <w:kern w:val="20"/>
          <w:lang w:eastAsia="ja-JP"/>
        </w:rPr>
      </w:pPr>
    </w:p>
    <w:p w14:paraId="5707CA48" w14:textId="77777777" w:rsidR="00CF4E49" w:rsidRPr="00D95C57" w:rsidRDefault="00CF4E49" w:rsidP="003146B7">
      <w:pPr>
        <w:spacing w:before="0" w:after="160" w:line="240" w:lineRule="auto"/>
        <w:jc w:val="both"/>
        <w:rPr>
          <w:rFonts w:asciiTheme="majorHAnsi" w:hAnsiTheme="majorHAnsi" w:cs="Times New Roman"/>
          <w:kern w:val="20"/>
          <w:lang w:eastAsia="ja-JP"/>
        </w:rPr>
      </w:pPr>
    </w:p>
    <w:p w14:paraId="60E80279" w14:textId="77777777" w:rsidR="0099246A" w:rsidRPr="00D95C57" w:rsidRDefault="0099246A" w:rsidP="003146B7">
      <w:pPr>
        <w:spacing w:before="0" w:after="160" w:line="240" w:lineRule="auto"/>
        <w:jc w:val="both"/>
        <w:rPr>
          <w:rFonts w:asciiTheme="majorHAnsi" w:hAnsiTheme="majorHAnsi" w:cs="Times New Roman"/>
          <w:kern w:val="20"/>
          <w:lang w:eastAsia="ja-JP"/>
        </w:rPr>
      </w:pPr>
    </w:p>
    <w:p w14:paraId="3FB3D664" w14:textId="77777777" w:rsidR="00CF4E49" w:rsidRPr="00D95C57" w:rsidRDefault="00CF4E49" w:rsidP="003146B7">
      <w:pPr>
        <w:spacing w:before="0" w:after="160" w:line="240" w:lineRule="auto"/>
        <w:jc w:val="both"/>
        <w:rPr>
          <w:rFonts w:asciiTheme="majorHAnsi" w:hAnsiTheme="majorHAnsi" w:cs="Times New Roman"/>
          <w:kern w:val="20"/>
          <w:lang w:eastAsia="ja-JP"/>
        </w:rPr>
      </w:pPr>
    </w:p>
    <w:p w14:paraId="71348C86" w14:textId="77777777" w:rsidR="00C65BFB" w:rsidRPr="00D95C57" w:rsidRDefault="00C65BFB" w:rsidP="003146B7">
      <w:pPr>
        <w:spacing w:before="0" w:after="160" w:line="240" w:lineRule="auto"/>
        <w:jc w:val="both"/>
        <w:rPr>
          <w:rFonts w:asciiTheme="majorHAnsi" w:hAnsiTheme="majorHAnsi" w:cs="Times New Roman"/>
          <w:kern w:val="20"/>
          <w:lang w:eastAsia="ja-JP"/>
        </w:rPr>
      </w:pPr>
    </w:p>
    <w:p w14:paraId="07FFD47D" w14:textId="77777777" w:rsidR="00483C8D" w:rsidRPr="00D95C57" w:rsidRDefault="00483C8D" w:rsidP="003146B7">
      <w:pPr>
        <w:spacing w:before="0" w:after="160" w:line="240" w:lineRule="auto"/>
        <w:jc w:val="both"/>
        <w:rPr>
          <w:rFonts w:asciiTheme="majorHAnsi" w:hAnsiTheme="majorHAnsi" w:cs="Times New Roman"/>
        </w:rPr>
      </w:pPr>
    </w:p>
    <w:p w14:paraId="7C8770C9" w14:textId="77777777" w:rsidR="00884C3F" w:rsidRPr="00D95C57" w:rsidRDefault="00884C3F" w:rsidP="003146B7">
      <w:pPr>
        <w:spacing w:before="0" w:after="160" w:line="240" w:lineRule="auto"/>
        <w:jc w:val="both"/>
        <w:rPr>
          <w:rFonts w:asciiTheme="majorHAnsi" w:hAnsiTheme="majorHAnsi" w:cs="Times New Roman"/>
        </w:rPr>
        <w:sectPr w:rsidR="00884C3F" w:rsidRPr="00D95C57" w:rsidSect="00147491">
          <w:type w:val="continuous"/>
          <w:pgSz w:w="11906" w:h="16838" w:code="9"/>
          <w:pgMar w:top="1418" w:right="1418" w:bottom="851" w:left="1418" w:header="284" w:footer="709" w:gutter="0"/>
          <w:cols w:space="2"/>
          <w:docGrid w:linePitch="360"/>
        </w:sectPr>
      </w:pPr>
    </w:p>
    <w:p w14:paraId="72FEC3C1" w14:textId="77777777" w:rsidR="003146B7" w:rsidRPr="00D95C57" w:rsidRDefault="003146B7" w:rsidP="003146B7">
      <w:pPr>
        <w:spacing w:before="0" w:after="160" w:line="240" w:lineRule="auto"/>
        <w:jc w:val="both"/>
        <w:rPr>
          <w:rFonts w:asciiTheme="majorHAnsi" w:hAnsiTheme="majorHAnsi" w:cs="Times New Roman"/>
        </w:rPr>
      </w:pPr>
    </w:p>
    <w:p w14:paraId="32A8C351" w14:textId="77777777" w:rsidR="00860356" w:rsidRPr="00D95C57" w:rsidRDefault="00860356">
      <w:pPr>
        <w:sectPr w:rsidR="00860356" w:rsidRPr="00D95C57" w:rsidSect="00147491">
          <w:type w:val="continuous"/>
          <w:pgSz w:w="11906" w:h="16838" w:code="9"/>
          <w:pgMar w:top="1418" w:right="1418" w:bottom="851" w:left="1418" w:header="284" w:footer="709" w:gutter="0"/>
          <w:cols w:space="708"/>
          <w:docGrid w:linePitch="360"/>
        </w:sectPr>
      </w:pPr>
    </w:p>
    <w:p w14:paraId="0F59CC2D" w14:textId="77777777" w:rsidR="00860356" w:rsidRPr="00206B12" w:rsidRDefault="00860356" w:rsidP="005628DC">
      <w:pPr>
        <w:rPr>
          <w:rFonts w:asciiTheme="majorHAnsi" w:hAnsiTheme="majorHAnsi"/>
          <w:color w:val="04617B" w:themeColor="text2"/>
          <w:sz w:val="32"/>
          <w:szCs w:val="32"/>
        </w:rPr>
      </w:pPr>
      <w:r w:rsidRPr="00206B12">
        <w:rPr>
          <w:color w:val="0F6FC6" w:themeColor="accent1"/>
          <w:sz w:val="28"/>
          <w:szCs w:val="28"/>
        </w:rPr>
        <w:t xml:space="preserve">Cifre cheie realizate de </w:t>
      </w:r>
      <w:r w:rsidR="00C81DC0" w:rsidRPr="00206B12">
        <w:rPr>
          <w:color w:val="0F6FC6" w:themeColor="accent1"/>
          <w:sz w:val="28"/>
          <w:szCs w:val="28"/>
        </w:rPr>
        <w:t>întreprinderile publice locale</w:t>
      </w:r>
      <w:r w:rsidRPr="00206B12">
        <w:rPr>
          <w:color w:val="0F6FC6" w:themeColor="accent1"/>
          <w:sz w:val="28"/>
          <w:szCs w:val="28"/>
        </w:rPr>
        <w:t xml:space="preserve"> în anul 20</w:t>
      </w:r>
      <w:r w:rsidR="005E32C4">
        <w:rPr>
          <w:color w:val="0F6FC6" w:themeColor="accent1"/>
          <w:sz w:val="28"/>
          <w:szCs w:val="28"/>
        </w:rPr>
        <w:t>20</w:t>
      </w:r>
      <w:r w:rsidR="00206B12" w:rsidRPr="00206B12">
        <w:rPr>
          <w:color w:val="0F6FC6" w:themeColor="accent1"/>
          <w:sz w:val="28"/>
          <w:szCs w:val="28"/>
        </w:rPr>
        <w:t>*</w:t>
      </w:r>
      <w:r w:rsidR="005C15A6" w:rsidRPr="00206B12">
        <w:rPr>
          <w:color w:val="FFFFFF" w:themeColor="background1"/>
          <w:sz w:val="28"/>
          <w:szCs w:val="28"/>
          <w:vertAlign w:val="superscript"/>
        </w:rPr>
        <w:footnoteReference w:id="9"/>
      </w:r>
    </w:p>
    <w:p w14:paraId="02FA9459" w14:textId="77777777" w:rsidR="002C0AC8" w:rsidRDefault="00C81DC0">
      <w:r w:rsidRPr="00D95C57">
        <w:rPr>
          <w:rFonts w:asciiTheme="majorHAnsi" w:hAnsiTheme="majorHAnsi" w:cstheme="majorBidi"/>
          <w:b/>
          <w:bCs/>
          <w:noProof/>
          <w:sz w:val="24"/>
          <w:szCs w:val="24"/>
          <w:lang w:val="en-US"/>
        </w:rPr>
        <w:drawing>
          <wp:inline distT="0" distB="0" distL="0" distR="0" wp14:anchorId="754E9B3C" wp14:editId="63A6346C">
            <wp:extent cx="5701086" cy="2687541"/>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219BE12" w14:textId="77777777" w:rsidR="00D352A7" w:rsidRDefault="005E32C4">
      <w:r w:rsidRPr="005E32C4">
        <w:t xml:space="preserve">TABEL – Principalii Indicatori economico-financiari înregistrați de </w:t>
      </w:r>
      <w:r w:rsidR="00915604">
        <w:t>întreprinderile publice locale</w:t>
      </w:r>
      <w:r w:rsidRPr="005E32C4">
        <w:t xml:space="preserve"> la 31.12.2020</w:t>
      </w:r>
    </w:p>
    <w:tbl>
      <w:tblPr>
        <w:tblW w:w="8906" w:type="dxa"/>
        <w:tblInd w:w="108" w:type="dxa"/>
        <w:tblLook w:val="04A0" w:firstRow="1" w:lastRow="0" w:firstColumn="1" w:lastColumn="0" w:noHBand="0" w:noVBand="1"/>
      </w:tblPr>
      <w:tblGrid>
        <w:gridCol w:w="2274"/>
        <w:gridCol w:w="1265"/>
        <w:gridCol w:w="2086"/>
        <w:gridCol w:w="1657"/>
        <w:gridCol w:w="1624"/>
      </w:tblGrid>
      <w:tr w:rsidR="00915604" w:rsidRPr="005E32C4" w14:paraId="13F7F762" w14:textId="77777777" w:rsidTr="00915604">
        <w:trPr>
          <w:trHeight w:val="342"/>
        </w:trPr>
        <w:tc>
          <w:tcPr>
            <w:tcW w:w="2274"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109DAB09" w14:textId="77777777" w:rsidR="005E32C4" w:rsidRPr="005E32C4" w:rsidRDefault="005E32C4" w:rsidP="005E32C4">
            <w:pPr>
              <w:spacing w:before="0" w:after="0" w:line="240" w:lineRule="auto"/>
              <w:rPr>
                <w:rFonts w:ascii="Calibri" w:eastAsia="Times New Roman" w:hAnsi="Calibri" w:cs="Calibri"/>
                <w:color w:val="0F6FC6" w:themeColor="accent1"/>
                <w:sz w:val="16"/>
                <w:szCs w:val="16"/>
                <w:lang w:val="en-US"/>
              </w:rPr>
            </w:pPr>
            <w:r w:rsidRPr="005E32C4">
              <w:rPr>
                <w:rFonts w:ascii="Calibri" w:eastAsia="Times New Roman" w:hAnsi="Calibri" w:cs="Calibri"/>
                <w:color w:val="0F6FC6" w:themeColor="accent1"/>
                <w:sz w:val="16"/>
                <w:szCs w:val="16"/>
                <w:lang w:val="en-US"/>
              </w:rPr>
              <w:t>Indicatori economico-financiari</w:t>
            </w:r>
          </w:p>
        </w:tc>
        <w:tc>
          <w:tcPr>
            <w:tcW w:w="1265" w:type="dxa"/>
            <w:vMerge w:val="restart"/>
            <w:tcBorders>
              <w:top w:val="single" w:sz="4" w:space="0" w:color="95B3D7"/>
              <w:left w:val="single" w:sz="4" w:space="0" w:color="FFFFFF"/>
              <w:bottom w:val="single" w:sz="4" w:space="0" w:color="95B3D7"/>
              <w:right w:val="single" w:sz="4" w:space="0" w:color="FFFFFF"/>
            </w:tcBorders>
            <w:shd w:val="clear" w:color="000000" w:fill="FFFFFF"/>
            <w:noWrap/>
            <w:hideMark/>
          </w:tcPr>
          <w:p w14:paraId="0BB7315E" w14:textId="77777777" w:rsidR="005E32C4" w:rsidRPr="005E32C4" w:rsidRDefault="005E32C4" w:rsidP="005E32C4">
            <w:pPr>
              <w:spacing w:before="0" w:after="0" w:line="240" w:lineRule="auto"/>
              <w:jc w:val="right"/>
              <w:rPr>
                <w:rFonts w:ascii="Calibri" w:eastAsia="Times New Roman" w:hAnsi="Calibri" w:cs="Calibri"/>
                <w:color w:val="0F6FC6" w:themeColor="accent1"/>
                <w:sz w:val="16"/>
                <w:szCs w:val="16"/>
                <w:lang w:val="en-US"/>
              </w:rPr>
            </w:pPr>
            <w:r w:rsidRPr="005E32C4">
              <w:rPr>
                <w:rFonts w:ascii="Calibri" w:eastAsia="Times New Roman" w:hAnsi="Calibri" w:cs="Calibri"/>
                <w:color w:val="0F6FC6" w:themeColor="accent1"/>
                <w:sz w:val="16"/>
                <w:szCs w:val="16"/>
                <w:lang w:val="en-US"/>
              </w:rPr>
              <w:t>U.M.</w:t>
            </w:r>
          </w:p>
        </w:tc>
        <w:tc>
          <w:tcPr>
            <w:tcW w:w="2086" w:type="dxa"/>
            <w:tcBorders>
              <w:top w:val="single" w:sz="4" w:space="0" w:color="95B3D7"/>
              <w:left w:val="nil"/>
              <w:bottom w:val="single" w:sz="4" w:space="0" w:color="95B3D7"/>
              <w:right w:val="single" w:sz="4" w:space="0" w:color="FFFFFF"/>
            </w:tcBorders>
            <w:shd w:val="clear" w:color="000000" w:fill="FFFFFF"/>
            <w:hideMark/>
          </w:tcPr>
          <w:p w14:paraId="0DEDA65D" w14:textId="77777777" w:rsidR="005E32C4" w:rsidRPr="005E32C4" w:rsidRDefault="005E32C4" w:rsidP="005E32C4">
            <w:pPr>
              <w:spacing w:before="0" w:after="0" w:line="240" w:lineRule="auto"/>
              <w:jc w:val="right"/>
              <w:rPr>
                <w:rFonts w:ascii="Calibri" w:eastAsia="Times New Roman" w:hAnsi="Calibri" w:cs="Calibri"/>
                <w:color w:val="0F6FC6" w:themeColor="accent1"/>
                <w:sz w:val="16"/>
                <w:szCs w:val="16"/>
                <w:lang w:val="en-US"/>
              </w:rPr>
            </w:pPr>
            <w:r w:rsidRPr="005E32C4">
              <w:rPr>
                <w:rFonts w:ascii="Calibri" w:eastAsia="Times New Roman" w:hAnsi="Calibri" w:cs="Calibri"/>
                <w:color w:val="0F6FC6" w:themeColor="accent1"/>
                <w:sz w:val="16"/>
                <w:szCs w:val="16"/>
                <w:lang w:val="en-US"/>
              </w:rPr>
              <w:t>Total general ÎPL Active</w:t>
            </w:r>
          </w:p>
        </w:tc>
        <w:tc>
          <w:tcPr>
            <w:tcW w:w="1657" w:type="dxa"/>
            <w:tcBorders>
              <w:top w:val="single" w:sz="4" w:space="0" w:color="95B3D7"/>
              <w:left w:val="nil"/>
              <w:bottom w:val="single" w:sz="4" w:space="0" w:color="95B3D7"/>
              <w:right w:val="single" w:sz="4" w:space="0" w:color="FFFFFF"/>
            </w:tcBorders>
            <w:shd w:val="clear" w:color="000000" w:fill="FFFFFF"/>
            <w:hideMark/>
          </w:tcPr>
          <w:p w14:paraId="7113EEA3" w14:textId="77777777" w:rsidR="005E32C4" w:rsidRPr="005E32C4" w:rsidRDefault="005E32C4" w:rsidP="005E32C4">
            <w:pPr>
              <w:spacing w:before="0" w:after="0" w:line="240" w:lineRule="auto"/>
              <w:jc w:val="right"/>
              <w:rPr>
                <w:rFonts w:ascii="Calibri" w:eastAsia="Times New Roman" w:hAnsi="Calibri" w:cs="Calibri"/>
                <w:color w:val="0F6FC6" w:themeColor="accent1"/>
                <w:sz w:val="16"/>
                <w:szCs w:val="16"/>
                <w:lang w:val="en-US"/>
              </w:rPr>
            </w:pPr>
            <w:r w:rsidRPr="005E32C4">
              <w:rPr>
                <w:rFonts w:ascii="Calibri" w:eastAsia="Times New Roman" w:hAnsi="Calibri" w:cs="Calibri"/>
                <w:color w:val="0F6FC6" w:themeColor="accent1"/>
                <w:sz w:val="16"/>
                <w:szCs w:val="16"/>
                <w:lang w:val="en-US"/>
              </w:rPr>
              <w:t>Total general ÎPL Inactive</w:t>
            </w:r>
          </w:p>
        </w:tc>
        <w:tc>
          <w:tcPr>
            <w:tcW w:w="1624" w:type="dxa"/>
            <w:tcBorders>
              <w:top w:val="single" w:sz="4" w:space="0" w:color="95B3D7"/>
              <w:left w:val="nil"/>
              <w:bottom w:val="single" w:sz="4" w:space="0" w:color="95B3D7"/>
              <w:right w:val="single" w:sz="4" w:space="0" w:color="FFFFFF"/>
            </w:tcBorders>
            <w:shd w:val="clear" w:color="000000" w:fill="FFFFFF"/>
            <w:hideMark/>
          </w:tcPr>
          <w:p w14:paraId="24B6CD8A" w14:textId="77777777" w:rsidR="005E32C4" w:rsidRPr="005E32C4" w:rsidRDefault="005E32C4" w:rsidP="005E32C4">
            <w:pPr>
              <w:spacing w:before="0" w:after="0" w:line="240" w:lineRule="auto"/>
              <w:jc w:val="right"/>
              <w:rPr>
                <w:rFonts w:ascii="Calibri" w:eastAsia="Times New Roman" w:hAnsi="Calibri" w:cs="Calibri"/>
                <w:color w:val="0F6FC6" w:themeColor="accent1"/>
                <w:sz w:val="16"/>
                <w:szCs w:val="16"/>
                <w:lang w:val="en-US"/>
              </w:rPr>
            </w:pPr>
            <w:r w:rsidRPr="005E32C4">
              <w:rPr>
                <w:rFonts w:ascii="Calibri" w:eastAsia="Times New Roman" w:hAnsi="Calibri" w:cs="Calibri"/>
                <w:color w:val="0F6FC6" w:themeColor="accent1"/>
                <w:sz w:val="16"/>
                <w:szCs w:val="16"/>
                <w:lang w:val="en-US"/>
              </w:rPr>
              <w:t>Total general</w:t>
            </w:r>
          </w:p>
        </w:tc>
      </w:tr>
      <w:tr w:rsidR="00915604" w:rsidRPr="005E32C4" w14:paraId="02D25CCC" w14:textId="77777777" w:rsidTr="00915604">
        <w:trPr>
          <w:trHeight w:val="228"/>
        </w:trPr>
        <w:tc>
          <w:tcPr>
            <w:tcW w:w="2274" w:type="dxa"/>
            <w:vMerge/>
            <w:tcBorders>
              <w:top w:val="single" w:sz="4" w:space="0" w:color="95B3D7"/>
              <w:left w:val="single" w:sz="4" w:space="0" w:color="FFFFFF"/>
              <w:bottom w:val="single" w:sz="4" w:space="0" w:color="95B3D7"/>
              <w:right w:val="single" w:sz="4" w:space="0" w:color="FFFFFF"/>
            </w:tcBorders>
            <w:vAlign w:val="center"/>
            <w:hideMark/>
          </w:tcPr>
          <w:p w14:paraId="2ADA32AF" w14:textId="77777777" w:rsidR="005E32C4" w:rsidRPr="005E32C4" w:rsidRDefault="005E32C4" w:rsidP="005E32C4">
            <w:pPr>
              <w:spacing w:before="0" w:after="0" w:line="240" w:lineRule="auto"/>
              <w:rPr>
                <w:rFonts w:ascii="Calibri" w:eastAsia="Times New Roman" w:hAnsi="Calibri" w:cs="Calibri"/>
                <w:color w:val="0F6FC6" w:themeColor="accent1"/>
                <w:sz w:val="16"/>
                <w:szCs w:val="16"/>
                <w:lang w:val="en-US"/>
              </w:rPr>
            </w:pPr>
          </w:p>
        </w:tc>
        <w:tc>
          <w:tcPr>
            <w:tcW w:w="1265" w:type="dxa"/>
            <w:vMerge/>
            <w:tcBorders>
              <w:top w:val="single" w:sz="4" w:space="0" w:color="95B3D7"/>
              <w:left w:val="single" w:sz="4" w:space="0" w:color="FFFFFF"/>
              <w:bottom w:val="single" w:sz="4" w:space="0" w:color="95B3D7"/>
              <w:right w:val="single" w:sz="4" w:space="0" w:color="FFFFFF"/>
            </w:tcBorders>
            <w:vAlign w:val="center"/>
            <w:hideMark/>
          </w:tcPr>
          <w:p w14:paraId="0FD73360" w14:textId="77777777" w:rsidR="005E32C4" w:rsidRPr="005E32C4" w:rsidRDefault="005E32C4" w:rsidP="005E32C4">
            <w:pPr>
              <w:spacing w:before="0" w:after="0" w:line="240" w:lineRule="auto"/>
              <w:rPr>
                <w:rFonts w:ascii="Calibri" w:eastAsia="Times New Roman" w:hAnsi="Calibri" w:cs="Calibri"/>
                <w:color w:val="0F6FC6" w:themeColor="accent1"/>
                <w:sz w:val="16"/>
                <w:szCs w:val="16"/>
                <w:lang w:val="en-US"/>
              </w:rPr>
            </w:pPr>
          </w:p>
        </w:tc>
        <w:tc>
          <w:tcPr>
            <w:tcW w:w="2086" w:type="dxa"/>
            <w:tcBorders>
              <w:top w:val="nil"/>
              <w:left w:val="nil"/>
              <w:bottom w:val="single" w:sz="4" w:space="0" w:color="95B3D7"/>
              <w:right w:val="single" w:sz="4" w:space="0" w:color="FFFFFF"/>
            </w:tcBorders>
            <w:shd w:val="clear" w:color="000000" w:fill="FFFFFF"/>
            <w:hideMark/>
          </w:tcPr>
          <w:p w14:paraId="4DDAAE82" w14:textId="77777777" w:rsidR="005E32C4" w:rsidRPr="005E32C4" w:rsidRDefault="005E32C4" w:rsidP="005E32C4">
            <w:pPr>
              <w:spacing w:before="0" w:after="0" w:line="240" w:lineRule="auto"/>
              <w:jc w:val="right"/>
              <w:rPr>
                <w:rFonts w:ascii="Calibri" w:eastAsia="Times New Roman" w:hAnsi="Calibri" w:cs="Calibri"/>
                <w:i/>
                <w:color w:val="0F6FC6" w:themeColor="accent1"/>
                <w:sz w:val="14"/>
                <w:szCs w:val="14"/>
                <w:lang w:val="en-US"/>
              </w:rPr>
            </w:pPr>
            <w:r w:rsidRPr="005E32C4">
              <w:rPr>
                <w:rFonts w:ascii="Calibri" w:eastAsia="Times New Roman" w:hAnsi="Calibri" w:cs="Calibri"/>
                <w:i/>
                <w:color w:val="0F6FC6" w:themeColor="accent1"/>
                <w:sz w:val="14"/>
                <w:szCs w:val="14"/>
                <w:lang w:val="en-US"/>
              </w:rPr>
              <w:t>1</w:t>
            </w:r>
          </w:p>
        </w:tc>
        <w:tc>
          <w:tcPr>
            <w:tcW w:w="1657" w:type="dxa"/>
            <w:tcBorders>
              <w:top w:val="nil"/>
              <w:left w:val="nil"/>
              <w:bottom w:val="single" w:sz="4" w:space="0" w:color="95B3D7"/>
              <w:right w:val="single" w:sz="4" w:space="0" w:color="FFFFFF"/>
            </w:tcBorders>
            <w:shd w:val="clear" w:color="000000" w:fill="FFFFFF"/>
            <w:hideMark/>
          </w:tcPr>
          <w:p w14:paraId="596599C0" w14:textId="77777777" w:rsidR="005E32C4" w:rsidRPr="005E32C4" w:rsidRDefault="005E32C4" w:rsidP="005E32C4">
            <w:pPr>
              <w:spacing w:before="0" w:after="0" w:line="240" w:lineRule="auto"/>
              <w:jc w:val="right"/>
              <w:rPr>
                <w:rFonts w:ascii="Calibri" w:eastAsia="Times New Roman" w:hAnsi="Calibri" w:cs="Calibri"/>
                <w:i/>
                <w:color w:val="0F6FC6" w:themeColor="accent1"/>
                <w:sz w:val="14"/>
                <w:szCs w:val="14"/>
                <w:lang w:val="en-US"/>
              </w:rPr>
            </w:pPr>
            <w:r w:rsidRPr="005E32C4">
              <w:rPr>
                <w:rFonts w:ascii="Calibri" w:eastAsia="Times New Roman" w:hAnsi="Calibri" w:cs="Calibri"/>
                <w:i/>
                <w:color w:val="0F6FC6" w:themeColor="accent1"/>
                <w:sz w:val="14"/>
                <w:szCs w:val="14"/>
                <w:lang w:val="en-US"/>
              </w:rPr>
              <w:t>2</w:t>
            </w:r>
          </w:p>
        </w:tc>
        <w:tc>
          <w:tcPr>
            <w:tcW w:w="1624" w:type="dxa"/>
            <w:tcBorders>
              <w:top w:val="nil"/>
              <w:left w:val="nil"/>
              <w:bottom w:val="single" w:sz="4" w:space="0" w:color="95B3D7"/>
              <w:right w:val="single" w:sz="4" w:space="0" w:color="FFFFFF"/>
            </w:tcBorders>
            <w:shd w:val="clear" w:color="000000" w:fill="FFFFFF"/>
            <w:hideMark/>
          </w:tcPr>
          <w:p w14:paraId="29C84380" w14:textId="77777777" w:rsidR="005E32C4" w:rsidRPr="005E32C4" w:rsidRDefault="005E32C4" w:rsidP="005E32C4">
            <w:pPr>
              <w:spacing w:before="0" w:after="0" w:line="240" w:lineRule="auto"/>
              <w:jc w:val="right"/>
              <w:rPr>
                <w:rFonts w:ascii="Calibri" w:eastAsia="Times New Roman" w:hAnsi="Calibri" w:cs="Calibri"/>
                <w:i/>
                <w:color w:val="0F6FC6" w:themeColor="accent1"/>
                <w:sz w:val="14"/>
                <w:szCs w:val="14"/>
                <w:lang w:val="en-US"/>
              </w:rPr>
            </w:pPr>
            <w:r w:rsidRPr="005E32C4">
              <w:rPr>
                <w:rFonts w:ascii="Calibri" w:eastAsia="Times New Roman" w:hAnsi="Calibri" w:cs="Calibri"/>
                <w:i/>
                <w:color w:val="0F6FC6" w:themeColor="accent1"/>
                <w:sz w:val="14"/>
                <w:szCs w:val="14"/>
                <w:lang w:val="en-US"/>
              </w:rPr>
              <w:t>3=1+2</w:t>
            </w:r>
          </w:p>
        </w:tc>
      </w:tr>
      <w:tr w:rsidR="00915604" w:rsidRPr="005E32C4" w14:paraId="57CAB0D0" w14:textId="77777777" w:rsidTr="00915604">
        <w:trPr>
          <w:trHeight w:val="228"/>
        </w:trPr>
        <w:tc>
          <w:tcPr>
            <w:tcW w:w="2274" w:type="dxa"/>
            <w:tcBorders>
              <w:top w:val="nil"/>
              <w:left w:val="single" w:sz="4" w:space="0" w:color="DCE6F1"/>
              <w:bottom w:val="single" w:sz="4" w:space="0" w:color="95B3D7"/>
              <w:right w:val="single" w:sz="4" w:space="0" w:color="DCE6F1"/>
            </w:tcBorders>
            <w:shd w:val="clear" w:color="auto" w:fill="FFFFFF" w:themeFill="background1"/>
            <w:vAlign w:val="center"/>
            <w:hideMark/>
          </w:tcPr>
          <w:p w14:paraId="5B3EA2AC"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Număr întreprinderi publice</w:t>
            </w:r>
          </w:p>
        </w:tc>
        <w:tc>
          <w:tcPr>
            <w:tcW w:w="1265" w:type="dxa"/>
            <w:tcBorders>
              <w:top w:val="nil"/>
              <w:left w:val="nil"/>
              <w:bottom w:val="single" w:sz="4" w:space="0" w:color="95B3D7"/>
              <w:right w:val="single" w:sz="4" w:space="0" w:color="DCE6F1"/>
            </w:tcBorders>
            <w:shd w:val="clear" w:color="auto" w:fill="FFFFFF" w:themeFill="background1"/>
            <w:vAlign w:val="center"/>
            <w:hideMark/>
          </w:tcPr>
          <w:p w14:paraId="0CF392E8" w14:textId="77777777" w:rsidR="005E32C4" w:rsidRPr="005E32C4" w:rsidRDefault="005E32C4" w:rsidP="005E32C4">
            <w:pPr>
              <w:spacing w:before="0" w:after="0" w:line="240" w:lineRule="auto"/>
              <w:jc w:val="right"/>
              <w:rPr>
                <w:rFonts w:eastAsia="Times New Roman" w:cstheme="minorHAnsi"/>
                <w:b/>
                <w:bCs/>
                <w:sz w:val="16"/>
                <w:szCs w:val="16"/>
                <w:lang w:val="en-US"/>
              </w:rPr>
            </w:pPr>
            <w:r w:rsidRPr="005E32C4">
              <w:rPr>
                <w:rFonts w:eastAsia="Times New Roman" w:cstheme="minorHAnsi"/>
                <w:b/>
                <w:bCs/>
                <w:sz w:val="16"/>
                <w:szCs w:val="16"/>
                <w:lang w:val="en-US"/>
              </w:rPr>
              <w:t>nr ÎPL</w:t>
            </w:r>
          </w:p>
        </w:tc>
        <w:tc>
          <w:tcPr>
            <w:tcW w:w="2086" w:type="dxa"/>
            <w:tcBorders>
              <w:top w:val="nil"/>
              <w:left w:val="nil"/>
              <w:bottom w:val="single" w:sz="4" w:space="0" w:color="95B3D7"/>
              <w:right w:val="single" w:sz="4" w:space="0" w:color="DCE6F1"/>
            </w:tcBorders>
            <w:shd w:val="clear" w:color="auto" w:fill="FFFFFF" w:themeFill="background1"/>
            <w:noWrap/>
            <w:vAlign w:val="center"/>
            <w:hideMark/>
          </w:tcPr>
          <w:p w14:paraId="77578068" w14:textId="77777777" w:rsidR="005E32C4" w:rsidRPr="005E32C4" w:rsidRDefault="005E32C4" w:rsidP="005E32C4">
            <w:pPr>
              <w:spacing w:before="0" w:after="0" w:line="240" w:lineRule="auto"/>
              <w:jc w:val="right"/>
              <w:rPr>
                <w:rFonts w:eastAsia="Times New Roman" w:cstheme="minorHAnsi"/>
                <w:b/>
                <w:bCs/>
                <w:sz w:val="16"/>
                <w:szCs w:val="16"/>
                <w:lang w:val="en-US"/>
              </w:rPr>
            </w:pPr>
            <w:r w:rsidRPr="005E32C4">
              <w:rPr>
                <w:rFonts w:eastAsia="Times New Roman" w:cstheme="minorHAnsi"/>
                <w:b/>
                <w:bCs/>
                <w:sz w:val="16"/>
                <w:szCs w:val="16"/>
                <w:lang w:val="en-US"/>
              </w:rPr>
              <w:t>1.238</w:t>
            </w:r>
          </w:p>
        </w:tc>
        <w:tc>
          <w:tcPr>
            <w:tcW w:w="1657" w:type="dxa"/>
            <w:tcBorders>
              <w:top w:val="nil"/>
              <w:left w:val="nil"/>
              <w:bottom w:val="single" w:sz="4" w:space="0" w:color="95B3D7"/>
              <w:right w:val="single" w:sz="4" w:space="0" w:color="DCE6F1"/>
            </w:tcBorders>
            <w:shd w:val="clear" w:color="auto" w:fill="FFFFFF" w:themeFill="background1"/>
            <w:noWrap/>
            <w:vAlign w:val="center"/>
            <w:hideMark/>
          </w:tcPr>
          <w:p w14:paraId="72E60379" w14:textId="77777777" w:rsidR="005E32C4" w:rsidRPr="005E32C4" w:rsidRDefault="005E32C4" w:rsidP="005E32C4">
            <w:pPr>
              <w:spacing w:before="0" w:after="0" w:line="240" w:lineRule="auto"/>
              <w:jc w:val="right"/>
              <w:rPr>
                <w:rFonts w:eastAsia="Times New Roman" w:cstheme="minorHAnsi"/>
                <w:b/>
                <w:bCs/>
                <w:sz w:val="16"/>
                <w:szCs w:val="16"/>
                <w:lang w:val="en-US"/>
              </w:rPr>
            </w:pPr>
            <w:r w:rsidRPr="005E32C4">
              <w:rPr>
                <w:rFonts w:eastAsia="Times New Roman" w:cstheme="minorHAnsi"/>
                <w:b/>
                <w:bCs/>
                <w:sz w:val="16"/>
                <w:szCs w:val="16"/>
                <w:lang w:val="en-US"/>
              </w:rPr>
              <w:t>31</w:t>
            </w:r>
          </w:p>
        </w:tc>
        <w:tc>
          <w:tcPr>
            <w:tcW w:w="1624" w:type="dxa"/>
            <w:tcBorders>
              <w:top w:val="nil"/>
              <w:left w:val="nil"/>
              <w:bottom w:val="single" w:sz="4" w:space="0" w:color="95B3D7"/>
              <w:right w:val="single" w:sz="4" w:space="0" w:color="DCE6F1"/>
            </w:tcBorders>
            <w:shd w:val="clear" w:color="auto" w:fill="FFFFFF" w:themeFill="background1"/>
            <w:noWrap/>
            <w:vAlign w:val="center"/>
            <w:hideMark/>
          </w:tcPr>
          <w:p w14:paraId="7D203629" w14:textId="77777777" w:rsidR="005E32C4" w:rsidRPr="005E32C4" w:rsidRDefault="005E32C4" w:rsidP="005E32C4">
            <w:pPr>
              <w:spacing w:before="0" w:after="0" w:line="240" w:lineRule="auto"/>
              <w:jc w:val="right"/>
              <w:rPr>
                <w:rFonts w:eastAsia="Times New Roman" w:cstheme="minorHAnsi"/>
                <w:b/>
                <w:bCs/>
                <w:sz w:val="16"/>
                <w:szCs w:val="16"/>
                <w:lang w:val="en-US"/>
              </w:rPr>
            </w:pPr>
            <w:r w:rsidRPr="005E32C4">
              <w:rPr>
                <w:rFonts w:eastAsia="Times New Roman" w:cstheme="minorHAnsi"/>
                <w:b/>
                <w:bCs/>
                <w:sz w:val="16"/>
                <w:szCs w:val="16"/>
                <w:lang w:val="en-US"/>
              </w:rPr>
              <w:t>1.269</w:t>
            </w:r>
          </w:p>
        </w:tc>
      </w:tr>
      <w:tr w:rsidR="00915604" w:rsidRPr="005E32C4" w14:paraId="3DC082E8"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15EE0763"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Cifra de afaceri netă</w:t>
            </w:r>
          </w:p>
        </w:tc>
        <w:tc>
          <w:tcPr>
            <w:tcW w:w="1265" w:type="dxa"/>
            <w:tcBorders>
              <w:top w:val="nil"/>
              <w:left w:val="nil"/>
              <w:bottom w:val="single" w:sz="8" w:space="0" w:color="FFFFFF"/>
              <w:right w:val="single" w:sz="4" w:space="0" w:color="FFFFFF"/>
            </w:tcBorders>
            <w:shd w:val="clear" w:color="000000" w:fill="FFFFFF"/>
            <w:vAlign w:val="center"/>
            <w:hideMark/>
          </w:tcPr>
          <w:p w14:paraId="679E230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nil"/>
              <w:left w:val="nil"/>
              <w:bottom w:val="single" w:sz="8" w:space="0" w:color="FFFFFF"/>
              <w:right w:val="single" w:sz="4" w:space="0" w:color="FFFFFF"/>
            </w:tcBorders>
            <w:shd w:val="clear" w:color="auto" w:fill="auto"/>
            <w:noWrap/>
            <w:vAlign w:val="center"/>
            <w:hideMark/>
          </w:tcPr>
          <w:p w14:paraId="38B38B81"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12.207.501</w:t>
            </w:r>
          </w:p>
        </w:tc>
        <w:tc>
          <w:tcPr>
            <w:tcW w:w="1657" w:type="dxa"/>
            <w:tcBorders>
              <w:top w:val="nil"/>
              <w:left w:val="nil"/>
              <w:bottom w:val="single" w:sz="8" w:space="0" w:color="FFFFFF"/>
              <w:right w:val="single" w:sz="4" w:space="0" w:color="FFFFFF"/>
            </w:tcBorders>
            <w:shd w:val="clear" w:color="auto" w:fill="auto"/>
            <w:noWrap/>
            <w:vAlign w:val="center"/>
            <w:hideMark/>
          </w:tcPr>
          <w:p w14:paraId="5AFBAF46"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799.740</w:t>
            </w:r>
          </w:p>
        </w:tc>
        <w:tc>
          <w:tcPr>
            <w:tcW w:w="1624" w:type="dxa"/>
            <w:tcBorders>
              <w:top w:val="nil"/>
              <w:left w:val="nil"/>
              <w:bottom w:val="single" w:sz="8" w:space="0" w:color="FFFFFF"/>
              <w:right w:val="single" w:sz="4" w:space="0" w:color="FFFFFF"/>
            </w:tcBorders>
            <w:shd w:val="clear" w:color="auto" w:fill="auto"/>
            <w:noWrap/>
            <w:vAlign w:val="center"/>
            <w:hideMark/>
          </w:tcPr>
          <w:p w14:paraId="0480015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13.007.240</w:t>
            </w:r>
          </w:p>
        </w:tc>
      </w:tr>
      <w:tr w:rsidR="00915604" w:rsidRPr="005E32C4" w14:paraId="3015BC62"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1D6AD460"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Rezultat din exploatare (EBIT)</w:t>
            </w:r>
          </w:p>
        </w:tc>
        <w:tc>
          <w:tcPr>
            <w:tcW w:w="1265" w:type="dxa"/>
            <w:tcBorders>
              <w:top w:val="nil"/>
              <w:left w:val="nil"/>
              <w:bottom w:val="single" w:sz="8" w:space="0" w:color="FFFFFF"/>
              <w:right w:val="single" w:sz="4" w:space="0" w:color="FFFFFF"/>
            </w:tcBorders>
            <w:shd w:val="clear" w:color="000000" w:fill="FFFFFF"/>
            <w:vAlign w:val="center"/>
            <w:hideMark/>
          </w:tcPr>
          <w:p w14:paraId="26623567"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20A771AF"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156.659</w:t>
            </w:r>
          </w:p>
        </w:tc>
        <w:tc>
          <w:tcPr>
            <w:tcW w:w="1657" w:type="dxa"/>
            <w:tcBorders>
              <w:top w:val="nil"/>
              <w:left w:val="nil"/>
              <w:bottom w:val="single" w:sz="8" w:space="0" w:color="FFFFFF"/>
              <w:right w:val="single" w:sz="4" w:space="0" w:color="FFFFFF"/>
            </w:tcBorders>
            <w:shd w:val="clear" w:color="auto" w:fill="auto"/>
            <w:noWrap/>
            <w:vAlign w:val="center"/>
            <w:hideMark/>
          </w:tcPr>
          <w:p w14:paraId="52C10211"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-252.104</w:t>
            </w:r>
          </w:p>
        </w:tc>
        <w:tc>
          <w:tcPr>
            <w:tcW w:w="1624" w:type="dxa"/>
            <w:tcBorders>
              <w:top w:val="nil"/>
              <w:left w:val="nil"/>
              <w:bottom w:val="single" w:sz="8" w:space="0" w:color="FFFFFF"/>
              <w:right w:val="single" w:sz="4" w:space="0" w:color="FFFFFF"/>
            </w:tcBorders>
            <w:shd w:val="clear" w:color="auto" w:fill="auto"/>
            <w:noWrap/>
            <w:vAlign w:val="center"/>
            <w:hideMark/>
          </w:tcPr>
          <w:p w14:paraId="5179288E"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-95.444</w:t>
            </w:r>
          </w:p>
        </w:tc>
      </w:tr>
      <w:tr w:rsidR="00915604" w:rsidRPr="005E32C4" w14:paraId="7CBC0AF7"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4CE8CB8D"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Amortizare</w:t>
            </w:r>
          </w:p>
        </w:tc>
        <w:tc>
          <w:tcPr>
            <w:tcW w:w="1265" w:type="dxa"/>
            <w:tcBorders>
              <w:top w:val="nil"/>
              <w:left w:val="nil"/>
              <w:bottom w:val="single" w:sz="8" w:space="0" w:color="FFFFFF"/>
              <w:right w:val="single" w:sz="4" w:space="0" w:color="FFFFFF"/>
            </w:tcBorders>
            <w:shd w:val="clear" w:color="000000" w:fill="FFFFFF"/>
            <w:vAlign w:val="center"/>
            <w:hideMark/>
          </w:tcPr>
          <w:p w14:paraId="19D5B2CC"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3638F608"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624.579</w:t>
            </w:r>
          </w:p>
        </w:tc>
        <w:tc>
          <w:tcPr>
            <w:tcW w:w="1657" w:type="dxa"/>
            <w:tcBorders>
              <w:top w:val="nil"/>
              <w:left w:val="nil"/>
              <w:bottom w:val="single" w:sz="8" w:space="0" w:color="FFFFFF"/>
              <w:right w:val="single" w:sz="4" w:space="0" w:color="FFFFFF"/>
            </w:tcBorders>
            <w:shd w:val="clear" w:color="auto" w:fill="auto"/>
            <w:noWrap/>
            <w:vAlign w:val="center"/>
            <w:hideMark/>
          </w:tcPr>
          <w:p w14:paraId="4243540B"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55.455</w:t>
            </w:r>
          </w:p>
        </w:tc>
        <w:tc>
          <w:tcPr>
            <w:tcW w:w="1624" w:type="dxa"/>
            <w:tcBorders>
              <w:top w:val="nil"/>
              <w:left w:val="nil"/>
              <w:bottom w:val="single" w:sz="8" w:space="0" w:color="FFFFFF"/>
              <w:right w:val="single" w:sz="4" w:space="0" w:color="FFFFFF"/>
            </w:tcBorders>
            <w:shd w:val="clear" w:color="auto" w:fill="auto"/>
            <w:noWrap/>
            <w:vAlign w:val="center"/>
            <w:hideMark/>
          </w:tcPr>
          <w:p w14:paraId="2BFBFA3F"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680.033</w:t>
            </w:r>
          </w:p>
        </w:tc>
      </w:tr>
      <w:tr w:rsidR="00915604" w:rsidRPr="005E32C4" w14:paraId="6A95E92C"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54FD9BE4"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EBITDA</w:t>
            </w:r>
          </w:p>
        </w:tc>
        <w:tc>
          <w:tcPr>
            <w:tcW w:w="1265" w:type="dxa"/>
            <w:tcBorders>
              <w:top w:val="nil"/>
              <w:left w:val="nil"/>
              <w:bottom w:val="single" w:sz="8" w:space="0" w:color="FFFFFF"/>
              <w:right w:val="single" w:sz="4" w:space="0" w:color="FFFFFF"/>
            </w:tcBorders>
            <w:shd w:val="clear" w:color="000000" w:fill="FFFFFF"/>
            <w:vAlign w:val="center"/>
            <w:hideMark/>
          </w:tcPr>
          <w:p w14:paraId="205264E7"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13F5BB0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781.238</w:t>
            </w:r>
          </w:p>
        </w:tc>
        <w:tc>
          <w:tcPr>
            <w:tcW w:w="1657" w:type="dxa"/>
            <w:tcBorders>
              <w:top w:val="nil"/>
              <w:left w:val="nil"/>
              <w:bottom w:val="single" w:sz="8" w:space="0" w:color="FFFFFF"/>
              <w:right w:val="single" w:sz="4" w:space="0" w:color="FFFFFF"/>
            </w:tcBorders>
            <w:shd w:val="clear" w:color="auto" w:fill="auto"/>
            <w:noWrap/>
            <w:vAlign w:val="center"/>
            <w:hideMark/>
          </w:tcPr>
          <w:p w14:paraId="55159FF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-196.649</w:t>
            </w:r>
          </w:p>
        </w:tc>
        <w:tc>
          <w:tcPr>
            <w:tcW w:w="1624" w:type="dxa"/>
            <w:tcBorders>
              <w:top w:val="nil"/>
              <w:left w:val="nil"/>
              <w:bottom w:val="single" w:sz="8" w:space="0" w:color="FFFFFF"/>
              <w:right w:val="single" w:sz="4" w:space="0" w:color="FFFFFF"/>
            </w:tcBorders>
            <w:shd w:val="clear" w:color="auto" w:fill="auto"/>
            <w:noWrap/>
            <w:vAlign w:val="center"/>
            <w:hideMark/>
          </w:tcPr>
          <w:p w14:paraId="39A78494"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584.589</w:t>
            </w:r>
          </w:p>
        </w:tc>
      </w:tr>
      <w:tr w:rsidR="00915604" w:rsidRPr="005E32C4" w14:paraId="667CE462"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141F1ACC"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Venituri totale</w:t>
            </w:r>
          </w:p>
        </w:tc>
        <w:tc>
          <w:tcPr>
            <w:tcW w:w="1265" w:type="dxa"/>
            <w:tcBorders>
              <w:top w:val="nil"/>
              <w:left w:val="nil"/>
              <w:bottom w:val="single" w:sz="8" w:space="0" w:color="FFFFFF"/>
              <w:right w:val="single" w:sz="4" w:space="0" w:color="FFFFFF"/>
            </w:tcBorders>
            <w:shd w:val="clear" w:color="000000" w:fill="FFFFFF"/>
            <w:vAlign w:val="center"/>
            <w:hideMark/>
          </w:tcPr>
          <w:p w14:paraId="0853C779"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11182BC0"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13.390.040</w:t>
            </w:r>
          </w:p>
        </w:tc>
        <w:tc>
          <w:tcPr>
            <w:tcW w:w="1657" w:type="dxa"/>
            <w:tcBorders>
              <w:top w:val="nil"/>
              <w:left w:val="nil"/>
              <w:bottom w:val="single" w:sz="8" w:space="0" w:color="FFFFFF"/>
              <w:right w:val="single" w:sz="4" w:space="0" w:color="FFFFFF"/>
            </w:tcBorders>
            <w:shd w:val="clear" w:color="auto" w:fill="auto"/>
            <w:noWrap/>
            <w:vAlign w:val="center"/>
            <w:hideMark/>
          </w:tcPr>
          <w:p w14:paraId="67532077"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887.928</w:t>
            </w:r>
          </w:p>
        </w:tc>
        <w:tc>
          <w:tcPr>
            <w:tcW w:w="1624" w:type="dxa"/>
            <w:tcBorders>
              <w:top w:val="nil"/>
              <w:left w:val="nil"/>
              <w:bottom w:val="single" w:sz="8" w:space="0" w:color="FFFFFF"/>
              <w:right w:val="single" w:sz="4" w:space="0" w:color="FFFFFF"/>
            </w:tcBorders>
            <w:shd w:val="clear" w:color="auto" w:fill="auto"/>
            <w:noWrap/>
            <w:vAlign w:val="center"/>
            <w:hideMark/>
          </w:tcPr>
          <w:p w14:paraId="7B116C8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14.277.968</w:t>
            </w:r>
          </w:p>
        </w:tc>
      </w:tr>
      <w:tr w:rsidR="00915604" w:rsidRPr="005E32C4" w14:paraId="3838F1A5"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60527B1C"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 xml:space="preserve">Cheltuieli totale </w:t>
            </w:r>
          </w:p>
        </w:tc>
        <w:tc>
          <w:tcPr>
            <w:tcW w:w="1265" w:type="dxa"/>
            <w:tcBorders>
              <w:top w:val="nil"/>
              <w:left w:val="nil"/>
              <w:bottom w:val="single" w:sz="8" w:space="0" w:color="FFFFFF"/>
              <w:right w:val="single" w:sz="4" w:space="0" w:color="FFFFFF"/>
            </w:tcBorders>
            <w:shd w:val="clear" w:color="000000" w:fill="FFFFFF"/>
            <w:vAlign w:val="center"/>
            <w:hideMark/>
          </w:tcPr>
          <w:p w14:paraId="5749D682"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46B7244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13.277.896</w:t>
            </w:r>
          </w:p>
        </w:tc>
        <w:tc>
          <w:tcPr>
            <w:tcW w:w="1657" w:type="dxa"/>
            <w:tcBorders>
              <w:top w:val="nil"/>
              <w:left w:val="nil"/>
              <w:bottom w:val="single" w:sz="8" w:space="0" w:color="FFFFFF"/>
              <w:right w:val="single" w:sz="4" w:space="0" w:color="FFFFFF"/>
            </w:tcBorders>
            <w:shd w:val="clear" w:color="auto" w:fill="auto"/>
            <w:noWrap/>
            <w:vAlign w:val="center"/>
            <w:hideMark/>
          </w:tcPr>
          <w:p w14:paraId="7AF86719"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1.128.136</w:t>
            </w:r>
          </w:p>
        </w:tc>
        <w:tc>
          <w:tcPr>
            <w:tcW w:w="1624" w:type="dxa"/>
            <w:tcBorders>
              <w:top w:val="nil"/>
              <w:left w:val="nil"/>
              <w:bottom w:val="single" w:sz="8" w:space="0" w:color="FFFFFF"/>
              <w:right w:val="single" w:sz="4" w:space="0" w:color="FFFFFF"/>
            </w:tcBorders>
            <w:shd w:val="clear" w:color="auto" w:fill="auto"/>
            <w:noWrap/>
            <w:vAlign w:val="center"/>
            <w:hideMark/>
          </w:tcPr>
          <w:p w14:paraId="2698351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14.406.031</w:t>
            </w:r>
          </w:p>
        </w:tc>
      </w:tr>
      <w:tr w:rsidR="00915604" w:rsidRPr="005E32C4" w14:paraId="062A81AF"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7B9B1550"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Profit brut</w:t>
            </w:r>
          </w:p>
        </w:tc>
        <w:tc>
          <w:tcPr>
            <w:tcW w:w="1265" w:type="dxa"/>
            <w:tcBorders>
              <w:top w:val="nil"/>
              <w:left w:val="nil"/>
              <w:bottom w:val="single" w:sz="8" w:space="0" w:color="FFFFFF"/>
              <w:right w:val="single" w:sz="4" w:space="0" w:color="FFFFFF"/>
            </w:tcBorders>
            <w:shd w:val="clear" w:color="000000" w:fill="FFFFFF"/>
            <w:vAlign w:val="center"/>
            <w:hideMark/>
          </w:tcPr>
          <w:p w14:paraId="078D9E1E"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5EF7A8B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514.765</w:t>
            </w:r>
          </w:p>
        </w:tc>
        <w:tc>
          <w:tcPr>
            <w:tcW w:w="1657" w:type="dxa"/>
            <w:tcBorders>
              <w:top w:val="nil"/>
              <w:left w:val="nil"/>
              <w:bottom w:val="single" w:sz="8" w:space="0" w:color="FFFFFF"/>
              <w:right w:val="single" w:sz="4" w:space="0" w:color="FFFFFF"/>
            </w:tcBorders>
            <w:shd w:val="clear" w:color="auto" w:fill="auto"/>
            <w:noWrap/>
            <w:vAlign w:val="center"/>
            <w:hideMark/>
          </w:tcPr>
          <w:p w14:paraId="5E10105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26.385</w:t>
            </w:r>
          </w:p>
        </w:tc>
        <w:tc>
          <w:tcPr>
            <w:tcW w:w="1624" w:type="dxa"/>
            <w:tcBorders>
              <w:top w:val="nil"/>
              <w:left w:val="nil"/>
              <w:bottom w:val="single" w:sz="8" w:space="0" w:color="FFFFFF"/>
              <w:right w:val="single" w:sz="4" w:space="0" w:color="FFFFFF"/>
            </w:tcBorders>
            <w:shd w:val="clear" w:color="auto" w:fill="auto"/>
            <w:noWrap/>
            <w:vAlign w:val="center"/>
            <w:hideMark/>
          </w:tcPr>
          <w:p w14:paraId="29503C6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541.150</w:t>
            </w:r>
          </w:p>
        </w:tc>
      </w:tr>
      <w:tr w:rsidR="00915604" w:rsidRPr="005E32C4" w14:paraId="4CC8DB31"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27BDBB84"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Pierdere brută</w:t>
            </w:r>
          </w:p>
        </w:tc>
        <w:tc>
          <w:tcPr>
            <w:tcW w:w="1265" w:type="dxa"/>
            <w:tcBorders>
              <w:top w:val="nil"/>
              <w:left w:val="nil"/>
              <w:bottom w:val="single" w:sz="8" w:space="0" w:color="FFFFFF"/>
              <w:right w:val="single" w:sz="4" w:space="0" w:color="FFFFFF"/>
            </w:tcBorders>
            <w:shd w:val="clear" w:color="000000" w:fill="FFFFFF"/>
            <w:vAlign w:val="center"/>
            <w:hideMark/>
          </w:tcPr>
          <w:p w14:paraId="34CF7F7C"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175A8B4C"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402.621</w:t>
            </w:r>
          </w:p>
        </w:tc>
        <w:tc>
          <w:tcPr>
            <w:tcW w:w="1657" w:type="dxa"/>
            <w:tcBorders>
              <w:top w:val="nil"/>
              <w:left w:val="nil"/>
              <w:bottom w:val="single" w:sz="8" w:space="0" w:color="FFFFFF"/>
              <w:right w:val="single" w:sz="4" w:space="0" w:color="FFFFFF"/>
            </w:tcBorders>
            <w:shd w:val="clear" w:color="auto" w:fill="auto"/>
            <w:noWrap/>
            <w:vAlign w:val="center"/>
            <w:hideMark/>
          </w:tcPr>
          <w:p w14:paraId="079E8E8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266.592</w:t>
            </w:r>
          </w:p>
        </w:tc>
        <w:tc>
          <w:tcPr>
            <w:tcW w:w="1624" w:type="dxa"/>
            <w:tcBorders>
              <w:top w:val="nil"/>
              <w:left w:val="nil"/>
              <w:bottom w:val="single" w:sz="8" w:space="0" w:color="FFFFFF"/>
              <w:right w:val="single" w:sz="4" w:space="0" w:color="FFFFFF"/>
            </w:tcBorders>
            <w:shd w:val="clear" w:color="auto" w:fill="auto"/>
            <w:noWrap/>
            <w:vAlign w:val="center"/>
            <w:hideMark/>
          </w:tcPr>
          <w:p w14:paraId="68CE48B9"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669.213</w:t>
            </w:r>
          </w:p>
        </w:tc>
      </w:tr>
      <w:tr w:rsidR="00915604" w:rsidRPr="005E32C4" w14:paraId="42690EAE"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508DB58D"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Rezultat Brut (EBT)</w:t>
            </w:r>
          </w:p>
        </w:tc>
        <w:tc>
          <w:tcPr>
            <w:tcW w:w="1265" w:type="dxa"/>
            <w:tcBorders>
              <w:top w:val="nil"/>
              <w:left w:val="nil"/>
              <w:bottom w:val="single" w:sz="8" w:space="0" w:color="FFFFFF"/>
              <w:right w:val="single" w:sz="4" w:space="0" w:color="FFFFFF"/>
            </w:tcBorders>
            <w:shd w:val="clear" w:color="000000" w:fill="FFFFFF"/>
            <w:vAlign w:val="center"/>
            <w:hideMark/>
          </w:tcPr>
          <w:p w14:paraId="677AB86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6A00A9D2"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112.144</w:t>
            </w:r>
          </w:p>
        </w:tc>
        <w:tc>
          <w:tcPr>
            <w:tcW w:w="1657" w:type="dxa"/>
            <w:tcBorders>
              <w:top w:val="nil"/>
              <w:left w:val="nil"/>
              <w:bottom w:val="single" w:sz="8" w:space="0" w:color="FFFFFF"/>
              <w:right w:val="single" w:sz="4" w:space="0" w:color="FFFFFF"/>
            </w:tcBorders>
            <w:shd w:val="clear" w:color="auto" w:fill="auto"/>
            <w:noWrap/>
            <w:vAlign w:val="center"/>
            <w:hideMark/>
          </w:tcPr>
          <w:p w14:paraId="367FC0CB"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-240.208</w:t>
            </w:r>
          </w:p>
        </w:tc>
        <w:tc>
          <w:tcPr>
            <w:tcW w:w="1624" w:type="dxa"/>
            <w:tcBorders>
              <w:top w:val="nil"/>
              <w:left w:val="nil"/>
              <w:bottom w:val="single" w:sz="8" w:space="0" w:color="FFFFFF"/>
              <w:right w:val="single" w:sz="4" w:space="0" w:color="FFFFFF"/>
            </w:tcBorders>
            <w:shd w:val="clear" w:color="auto" w:fill="auto"/>
            <w:noWrap/>
            <w:vAlign w:val="center"/>
            <w:hideMark/>
          </w:tcPr>
          <w:p w14:paraId="5E140DF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-128.064</w:t>
            </w:r>
          </w:p>
        </w:tc>
      </w:tr>
      <w:tr w:rsidR="00915604" w:rsidRPr="005E32C4" w14:paraId="672F53D6"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53650167"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 xml:space="preserve">Profit net </w:t>
            </w:r>
          </w:p>
        </w:tc>
        <w:tc>
          <w:tcPr>
            <w:tcW w:w="1265" w:type="dxa"/>
            <w:tcBorders>
              <w:top w:val="nil"/>
              <w:left w:val="nil"/>
              <w:bottom w:val="single" w:sz="8" w:space="0" w:color="FFFFFF"/>
              <w:right w:val="single" w:sz="4" w:space="0" w:color="FFFFFF"/>
            </w:tcBorders>
            <w:shd w:val="clear" w:color="000000" w:fill="FFFFFF"/>
            <w:vAlign w:val="center"/>
            <w:hideMark/>
          </w:tcPr>
          <w:p w14:paraId="64F39E3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710A717C"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436.023</w:t>
            </w:r>
          </w:p>
        </w:tc>
        <w:tc>
          <w:tcPr>
            <w:tcW w:w="1657" w:type="dxa"/>
            <w:tcBorders>
              <w:top w:val="nil"/>
              <w:left w:val="nil"/>
              <w:bottom w:val="single" w:sz="8" w:space="0" w:color="FFFFFF"/>
              <w:right w:val="single" w:sz="4" w:space="0" w:color="FFFFFF"/>
            </w:tcBorders>
            <w:shd w:val="clear" w:color="auto" w:fill="auto"/>
            <w:noWrap/>
            <w:vAlign w:val="center"/>
            <w:hideMark/>
          </w:tcPr>
          <w:p w14:paraId="38B08E6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23.581</w:t>
            </w:r>
          </w:p>
        </w:tc>
        <w:tc>
          <w:tcPr>
            <w:tcW w:w="1624" w:type="dxa"/>
            <w:tcBorders>
              <w:top w:val="nil"/>
              <w:left w:val="nil"/>
              <w:bottom w:val="single" w:sz="8" w:space="0" w:color="FFFFFF"/>
              <w:right w:val="single" w:sz="4" w:space="0" w:color="FFFFFF"/>
            </w:tcBorders>
            <w:shd w:val="clear" w:color="auto" w:fill="auto"/>
            <w:noWrap/>
            <w:vAlign w:val="center"/>
            <w:hideMark/>
          </w:tcPr>
          <w:p w14:paraId="68538557"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459.604</w:t>
            </w:r>
          </w:p>
        </w:tc>
      </w:tr>
      <w:tr w:rsidR="00915604" w:rsidRPr="005E32C4" w14:paraId="243C4819"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1DB034E7"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Pierdere netă</w:t>
            </w:r>
          </w:p>
        </w:tc>
        <w:tc>
          <w:tcPr>
            <w:tcW w:w="1265" w:type="dxa"/>
            <w:tcBorders>
              <w:top w:val="nil"/>
              <w:left w:val="nil"/>
              <w:bottom w:val="single" w:sz="8" w:space="0" w:color="FFFFFF"/>
              <w:right w:val="single" w:sz="4" w:space="0" w:color="FFFFFF"/>
            </w:tcBorders>
            <w:shd w:val="clear" w:color="000000" w:fill="FFFFFF"/>
            <w:vAlign w:val="center"/>
            <w:hideMark/>
          </w:tcPr>
          <w:p w14:paraId="0BEA349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32EF96C9"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403.109</w:t>
            </w:r>
          </w:p>
        </w:tc>
        <w:tc>
          <w:tcPr>
            <w:tcW w:w="1657" w:type="dxa"/>
            <w:tcBorders>
              <w:top w:val="nil"/>
              <w:left w:val="nil"/>
              <w:bottom w:val="single" w:sz="8" w:space="0" w:color="FFFFFF"/>
              <w:right w:val="single" w:sz="4" w:space="0" w:color="FFFFFF"/>
            </w:tcBorders>
            <w:shd w:val="clear" w:color="auto" w:fill="auto"/>
            <w:noWrap/>
            <w:vAlign w:val="center"/>
            <w:hideMark/>
          </w:tcPr>
          <w:p w14:paraId="2C787D61"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266.592</w:t>
            </w:r>
          </w:p>
        </w:tc>
        <w:tc>
          <w:tcPr>
            <w:tcW w:w="1624" w:type="dxa"/>
            <w:tcBorders>
              <w:top w:val="nil"/>
              <w:left w:val="nil"/>
              <w:bottom w:val="single" w:sz="8" w:space="0" w:color="FFFFFF"/>
              <w:right w:val="single" w:sz="4" w:space="0" w:color="FFFFFF"/>
            </w:tcBorders>
            <w:shd w:val="clear" w:color="auto" w:fill="auto"/>
            <w:noWrap/>
            <w:vAlign w:val="center"/>
            <w:hideMark/>
          </w:tcPr>
          <w:p w14:paraId="256EBC58"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669.701</w:t>
            </w:r>
          </w:p>
        </w:tc>
      </w:tr>
      <w:tr w:rsidR="00915604" w:rsidRPr="005E32C4" w14:paraId="48253D32"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37A6AF8A"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Rezultat Net</w:t>
            </w:r>
          </w:p>
        </w:tc>
        <w:tc>
          <w:tcPr>
            <w:tcW w:w="1265" w:type="dxa"/>
            <w:tcBorders>
              <w:top w:val="nil"/>
              <w:left w:val="nil"/>
              <w:bottom w:val="single" w:sz="8" w:space="0" w:color="FFFFFF"/>
              <w:right w:val="single" w:sz="4" w:space="0" w:color="FFFFFF"/>
            </w:tcBorders>
            <w:shd w:val="clear" w:color="000000" w:fill="FFFFFF"/>
            <w:vAlign w:val="center"/>
            <w:hideMark/>
          </w:tcPr>
          <w:p w14:paraId="10A90D6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40744B8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32.914</w:t>
            </w:r>
          </w:p>
        </w:tc>
        <w:tc>
          <w:tcPr>
            <w:tcW w:w="1657" w:type="dxa"/>
            <w:tcBorders>
              <w:top w:val="nil"/>
              <w:left w:val="nil"/>
              <w:bottom w:val="single" w:sz="8" w:space="0" w:color="FFFFFF"/>
              <w:right w:val="single" w:sz="4" w:space="0" w:color="FFFFFF"/>
            </w:tcBorders>
            <w:shd w:val="clear" w:color="auto" w:fill="auto"/>
            <w:noWrap/>
            <w:vAlign w:val="center"/>
            <w:hideMark/>
          </w:tcPr>
          <w:p w14:paraId="4882B12B"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-243.011</w:t>
            </w:r>
          </w:p>
        </w:tc>
        <w:tc>
          <w:tcPr>
            <w:tcW w:w="1624" w:type="dxa"/>
            <w:tcBorders>
              <w:top w:val="nil"/>
              <w:left w:val="nil"/>
              <w:bottom w:val="single" w:sz="8" w:space="0" w:color="FFFFFF"/>
              <w:right w:val="single" w:sz="4" w:space="0" w:color="FFFFFF"/>
            </w:tcBorders>
            <w:shd w:val="clear" w:color="auto" w:fill="auto"/>
            <w:noWrap/>
            <w:vAlign w:val="center"/>
            <w:hideMark/>
          </w:tcPr>
          <w:p w14:paraId="58D395C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-210.097</w:t>
            </w:r>
          </w:p>
        </w:tc>
      </w:tr>
      <w:tr w:rsidR="00915604" w:rsidRPr="005E32C4" w14:paraId="0223C7DC"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57A97B75"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Capitaluri proprii</w:t>
            </w:r>
          </w:p>
        </w:tc>
        <w:tc>
          <w:tcPr>
            <w:tcW w:w="1265" w:type="dxa"/>
            <w:tcBorders>
              <w:top w:val="nil"/>
              <w:left w:val="nil"/>
              <w:bottom w:val="single" w:sz="8" w:space="0" w:color="FFFFFF"/>
              <w:right w:val="single" w:sz="4" w:space="0" w:color="FFFFFF"/>
            </w:tcBorders>
            <w:shd w:val="clear" w:color="000000" w:fill="FFFFFF"/>
            <w:vAlign w:val="center"/>
            <w:hideMark/>
          </w:tcPr>
          <w:p w14:paraId="1BF21E9C"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328CF7C0"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8.107.589</w:t>
            </w:r>
          </w:p>
        </w:tc>
        <w:tc>
          <w:tcPr>
            <w:tcW w:w="1657" w:type="dxa"/>
            <w:tcBorders>
              <w:top w:val="nil"/>
              <w:left w:val="nil"/>
              <w:bottom w:val="single" w:sz="8" w:space="0" w:color="FFFFFF"/>
              <w:right w:val="single" w:sz="4" w:space="0" w:color="FFFFFF"/>
            </w:tcBorders>
            <w:shd w:val="clear" w:color="auto" w:fill="auto"/>
            <w:noWrap/>
            <w:vAlign w:val="center"/>
            <w:hideMark/>
          </w:tcPr>
          <w:p w14:paraId="6509599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-968.577</w:t>
            </w:r>
          </w:p>
        </w:tc>
        <w:tc>
          <w:tcPr>
            <w:tcW w:w="1624" w:type="dxa"/>
            <w:tcBorders>
              <w:top w:val="nil"/>
              <w:left w:val="nil"/>
              <w:bottom w:val="single" w:sz="8" w:space="0" w:color="FFFFFF"/>
              <w:right w:val="single" w:sz="4" w:space="0" w:color="FFFFFF"/>
            </w:tcBorders>
            <w:shd w:val="clear" w:color="auto" w:fill="auto"/>
            <w:noWrap/>
            <w:vAlign w:val="center"/>
            <w:hideMark/>
          </w:tcPr>
          <w:p w14:paraId="32BFC636"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7.139.011</w:t>
            </w:r>
          </w:p>
        </w:tc>
      </w:tr>
      <w:tr w:rsidR="00915604" w:rsidRPr="005E32C4" w14:paraId="5CA7BF45"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31B6E5EA"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Total active circulante</w:t>
            </w:r>
          </w:p>
        </w:tc>
        <w:tc>
          <w:tcPr>
            <w:tcW w:w="1265" w:type="dxa"/>
            <w:tcBorders>
              <w:top w:val="nil"/>
              <w:left w:val="nil"/>
              <w:bottom w:val="single" w:sz="8" w:space="0" w:color="FFFFFF"/>
              <w:right w:val="single" w:sz="4" w:space="0" w:color="FFFFFF"/>
            </w:tcBorders>
            <w:shd w:val="clear" w:color="000000" w:fill="FFFFFF"/>
            <w:vAlign w:val="center"/>
            <w:hideMark/>
          </w:tcPr>
          <w:p w14:paraId="509F152E"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01FC680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10.965.429</w:t>
            </w:r>
          </w:p>
        </w:tc>
        <w:tc>
          <w:tcPr>
            <w:tcW w:w="1657" w:type="dxa"/>
            <w:tcBorders>
              <w:top w:val="nil"/>
              <w:left w:val="nil"/>
              <w:bottom w:val="single" w:sz="8" w:space="0" w:color="FFFFFF"/>
              <w:right w:val="single" w:sz="4" w:space="0" w:color="FFFFFF"/>
            </w:tcBorders>
            <w:shd w:val="clear" w:color="auto" w:fill="auto"/>
            <w:noWrap/>
            <w:vAlign w:val="center"/>
            <w:hideMark/>
          </w:tcPr>
          <w:p w14:paraId="4B2F4748"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554.246</w:t>
            </w:r>
          </w:p>
        </w:tc>
        <w:tc>
          <w:tcPr>
            <w:tcW w:w="1624" w:type="dxa"/>
            <w:tcBorders>
              <w:top w:val="nil"/>
              <w:left w:val="nil"/>
              <w:bottom w:val="single" w:sz="8" w:space="0" w:color="FFFFFF"/>
              <w:right w:val="single" w:sz="4" w:space="0" w:color="FFFFFF"/>
            </w:tcBorders>
            <w:shd w:val="clear" w:color="auto" w:fill="auto"/>
            <w:noWrap/>
            <w:vAlign w:val="center"/>
            <w:hideMark/>
          </w:tcPr>
          <w:p w14:paraId="6FCE693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11.519.675</w:t>
            </w:r>
          </w:p>
        </w:tc>
      </w:tr>
      <w:tr w:rsidR="00915604" w:rsidRPr="005E32C4" w14:paraId="0511CF8F"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2A6194CE"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Total active imobilizate</w:t>
            </w:r>
          </w:p>
        </w:tc>
        <w:tc>
          <w:tcPr>
            <w:tcW w:w="1265" w:type="dxa"/>
            <w:tcBorders>
              <w:top w:val="nil"/>
              <w:left w:val="nil"/>
              <w:bottom w:val="single" w:sz="8" w:space="0" w:color="FFFFFF"/>
              <w:right w:val="single" w:sz="4" w:space="0" w:color="FFFFFF"/>
            </w:tcBorders>
            <w:shd w:val="clear" w:color="000000" w:fill="FFFFFF"/>
            <w:vAlign w:val="center"/>
            <w:hideMark/>
          </w:tcPr>
          <w:p w14:paraId="7C967B66"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3408ECB8"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16.586.263</w:t>
            </w:r>
          </w:p>
        </w:tc>
        <w:tc>
          <w:tcPr>
            <w:tcW w:w="1657" w:type="dxa"/>
            <w:tcBorders>
              <w:top w:val="nil"/>
              <w:left w:val="nil"/>
              <w:bottom w:val="single" w:sz="8" w:space="0" w:color="FFFFFF"/>
              <w:right w:val="single" w:sz="4" w:space="0" w:color="FFFFFF"/>
            </w:tcBorders>
            <w:shd w:val="clear" w:color="auto" w:fill="auto"/>
            <w:noWrap/>
            <w:vAlign w:val="center"/>
            <w:hideMark/>
          </w:tcPr>
          <w:p w14:paraId="556E21A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669.381</w:t>
            </w:r>
          </w:p>
        </w:tc>
        <w:tc>
          <w:tcPr>
            <w:tcW w:w="1624" w:type="dxa"/>
            <w:tcBorders>
              <w:top w:val="nil"/>
              <w:left w:val="nil"/>
              <w:bottom w:val="single" w:sz="8" w:space="0" w:color="FFFFFF"/>
              <w:right w:val="single" w:sz="4" w:space="0" w:color="FFFFFF"/>
            </w:tcBorders>
            <w:shd w:val="clear" w:color="auto" w:fill="auto"/>
            <w:noWrap/>
            <w:vAlign w:val="center"/>
            <w:hideMark/>
          </w:tcPr>
          <w:p w14:paraId="7D0D5F66"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17.255.644</w:t>
            </w:r>
          </w:p>
        </w:tc>
      </w:tr>
      <w:tr w:rsidR="00915604" w:rsidRPr="005E32C4" w14:paraId="46C6E478"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17544C09"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Cheltuieli în avans</w:t>
            </w:r>
          </w:p>
        </w:tc>
        <w:tc>
          <w:tcPr>
            <w:tcW w:w="1265" w:type="dxa"/>
            <w:tcBorders>
              <w:top w:val="nil"/>
              <w:left w:val="nil"/>
              <w:bottom w:val="single" w:sz="8" w:space="0" w:color="FFFFFF"/>
              <w:right w:val="single" w:sz="4" w:space="0" w:color="FFFFFF"/>
            </w:tcBorders>
            <w:shd w:val="clear" w:color="000000" w:fill="FFFFFF"/>
            <w:vAlign w:val="center"/>
            <w:hideMark/>
          </w:tcPr>
          <w:p w14:paraId="17F5B9C2"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48E3FBB4"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88.423</w:t>
            </w:r>
          </w:p>
        </w:tc>
        <w:tc>
          <w:tcPr>
            <w:tcW w:w="1657" w:type="dxa"/>
            <w:tcBorders>
              <w:top w:val="nil"/>
              <w:left w:val="nil"/>
              <w:bottom w:val="single" w:sz="8" w:space="0" w:color="FFFFFF"/>
              <w:right w:val="single" w:sz="4" w:space="0" w:color="FFFFFF"/>
            </w:tcBorders>
            <w:shd w:val="clear" w:color="auto" w:fill="auto"/>
            <w:noWrap/>
            <w:vAlign w:val="center"/>
            <w:hideMark/>
          </w:tcPr>
          <w:p w14:paraId="6D3BF304"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10.723</w:t>
            </w:r>
          </w:p>
        </w:tc>
        <w:tc>
          <w:tcPr>
            <w:tcW w:w="1624" w:type="dxa"/>
            <w:tcBorders>
              <w:top w:val="nil"/>
              <w:left w:val="nil"/>
              <w:bottom w:val="single" w:sz="8" w:space="0" w:color="FFFFFF"/>
              <w:right w:val="single" w:sz="4" w:space="0" w:color="FFFFFF"/>
            </w:tcBorders>
            <w:shd w:val="clear" w:color="auto" w:fill="auto"/>
            <w:noWrap/>
            <w:vAlign w:val="center"/>
            <w:hideMark/>
          </w:tcPr>
          <w:p w14:paraId="2FE6DD5C"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99.146</w:t>
            </w:r>
          </w:p>
        </w:tc>
      </w:tr>
      <w:tr w:rsidR="00915604" w:rsidRPr="005E32C4" w14:paraId="57977AB9"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5737A576"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Total active</w:t>
            </w:r>
          </w:p>
        </w:tc>
        <w:tc>
          <w:tcPr>
            <w:tcW w:w="1265" w:type="dxa"/>
            <w:tcBorders>
              <w:top w:val="nil"/>
              <w:left w:val="nil"/>
              <w:bottom w:val="single" w:sz="8" w:space="0" w:color="FFFFFF"/>
              <w:right w:val="single" w:sz="4" w:space="0" w:color="FFFFFF"/>
            </w:tcBorders>
            <w:shd w:val="clear" w:color="000000" w:fill="FFFFFF"/>
            <w:vAlign w:val="center"/>
            <w:hideMark/>
          </w:tcPr>
          <w:p w14:paraId="0CD37FDB"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28DC9BD3"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27.640.115</w:t>
            </w:r>
          </w:p>
        </w:tc>
        <w:tc>
          <w:tcPr>
            <w:tcW w:w="1657" w:type="dxa"/>
            <w:tcBorders>
              <w:top w:val="nil"/>
              <w:left w:val="nil"/>
              <w:bottom w:val="single" w:sz="8" w:space="0" w:color="FFFFFF"/>
              <w:right w:val="single" w:sz="4" w:space="0" w:color="FFFFFF"/>
            </w:tcBorders>
            <w:shd w:val="clear" w:color="auto" w:fill="auto"/>
            <w:noWrap/>
            <w:vAlign w:val="center"/>
            <w:hideMark/>
          </w:tcPr>
          <w:p w14:paraId="3252A806"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1.234.350</w:t>
            </w:r>
          </w:p>
        </w:tc>
        <w:tc>
          <w:tcPr>
            <w:tcW w:w="1624" w:type="dxa"/>
            <w:tcBorders>
              <w:top w:val="nil"/>
              <w:left w:val="nil"/>
              <w:bottom w:val="single" w:sz="8" w:space="0" w:color="FFFFFF"/>
              <w:right w:val="single" w:sz="4" w:space="0" w:color="FFFFFF"/>
            </w:tcBorders>
            <w:shd w:val="clear" w:color="auto" w:fill="auto"/>
            <w:noWrap/>
            <w:vAlign w:val="center"/>
            <w:hideMark/>
          </w:tcPr>
          <w:p w14:paraId="2804B4C4"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28.874.465</w:t>
            </w:r>
          </w:p>
        </w:tc>
      </w:tr>
      <w:tr w:rsidR="00915604" w:rsidRPr="005E32C4" w14:paraId="10D18795"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694BFBE6"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Datorii totale</w:t>
            </w:r>
          </w:p>
        </w:tc>
        <w:tc>
          <w:tcPr>
            <w:tcW w:w="1265" w:type="dxa"/>
            <w:tcBorders>
              <w:top w:val="nil"/>
              <w:left w:val="nil"/>
              <w:bottom w:val="single" w:sz="8" w:space="0" w:color="FFFFFF"/>
              <w:right w:val="single" w:sz="4" w:space="0" w:color="FFFFFF"/>
            </w:tcBorders>
            <w:shd w:val="clear" w:color="000000" w:fill="FFFFFF"/>
            <w:vAlign w:val="center"/>
            <w:hideMark/>
          </w:tcPr>
          <w:p w14:paraId="230B8797"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0C5D67F4"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7.474.119</w:t>
            </w:r>
          </w:p>
        </w:tc>
        <w:tc>
          <w:tcPr>
            <w:tcW w:w="1657" w:type="dxa"/>
            <w:tcBorders>
              <w:top w:val="nil"/>
              <w:left w:val="nil"/>
              <w:bottom w:val="single" w:sz="8" w:space="0" w:color="FFFFFF"/>
              <w:right w:val="single" w:sz="4" w:space="0" w:color="FFFFFF"/>
            </w:tcBorders>
            <w:shd w:val="clear" w:color="auto" w:fill="auto"/>
            <w:noWrap/>
            <w:vAlign w:val="center"/>
            <w:hideMark/>
          </w:tcPr>
          <w:p w14:paraId="7669A2AD"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1.770.609</w:t>
            </w:r>
          </w:p>
        </w:tc>
        <w:tc>
          <w:tcPr>
            <w:tcW w:w="1624" w:type="dxa"/>
            <w:tcBorders>
              <w:top w:val="nil"/>
              <w:left w:val="nil"/>
              <w:bottom w:val="single" w:sz="8" w:space="0" w:color="FFFFFF"/>
              <w:right w:val="single" w:sz="4" w:space="0" w:color="FFFFFF"/>
            </w:tcBorders>
            <w:shd w:val="clear" w:color="auto" w:fill="auto"/>
            <w:noWrap/>
            <w:vAlign w:val="center"/>
            <w:hideMark/>
          </w:tcPr>
          <w:p w14:paraId="4D92B90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9.244.728</w:t>
            </w:r>
          </w:p>
        </w:tc>
      </w:tr>
      <w:tr w:rsidR="00915604" w:rsidRPr="005E32C4" w14:paraId="497433DA"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514B1587"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Datorii mai mari de 1 an</w:t>
            </w:r>
          </w:p>
        </w:tc>
        <w:tc>
          <w:tcPr>
            <w:tcW w:w="1265" w:type="dxa"/>
            <w:tcBorders>
              <w:top w:val="nil"/>
              <w:left w:val="nil"/>
              <w:bottom w:val="single" w:sz="8" w:space="0" w:color="FFFFFF"/>
              <w:right w:val="single" w:sz="4" w:space="0" w:color="FFFFFF"/>
            </w:tcBorders>
            <w:shd w:val="clear" w:color="000000" w:fill="FFFFFF"/>
            <w:vAlign w:val="center"/>
            <w:hideMark/>
          </w:tcPr>
          <w:p w14:paraId="4885B0F0"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4BE1B94F"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2.529.505</w:t>
            </w:r>
          </w:p>
        </w:tc>
        <w:tc>
          <w:tcPr>
            <w:tcW w:w="1657" w:type="dxa"/>
            <w:tcBorders>
              <w:top w:val="nil"/>
              <w:left w:val="nil"/>
              <w:bottom w:val="single" w:sz="8" w:space="0" w:color="FFFFFF"/>
              <w:right w:val="single" w:sz="4" w:space="0" w:color="FFFFFF"/>
            </w:tcBorders>
            <w:shd w:val="clear" w:color="auto" w:fill="auto"/>
            <w:noWrap/>
            <w:vAlign w:val="center"/>
            <w:hideMark/>
          </w:tcPr>
          <w:p w14:paraId="2D8EE889"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482.665</w:t>
            </w:r>
          </w:p>
        </w:tc>
        <w:tc>
          <w:tcPr>
            <w:tcW w:w="1624" w:type="dxa"/>
            <w:tcBorders>
              <w:top w:val="nil"/>
              <w:left w:val="nil"/>
              <w:bottom w:val="single" w:sz="8" w:space="0" w:color="FFFFFF"/>
              <w:right w:val="single" w:sz="4" w:space="0" w:color="FFFFFF"/>
            </w:tcBorders>
            <w:shd w:val="clear" w:color="auto" w:fill="auto"/>
            <w:noWrap/>
            <w:vAlign w:val="center"/>
            <w:hideMark/>
          </w:tcPr>
          <w:p w14:paraId="5E7BABA1"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3.012.170</w:t>
            </w:r>
          </w:p>
        </w:tc>
      </w:tr>
      <w:tr w:rsidR="00915604" w:rsidRPr="005E32C4" w14:paraId="78137820"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09F60F69"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Datorii mai mici de 1 an</w:t>
            </w:r>
          </w:p>
        </w:tc>
        <w:tc>
          <w:tcPr>
            <w:tcW w:w="1265" w:type="dxa"/>
            <w:tcBorders>
              <w:top w:val="nil"/>
              <w:left w:val="nil"/>
              <w:bottom w:val="single" w:sz="8" w:space="0" w:color="FFFFFF"/>
              <w:right w:val="single" w:sz="4" w:space="0" w:color="FFFFFF"/>
            </w:tcBorders>
            <w:shd w:val="clear" w:color="000000" w:fill="FFFFFF"/>
            <w:vAlign w:val="center"/>
            <w:hideMark/>
          </w:tcPr>
          <w:p w14:paraId="3FB9E11F"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58FE420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4.944.615</w:t>
            </w:r>
          </w:p>
        </w:tc>
        <w:tc>
          <w:tcPr>
            <w:tcW w:w="1657" w:type="dxa"/>
            <w:tcBorders>
              <w:top w:val="nil"/>
              <w:left w:val="nil"/>
              <w:bottom w:val="single" w:sz="8" w:space="0" w:color="FFFFFF"/>
              <w:right w:val="single" w:sz="4" w:space="0" w:color="FFFFFF"/>
            </w:tcBorders>
            <w:shd w:val="clear" w:color="auto" w:fill="auto"/>
            <w:noWrap/>
            <w:vAlign w:val="center"/>
            <w:hideMark/>
          </w:tcPr>
          <w:p w14:paraId="2D3798E7"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1.287.943</w:t>
            </w:r>
          </w:p>
        </w:tc>
        <w:tc>
          <w:tcPr>
            <w:tcW w:w="1624" w:type="dxa"/>
            <w:tcBorders>
              <w:top w:val="nil"/>
              <w:left w:val="nil"/>
              <w:bottom w:val="single" w:sz="8" w:space="0" w:color="FFFFFF"/>
              <w:right w:val="single" w:sz="4" w:space="0" w:color="FFFFFF"/>
            </w:tcBorders>
            <w:shd w:val="clear" w:color="auto" w:fill="auto"/>
            <w:noWrap/>
            <w:vAlign w:val="center"/>
            <w:hideMark/>
          </w:tcPr>
          <w:p w14:paraId="48F19CA6"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6.232.558</w:t>
            </w:r>
          </w:p>
        </w:tc>
      </w:tr>
      <w:tr w:rsidR="00915604" w:rsidRPr="005E32C4" w14:paraId="26A4E5AB" w14:textId="77777777" w:rsidTr="00915604">
        <w:trPr>
          <w:trHeight w:val="239"/>
        </w:trPr>
        <w:tc>
          <w:tcPr>
            <w:tcW w:w="2274" w:type="dxa"/>
            <w:tcBorders>
              <w:top w:val="nil"/>
              <w:left w:val="single" w:sz="4" w:space="0" w:color="FFFFFF"/>
              <w:bottom w:val="single" w:sz="8" w:space="0" w:color="FFFFFF"/>
              <w:right w:val="single" w:sz="4" w:space="0" w:color="FFFFFF"/>
            </w:tcBorders>
            <w:shd w:val="clear" w:color="000000" w:fill="FFFFFF"/>
            <w:vAlign w:val="center"/>
            <w:hideMark/>
          </w:tcPr>
          <w:p w14:paraId="1DF44C14"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Plăți restante</w:t>
            </w:r>
          </w:p>
        </w:tc>
        <w:tc>
          <w:tcPr>
            <w:tcW w:w="1265" w:type="dxa"/>
            <w:tcBorders>
              <w:top w:val="nil"/>
              <w:left w:val="nil"/>
              <w:bottom w:val="single" w:sz="8" w:space="0" w:color="FFFFFF"/>
              <w:right w:val="single" w:sz="4" w:space="0" w:color="FFFFFF"/>
            </w:tcBorders>
            <w:shd w:val="clear" w:color="000000" w:fill="FFFFFF"/>
            <w:vAlign w:val="center"/>
            <w:hideMark/>
          </w:tcPr>
          <w:p w14:paraId="401756D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mii lei</w:t>
            </w:r>
          </w:p>
        </w:tc>
        <w:tc>
          <w:tcPr>
            <w:tcW w:w="2086" w:type="dxa"/>
            <w:tcBorders>
              <w:top w:val="single" w:sz="4" w:space="0" w:color="95B3D7"/>
              <w:left w:val="nil"/>
              <w:bottom w:val="single" w:sz="8" w:space="0" w:color="FFFFFF"/>
              <w:right w:val="single" w:sz="4" w:space="0" w:color="FFFFFF"/>
            </w:tcBorders>
            <w:shd w:val="clear" w:color="auto" w:fill="auto"/>
            <w:noWrap/>
            <w:vAlign w:val="center"/>
            <w:hideMark/>
          </w:tcPr>
          <w:p w14:paraId="5A6B12B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1.957.219</w:t>
            </w:r>
          </w:p>
        </w:tc>
        <w:tc>
          <w:tcPr>
            <w:tcW w:w="1657" w:type="dxa"/>
            <w:tcBorders>
              <w:top w:val="nil"/>
              <w:left w:val="nil"/>
              <w:bottom w:val="single" w:sz="8" w:space="0" w:color="FFFFFF"/>
              <w:right w:val="single" w:sz="4" w:space="0" w:color="FFFFFF"/>
            </w:tcBorders>
            <w:shd w:val="clear" w:color="auto" w:fill="auto"/>
            <w:noWrap/>
            <w:vAlign w:val="center"/>
            <w:hideMark/>
          </w:tcPr>
          <w:p w14:paraId="58BA523E"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1.222.040</w:t>
            </w:r>
          </w:p>
        </w:tc>
        <w:tc>
          <w:tcPr>
            <w:tcW w:w="1624" w:type="dxa"/>
            <w:tcBorders>
              <w:top w:val="nil"/>
              <w:left w:val="nil"/>
              <w:bottom w:val="single" w:sz="8" w:space="0" w:color="FFFFFF"/>
              <w:right w:val="single" w:sz="4" w:space="0" w:color="FFFFFF"/>
            </w:tcBorders>
            <w:shd w:val="clear" w:color="auto" w:fill="auto"/>
            <w:noWrap/>
            <w:vAlign w:val="center"/>
            <w:hideMark/>
          </w:tcPr>
          <w:p w14:paraId="7EF20B35"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3.179.259</w:t>
            </w:r>
          </w:p>
        </w:tc>
      </w:tr>
      <w:tr w:rsidR="00915604" w:rsidRPr="005E32C4" w14:paraId="2AD0C056" w14:textId="77777777" w:rsidTr="00915604">
        <w:trPr>
          <w:trHeight w:val="228"/>
        </w:trPr>
        <w:tc>
          <w:tcPr>
            <w:tcW w:w="2274" w:type="dxa"/>
            <w:tcBorders>
              <w:top w:val="nil"/>
              <w:left w:val="single" w:sz="4" w:space="0" w:color="FFFFFF"/>
              <w:bottom w:val="single" w:sz="4" w:space="0" w:color="95B3D7"/>
              <w:right w:val="single" w:sz="4" w:space="0" w:color="FFFFFF"/>
            </w:tcBorders>
            <w:shd w:val="clear" w:color="000000" w:fill="FFFFFF"/>
            <w:vAlign w:val="center"/>
            <w:hideMark/>
          </w:tcPr>
          <w:p w14:paraId="1F0B9CE0" w14:textId="77777777" w:rsidR="005E32C4" w:rsidRPr="005E32C4" w:rsidRDefault="005E32C4" w:rsidP="005E32C4">
            <w:pPr>
              <w:spacing w:before="0" w:after="0" w:line="240" w:lineRule="auto"/>
              <w:rPr>
                <w:rFonts w:eastAsia="Times New Roman" w:cstheme="minorHAnsi"/>
                <w:sz w:val="16"/>
                <w:szCs w:val="16"/>
                <w:lang w:val="en-US"/>
              </w:rPr>
            </w:pPr>
            <w:r w:rsidRPr="005E32C4">
              <w:rPr>
                <w:rFonts w:eastAsia="Times New Roman" w:cstheme="minorHAnsi"/>
                <w:sz w:val="16"/>
                <w:szCs w:val="16"/>
                <w:lang w:val="en-US"/>
              </w:rPr>
              <w:t>Nr efectiv de personal</w:t>
            </w:r>
          </w:p>
        </w:tc>
        <w:tc>
          <w:tcPr>
            <w:tcW w:w="1265" w:type="dxa"/>
            <w:tcBorders>
              <w:top w:val="nil"/>
              <w:left w:val="nil"/>
              <w:bottom w:val="single" w:sz="4" w:space="0" w:color="95B3D7"/>
              <w:right w:val="single" w:sz="4" w:space="0" w:color="FFFFFF"/>
            </w:tcBorders>
            <w:shd w:val="clear" w:color="auto" w:fill="auto"/>
            <w:noWrap/>
            <w:vAlign w:val="center"/>
            <w:hideMark/>
          </w:tcPr>
          <w:p w14:paraId="1B8E095B"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nr pers</w:t>
            </w:r>
          </w:p>
        </w:tc>
        <w:tc>
          <w:tcPr>
            <w:tcW w:w="2086" w:type="dxa"/>
            <w:tcBorders>
              <w:top w:val="nil"/>
              <w:left w:val="nil"/>
              <w:bottom w:val="single" w:sz="4" w:space="0" w:color="95B3D7"/>
              <w:right w:val="single" w:sz="4" w:space="0" w:color="FFFFFF"/>
            </w:tcBorders>
            <w:shd w:val="clear" w:color="auto" w:fill="auto"/>
            <w:noWrap/>
            <w:vAlign w:val="center"/>
            <w:hideMark/>
          </w:tcPr>
          <w:p w14:paraId="3309A294"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101.447</w:t>
            </w:r>
          </w:p>
        </w:tc>
        <w:tc>
          <w:tcPr>
            <w:tcW w:w="1657" w:type="dxa"/>
            <w:tcBorders>
              <w:top w:val="nil"/>
              <w:left w:val="nil"/>
              <w:bottom w:val="single" w:sz="4" w:space="0" w:color="95B3D7"/>
              <w:right w:val="single" w:sz="4" w:space="0" w:color="FFFFFF"/>
            </w:tcBorders>
            <w:shd w:val="clear" w:color="auto" w:fill="auto"/>
            <w:noWrap/>
            <w:vAlign w:val="center"/>
            <w:hideMark/>
          </w:tcPr>
          <w:p w14:paraId="13AEDC4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4.310</w:t>
            </w:r>
          </w:p>
        </w:tc>
        <w:tc>
          <w:tcPr>
            <w:tcW w:w="1624" w:type="dxa"/>
            <w:tcBorders>
              <w:top w:val="nil"/>
              <w:left w:val="nil"/>
              <w:bottom w:val="single" w:sz="4" w:space="0" w:color="95B3D7"/>
              <w:right w:val="single" w:sz="4" w:space="0" w:color="FFFFFF"/>
            </w:tcBorders>
            <w:shd w:val="clear" w:color="auto" w:fill="auto"/>
            <w:noWrap/>
            <w:vAlign w:val="center"/>
            <w:hideMark/>
          </w:tcPr>
          <w:p w14:paraId="3645B22A" w14:textId="77777777" w:rsidR="005E32C4" w:rsidRPr="005E32C4" w:rsidRDefault="005E32C4" w:rsidP="005E32C4">
            <w:pPr>
              <w:spacing w:before="0" w:after="0" w:line="240" w:lineRule="auto"/>
              <w:jc w:val="right"/>
              <w:rPr>
                <w:rFonts w:eastAsia="Times New Roman" w:cstheme="minorHAnsi"/>
                <w:sz w:val="16"/>
                <w:szCs w:val="16"/>
                <w:lang w:val="en-US"/>
              </w:rPr>
            </w:pPr>
            <w:r w:rsidRPr="005E32C4">
              <w:rPr>
                <w:rFonts w:eastAsia="Times New Roman" w:cstheme="minorHAnsi"/>
                <w:sz w:val="16"/>
                <w:szCs w:val="16"/>
                <w:lang w:val="en-US"/>
              </w:rPr>
              <w:t>105.757</w:t>
            </w:r>
          </w:p>
        </w:tc>
      </w:tr>
    </w:tbl>
    <w:p w14:paraId="256F7D3C" w14:textId="77777777" w:rsidR="005E32C4" w:rsidRDefault="005E32C4"/>
    <w:p w14:paraId="4124200B" w14:textId="77777777" w:rsidR="00D352A7" w:rsidRPr="00D95C57" w:rsidRDefault="00D352A7"/>
    <w:p w14:paraId="21EE1725" w14:textId="77777777" w:rsidR="00F95662" w:rsidRPr="00D95C57" w:rsidRDefault="00F95662" w:rsidP="00A9439A">
      <w:pPr>
        <w:contextualSpacing/>
        <w:jc w:val="both"/>
        <w:rPr>
          <w:rFonts w:asciiTheme="majorHAnsi" w:hAnsiTheme="majorHAnsi"/>
        </w:rPr>
      </w:pPr>
    </w:p>
    <w:p w14:paraId="45FAB56A" w14:textId="77777777" w:rsidR="00695B02" w:rsidRPr="00522CC8" w:rsidRDefault="00F81951" w:rsidP="007E1CC2">
      <w:pPr>
        <w:pStyle w:val="ListParagraph"/>
        <w:ind w:left="0"/>
        <w:jc w:val="both"/>
        <w:outlineLvl w:val="1"/>
        <w:rPr>
          <w:rFonts w:asciiTheme="majorHAnsi" w:hAnsiTheme="majorHAnsi"/>
          <w:b/>
          <w:bCs/>
          <w:color w:val="0F6FC6" w:themeColor="accent1"/>
          <w:sz w:val="32"/>
          <w:szCs w:val="32"/>
        </w:rPr>
      </w:pPr>
      <w:bookmarkStart w:id="96" w:name="_Toc490763530"/>
      <w:bookmarkStart w:id="97" w:name="_Toc490763711"/>
      <w:bookmarkStart w:id="98" w:name="_Toc490763879"/>
      <w:bookmarkStart w:id="99" w:name="_Toc87875961"/>
      <w:r w:rsidRPr="00522CC8">
        <w:rPr>
          <w:rFonts w:asciiTheme="majorHAnsi" w:hAnsiTheme="majorHAnsi"/>
          <w:b/>
          <w:bCs/>
          <w:color w:val="0F6FC6" w:themeColor="accent1"/>
          <w:sz w:val="32"/>
          <w:szCs w:val="32"/>
        </w:rPr>
        <w:t xml:space="preserve">Capitolul 1 – Evoluția numărului de </w:t>
      </w:r>
      <w:r w:rsidR="00CF4E49" w:rsidRPr="00522CC8">
        <w:rPr>
          <w:rFonts w:asciiTheme="majorHAnsi" w:hAnsiTheme="majorHAnsi"/>
          <w:b/>
          <w:bCs/>
          <w:color w:val="0F6FC6" w:themeColor="accent1"/>
          <w:sz w:val="32"/>
          <w:szCs w:val="32"/>
        </w:rPr>
        <w:t>întreprinderi publice locale</w:t>
      </w:r>
      <w:r w:rsidRPr="00522CC8">
        <w:rPr>
          <w:rFonts w:asciiTheme="majorHAnsi" w:hAnsiTheme="majorHAnsi"/>
          <w:b/>
          <w:bCs/>
          <w:color w:val="0F6FC6" w:themeColor="accent1"/>
          <w:sz w:val="32"/>
          <w:szCs w:val="32"/>
        </w:rPr>
        <w:t xml:space="preserve"> deținute </w:t>
      </w:r>
      <w:r w:rsidR="00C65E36" w:rsidRPr="00522CC8">
        <w:rPr>
          <w:rFonts w:asciiTheme="majorHAnsi" w:hAnsiTheme="majorHAnsi"/>
          <w:b/>
          <w:bCs/>
          <w:color w:val="0F6FC6" w:themeColor="accent1"/>
          <w:sz w:val="32"/>
          <w:szCs w:val="32"/>
        </w:rPr>
        <w:t>de</w:t>
      </w:r>
      <w:r w:rsidRPr="00522CC8">
        <w:rPr>
          <w:rFonts w:asciiTheme="majorHAnsi" w:hAnsiTheme="majorHAnsi"/>
          <w:b/>
          <w:bCs/>
          <w:color w:val="0F6FC6" w:themeColor="accent1"/>
          <w:sz w:val="32"/>
          <w:szCs w:val="32"/>
        </w:rPr>
        <w:t xml:space="preserve"> </w:t>
      </w:r>
      <w:r w:rsidR="00CF4E49" w:rsidRPr="00522CC8">
        <w:rPr>
          <w:rFonts w:asciiTheme="majorHAnsi" w:hAnsiTheme="majorHAnsi"/>
          <w:b/>
          <w:bCs/>
          <w:color w:val="0F6FC6" w:themeColor="accent1"/>
          <w:sz w:val="32"/>
          <w:szCs w:val="32"/>
        </w:rPr>
        <w:t>autoritățile publice locale</w:t>
      </w:r>
      <w:r w:rsidRPr="00522CC8">
        <w:rPr>
          <w:rFonts w:asciiTheme="majorHAnsi" w:hAnsiTheme="majorHAnsi"/>
          <w:b/>
          <w:bCs/>
          <w:color w:val="0F6FC6" w:themeColor="accent1"/>
          <w:sz w:val="32"/>
          <w:szCs w:val="32"/>
        </w:rPr>
        <w:t xml:space="preserve"> pe parcursul anului 20</w:t>
      </w:r>
      <w:bookmarkEnd w:id="96"/>
      <w:bookmarkEnd w:id="97"/>
      <w:bookmarkEnd w:id="98"/>
      <w:r w:rsidR="00CF3217">
        <w:rPr>
          <w:rFonts w:asciiTheme="majorHAnsi" w:hAnsiTheme="majorHAnsi"/>
          <w:b/>
          <w:bCs/>
          <w:color w:val="0F6FC6" w:themeColor="accent1"/>
          <w:sz w:val="32"/>
          <w:szCs w:val="32"/>
        </w:rPr>
        <w:t>20</w:t>
      </w:r>
      <w:bookmarkEnd w:id="99"/>
    </w:p>
    <w:p w14:paraId="3E0E8E95" w14:textId="77777777" w:rsidR="0095406E" w:rsidRPr="00D95C57" w:rsidRDefault="0095406E" w:rsidP="0095406E">
      <w:pPr>
        <w:contextualSpacing/>
        <w:jc w:val="both"/>
        <w:rPr>
          <w:rFonts w:asciiTheme="majorHAnsi" w:hAnsiTheme="majorHAnsi"/>
        </w:rPr>
      </w:pPr>
    </w:p>
    <w:p w14:paraId="4F80B342" w14:textId="77777777" w:rsidR="005F51C3" w:rsidRPr="00CF3217" w:rsidRDefault="007A6011" w:rsidP="007A6011">
      <w:pPr>
        <w:pStyle w:val="ListParagraph"/>
        <w:ind w:left="0"/>
        <w:jc w:val="both"/>
        <w:rPr>
          <w:rFonts w:asciiTheme="majorHAnsi" w:hAnsiTheme="majorHAnsi" w:cs="Times New Roman"/>
          <w:color w:val="000000" w:themeColor="text1"/>
        </w:rPr>
      </w:pPr>
      <w:r w:rsidRPr="00CF3217">
        <w:rPr>
          <w:rFonts w:asciiTheme="majorHAnsi" w:hAnsiTheme="majorHAnsi" w:cs="Times New Roman"/>
          <w:color w:val="000000" w:themeColor="text1"/>
        </w:rPr>
        <w:t>În prezentul raport ÎPL inactive nu vor fi evidențiate întrucât acestea se află în proceduri prevăzute prin Legea nr. 85/2014 și nu pot fi mon</w:t>
      </w:r>
      <w:r w:rsidR="00915604" w:rsidRPr="00CF3217">
        <w:rPr>
          <w:rFonts w:asciiTheme="majorHAnsi" w:hAnsiTheme="majorHAnsi" w:cs="Times New Roman"/>
          <w:color w:val="000000" w:themeColor="text1"/>
        </w:rPr>
        <w:t>itorizate de Ministerul Finanțelor</w:t>
      </w:r>
      <w:r w:rsidRPr="00CF3217">
        <w:rPr>
          <w:rFonts w:asciiTheme="majorHAnsi" w:hAnsiTheme="majorHAnsi" w:cs="Times New Roman"/>
          <w:color w:val="000000" w:themeColor="text1"/>
        </w:rPr>
        <w:t xml:space="preserve"> în temeiul O.G. nr. 26/2013 acestea având numiți administratori speciali sau lichidatori judiciari care se ocupă de administrarea acesto</w:t>
      </w:r>
      <w:r w:rsidR="00A228A3" w:rsidRPr="00CF3217">
        <w:rPr>
          <w:rFonts w:asciiTheme="majorHAnsi" w:hAnsiTheme="majorHAnsi" w:cs="Times New Roman"/>
          <w:color w:val="000000" w:themeColor="text1"/>
        </w:rPr>
        <w:t>ra pe perioada insolvenței.</w:t>
      </w:r>
    </w:p>
    <w:p w14:paraId="1769CF9C" w14:textId="77777777" w:rsidR="00CF3217" w:rsidRPr="00CF3217" w:rsidRDefault="00CF3217" w:rsidP="007A6011">
      <w:pPr>
        <w:pStyle w:val="ListParagraph"/>
        <w:ind w:left="0"/>
        <w:jc w:val="both"/>
        <w:rPr>
          <w:rFonts w:asciiTheme="majorHAnsi" w:hAnsiTheme="majorHAnsi" w:cs="Times New Roman"/>
          <w:color w:val="000000" w:themeColor="text1"/>
        </w:rPr>
      </w:pPr>
    </w:p>
    <w:p w14:paraId="514E44F9" w14:textId="77777777" w:rsidR="00915604" w:rsidRPr="00095079" w:rsidRDefault="00095079" w:rsidP="007A6011">
      <w:pPr>
        <w:pStyle w:val="ListParagraph"/>
        <w:ind w:left="0"/>
        <w:jc w:val="both"/>
        <w:rPr>
          <w:rFonts w:asciiTheme="majorHAnsi" w:hAnsiTheme="majorHAnsi" w:cs="Times New Roman"/>
        </w:rPr>
      </w:pPr>
      <w:r w:rsidRPr="00095079">
        <w:rPr>
          <w:rFonts w:asciiTheme="majorHAnsi" w:hAnsiTheme="majorHAnsi" w:cs="Times New Roman"/>
        </w:rPr>
        <w:t>TABEL – Situația distribuției numărului ÎPL pe regiuni de dezvoltare în perioada 2018-2020</w:t>
      </w:r>
    </w:p>
    <w:tbl>
      <w:tblPr>
        <w:tblW w:w="9105" w:type="dxa"/>
        <w:tblInd w:w="93" w:type="dxa"/>
        <w:tblLook w:val="04A0" w:firstRow="1" w:lastRow="0" w:firstColumn="1" w:lastColumn="0" w:noHBand="0" w:noVBand="1"/>
      </w:tblPr>
      <w:tblGrid>
        <w:gridCol w:w="1815"/>
        <w:gridCol w:w="1800"/>
        <w:gridCol w:w="1980"/>
        <w:gridCol w:w="1620"/>
        <w:gridCol w:w="1890"/>
      </w:tblGrid>
      <w:tr w:rsidR="00CF3217" w:rsidRPr="00915604" w14:paraId="6D5226E5" w14:textId="77777777" w:rsidTr="00CF3217">
        <w:trPr>
          <w:trHeight w:val="238"/>
        </w:trPr>
        <w:tc>
          <w:tcPr>
            <w:tcW w:w="1815"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42B8F23A" w14:textId="77777777" w:rsidR="00915604" w:rsidRPr="00915604" w:rsidRDefault="00915604" w:rsidP="00915604">
            <w:pPr>
              <w:spacing w:before="0" w:after="0" w:line="240" w:lineRule="auto"/>
              <w:rPr>
                <w:rFonts w:ascii="Calibri" w:eastAsia="Times New Roman" w:hAnsi="Calibri" w:cs="Calibri"/>
                <w:color w:val="0F6FC6" w:themeColor="accent1"/>
                <w:sz w:val="16"/>
                <w:szCs w:val="16"/>
                <w:lang w:val="en-US"/>
              </w:rPr>
            </w:pPr>
            <w:r w:rsidRPr="00915604">
              <w:rPr>
                <w:rFonts w:ascii="Calibri" w:eastAsia="Times New Roman" w:hAnsi="Calibri" w:cs="Calibri"/>
                <w:color w:val="0F6FC6" w:themeColor="accent1"/>
                <w:sz w:val="16"/>
                <w:szCs w:val="16"/>
                <w:lang w:val="en-US"/>
              </w:rPr>
              <w:t>Anul</w:t>
            </w:r>
          </w:p>
        </w:tc>
        <w:tc>
          <w:tcPr>
            <w:tcW w:w="3780" w:type="dxa"/>
            <w:gridSpan w:val="2"/>
            <w:tcBorders>
              <w:top w:val="single" w:sz="4" w:space="0" w:color="95B3D7"/>
              <w:left w:val="nil"/>
              <w:bottom w:val="single" w:sz="4" w:space="0" w:color="95B3D7"/>
              <w:right w:val="single" w:sz="4" w:space="0" w:color="FFFFFF"/>
            </w:tcBorders>
            <w:shd w:val="clear" w:color="000000" w:fill="FFFFFF"/>
            <w:hideMark/>
          </w:tcPr>
          <w:p w14:paraId="4C3178E1" w14:textId="77777777" w:rsidR="00915604" w:rsidRPr="00915604" w:rsidRDefault="00915604" w:rsidP="00915604">
            <w:pPr>
              <w:spacing w:before="0" w:after="0" w:line="240" w:lineRule="auto"/>
              <w:jc w:val="right"/>
              <w:rPr>
                <w:rFonts w:ascii="Calibri" w:eastAsia="Times New Roman" w:hAnsi="Calibri" w:cs="Calibri"/>
                <w:color w:val="0F6FC6" w:themeColor="accent1"/>
                <w:sz w:val="16"/>
                <w:szCs w:val="16"/>
                <w:lang w:val="en-US"/>
              </w:rPr>
            </w:pPr>
            <w:r>
              <w:rPr>
                <w:rFonts w:ascii="Calibri" w:eastAsia="Times New Roman" w:hAnsi="Calibri" w:cs="Calibri"/>
                <w:color w:val="0F6FC6" w:themeColor="accent1"/>
                <w:sz w:val="16"/>
                <w:szCs w:val="16"/>
                <w:lang w:val="en-US"/>
              </w:rPr>
              <w:t>Societăți</w:t>
            </w:r>
          </w:p>
        </w:tc>
        <w:tc>
          <w:tcPr>
            <w:tcW w:w="1620"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20F73977" w14:textId="77777777" w:rsidR="00915604" w:rsidRPr="00915604" w:rsidRDefault="00915604" w:rsidP="00915604">
            <w:pPr>
              <w:spacing w:before="0" w:after="0" w:line="240" w:lineRule="auto"/>
              <w:jc w:val="right"/>
              <w:rPr>
                <w:rFonts w:ascii="Calibri" w:eastAsia="Times New Roman" w:hAnsi="Calibri" w:cs="Calibri"/>
                <w:color w:val="0F6FC6" w:themeColor="accent1"/>
                <w:sz w:val="16"/>
                <w:szCs w:val="16"/>
                <w:lang w:val="en-US"/>
              </w:rPr>
            </w:pPr>
            <w:r>
              <w:rPr>
                <w:rFonts w:ascii="Calibri" w:eastAsia="Times New Roman" w:hAnsi="Calibri" w:cs="Calibri"/>
                <w:color w:val="0F6FC6" w:themeColor="accent1"/>
                <w:sz w:val="16"/>
                <w:szCs w:val="16"/>
                <w:lang w:val="en-US"/>
              </w:rPr>
              <w:t>Regii autonome</w:t>
            </w:r>
          </w:p>
        </w:tc>
        <w:tc>
          <w:tcPr>
            <w:tcW w:w="1890"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47644905" w14:textId="77777777" w:rsidR="00915604" w:rsidRPr="00915604" w:rsidRDefault="00915604" w:rsidP="00915604">
            <w:pPr>
              <w:spacing w:before="0" w:after="0" w:line="240" w:lineRule="auto"/>
              <w:jc w:val="right"/>
              <w:rPr>
                <w:rFonts w:ascii="Calibri" w:eastAsia="Times New Roman" w:hAnsi="Calibri" w:cs="Calibri"/>
                <w:color w:val="0F6FC6" w:themeColor="accent1"/>
                <w:sz w:val="16"/>
                <w:szCs w:val="16"/>
                <w:lang w:val="en-US"/>
              </w:rPr>
            </w:pPr>
            <w:r w:rsidRPr="00915604">
              <w:rPr>
                <w:rFonts w:ascii="Calibri" w:eastAsia="Times New Roman" w:hAnsi="Calibri" w:cs="Calibri"/>
                <w:color w:val="0F6FC6" w:themeColor="accent1"/>
                <w:sz w:val="16"/>
                <w:szCs w:val="16"/>
                <w:lang w:val="en-US"/>
              </w:rPr>
              <w:t>Total General</w:t>
            </w:r>
          </w:p>
        </w:tc>
      </w:tr>
      <w:tr w:rsidR="00CF3217" w:rsidRPr="00915604" w14:paraId="41F317A4" w14:textId="77777777" w:rsidTr="00CF3217">
        <w:trPr>
          <w:trHeight w:val="358"/>
        </w:trPr>
        <w:tc>
          <w:tcPr>
            <w:tcW w:w="1815" w:type="dxa"/>
            <w:vMerge/>
            <w:tcBorders>
              <w:top w:val="single" w:sz="4" w:space="0" w:color="95B3D7"/>
              <w:left w:val="single" w:sz="4" w:space="0" w:color="FFFFFF"/>
              <w:bottom w:val="single" w:sz="4" w:space="0" w:color="95B3D7"/>
              <w:right w:val="single" w:sz="4" w:space="0" w:color="FFFFFF"/>
            </w:tcBorders>
            <w:vAlign w:val="center"/>
            <w:hideMark/>
          </w:tcPr>
          <w:p w14:paraId="03AB167B" w14:textId="77777777" w:rsidR="00915604" w:rsidRPr="00915604" w:rsidRDefault="00915604" w:rsidP="00915604">
            <w:pPr>
              <w:spacing w:before="0" w:after="0" w:line="240" w:lineRule="auto"/>
              <w:rPr>
                <w:rFonts w:ascii="Calibri" w:eastAsia="Times New Roman" w:hAnsi="Calibri" w:cs="Calibri"/>
                <w:color w:val="0F6FC6" w:themeColor="accent1"/>
                <w:sz w:val="16"/>
                <w:szCs w:val="16"/>
                <w:lang w:val="en-US"/>
              </w:rPr>
            </w:pPr>
          </w:p>
        </w:tc>
        <w:tc>
          <w:tcPr>
            <w:tcW w:w="1800" w:type="dxa"/>
            <w:tcBorders>
              <w:top w:val="nil"/>
              <w:left w:val="nil"/>
              <w:bottom w:val="single" w:sz="4" w:space="0" w:color="95B3D7"/>
              <w:right w:val="single" w:sz="4" w:space="0" w:color="FFFFFF"/>
            </w:tcBorders>
            <w:shd w:val="clear" w:color="000000" w:fill="FFFFFF"/>
            <w:hideMark/>
          </w:tcPr>
          <w:p w14:paraId="558A26C1" w14:textId="77777777" w:rsidR="00915604" w:rsidRPr="00915604" w:rsidRDefault="00915604" w:rsidP="00915604">
            <w:pPr>
              <w:spacing w:before="0" w:after="0" w:line="240" w:lineRule="auto"/>
              <w:jc w:val="right"/>
              <w:rPr>
                <w:rFonts w:ascii="Calibri" w:eastAsia="Times New Roman" w:hAnsi="Calibri" w:cs="Calibri"/>
                <w:color w:val="0F6FC6" w:themeColor="accent1"/>
                <w:sz w:val="16"/>
                <w:szCs w:val="16"/>
                <w:lang w:val="en-US"/>
              </w:rPr>
            </w:pPr>
            <w:r w:rsidRPr="00915604">
              <w:rPr>
                <w:rFonts w:ascii="Calibri" w:eastAsia="Times New Roman" w:hAnsi="Calibri" w:cs="Calibri"/>
                <w:color w:val="0F6FC6" w:themeColor="accent1"/>
                <w:sz w:val="16"/>
                <w:szCs w:val="16"/>
                <w:lang w:val="en-US"/>
              </w:rPr>
              <w:t>Societăți pe acțiuni</w:t>
            </w:r>
          </w:p>
        </w:tc>
        <w:tc>
          <w:tcPr>
            <w:tcW w:w="1980" w:type="dxa"/>
            <w:tcBorders>
              <w:top w:val="nil"/>
              <w:left w:val="nil"/>
              <w:bottom w:val="single" w:sz="4" w:space="0" w:color="95B3D7"/>
              <w:right w:val="single" w:sz="4" w:space="0" w:color="FFFFFF"/>
            </w:tcBorders>
            <w:shd w:val="clear" w:color="000000" w:fill="FFFFFF"/>
            <w:hideMark/>
          </w:tcPr>
          <w:p w14:paraId="2FFD8B30" w14:textId="77777777" w:rsidR="00915604" w:rsidRPr="00915604" w:rsidRDefault="00915604" w:rsidP="00915604">
            <w:pPr>
              <w:spacing w:before="0" w:after="0" w:line="240" w:lineRule="auto"/>
              <w:jc w:val="right"/>
              <w:rPr>
                <w:rFonts w:ascii="Calibri" w:eastAsia="Times New Roman" w:hAnsi="Calibri" w:cs="Calibri"/>
                <w:color w:val="0F6FC6" w:themeColor="accent1"/>
                <w:sz w:val="16"/>
                <w:szCs w:val="16"/>
                <w:lang w:val="en-US"/>
              </w:rPr>
            </w:pPr>
            <w:r w:rsidRPr="00915604">
              <w:rPr>
                <w:rFonts w:ascii="Calibri" w:eastAsia="Times New Roman" w:hAnsi="Calibri" w:cs="Calibri"/>
                <w:color w:val="0F6FC6" w:themeColor="accent1"/>
                <w:sz w:val="16"/>
                <w:szCs w:val="16"/>
                <w:lang w:val="en-US"/>
              </w:rPr>
              <w:t>Societăți cu răspundere limitată</w:t>
            </w:r>
          </w:p>
        </w:tc>
        <w:tc>
          <w:tcPr>
            <w:tcW w:w="1620" w:type="dxa"/>
            <w:vMerge/>
            <w:tcBorders>
              <w:top w:val="single" w:sz="4" w:space="0" w:color="95B3D7"/>
              <w:left w:val="single" w:sz="4" w:space="0" w:color="FFFFFF"/>
              <w:bottom w:val="single" w:sz="4" w:space="0" w:color="95B3D7"/>
              <w:right w:val="single" w:sz="4" w:space="0" w:color="FFFFFF"/>
            </w:tcBorders>
            <w:vAlign w:val="center"/>
            <w:hideMark/>
          </w:tcPr>
          <w:p w14:paraId="2CD17872" w14:textId="77777777" w:rsidR="00915604" w:rsidRPr="00915604" w:rsidRDefault="00915604" w:rsidP="00915604">
            <w:pPr>
              <w:spacing w:before="0" w:after="0" w:line="240" w:lineRule="auto"/>
              <w:rPr>
                <w:rFonts w:ascii="Calibri" w:eastAsia="Times New Roman" w:hAnsi="Calibri" w:cs="Calibri"/>
                <w:color w:val="0F6FC6" w:themeColor="accent1"/>
                <w:sz w:val="16"/>
                <w:szCs w:val="16"/>
                <w:lang w:val="en-US"/>
              </w:rPr>
            </w:pPr>
          </w:p>
        </w:tc>
        <w:tc>
          <w:tcPr>
            <w:tcW w:w="1890" w:type="dxa"/>
            <w:vMerge/>
            <w:tcBorders>
              <w:top w:val="single" w:sz="4" w:space="0" w:color="95B3D7"/>
              <w:left w:val="single" w:sz="4" w:space="0" w:color="FFFFFF"/>
              <w:bottom w:val="single" w:sz="4" w:space="0" w:color="95B3D7"/>
              <w:right w:val="single" w:sz="4" w:space="0" w:color="FFFFFF"/>
            </w:tcBorders>
            <w:vAlign w:val="center"/>
            <w:hideMark/>
          </w:tcPr>
          <w:p w14:paraId="7B06763E" w14:textId="77777777" w:rsidR="00915604" w:rsidRPr="00915604" w:rsidRDefault="00915604" w:rsidP="00915604">
            <w:pPr>
              <w:spacing w:before="0" w:after="0" w:line="240" w:lineRule="auto"/>
              <w:rPr>
                <w:rFonts w:ascii="Calibri" w:eastAsia="Times New Roman" w:hAnsi="Calibri" w:cs="Calibri"/>
                <w:color w:val="0F6FC6" w:themeColor="accent1"/>
                <w:sz w:val="16"/>
                <w:szCs w:val="16"/>
                <w:lang w:val="en-US"/>
              </w:rPr>
            </w:pPr>
          </w:p>
        </w:tc>
      </w:tr>
      <w:tr w:rsidR="00CF3217" w:rsidRPr="00915604" w14:paraId="267CABFE" w14:textId="77777777" w:rsidTr="00CF3217">
        <w:trPr>
          <w:trHeight w:val="89"/>
        </w:trPr>
        <w:tc>
          <w:tcPr>
            <w:tcW w:w="1815" w:type="dxa"/>
            <w:vMerge/>
            <w:tcBorders>
              <w:top w:val="single" w:sz="4" w:space="0" w:color="95B3D7"/>
              <w:left w:val="single" w:sz="4" w:space="0" w:color="FFFFFF"/>
              <w:bottom w:val="single" w:sz="4" w:space="0" w:color="95B3D7"/>
              <w:right w:val="single" w:sz="4" w:space="0" w:color="FFFFFF"/>
            </w:tcBorders>
            <w:vAlign w:val="center"/>
            <w:hideMark/>
          </w:tcPr>
          <w:p w14:paraId="25DED6CE" w14:textId="77777777" w:rsidR="00915604" w:rsidRPr="00915604" w:rsidRDefault="00915604" w:rsidP="00915604">
            <w:pPr>
              <w:spacing w:before="0" w:after="0" w:line="240" w:lineRule="auto"/>
              <w:rPr>
                <w:rFonts w:ascii="Calibri" w:eastAsia="Times New Roman" w:hAnsi="Calibri" w:cs="Calibri"/>
                <w:color w:val="0F6FC6" w:themeColor="accent1"/>
                <w:sz w:val="16"/>
                <w:szCs w:val="16"/>
                <w:lang w:val="en-US"/>
              </w:rPr>
            </w:pPr>
          </w:p>
        </w:tc>
        <w:tc>
          <w:tcPr>
            <w:tcW w:w="1800" w:type="dxa"/>
            <w:tcBorders>
              <w:top w:val="nil"/>
              <w:left w:val="nil"/>
              <w:bottom w:val="single" w:sz="4" w:space="0" w:color="95B3D7"/>
              <w:right w:val="single" w:sz="4" w:space="0" w:color="FFFFFF"/>
            </w:tcBorders>
            <w:shd w:val="clear" w:color="000000" w:fill="FFFFFF"/>
            <w:hideMark/>
          </w:tcPr>
          <w:p w14:paraId="70E369B6"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1</w:t>
            </w:r>
          </w:p>
        </w:tc>
        <w:tc>
          <w:tcPr>
            <w:tcW w:w="1980" w:type="dxa"/>
            <w:tcBorders>
              <w:top w:val="nil"/>
              <w:left w:val="nil"/>
              <w:bottom w:val="single" w:sz="4" w:space="0" w:color="95B3D7"/>
              <w:right w:val="single" w:sz="4" w:space="0" w:color="FFFFFF"/>
            </w:tcBorders>
            <w:shd w:val="clear" w:color="000000" w:fill="FFFFFF"/>
            <w:hideMark/>
          </w:tcPr>
          <w:p w14:paraId="5F5B52E4"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2</w:t>
            </w:r>
          </w:p>
        </w:tc>
        <w:tc>
          <w:tcPr>
            <w:tcW w:w="1620" w:type="dxa"/>
            <w:tcBorders>
              <w:top w:val="nil"/>
              <w:left w:val="nil"/>
              <w:bottom w:val="single" w:sz="4" w:space="0" w:color="95B3D7"/>
              <w:right w:val="single" w:sz="4" w:space="0" w:color="FFFFFF"/>
            </w:tcBorders>
            <w:shd w:val="clear" w:color="000000" w:fill="FFFFFF"/>
            <w:hideMark/>
          </w:tcPr>
          <w:p w14:paraId="4D87E4B2"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3</w:t>
            </w:r>
          </w:p>
        </w:tc>
        <w:tc>
          <w:tcPr>
            <w:tcW w:w="1890" w:type="dxa"/>
            <w:tcBorders>
              <w:top w:val="nil"/>
              <w:left w:val="nil"/>
              <w:bottom w:val="single" w:sz="4" w:space="0" w:color="95B3D7"/>
              <w:right w:val="single" w:sz="4" w:space="0" w:color="FFFFFF"/>
            </w:tcBorders>
            <w:shd w:val="clear" w:color="000000" w:fill="FFFFFF"/>
            <w:hideMark/>
          </w:tcPr>
          <w:p w14:paraId="715D61C5"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4=1+2+3</w:t>
            </w:r>
          </w:p>
        </w:tc>
      </w:tr>
      <w:tr w:rsidR="00CF3217" w:rsidRPr="00915604" w14:paraId="185D3170" w14:textId="77777777" w:rsidTr="00CF3217">
        <w:trPr>
          <w:trHeight w:val="116"/>
        </w:trPr>
        <w:tc>
          <w:tcPr>
            <w:tcW w:w="1815" w:type="dxa"/>
            <w:vMerge/>
            <w:tcBorders>
              <w:top w:val="single" w:sz="4" w:space="0" w:color="95B3D7"/>
              <w:left w:val="single" w:sz="4" w:space="0" w:color="FFFFFF"/>
              <w:bottom w:val="single" w:sz="4" w:space="0" w:color="95B3D7"/>
              <w:right w:val="single" w:sz="4" w:space="0" w:color="FFFFFF"/>
            </w:tcBorders>
            <w:vAlign w:val="center"/>
            <w:hideMark/>
          </w:tcPr>
          <w:p w14:paraId="17DEF8A2" w14:textId="77777777" w:rsidR="00915604" w:rsidRPr="00915604" w:rsidRDefault="00915604" w:rsidP="00915604">
            <w:pPr>
              <w:spacing w:before="0" w:after="0" w:line="240" w:lineRule="auto"/>
              <w:rPr>
                <w:rFonts w:ascii="Calibri" w:eastAsia="Times New Roman" w:hAnsi="Calibri" w:cs="Calibri"/>
                <w:color w:val="0F6FC6" w:themeColor="accent1"/>
                <w:sz w:val="16"/>
                <w:szCs w:val="16"/>
                <w:lang w:val="en-US"/>
              </w:rPr>
            </w:pPr>
          </w:p>
        </w:tc>
        <w:tc>
          <w:tcPr>
            <w:tcW w:w="1800" w:type="dxa"/>
            <w:tcBorders>
              <w:top w:val="nil"/>
              <w:left w:val="nil"/>
              <w:bottom w:val="nil"/>
              <w:right w:val="single" w:sz="4" w:space="0" w:color="FFFFFF"/>
            </w:tcBorders>
            <w:shd w:val="clear" w:color="000000" w:fill="FFFFFF"/>
            <w:hideMark/>
          </w:tcPr>
          <w:p w14:paraId="5FF50BA8"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nr. ÎP</w:t>
            </w:r>
          </w:p>
        </w:tc>
        <w:tc>
          <w:tcPr>
            <w:tcW w:w="1980" w:type="dxa"/>
            <w:tcBorders>
              <w:top w:val="nil"/>
              <w:left w:val="nil"/>
              <w:bottom w:val="nil"/>
              <w:right w:val="single" w:sz="4" w:space="0" w:color="FFFFFF"/>
            </w:tcBorders>
            <w:shd w:val="clear" w:color="000000" w:fill="FFFFFF"/>
            <w:hideMark/>
          </w:tcPr>
          <w:p w14:paraId="56CD1DB2"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nr. ÎP</w:t>
            </w:r>
          </w:p>
        </w:tc>
        <w:tc>
          <w:tcPr>
            <w:tcW w:w="1620" w:type="dxa"/>
            <w:tcBorders>
              <w:top w:val="nil"/>
              <w:left w:val="nil"/>
              <w:bottom w:val="nil"/>
              <w:right w:val="single" w:sz="4" w:space="0" w:color="FFFFFF"/>
            </w:tcBorders>
            <w:shd w:val="clear" w:color="000000" w:fill="FFFFFF"/>
            <w:hideMark/>
          </w:tcPr>
          <w:p w14:paraId="15F92490"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nr. ÎP</w:t>
            </w:r>
          </w:p>
        </w:tc>
        <w:tc>
          <w:tcPr>
            <w:tcW w:w="1890" w:type="dxa"/>
            <w:tcBorders>
              <w:top w:val="nil"/>
              <w:left w:val="nil"/>
              <w:bottom w:val="nil"/>
              <w:right w:val="single" w:sz="4" w:space="0" w:color="FFFFFF"/>
            </w:tcBorders>
            <w:shd w:val="clear" w:color="000000" w:fill="FFFFFF"/>
            <w:hideMark/>
          </w:tcPr>
          <w:p w14:paraId="11FC5533" w14:textId="77777777" w:rsidR="00915604" w:rsidRPr="00915604" w:rsidRDefault="00915604" w:rsidP="00915604">
            <w:pPr>
              <w:spacing w:before="0" w:after="0" w:line="240" w:lineRule="auto"/>
              <w:jc w:val="right"/>
              <w:rPr>
                <w:rFonts w:ascii="Calibri" w:eastAsia="Times New Roman" w:hAnsi="Calibri" w:cs="Calibri"/>
                <w:i/>
                <w:color w:val="0F6FC6" w:themeColor="accent1"/>
                <w:sz w:val="14"/>
                <w:szCs w:val="14"/>
                <w:lang w:val="en-US"/>
              </w:rPr>
            </w:pPr>
            <w:r w:rsidRPr="00915604">
              <w:rPr>
                <w:rFonts w:ascii="Calibri" w:eastAsia="Times New Roman" w:hAnsi="Calibri" w:cs="Calibri"/>
                <w:i/>
                <w:color w:val="0F6FC6" w:themeColor="accent1"/>
                <w:sz w:val="14"/>
                <w:szCs w:val="14"/>
                <w:lang w:val="en-US"/>
              </w:rPr>
              <w:t>nr. ÎP</w:t>
            </w:r>
          </w:p>
        </w:tc>
      </w:tr>
      <w:tr w:rsidR="00CF3217" w:rsidRPr="00915604" w14:paraId="259399BF" w14:textId="77777777" w:rsidTr="00CF3217">
        <w:trPr>
          <w:trHeight w:val="238"/>
        </w:trPr>
        <w:tc>
          <w:tcPr>
            <w:tcW w:w="1815" w:type="dxa"/>
            <w:tcBorders>
              <w:top w:val="nil"/>
              <w:left w:val="single" w:sz="4" w:space="0" w:color="FFFFFF"/>
              <w:bottom w:val="nil"/>
              <w:right w:val="single" w:sz="4" w:space="0" w:color="FFFFFF"/>
            </w:tcBorders>
            <w:shd w:val="clear" w:color="000000" w:fill="FFFFFF"/>
            <w:noWrap/>
            <w:hideMark/>
          </w:tcPr>
          <w:p w14:paraId="4A3E5A19" w14:textId="77777777" w:rsidR="00915604" w:rsidRPr="00915604" w:rsidRDefault="00915604" w:rsidP="00915604">
            <w:pPr>
              <w:spacing w:before="0" w:after="0" w:line="240" w:lineRule="auto"/>
              <w:rPr>
                <w:rFonts w:ascii="Calibri" w:eastAsia="Times New Roman" w:hAnsi="Calibri" w:cs="Calibri"/>
                <w:sz w:val="16"/>
                <w:szCs w:val="16"/>
                <w:lang w:val="en-US"/>
              </w:rPr>
            </w:pPr>
            <w:r w:rsidRPr="00915604">
              <w:rPr>
                <w:rFonts w:ascii="Calibri" w:eastAsia="Times New Roman" w:hAnsi="Calibri" w:cs="Calibri"/>
                <w:sz w:val="16"/>
                <w:szCs w:val="16"/>
                <w:lang w:val="en-US"/>
              </w:rPr>
              <w:t>2018</w:t>
            </w:r>
          </w:p>
        </w:tc>
        <w:tc>
          <w:tcPr>
            <w:tcW w:w="1800" w:type="dxa"/>
            <w:tcBorders>
              <w:top w:val="single" w:sz="4" w:space="0" w:color="538DD5"/>
              <w:left w:val="nil"/>
              <w:bottom w:val="nil"/>
              <w:right w:val="single" w:sz="4" w:space="0" w:color="FFFFFF"/>
            </w:tcBorders>
            <w:shd w:val="clear" w:color="000000" w:fill="FFFFFF"/>
            <w:noWrap/>
            <w:hideMark/>
          </w:tcPr>
          <w:p w14:paraId="551344B3" w14:textId="77777777" w:rsidR="00915604" w:rsidRPr="00915604" w:rsidRDefault="00915604" w:rsidP="00915604">
            <w:pPr>
              <w:spacing w:before="0" w:after="0" w:line="240" w:lineRule="auto"/>
              <w:jc w:val="right"/>
              <w:rPr>
                <w:rFonts w:ascii="Calibri" w:eastAsia="Times New Roman" w:hAnsi="Calibri" w:cs="Calibri"/>
                <w:sz w:val="16"/>
                <w:szCs w:val="16"/>
                <w:lang w:val="en-US"/>
              </w:rPr>
            </w:pPr>
            <w:r w:rsidRPr="00915604">
              <w:rPr>
                <w:rFonts w:ascii="Calibri" w:eastAsia="Times New Roman" w:hAnsi="Calibri" w:cs="Calibri"/>
                <w:sz w:val="16"/>
                <w:szCs w:val="16"/>
                <w:lang w:val="en-US"/>
              </w:rPr>
              <w:t>279</w:t>
            </w:r>
          </w:p>
        </w:tc>
        <w:tc>
          <w:tcPr>
            <w:tcW w:w="1980" w:type="dxa"/>
            <w:tcBorders>
              <w:top w:val="single" w:sz="4" w:space="0" w:color="538DD5"/>
              <w:left w:val="nil"/>
              <w:bottom w:val="nil"/>
              <w:right w:val="single" w:sz="4" w:space="0" w:color="FFFFFF"/>
            </w:tcBorders>
            <w:shd w:val="clear" w:color="000000" w:fill="FFFFFF"/>
            <w:noWrap/>
            <w:hideMark/>
          </w:tcPr>
          <w:p w14:paraId="5F3F7C24" w14:textId="77777777" w:rsidR="00915604" w:rsidRPr="00915604" w:rsidRDefault="00915604" w:rsidP="00915604">
            <w:pPr>
              <w:spacing w:before="0" w:after="0" w:line="240" w:lineRule="auto"/>
              <w:jc w:val="right"/>
              <w:rPr>
                <w:rFonts w:ascii="Calibri" w:eastAsia="Times New Roman" w:hAnsi="Calibri" w:cs="Calibri"/>
                <w:sz w:val="16"/>
                <w:szCs w:val="16"/>
                <w:lang w:val="en-US"/>
              </w:rPr>
            </w:pPr>
            <w:r w:rsidRPr="00915604">
              <w:rPr>
                <w:rFonts w:ascii="Calibri" w:eastAsia="Times New Roman" w:hAnsi="Calibri" w:cs="Calibri"/>
                <w:sz w:val="16"/>
                <w:szCs w:val="16"/>
                <w:lang w:val="en-US"/>
              </w:rPr>
              <w:t>879</w:t>
            </w:r>
          </w:p>
        </w:tc>
        <w:tc>
          <w:tcPr>
            <w:tcW w:w="1620" w:type="dxa"/>
            <w:tcBorders>
              <w:top w:val="single" w:sz="4" w:space="0" w:color="538DD5"/>
              <w:left w:val="nil"/>
              <w:bottom w:val="nil"/>
              <w:right w:val="single" w:sz="4" w:space="0" w:color="FFFFFF"/>
            </w:tcBorders>
            <w:shd w:val="clear" w:color="000000" w:fill="FFFFFF"/>
            <w:noWrap/>
            <w:hideMark/>
          </w:tcPr>
          <w:p w14:paraId="218A473F" w14:textId="77777777" w:rsidR="00915604" w:rsidRPr="00915604" w:rsidRDefault="00915604" w:rsidP="00915604">
            <w:pPr>
              <w:spacing w:before="0" w:after="0" w:line="240" w:lineRule="auto"/>
              <w:jc w:val="right"/>
              <w:rPr>
                <w:rFonts w:ascii="Calibri" w:eastAsia="Times New Roman" w:hAnsi="Calibri" w:cs="Calibri"/>
                <w:sz w:val="16"/>
                <w:szCs w:val="16"/>
                <w:lang w:val="en-US"/>
              </w:rPr>
            </w:pPr>
            <w:r w:rsidRPr="00915604">
              <w:rPr>
                <w:rFonts w:ascii="Calibri" w:eastAsia="Times New Roman" w:hAnsi="Calibri" w:cs="Calibri"/>
                <w:sz w:val="16"/>
                <w:szCs w:val="16"/>
                <w:lang w:val="en-US"/>
              </w:rPr>
              <w:t>92</w:t>
            </w:r>
          </w:p>
        </w:tc>
        <w:tc>
          <w:tcPr>
            <w:tcW w:w="1890" w:type="dxa"/>
            <w:tcBorders>
              <w:top w:val="single" w:sz="4" w:space="0" w:color="538DD5"/>
              <w:left w:val="nil"/>
              <w:bottom w:val="nil"/>
              <w:right w:val="single" w:sz="4" w:space="0" w:color="FFFFFF"/>
            </w:tcBorders>
            <w:shd w:val="clear" w:color="000000" w:fill="FFFFFF"/>
            <w:noWrap/>
            <w:hideMark/>
          </w:tcPr>
          <w:p w14:paraId="50DC1161" w14:textId="77777777" w:rsidR="00915604" w:rsidRPr="00915604" w:rsidRDefault="00915604" w:rsidP="00915604">
            <w:pPr>
              <w:spacing w:before="0" w:after="0" w:line="240" w:lineRule="auto"/>
              <w:jc w:val="right"/>
              <w:rPr>
                <w:rFonts w:ascii="Calibri" w:eastAsia="Times New Roman" w:hAnsi="Calibri" w:cs="Calibri"/>
                <w:bCs/>
                <w:sz w:val="16"/>
                <w:szCs w:val="16"/>
                <w:lang w:val="en-US"/>
              </w:rPr>
            </w:pPr>
            <w:r w:rsidRPr="00915604">
              <w:rPr>
                <w:rFonts w:ascii="Calibri" w:eastAsia="Times New Roman" w:hAnsi="Calibri" w:cs="Calibri"/>
                <w:bCs/>
                <w:sz w:val="16"/>
                <w:szCs w:val="16"/>
                <w:lang w:val="en-US"/>
              </w:rPr>
              <w:t>1.250</w:t>
            </w:r>
          </w:p>
        </w:tc>
      </w:tr>
      <w:tr w:rsidR="00CF3217" w:rsidRPr="00915604" w14:paraId="0C252E34" w14:textId="77777777" w:rsidTr="00CF3217">
        <w:trPr>
          <w:trHeight w:val="238"/>
        </w:trPr>
        <w:tc>
          <w:tcPr>
            <w:tcW w:w="1815" w:type="dxa"/>
            <w:tcBorders>
              <w:top w:val="nil"/>
              <w:left w:val="single" w:sz="4" w:space="0" w:color="FFFFFF"/>
              <w:bottom w:val="nil"/>
              <w:right w:val="single" w:sz="4" w:space="0" w:color="FFFFFF"/>
            </w:tcBorders>
            <w:shd w:val="clear" w:color="000000" w:fill="FFFFFF"/>
            <w:noWrap/>
            <w:hideMark/>
          </w:tcPr>
          <w:p w14:paraId="2A7DF042" w14:textId="77777777" w:rsidR="00915604" w:rsidRPr="00915604" w:rsidRDefault="00915604" w:rsidP="00915604">
            <w:pPr>
              <w:spacing w:before="0" w:after="0" w:line="240" w:lineRule="auto"/>
              <w:rPr>
                <w:rFonts w:ascii="Calibri" w:eastAsia="Times New Roman" w:hAnsi="Calibri" w:cs="Calibri"/>
                <w:sz w:val="16"/>
                <w:szCs w:val="16"/>
                <w:lang w:val="en-US"/>
              </w:rPr>
            </w:pPr>
            <w:r w:rsidRPr="00915604">
              <w:rPr>
                <w:rFonts w:ascii="Calibri" w:eastAsia="Times New Roman" w:hAnsi="Calibri" w:cs="Calibri"/>
                <w:sz w:val="16"/>
                <w:szCs w:val="16"/>
                <w:lang w:val="en-US"/>
              </w:rPr>
              <w:t>2019</w:t>
            </w:r>
          </w:p>
        </w:tc>
        <w:tc>
          <w:tcPr>
            <w:tcW w:w="1800" w:type="dxa"/>
            <w:tcBorders>
              <w:top w:val="nil"/>
              <w:left w:val="nil"/>
              <w:bottom w:val="nil"/>
              <w:right w:val="single" w:sz="4" w:space="0" w:color="FFFFFF"/>
            </w:tcBorders>
            <w:shd w:val="clear" w:color="000000" w:fill="FFFFFF"/>
            <w:noWrap/>
            <w:hideMark/>
          </w:tcPr>
          <w:p w14:paraId="3C76CC79" w14:textId="77777777" w:rsidR="00915604" w:rsidRPr="00915604" w:rsidRDefault="00915604" w:rsidP="00915604">
            <w:pPr>
              <w:spacing w:before="0" w:after="0" w:line="240" w:lineRule="auto"/>
              <w:jc w:val="right"/>
              <w:rPr>
                <w:rFonts w:ascii="Calibri" w:eastAsia="Times New Roman" w:hAnsi="Calibri" w:cs="Calibri"/>
                <w:bCs/>
                <w:sz w:val="16"/>
                <w:szCs w:val="16"/>
                <w:lang w:val="en-US"/>
              </w:rPr>
            </w:pPr>
            <w:r w:rsidRPr="00915604">
              <w:rPr>
                <w:rFonts w:ascii="Calibri" w:eastAsia="Times New Roman" w:hAnsi="Calibri" w:cs="Calibri"/>
                <w:bCs/>
                <w:sz w:val="16"/>
                <w:szCs w:val="16"/>
                <w:lang w:val="en-US"/>
              </w:rPr>
              <w:t>294</w:t>
            </w:r>
          </w:p>
        </w:tc>
        <w:tc>
          <w:tcPr>
            <w:tcW w:w="1980" w:type="dxa"/>
            <w:tcBorders>
              <w:top w:val="nil"/>
              <w:left w:val="nil"/>
              <w:bottom w:val="nil"/>
              <w:right w:val="single" w:sz="4" w:space="0" w:color="FFFFFF"/>
            </w:tcBorders>
            <w:shd w:val="clear" w:color="000000" w:fill="FFFFFF"/>
            <w:noWrap/>
            <w:hideMark/>
          </w:tcPr>
          <w:p w14:paraId="348F1626" w14:textId="77777777" w:rsidR="00915604" w:rsidRPr="00915604" w:rsidRDefault="00915604" w:rsidP="00915604">
            <w:pPr>
              <w:spacing w:before="0" w:after="0" w:line="240" w:lineRule="auto"/>
              <w:jc w:val="right"/>
              <w:rPr>
                <w:rFonts w:ascii="Calibri" w:eastAsia="Times New Roman" w:hAnsi="Calibri" w:cs="Calibri"/>
                <w:bCs/>
                <w:sz w:val="16"/>
                <w:szCs w:val="16"/>
                <w:lang w:val="en-US"/>
              </w:rPr>
            </w:pPr>
            <w:r w:rsidRPr="00915604">
              <w:rPr>
                <w:rFonts w:ascii="Calibri" w:eastAsia="Times New Roman" w:hAnsi="Calibri" w:cs="Calibri"/>
                <w:bCs/>
                <w:sz w:val="16"/>
                <w:szCs w:val="16"/>
                <w:lang w:val="en-US"/>
              </w:rPr>
              <w:t>856</w:t>
            </w:r>
          </w:p>
        </w:tc>
        <w:tc>
          <w:tcPr>
            <w:tcW w:w="1620" w:type="dxa"/>
            <w:tcBorders>
              <w:top w:val="nil"/>
              <w:left w:val="nil"/>
              <w:bottom w:val="nil"/>
              <w:right w:val="single" w:sz="4" w:space="0" w:color="FFFFFF"/>
            </w:tcBorders>
            <w:shd w:val="clear" w:color="000000" w:fill="FFFFFF"/>
            <w:noWrap/>
            <w:hideMark/>
          </w:tcPr>
          <w:p w14:paraId="705181A0" w14:textId="77777777" w:rsidR="00915604" w:rsidRPr="00915604" w:rsidRDefault="00915604" w:rsidP="00915604">
            <w:pPr>
              <w:spacing w:before="0" w:after="0" w:line="240" w:lineRule="auto"/>
              <w:jc w:val="right"/>
              <w:rPr>
                <w:rFonts w:ascii="Calibri" w:eastAsia="Times New Roman" w:hAnsi="Calibri" w:cs="Calibri"/>
                <w:bCs/>
                <w:sz w:val="16"/>
                <w:szCs w:val="16"/>
                <w:lang w:val="en-US"/>
              </w:rPr>
            </w:pPr>
            <w:r w:rsidRPr="00915604">
              <w:rPr>
                <w:rFonts w:ascii="Calibri" w:eastAsia="Times New Roman" w:hAnsi="Calibri" w:cs="Calibri"/>
                <w:bCs/>
                <w:sz w:val="16"/>
                <w:szCs w:val="16"/>
                <w:lang w:val="en-US"/>
              </w:rPr>
              <w:t>87</w:t>
            </w:r>
          </w:p>
        </w:tc>
        <w:tc>
          <w:tcPr>
            <w:tcW w:w="1890" w:type="dxa"/>
            <w:tcBorders>
              <w:top w:val="nil"/>
              <w:left w:val="nil"/>
              <w:bottom w:val="nil"/>
              <w:right w:val="single" w:sz="4" w:space="0" w:color="FFFFFF"/>
            </w:tcBorders>
            <w:shd w:val="clear" w:color="000000" w:fill="FFFFFF"/>
            <w:noWrap/>
            <w:hideMark/>
          </w:tcPr>
          <w:p w14:paraId="01E6BE75" w14:textId="77777777" w:rsidR="00915604" w:rsidRPr="00915604" w:rsidRDefault="00915604" w:rsidP="00915604">
            <w:pPr>
              <w:spacing w:before="0" w:after="0" w:line="240" w:lineRule="auto"/>
              <w:jc w:val="right"/>
              <w:rPr>
                <w:rFonts w:ascii="Calibri" w:eastAsia="Times New Roman" w:hAnsi="Calibri" w:cs="Calibri"/>
                <w:bCs/>
                <w:sz w:val="16"/>
                <w:szCs w:val="16"/>
                <w:lang w:val="en-US"/>
              </w:rPr>
            </w:pPr>
            <w:r w:rsidRPr="00915604">
              <w:rPr>
                <w:rFonts w:ascii="Calibri" w:eastAsia="Times New Roman" w:hAnsi="Calibri" w:cs="Calibri"/>
                <w:bCs/>
                <w:sz w:val="16"/>
                <w:szCs w:val="16"/>
                <w:lang w:val="en-US"/>
              </w:rPr>
              <w:t>1.237</w:t>
            </w:r>
          </w:p>
        </w:tc>
      </w:tr>
      <w:tr w:rsidR="00CF3217" w:rsidRPr="00915604" w14:paraId="1EED1973" w14:textId="77777777" w:rsidTr="00CF3217">
        <w:trPr>
          <w:trHeight w:val="238"/>
        </w:trPr>
        <w:tc>
          <w:tcPr>
            <w:tcW w:w="1815" w:type="dxa"/>
            <w:tcBorders>
              <w:top w:val="single" w:sz="4" w:space="0" w:color="538DD5"/>
              <w:left w:val="single" w:sz="4" w:space="0" w:color="FFFFFF"/>
              <w:bottom w:val="single" w:sz="4" w:space="0" w:color="538DD5"/>
              <w:right w:val="single" w:sz="4" w:space="0" w:color="FFFFFF"/>
            </w:tcBorders>
            <w:shd w:val="clear" w:color="000000" w:fill="FFFFFF"/>
            <w:noWrap/>
            <w:hideMark/>
          </w:tcPr>
          <w:p w14:paraId="096A2E01" w14:textId="77777777" w:rsidR="00915604" w:rsidRPr="00915604" w:rsidRDefault="00915604" w:rsidP="00915604">
            <w:pPr>
              <w:spacing w:before="0" w:after="0" w:line="240" w:lineRule="auto"/>
              <w:rPr>
                <w:rFonts w:ascii="Calibri" w:eastAsia="Times New Roman" w:hAnsi="Calibri" w:cs="Calibri"/>
                <w:sz w:val="16"/>
                <w:szCs w:val="16"/>
                <w:lang w:val="en-US"/>
              </w:rPr>
            </w:pPr>
            <w:r w:rsidRPr="00915604">
              <w:rPr>
                <w:rFonts w:ascii="Calibri" w:eastAsia="Times New Roman" w:hAnsi="Calibri" w:cs="Calibri"/>
                <w:sz w:val="16"/>
                <w:szCs w:val="16"/>
                <w:lang w:val="en-US"/>
              </w:rPr>
              <w:t>2020</w:t>
            </w:r>
          </w:p>
        </w:tc>
        <w:tc>
          <w:tcPr>
            <w:tcW w:w="1800" w:type="dxa"/>
            <w:tcBorders>
              <w:top w:val="single" w:sz="4" w:space="0" w:color="538DD5"/>
              <w:left w:val="nil"/>
              <w:bottom w:val="single" w:sz="4" w:space="0" w:color="538DD5"/>
              <w:right w:val="single" w:sz="4" w:space="0" w:color="FFFFFF"/>
            </w:tcBorders>
            <w:shd w:val="clear" w:color="000000" w:fill="FFFFFF"/>
            <w:noWrap/>
            <w:hideMark/>
          </w:tcPr>
          <w:p w14:paraId="49738DCE" w14:textId="77777777" w:rsidR="00915604" w:rsidRPr="00915604" w:rsidRDefault="00915604" w:rsidP="00915604">
            <w:pPr>
              <w:spacing w:before="0" w:after="0" w:line="240" w:lineRule="auto"/>
              <w:jc w:val="right"/>
              <w:rPr>
                <w:rFonts w:ascii="Calibri" w:eastAsia="Times New Roman" w:hAnsi="Calibri" w:cs="Calibri"/>
                <w:b/>
                <w:bCs/>
                <w:sz w:val="16"/>
                <w:szCs w:val="16"/>
                <w:lang w:val="en-US"/>
              </w:rPr>
            </w:pPr>
            <w:r w:rsidRPr="00915604">
              <w:rPr>
                <w:rFonts w:ascii="Calibri" w:eastAsia="Times New Roman" w:hAnsi="Calibri" w:cs="Calibri"/>
                <w:b/>
                <w:bCs/>
                <w:sz w:val="16"/>
                <w:szCs w:val="16"/>
                <w:lang w:val="en-US"/>
              </w:rPr>
              <w:t>292</w:t>
            </w:r>
          </w:p>
        </w:tc>
        <w:tc>
          <w:tcPr>
            <w:tcW w:w="1980" w:type="dxa"/>
            <w:tcBorders>
              <w:top w:val="single" w:sz="4" w:space="0" w:color="538DD5"/>
              <w:left w:val="nil"/>
              <w:bottom w:val="single" w:sz="4" w:space="0" w:color="538DD5"/>
              <w:right w:val="single" w:sz="4" w:space="0" w:color="FFFFFF"/>
            </w:tcBorders>
            <w:shd w:val="clear" w:color="000000" w:fill="FFFFFF"/>
            <w:noWrap/>
            <w:hideMark/>
          </w:tcPr>
          <w:p w14:paraId="71140448" w14:textId="77777777" w:rsidR="00915604" w:rsidRPr="00915604" w:rsidRDefault="00915604" w:rsidP="00915604">
            <w:pPr>
              <w:spacing w:before="0" w:after="0" w:line="240" w:lineRule="auto"/>
              <w:jc w:val="right"/>
              <w:rPr>
                <w:rFonts w:ascii="Calibri" w:eastAsia="Times New Roman" w:hAnsi="Calibri" w:cs="Calibri"/>
                <w:b/>
                <w:bCs/>
                <w:sz w:val="16"/>
                <w:szCs w:val="16"/>
                <w:lang w:val="en-US"/>
              </w:rPr>
            </w:pPr>
            <w:r w:rsidRPr="00915604">
              <w:rPr>
                <w:rFonts w:ascii="Calibri" w:eastAsia="Times New Roman" w:hAnsi="Calibri" w:cs="Calibri"/>
                <w:b/>
                <w:bCs/>
                <w:sz w:val="16"/>
                <w:szCs w:val="16"/>
                <w:lang w:val="en-US"/>
              </w:rPr>
              <w:t>862</w:t>
            </w:r>
          </w:p>
        </w:tc>
        <w:tc>
          <w:tcPr>
            <w:tcW w:w="1620" w:type="dxa"/>
            <w:tcBorders>
              <w:top w:val="single" w:sz="4" w:space="0" w:color="538DD5"/>
              <w:left w:val="nil"/>
              <w:bottom w:val="single" w:sz="4" w:space="0" w:color="538DD5"/>
              <w:right w:val="single" w:sz="4" w:space="0" w:color="FFFFFF"/>
            </w:tcBorders>
            <w:shd w:val="clear" w:color="000000" w:fill="FFFFFF"/>
            <w:noWrap/>
            <w:hideMark/>
          </w:tcPr>
          <w:p w14:paraId="27F53F69" w14:textId="77777777" w:rsidR="00915604" w:rsidRPr="00915604" w:rsidRDefault="00915604" w:rsidP="00915604">
            <w:pPr>
              <w:spacing w:before="0" w:after="0" w:line="240" w:lineRule="auto"/>
              <w:jc w:val="right"/>
              <w:rPr>
                <w:rFonts w:ascii="Calibri" w:eastAsia="Times New Roman" w:hAnsi="Calibri" w:cs="Calibri"/>
                <w:b/>
                <w:bCs/>
                <w:sz w:val="16"/>
                <w:szCs w:val="16"/>
                <w:lang w:val="en-US"/>
              </w:rPr>
            </w:pPr>
            <w:r w:rsidRPr="00915604">
              <w:rPr>
                <w:rFonts w:ascii="Calibri" w:eastAsia="Times New Roman" w:hAnsi="Calibri" w:cs="Calibri"/>
                <w:b/>
                <w:bCs/>
                <w:sz w:val="16"/>
                <w:szCs w:val="16"/>
                <w:lang w:val="en-US"/>
              </w:rPr>
              <w:t>84</w:t>
            </w:r>
          </w:p>
        </w:tc>
        <w:tc>
          <w:tcPr>
            <w:tcW w:w="1890" w:type="dxa"/>
            <w:tcBorders>
              <w:top w:val="single" w:sz="4" w:space="0" w:color="538DD5"/>
              <w:left w:val="nil"/>
              <w:bottom w:val="single" w:sz="4" w:space="0" w:color="538DD5"/>
              <w:right w:val="single" w:sz="4" w:space="0" w:color="FFFFFF"/>
            </w:tcBorders>
            <w:shd w:val="clear" w:color="000000" w:fill="FFFFFF"/>
            <w:noWrap/>
            <w:hideMark/>
          </w:tcPr>
          <w:p w14:paraId="068E5F5D" w14:textId="77777777" w:rsidR="00915604" w:rsidRPr="00915604" w:rsidRDefault="00915604" w:rsidP="00915604">
            <w:pPr>
              <w:spacing w:before="0" w:after="0" w:line="240" w:lineRule="auto"/>
              <w:jc w:val="right"/>
              <w:rPr>
                <w:rFonts w:ascii="Calibri" w:eastAsia="Times New Roman" w:hAnsi="Calibri" w:cs="Calibri"/>
                <w:b/>
                <w:bCs/>
                <w:sz w:val="16"/>
                <w:szCs w:val="16"/>
                <w:lang w:val="en-US"/>
              </w:rPr>
            </w:pPr>
            <w:r w:rsidRPr="00915604">
              <w:rPr>
                <w:rFonts w:ascii="Calibri" w:eastAsia="Times New Roman" w:hAnsi="Calibri" w:cs="Calibri"/>
                <w:b/>
                <w:bCs/>
                <w:sz w:val="16"/>
                <w:szCs w:val="16"/>
                <w:lang w:val="en-US"/>
              </w:rPr>
              <w:t>1.238</w:t>
            </w:r>
          </w:p>
        </w:tc>
      </w:tr>
    </w:tbl>
    <w:p w14:paraId="08F62021" w14:textId="77777777" w:rsidR="00915604" w:rsidRPr="00D95C57" w:rsidRDefault="00915604" w:rsidP="007A6011">
      <w:pPr>
        <w:pStyle w:val="ListParagraph"/>
        <w:ind w:left="0"/>
        <w:jc w:val="both"/>
        <w:rPr>
          <w:rFonts w:asciiTheme="majorHAnsi" w:hAnsiTheme="majorHAnsi" w:cs="Times New Roman"/>
        </w:rPr>
      </w:pPr>
    </w:p>
    <w:p w14:paraId="653B532D" w14:textId="77777777" w:rsidR="00F81951" w:rsidRPr="00D95C57" w:rsidRDefault="00402879" w:rsidP="00196475">
      <w:pPr>
        <w:spacing w:before="0" w:after="160"/>
        <w:jc w:val="both"/>
        <w:rPr>
          <w:rFonts w:asciiTheme="majorHAnsi" w:hAnsiTheme="majorHAnsi" w:cs="Times New Roman"/>
        </w:rPr>
      </w:pPr>
      <w:r>
        <w:rPr>
          <w:rFonts w:asciiTheme="majorHAnsi" w:hAnsiTheme="majorHAnsi" w:cs="Times New Roman"/>
        </w:rPr>
        <w:t>Ca u</w:t>
      </w:r>
      <w:r w:rsidR="00F81951" w:rsidRPr="00D95C57">
        <w:rPr>
          <w:rFonts w:asciiTheme="majorHAnsi" w:hAnsiTheme="majorHAnsi" w:cs="Times New Roman"/>
        </w:rPr>
        <w:t xml:space="preserve">rmare </w:t>
      </w:r>
      <w:r>
        <w:rPr>
          <w:rFonts w:asciiTheme="majorHAnsi" w:hAnsiTheme="majorHAnsi" w:cs="Times New Roman"/>
        </w:rPr>
        <w:t xml:space="preserve">a </w:t>
      </w:r>
      <w:r w:rsidR="00F81951" w:rsidRPr="00D95C57">
        <w:rPr>
          <w:rFonts w:asciiTheme="majorHAnsi" w:hAnsiTheme="majorHAnsi" w:cs="Times New Roman"/>
        </w:rPr>
        <w:t>acțiunii permanente de identificare a entităților care îndeplinesc condițiile prevăzute în articolul 1 al Ordonanței Guvernului nr. 26/2013</w:t>
      </w:r>
      <w:r w:rsidR="00CF4E49" w:rsidRPr="00D95C57">
        <w:rPr>
          <w:rStyle w:val="FootnoteReference"/>
          <w:rFonts w:asciiTheme="majorHAnsi" w:hAnsiTheme="majorHAnsi" w:cs="Times New Roman"/>
        </w:rPr>
        <w:footnoteReference w:id="10"/>
      </w:r>
      <w:r w:rsidR="00F81951" w:rsidRPr="00D95C57">
        <w:rPr>
          <w:rFonts w:asciiTheme="majorHAnsi" w:hAnsiTheme="majorHAnsi" w:cs="Times New Roman"/>
        </w:rPr>
        <w:t>, față de numărul de 1.</w:t>
      </w:r>
      <w:r w:rsidR="007E1CC2" w:rsidRPr="00D95C57">
        <w:rPr>
          <w:rFonts w:asciiTheme="majorHAnsi" w:hAnsiTheme="majorHAnsi" w:cs="Times New Roman"/>
        </w:rPr>
        <w:t>2</w:t>
      </w:r>
      <w:r w:rsidR="00CF3217">
        <w:rPr>
          <w:rFonts w:asciiTheme="majorHAnsi" w:hAnsiTheme="majorHAnsi" w:cs="Times New Roman"/>
        </w:rPr>
        <w:t>37</w:t>
      </w:r>
      <w:r w:rsidR="00F81951" w:rsidRPr="00D95C57">
        <w:rPr>
          <w:rFonts w:asciiTheme="majorHAnsi" w:hAnsiTheme="majorHAnsi" w:cs="Times New Roman"/>
        </w:rPr>
        <w:t xml:space="preserve"> ÎP</w:t>
      </w:r>
      <w:r w:rsidR="001E796D" w:rsidRPr="00D95C57">
        <w:rPr>
          <w:rFonts w:asciiTheme="majorHAnsi" w:hAnsiTheme="majorHAnsi" w:cs="Times New Roman"/>
        </w:rPr>
        <w:t>L</w:t>
      </w:r>
      <w:r w:rsidR="00F81951" w:rsidRPr="00D95C57">
        <w:rPr>
          <w:rFonts w:asciiTheme="majorHAnsi" w:hAnsiTheme="majorHAnsi" w:cs="Times New Roman"/>
        </w:rPr>
        <w:t xml:space="preserve"> monitorizate în anul 201</w:t>
      </w:r>
      <w:r w:rsidR="00CF3217">
        <w:rPr>
          <w:rFonts w:asciiTheme="majorHAnsi" w:hAnsiTheme="majorHAnsi" w:cs="Times New Roman"/>
        </w:rPr>
        <w:t>9</w:t>
      </w:r>
      <w:r w:rsidR="00F81951" w:rsidRPr="00D95C57">
        <w:rPr>
          <w:rFonts w:asciiTheme="majorHAnsi" w:hAnsiTheme="majorHAnsi" w:cs="Times New Roman"/>
        </w:rPr>
        <w:t>, în anul 20</w:t>
      </w:r>
      <w:r w:rsidR="00CF3217">
        <w:rPr>
          <w:rFonts w:asciiTheme="majorHAnsi" w:hAnsiTheme="majorHAnsi" w:cs="Times New Roman"/>
        </w:rPr>
        <w:t>20</w:t>
      </w:r>
      <w:r w:rsidR="00F81951" w:rsidRPr="00D95C57">
        <w:rPr>
          <w:rFonts w:asciiTheme="majorHAnsi" w:hAnsiTheme="majorHAnsi" w:cs="Times New Roman"/>
        </w:rPr>
        <w:t xml:space="preserve"> </w:t>
      </w:r>
      <w:r w:rsidR="00196475" w:rsidRPr="00D95C57">
        <w:rPr>
          <w:rFonts w:asciiTheme="majorHAnsi" w:hAnsiTheme="majorHAnsi" w:cs="Times New Roman"/>
        </w:rPr>
        <w:t xml:space="preserve">în activitatea de monitorizare </w:t>
      </w:r>
      <w:r w:rsidR="00F81951" w:rsidRPr="00D95C57">
        <w:rPr>
          <w:rFonts w:asciiTheme="majorHAnsi" w:hAnsiTheme="majorHAnsi" w:cs="Times New Roman"/>
        </w:rPr>
        <w:t>a fost adăugat un număr de</w:t>
      </w:r>
      <w:r w:rsidR="00F81951" w:rsidRPr="005D2267">
        <w:rPr>
          <w:rFonts w:asciiTheme="majorHAnsi" w:hAnsiTheme="majorHAnsi" w:cs="Times New Roman"/>
          <w:b/>
        </w:rPr>
        <w:t xml:space="preserve"> </w:t>
      </w:r>
      <w:r w:rsidR="00CF3217">
        <w:rPr>
          <w:rFonts w:asciiTheme="majorHAnsi" w:hAnsiTheme="majorHAnsi" w:cs="Times New Roman"/>
          <w:b/>
        </w:rPr>
        <w:t>46</w:t>
      </w:r>
      <w:r w:rsidR="00F81951" w:rsidRPr="00D95C57">
        <w:rPr>
          <w:rFonts w:asciiTheme="majorHAnsi" w:hAnsiTheme="majorHAnsi" w:cs="Times New Roman"/>
          <w:b/>
          <w:bCs/>
        </w:rPr>
        <w:t xml:space="preserve"> ÎP</w:t>
      </w:r>
      <w:r w:rsidR="001E796D" w:rsidRPr="00D95C57">
        <w:rPr>
          <w:rFonts w:asciiTheme="majorHAnsi" w:hAnsiTheme="majorHAnsi" w:cs="Times New Roman"/>
          <w:b/>
          <w:bCs/>
        </w:rPr>
        <w:t>L</w:t>
      </w:r>
      <w:r w:rsidR="00F81951" w:rsidRPr="00D95C57">
        <w:rPr>
          <w:rFonts w:asciiTheme="majorHAnsi" w:hAnsiTheme="majorHAnsi" w:cs="Times New Roman"/>
          <w:b/>
          <w:bCs/>
        </w:rPr>
        <w:t xml:space="preserve"> nou identificate</w:t>
      </w:r>
      <w:r w:rsidR="00F81951" w:rsidRPr="00D95C57">
        <w:rPr>
          <w:rFonts w:asciiTheme="majorHAnsi" w:hAnsiTheme="majorHAnsi" w:cs="Times New Roman"/>
        </w:rPr>
        <w:t xml:space="preserve"> sau înființate</w:t>
      </w:r>
      <w:r w:rsidR="00196475" w:rsidRPr="00D95C57">
        <w:rPr>
          <w:rFonts w:asciiTheme="majorHAnsi" w:hAnsiTheme="majorHAnsi" w:cs="Times New Roman"/>
        </w:rPr>
        <w:t xml:space="preserve">. Din activitatea de monitorizare au fost </w:t>
      </w:r>
      <w:r w:rsidR="00196475" w:rsidRPr="00D95C57">
        <w:rPr>
          <w:rFonts w:asciiTheme="majorHAnsi" w:hAnsiTheme="majorHAnsi" w:cs="Times New Roman"/>
          <w:b/>
          <w:bCs/>
        </w:rPr>
        <w:t>eliminate</w:t>
      </w:r>
      <w:r w:rsidR="00196475" w:rsidRPr="00D95C57">
        <w:rPr>
          <w:rFonts w:asciiTheme="majorHAnsi" w:hAnsiTheme="majorHAnsi" w:cs="Times New Roman"/>
        </w:rPr>
        <w:t xml:space="preserve"> un număr de </w:t>
      </w:r>
      <w:r w:rsidR="00CF3217">
        <w:rPr>
          <w:rFonts w:asciiTheme="majorHAnsi" w:hAnsiTheme="majorHAnsi" w:cs="Times New Roman"/>
          <w:b/>
        </w:rPr>
        <w:t>45</w:t>
      </w:r>
      <w:r w:rsidR="00AA17D6" w:rsidRPr="005D2267">
        <w:rPr>
          <w:rFonts w:asciiTheme="majorHAnsi" w:hAnsiTheme="majorHAnsi" w:cs="Times New Roman"/>
          <w:b/>
          <w:bCs/>
        </w:rPr>
        <w:t xml:space="preserve"> </w:t>
      </w:r>
      <w:r w:rsidR="00196475" w:rsidRPr="00D95C57">
        <w:rPr>
          <w:rFonts w:asciiTheme="majorHAnsi" w:hAnsiTheme="majorHAnsi" w:cs="Times New Roman"/>
        </w:rPr>
        <w:t xml:space="preserve"> </w:t>
      </w:r>
      <w:r w:rsidR="00621CE6" w:rsidRPr="00D95C57">
        <w:rPr>
          <w:rFonts w:asciiTheme="majorHAnsi" w:hAnsiTheme="majorHAnsi" w:cs="Times New Roman"/>
          <w:b/>
          <w:bCs/>
        </w:rPr>
        <w:t xml:space="preserve">ÎPL </w:t>
      </w:r>
      <w:r w:rsidR="00196475" w:rsidRPr="00D95C57">
        <w:rPr>
          <w:rFonts w:asciiTheme="majorHAnsi" w:hAnsiTheme="majorHAnsi" w:cs="Times New Roman"/>
          <w:b/>
          <w:bCs/>
        </w:rPr>
        <w:t>care au intrat în proceduri prevăzute de Legea nr. 85/2014</w:t>
      </w:r>
      <w:r w:rsidR="00CF3217">
        <w:rPr>
          <w:rFonts w:asciiTheme="majorHAnsi" w:hAnsiTheme="majorHAnsi" w:cs="Times New Roman"/>
          <w:b/>
          <w:bCs/>
        </w:rPr>
        <w:t xml:space="preserve">  </w:t>
      </w:r>
      <w:r w:rsidR="00CF3217">
        <w:rPr>
          <w:rFonts w:asciiTheme="majorHAnsi" w:hAnsiTheme="majorHAnsi" w:cs="Times New Roman"/>
        </w:rPr>
        <w:t>sau</w:t>
      </w:r>
      <w:r w:rsidR="00F81951" w:rsidRPr="00A228A3">
        <w:rPr>
          <w:rFonts w:asciiTheme="majorHAnsi" w:hAnsiTheme="majorHAnsi" w:cs="Times New Roman"/>
          <w:b/>
          <w:bCs/>
        </w:rPr>
        <w:t xml:space="preserve"> ÎP</w:t>
      </w:r>
      <w:r w:rsidR="001E796D" w:rsidRPr="00A228A3">
        <w:rPr>
          <w:rFonts w:asciiTheme="majorHAnsi" w:hAnsiTheme="majorHAnsi" w:cs="Times New Roman"/>
          <w:b/>
          <w:bCs/>
        </w:rPr>
        <w:t>L</w:t>
      </w:r>
      <w:r w:rsidR="00196475" w:rsidRPr="00A228A3">
        <w:rPr>
          <w:rFonts w:asciiTheme="majorHAnsi" w:hAnsiTheme="majorHAnsi" w:cs="Times New Roman"/>
          <w:b/>
          <w:bCs/>
        </w:rPr>
        <w:t xml:space="preserve"> la care </w:t>
      </w:r>
      <w:r w:rsidR="00196475" w:rsidRPr="00D95C57">
        <w:rPr>
          <w:rFonts w:asciiTheme="majorHAnsi" w:hAnsiTheme="majorHAnsi" w:cs="Times New Roman"/>
          <w:b/>
          <w:bCs/>
        </w:rPr>
        <w:t>APTL nu mai dețin participații majoritare ori au fost</w:t>
      </w:r>
      <w:r w:rsidR="00F81951" w:rsidRPr="00D95C57">
        <w:rPr>
          <w:rFonts w:asciiTheme="majorHAnsi" w:hAnsiTheme="majorHAnsi" w:cs="Times New Roman"/>
          <w:b/>
          <w:bCs/>
        </w:rPr>
        <w:t xml:space="preserve"> radi</w:t>
      </w:r>
      <w:r w:rsidR="00196475" w:rsidRPr="00D95C57">
        <w:rPr>
          <w:rFonts w:asciiTheme="majorHAnsi" w:hAnsiTheme="majorHAnsi" w:cs="Times New Roman"/>
          <w:b/>
          <w:bCs/>
        </w:rPr>
        <w:t>ate</w:t>
      </w:r>
      <w:r w:rsidR="00F81951" w:rsidRPr="00D95C57">
        <w:rPr>
          <w:rFonts w:asciiTheme="majorHAnsi" w:hAnsiTheme="majorHAnsi" w:cs="Times New Roman"/>
          <w:b/>
          <w:bCs/>
        </w:rPr>
        <w:t xml:space="preserve"> </w:t>
      </w:r>
      <w:r w:rsidR="00F81951" w:rsidRPr="00D95C57">
        <w:rPr>
          <w:rFonts w:asciiTheme="majorHAnsi" w:hAnsiTheme="majorHAnsi" w:cs="Times New Roman"/>
        </w:rPr>
        <w:t>de la Oficiul Național al Registrului Comerțului</w:t>
      </w:r>
      <w:r w:rsidR="00CF728D" w:rsidRPr="00D95C57">
        <w:rPr>
          <w:rFonts w:asciiTheme="majorHAnsi" w:hAnsiTheme="majorHAnsi" w:cs="Times New Roman"/>
        </w:rPr>
        <w:t xml:space="preserve">, </w:t>
      </w:r>
      <w:r>
        <w:rPr>
          <w:rFonts w:asciiTheme="majorHAnsi" w:hAnsiTheme="majorHAnsi" w:cs="Times New Roman"/>
        </w:rPr>
        <w:t xml:space="preserve">astfel încât </w:t>
      </w:r>
      <w:r w:rsidR="00CF728D" w:rsidRPr="00D95C57">
        <w:rPr>
          <w:rFonts w:asciiTheme="majorHAnsi" w:hAnsiTheme="majorHAnsi" w:cs="Times New Roman"/>
        </w:rPr>
        <w:t>la fi</w:t>
      </w:r>
      <w:r w:rsidR="00F81951" w:rsidRPr="00D95C57">
        <w:rPr>
          <w:rFonts w:asciiTheme="majorHAnsi" w:hAnsiTheme="majorHAnsi" w:cs="Times New Roman"/>
        </w:rPr>
        <w:t>nalul anului 20</w:t>
      </w:r>
      <w:r w:rsidR="00CF3217">
        <w:rPr>
          <w:rFonts w:asciiTheme="majorHAnsi" w:hAnsiTheme="majorHAnsi" w:cs="Times New Roman"/>
        </w:rPr>
        <w:t>20</w:t>
      </w:r>
      <w:r w:rsidR="00F81951" w:rsidRPr="00D95C57">
        <w:rPr>
          <w:rFonts w:asciiTheme="majorHAnsi" w:hAnsiTheme="majorHAnsi" w:cs="Times New Roman"/>
        </w:rPr>
        <w:t xml:space="preserve"> numărul întreprinderilor publice la care autoritățile publice tutelare locale dețin controlul să fie de </w:t>
      </w:r>
      <w:r w:rsidR="00F81951" w:rsidRPr="00D95C57">
        <w:rPr>
          <w:rFonts w:asciiTheme="majorHAnsi" w:hAnsiTheme="majorHAnsi" w:cs="Times New Roman"/>
          <w:b/>
          <w:bCs/>
        </w:rPr>
        <w:t>1.</w:t>
      </w:r>
      <w:r w:rsidR="00196475" w:rsidRPr="00D95C57">
        <w:rPr>
          <w:rFonts w:asciiTheme="majorHAnsi" w:hAnsiTheme="majorHAnsi" w:cs="Times New Roman"/>
          <w:b/>
          <w:bCs/>
        </w:rPr>
        <w:t>2</w:t>
      </w:r>
      <w:r w:rsidR="005D2267">
        <w:rPr>
          <w:rFonts w:asciiTheme="majorHAnsi" w:hAnsiTheme="majorHAnsi" w:cs="Times New Roman"/>
          <w:b/>
          <w:bCs/>
        </w:rPr>
        <w:t>3</w:t>
      </w:r>
      <w:r w:rsidR="00CF3217">
        <w:rPr>
          <w:rFonts w:asciiTheme="majorHAnsi" w:hAnsiTheme="majorHAnsi" w:cs="Times New Roman"/>
          <w:b/>
          <w:bCs/>
        </w:rPr>
        <w:t>8</w:t>
      </w:r>
      <w:r w:rsidR="00F81951" w:rsidRPr="00D95C57">
        <w:rPr>
          <w:rFonts w:asciiTheme="majorHAnsi" w:hAnsiTheme="majorHAnsi" w:cs="Times New Roman"/>
          <w:b/>
          <w:bCs/>
        </w:rPr>
        <w:t xml:space="preserve"> întreprinderi publice</w:t>
      </w:r>
      <w:r w:rsidR="00F81951" w:rsidRPr="00D95C57">
        <w:rPr>
          <w:rFonts w:asciiTheme="majorHAnsi" w:hAnsiTheme="majorHAnsi" w:cs="Times New Roman"/>
        </w:rPr>
        <w:t xml:space="preserve">. </w:t>
      </w:r>
    </w:p>
    <w:p w14:paraId="2FF2C03D" w14:textId="77777777" w:rsidR="004C01A4" w:rsidRDefault="004C01A4" w:rsidP="009F00E4">
      <w:pPr>
        <w:spacing w:before="0" w:after="0"/>
        <w:jc w:val="both"/>
        <w:rPr>
          <w:rFonts w:asciiTheme="majorHAnsi" w:hAnsiTheme="majorHAnsi" w:cs="Times New Roman"/>
          <w:bCs/>
        </w:rPr>
      </w:pPr>
      <w:r w:rsidRPr="00D95C57">
        <w:rPr>
          <w:rFonts w:asciiTheme="majorHAnsi" w:hAnsiTheme="majorHAnsi" w:cs="Times New Roman"/>
        </w:rPr>
        <w:t>Pe parcursul anului 20</w:t>
      </w:r>
      <w:r w:rsidR="00CF3217">
        <w:rPr>
          <w:rFonts w:asciiTheme="majorHAnsi" w:hAnsiTheme="majorHAnsi" w:cs="Times New Roman"/>
        </w:rPr>
        <w:t>20</w:t>
      </w:r>
      <w:r w:rsidRPr="00D95C57">
        <w:rPr>
          <w:rFonts w:asciiTheme="majorHAnsi" w:hAnsiTheme="majorHAnsi" w:cs="Times New Roman"/>
        </w:rPr>
        <w:t xml:space="preserve"> au fost incluse în activitatea de monitorizare </w:t>
      </w:r>
      <w:r w:rsidRPr="00D95C57">
        <w:rPr>
          <w:rFonts w:asciiTheme="majorHAnsi" w:hAnsiTheme="majorHAnsi" w:cs="Times New Roman"/>
          <w:b/>
          <w:bCs/>
        </w:rPr>
        <w:t xml:space="preserve">un număr suplimentar de </w:t>
      </w:r>
      <w:r w:rsidR="00CF3217">
        <w:rPr>
          <w:rFonts w:asciiTheme="majorHAnsi" w:hAnsiTheme="majorHAnsi" w:cs="Times New Roman"/>
          <w:b/>
          <w:bCs/>
        </w:rPr>
        <w:t>4</w:t>
      </w:r>
      <w:r w:rsidR="005D2267">
        <w:rPr>
          <w:rFonts w:asciiTheme="majorHAnsi" w:hAnsiTheme="majorHAnsi" w:cs="Times New Roman"/>
          <w:b/>
          <w:bCs/>
        </w:rPr>
        <w:t>6</w:t>
      </w:r>
      <w:r w:rsidRPr="00D95C57">
        <w:rPr>
          <w:rFonts w:asciiTheme="majorHAnsi" w:hAnsiTheme="majorHAnsi" w:cs="Times New Roman"/>
          <w:b/>
          <w:bCs/>
        </w:rPr>
        <w:t xml:space="preserve"> întreprinderi publice</w:t>
      </w:r>
      <w:r w:rsidRPr="00D95C57">
        <w:rPr>
          <w:rFonts w:asciiTheme="majorHAnsi" w:hAnsiTheme="majorHAnsi" w:cs="Times New Roman"/>
        </w:rPr>
        <w:t xml:space="preserve"> </w:t>
      </w:r>
      <w:r w:rsidR="00621CE6" w:rsidRPr="00D95C57">
        <w:rPr>
          <w:rFonts w:asciiTheme="majorHAnsi" w:hAnsiTheme="majorHAnsi" w:cs="Times New Roman"/>
        </w:rPr>
        <w:t>acestea</w:t>
      </w:r>
      <w:r w:rsidRPr="00D95C57">
        <w:rPr>
          <w:rFonts w:asciiTheme="majorHAnsi" w:hAnsiTheme="majorHAnsi" w:cs="Times New Roman"/>
        </w:rPr>
        <w:t xml:space="preserve"> </w:t>
      </w:r>
      <w:r w:rsidRPr="00D95C57">
        <w:rPr>
          <w:rFonts w:asciiTheme="majorHAnsi" w:hAnsiTheme="majorHAnsi" w:cs="Times New Roman"/>
          <w:b/>
          <w:bCs/>
        </w:rPr>
        <w:t>îndeplin</w:t>
      </w:r>
      <w:r w:rsidR="00621CE6" w:rsidRPr="00D95C57">
        <w:rPr>
          <w:rFonts w:asciiTheme="majorHAnsi" w:hAnsiTheme="majorHAnsi" w:cs="Times New Roman"/>
          <w:b/>
          <w:bCs/>
        </w:rPr>
        <w:t>ind</w:t>
      </w:r>
      <w:r w:rsidRPr="00D95C57">
        <w:rPr>
          <w:rFonts w:asciiTheme="majorHAnsi" w:hAnsiTheme="majorHAnsi" w:cs="Times New Roman"/>
          <w:b/>
          <w:bCs/>
        </w:rPr>
        <w:t xml:space="preserve"> condițiile pentru a fi încadrate în </w:t>
      </w:r>
      <w:r w:rsidR="009F00E4" w:rsidRPr="00D95C57">
        <w:rPr>
          <w:rFonts w:asciiTheme="majorHAnsi" w:hAnsiTheme="majorHAnsi" w:cs="Times New Roman"/>
          <w:b/>
          <w:bCs/>
        </w:rPr>
        <w:t>activitatea de monitorizare conform O.G nr. 26/2013</w:t>
      </w:r>
      <w:r w:rsidRPr="00D95C57">
        <w:rPr>
          <w:rFonts w:asciiTheme="majorHAnsi" w:hAnsiTheme="majorHAnsi" w:cs="Times New Roman"/>
          <w:b/>
          <w:bCs/>
        </w:rPr>
        <w:t xml:space="preserve">, </w:t>
      </w:r>
      <w:r w:rsidR="009F00E4" w:rsidRPr="00D95C57">
        <w:rPr>
          <w:rFonts w:asciiTheme="majorHAnsi" w:hAnsiTheme="majorHAnsi" w:cs="Times New Roman"/>
        </w:rPr>
        <w:t xml:space="preserve">din care </w:t>
      </w:r>
      <w:r w:rsidR="00BF7020">
        <w:rPr>
          <w:rFonts w:asciiTheme="majorHAnsi" w:hAnsiTheme="majorHAnsi" w:cs="Times New Roman"/>
          <w:bCs/>
        </w:rPr>
        <w:t>3</w:t>
      </w:r>
      <w:r w:rsidR="003D50F4" w:rsidRPr="00D95C57">
        <w:rPr>
          <w:rFonts w:asciiTheme="majorHAnsi" w:hAnsiTheme="majorHAnsi" w:cs="Times New Roman"/>
          <w:bCs/>
        </w:rPr>
        <w:t xml:space="preserve"> societăți pe acțiuni</w:t>
      </w:r>
      <w:r w:rsidR="005D2267">
        <w:rPr>
          <w:rFonts w:asciiTheme="majorHAnsi" w:hAnsiTheme="majorHAnsi" w:cs="Times New Roman"/>
          <w:bCs/>
        </w:rPr>
        <w:t xml:space="preserve"> </w:t>
      </w:r>
      <w:r w:rsidR="003D50F4" w:rsidRPr="00D95C57">
        <w:rPr>
          <w:rFonts w:asciiTheme="majorHAnsi" w:hAnsiTheme="majorHAnsi" w:cs="Times New Roman"/>
          <w:bCs/>
        </w:rPr>
        <w:t xml:space="preserve">și </w:t>
      </w:r>
      <w:r w:rsidR="00953FE4" w:rsidRPr="00D95C57">
        <w:rPr>
          <w:rFonts w:asciiTheme="majorHAnsi" w:hAnsiTheme="majorHAnsi" w:cs="Times New Roman"/>
          <w:bCs/>
        </w:rPr>
        <w:t>4</w:t>
      </w:r>
      <w:r w:rsidR="00CF3217">
        <w:rPr>
          <w:rFonts w:asciiTheme="majorHAnsi" w:hAnsiTheme="majorHAnsi" w:cs="Times New Roman"/>
          <w:bCs/>
        </w:rPr>
        <w:t>3</w:t>
      </w:r>
      <w:r w:rsidR="003D50F4" w:rsidRPr="00D95C57">
        <w:rPr>
          <w:rFonts w:asciiTheme="majorHAnsi" w:hAnsiTheme="majorHAnsi" w:cs="Times New Roman"/>
          <w:bCs/>
        </w:rPr>
        <w:t xml:space="preserve"> s</w:t>
      </w:r>
      <w:r w:rsidR="009F00E4" w:rsidRPr="00D95C57">
        <w:rPr>
          <w:rFonts w:asciiTheme="majorHAnsi" w:hAnsiTheme="majorHAnsi" w:cs="Times New Roman"/>
          <w:bCs/>
        </w:rPr>
        <w:t>ocietăți cu răspundere limitată.</w:t>
      </w:r>
    </w:p>
    <w:p w14:paraId="0EC5A44D" w14:textId="77777777" w:rsidR="00CF3217" w:rsidRDefault="00CF3217" w:rsidP="009F00E4">
      <w:pPr>
        <w:spacing w:before="0" w:after="0"/>
        <w:jc w:val="both"/>
        <w:rPr>
          <w:rFonts w:asciiTheme="majorHAnsi" w:hAnsiTheme="majorHAnsi" w:cs="Times New Roman"/>
          <w:color w:val="000000" w:themeColor="text1"/>
        </w:rPr>
      </w:pPr>
    </w:p>
    <w:p w14:paraId="4F3CE408" w14:textId="77777777" w:rsidR="00CF3217" w:rsidRDefault="00CF3217" w:rsidP="009F00E4">
      <w:pPr>
        <w:spacing w:before="0" w:after="0"/>
        <w:jc w:val="both"/>
        <w:rPr>
          <w:rFonts w:asciiTheme="majorHAnsi" w:hAnsiTheme="majorHAnsi" w:cs="Times New Roman"/>
          <w:bCs/>
        </w:rPr>
      </w:pPr>
      <w:r w:rsidRPr="00CF3217">
        <w:rPr>
          <w:rFonts w:asciiTheme="majorHAnsi" w:hAnsiTheme="majorHAnsi" w:cs="Times New Roman"/>
          <w:color w:val="000000" w:themeColor="text1"/>
        </w:rPr>
        <w:t>TABEL – Situația distribuției numărului ÎPL pe regiuni de dezvoltare în perioada 2018-2020</w:t>
      </w:r>
    </w:p>
    <w:p w14:paraId="6E04DA60" w14:textId="77777777" w:rsidR="00CF3217" w:rsidRDefault="00CF3217" w:rsidP="009F00E4">
      <w:pPr>
        <w:spacing w:before="0" w:after="0"/>
        <w:jc w:val="both"/>
        <w:rPr>
          <w:rFonts w:asciiTheme="majorHAnsi" w:hAnsiTheme="majorHAnsi" w:cs="Times New Roman"/>
          <w:bCs/>
        </w:rPr>
      </w:pPr>
    </w:p>
    <w:tbl>
      <w:tblPr>
        <w:tblW w:w="9113" w:type="dxa"/>
        <w:tblInd w:w="93" w:type="dxa"/>
        <w:tblLook w:val="04A0" w:firstRow="1" w:lastRow="0" w:firstColumn="1" w:lastColumn="0" w:noHBand="0" w:noVBand="1"/>
      </w:tblPr>
      <w:tblGrid>
        <w:gridCol w:w="4007"/>
        <w:gridCol w:w="1702"/>
        <w:gridCol w:w="1702"/>
        <w:gridCol w:w="1702"/>
      </w:tblGrid>
      <w:tr w:rsidR="00CF3217" w:rsidRPr="00CF3217" w14:paraId="071662FD" w14:textId="77777777" w:rsidTr="00CF3217">
        <w:trPr>
          <w:trHeight w:val="581"/>
        </w:trPr>
        <w:tc>
          <w:tcPr>
            <w:tcW w:w="4007"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4B3A7C0D"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Regiune de dezvoltare</w:t>
            </w:r>
          </w:p>
        </w:tc>
        <w:tc>
          <w:tcPr>
            <w:tcW w:w="1702"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1DB5DD36" w14:textId="77777777" w:rsidR="00CF3217" w:rsidRPr="00095079" w:rsidRDefault="00CF3217" w:rsidP="00CF3217">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2018</w:t>
            </w:r>
          </w:p>
        </w:tc>
        <w:tc>
          <w:tcPr>
            <w:tcW w:w="1702"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64F415F7" w14:textId="77777777" w:rsidR="00CF3217" w:rsidRPr="00095079" w:rsidRDefault="00CF3217" w:rsidP="00CF3217">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2019</w:t>
            </w:r>
          </w:p>
        </w:tc>
        <w:tc>
          <w:tcPr>
            <w:tcW w:w="1702"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02FB8B29" w14:textId="77777777" w:rsidR="00CF3217" w:rsidRPr="00095079" w:rsidRDefault="00CF3217" w:rsidP="00CF3217">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2020</w:t>
            </w:r>
          </w:p>
        </w:tc>
      </w:tr>
      <w:tr w:rsidR="00CF3217" w:rsidRPr="00CF3217" w14:paraId="52855AC5" w14:textId="77777777" w:rsidTr="00CF3217">
        <w:trPr>
          <w:trHeight w:val="581"/>
        </w:trPr>
        <w:tc>
          <w:tcPr>
            <w:tcW w:w="4007" w:type="dxa"/>
            <w:vMerge/>
            <w:tcBorders>
              <w:top w:val="single" w:sz="4" w:space="0" w:color="95B3D7"/>
              <w:left w:val="single" w:sz="4" w:space="0" w:color="FFFFFF"/>
              <w:bottom w:val="single" w:sz="4" w:space="0" w:color="95B3D7"/>
              <w:right w:val="single" w:sz="4" w:space="0" w:color="FFFFFF"/>
            </w:tcBorders>
            <w:vAlign w:val="center"/>
            <w:hideMark/>
          </w:tcPr>
          <w:p w14:paraId="00E03525"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p>
        </w:tc>
        <w:tc>
          <w:tcPr>
            <w:tcW w:w="1702" w:type="dxa"/>
            <w:vMerge/>
            <w:tcBorders>
              <w:top w:val="single" w:sz="4" w:space="0" w:color="95B3D7"/>
              <w:left w:val="single" w:sz="4" w:space="0" w:color="FFFFFF"/>
              <w:bottom w:val="single" w:sz="4" w:space="0" w:color="95B3D7"/>
              <w:right w:val="single" w:sz="4" w:space="0" w:color="FFFFFF"/>
            </w:tcBorders>
            <w:vAlign w:val="center"/>
            <w:hideMark/>
          </w:tcPr>
          <w:p w14:paraId="34637D83"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p>
        </w:tc>
        <w:tc>
          <w:tcPr>
            <w:tcW w:w="1702" w:type="dxa"/>
            <w:vMerge/>
            <w:tcBorders>
              <w:top w:val="single" w:sz="4" w:space="0" w:color="95B3D7"/>
              <w:left w:val="single" w:sz="4" w:space="0" w:color="FFFFFF"/>
              <w:bottom w:val="single" w:sz="4" w:space="0" w:color="95B3D7"/>
              <w:right w:val="single" w:sz="4" w:space="0" w:color="FFFFFF"/>
            </w:tcBorders>
            <w:vAlign w:val="center"/>
            <w:hideMark/>
          </w:tcPr>
          <w:p w14:paraId="67D2D432"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p>
        </w:tc>
        <w:tc>
          <w:tcPr>
            <w:tcW w:w="1702" w:type="dxa"/>
            <w:vMerge/>
            <w:tcBorders>
              <w:top w:val="single" w:sz="4" w:space="0" w:color="95B3D7"/>
              <w:left w:val="single" w:sz="4" w:space="0" w:color="FFFFFF"/>
              <w:bottom w:val="single" w:sz="4" w:space="0" w:color="95B3D7"/>
              <w:right w:val="single" w:sz="4" w:space="0" w:color="FFFFFF"/>
            </w:tcBorders>
            <w:vAlign w:val="center"/>
            <w:hideMark/>
          </w:tcPr>
          <w:p w14:paraId="1E237D29"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p>
        </w:tc>
      </w:tr>
      <w:tr w:rsidR="00CF3217" w:rsidRPr="00CF3217" w14:paraId="0BB7D73E" w14:textId="77777777" w:rsidTr="00CF3217">
        <w:trPr>
          <w:trHeight w:val="258"/>
        </w:trPr>
        <w:tc>
          <w:tcPr>
            <w:tcW w:w="4007" w:type="dxa"/>
            <w:vMerge/>
            <w:tcBorders>
              <w:top w:val="single" w:sz="4" w:space="0" w:color="95B3D7"/>
              <w:left w:val="single" w:sz="4" w:space="0" w:color="FFFFFF"/>
              <w:bottom w:val="single" w:sz="4" w:space="0" w:color="95B3D7"/>
              <w:right w:val="single" w:sz="4" w:space="0" w:color="FFFFFF"/>
            </w:tcBorders>
            <w:vAlign w:val="center"/>
            <w:hideMark/>
          </w:tcPr>
          <w:p w14:paraId="60F81F57"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p>
        </w:tc>
        <w:tc>
          <w:tcPr>
            <w:tcW w:w="1702" w:type="dxa"/>
            <w:tcBorders>
              <w:top w:val="nil"/>
              <w:left w:val="nil"/>
              <w:bottom w:val="single" w:sz="4" w:space="0" w:color="95B3D7"/>
              <w:right w:val="single" w:sz="4" w:space="0" w:color="FFFFFF"/>
            </w:tcBorders>
            <w:shd w:val="clear" w:color="000000" w:fill="FFFFFF"/>
            <w:vAlign w:val="center"/>
            <w:hideMark/>
          </w:tcPr>
          <w:p w14:paraId="29D73C66" w14:textId="77777777" w:rsidR="00CF3217" w:rsidRPr="00095079" w:rsidRDefault="00CF3217" w:rsidP="00CF3217">
            <w:pPr>
              <w:spacing w:before="0" w:after="0" w:line="240" w:lineRule="auto"/>
              <w:jc w:val="right"/>
              <w:rPr>
                <w:rFonts w:ascii="Calibri" w:eastAsia="Times New Roman" w:hAnsi="Calibri" w:cs="Calibri"/>
                <w:i/>
                <w:color w:val="0F6FC6" w:themeColor="accent1"/>
                <w:sz w:val="14"/>
                <w:szCs w:val="14"/>
                <w:lang w:val="en-US"/>
              </w:rPr>
            </w:pPr>
            <w:r w:rsidRPr="00095079">
              <w:rPr>
                <w:rFonts w:ascii="Calibri" w:eastAsia="Times New Roman" w:hAnsi="Calibri" w:cs="Calibri"/>
                <w:i/>
                <w:color w:val="0F6FC6" w:themeColor="accent1"/>
                <w:sz w:val="14"/>
                <w:szCs w:val="14"/>
                <w:lang w:val="en-US"/>
              </w:rPr>
              <w:t>nr. ÎPL</w:t>
            </w:r>
          </w:p>
        </w:tc>
        <w:tc>
          <w:tcPr>
            <w:tcW w:w="1702" w:type="dxa"/>
            <w:tcBorders>
              <w:top w:val="nil"/>
              <w:left w:val="nil"/>
              <w:bottom w:val="single" w:sz="4" w:space="0" w:color="95B3D7"/>
              <w:right w:val="single" w:sz="4" w:space="0" w:color="FFFFFF"/>
            </w:tcBorders>
            <w:shd w:val="clear" w:color="000000" w:fill="FFFFFF"/>
            <w:vAlign w:val="center"/>
            <w:hideMark/>
          </w:tcPr>
          <w:p w14:paraId="4134EF32" w14:textId="77777777" w:rsidR="00CF3217" w:rsidRPr="00095079" w:rsidRDefault="00CF3217" w:rsidP="00CF3217">
            <w:pPr>
              <w:spacing w:before="0" w:after="0" w:line="240" w:lineRule="auto"/>
              <w:jc w:val="right"/>
              <w:rPr>
                <w:rFonts w:ascii="Calibri" w:eastAsia="Times New Roman" w:hAnsi="Calibri" w:cs="Calibri"/>
                <w:i/>
                <w:color w:val="0F6FC6" w:themeColor="accent1"/>
                <w:sz w:val="14"/>
                <w:szCs w:val="14"/>
                <w:lang w:val="en-US"/>
              </w:rPr>
            </w:pPr>
            <w:r w:rsidRPr="00095079">
              <w:rPr>
                <w:rFonts w:ascii="Calibri" w:eastAsia="Times New Roman" w:hAnsi="Calibri" w:cs="Calibri"/>
                <w:i/>
                <w:color w:val="0F6FC6" w:themeColor="accent1"/>
                <w:sz w:val="14"/>
                <w:szCs w:val="14"/>
                <w:lang w:val="en-US"/>
              </w:rPr>
              <w:t>nr. ÎPL</w:t>
            </w:r>
          </w:p>
        </w:tc>
        <w:tc>
          <w:tcPr>
            <w:tcW w:w="1702" w:type="dxa"/>
            <w:tcBorders>
              <w:top w:val="nil"/>
              <w:left w:val="nil"/>
              <w:bottom w:val="single" w:sz="4" w:space="0" w:color="95B3D7"/>
              <w:right w:val="single" w:sz="4" w:space="0" w:color="FFFFFF"/>
            </w:tcBorders>
            <w:shd w:val="clear" w:color="000000" w:fill="FFFFFF"/>
            <w:vAlign w:val="center"/>
            <w:hideMark/>
          </w:tcPr>
          <w:p w14:paraId="26C91859" w14:textId="77777777" w:rsidR="00CF3217" w:rsidRPr="00095079" w:rsidRDefault="00CF3217" w:rsidP="00CF3217">
            <w:pPr>
              <w:spacing w:before="0" w:after="0" w:line="240" w:lineRule="auto"/>
              <w:jc w:val="right"/>
              <w:rPr>
                <w:rFonts w:ascii="Calibri" w:eastAsia="Times New Roman" w:hAnsi="Calibri" w:cs="Calibri"/>
                <w:i/>
                <w:color w:val="0F6FC6" w:themeColor="accent1"/>
                <w:sz w:val="14"/>
                <w:szCs w:val="14"/>
                <w:lang w:val="en-US"/>
              </w:rPr>
            </w:pPr>
            <w:r w:rsidRPr="00095079">
              <w:rPr>
                <w:rFonts w:ascii="Calibri" w:eastAsia="Times New Roman" w:hAnsi="Calibri" w:cs="Calibri"/>
                <w:i/>
                <w:color w:val="0F6FC6" w:themeColor="accent1"/>
                <w:sz w:val="14"/>
                <w:szCs w:val="14"/>
                <w:lang w:val="en-US"/>
              </w:rPr>
              <w:t>nr. ÎPL</w:t>
            </w:r>
          </w:p>
        </w:tc>
      </w:tr>
      <w:tr w:rsidR="00CF3217" w:rsidRPr="00CF3217" w14:paraId="54BF24E2" w14:textId="77777777" w:rsidTr="00CF3217">
        <w:trPr>
          <w:trHeight w:val="258"/>
        </w:trPr>
        <w:tc>
          <w:tcPr>
            <w:tcW w:w="4007" w:type="dxa"/>
            <w:vMerge/>
            <w:tcBorders>
              <w:top w:val="single" w:sz="4" w:space="0" w:color="95B3D7"/>
              <w:left w:val="single" w:sz="4" w:space="0" w:color="FFFFFF"/>
              <w:bottom w:val="single" w:sz="4" w:space="0" w:color="95B3D7"/>
              <w:right w:val="single" w:sz="4" w:space="0" w:color="FFFFFF"/>
            </w:tcBorders>
            <w:vAlign w:val="center"/>
            <w:hideMark/>
          </w:tcPr>
          <w:p w14:paraId="26C90EE3" w14:textId="77777777" w:rsidR="00CF3217" w:rsidRPr="00095079" w:rsidRDefault="00CF3217" w:rsidP="00CF3217">
            <w:pPr>
              <w:spacing w:before="0" w:after="0" w:line="240" w:lineRule="auto"/>
              <w:rPr>
                <w:rFonts w:ascii="Calibri" w:eastAsia="Times New Roman" w:hAnsi="Calibri" w:cs="Calibri"/>
                <w:color w:val="0F6FC6" w:themeColor="accent1"/>
                <w:sz w:val="16"/>
                <w:szCs w:val="16"/>
                <w:lang w:val="en-US"/>
              </w:rPr>
            </w:pPr>
          </w:p>
        </w:tc>
        <w:tc>
          <w:tcPr>
            <w:tcW w:w="1702" w:type="dxa"/>
            <w:tcBorders>
              <w:top w:val="nil"/>
              <w:left w:val="nil"/>
              <w:bottom w:val="single" w:sz="4" w:space="0" w:color="95B3D7"/>
              <w:right w:val="single" w:sz="4" w:space="0" w:color="FFFFFF"/>
            </w:tcBorders>
            <w:shd w:val="clear" w:color="000000" w:fill="FFFFFF"/>
            <w:vAlign w:val="center"/>
            <w:hideMark/>
          </w:tcPr>
          <w:p w14:paraId="0A4CD822" w14:textId="77777777" w:rsidR="00CF3217" w:rsidRPr="00095079" w:rsidRDefault="00CF3217" w:rsidP="00CF3217">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1</w:t>
            </w:r>
          </w:p>
        </w:tc>
        <w:tc>
          <w:tcPr>
            <w:tcW w:w="1702" w:type="dxa"/>
            <w:tcBorders>
              <w:top w:val="nil"/>
              <w:left w:val="nil"/>
              <w:bottom w:val="single" w:sz="4" w:space="0" w:color="95B3D7"/>
              <w:right w:val="single" w:sz="4" w:space="0" w:color="FFFFFF"/>
            </w:tcBorders>
            <w:shd w:val="clear" w:color="000000" w:fill="FFFFFF"/>
            <w:vAlign w:val="center"/>
            <w:hideMark/>
          </w:tcPr>
          <w:p w14:paraId="410C56A2" w14:textId="77777777" w:rsidR="00CF3217" w:rsidRPr="00095079" w:rsidRDefault="00CF3217" w:rsidP="00CF3217">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2</w:t>
            </w:r>
          </w:p>
        </w:tc>
        <w:tc>
          <w:tcPr>
            <w:tcW w:w="1702" w:type="dxa"/>
            <w:tcBorders>
              <w:top w:val="nil"/>
              <w:left w:val="nil"/>
              <w:bottom w:val="single" w:sz="4" w:space="0" w:color="95B3D7"/>
              <w:right w:val="single" w:sz="4" w:space="0" w:color="FFFFFF"/>
            </w:tcBorders>
            <w:shd w:val="clear" w:color="000000" w:fill="FFFFFF"/>
            <w:vAlign w:val="center"/>
            <w:hideMark/>
          </w:tcPr>
          <w:p w14:paraId="11646D3B" w14:textId="77777777" w:rsidR="00CF3217" w:rsidRPr="00095079" w:rsidRDefault="00CF3217" w:rsidP="00CF3217">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3</w:t>
            </w:r>
          </w:p>
        </w:tc>
      </w:tr>
      <w:tr w:rsidR="00CF3217" w:rsidRPr="00CF3217" w14:paraId="6F41955E"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43F6D1A3"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BUCURESTI-ILFOV</w:t>
            </w:r>
          </w:p>
        </w:tc>
        <w:tc>
          <w:tcPr>
            <w:tcW w:w="1702" w:type="dxa"/>
            <w:tcBorders>
              <w:top w:val="nil"/>
              <w:left w:val="nil"/>
              <w:bottom w:val="nil"/>
              <w:right w:val="single" w:sz="4" w:space="0" w:color="FFFFFF"/>
            </w:tcBorders>
            <w:shd w:val="clear" w:color="000000" w:fill="FFFFFF"/>
            <w:vAlign w:val="center"/>
            <w:hideMark/>
          </w:tcPr>
          <w:p w14:paraId="6ED52464"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84</w:t>
            </w:r>
          </w:p>
        </w:tc>
        <w:tc>
          <w:tcPr>
            <w:tcW w:w="1702" w:type="dxa"/>
            <w:tcBorders>
              <w:top w:val="nil"/>
              <w:left w:val="nil"/>
              <w:bottom w:val="nil"/>
              <w:right w:val="single" w:sz="4" w:space="0" w:color="FFFFFF"/>
            </w:tcBorders>
            <w:shd w:val="clear" w:color="000000" w:fill="FFFFFF"/>
            <w:vAlign w:val="center"/>
            <w:hideMark/>
          </w:tcPr>
          <w:p w14:paraId="01E209CA"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89</w:t>
            </w:r>
          </w:p>
        </w:tc>
        <w:tc>
          <w:tcPr>
            <w:tcW w:w="1702" w:type="dxa"/>
            <w:tcBorders>
              <w:top w:val="nil"/>
              <w:left w:val="nil"/>
              <w:bottom w:val="nil"/>
              <w:right w:val="single" w:sz="4" w:space="0" w:color="FFFFFF"/>
            </w:tcBorders>
            <w:shd w:val="clear" w:color="000000" w:fill="FFFFFF"/>
            <w:vAlign w:val="center"/>
            <w:hideMark/>
          </w:tcPr>
          <w:p w14:paraId="579E4ECB"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90</w:t>
            </w:r>
          </w:p>
        </w:tc>
      </w:tr>
      <w:tr w:rsidR="00CF3217" w:rsidRPr="00CF3217" w14:paraId="61A25C53"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420C1CE7"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CENTRU</w:t>
            </w:r>
          </w:p>
        </w:tc>
        <w:tc>
          <w:tcPr>
            <w:tcW w:w="1702" w:type="dxa"/>
            <w:tcBorders>
              <w:top w:val="nil"/>
              <w:left w:val="nil"/>
              <w:bottom w:val="nil"/>
              <w:right w:val="single" w:sz="4" w:space="0" w:color="FFFFFF"/>
            </w:tcBorders>
            <w:shd w:val="clear" w:color="000000" w:fill="FFFFFF"/>
            <w:vAlign w:val="center"/>
            <w:hideMark/>
          </w:tcPr>
          <w:p w14:paraId="65BD972B"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177</w:t>
            </w:r>
          </w:p>
        </w:tc>
        <w:tc>
          <w:tcPr>
            <w:tcW w:w="1702" w:type="dxa"/>
            <w:tcBorders>
              <w:top w:val="nil"/>
              <w:left w:val="nil"/>
              <w:bottom w:val="nil"/>
              <w:right w:val="single" w:sz="4" w:space="0" w:color="FFFFFF"/>
            </w:tcBorders>
            <w:shd w:val="clear" w:color="000000" w:fill="FFFFFF"/>
            <w:vAlign w:val="center"/>
            <w:hideMark/>
          </w:tcPr>
          <w:p w14:paraId="355D30E0"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169</w:t>
            </w:r>
          </w:p>
        </w:tc>
        <w:tc>
          <w:tcPr>
            <w:tcW w:w="1702" w:type="dxa"/>
            <w:tcBorders>
              <w:top w:val="nil"/>
              <w:left w:val="nil"/>
              <w:bottom w:val="nil"/>
              <w:right w:val="single" w:sz="4" w:space="0" w:color="FFFFFF"/>
            </w:tcBorders>
            <w:shd w:val="clear" w:color="000000" w:fill="FFFFFF"/>
            <w:vAlign w:val="center"/>
            <w:hideMark/>
          </w:tcPr>
          <w:p w14:paraId="5328DC90"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169</w:t>
            </w:r>
          </w:p>
        </w:tc>
      </w:tr>
      <w:tr w:rsidR="00CF3217" w:rsidRPr="00CF3217" w14:paraId="5BF5A365"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2CBCB817"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NORD-EST</w:t>
            </w:r>
          </w:p>
        </w:tc>
        <w:tc>
          <w:tcPr>
            <w:tcW w:w="1702" w:type="dxa"/>
            <w:tcBorders>
              <w:top w:val="nil"/>
              <w:left w:val="nil"/>
              <w:bottom w:val="nil"/>
              <w:right w:val="single" w:sz="4" w:space="0" w:color="FFFFFF"/>
            </w:tcBorders>
            <w:shd w:val="clear" w:color="000000" w:fill="FFFFFF"/>
            <w:vAlign w:val="center"/>
            <w:hideMark/>
          </w:tcPr>
          <w:p w14:paraId="5EEF1F53"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107</w:t>
            </w:r>
          </w:p>
        </w:tc>
        <w:tc>
          <w:tcPr>
            <w:tcW w:w="1702" w:type="dxa"/>
            <w:tcBorders>
              <w:top w:val="nil"/>
              <w:left w:val="nil"/>
              <w:bottom w:val="nil"/>
              <w:right w:val="single" w:sz="4" w:space="0" w:color="FFFFFF"/>
            </w:tcBorders>
            <w:shd w:val="clear" w:color="000000" w:fill="FFFFFF"/>
            <w:vAlign w:val="center"/>
            <w:hideMark/>
          </w:tcPr>
          <w:p w14:paraId="16918C3F"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101</w:t>
            </w:r>
          </w:p>
        </w:tc>
        <w:tc>
          <w:tcPr>
            <w:tcW w:w="1702" w:type="dxa"/>
            <w:tcBorders>
              <w:top w:val="nil"/>
              <w:left w:val="nil"/>
              <w:bottom w:val="nil"/>
              <w:right w:val="single" w:sz="4" w:space="0" w:color="FFFFFF"/>
            </w:tcBorders>
            <w:shd w:val="clear" w:color="000000" w:fill="FFFFFF"/>
            <w:vAlign w:val="center"/>
            <w:hideMark/>
          </w:tcPr>
          <w:p w14:paraId="68BDFF3D"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94</w:t>
            </w:r>
          </w:p>
        </w:tc>
      </w:tr>
      <w:tr w:rsidR="00CF3217" w:rsidRPr="00CF3217" w14:paraId="4B0CC8E7"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798A4A88"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NORD-VEST</w:t>
            </w:r>
          </w:p>
        </w:tc>
        <w:tc>
          <w:tcPr>
            <w:tcW w:w="1702" w:type="dxa"/>
            <w:tcBorders>
              <w:top w:val="nil"/>
              <w:left w:val="nil"/>
              <w:bottom w:val="nil"/>
              <w:right w:val="single" w:sz="4" w:space="0" w:color="FFFFFF"/>
            </w:tcBorders>
            <w:shd w:val="clear" w:color="000000" w:fill="FFFFFF"/>
            <w:vAlign w:val="center"/>
            <w:hideMark/>
          </w:tcPr>
          <w:p w14:paraId="495A3260"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174</w:t>
            </w:r>
          </w:p>
        </w:tc>
        <w:tc>
          <w:tcPr>
            <w:tcW w:w="1702" w:type="dxa"/>
            <w:tcBorders>
              <w:top w:val="nil"/>
              <w:left w:val="nil"/>
              <w:bottom w:val="nil"/>
              <w:right w:val="single" w:sz="4" w:space="0" w:color="FFFFFF"/>
            </w:tcBorders>
            <w:shd w:val="clear" w:color="000000" w:fill="FFFFFF"/>
            <w:vAlign w:val="center"/>
            <w:hideMark/>
          </w:tcPr>
          <w:p w14:paraId="244B672A"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183</w:t>
            </w:r>
          </w:p>
        </w:tc>
        <w:tc>
          <w:tcPr>
            <w:tcW w:w="1702" w:type="dxa"/>
            <w:tcBorders>
              <w:top w:val="nil"/>
              <w:left w:val="nil"/>
              <w:bottom w:val="nil"/>
              <w:right w:val="single" w:sz="4" w:space="0" w:color="FFFFFF"/>
            </w:tcBorders>
            <w:shd w:val="clear" w:color="000000" w:fill="FFFFFF"/>
            <w:vAlign w:val="center"/>
            <w:hideMark/>
          </w:tcPr>
          <w:p w14:paraId="7BC18B5F"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185</w:t>
            </w:r>
          </w:p>
        </w:tc>
      </w:tr>
      <w:tr w:rsidR="00CF3217" w:rsidRPr="00CF3217" w14:paraId="0C50F854"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44841677"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SUD</w:t>
            </w:r>
          </w:p>
        </w:tc>
        <w:tc>
          <w:tcPr>
            <w:tcW w:w="1702" w:type="dxa"/>
            <w:tcBorders>
              <w:top w:val="nil"/>
              <w:left w:val="nil"/>
              <w:bottom w:val="nil"/>
              <w:right w:val="single" w:sz="4" w:space="0" w:color="FFFFFF"/>
            </w:tcBorders>
            <w:shd w:val="clear" w:color="000000" w:fill="FFFFFF"/>
            <w:vAlign w:val="center"/>
            <w:hideMark/>
          </w:tcPr>
          <w:p w14:paraId="1A5EB730"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203</w:t>
            </w:r>
          </w:p>
        </w:tc>
        <w:tc>
          <w:tcPr>
            <w:tcW w:w="1702" w:type="dxa"/>
            <w:tcBorders>
              <w:top w:val="nil"/>
              <w:left w:val="nil"/>
              <w:bottom w:val="nil"/>
              <w:right w:val="single" w:sz="4" w:space="0" w:color="FFFFFF"/>
            </w:tcBorders>
            <w:shd w:val="clear" w:color="000000" w:fill="FFFFFF"/>
            <w:vAlign w:val="center"/>
            <w:hideMark/>
          </w:tcPr>
          <w:p w14:paraId="3EA66BC1"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212</w:t>
            </w:r>
          </w:p>
        </w:tc>
        <w:tc>
          <w:tcPr>
            <w:tcW w:w="1702" w:type="dxa"/>
            <w:tcBorders>
              <w:top w:val="nil"/>
              <w:left w:val="nil"/>
              <w:bottom w:val="nil"/>
              <w:right w:val="single" w:sz="4" w:space="0" w:color="FFFFFF"/>
            </w:tcBorders>
            <w:shd w:val="clear" w:color="000000" w:fill="FFFFFF"/>
            <w:vAlign w:val="center"/>
            <w:hideMark/>
          </w:tcPr>
          <w:p w14:paraId="11809140"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212</w:t>
            </w:r>
          </w:p>
        </w:tc>
      </w:tr>
      <w:tr w:rsidR="00CF3217" w:rsidRPr="00CF3217" w14:paraId="17DBFB74"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19536B36"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SUD-EST</w:t>
            </w:r>
          </w:p>
        </w:tc>
        <w:tc>
          <w:tcPr>
            <w:tcW w:w="1702" w:type="dxa"/>
            <w:tcBorders>
              <w:top w:val="nil"/>
              <w:left w:val="nil"/>
              <w:bottom w:val="nil"/>
              <w:right w:val="single" w:sz="4" w:space="0" w:color="FFFFFF"/>
            </w:tcBorders>
            <w:shd w:val="clear" w:color="000000" w:fill="FFFFFF"/>
            <w:vAlign w:val="center"/>
            <w:hideMark/>
          </w:tcPr>
          <w:p w14:paraId="3044AF0A"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159</w:t>
            </w:r>
          </w:p>
        </w:tc>
        <w:tc>
          <w:tcPr>
            <w:tcW w:w="1702" w:type="dxa"/>
            <w:tcBorders>
              <w:top w:val="nil"/>
              <w:left w:val="nil"/>
              <w:bottom w:val="nil"/>
              <w:right w:val="single" w:sz="4" w:space="0" w:color="FFFFFF"/>
            </w:tcBorders>
            <w:shd w:val="clear" w:color="000000" w:fill="FFFFFF"/>
            <w:vAlign w:val="center"/>
            <w:hideMark/>
          </w:tcPr>
          <w:p w14:paraId="55FBE3DB"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153</w:t>
            </w:r>
          </w:p>
        </w:tc>
        <w:tc>
          <w:tcPr>
            <w:tcW w:w="1702" w:type="dxa"/>
            <w:tcBorders>
              <w:top w:val="nil"/>
              <w:left w:val="nil"/>
              <w:bottom w:val="nil"/>
              <w:right w:val="single" w:sz="4" w:space="0" w:color="FFFFFF"/>
            </w:tcBorders>
            <w:shd w:val="clear" w:color="000000" w:fill="FFFFFF"/>
            <w:vAlign w:val="center"/>
            <w:hideMark/>
          </w:tcPr>
          <w:p w14:paraId="3B611E80"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154</w:t>
            </w:r>
          </w:p>
        </w:tc>
      </w:tr>
      <w:tr w:rsidR="00CF3217" w:rsidRPr="00CF3217" w14:paraId="0B093C2E" w14:textId="77777777" w:rsidTr="00CF3217">
        <w:trPr>
          <w:trHeight w:val="258"/>
        </w:trPr>
        <w:tc>
          <w:tcPr>
            <w:tcW w:w="4007" w:type="dxa"/>
            <w:tcBorders>
              <w:top w:val="nil"/>
              <w:left w:val="single" w:sz="4" w:space="0" w:color="FFFFFF"/>
              <w:bottom w:val="nil"/>
              <w:right w:val="single" w:sz="4" w:space="0" w:color="FFFFFF"/>
            </w:tcBorders>
            <w:shd w:val="clear" w:color="000000" w:fill="FFFFFF"/>
            <w:vAlign w:val="center"/>
            <w:hideMark/>
          </w:tcPr>
          <w:p w14:paraId="6D4A5AA5"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SUD-VEST</w:t>
            </w:r>
          </w:p>
        </w:tc>
        <w:tc>
          <w:tcPr>
            <w:tcW w:w="1702" w:type="dxa"/>
            <w:tcBorders>
              <w:top w:val="nil"/>
              <w:left w:val="nil"/>
              <w:bottom w:val="nil"/>
              <w:right w:val="single" w:sz="4" w:space="0" w:color="FFFFFF"/>
            </w:tcBorders>
            <w:shd w:val="clear" w:color="000000" w:fill="FFFFFF"/>
            <w:vAlign w:val="center"/>
            <w:hideMark/>
          </w:tcPr>
          <w:p w14:paraId="58844D0C"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190</w:t>
            </w:r>
          </w:p>
        </w:tc>
        <w:tc>
          <w:tcPr>
            <w:tcW w:w="1702" w:type="dxa"/>
            <w:tcBorders>
              <w:top w:val="nil"/>
              <w:left w:val="nil"/>
              <w:bottom w:val="nil"/>
              <w:right w:val="single" w:sz="4" w:space="0" w:color="FFFFFF"/>
            </w:tcBorders>
            <w:shd w:val="clear" w:color="000000" w:fill="FFFFFF"/>
            <w:vAlign w:val="center"/>
            <w:hideMark/>
          </w:tcPr>
          <w:p w14:paraId="668CAEC8"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179</w:t>
            </w:r>
          </w:p>
        </w:tc>
        <w:tc>
          <w:tcPr>
            <w:tcW w:w="1702" w:type="dxa"/>
            <w:tcBorders>
              <w:top w:val="nil"/>
              <w:left w:val="nil"/>
              <w:bottom w:val="nil"/>
              <w:right w:val="single" w:sz="4" w:space="0" w:color="FFFFFF"/>
            </w:tcBorders>
            <w:shd w:val="clear" w:color="000000" w:fill="FFFFFF"/>
            <w:vAlign w:val="center"/>
            <w:hideMark/>
          </w:tcPr>
          <w:p w14:paraId="3E1A1E4D"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176</w:t>
            </w:r>
          </w:p>
        </w:tc>
      </w:tr>
      <w:tr w:rsidR="00CF3217" w:rsidRPr="00CF3217" w14:paraId="581CE37C" w14:textId="77777777" w:rsidTr="00CF3217">
        <w:trPr>
          <w:trHeight w:val="258"/>
        </w:trPr>
        <w:tc>
          <w:tcPr>
            <w:tcW w:w="4007" w:type="dxa"/>
            <w:tcBorders>
              <w:top w:val="nil"/>
              <w:left w:val="single" w:sz="4" w:space="0" w:color="FFFFFF"/>
              <w:bottom w:val="single" w:sz="4" w:space="0" w:color="95B3D7"/>
              <w:right w:val="single" w:sz="4" w:space="0" w:color="FFFFFF"/>
            </w:tcBorders>
            <w:shd w:val="clear" w:color="000000" w:fill="FFFFFF"/>
            <w:vAlign w:val="center"/>
            <w:hideMark/>
          </w:tcPr>
          <w:p w14:paraId="7C5659C5" w14:textId="77777777" w:rsidR="00CF3217" w:rsidRPr="00095079" w:rsidRDefault="00CF3217" w:rsidP="00CF3217">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VEST</w:t>
            </w:r>
          </w:p>
        </w:tc>
        <w:tc>
          <w:tcPr>
            <w:tcW w:w="1702" w:type="dxa"/>
            <w:tcBorders>
              <w:top w:val="nil"/>
              <w:left w:val="nil"/>
              <w:bottom w:val="single" w:sz="4" w:space="0" w:color="95B3D7"/>
              <w:right w:val="single" w:sz="4" w:space="0" w:color="FFFFFF"/>
            </w:tcBorders>
            <w:shd w:val="clear" w:color="000000" w:fill="FFFFFF"/>
            <w:vAlign w:val="center"/>
            <w:hideMark/>
          </w:tcPr>
          <w:p w14:paraId="17BEC917"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156</w:t>
            </w:r>
          </w:p>
        </w:tc>
        <w:tc>
          <w:tcPr>
            <w:tcW w:w="1702" w:type="dxa"/>
            <w:tcBorders>
              <w:top w:val="nil"/>
              <w:left w:val="nil"/>
              <w:bottom w:val="single" w:sz="4" w:space="0" w:color="95B3D7"/>
              <w:right w:val="single" w:sz="4" w:space="0" w:color="FFFFFF"/>
            </w:tcBorders>
            <w:shd w:val="clear" w:color="000000" w:fill="FFFFFF"/>
            <w:vAlign w:val="center"/>
            <w:hideMark/>
          </w:tcPr>
          <w:p w14:paraId="0D3527D6"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151</w:t>
            </w:r>
          </w:p>
        </w:tc>
        <w:tc>
          <w:tcPr>
            <w:tcW w:w="1702" w:type="dxa"/>
            <w:tcBorders>
              <w:top w:val="nil"/>
              <w:left w:val="nil"/>
              <w:bottom w:val="single" w:sz="4" w:space="0" w:color="95B3D7"/>
              <w:right w:val="single" w:sz="4" w:space="0" w:color="FFFFFF"/>
            </w:tcBorders>
            <w:shd w:val="clear" w:color="000000" w:fill="FFFFFF"/>
            <w:vAlign w:val="center"/>
            <w:hideMark/>
          </w:tcPr>
          <w:p w14:paraId="4B460439" w14:textId="77777777" w:rsidR="00CF3217" w:rsidRPr="00095079" w:rsidRDefault="00CF3217" w:rsidP="00CF3217">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158</w:t>
            </w:r>
          </w:p>
        </w:tc>
      </w:tr>
      <w:tr w:rsidR="00CF3217" w:rsidRPr="00CF3217" w14:paraId="24917274" w14:textId="77777777" w:rsidTr="00CF3217">
        <w:trPr>
          <w:trHeight w:val="258"/>
        </w:trPr>
        <w:tc>
          <w:tcPr>
            <w:tcW w:w="4007" w:type="dxa"/>
            <w:tcBorders>
              <w:top w:val="nil"/>
              <w:left w:val="single" w:sz="4" w:space="0" w:color="FFFFFF"/>
              <w:bottom w:val="single" w:sz="4" w:space="0" w:color="95B3D7"/>
              <w:right w:val="single" w:sz="4" w:space="0" w:color="FFFFFF"/>
            </w:tcBorders>
            <w:shd w:val="clear" w:color="000000" w:fill="FFFFFF"/>
            <w:vAlign w:val="center"/>
            <w:hideMark/>
          </w:tcPr>
          <w:p w14:paraId="674FF1A6" w14:textId="77777777" w:rsidR="00CF3217" w:rsidRPr="00095079" w:rsidRDefault="00CF3217" w:rsidP="00CF3217">
            <w:pPr>
              <w:spacing w:before="0" w:after="0" w:line="240" w:lineRule="auto"/>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 xml:space="preserve">TOTAL GENERAL </w:t>
            </w:r>
          </w:p>
        </w:tc>
        <w:tc>
          <w:tcPr>
            <w:tcW w:w="1702" w:type="dxa"/>
            <w:tcBorders>
              <w:top w:val="nil"/>
              <w:left w:val="nil"/>
              <w:bottom w:val="single" w:sz="4" w:space="0" w:color="95B3D7"/>
              <w:right w:val="single" w:sz="4" w:space="0" w:color="FFFFFF"/>
            </w:tcBorders>
            <w:shd w:val="clear" w:color="000000" w:fill="FFFFFF"/>
            <w:vAlign w:val="center"/>
            <w:hideMark/>
          </w:tcPr>
          <w:p w14:paraId="00F652D6" w14:textId="77777777" w:rsidR="00CF3217" w:rsidRPr="00095079" w:rsidRDefault="00CF3217" w:rsidP="00CF3217">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1.250</w:t>
            </w:r>
          </w:p>
        </w:tc>
        <w:tc>
          <w:tcPr>
            <w:tcW w:w="1702" w:type="dxa"/>
            <w:tcBorders>
              <w:top w:val="nil"/>
              <w:left w:val="nil"/>
              <w:bottom w:val="single" w:sz="4" w:space="0" w:color="95B3D7"/>
              <w:right w:val="single" w:sz="4" w:space="0" w:color="FFFFFF"/>
            </w:tcBorders>
            <w:shd w:val="clear" w:color="000000" w:fill="FFFFFF"/>
            <w:vAlign w:val="center"/>
            <w:hideMark/>
          </w:tcPr>
          <w:p w14:paraId="04D493F1" w14:textId="77777777" w:rsidR="00CF3217" w:rsidRPr="00095079" w:rsidRDefault="00CF3217" w:rsidP="00CF3217">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1.237</w:t>
            </w:r>
          </w:p>
        </w:tc>
        <w:tc>
          <w:tcPr>
            <w:tcW w:w="1702" w:type="dxa"/>
            <w:tcBorders>
              <w:top w:val="nil"/>
              <w:left w:val="nil"/>
              <w:bottom w:val="single" w:sz="4" w:space="0" w:color="95B3D7"/>
              <w:right w:val="single" w:sz="4" w:space="0" w:color="FFFFFF"/>
            </w:tcBorders>
            <w:shd w:val="clear" w:color="000000" w:fill="FFFFFF"/>
            <w:vAlign w:val="center"/>
            <w:hideMark/>
          </w:tcPr>
          <w:p w14:paraId="6A3C40DE" w14:textId="77777777" w:rsidR="00CF3217" w:rsidRPr="00095079" w:rsidRDefault="00CF3217" w:rsidP="00CF3217">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1.238</w:t>
            </w:r>
          </w:p>
        </w:tc>
      </w:tr>
    </w:tbl>
    <w:p w14:paraId="7AE092A5" w14:textId="77777777" w:rsidR="00A228A3" w:rsidRDefault="00A228A3" w:rsidP="009F00E4">
      <w:pPr>
        <w:spacing w:before="0" w:after="0"/>
        <w:jc w:val="both"/>
        <w:rPr>
          <w:rFonts w:asciiTheme="majorHAnsi" w:hAnsiTheme="majorHAnsi" w:cs="Times New Roman"/>
          <w:bCs/>
        </w:rPr>
      </w:pPr>
    </w:p>
    <w:p w14:paraId="1466C139" w14:textId="77777777" w:rsidR="00095079" w:rsidRDefault="00095079" w:rsidP="009F00E4">
      <w:pPr>
        <w:spacing w:before="0" w:after="0"/>
        <w:jc w:val="both"/>
        <w:rPr>
          <w:rFonts w:asciiTheme="majorHAnsi" w:eastAsia="Wingdings" w:hAnsiTheme="majorHAnsi" w:cs="Times New Roman"/>
          <w:kern w:val="20"/>
          <w:lang w:eastAsia="ja-JP"/>
        </w:rPr>
      </w:pPr>
    </w:p>
    <w:p w14:paraId="450F7628" w14:textId="77777777" w:rsidR="00095079" w:rsidRDefault="00095079" w:rsidP="009F00E4">
      <w:pPr>
        <w:spacing w:before="0" w:after="0"/>
        <w:jc w:val="both"/>
        <w:rPr>
          <w:rFonts w:ascii="Calibri Light" w:eastAsia="Times New Roman" w:hAnsi="Calibri Light" w:cs="Calibri Light"/>
          <w:color w:val="5B9BD5"/>
          <w:lang w:val="en-US"/>
        </w:rPr>
      </w:pPr>
      <w:r w:rsidRPr="00095079">
        <w:rPr>
          <w:rFonts w:ascii="Calibri Light" w:eastAsia="Times New Roman" w:hAnsi="Calibri Light" w:cs="Calibri Light"/>
          <w:lang w:val="en-US"/>
        </w:rPr>
        <w:t>TABEL – Situația unor indicatori economico-financiari realizați de ÎPL în anul 20</w:t>
      </w:r>
      <w:r>
        <w:rPr>
          <w:rFonts w:ascii="Calibri Light" w:eastAsia="Times New Roman" w:hAnsi="Calibri Light" w:cs="Calibri Light"/>
          <w:lang w:val="en-US"/>
        </w:rPr>
        <w:t>20</w:t>
      </w:r>
      <w:r w:rsidRPr="00095079">
        <w:rPr>
          <w:rFonts w:ascii="Calibri Light" w:eastAsia="Times New Roman" w:hAnsi="Calibri Light" w:cs="Calibri Light"/>
          <w:lang w:val="en-US"/>
        </w:rPr>
        <w:t xml:space="preserve"> pe regiuni de dezvoltare</w:t>
      </w:r>
    </w:p>
    <w:p w14:paraId="7D34BD2F" w14:textId="77777777" w:rsidR="00095079" w:rsidRPr="00D95C57" w:rsidRDefault="00095079" w:rsidP="009F00E4">
      <w:pPr>
        <w:spacing w:before="0" w:after="0"/>
        <w:jc w:val="both"/>
        <w:rPr>
          <w:rFonts w:asciiTheme="majorHAnsi" w:eastAsia="Wingdings" w:hAnsiTheme="majorHAnsi" w:cs="Times New Roman"/>
          <w:kern w:val="20"/>
          <w:lang w:eastAsia="ja-JP"/>
        </w:rPr>
      </w:pPr>
    </w:p>
    <w:tbl>
      <w:tblPr>
        <w:tblW w:w="9256" w:type="dxa"/>
        <w:tblInd w:w="93" w:type="dxa"/>
        <w:tblLook w:val="04A0" w:firstRow="1" w:lastRow="0" w:firstColumn="1" w:lastColumn="0" w:noHBand="0" w:noVBand="1"/>
      </w:tblPr>
      <w:tblGrid>
        <w:gridCol w:w="2441"/>
        <w:gridCol w:w="1076"/>
        <w:gridCol w:w="1247"/>
        <w:gridCol w:w="1151"/>
        <w:gridCol w:w="1141"/>
        <w:gridCol w:w="2200"/>
      </w:tblGrid>
      <w:tr w:rsidR="00095079" w:rsidRPr="00095079" w14:paraId="47A4067A" w14:textId="77777777" w:rsidTr="00095079">
        <w:trPr>
          <w:trHeight w:val="581"/>
        </w:trPr>
        <w:tc>
          <w:tcPr>
            <w:tcW w:w="2441"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6B4AC06A"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Regiune de dezvoltare</w:t>
            </w:r>
          </w:p>
        </w:tc>
        <w:tc>
          <w:tcPr>
            <w:tcW w:w="1076"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2DC48497" w14:textId="77777777" w:rsidR="00095079" w:rsidRPr="00095079" w:rsidRDefault="00095079" w:rsidP="00095079">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Nr. ÎPL 2020</w:t>
            </w:r>
          </w:p>
        </w:tc>
        <w:tc>
          <w:tcPr>
            <w:tcW w:w="1247"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671F65DA" w14:textId="77777777" w:rsidR="00095079" w:rsidRPr="00095079" w:rsidRDefault="00095079" w:rsidP="00095079">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Cifra de afacei netă</w:t>
            </w:r>
          </w:p>
        </w:tc>
        <w:tc>
          <w:tcPr>
            <w:tcW w:w="1151"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3A934399" w14:textId="77777777" w:rsidR="00095079" w:rsidRPr="00095079" w:rsidRDefault="00095079" w:rsidP="00095079">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Nr. efectiv de personal</w:t>
            </w:r>
          </w:p>
        </w:tc>
        <w:tc>
          <w:tcPr>
            <w:tcW w:w="1141"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3E951189" w14:textId="77777777" w:rsidR="00095079" w:rsidRPr="00095079" w:rsidRDefault="00095079" w:rsidP="00095079">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Rezultat brut</w:t>
            </w:r>
          </w:p>
        </w:tc>
        <w:tc>
          <w:tcPr>
            <w:tcW w:w="2200"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77CE7D26" w14:textId="77777777" w:rsidR="00095079" w:rsidRPr="00095079" w:rsidRDefault="00095079" w:rsidP="00095079">
            <w:pPr>
              <w:spacing w:before="0" w:after="0" w:line="240" w:lineRule="auto"/>
              <w:jc w:val="right"/>
              <w:rPr>
                <w:rFonts w:ascii="Calibri" w:eastAsia="Times New Roman" w:hAnsi="Calibri" w:cs="Calibri"/>
                <w:color w:val="0F6FC6" w:themeColor="accent1"/>
                <w:sz w:val="16"/>
                <w:szCs w:val="16"/>
                <w:lang w:val="en-US"/>
              </w:rPr>
            </w:pPr>
            <w:r w:rsidRPr="00095079">
              <w:rPr>
                <w:rFonts w:ascii="Calibri" w:eastAsia="Times New Roman" w:hAnsi="Calibri" w:cs="Calibri"/>
                <w:color w:val="0F6FC6" w:themeColor="accent1"/>
                <w:sz w:val="16"/>
                <w:szCs w:val="16"/>
                <w:lang w:val="en-US"/>
              </w:rPr>
              <w:t>Dividende/Vărsăminte repartizate în anul 2020</w:t>
            </w:r>
          </w:p>
        </w:tc>
      </w:tr>
      <w:tr w:rsidR="00095079" w:rsidRPr="00095079" w14:paraId="5609ADCB" w14:textId="77777777" w:rsidTr="00095079">
        <w:trPr>
          <w:trHeight w:val="581"/>
        </w:trPr>
        <w:tc>
          <w:tcPr>
            <w:tcW w:w="2441" w:type="dxa"/>
            <w:vMerge/>
            <w:tcBorders>
              <w:top w:val="single" w:sz="4" w:space="0" w:color="95B3D7"/>
              <w:left w:val="single" w:sz="4" w:space="0" w:color="FFFFFF"/>
              <w:bottom w:val="single" w:sz="4" w:space="0" w:color="95B3D7"/>
              <w:right w:val="single" w:sz="4" w:space="0" w:color="FFFFFF"/>
            </w:tcBorders>
            <w:vAlign w:val="center"/>
            <w:hideMark/>
          </w:tcPr>
          <w:p w14:paraId="7A9950E8"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076" w:type="dxa"/>
            <w:vMerge/>
            <w:tcBorders>
              <w:top w:val="single" w:sz="4" w:space="0" w:color="95B3D7"/>
              <w:left w:val="single" w:sz="4" w:space="0" w:color="FFFFFF"/>
              <w:bottom w:val="single" w:sz="4" w:space="0" w:color="95B3D7"/>
              <w:right w:val="single" w:sz="4" w:space="0" w:color="FFFFFF"/>
            </w:tcBorders>
            <w:vAlign w:val="center"/>
            <w:hideMark/>
          </w:tcPr>
          <w:p w14:paraId="66C1C545"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247" w:type="dxa"/>
            <w:vMerge/>
            <w:tcBorders>
              <w:top w:val="single" w:sz="4" w:space="0" w:color="95B3D7"/>
              <w:left w:val="single" w:sz="4" w:space="0" w:color="FFFFFF"/>
              <w:bottom w:val="single" w:sz="4" w:space="0" w:color="95B3D7"/>
              <w:right w:val="single" w:sz="4" w:space="0" w:color="FFFFFF"/>
            </w:tcBorders>
            <w:vAlign w:val="center"/>
            <w:hideMark/>
          </w:tcPr>
          <w:p w14:paraId="32B9E4F9"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151" w:type="dxa"/>
            <w:vMerge/>
            <w:tcBorders>
              <w:top w:val="single" w:sz="4" w:space="0" w:color="95B3D7"/>
              <w:left w:val="single" w:sz="4" w:space="0" w:color="FFFFFF"/>
              <w:bottom w:val="single" w:sz="4" w:space="0" w:color="95B3D7"/>
              <w:right w:val="single" w:sz="4" w:space="0" w:color="FFFFFF"/>
            </w:tcBorders>
            <w:vAlign w:val="center"/>
            <w:hideMark/>
          </w:tcPr>
          <w:p w14:paraId="2091F66E"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141" w:type="dxa"/>
            <w:vMerge/>
            <w:tcBorders>
              <w:top w:val="single" w:sz="4" w:space="0" w:color="95B3D7"/>
              <w:left w:val="single" w:sz="4" w:space="0" w:color="FFFFFF"/>
              <w:bottom w:val="single" w:sz="4" w:space="0" w:color="95B3D7"/>
              <w:right w:val="single" w:sz="4" w:space="0" w:color="FFFFFF"/>
            </w:tcBorders>
            <w:vAlign w:val="center"/>
            <w:hideMark/>
          </w:tcPr>
          <w:p w14:paraId="1AA7A8DD"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2200" w:type="dxa"/>
            <w:vMerge/>
            <w:tcBorders>
              <w:top w:val="single" w:sz="4" w:space="0" w:color="95B3D7"/>
              <w:left w:val="single" w:sz="4" w:space="0" w:color="FFFFFF"/>
              <w:bottom w:val="single" w:sz="4" w:space="0" w:color="95B3D7"/>
              <w:right w:val="single" w:sz="4" w:space="0" w:color="FFFFFF"/>
            </w:tcBorders>
            <w:vAlign w:val="center"/>
            <w:hideMark/>
          </w:tcPr>
          <w:p w14:paraId="2D05E407"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r>
      <w:tr w:rsidR="00095079" w:rsidRPr="00095079" w14:paraId="09F73A5E" w14:textId="77777777" w:rsidTr="00095079">
        <w:trPr>
          <w:trHeight w:val="259"/>
        </w:trPr>
        <w:tc>
          <w:tcPr>
            <w:tcW w:w="2441" w:type="dxa"/>
            <w:vMerge/>
            <w:tcBorders>
              <w:top w:val="single" w:sz="4" w:space="0" w:color="95B3D7"/>
              <w:left w:val="single" w:sz="4" w:space="0" w:color="FFFFFF"/>
              <w:bottom w:val="single" w:sz="4" w:space="0" w:color="95B3D7"/>
              <w:right w:val="single" w:sz="4" w:space="0" w:color="FFFFFF"/>
            </w:tcBorders>
            <w:vAlign w:val="center"/>
            <w:hideMark/>
          </w:tcPr>
          <w:p w14:paraId="4C5D2900"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076" w:type="dxa"/>
            <w:vMerge/>
            <w:tcBorders>
              <w:top w:val="single" w:sz="4" w:space="0" w:color="95B3D7"/>
              <w:left w:val="single" w:sz="4" w:space="0" w:color="FFFFFF"/>
              <w:bottom w:val="single" w:sz="4" w:space="0" w:color="95B3D7"/>
              <w:right w:val="single" w:sz="4" w:space="0" w:color="FFFFFF"/>
            </w:tcBorders>
            <w:vAlign w:val="center"/>
            <w:hideMark/>
          </w:tcPr>
          <w:p w14:paraId="2CFAC030"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247" w:type="dxa"/>
            <w:tcBorders>
              <w:top w:val="nil"/>
              <w:left w:val="nil"/>
              <w:bottom w:val="single" w:sz="4" w:space="0" w:color="95B3D7"/>
              <w:right w:val="single" w:sz="4" w:space="0" w:color="FFFFFF"/>
            </w:tcBorders>
            <w:shd w:val="clear" w:color="000000" w:fill="FFFFFF"/>
            <w:vAlign w:val="center"/>
            <w:hideMark/>
          </w:tcPr>
          <w:p w14:paraId="2AABCD73" w14:textId="77777777" w:rsidR="00095079" w:rsidRPr="00095079" w:rsidRDefault="00095079" w:rsidP="00095079">
            <w:pPr>
              <w:spacing w:before="0" w:after="0" w:line="240" w:lineRule="auto"/>
              <w:jc w:val="right"/>
              <w:rPr>
                <w:rFonts w:ascii="Calibri" w:eastAsia="Times New Roman" w:hAnsi="Calibri" w:cs="Calibri"/>
                <w:color w:val="0F6FC6" w:themeColor="accent1"/>
                <w:sz w:val="14"/>
                <w:szCs w:val="14"/>
                <w:lang w:val="en-US"/>
              </w:rPr>
            </w:pPr>
            <w:r w:rsidRPr="00095079">
              <w:rPr>
                <w:rFonts w:ascii="Calibri" w:eastAsia="Times New Roman" w:hAnsi="Calibri" w:cs="Calibri"/>
                <w:color w:val="0F6FC6" w:themeColor="accent1"/>
                <w:sz w:val="14"/>
                <w:szCs w:val="14"/>
                <w:lang w:val="en-US"/>
              </w:rPr>
              <w:t>mii lei</w:t>
            </w:r>
          </w:p>
        </w:tc>
        <w:tc>
          <w:tcPr>
            <w:tcW w:w="1151" w:type="dxa"/>
            <w:tcBorders>
              <w:top w:val="nil"/>
              <w:left w:val="nil"/>
              <w:bottom w:val="single" w:sz="4" w:space="0" w:color="95B3D7"/>
              <w:right w:val="single" w:sz="4" w:space="0" w:color="FFFFFF"/>
            </w:tcBorders>
            <w:shd w:val="clear" w:color="000000" w:fill="FFFFFF"/>
            <w:vAlign w:val="center"/>
            <w:hideMark/>
          </w:tcPr>
          <w:p w14:paraId="1BF590B8" w14:textId="77777777" w:rsidR="00095079" w:rsidRPr="00095079" w:rsidRDefault="00095079" w:rsidP="00095079">
            <w:pPr>
              <w:spacing w:before="0" w:after="0" w:line="240" w:lineRule="auto"/>
              <w:jc w:val="right"/>
              <w:rPr>
                <w:rFonts w:ascii="Calibri" w:eastAsia="Times New Roman" w:hAnsi="Calibri" w:cs="Calibri"/>
                <w:color w:val="0F6FC6" w:themeColor="accent1"/>
                <w:sz w:val="14"/>
                <w:szCs w:val="14"/>
                <w:lang w:val="en-US"/>
              </w:rPr>
            </w:pPr>
            <w:r w:rsidRPr="00095079">
              <w:rPr>
                <w:rFonts w:ascii="Calibri" w:eastAsia="Times New Roman" w:hAnsi="Calibri" w:cs="Calibri"/>
                <w:color w:val="0F6FC6" w:themeColor="accent1"/>
                <w:sz w:val="14"/>
                <w:szCs w:val="14"/>
                <w:lang w:val="en-US"/>
              </w:rPr>
              <w:t>nr. pers</w:t>
            </w:r>
          </w:p>
        </w:tc>
        <w:tc>
          <w:tcPr>
            <w:tcW w:w="1141" w:type="dxa"/>
            <w:tcBorders>
              <w:top w:val="nil"/>
              <w:left w:val="nil"/>
              <w:bottom w:val="single" w:sz="4" w:space="0" w:color="95B3D7"/>
              <w:right w:val="single" w:sz="4" w:space="0" w:color="FFFFFF"/>
            </w:tcBorders>
            <w:shd w:val="clear" w:color="000000" w:fill="FFFFFF"/>
            <w:vAlign w:val="center"/>
            <w:hideMark/>
          </w:tcPr>
          <w:p w14:paraId="36BD9173" w14:textId="77777777" w:rsidR="00095079" w:rsidRPr="00095079" w:rsidRDefault="00095079" w:rsidP="00095079">
            <w:pPr>
              <w:spacing w:before="0" w:after="0" w:line="240" w:lineRule="auto"/>
              <w:jc w:val="right"/>
              <w:rPr>
                <w:rFonts w:ascii="Calibri" w:eastAsia="Times New Roman" w:hAnsi="Calibri" w:cs="Calibri"/>
                <w:color w:val="0F6FC6" w:themeColor="accent1"/>
                <w:sz w:val="14"/>
                <w:szCs w:val="14"/>
                <w:lang w:val="en-US"/>
              </w:rPr>
            </w:pPr>
            <w:r w:rsidRPr="00095079">
              <w:rPr>
                <w:rFonts w:ascii="Calibri" w:eastAsia="Times New Roman" w:hAnsi="Calibri" w:cs="Calibri"/>
                <w:color w:val="0F6FC6" w:themeColor="accent1"/>
                <w:sz w:val="14"/>
                <w:szCs w:val="14"/>
                <w:lang w:val="en-US"/>
              </w:rPr>
              <w:t>mii lei</w:t>
            </w:r>
          </w:p>
        </w:tc>
        <w:tc>
          <w:tcPr>
            <w:tcW w:w="2200" w:type="dxa"/>
            <w:tcBorders>
              <w:top w:val="nil"/>
              <w:left w:val="nil"/>
              <w:bottom w:val="single" w:sz="4" w:space="0" w:color="95B3D7"/>
              <w:right w:val="single" w:sz="4" w:space="0" w:color="FFFFFF"/>
            </w:tcBorders>
            <w:shd w:val="clear" w:color="000000" w:fill="FFFFFF"/>
            <w:vAlign w:val="center"/>
            <w:hideMark/>
          </w:tcPr>
          <w:p w14:paraId="2181C1DF" w14:textId="77777777" w:rsidR="00095079" w:rsidRPr="00095079" w:rsidRDefault="00095079" w:rsidP="00095079">
            <w:pPr>
              <w:spacing w:before="0" w:after="0" w:line="240" w:lineRule="auto"/>
              <w:jc w:val="right"/>
              <w:rPr>
                <w:rFonts w:ascii="Calibri" w:eastAsia="Times New Roman" w:hAnsi="Calibri" w:cs="Calibri"/>
                <w:color w:val="0F6FC6" w:themeColor="accent1"/>
                <w:sz w:val="14"/>
                <w:szCs w:val="14"/>
                <w:lang w:val="en-US"/>
              </w:rPr>
            </w:pPr>
            <w:r w:rsidRPr="00095079">
              <w:rPr>
                <w:rFonts w:ascii="Calibri" w:eastAsia="Times New Roman" w:hAnsi="Calibri" w:cs="Calibri"/>
                <w:color w:val="0F6FC6" w:themeColor="accent1"/>
                <w:sz w:val="14"/>
                <w:szCs w:val="14"/>
                <w:lang w:val="en-US"/>
              </w:rPr>
              <w:t>mii lei</w:t>
            </w:r>
          </w:p>
        </w:tc>
      </w:tr>
      <w:tr w:rsidR="00095079" w:rsidRPr="00095079" w14:paraId="616A2E8D" w14:textId="77777777" w:rsidTr="00095079">
        <w:trPr>
          <w:trHeight w:val="259"/>
        </w:trPr>
        <w:tc>
          <w:tcPr>
            <w:tcW w:w="2441" w:type="dxa"/>
            <w:vMerge/>
            <w:tcBorders>
              <w:top w:val="single" w:sz="4" w:space="0" w:color="95B3D7"/>
              <w:left w:val="single" w:sz="4" w:space="0" w:color="FFFFFF"/>
              <w:bottom w:val="single" w:sz="4" w:space="0" w:color="95B3D7"/>
              <w:right w:val="single" w:sz="4" w:space="0" w:color="FFFFFF"/>
            </w:tcBorders>
            <w:vAlign w:val="center"/>
            <w:hideMark/>
          </w:tcPr>
          <w:p w14:paraId="6C86DE05" w14:textId="77777777" w:rsidR="00095079" w:rsidRPr="00095079" w:rsidRDefault="00095079" w:rsidP="00095079">
            <w:pPr>
              <w:spacing w:before="0" w:after="0" w:line="240" w:lineRule="auto"/>
              <w:rPr>
                <w:rFonts w:ascii="Calibri" w:eastAsia="Times New Roman" w:hAnsi="Calibri" w:cs="Calibri"/>
                <w:color w:val="0F6FC6" w:themeColor="accent1"/>
                <w:sz w:val="16"/>
                <w:szCs w:val="16"/>
                <w:lang w:val="en-US"/>
              </w:rPr>
            </w:pPr>
          </w:p>
        </w:tc>
        <w:tc>
          <w:tcPr>
            <w:tcW w:w="1076" w:type="dxa"/>
            <w:tcBorders>
              <w:top w:val="nil"/>
              <w:left w:val="nil"/>
              <w:bottom w:val="single" w:sz="4" w:space="0" w:color="95B3D7"/>
              <w:right w:val="single" w:sz="4" w:space="0" w:color="FFFFFF"/>
            </w:tcBorders>
            <w:shd w:val="clear" w:color="000000" w:fill="FFFFFF"/>
            <w:vAlign w:val="center"/>
            <w:hideMark/>
          </w:tcPr>
          <w:p w14:paraId="0D0056A9" w14:textId="77777777" w:rsidR="00095079" w:rsidRPr="00095079" w:rsidRDefault="00095079" w:rsidP="00095079">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1</w:t>
            </w:r>
          </w:p>
        </w:tc>
        <w:tc>
          <w:tcPr>
            <w:tcW w:w="1247" w:type="dxa"/>
            <w:tcBorders>
              <w:top w:val="nil"/>
              <w:left w:val="nil"/>
              <w:bottom w:val="single" w:sz="4" w:space="0" w:color="95B3D7"/>
              <w:right w:val="single" w:sz="4" w:space="0" w:color="FFFFFF"/>
            </w:tcBorders>
            <w:shd w:val="clear" w:color="000000" w:fill="FFFFFF"/>
            <w:vAlign w:val="center"/>
            <w:hideMark/>
          </w:tcPr>
          <w:p w14:paraId="61095A26" w14:textId="77777777" w:rsidR="00095079" w:rsidRPr="00095079" w:rsidRDefault="00095079" w:rsidP="00095079">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2</w:t>
            </w:r>
          </w:p>
        </w:tc>
        <w:tc>
          <w:tcPr>
            <w:tcW w:w="1151" w:type="dxa"/>
            <w:tcBorders>
              <w:top w:val="nil"/>
              <w:left w:val="nil"/>
              <w:bottom w:val="single" w:sz="4" w:space="0" w:color="95B3D7"/>
              <w:right w:val="single" w:sz="4" w:space="0" w:color="FFFFFF"/>
            </w:tcBorders>
            <w:shd w:val="clear" w:color="000000" w:fill="FFFFFF"/>
            <w:vAlign w:val="center"/>
            <w:hideMark/>
          </w:tcPr>
          <w:p w14:paraId="3ED44BF5" w14:textId="77777777" w:rsidR="00095079" w:rsidRPr="00095079" w:rsidRDefault="00095079" w:rsidP="00095079">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3</w:t>
            </w:r>
          </w:p>
        </w:tc>
        <w:tc>
          <w:tcPr>
            <w:tcW w:w="1141" w:type="dxa"/>
            <w:tcBorders>
              <w:top w:val="nil"/>
              <w:left w:val="nil"/>
              <w:bottom w:val="single" w:sz="4" w:space="0" w:color="95B3D7"/>
              <w:right w:val="single" w:sz="4" w:space="0" w:color="FFFFFF"/>
            </w:tcBorders>
            <w:shd w:val="clear" w:color="000000" w:fill="FFFFFF"/>
            <w:vAlign w:val="center"/>
            <w:hideMark/>
          </w:tcPr>
          <w:p w14:paraId="7172BBE9" w14:textId="77777777" w:rsidR="00095079" w:rsidRPr="00095079" w:rsidRDefault="00095079" w:rsidP="00095079">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4</w:t>
            </w:r>
          </w:p>
        </w:tc>
        <w:tc>
          <w:tcPr>
            <w:tcW w:w="2200" w:type="dxa"/>
            <w:tcBorders>
              <w:top w:val="nil"/>
              <w:left w:val="nil"/>
              <w:bottom w:val="single" w:sz="4" w:space="0" w:color="95B3D7"/>
              <w:right w:val="single" w:sz="4" w:space="0" w:color="FFFFFF"/>
            </w:tcBorders>
            <w:shd w:val="clear" w:color="000000" w:fill="FFFFFF"/>
            <w:vAlign w:val="center"/>
            <w:hideMark/>
          </w:tcPr>
          <w:p w14:paraId="599FC58A" w14:textId="77777777" w:rsidR="00095079" w:rsidRPr="00095079" w:rsidRDefault="00095079" w:rsidP="00095079">
            <w:pPr>
              <w:spacing w:before="0" w:after="0" w:line="240" w:lineRule="auto"/>
              <w:jc w:val="right"/>
              <w:rPr>
                <w:rFonts w:ascii="Calibri" w:eastAsia="Times New Roman" w:hAnsi="Calibri" w:cs="Calibri"/>
                <w:i/>
                <w:iCs/>
                <w:color w:val="0F6FC6" w:themeColor="accent1"/>
                <w:sz w:val="14"/>
                <w:szCs w:val="14"/>
                <w:lang w:val="en-US"/>
              </w:rPr>
            </w:pPr>
            <w:r w:rsidRPr="00095079">
              <w:rPr>
                <w:rFonts w:ascii="Calibri" w:eastAsia="Times New Roman" w:hAnsi="Calibri" w:cs="Calibri"/>
                <w:i/>
                <w:iCs/>
                <w:color w:val="0F6FC6" w:themeColor="accent1"/>
                <w:sz w:val="14"/>
                <w:szCs w:val="14"/>
                <w:lang w:val="en-US"/>
              </w:rPr>
              <w:t>5</w:t>
            </w:r>
          </w:p>
        </w:tc>
      </w:tr>
      <w:tr w:rsidR="00095079" w:rsidRPr="00095079" w14:paraId="647B9AAF"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4188B4E2"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BUCURESTI-ILFOV</w:t>
            </w:r>
          </w:p>
        </w:tc>
        <w:tc>
          <w:tcPr>
            <w:tcW w:w="1076" w:type="dxa"/>
            <w:tcBorders>
              <w:top w:val="nil"/>
              <w:left w:val="nil"/>
              <w:bottom w:val="nil"/>
              <w:right w:val="single" w:sz="4" w:space="0" w:color="FFFFFF"/>
            </w:tcBorders>
            <w:shd w:val="clear" w:color="000000" w:fill="FFFFFF"/>
            <w:vAlign w:val="center"/>
            <w:hideMark/>
          </w:tcPr>
          <w:p w14:paraId="34901DE4"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90</w:t>
            </w:r>
          </w:p>
        </w:tc>
        <w:tc>
          <w:tcPr>
            <w:tcW w:w="1247" w:type="dxa"/>
            <w:tcBorders>
              <w:top w:val="nil"/>
              <w:left w:val="nil"/>
              <w:bottom w:val="nil"/>
              <w:right w:val="single" w:sz="4" w:space="0" w:color="FFFFFF"/>
            </w:tcBorders>
            <w:shd w:val="clear" w:color="000000" w:fill="FFFFFF"/>
            <w:vAlign w:val="center"/>
            <w:hideMark/>
          </w:tcPr>
          <w:p w14:paraId="17D77ADD"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3.875.522</w:t>
            </w:r>
          </w:p>
        </w:tc>
        <w:tc>
          <w:tcPr>
            <w:tcW w:w="1151" w:type="dxa"/>
            <w:tcBorders>
              <w:top w:val="nil"/>
              <w:left w:val="nil"/>
              <w:bottom w:val="nil"/>
              <w:right w:val="single" w:sz="4" w:space="0" w:color="FFFFFF"/>
            </w:tcBorders>
            <w:shd w:val="clear" w:color="000000" w:fill="FFFFFF"/>
            <w:vAlign w:val="center"/>
            <w:hideMark/>
          </w:tcPr>
          <w:p w14:paraId="40912B41"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24.598</w:t>
            </w:r>
          </w:p>
        </w:tc>
        <w:tc>
          <w:tcPr>
            <w:tcW w:w="1141" w:type="dxa"/>
            <w:tcBorders>
              <w:top w:val="nil"/>
              <w:left w:val="nil"/>
              <w:bottom w:val="nil"/>
              <w:right w:val="single" w:sz="4" w:space="0" w:color="FFFFFF"/>
            </w:tcBorders>
            <w:shd w:val="clear" w:color="000000" w:fill="FFFFFF"/>
            <w:vAlign w:val="center"/>
            <w:hideMark/>
          </w:tcPr>
          <w:p w14:paraId="1C353495"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-157.358</w:t>
            </w:r>
          </w:p>
        </w:tc>
        <w:tc>
          <w:tcPr>
            <w:tcW w:w="2200" w:type="dxa"/>
            <w:tcBorders>
              <w:top w:val="nil"/>
              <w:left w:val="nil"/>
              <w:bottom w:val="nil"/>
              <w:right w:val="single" w:sz="4" w:space="0" w:color="FFFFFF"/>
            </w:tcBorders>
            <w:shd w:val="clear" w:color="000000" w:fill="CCFFCC"/>
            <w:vAlign w:val="center"/>
            <w:hideMark/>
          </w:tcPr>
          <w:p w14:paraId="402EF50C"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3.372</w:t>
            </w:r>
          </w:p>
        </w:tc>
      </w:tr>
      <w:tr w:rsidR="00095079" w:rsidRPr="00095079" w14:paraId="77C25619"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74EA16CB"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CENTRU</w:t>
            </w:r>
          </w:p>
        </w:tc>
        <w:tc>
          <w:tcPr>
            <w:tcW w:w="1076" w:type="dxa"/>
            <w:tcBorders>
              <w:top w:val="nil"/>
              <w:left w:val="nil"/>
              <w:bottom w:val="nil"/>
              <w:right w:val="single" w:sz="4" w:space="0" w:color="FFFFFF"/>
            </w:tcBorders>
            <w:shd w:val="clear" w:color="000000" w:fill="FFFFFF"/>
            <w:vAlign w:val="center"/>
            <w:hideMark/>
          </w:tcPr>
          <w:p w14:paraId="5379672D"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169</w:t>
            </w:r>
          </w:p>
        </w:tc>
        <w:tc>
          <w:tcPr>
            <w:tcW w:w="1247" w:type="dxa"/>
            <w:tcBorders>
              <w:top w:val="nil"/>
              <w:left w:val="nil"/>
              <w:bottom w:val="nil"/>
              <w:right w:val="single" w:sz="4" w:space="0" w:color="FFFFFF"/>
            </w:tcBorders>
            <w:shd w:val="clear" w:color="000000" w:fill="FFFFFF"/>
            <w:vAlign w:val="center"/>
            <w:hideMark/>
          </w:tcPr>
          <w:p w14:paraId="737805E2"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1.153.465</w:t>
            </w:r>
          </w:p>
        </w:tc>
        <w:tc>
          <w:tcPr>
            <w:tcW w:w="1151" w:type="dxa"/>
            <w:tcBorders>
              <w:top w:val="nil"/>
              <w:left w:val="nil"/>
              <w:bottom w:val="nil"/>
              <w:right w:val="single" w:sz="4" w:space="0" w:color="FFFFFF"/>
            </w:tcBorders>
            <w:shd w:val="clear" w:color="000000" w:fill="FFFFFF"/>
            <w:vAlign w:val="center"/>
            <w:hideMark/>
          </w:tcPr>
          <w:p w14:paraId="5E869574"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9.721</w:t>
            </w:r>
          </w:p>
        </w:tc>
        <w:tc>
          <w:tcPr>
            <w:tcW w:w="1141" w:type="dxa"/>
            <w:tcBorders>
              <w:top w:val="nil"/>
              <w:left w:val="nil"/>
              <w:bottom w:val="nil"/>
              <w:right w:val="single" w:sz="4" w:space="0" w:color="FFFFFF"/>
            </w:tcBorders>
            <w:shd w:val="clear" w:color="000000" w:fill="FFFFFF"/>
            <w:vAlign w:val="center"/>
            <w:hideMark/>
          </w:tcPr>
          <w:p w14:paraId="6C2061C6"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64.545</w:t>
            </w:r>
          </w:p>
        </w:tc>
        <w:tc>
          <w:tcPr>
            <w:tcW w:w="2200" w:type="dxa"/>
            <w:tcBorders>
              <w:top w:val="nil"/>
              <w:left w:val="nil"/>
              <w:bottom w:val="nil"/>
              <w:right w:val="single" w:sz="4" w:space="0" w:color="FFFFFF"/>
            </w:tcBorders>
            <w:shd w:val="clear" w:color="000000" w:fill="CCFFCC"/>
            <w:vAlign w:val="center"/>
            <w:hideMark/>
          </w:tcPr>
          <w:p w14:paraId="3153D294"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23.963</w:t>
            </w:r>
          </w:p>
        </w:tc>
      </w:tr>
      <w:tr w:rsidR="00095079" w:rsidRPr="00095079" w14:paraId="73A998B0"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756DF138"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NORD-EST</w:t>
            </w:r>
          </w:p>
        </w:tc>
        <w:tc>
          <w:tcPr>
            <w:tcW w:w="1076" w:type="dxa"/>
            <w:tcBorders>
              <w:top w:val="nil"/>
              <w:left w:val="nil"/>
              <w:bottom w:val="nil"/>
              <w:right w:val="single" w:sz="4" w:space="0" w:color="FFFFFF"/>
            </w:tcBorders>
            <w:shd w:val="clear" w:color="000000" w:fill="FFFFFF"/>
            <w:vAlign w:val="center"/>
            <w:hideMark/>
          </w:tcPr>
          <w:p w14:paraId="15CBE02A"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94</w:t>
            </w:r>
          </w:p>
        </w:tc>
        <w:tc>
          <w:tcPr>
            <w:tcW w:w="1247" w:type="dxa"/>
            <w:tcBorders>
              <w:top w:val="nil"/>
              <w:left w:val="nil"/>
              <w:bottom w:val="nil"/>
              <w:right w:val="single" w:sz="4" w:space="0" w:color="FFFFFF"/>
            </w:tcBorders>
            <w:shd w:val="clear" w:color="000000" w:fill="FFFFFF"/>
            <w:vAlign w:val="center"/>
            <w:hideMark/>
          </w:tcPr>
          <w:p w14:paraId="4963779C"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1.259.157</w:t>
            </w:r>
          </w:p>
        </w:tc>
        <w:tc>
          <w:tcPr>
            <w:tcW w:w="1151" w:type="dxa"/>
            <w:tcBorders>
              <w:top w:val="nil"/>
              <w:left w:val="nil"/>
              <w:bottom w:val="nil"/>
              <w:right w:val="single" w:sz="4" w:space="0" w:color="FFFFFF"/>
            </w:tcBorders>
            <w:shd w:val="clear" w:color="000000" w:fill="FFFFFF"/>
            <w:vAlign w:val="center"/>
            <w:hideMark/>
          </w:tcPr>
          <w:p w14:paraId="07F07909"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11.738</w:t>
            </w:r>
          </w:p>
        </w:tc>
        <w:tc>
          <w:tcPr>
            <w:tcW w:w="1141" w:type="dxa"/>
            <w:tcBorders>
              <w:top w:val="nil"/>
              <w:left w:val="nil"/>
              <w:bottom w:val="nil"/>
              <w:right w:val="single" w:sz="4" w:space="0" w:color="FFFFFF"/>
            </w:tcBorders>
            <w:shd w:val="clear" w:color="000000" w:fill="FFFFFF"/>
            <w:vAlign w:val="center"/>
            <w:hideMark/>
          </w:tcPr>
          <w:p w14:paraId="2F600E2F"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47.616</w:t>
            </w:r>
          </w:p>
        </w:tc>
        <w:tc>
          <w:tcPr>
            <w:tcW w:w="2200" w:type="dxa"/>
            <w:tcBorders>
              <w:top w:val="nil"/>
              <w:left w:val="nil"/>
              <w:bottom w:val="nil"/>
              <w:right w:val="single" w:sz="4" w:space="0" w:color="FFFFFF"/>
            </w:tcBorders>
            <w:shd w:val="clear" w:color="000000" w:fill="CCFFCC"/>
            <w:vAlign w:val="center"/>
            <w:hideMark/>
          </w:tcPr>
          <w:p w14:paraId="130CF898"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9.146</w:t>
            </w:r>
          </w:p>
        </w:tc>
      </w:tr>
      <w:tr w:rsidR="00095079" w:rsidRPr="00095079" w14:paraId="0BD0B3AC"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4C537DFD"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NORD-VEST</w:t>
            </w:r>
          </w:p>
        </w:tc>
        <w:tc>
          <w:tcPr>
            <w:tcW w:w="1076" w:type="dxa"/>
            <w:tcBorders>
              <w:top w:val="nil"/>
              <w:left w:val="nil"/>
              <w:bottom w:val="nil"/>
              <w:right w:val="single" w:sz="4" w:space="0" w:color="FFFFFF"/>
            </w:tcBorders>
            <w:shd w:val="clear" w:color="000000" w:fill="FFFFFF"/>
            <w:vAlign w:val="center"/>
            <w:hideMark/>
          </w:tcPr>
          <w:p w14:paraId="3A153C09"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185</w:t>
            </w:r>
          </w:p>
        </w:tc>
        <w:tc>
          <w:tcPr>
            <w:tcW w:w="1247" w:type="dxa"/>
            <w:tcBorders>
              <w:top w:val="nil"/>
              <w:left w:val="nil"/>
              <w:bottom w:val="nil"/>
              <w:right w:val="single" w:sz="4" w:space="0" w:color="FFFFFF"/>
            </w:tcBorders>
            <w:shd w:val="clear" w:color="000000" w:fill="FFFFFF"/>
            <w:vAlign w:val="center"/>
            <w:hideMark/>
          </w:tcPr>
          <w:p w14:paraId="5BACF90A"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1.691.882</w:t>
            </w:r>
          </w:p>
        </w:tc>
        <w:tc>
          <w:tcPr>
            <w:tcW w:w="1151" w:type="dxa"/>
            <w:tcBorders>
              <w:top w:val="nil"/>
              <w:left w:val="nil"/>
              <w:bottom w:val="nil"/>
              <w:right w:val="single" w:sz="4" w:space="0" w:color="FFFFFF"/>
            </w:tcBorders>
            <w:shd w:val="clear" w:color="000000" w:fill="FFFFFF"/>
            <w:vAlign w:val="center"/>
            <w:hideMark/>
          </w:tcPr>
          <w:p w14:paraId="15DAD152"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13.219</w:t>
            </w:r>
          </w:p>
        </w:tc>
        <w:tc>
          <w:tcPr>
            <w:tcW w:w="1141" w:type="dxa"/>
            <w:tcBorders>
              <w:top w:val="nil"/>
              <w:left w:val="nil"/>
              <w:bottom w:val="nil"/>
              <w:right w:val="single" w:sz="4" w:space="0" w:color="FFFFFF"/>
            </w:tcBorders>
            <w:shd w:val="clear" w:color="000000" w:fill="FFFFFF"/>
            <w:vAlign w:val="center"/>
            <w:hideMark/>
          </w:tcPr>
          <w:p w14:paraId="069D04B8"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68.242</w:t>
            </w:r>
          </w:p>
        </w:tc>
        <w:tc>
          <w:tcPr>
            <w:tcW w:w="2200" w:type="dxa"/>
            <w:tcBorders>
              <w:top w:val="nil"/>
              <w:left w:val="nil"/>
              <w:bottom w:val="nil"/>
              <w:right w:val="single" w:sz="4" w:space="0" w:color="FFFFFF"/>
            </w:tcBorders>
            <w:shd w:val="clear" w:color="000000" w:fill="CCFFCC"/>
            <w:vAlign w:val="center"/>
            <w:hideMark/>
          </w:tcPr>
          <w:p w14:paraId="50CAB6B9"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11.219</w:t>
            </w:r>
          </w:p>
        </w:tc>
      </w:tr>
      <w:tr w:rsidR="00095079" w:rsidRPr="00095079" w14:paraId="6DD8EB91"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60898681"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SUD</w:t>
            </w:r>
          </w:p>
        </w:tc>
        <w:tc>
          <w:tcPr>
            <w:tcW w:w="1076" w:type="dxa"/>
            <w:tcBorders>
              <w:top w:val="nil"/>
              <w:left w:val="nil"/>
              <w:bottom w:val="nil"/>
              <w:right w:val="single" w:sz="4" w:space="0" w:color="FFFFFF"/>
            </w:tcBorders>
            <w:shd w:val="clear" w:color="000000" w:fill="FFFFFF"/>
            <w:vAlign w:val="center"/>
            <w:hideMark/>
          </w:tcPr>
          <w:p w14:paraId="16F9E579"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212</w:t>
            </w:r>
          </w:p>
        </w:tc>
        <w:tc>
          <w:tcPr>
            <w:tcW w:w="1247" w:type="dxa"/>
            <w:tcBorders>
              <w:top w:val="nil"/>
              <w:left w:val="nil"/>
              <w:bottom w:val="nil"/>
              <w:right w:val="single" w:sz="4" w:space="0" w:color="FFFFFF"/>
            </w:tcBorders>
            <w:shd w:val="clear" w:color="000000" w:fill="FFFFFF"/>
            <w:vAlign w:val="center"/>
            <w:hideMark/>
          </w:tcPr>
          <w:p w14:paraId="0BE507EF"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983.634</w:t>
            </w:r>
          </w:p>
        </w:tc>
        <w:tc>
          <w:tcPr>
            <w:tcW w:w="1151" w:type="dxa"/>
            <w:tcBorders>
              <w:top w:val="nil"/>
              <w:left w:val="nil"/>
              <w:bottom w:val="nil"/>
              <w:right w:val="single" w:sz="4" w:space="0" w:color="FFFFFF"/>
            </w:tcBorders>
            <w:shd w:val="clear" w:color="000000" w:fill="FFFFFF"/>
            <w:vAlign w:val="center"/>
            <w:hideMark/>
          </w:tcPr>
          <w:p w14:paraId="6C6E1F68"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10.942</w:t>
            </w:r>
          </w:p>
        </w:tc>
        <w:tc>
          <w:tcPr>
            <w:tcW w:w="1141" w:type="dxa"/>
            <w:tcBorders>
              <w:top w:val="nil"/>
              <w:left w:val="nil"/>
              <w:bottom w:val="nil"/>
              <w:right w:val="single" w:sz="4" w:space="0" w:color="FFFFFF"/>
            </w:tcBorders>
            <w:shd w:val="clear" w:color="000000" w:fill="FFFFFF"/>
            <w:vAlign w:val="center"/>
            <w:hideMark/>
          </w:tcPr>
          <w:p w14:paraId="57B7D2D7"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1.383</w:t>
            </w:r>
          </w:p>
        </w:tc>
        <w:tc>
          <w:tcPr>
            <w:tcW w:w="2200" w:type="dxa"/>
            <w:tcBorders>
              <w:top w:val="nil"/>
              <w:left w:val="nil"/>
              <w:bottom w:val="nil"/>
              <w:right w:val="single" w:sz="4" w:space="0" w:color="FFFFFF"/>
            </w:tcBorders>
            <w:shd w:val="clear" w:color="000000" w:fill="CCFFCC"/>
            <w:vAlign w:val="center"/>
            <w:hideMark/>
          </w:tcPr>
          <w:p w14:paraId="422057E6"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6.143</w:t>
            </w:r>
          </w:p>
        </w:tc>
      </w:tr>
      <w:tr w:rsidR="00095079" w:rsidRPr="00095079" w14:paraId="3BE89172"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35D211C9"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SUD-EST</w:t>
            </w:r>
          </w:p>
        </w:tc>
        <w:tc>
          <w:tcPr>
            <w:tcW w:w="1076" w:type="dxa"/>
            <w:tcBorders>
              <w:top w:val="nil"/>
              <w:left w:val="nil"/>
              <w:bottom w:val="nil"/>
              <w:right w:val="single" w:sz="4" w:space="0" w:color="FFFFFF"/>
            </w:tcBorders>
            <w:shd w:val="clear" w:color="000000" w:fill="FFFFFF"/>
            <w:vAlign w:val="center"/>
            <w:hideMark/>
          </w:tcPr>
          <w:p w14:paraId="57012C73"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154</w:t>
            </w:r>
          </w:p>
        </w:tc>
        <w:tc>
          <w:tcPr>
            <w:tcW w:w="1247" w:type="dxa"/>
            <w:tcBorders>
              <w:top w:val="nil"/>
              <w:left w:val="nil"/>
              <w:bottom w:val="nil"/>
              <w:right w:val="single" w:sz="4" w:space="0" w:color="FFFFFF"/>
            </w:tcBorders>
            <w:shd w:val="clear" w:color="000000" w:fill="FFFFFF"/>
            <w:vAlign w:val="center"/>
            <w:hideMark/>
          </w:tcPr>
          <w:p w14:paraId="63132F36"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1.428.889</w:t>
            </w:r>
          </w:p>
        </w:tc>
        <w:tc>
          <w:tcPr>
            <w:tcW w:w="1151" w:type="dxa"/>
            <w:tcBorders>
              <w:top w:val="nil"/>
              <w:left w:val="nil"/>
              <w:bottom w:val="nil"/>
              <w:right w:val="single" w:sz="4" w:space="0" w:color="FFFFFF"/>
            </w:tcBorders>
            <w:shd w:val="clear" w:color="000000" w:fill="FFFFFF"/>
            <w:vAlign w:val="center"/>
            <w:hideMark/>
          </w:tcPr>
          <w:p w14:paraId="720718FC"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13.150</w:t>
            </w:r>
          </w:p>
        </w:tc>
        <w:tc>
          <w:tcPr>
            <w:tcW w:w="1141" w:type="dxa"/>
            <w:tcBorders>
              <w:top w:val="nil"/>
              <w:left w:val="nil"/>
              <w:bottom w:val="nil"/>
              <w:right w:val="single" w:sz="4" w:space="0" w:color="FFFFFF"/>
            </w:tcBorders>
            <w:shd w:val="clear" w:color="000000" w:fill="FFFFFF"/>
            <w:vAlign w:val="center"/>
            <w:hideMark/>
          </w:tcPr>
          <w:p w14:paraId="15566ABE"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55.964</w:t>
            </w:r>
          </w:p>
        </w:tc>
        <w:tc>
          <w:tcPr>
            <w:tcW w:w="2200" w:type="dxa"/>
            <w:tcBorders>
              <w:top w:val="nil"/>
              <w:left w:val="nil"/>
              <w:bottom w:val="nil"/>
              <w:right w:val="single" w:sz="4" w:space="0" w:color="FFFFFF"/>
            </w:tcBorders>
            <w:shd w:val="clear" w:color="000000" w:fill="CCFFCC"/>
            <w:vAlign w:val="center"/>
            <w:hideMark/>
          </w:tcPr>
          <w:p w14:paraId="2F49C3C8"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4.220</w:t>
            </w:r>
          </w:p>
        </w:tc>
      </w:tr>
      <w:tr w:rsidR="00095079" w:rsidRPr="00095079" w14:paraId="082C7183" w14:textId="77777777" w:rsidTr="00095079">
        <w:trPr>
          <w:trHeight w:val="259"/>
        </w:trPr>
        <w:tc>
          <w:tcPr>
            <w:tcW w:w="2441" w:type="dxa"/>
            <w:tcBorders>
              <w:top w:val="nil"/>
              <w:left w:val="single" w:sz="4" w:space="0" w:color="FFFFFF"/>
              <w:bottom w:val="nil"/>
              <w:right w:val="single" w:sz="4" w:space="0" w:color="FFFFFF"/>
            </w:tcBorders>
            <w:shd w:val="clear" w:color="000000" w:fill="FFFFFF"/>
            <w:vAlign w:val="center"/>
            <w:hideMark/>
          </w:tcPr>
          <w:p w14:paraId="64208852"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SUD-VEST</w:t>
            </w:r>
          </w:p>
        </w:tc>
        <w:tc>
          <w:tcPr>
            <w:tcW w:w="1076" w:type="dxa"/>
            <w:tcBorders>
              <w:top w:val="nil"/>
              <w:left w:val="nil"/>
              <w:bottom w:val="nil"/>
              <w:right w:val="single" w:sz="4" w:space="0" w:color="FFFFFF"/>
            </w:tcBorders>
            <w:shd w:val="clear" w:color="000000" w:fill="FFFFFF"/>
            <w:vAlign w:val="center"/>
            <w:hideMark/>
          </w:tcPr>
          <w:p w14:paraId="4F1A9DAF"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176</w:t>
            </w:r>
          </w:p>
        </w:tc>
        <w:tc>
          <w:tcPr>
            <w:tcW w:w="1247" w:type="dxa"/>
            <w:tcBorders>
              <w:top w:val="nil"/>
              <w:left w:val="nil"/>
              <w:bottom w:val="nil"/>
              <w:right w:val="single" w:sz="4" w:space="0" w:color="FFFFFF"/>
            </w:tcBorders>
            <w:shd w:val="clear" w:color="000000" w:fill="FFFFFF"/>
            <w:vAlign w:val="center"/>
            <w:hideMark/>
          </w:tcPr>
          <w:p w14:paraId="4B2031FE"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710.425</w:t>
            </w:r>
          </w:p>
        </w:tc>
        <w:tc>
          <w:tcPr>
            <w:tcW w:w="1151" w:type="dxa"/>
            <w:tcBorders>
              <w:top w:val="nil"/>
              <w:left w:val="nil"/>
              <w:bottom w:val="nil"/>
              <w:right w:val="single" w:sz="4" w:space="0" w:color="FFFFFF"/>
            </w:tcBorders>
            <w:shd w:val="clear" w:color="000000" w:fill="FFFFFF"/>
            <w:vAlign w:val="center"/>
            <w:hideMark/>
          </w:tcPr>
          <w:p w14:paraId="2D2ABAEF"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8.527</w:t>
            </w:r>
          </w:p>
        </w:tc>
        <w:tc>
          <w:tcPr>
            <w:tcW w:w="1141" w:type="dxa"/>
            <w:tcBorders>
              <w:top w:val="nil"/>
              <w:left w:val="nil"/>
              <w:bottom w:val="nil"/>
              <w:right w:val="single" w:sz="4" w:space="0" w:color="FFFFFF"/>
            </w:tcBorders>
            <w:shd w:val="clear" w:color="000000" w:fill="FFFFFF"/>
            <w:vAlign w:val="center"/>
            <w:hideMark/>
          </w:tcPr>
          <w:p w14:paraId="5B523E9C"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32.506</w:t>
            </w:r>
          </w:p>
        </w:tc>
        <w:tc>
          <w:tcPr>
            <w:tcW w:w="2200" w:type="dxa"/>
            <w:tcBorders>
              <w:top w:val="nil"/>
              <w:left w:val="nil"/>
              <w:bottom w:val="nil"/>
              <w:right w:val="single" w:sz="4" w:space="0" w:color="FFFFFF"/>
            </w:tcBorders>
            <w:shd w:val="clear" w:color="000000" w:fill="CCFFCC"/>
            <w:vAlign w:val="center"/>
            <w:hideMark/>
          </w:tcPr>
          <w:p w14:paraId="7D38D410"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3.240</w:t>
            </w:r>
          </w:p>
        </w:tc>
      </w:tr>
      <w:tr w:rsidR="00095079" w:rsidRPr="00095079" w14:paraId="2D80685A" w14:textId="77777777" w:rsidTr="00095079">
        <w:trPr>
          <w:trHeight w:val="259"/>
        </w:trPr>
        <w:tc>
          <w:tcPr>
            <w:tcW w:w="2441" w:type="dxa"/>
            <w:tcBorders>
              <w:top w:val="nil"/>
              <w:left w:val="single" w:sz="4" w:space="0" w:color="FFFFFF"/>
              <w:bottom w:val="single" w:sz="4" w:space="0" w:color="95B3D7"/>
              <w:right w:val="single" w:sz="4" w:space="0" w:color="FFFFFF"/>
            </w:tcBorders>
            <w:shd w:val="clear" w:color="000000" w:fill="FFFFFF"/>
            <w:vAlign w:val="center"/>
            <w:hideMark/>
          </w:tcPr>
          <w:p w14:paraId="2C0B6045" w14:textId="77777777" w:rsidR="00095079" w:rsidRPr="00095079" w:rsidRDefault="00095079" w:rsidP="00095079">
            <w:pPr>
              <w:spacing w:before="0" w:after="0" w:line="240" w:lineRule="auto"/>
              <w:rPr>
                <w:rFonts w:ascii="Calibri" w:eastAsia="Times New Roman" w:hAnsi="Calibri" w:cs="Calibri"/>
                <w:sz w:val="16"/>
                <w:szCs w:val="16"/>
                <w:lang w:val="en-US"/>
              </w:rPr>
            </w:pPr>
            <w:r w:rsidRPr="00095079">
              <w:rPr>
                <w:rFonts w:ascii="Calibri" w:eastAsia="Times New Roman" w:hAnsi="Calibri" w:cs="Calibri"/>
                <w:sz w:val="16"/>
                <w:szCs w:val="16"/>
                <w:lang w:val="en-US"/>
              </w:rPr>
              <w:t>VEST</w:t>
            </w:r>
          </w:p>
        </w:tc>
        <w:tc>
          <w:tcPr>
            <w:tcW w:w="1076" w:type="dxa"/>
            <w:tcBorders>
              <w:top w:val="nil"/>
              <w:left w:val="nil"/>
              <w:bottom w:val="nil"/>
              <w:right w:val="single" w:sz="4" w:space="0" w:color="FFFFFF"/>
            </w:tcBorders>
            <w:shd w:val="clear" w:color="000000" w:fill="FFFFFF"/>
            <w:vAlign w:val="center"/>
            <w:hideMark/>
          </w:tcPr>
          <w:p w14:paraId="4B78FAF3"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158</w:t>
            </w:r>
          </w:p>
        </w:tc>
        <w:tc>
          <w:tcPr>
            <w:tcW w:w="1247" w:type="dxa"/>
            <w:tcBorders>
              <w:top w:val="nil"/>
              <w:left w:val="nil"/>
              <w:bottom w:val="nil"/>
              <w:right w:val="single" w:sz="4" w:space="0" w:color="FFFFFF"/>
            </w:tcBorders>
            <w:shd w:val="clear" w:color="000000" w:fill="FFFFFF"/>
            <w:vAlign w:val="center"/>
            <w:hideMark/>
          </w:tcPr>
          <w:p w14:paraId="7B402BD8"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1.104.526</w:t>
            </w:r>
          </w:p>
        </w:tc>
        <w:tc>
          <w:tcPr>
            <w:tcW w:w="1151" w:type="dxa"/>
            <w:tcBorders>
              <w:top w:val="nil"/>
              <w:left w:val="nil"/>
              <w:bottom w:val="nil"/>
              <w:right w:val="single" w:sz="4" w:space="0" w:color="FFFFFF"/>
            </w:tcBorders>
            <w:shd w:val="clear" w:color="000000" w:fill="FFFFFF"/>
            <w:vAlign w:val="center"/>
            <w:hideMark/>
          </w:tcPr>
          <w:p w14:paraId="67DEE910"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9.552</w:t>
            </w:r>
          </w:p>
        </w:tc>
        <w:tc>
          <w:tcPr>
            <w:tcW w:w="1141" w:type="dxa"/>
            <w:tcBorders>
              <w:top w:val="nil"/>
              <w:left w:val="nil"/>
              <w:bottom w:val="nil"/>
              <w:right w:val="single" w:sz="4" w:space="0" w:color="FFFFFF"/>
            </w:tcBorders>
            <w:shd w:val="clear" w:color="000000" w:fill="FFFFFF"/>
            <w:vAlign w:val="center"/>
            <w:hideMark/>
          </w:tcPr>
          <w:p w14:paraId="6DA004B8"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-754</w:t>
            </w:r>
          </w:p>
        </w:tc>
        <w:tc>
          <w:tcPr>
            <w:tcW w:w="2200" w:type="dxa"/>
            <w:tcBorders>
              <w:top w:val="nil"/>
              <w:left w:val="nil"/>
              <w:bottom w:val="nil"/>
              <w:right w:val="single" w:sz="4" w:space="0" w:color="FFFFFF"/>
            </w:tcBorders>
            <w:shd w:val="clear" w:color="000000" w:fill="CCFFCC"/>
            <w:vAlign w:val="center"/>
            <w:hideMark/>
          </w:tcPr>
          <w:p w14:paraId="2EE1F4FD" w14:textId="77777777" w:rsidR="00095079" w:rsidRPr="00095079" w:rsidRDefault="00095079" w:rsidP="00095079">
            <w:pPr>
              <w:spacing w:before="0" w:after="0" w:line="240" w:lineRule="auto"/>
              <w:jc w:val="right"/>
              <w:rPr>
                <w:rFonts w:ascii="Calibri" w:eastAsia="Times New Roman" w:hAnsi="Calibri" w:cs="Calibri"/>
                <w:sz w:val="16"/>
                <w:szCs w:val="16"/>
                <w:lang w:val="en-US"/>
              </w:rPr>
            </w:pPr>
            <w:r w:rsidRPr="00095079">
              <w:rPr>
                <w:rFonts w:ascii="Calibri" w:eastAsia="Times New Roman" w:hAnsi="Calibri" w:cs="Calibri"/>
                <w:sz w:val="16"/>
                <w:szCs w:val="16"/>
                <w:lang w:val="en-US"/>
              </w:rPr>
              <w:t>1.957</w:t>
            </w:r>
          </w:p>
        </w:tc>
      </w:tr>
      <w:tr w:rsidR="00095079" w:rsidRPr="00095079" w14:paraId="2E001749" w14:textId="77777777" w:rsidTr="00095079">
        <w:trPr>
          <w:trHeight w:val="259"/>
        </w:trPr>
        <w:tc>
          <w:tcPr>
            <w:tcW w:w="2441" w:type="dxa"/>
            <w:tcBorders>
              <w:top w:val="nil"/>
              <w:left w:val="single" w:sz="4" w:space="0" w:color="FFFFFF"/>
              <w:bottom w:val="single" w:sz="4" w:space="0" w:color="95B3D7"/>
              <w:right w:val="single" w:sz="4" w:space="0" w:color="FFFFFF"/>
            </w:tcBorders>
            <w:shd w:val="clear" w:color="000000" w:fill="FFFFFF"/>
            <w:vAlign w:val="center"/>
            <w:hideMark/>
          </w:tcPr>
          <w:p w14:paraId="32300163" w14:textId="77777777" w:rsidR="00095079" w:rsidRPr="00095079" w:rsidRDefault="00095079" w:rsidP="00095079">
            <w:pPr>
              <w:spacing w:before="0" w:after="0" w:line="240" w:lineRule="auto"/>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 xml:space="preserve">TOTAL GENERAL </w:t>
            </w:r>
          </w:p>
        </w:tc>
        <w:tc>
          <w:tcPr>
            <w:tcW w:w="1076" w:type="dxa"/>
            <w:tcBorders>
              <w:top w:val="single" w:sz="4" w:space="0" w:color="95B3D7"/>
              <w:left w:val="nil"/>
              <w:bottom w:val="single" w:sz="4" w:space="0" w:color="95B3D7"/>
              <w:right w:val="single" w:sz="4" w:space="0" w:color="FFFFFF"/>
            </w:tcBorders>
            <w:shd w:val="clear" w:color="000000" w:fill="FFFFFF"/>
            <w:vAlign w:val="center"/>
            <w:hideMark/>
          </w:tcPr>
          <w:p w14:paraId="76B211BF" w14:textId="77777777" w:rsidR="00095079" w:rsidRPr="00095079" w:rsidRDefault="00095079" w:rsidP="00095079">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1.238</w:t>
            </w:r>
          </w:p>
        </w:tc>
        <w:tc>
          <w:tcPr>
            <w:tcW w:w="1247" w:type="dxa"/>
            <w:tcBorders>
              <w:top w:val="single" w:sz="4" w:space="0" w:color="95B3D7"/>
              <w:left w:val="nil"/>
              <w:bottom w:val="single" w:sz="4" w:space="0" w:color="95B3D7"/>
              <w:right w:val="single" w:sz="4" w:space="0" w:color="FFFFFF"/>
            </w:tcBorders>
            <w:shd w:val="clear" w:color="000000" w:fill="FFFFFF"/>
            <w:vAlign w:val="center"/>
            <w:hideMark/>
          </w:tcPr>
          <w:p w14:paraId="285FC3F9" w14:textId="77777777" w:rsidR="00095079" w:rsidRPr="00095079" w:rsidRDefault="00095079" w:rsidP="00095079">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12.207.501</w:t>
            </w:r>
          </w:p>
        </w:tc>
        <w:tc>
          <w:tcPr>
            <w:tcW w:w="1151" w:type="dxa"/>
            <w:tcBorders>
              <w:top w:val="single" w:sz="4" w:space="0" w:color="95B3D7"/>
              <w:left w:val="nil"/>
              <w:bottom w:val="single" w:sz="4" w:space="0" w:color="95B3D7"/>
              <w:right w:val="single" w:sz="4" w:space="0" w:color="FFFFFF"/>
            </w:tcBorders>
            <w:shd w:val="clear" w:color="000000" w:fill="FFFFFF"/>
            <w:vAlign w:val="center"/>
            <w:hideMark/>
          </w:tcPr>
          <w:p w14:paraId="7CEDFD65" w14:textId="77777777" w:rsidR="00095079" w:rsidRPr="00095079" w:rsidRDefault="00095079" w:rsidP="00095079">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101.447</w:t>
            </w:r>
          </w:p>
        </w:tc>
        <w:tc>
          <w:tcPr>
            <w:tcW w:w="1141" w:type="dxa"/>
            <w:tcBorders>
              <w:top w:val="single" w:sz="4" w:space="0" w:color="95B3D7"/>
              <w:left w:val="nil"/>
              <w:bottom w:val="single" w:sz="4" w:space="0" w:color="95B3D7"/>
              <w:right w:val="single" w:sz="4" w:space="0" w:color="FFFFFF"/>
            </w:tcBorders>
            <w:shd w:val="clear" w:color="000000" w:fill="FFFFFF"/>
            <w:vAlign w:val="center"/>
            <w:hideMark/>
          </w:tcPr>
          <w:p w14:paraId="511F1901" w14:textId="77777777" w:rsidR="00095079" w:rsidRPr="00095079" w:rsidRDefault="00095079" w:rsidP="00095079">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112.144</w:t>
            </w:r>
          </w:p>
        </w:tc>
        <w:tc>
          <w:tcPr>
            <w:tcW w:w="2200" w:type="dxa"/>
            <w:tcBorders>
              <w:top w:val="single" w:sz="4" w:space="0" w:color="95B3D7"/>
              <w:left w:val="nil"/>
              <w:bottom w:val="single" w:sz="4" w:space="0" w:color="95B3D7"/>
              <w:right w:val="single" w:sz="4" w:space="0" w:color="FFFFFF"/>
            </w:tcBorders>
            <w:shd w:val="clear" w:color="000000" w:fill="CCFFCC"/>
            <w:vAlign w:val="center"/>
            <w:hideMark/>
          </w:tcPr>
          <w:p w14:paraId="310F2B62" w14:textId="77777777" w:rsidR="00095079" w:rsidRPr="00095079" w:rsidRDefault="00095079" w:rsidP="00095079">
            <w:pPr>
              <w:spacing w:before="0" w:after="0" w:line="240" w:lineRule="auto"/>
              <w:jc w:val="right"/>
              <w:rPr>
                <w:rFonts w:ascii="Calibri" w:eastAsia="Times New Roman" w:hAnsi="Calibri" w:cs="Calibri"/>
                <w:b/>
                <w:bCs/>
                <w:sz w:val="16"/>
                <w:szCs w:val="16"/>
                <w:lang w:val="en-US"/>
              </w:rPr>
            </w:pPr>
            <w:r w:rsidRPr="00095079">
              <w:rPr>
                <w:rFonts w:ascii="Calibri" w:eastAsia="Times New Roman" w:hAnsi="Calibri" w:cs="Calibri"/>
                <w:b/>
                <w:bCs/>
                <w:sz w:val="16"/>
                <w:szCs w:val="16"/>
                <w:lang w:val="en-US"/>
              </w:rPr>
              <w:t>63.260</w:t>
            </w:r>
          </w:p>
        </w:tc>
      </w:tr>
    </w:tbl>
    <w:p w14:paraId="548A0656" w14:textId="77777777" w:rsidR="00055539" w:rsidRPr="00095079" w:rsidRDefault="00055539" w:rsidP="009F00E4">
      <w:pPr>
        <w:spacing w:before="0" w:after="160"/>
        <w:jc w:val="both"/>
        <w:rPr>
          <w:rFonts w:asciiTheme="majorHAnsi" w:hAnsiTheme="majorHAnsi" w:cs="Times New Roman"/>
          <w:lang w:val="en-US"/>
        </w:rPr>
      </w:pPr>
    </w:p>
    <w:p w14:paraId="4E2201A2" w14:textId="77777777" w:rsidR="00705C98" w:rsidRPr="00D95C57" w:rsidRDefault="00705C98" w:rsidP="00BC58CB">
      <w:pPr>
        <w:jc w:val="both"/>
        <w:rPr>
          <w:rFonts w:asciiTheme="majorHAnsi" w:hAnsiTheme="majorHAnsi"/>
        </w:rPr>
      </w:pPr>
      <w:r w:rsidRPr="00D95C57">
        <w:rPr>
          <w:rFonts w:asciiTheme="majorHAnsi" w:hAnsiTheme="majorHAnsi"/>
        </w:rPr>
        <w:t xml:space="preserve">Cele mai profitabile ÎPL se regăsesc în regiunea </w:t>
      </w:r>
      <w:r w:rsidR="00A228A3">
        <w:rPr>
          <w:rFonts w:asciiTheme="majorHAnsi" w:hAnsiTheme="majorHAnsi"/>
        </w:rPr>
        <w:t>Nord-Vest</w:t>
      </w:r>
      <w:r w:rsidRPr="00D95C57">
        <w:rPr>
          <w:rFonts w:asciiTheme="majorHAnsi" w:hAnsiTheme="majorHAnsi"/>
        </w:rPr>
        <w:t xml:space="preserve"> </w:t>
      </w:r>
      <w:r w:rsidR="00DC2562" w:rsidRPr="00D95C57">
        <w:rPr>
          <w:rFonts w:asciiTheme="majorHAnsi" w:hAnsiTheme="majorHAnsi"/>
        </w:rPr>
        <w:t xml:space="preserve">înregistrând un rezultat brut în sumă totală de </w:t>
      </w:r>
      <w:r w:rsidR="005D2325">
        <w:rPr>
          <w:rFonts w:asciiTheme="majorHAnsi" w:hAnsiTheme="majorHAnsi"/>
        </w:rPr>
        <w:t>6</w:t>
      </w:r>
      <w:r w:rsidR="00A228A3">
        <w:rPr>
          <w:rFonts w:asciiTheme="majorHAnsi" w:hAnsiTheme="majorHAnsi"/>
        </w:rPr>
        <w:t>8</w:t>
      </w:r>
      <w:r w:rsidR="00055539" w:rsidRPr="00D95C57">
        <w:rPr>
          <w:rFonts w:asciiTheme="majorHAnsi" w:hAnsiTheme="majorHAnsi"/>
        </w:rPr>
        <w:t>.</w:t>
      </w:r>
      <w:r w:rsidR="005D2325">
        <w:rPr>
          <w:rFonts w:asciiTheme="majorHAnsi" w:hAnsiTheme="majorHAnsi"/>
        </w:rPr>
        <w:t>242</w:t>
      </w:r>
      <w:r w:rsidR="004522A5" w:rsidRPr="00D95C57">
        <w:rPr>
          <w:rFonts w:asciiTheme="majorHAnsi" w:hAnsiTheme="majorHAnsi"/>
        </w:rPr>
        <w:t xml:space="preserve"> mii lei,</w:t>
      </w:r>
      <w:r w:rsidR="00DC2562" w:rsidRPr="00D95C57">
        <w:rPr>
          <w:rFonts w:asciiTheme="majorHAnsi" w:hAnsiTheme="majorHAnsi"/>
        </w:rPr>
        <w:t xml:space="preserve"> iar cele mai puțin profitabile ÎPL </w:t>
      </w:r>
      <w:r w:rsidR="00BC58CB" w:rsidRPr="00D95C57">
        <w:rPr>
          <w:rFonts w:asciiTheme="majorHAnsi" w:hAnsiTheme="majorHAnsi"/>
        </w:rPr>
        <w:t xml:space="preserve">active </w:t>
      </w:r>
      <w:r w:rsidR="00DC2562" w:rsidRPr="00D95C57">
        <w:rPr>
          <w:rFonts w:asciiTheme="majorHAnsi" w:hAnsiTheme="majorHAnsi"/>
        </w:rPr>
        <w:t xml:space="preserve">sunt cele din regiunea București-Ilfov înregistrând un rezultat brut </w:t>
      </w:r>
      <w:r w:rsidR="00A228A3">
        <w:rPr>
          <w:rFonts w:asciiTheme="majorHAnsi" w:hAnsiTheme="majorHAnsi"/>
        </w:rPr>
        <w:t>(pierdere)</w:t>
      </w:r>
      <w:r w:rsidR="00DC2562" w:rsidRPr="00D95C57">
        <w:rPr>
          <w:rFonts w:asciiTheme="majorHAnsi" w:hAnsiTheme="majorHAnsi"/>
        </w:rPr>
        <w:t xml:space="preserve"> în sumă totală de </w:t>
      </w:r>
      <w:r w:rsidR="00BC58CB" w:rsidRPr="00D95C57">
        <w:rPr>
          <w:rFonts w:asciiTheme="majorHAnsi" w:hAnsiTheme="majorHAnsi"/>
        </w:rPr>
        <w:t xml:space="preserve"> </w:t>
      </w:r>
      <w:r w:rsidR="005D2325">
        <w:rPr>
          <w:rFonts w:asciiTheme="majorHAnsi" w:hAnsiTheme="majorHAnsi"/>
        </w:rPr>
        <w:t>1</w:t>
      </w:r>
      <w:r w:rsidR="00A228A3">
        <w:rPr>
          <w:rFonts w:asciiTheme="majorHAnsi" w:hAnsiTheme="majorHAnsi"/>
        </w:rPr>
        <w:t>5</w:t>
      </w:r>
      <w:r w:rsidR="005D2325">
        <w:rPr>
          <w:rFonts w:asciiTheme="majorHAnsi" w:hAnsiTheme="majorHAnsi"/>
        </w:rPr>
        <w:t>7</w:t>
      </w:r>
      <w:r w:rsidR="004522A5" w:rsidRPr="00D95C57">
        <w:rPr>
          <w:rFonts w:asciiTheme="majorHAnsi" w:hAnsiTheme="majorHAnsi"/>
        </w:rPr>
        <w:t>.</w:t>
      </w:r>
      <w:r w:rsidR="00A228A3">
        <w:rPr>
          <w:rFonts w:asciiTheme="majorHAnsi" w:hAnsiTheme="majorHAnsi"/>
        </w:rPr>
        <w:t>3</w:t>
      </w:r>
      <w:r w:rsidR="005D2325">
        <w:rPr>
          <w:rFonts w:asciiTheme="majorHAnsi" w:hAnsiTheme="majorHAnsi"/>
        </w:rPr>
        <w:t>58</w:t>
      </w:r>
      <w:r w:rsidR="00DC2562" w:rsidRPr="00D95C57">
        <w:rPr>
          <w:rFonts w:asciiTheme="majorHAnsi" w:hAnsiTheme="majorHAnsi"/>
        </w:rPr>
        <w:t xml:space="preserve"> mii lei</w:t>
      </w:r>
      <w:r w:rsidR="00BC58CB" w:rsidRPr="00D95C57">
        <w:rPr>
          <w:rFonts w:asciiTheme="majorHAnsi" w:hAnsiTheme="majorHAnsi"/>
        </w:rPr>
        <w:t xml:space="preserve"> și cel mai mare număr de personal angajat dintre toate regiunile</w:t>
      </w:r>
      <w:r w:rsidR="00DC2562" w:rsidRPr="00D95C57">
        <w:rPr>
          <w:rFonts w:asciiTheme="majorHAnsi" w:hAnsiTheme="majorHAnsi"/>
        </w:rPr>
        <w:t>.</w:t>
      </w:r>
    </w:p>
    <w:p w14:paraId="09A58F61" w14:textId="77777777" w:rsidR="00705C98" w:rsidRDefault="004522A5" w:rsidP="00BC58CB">
      <w:pPr>
        <w:jc w:val="both"/>
        <w:rPr>
          <w:rFonts w:asciiTheme="majorHAnsi" w:hAnsiTheme="majorHAnsi"/>
        </w:rPr>
      </w:pPr>
      <w:r w:rsidRPr="00D95C57">
        <w:rPr>
          <w:rFonts w:asciiTheme="majorHAnsi" w:hAnsiTheme="majorHAnsi"/>
        </w:rPr>
        <w:t>În anul 20</w:t>
      </w:r>
      <w:r w:rsidR="005D2325">
        <w:rPr>
          <w:rFonts w:asciiTheme="majorHAnsi" w:hAnsiTheme="majorHAnsi"/>
        </w:rPr>
        <w:t>20</w:t>
      </w:r>
      <w:r w:rsidR="00705C98" w:rsidRPr="00D95C57">
        <w:rPr>
          <w:rFonts w:asciiTheme="majorHAnsi" w:hAnsiTheme="majorHAnsi"/>
        </w:rPr>
        <w:t xml:space="preserve">, </w:t>
      </w:r>
      <w:r w:rsidRPr="00D95C57">
        <w:rPr>
          <w:rFonts w:asciiTheme="majorHAnsi" w:hAnsiTheme="majorHAnsi"/>
        </w:rPr>
        <w:t>deși regiunea</w:t>
      </w:r>
      <w:r w:rsidR="00705C98" w:rsidRPr="00D95C57">
        <w:rPr>
          <w:rFonts w:asciiTheme="majorHAnsi" w:hAnsiTheme="majorHAnsi"/>
        </w:rPr>
        <w:t xml:space="preserve"> </w:t>
      </w:r>
      <w:r w:rsidRPr="00D95C57">
        <w:rPr>
          <w:rFonts w:asciiTheme="majorHAnsi" w:hAnsiTheme="majorHAnsi"/>
        </w:rPr>
        <w:t>cu</w:t>
      </w:r>
      <w:r w:rsidR="00705C98" w:rsidRPr="00D95C57">
        <w:rPr>
          <w:rFonts w:asciiTheme="majorHAnsi" w:hAnsiTheme="majorHAnsi"/>
        </w:rPr>
        <w:t xml:space="preserve"> cea mai mare cifră de afaceri netă o înregistrează ÎPL din regiunea </w:t>
      </w:r>
      <w:r w:rsidRPr="00D95C57">
        <w:rPr>
          <w:rFonts w:asciiTheme="majorHAnsi" w:hAnsiTheme="majorHAnsi"/>
        </w:rPr>
        <w:t>București-Ilfov  cu</w:t>
      </w:r>
      <w:r w:rsidR="00705C98" w:rsidRPr="00D95C57">
        <w:rPr>
          <w:rFonts w:asciiTheme="majorHAnsi" w:hAnsiTheme="majorHAnsi"/>
        </w:rPr>
        <w:t xml:space="preserve"> cifră de afaceri în sumă totală de </w:t>
      </w:r>
      <w:r w:rsidR="005D2325">
        <w:rPr>
          <w:rFonts w:asciiTheme="majorHAnsi" w:hAnsiTheme="majorHAnsi"/>
        </w:rPr>
        <w:t>3</w:t>
      </w:r>
      <w:r w:rsidR="00705C98" w:rsidRPr="00D95C57">
        <w:rPr>
          <w:rFonts w:asciiTheme="majorHAnsi" w:hAnsiTheme="majorHAnsi"/>
        </w:rPr>
        <w:t>.</w:t>
      </w:r>
      <w:r w:rsidR="005D2325">
        <w:rPr>
          <w:rFonts w:asciiTheme="majorHAnsi" w:hAnsiTheme="majorHAnsi"/>
        </w:rPr>
        <w:t>875.522</w:t>
      </w:r>
      <w:r w:rsidR="00705C98" w:rsidRPr="00D95C57">
        <w:rPr>
          <w:rFonts w:asciiTheme="majorHAnsi" w:hAnsiTheme="majorHAnsi"/>
        </w:rPr>
        <w:t xml:space="preserve"> mii lei</w:t>
      </w:r>
      <w:r w:rsidRPr="00D95C57">
        <w:rPr>
          <w:rFonts w:asciiTheme="majorHAnsi" w:hAnsiTheme="majorHAnsi"/>
        </w:rPr>
        <w:t xml:space="preserve">, aceasta </w:t>
      </w:r>
      <w:r w:rsidR="00705C98" w:rsidRPr="00D95C57">
        <w:rPr>
          <w:rFonts w:asciiTheme="majorHAnsi" w:hAnsiTheme="majorHAnsi"/>
        </w:rPr>
        <w:t xml:space="preserve">înregistrează </w:t>
      </w:r>
      <w:r w:rsidRPr="00D95C57">
        <w:rPr>
          <w:rFonts w:asciiTheme="majorHAnsi" w:hAnsiTheme="majorHAnsi"/>
        </w:rPr>
        <w:t>și ce</w:t>
      </w:r>
      <w:r w:rsidR="00673BAD">
        <w:rPr>
          <w:rFonts w:asciiTheme="majorHAnsi" w:hAnsiTheme="majorHAnsi"/>
        </w:rPr>
        <w:t>a</w:t>
      </w:r>
      <w:r w:rsidRPr="00D95C57">
        <w:rPr>
          <w:rFonts w:asciiTheme="majorHAnsi" w:hAnsiTheme="majorHAnsi"/>
        </w:rPr>
        <w:t xml:space="preserve"> mai mare </w:t>
      </w:r>
      <w:r w:rsidR="00A228A3">
        <w:rPr>
          <w:rFonts w:asciiTheme="majorHAnsi" w:hAnsiTheme="majorHAnsi"/>
        </w:rPr>
        <w:t xml:space="preserve">pierdere brută </w:t>
      </w:r>
      <w:r w:rsidR="00705C98" w:rsidRPr="00D95C57">
        <w:rPr>
          <w:rFonts w:asciiTheme="majorHAnsi" w:hAnsiTheme="majorHAnsi"/>
        </w:rPr>
        <w:t xml:space="preserve">în sumă de </w:t>
      </w:r>
      <w:r w:rsidR="005D2325">
        <w:rPr>
          <w:rFonts w:asciiTheme="majorHAnsi" w:hAnsiTheme="majorHAnsi"/>
        </w:rPr>
        <w:t>157</w:t>
      </w:r>
      <w:r w:rsidR="00A228A3">
        <w:rPr>
          <w:rFonts w:asciiTheme="majorHAnsi" w:hAnsiTheme="majorHAnsi"/>
        </w:rPr>
        <w:t>.</w:t>
      </w:r>
      <w:r w:rsidR="005D2325">
        <w:rPr>
          <w:rFonts w:asciiTheme="majorHAnsi" w:hAnsiTheme="majorHAnsi"/>
        </w:rPr>
        <w:t>358</w:t>
      </w:r>
      <w:r w:rsidR="00A228A3">
        <w:rPr>
          <w:rFonts w:asciiTheme="majorHAnsi" w:hAnsiTheme="majorHAnsi"/>
        </w:rPr>
        <w:t xml:space="preserve"> </w:t>
      </w:r>
      <w:r w:rsidR="00705C98" w:rsidRPr="00D95C57">
        <w:rPr>
          <w:rFonts w:asciiTheme="majorHAnsi" w:hAnsiTheme="majorHAnsi"/>
        </w:rPr>
        <w:t>mii lei</w:t>
      </w:r>
      <w:r w:rsidRPr="00D95C57">
        <w:rPr>
          <w:rFonts w:asciiTheme="majorHAnsi" w:hAnsiTheme="majorHAnsi"/>
        </w:rPr>
        <w:t>. Un echilibru se păstrează în regiunea NORD-VEST între cifr</w:t>
      </w:r>
      <w:r w:rsidR="00673BAD">
        <w:rPr>
          <w:rFonts w:asciiTheme="majorHAnsi" w:hAnsiTheme="majorHAnsi"/>
        </w:rPr>
        <w:t>a</w:t>
      </w:r>
      <w:r w:rsidRPr="00D95C57">
        <w:rPr>
          <w:rFonts w:asciiTheme="majorHAnsi" w:hAnsiTheme="majorHAnsi"/>
        </w:rPr>
        <w:t xml:space="preserve"> de afaceri </w:t>
      </w:r>
      <w:r w:rsidR="00516751" w:rsidRPr="00D95C57">
        <w:rPr>
          <w:rFonts w:asciiTheme="majorHAnsi" w:hAnsiTheme="majorHAnsi"/>
        </w:rPr>
        <w:t>de 1.</w:t>
      </w:r>
      <w:r w:rsidR="005D2325">
        <w:rPr>
          <w:rFonts w:asciiTheme="majorHAnsi" w:hAnsiTheme="majorHAnsi"/>
        </w:rPr>
        <w:t>691</w:t>
      </w:r>
      <w:r w:rsidR="00A228A3">
        <w:rPr>
          <w:rFonts w:asciiTheme="majorHAnsi" w:hAnsiTheme="majorHAnsi"/>
        </w:rPr>
        <w:t>.</w:t>
      </w:r>
      <w:r w:rsidR="005D2325">
        <w:rPr>
          <w:rFonts w:asciiTheme="majorHAnsi" w:hAnsiTheme="majorHAnsi"/>
        </w:rPr>
        <w:t>882</w:t>
      </w:r>
      <w:r w:rsidR="00516751" w:rsidRPr="00D95C57">
        <w:rPr>
          <w:rFonts w:asciiTheme="majorHAnsi" w:hAnsiTheme="majorHAnsi"/>
        </w:rPr>
        <w:t xml:space="preserve"> mii lei și rezultatul brut de </w:t>
      </w:r>
      <w:r w:rsidR="005D2325">
        <w:rPr>
          <w:rFonts w:asciiTheme="majorHAnsi" w:hAnsiTheme="majorHAnsi"/>
        </w:rPr>
        <w:t>6</w:t>
      </w:r>
      <w:r w:rsidR="00A228A3">
        <w:rPr>
          <w:rFonts w:asciiTheme="majorHAnsi" w:hAnsiTheme="majorHAnsi"/>
        </w:rPr>
        <w:t>8</w:t>
      </w:r>
      <w:r w:rsidR="00516751" w:rsidRPr="00D95C57">
        <w:rPr>
          <w:rFonts w:asciiTheme="majorHAnsi" w:hAnsiTheme="majorHAnsi"/>
        </w:rPr>
        <w:t>.</w:t>
      </w:r>
      <w:r w:rsidR="005D2325">
        <w:rPr>
          <w:rFonts w:asciiTheme="majorHAnsi" w:hAnsiTheme="majorHAnsi"/>
        </w:rPr>
        <w:t>242</w:t>
      </w:r>
      <w:r w:rsidR="00516751" w:rsidRPr="00D95C57">
        <w:rPr>
          <w:rFonts w:asciiTheme="majorHAnsi" w:hAnsiTheme="majorHAnsi"/>
        </w:rPr>
        <w:t xml:space="preserve"> mii lei.</w:t>
      </w:r>
    </w:p>
    <w:p w14:paraId="2F7A2274" w14:textId="77777777" w:rsidR="00642BB3" w:rsidRDefault="00642BB3" w:rsidP="00BC58CB">
      <w:pPr>
        <w:jc w:val="both"/>
        <w:rPr>
          <w:rFonts w:asciiTheme="majorHAnsi" w:hAnsiTheme="majorHAnsi"/>
        </w:rPr>
      </w:pPr>
    </w:p>
    <w:p w14:paraId="7B88880A" w14:textId="77777777" w:rsidR="005D2325" w:rsidRDefault="005D2325" w:rsidP="00BC58CB">
      <w:pPr>
        <w:jc w:val="both"/>
        <w:rPr>
          <w:rFonts w:asciiTheme="majorHAnsi" w:hAnsiTheme="majorHAnsi"/>
        </w:rPr>
      </w:pPr>
      <w:r>
        <w:rPr>
          <w:rFonts w:asciiTheme="majorHAnsi" w:hAnsiTheme="majorHAnsi"/>
          <w:noProof/>
          <w:lang w:val="en-US"/>
        </w:rPr>
        <w:drawing>
          <wp:inline distT="0" distB="0" distL="0" distR="0" wp14:anchorId="7A35F52A" wp14:editId="030B359C">
            <wp:extent cx="5852795" cy="310896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2795" cy="3108960"/>
                    </a:xfrm>
                    <a:prstGeom prst="rect">
                      <a:avLst/>
                    </a:prstGeom>
                    <a:noFill/>
                  </pic:spPr>
                </pic:pic>
              </a:graphicData>
            </a:graphic>
          </wp:inline>
        </w:drawing>
      </w:r>
    </w:p>
    <w:p w14:paraId="3FD7E7E9" w14:textId="77777777" w:rsidR="00642BB3" w:rsidRDefault="00642BB3" w:rsidP="00BC58CB">
      <w:pPr>
        <w:jc w:val="both"/>
        <w:rPr>
          <w:rFonts w:asciiTheme="majorHAnsi" w:hAnsiTheme="majorHAnsi"/>
        </w:rPr>
      </w:pPr>
    </w:p>
    <w:p w14:paraId="58E8AE49" w14:textId="77777777" w:rsidR="00642BB3" w:rsidRDefault="00642BB3" w:rsidP="00BC58CB">
      <w:pPr>
        <w:jc w:val="both"/>
        <w:rPr>
          <w:rFonts w:asciiTheme="majorHAnsi" w:hAnsiTheme="majorHAnsi"/>
        </w:rPr>
      </w:pPr>
    </w:p>
    <w:p w14:paraId="7172FBC9" w14:textId="77777777" w:rsidR="00642BB3" w:rsidRDefault="00642BB3" w:rsidP="00BC58CB">
      <w:pPr>
        <w:jc w:val="both"/>
        <w:rPr>
          <w:rFonts w:asciiTheme="majorHAnsi" w:hAnsiTheme="majorHAnsi"/>
        </w:rPr>
      </w:pPr>
    </w:p>
    <w:p w14:paraId="633242FB" w14:textId="77777777" w:rsidR="000E512B" w:rsidRPr="000E512B" w:rsidRDefault="000E512B" w:rsidP="00BC58CB">
      <w:pPr>
        <w:jc w:val="both"/>
        <w:rPr>
          <w:rFonts w:asciiTheme="majorHAnsi" w:hAnsiTheme="majorHAnsi"/>
        </w:rPr>
      </w:pPr>
      <w:r w:rsidRPr="000E512B">
        <w:rPr>
          <w:rFonts w:ascii="Calibri Light" w:eastAsia="Times New Roman" w:hAnsi="Calibri Light" w:cs="Calibri Light"/>
          <w:lang w:val="en-US"/>
        </w:rPr>
        <w:t>TABEL – ÎPL după forma de organizare, evoluție în perioada 2018-2020</w:t>
      </w:r>
    </w:p>
    <w:tbl>
      <w:tblPr>
        <w:tblW w:w="9297" w:type="dxa"/>
        <w:tblInd w:w="93" w:type="dxa"/>
        <w:tblLook w:val="04A0" w:firstRow="1" w:lastRow="0" w:firstColumn="1" w:lastColumn="0" w:noHBand="0" w:noVBand="1"/>
      </w:tblPr>
      <w:tblGrid>
        <w:gridCol w:w="4089"/>
        <w:gridCol w:w="1736"/>
        <w:gridCol w:w="1736"/>
        <w:gridCol w:w="1736"/>
      </w:tblGrid>
      <w:tr w:rsidR="000E512B" w:rsidRPr="000E512B" w14:paraId="62D3DF2D" w14:textId="77777777" w:rsidTr="000E512B">
        <w:trPr>
          <w:trHeight w:val="262"/>
        </w:trPr>
        <w:tc>
          <w:tcPr>
            <w:tcW w:w="4089"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1A4085DB" w14:textId="77777777" w:rsidR="000E512B" w:rsidRPr="000E512B" w:rsidRDefault="000E512B" w:rsidP="000E512B">
            <w:pPr>
              <w:spacing w:before="0" w:after="0" w:line="240" w:lineRule="auto"/>
              <w:rPr>
                <w:rFonts w:ascii="Calibri Light" w:eastAsia="Times New Roman" w:hAnsi="Calibri Light" w:cs="Calibri Light"/>
                <w:color w:val="0F6FC6" w:themeColor="accent1"/>
                <w:sz w:val="16"/>
                <w:szCs w:val="16"/>
                <w:lang w:val="en-US"/>
              </w:rPr>
            </w:pPr>
            <w:r w:rsidRPr="000E512B">
              <w:rPr>
                <w:rFonts w:ascii="Calibri Light" w:eastAsia="Times New Roman" w:hAnsi="Calibri Light" w:cs="Calibri Light"/>
                <w:color w:val="0F6FC6" w:themeColor="accent1"/>
                <w:sz w:val="16"/>
                <w:szCs w:val="16"/>
                <w:lang w:val="en-US"/>
              </w:rPr>
              <w:t>Formă de organizare ÎPL</w:t>
            </w:r>
          </w:p>
        </w:tc>
        <w:tc>
          <w:tcPr>
            <w:tcW w:w="1736" w:type="dxa"/>
            <w:tcBorders>
              <w:top w:val="single" w:sz="4" w:space="0" w:color="95B3D7"/>
              <w:left w:val="nil"/>
              <w:bottom w:val="single" w:sz="4" w:space="0" w:color="95B3D7"/>
              <w:right w:val="single" w:sz="4" w:space="0" w:color="FFFFFF"/>
            </w:tcBorders>
            <w:shd w:val="clear" w:color="000000" w:fill="FFFFFF"/>
            <w:vAlign w:val="center"/>
            <w:hideMark/>
          </w:tcPr>
          <w:p w14:paraId="385BE0E6" w14:textId="77777777" w:rsidR="000E512B" w:rsidRPr="000E512B" w:rsidRDefault="000E512B" w:rsidP="000E512B">
            <w:pPr>
              <w:spacing w:before="0" w:after="0" w:line="240" w:lineRule="auto"/>
              <w:jc w:val="right"/>
              <w:rPr>
                <w:rFonts w:ascii="Calibri Light" w:eastAsia="Times New Roman" w:hAnsi="Calibri Light" w:cs="Calibri Light"/>
                <w:color w:val="0F6FC6" w:themeColor="accent1"/>
                <w:sz w:val="16"/>
                <w:szCs w:val="16"/>
                <w:lang w:val="en-US"/>
              </w:rPr>
            </w:pPr>
            <w:r w:rsidRPr="000E512B">
              <w:rPr>
                <w:rFonts w:ascii="Calibri Light" w:eastAsia="Times New Roman" w:hAnsi="Calibri Light" w:cs="Calibri Light"/>
                <w:color w:val="0F6FC6" w:themeColor="accent1"/>
                <w:sz w:val="16"/>
                <w:szCs w:val="16"/>
                <w:lang w:val="en-US"/>
              </w:rPr>
              <w:t>2018</w:t>
            </w:r>
          </w:p>
        </w:tc>
        <w:tc>
          <w:tcPr>
            <w:tcW w:w="1736" w:type="dxa"/>
            <w:tcBorders>
              <w:top w:val="single" w:sz="4" w:space="0" w:color="95B3D7"/>
              <w:left w:val="nil"/>
              <w:bottom w:val="single" w:sz="4" w:space="0" w:color="95B3D7"/>
              <w:right w:val="single" w:sz="4" w:space="0" w:color="FFFFFF"/>
            </w:tcBorders>
            <w:shd w:val="clear" w:color="000000" w:fill="FFFFFF"/>
            <w:vAlign w:val="center"/>
            <w:hideMark/>
          </w:tcPr>
          <w:p w14:paraId="37CFB631" w14:textId="77777777" w:rsidR="000E512B" w:rsidRPr="000E512B" w:rsidRDefault="000E512B" w:rsidP="000E512B">
            <w:pPr>
              <w:spacing w:before="0" w:after="0" w:line="240" w:lineRule="auto"/>
              <w:jc w:val="right"/>
              <w:rPr>
                <w:rFonts w:ascii="Calibri Light" w:eastAsia="Times New Roman" w:hAnsi="Calibri Light" w:cs="Calibri Light"/>
                <w:color w:val="0F6FC6" w:themeColor="accent1"/>
                <w:sz w:val="16"/>
                <w:szCs w:val="16"/>
                <w:lang w:val="en-US"/>
              </w:rPr>
            </w:pPr>
            <w:r w:rsidRPr="000E512B">
              <w:rPr>
                <w:rFonts w:ascii="Calibri Light" w:eastAsia="Times New Roman" w:hAnsi="Calibri Light" w:cs="Calibri Light"/>
                <w:color w:val="0F6FC6" w:themeColor="accent1"/>
                <w:sz w:val="16"/>
                <w:szCs w:val="16"/>
                <w:lang w:val="en-US"/>
              </w:rPr>
              <w:t>2019</w:t>
            </w:r>
          </w:p>
        </w:tc>
        <w:tc>
          <w:tcPr>
            <w:tcW w:w="1736" w:type="dxa"/>
            <w:tcBorders>
              <w:top w:val="single" w:sz="4" w:space="0" w:color="95B3D7"/>
              <w:left w:val="nil"/>
              <w:bottom w:val="single" w:sz="4" w:space="0" w:color="95B3D7"/>
              <w:right w:val="single" w:sz="4" w:space="0" w:color="FFFFFF"/>
            </w:tcBorders>
            <w:shd w:val="clear" w:color="000000" w:fill="FFFFFF"/>
            <w:vAlign w:val="center"/>
            <w:hideMark/>
          </w:tcPr>
          <w:p w14:paraId="368D3916" w14:textId="77777777" w:rsidR="000E512B" w:rsidRPr="000E512B" w:rsidRDefault="000E512B" w:rsidP="000E512B">
            <w:pPr>
              <w:spacing w:before="0" w:after="0" w:line="240" w:lineRule="auto"/>
              <w:jc w:val="right"/>
              <w:rPr>
                <w:rFonts w:ascii="Calibri Light" w:eastAsia="Times New Roman" w:hAnsi="Calibri Light" w:cs="Calibri Light"/>
                <w:color w:val="0F6FC6" w:themeColor="accent1"/>
                <w:sz w:val="16"/>
                <w:szCs w:val="16"/>
                <w:lang w:val="en-US"/>
              </w:rPr>
            </w:pPr>
            <w:r w:rsidRPr="000E512B">
              <w:rPr>
                <w:rFonts w:ascii="Calibri Light" w:eastAsia="Times New Roman" w:hAnsi="Calibri Light" w:cs="Calibri Light"/>
                <w:color w:val="0F6FC6" w:themeColor="accent1"/>
                <w:sz w:val="16"/>
                <w:szCs w:val="16"/>
                <w:lang w:val="en-US"/>
              </w:rPr>
              <w:t>2020</w:t>
            </w:r>
          </w:p>
        </w:tc>
      </w:tr>
      <w:tr w:rsidR="000E512B" w:rsidRPr="000E512B" w14:paraId="17698AAA" w14:textId="77777777" w:rsidTr="000E512B">
        <w:trPr>
          <w:trHeight w:val="262"/>
        </w:trPr>
        <w:tc>
          <w:tcPr>
            <w:tcW w:w="4089" w:type="dxa"/>
            <w:vMerge/>
            <w:tcBorders>
              <w:top w:val="single" w:sz="4" w:space="0" w:color="95B3D7"/>
              <w:left w:val="single" w:sz="4" w:space="0" w:color="FFFFFF"/>
              <w:bottom w:val="single" w:sz="4" w:space="0" w:color="95B3D7"/>
              <w:right w:val="single" w:sz="4" w:space="0" w:color="FFFFFF"/>
            </w:tcBorders>
            <w:vAlign w:val="center"/>
            <w:hideMark/>
          </w:tcPr>
          <w:p w14:paraId="7525A78C" w14:textId="77777777" w:rsidR="000E512B" w:rsidRPr="000E512B" w:rsidRDefault="000E512B" w:rsidP="000E512B">
            <w:pPr>
              <w:spacing w:before="0" w:after="0" w:line="240" w:lineRule="auto"/>
              <w:rPr>
                <w:rFonts w:ascii="Calibri Light" w:eastAsia="Times New Roman" w:hAnsi="Calibri Light" w:cs="Calibri Light"/>
                <w:color w:val="0F6FC6" w:themeColor="accent1"/>
                <w:sz w:val="16"/>
                <w:szCs w:val="16"/>
                <w:lang w:val="en-US"/>
              </w:rPr>
            </w:pPr>
          </w:p>
        </w:tc>
        <w:tc>
          <w:tcPr>
            <w:tcW w:w="1736" w:type="dxa"/>
            <w:tcBorders>
              <w:top w:val="nil"/>
              <w:left w:val="nil"/>
              <w:bottom w:val="single" w:sz="4" w:space="0" w:color="95B3D7"/>
              <w:right w:val="single" w:sz="4" w:space="0" w:color="FFFFFF"/>
            </w:tcBorders>
            <w:shd w:val="clear" w:color="000000" w:fill="FFFFFF"/>
            <w:vAlign w:val="center"/>
            <w:hideMark/>
          </w:tcPr>
          <w:p w14:paraId="40999CC5" w14:textId="77777777" w:rsidR="000E512B" w:rsidRPr="000E512B" w:rsidRDefault="000E512B" w:rsidP="000E512B">
            <w:pPr>
              <w:spacing w:before="0" w:after="0" w:line="240" w:lineRule="auto"/>
              <w:jc w:val="right"/>
              <w:rPr>
                <w:rFonts w:ascii="Calibri Light" w:eastAsia="Times New Roman" w:hAnsi="Calibri Light" w:cs="Calibri Light"/>
                <w:color w:val="0F6FC6" w:themeColor="accent1"/>
                <w:sz w:val="14"/>
                <w:szCs w:val="14"/>
                <w:lang w:val="en-US"/>
              </w:rPr>
            </w:pPr>
            <w:r w:rsidRPr="000E512B">
              <w:rPr>
                <w:rFonts w:ascii="Calibri Light" w:eastAsia="Times New Roman" w:hAnsi="Calibri Light" w:cs="Calibri Light"/>
                <w:color w:val="0F6FC6" w:themeColor="accent1"/>
                <w:sz w:val="14"/>
                <w:szCs w:val="14"/>
                <w:lang w:val="en-US"/>
              </w:rPr>
              <w:t>nr. ÎPL</w:t>
            </w:r>
          </w:p>
        </w:tc>
        <w:tc>
          <w:tcPr>
            <w:tcW w:w="1736" w:type="dxa"/>
            <w:tcBorders>
              <w:top w:val="nil"/>
              <w:left w:val="nil"/>
              <w:bottom w:val="single" w:sz="4" w:space="0" w:color="95B3D7"/>
              <w:right w:val="single" w:sz="4" w:space="0" w:color="FFFFFF"/>
            </w:tcBorders>
            <w:shd w:val="clear" w:color="000000" w:fill="FFFFFF"/>
            <w:vAlign w:val="center"/>
            <w:hideMark/>
          </w:tcPr>
          <w:p w14:paraId="60201598" w14:textId="77777777" w:rsidR="000E512B" w:rsidRPr="000E512B" w:rsidRDefault="000E512B" w:rsidP="000E512B">
            <w:pPr>
              <w:spacing w:before="0" w:after="0" w:line="240" w:lineRule="auto"/>
              <w:jc w:val="right"/>
              <w:rPr>
                <w:rFonts w:ascii="Calibri Light" w:eastAsia="Times New Roman" w:hAnsi="Calibri Light" w:cs="Calibri Light"/>
                <w:color w:val="0F6FC6" w:themeColor="accent1"/>
                <w:sz w:val="14"/>
                <w:szCs w:val="14"/>
                <w:lang w:val="en-US"/>
              </w:rPr>
            </w:pPr>
            <w:r w:rsidRPr="000E512B">
              <w:rPr>
                <w:rFonts w:ascii="Calibri Light" w:eastAsia="Times New Roman" w:hAnsi="Calibri Light" w:cs="Calibri Light"/>
                <w:color w:val="0F6FC6" w:themeColor="accent1"/>
                <w:sz w:val="14"/>
                <w:szCs w:val="14"/>
                <w:lang w:val="en-US"/>
              </w:rPr>
              <w:t>nr. ÎPL</w:t>
            </w:r>
          </w:p>
        </w:tc>
        <w:tc>
          <w:tcPr>
            <w:tcW w:w="1736" w:type="dxa"/>
            <w:tcBorders>
              <w:top w:val="nil"/>
              <w:left w:val="nil"/>
              <w:bottom w:val="single" w:sz="4" w:space="0" w:color="95B3D7"/>
              <w:right w:val="single" w:sz="4" w:space="0" w:color="FFFFFF"/>
            </w:tcBorders>
            <w:shd w:val="clear" w:color="000000" w:fill="FFFFFF"/>
            <w:vAlign w:val="center"/>
            <w:hideMark/>
          </w:tcPr>
          <w:p w14:paraId="49E954DD" w14:textId="77777777" w:rsidR="000E512B" w:rsidRPr="000E512B" w:rsidRDefault="000E512B" w:rsidP="000E512B">
            <w:pPr>
              <w:spacing w:before="0" w:after="0" w:line="240" w:lineRule="auto"/>
              <w:jc w:val="right"/>
              <w:rPr>
                <w:rFonts w:ascii="Calibri Light" w:eastAsia="Times New Roman" w:hAnsi="Calibri Light" w:cs="Calibri Light"/>
                <w:color w:val="0F6FC6" w:themeColor="accent1"/>
                <w:sz w:val="14"/>
                <w:szCs w:val="14"/>
                <w:lang w:val="en-US"/>
              </w:rPr>
            </w:pPr>
            <w:r w:rsidRPr="000E512B">
              <w:rPr>
                <w:rFonts w:ascii="Calibri Light" w:eastAsia="Times New Roman" w:hAnsi="Calibri Light" w:cs="Calibri Light"/>
                <w:color w:val="0F6FC6" w:themeColor="accent1"/>
                <w:sz w:val="14"/>
                <w:szCs w:val="14"/>
                <w:lang w:val="en-US"/>
              </w:rPr>
              <w:t>nr. ÎPL</w:t>
            </w:r>
          </w:p>
        </w:tc>
      </w:tr>
      <w:tr w:rsidR="000E512B" w:rsidRPr="000E512B" w14:paraId="5C6A127B" w14:textId="77777777" w:rsidTr="000E512B">
        <w:trPr>
          <w:trHeight w:val="262"/>
        </w:trPr>
        <w:tc>
          <w:tcPr>
            <w:tcW w:w="4089" w:type="dxa"/>
            <w:vMerge/>
            <w:tcBorders>
              <w:top w:val="single" w:sz="4" w:space="0" w:color="95B3D7"/>
              <w:left w:val="single" w:sz="4" w:space="0" w:color="FFFFFF"/>
              <w:bottom w:val="single" w:sz="4" w:space="0" w:color="95B3D7"/>
              <w:right w:val="single" w:sz="4" w:space="0" w:color="FFFFFF"/>
            </w:tcBorders>
            <w:vAlign w:val="center"/>
            <w:hideMark/>
          </w:tcPr>
          <w:p w14:paraId="46F95035" w14:textId="77777777" w:rsidR="000E512B" w:rsidRPr="000E512B" w:rsidRDefault="000E512B" w:rsidP="000E512B">
            <w:pPr>
              <w:spacing w:before="0" w:after="0" w:line="240" w:lineRule="auto"/>
              <w:rPr>
                <w:rFonts w:ascii="Calibri Light" w:eastAsia="Times New Roman" w:hAnsi="Calibri Light" w:cs="Calibri Light"/>
                <w:color w:val="0F6FC6" w:themeColor="accent1"/>
                <w:sz w:val="16"/>
                <w:szCs w:val="16"/>
                <w:lang w:val="en-US"/>
              </w:rPr>
            </w:pPr>
          </w:p>
        </w:tc>
        <w:tc>
          <w:tcPr>
            <w:tcW w:w="1736" w:type="dxa"/>
            <w:tcBorders>
              <w:top w:val="nil"/>
              <w:left w:val="nil"/>
              <w:bottom w:val="single" w:sz="4" w:space="0" w:color="95B3D7"/>
              <w:right w:val="single" w:sz="4" w:space="0" w:color="FFFFFF"/>
            </w:tcBorders>
            <w:shd w:val="clear" w:color="auto" w:fill="auto"/>
            <w:noWrap/>
            <w:vAlign w:val="center"/>
            <w:hideMark/>
          </w:tcPr>
          <w:p w14:paraId="6586E0C9" w14:textId="77777777" w:rsidR="000E512B" w:rsidRPr="000E512B" w:rsidRDefault="000E512B" w:rsidP="000E512B">
            <w:pPr>
              <w:spacing w:before="0" w:after="0" w:line="240" w:lineRule="auto"/>
              <w:jc w:val="right"/>
              <w:rPr>
                <w:rFonts w:ascii="Calibri Light" w:eastAsia="Times New Roman" w:hAnsi="Calibri Light" w:cs="Calibri Light"/>
                <w:i/>
                <w:iCs/>
                <w:color w:val="0F6FC6" w:themeColor="accent1"/>
                <w:sz w:val="14"/>
                <w:szCs w:val="14"/>
                <w:lang w:val="en-US"/>
              </w:rPr>
            </w:pPr>
            <w:r w:rsidRPr="000E512B">
              <w:rPr>
                <w:rFonts w:ascii="Calibri Light" w:eastAsia="Times New Roman" w:hAnsi="Calibri Light" w:cs="Calibri Light"/>
                <w:i/>
                <w:iCs/>
                <w:color w:val="0F6FC6" w:themeColor="accent1"/>
                <w:sz w:val="14"/>
                <w:szCs w:val="14"/>
                <w:lang w:val="en-US"/>
              </w:rPr>
              <w:t>1</w:t>
            </w:r>
          </w:p>
        </w:tc>
        <w:tc>
          <w:tcPr>
            <w:tcW w:w="1736" w:type="dxa"/>
            <w:tcBorders>
              <w:top w:val="nil"/>
              <w:left w:val="nil"/>
              <w:bottom w:val="single" w:sz="4" w:space="0" w:color="95B3D7"/>
              <w:right w:val="single" w:sz="4" w:space="0" w:color="FFFFFF"/>
            </w:tcBorders>
            <w:shd w:val="clear" w:color="auto" w:fill="auto"/>
            <w:noWrap/>
            <w:vAlign w:val="center"/>
            <w:hideMark/>
          </w:tcPr>
          <w:p w14:paraId="026A6F91" w14:textId="77777777" w:rsidR="000E512B" w:rsidRPr="000E512B" w:rsidRDefault="000E512B" w:rsidP="000E512B">
            <w:pPr>
              <w:spacing w:before="0" w:after="0" w:line="240" w:lineRule="auto"/>
              <w:jc w:val="right"/>
              <w:rPr>
                <w:rFonts w:ascii="Calibri Light" w:eastAsia="Times New Roman" w:hAnsi="Calibri Light" w:cs="Calibri Light"/>
                <w:i/>
                <w:iCs/>
                <w:color w:val="0F6FC6" w:themeColor="accent1"/>
                <w:sz w:val="14"/>
                <w:szCs w:val="14"/>
                <w:lang w:val="en-US"/>
              </w:rPr>
            </w:pPr>
            <w:r w:rsidRPr="000E512B">
              <w:rPr>
                <w:rFonts w:ascii="Calibri Light" w:eastAsia="Times New Roman" w:hAnsi="Calibri Light" w:cs="Calibri Light"/>
                <w:i/>
                <w:iCs/>
                <w:color w:val="0F6FC6" w:themeColor="accent1"/>
                <w:sz w:val="14"/>
                <w:szCs w:val="14"/>
                <w:lang w:val="en-US"/>
              </w:rPr>
              <w:t>2</w:t>
            </w:r>
          </w:p>
        </w:tc>
        <w:tc>
          <w:tcPr>
            <w:tcW w:w="1736" w:type="dxa"/>
            <w:tcBorders>
              <w:top w:val="nil"/>
              <w:left w:val="nil"/>
              <w:bottom w:val="single" w:sz="4" w:space="0" w:color="95B3D7"/>
              <w:right w:val="single" w:sz="4" w:space="0" w:color="FFFFFF"/>
            </w:tcBorders>
            <w:shd w:val="clear" w:color="auto" w:fill="auto"/>
            <w:noWrap/>
            <w:vAlign w:val="center"/>
            <w:hideMark/>
          </w:tcPr>
          <w:p w14:paraId="4846BA68" w14:textId="77777777" w:rsidR="000E512B" w:rsidRPr="000E512B" w:rsidRDefault="000E512B" w:rsidP="000E512B">
            <w:pPr>
              <w:spacing w:before="0" w:after="0" w:line="240" w:lineRule="auto"/>
              <w:jc w:val="right"/>
              <w:rPr>
                <w:rFonts w:ascii="Calibri Light" w:eastAsia="Times New Roman" w:hAnsi="Calibri Light" w:cs="Calibri Light"/>
                <w:i/>
                <w:iCs/>
                <w:color w:val="0F6FC6" w:themeColor="accent1"/>
                <w:sz w:val="14"/>
                <w:szCs w:val="14"/>
                <w:lang w:val="en-US"/>
              </w:rPr>
            </w:pPr>
            <w:r w:rsidRPr="000E512B">
              <w:rPr>
                <w:rFonts w:ascii="Calibri Light" w:eastAsia="Times New Roman" w:hAnsi="Calibri Light" w:cs="Calibri Light"/>
                <w:i/>
                <w:iCs/>
                <w:color w:val="0F6FC6" w:themeColor="accent1"/>
                <w:sz w:val="14"/>
                <w:szCs w:val="14"/>
                <w:lang w:val="en-US"/>
              </w:rPr>
              <w:t>3</w:t>
            </w:r>
          </w:p>
        </w:tc>
      </w:tr>
      <w:tr w:rsidR="000E512B" w:rsidRPr="000E512B" w14:paraId="40CBB753" w14:textId="77777777" w:rsidTr="000E512B">
        <w:trPr>
          <w:trHeight w:val="262"/>
        </w:trPr>
        <w:tc>
          <w:tcPr>
            <w:tcW w:w="4089" w:type="dxa"/>
            <w:tcBorders>
              <w:top w:val="nil"/>
              <w:left w:val="single" w:sz="4" w:space="0" w:color="FFFFFF"/>
              <w:bottom w:val="single" w:sz="4" w:space="0" w:color="95B3D7"/>
              <w:right w:val="single" w:sz="4" w:space="0" w:color="FFFFFF"/>
            </w:tcBorders>
            <w:shd w:val="clear" w:color="auto" w:fill="auto"/>
            <w:noWrap/>
            <w:vAlign w:val="center"/>
            <w:hideMark/>
          </w:tcPr>
          <w:p w14:paraId="6C53DC56" w14:textId="77777777" w:rsidR="000E512B" w:rsidRPr="000E512B" w:rsidRDefault="000E512B" w:rsidP="000E512B">
            <w:pPr>
              <w:spacing w:before="0" w:after="0" w:line="240" w:lineRule="auto"/>
              <w:rPr>
                <w:rFonts w:ascii="Calibri" w:eastAsia="Times New Roman" w:hAnsi="Calibri" w:cs="Calibri"/>
                <w:sz w:val="16"/>
                <w:szCs w:val="16"/>
                <w:lang w:val="en-US"/>
              </w:rPr>
            </w:pPr>
            <w:r w:rsidRPr="000E512B">
              <w:rPr>
                <w:rFonts w:ascii="Calibri" w:eastAsia="Times New Roman" w:hAnsi="Calibri" w:cs="Calibri"/>
                <w:sz w:val="16"/>
                <w:szCs w:val="16"/>
                <w:lang w:val="en-US"/>
              </w:rPr>
              <w:t>RA</w:t>
            </w:r>
          </w:p>
        </w:tc>
        <w:tc>
          <w:tcPr>
            <w:tcW w:w="1736" w:type="dxa"/>
            <w:tcBorders>
              <w:top w:val="nil"/>
              <w:left w:val="nil"/>
              <w:bottom w:val="single" w:sz="4" w:space="0" w:color="95B3D7"/>
              <w:right w:val="single" w:sz="4" w:space="0" w:color="FFFFFF"/>
            </w:tcBorders>
            <w:shd w:val="clear" w:color="auto" w:fill="auto"/>
            <w:noWrap/>
            <w:vAlign w:val="center"/>
            <w:hideMark/>
          </w:tcPr>
          <w:p w14:paraId="6838BF68"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92</w:t>
            </w:r>
          </w:p>
        </w:tc>
        <w:tc>
          <w:tcPr>
            <w:tcW w:w="1736" w:type="dxa"/>
            <w:tcBorders>
              <w:top w:val="nil"/>
              <w:left w:val="nil"/>
              <w:bottom w:val="single" w:sz="4" w:space="0" w:color="95B3D7"/>
              <w:right w:val="single" w:sz="4" w:space="0" w:color="FFFFFF"/>
            </w:tcBorders>
            <w:shd w:val="clear" w:color="auto" w:fill="auto"/>
            <w:noWrap/>
            <w:vAlign w:val="center"/>
            <w:hideMark/>
          </w:tcPr>
          <w:p w14:paraId="6413F5D6"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87</w:t>
            </w:r>
          </w:p>
        </w:tc>
        <w:tc>
          <w:tcPr>
            <w:tcW w:w="1736" w:type="dxa"/>
            <w:tcBorders>
              <w:top w:val="nil"/>
              <w:left w:val="nil"/>
              <w:bottom w:val="single" w:sz="4" w:space="0" w:color="95B3D7"/>
              <w:right w:val="single" w:sz="4" w:space="0" w:color="FFFFFF"/>
            </w:tcBorders>
            <w:shd w:val="clear" w:color="auto" w:fill="auto"/>
            <w:noWrap/>
            <w:vAlign w:val="center"/>
            <w:hideMark/>
          </w:tcPr>
          <w:p w14:paraId="6CCAF2A6"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84</w:t>
            </w:r>
          </w:p>
        </w:tc>
      </w:tr>
      <w:tr w:rsidR="000E512B" w:rsidRPr="000E512B" w14:paraId="4977D6AD" w14:textId="77777777" w:rsidTr="000E512B">
        <w:trPr>
          <w:trHeight w:val="262"/>
        </w:trPr>
        <w:tc>
          <w:tcPr>
            <w:tcW w:w="4089" w:type="dxa"/>
            <w:tcBorders>
              <w:top w:val="nil"/>
              <w:left w:val="single" w:sz="4" w:space="0" w:color="FFFFFF"/>
              <w:bottom w:val="single" w:sz="4" w:space="0" w:color="95B3D7"/>
              <w:right w:val="single" w:sz="4" w:space="0" w:color="FFFFFF"/>
            </w:tcBorders>
            <w:shd w:val="clear" w:color="auto" w:fill="auto"/>
            <w:noWrap/>
            <w:vAlign w:val="center"/>
            <w:hideMark/>
          </w:tcPr>
          <w:p w14:paraId="6244D014" w14:textId="77777777" w:rsidR="000E512B" w:rsidRPr="000E512B" w:rsidRDefault="000E512B" w:rsidP="000E512B">
            <w:pPr>
              <w:spacing w:before="0" w:after="0" w:line="240" w:lineRule="auto"/>
              <w:rPr>
                <w:rFonts w:ascii="Calibri" w:eastAsia="Times New Roman" w:hAnsi="Calibri" w:cs="Calibri"/>
                <w:sz w:val="16"/>
                <w:szCs w:val="16"/>
                <w:lang w:val="en-US"/>
              </w:rPr>
            </w:pPr>
            <w:r w:rsidRPr="000E512B">
              <w:rPr>
                <w:rFonts w:ascii="Calibri" w:eastAsia="Times New Roman" w:hAnsi="Calibri" w:cs="Calibri"/>
                <w:sz w:val="16"/>
                <w:szCs w:val="16"/>
                <w:lang w:val="en-US"/>
              </w:rPr>
              <w:t>SA</w:t>
            </w:r>
          </w:p>
        </w:tc>
        <w:tc>
          <w:tcPr>
            <w:tcW w:w="1736" w:type="dxa"/>
            <w:tcBorders>
              <w:top w:val="nil"/>
              <w:left w:val="nil"/>
              <w:bottom w:val="single" w:sz="4" w:space="0" w:color="95B3D7"/>
              <w:right w:val="single" w:sz="4" w:space="0" w:color="FFFFFF"/>
            </w:tcBorders>
            <w:shd w:val="clear" w:color="auto" w:fill="auto"/>
            <w:noWrap/>
            <w:vAlign w:val="center"/>
            <w:hideMark/>
          </w:tcPr>
          <w:p w14:paraId="04EF82CF"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279</w:t>
            </w:r>
          </w:p>
        </w:tc>
        <w:tc>
          <w:tcPr>
            <w:tcW w:w="1736" w:type="dxa"/>
            <w:tcBorders>
              <w:top w:val="nil"/>
              <w:left w:val="nil"/>
              <w:bottom w:val="single" w:sz="4" w:space="0" w:color="95B3D7"/>
              <w:right w:val="single" w:sz="4" w:space="0" w:color="FFFFFF"/>
            </w:tcBorders>
            <w:shd w:val="clear" w:color="auto" w:fill="auto"/>
            <w:noWrap/>
            <w:vAlign w:val="center"/>
            <w:hideMark/>
          </w:tcPr>
          <w:p w14:paraId="7379F61E"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294</w:t>
            </w:r>
          </w:p>
        </w:tc>
        <w:tc>
          <w:tcPr>
            <w:tcW w:w="1736" w:type="dxa"/>
            <w:tcBorders>
              <w:top w:val="nil"/>
              <w:left w:val="nil"/>
              <w:bottom w:val="single" w:sz="4" w:space="0" w:color="95B3D7"/>
              <w:right w:val="single" w:sz="4" w:space="0" w:color="FFFFFF"/>
            </w:tcBorders>
            <w:shd w:val="clear" w:color="auto" w:fill="auto"/>
            <w:noWrap/>
            <w:vAlign w:val="center"/>
            <w:hideMark/>
          </w:tcPr>
          <w:p w14:paraId="28E3E292"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292</w:t>
            </w:r>
          </w:p>
        </w:tc>
      </w:tr>
      <w:tr w:rsidR="000E512B" w:rsidRPr="000E512B" w14:paraId="7D258B0E" w14:textId="77777777" w:rsidTr="000E512B">
        <w:trPr>
          <w:trHeight w:val="262"/>
        </w:trPr>
        <w:tc>
          <w:tcPr>
            <w:tcW w:w="4089" w:type="dxa"/>
            <w:tcBorders>
              <w:top w:val="nil"/>
              <w:left w:val="single" w:sz="4" w:space="0" w:color="FFFFFF"/>
              <w:bottom w:val="single" w:sz="4" w:space="0" w:color="95B3D7"/>
              <w:right w:val="single" w:sz="4" w:space="0" w:color="FFFFFF"/>
            </w:tcBorders>
            <w:shd w:val="clear" w:color="auto" w:fill="auto"/>
            <w:noWrap/>
            <w:vAlign w:val="center"/>
            <w:hideMark/>
          </w:tcPr>
          <w:p w14:paraId="15738A4F" w14:textId="77777777" w:rsidR="000E512B" w:rsidRPr="000E512B" w:rsidRDefault="000E512B" w:rsidP="000E512B">
            <w:pPr>
              <w:spacing w:before="0" w:after="0" w:line="240" w:lineRule="auto"/>
              <w:rPr>
                <w:rFonts w:ascii="Calibri" w:eastAsia="Times New Roman" w:hAnsi="Calibri" w:cs="Calibri"/>
                <w:sz w:val="16"/>
                <w:szCs w:val="16"/>
                <w:lang w:val="en-US"/>
              </w:rPr>
            </w:pPr>
            <w:r w:rsidRPr="000E512B">
              <w:rPr>
                <w:rFonts w:ascii="Calibri" w:eastAsia="Times New Roman" w:hAnsi="Calibri" w:cs="Calibri"/>
                <w:sz w:val="16"/>
                <w:szCs w:val="16"/>
                <w:lang w:val="en-US"/>
              </w:rPr>
              <w:t>SRL</w:t>
            </w:r>
          </w:p>
        </w:tc>
        <w:tc>
          <w:tcPr>
            <w:tcW w:w="1736" w:type="dxa"/>
            <w:tcBorders>
              <w:top w:val="nil"/>
              <w:left w:val="nil"/>
              <w:bottom w:val="single" w:sz="4" w:space="0" w:color="95B3D7"/>
              <w:right w:val="single" w:sz="4" w:space="0" w:color="FFFFFF"/>
            </w:tcBorders>
            <w:shd w:val="clear" w:color="auto" w:fill="auto"/>
            <w:noWrap/>
            <w:vAlign w:val="center"/>
            <w:hideMark/>
          </w:tcPr>
          <w:p w14:paraId="0C8DBBEA"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879</w:t>
            </w:r>
          </w:p>
        </w:tc>
        <w:tc>
          <w:tcPr>
            <w:tcW w:w="1736" w:type="dxa"/>
            <w:tcBorders>
              <w:top w:val="nil"/>
              <w:left w:val="nil"/>
              <w:bottom w:val="single" w:sz="4" w:space="0" w:color="95B3D7"/>
              <w:right w:val="single" w:sz="4" w:space="0" w:color="FFFFFF"/>
            </w:tcBorders>
            <w:shd w:val="clear" w:color="auto" w:fill="auto"/>
            <w:noWrap/>
            <w:vAlign w:val="center"/>
            <w:hideMark/>
          </w:tcPr>
          <w:p w14:paraId="346EB0DD"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856</w:t>
            </w:r>
          </w:p>
        </w:tc>
        <w:tc>
          <w:tcPr>
            <w:tcW w:w="1736" w:type="dxa"/>
            <w:tcBorders>
              <w:top w:val="nil"/>
              <w:left w:val="nil"/>
              <w:bottom w:val="single" w:sz="4" w:space="0" w:color="95B3D7"/>
              <w:right w:val="single" w:sz="4" w:space="0" w:color="FFFFFF"/>
            </w:tcBorders>
            <w:shd w:val="clear" w:color="auto" w:fill="auto"/>
            <w:noWrap/>
            <w:vAlign w:val="center"/>
            <w:hideMark/>
          </w:tcPr>
          <w:p w14:paraId="1583D23F" w14:textId="77777777" w:rsidR="000E512B" w:rsidRPr="000E512B" w:rsidRDefault="000E512B" w:rsidP="000E512B">
            <w:pPr>
              <w:spacing w:before="0" w:after="0" w:line="240" w:lineRule="auto"/>
              <w:jc w:val="right"/>
              <w:rPr>
                <w:rFonts w:ascii="Calibri" w:eastAsia="Times New Roman" w:hAnsi="Calibri" w:cs="Calibri"/>
                <w:sz w:val="16"/>
                <w:szCs w:val="16"/>
                <w:lang w:val="en-US"/>
              </w:rPr>
            </w:pPr>
            <w:r w:rsidRPr="000E512B">
              <w:rPr>
                <w:rFonts w:ascii="Calibri" w:eastAsia="Times New Roman" w:hAnsi="Calibri" w:cs="Calibri"/>
                <w:sz w:val="16"/>
                <w:szCs w:val="16"/>
                <w:lang w:val="en-US"/>
              </w:rPr>
              <w:t>862</w:t>
            </w:r>
          </w:p>
        </w:tc>
      </w:tr>
      <w:tr w:rsidR="000E512B" w:rsidRPr="000E512B" w14:paraId="2A8FD679" w14:textId="77777777" w:rsidTr="000E512B">
        <w:trPr>
          <w:trHeight w:val="262"/>
        </w:trPr>
        <w:tc>
          <w:tcPr>
            <w:tcW w:w="4089" w:type="dxa"/>
            <w:tcBorders>
              <w:top w:val="nil"/>
              <w:left w:val="single" w:sz="4" w:space="0" w:color="FFFFFF"/>
              <w:bottom w:val="single" w:sz="4" w:space="0" w:color="95B3D7"/>
              <w:right w:val="single" w:sz="4" w:space="0" w:color="FFFFFF"/>
            </w:tcBorders>
            <w:shd w:val="clear" w:color="000000" w:fill="FFFFFF"/>
            <w:noWrap/>
            <w:vAlign w:val="center"/>
            <w:hideMark/>
          </w:tcPr>
          <w:p w14:paraId="2454A5ED" w14:textId="77777777" w:rsidR="000E512B" w:rsidRPr="000E512B" w:rsidRDefault="000E512B" w:rsidP="000E512B">
            <w:pPr>
              <w:spacing w:before="0" w:after="0" w:line="240" w:lineRule="auto"/>
              <w:rPr>
                <w:rFonts w:ascii="Calibri" w:eastAsia="Times New Roman" w:hAnsi="Calibri" w:cs="Calibri"/>
                <w:b/>
                <w:bCs/>
                <w:sz w:val="16"/>
                <w:szCs w:val="16"/>
                <w:lang w:val="en-US"/>
              </w:rPr>
            </w:pPr>
            <w:r w:rsidRPr="000E512B">
              <w:rPr>
                <w:rFonts w:ascii="Calibri" w:eastAsia="Times New Roman" w:hAnsi="Calibri" w:cs="Calibri"/>
                <w:b/>
                <w:bCs/>
                <w:sz w:val="16"/>
                <w:szCs w:val="16"/>
                <w:lang w:val="en-US"/>
              </w:rPr>
              <w:t>Total general </w:t>
            </w:r>
          </w:p>
        </w:tc>
        <w:tc>
          <w:tcPr>
            <w:tcW w:w="1736" w:type="dxa"/>
            <w:tcBorders>
              <w:top w:val="nil"/>
              <w:left w:val="nil"/>
              <w:bottom w:val="single" w:sz="4" w:space="0" w:color="95B3D7"/>
              <w:right w:val="single" w:sz="4" w:space="0" w:color="FFFFFF"/>
            </w:tcBorders>
            <w:shd w:val="clear" w:color="000000" w:fill="FFFFFF"/>
            <w:noWrap/>
            <w:vAlign w:val="center"/>
            <w:hideMark/>
          </w:tcPr>
          <w:p w14:paraId="5E6E4917" w14:textId="77777777" w:rsidR="000E512B" w:rsidRPr="000E512B" w:rsidRDefault="000E512B" w:rsidP="000E512B">
            <w:pPr>
              <w:spacing w:before="0" w:after="0" w:line="240" w:lineRule="auto"/>
              <w:jc w:val="right"/>
              <w:rPr>
                <w:rFonts w:ascii="Calibri" w:eastAsia="Times New Roman" w:hAnsi="Calibri" w:cs="Calibri"/>
                <w:b/>
                <w:bCs/>
                <w:sz w:val="16"/>
                <w:szCs w:val="16"/>
                <w:lang w:val="en-US"/>
              </w:rPr>
            </w:pPr>
            <w:r w:rsidRPr="000E512B">
              <w:rPr>
                <w:rFonts w:ascii="Calibri" w:eastAsia="Times New Roman" w:hAnsi="Calibri" w:cs="Calibri"/>
                <w:b/>
                <w:bCs/>
                <w:sz w:val="16"/>
                <w:szCs w:val="16"/>
                <w:lang w:val="en-US"/>
              </w:rPr>
              <w:t>1.250</w:t>
            </w:r>
          </w:p>
        </w:tc>
        <w:tc>
          <w:tcPr>
            <w:tcW w:w="1736" w:type="dxa"/>
            <w:tcBorders>
              <w:top w:val="nil"/>
              <w:left w:val="nil"/>
              <w:bottom w:val="single" w:sz="4" w:space="0" w:color="95B3D7"/>
              <w:right w:val="single" w:sz="4" w:space="0" w:color="FFFFFF"/>
            </w:tcBorders>
            <w:shd w:val="clear" w:color="000000" w:fill="FFFFFF"/>
            <w:noWrap/>
            <w:vAlign w:val="center"/>
            <w:hideMark/>
          </w:tcPr>
          <w:p w14:paraId="47F6E8F2" w14:textId="77777777" w:rsidR="000E512B" w:rsidRPr="000E512B" w:rsidRDefault="000E512B" w:rsidP="000E512B">
            <w:pPr>
              <w:spacing w:before="0" w:after="0" w:line="240" w:lineRule="auto"/>
              <w:jc w:val="right"/>
              <w:rPr>
                <w:rFonts w:ascii="Calibri" w:eastAsia="Times New Roman" w:hAnsi="Calibri" w:cs="Calibri"/>
                <w:b/>
                <w:bCs/>
                <w:sz w:val="16"/>
                <w:szCs w:val="16"/>
                <w:lang w:val="en-US"/>
              </w:rPr>
            </w:pPr>
            <w:r w:rsidRPr="000E512B">
              <w:rPr>
                <w:rFonts w:ascii="Calibri" w:eastAsia="Times New Roman" w:hAnsi="Calibri" w:cs="Calibri"/>
                <w:b/>
                <w:bCs/>
                <w:sz w:val="16"/>
                <w:szCs w:val="16"/>
                <w:lang w:val="en-US"/>
              </w:rPr>
              <w:t>1.237</w:t>
            </w:r>
          </w:p>
        </w:tc>
        <w:tc>
          <w:tcPr>
            <w:tcW w:w="1736" w:type="dxa"/>
            <w:tcBorders>
              <w:top w:val="nil"/>
              <w:left w:val="nil"/>
              <w:bottom w:val="single" w:sz="4" w:space="0" w:color="95B3D7"/>
              <w:right w:val="single" w:sz="4" w:space="0" w:color="FFFFFF"/>
            </w:tcBorders>
            <w:shd w:val="clear" w:color="000000" w:fill="FFFFFF"/>
            <w:noWrap/>
            <w:vAlign w:val="center"/>
            <w:hideMark/>
          </w:tcPr>
          <w:p w14:paraId="665373D6" w14:textId="77777777" w:rsidR="000E512B" w:rsidRPr="000E512B" w:rsidRDefault="000E512B" w:rsidP="000E512B">
            <w:pPr>
              <w:spacing w:before="0" w:after="0" w:line="240" w:lineRule="auto"/>
              <w:jc w:val="right"/>
              <w:rPr>
                <w:rFonts w:ascii="Calibri" w:eastAsia="Times New Roman" w:hAnsi="Calibri" w:cs="Calibri"/>
                <w:b/>
                <w:bCs/>
                <w:sz w:val="16"/>
                <w:szCs w:val="16"/>
                <w:lang w:val="en-US"/>
              </w:rPr>
            </w:pPr>
            <w:r w:rsidRPr="000E512B">
              <w:rPr>
                <w:rFonts w:ascii="Calibri" w:eastAsia="Times New Roman" w:hAnsi="Calibri" w:cs="Calibri"/>
                <w:b/>
                <w:bCs/>
                <w:sz w:val="16"/>
                <w:szCs w:val="16"/>
                <w:lang w:val="en-US"/>
              </w:rPr>
              <w:t>1.238</w:t>
            </w:r>
          </w:p>
        </w:tc>
      </w:tr>
    </w:tbl>
    <w:p w14:paraId="6B23B1DA" w14:textId="77777777" w:rsidR="002C0AC8" w:rsidRDefault="006A76EB" w:rsidP="00BC58CB">
      <w:pPr>
        <w:rPr>
          <w:rFonts w:asciiTheme="majorHAnsi" w:hAnsiTheme="majorHAnsi" w:cs="Times New Roman"/>
        </w:rPr>
      </w:pPr>
      <w:r w:rsidRPr="00D95C57">
        <w:rPr>
          <w:rFonts w:asciiTheme="majorHAnsi" w:hAnsiTheme="majorHAnsi" w:cs="Times New Roman"/>
        </w:rPr>
        <w:t xml:space="preserve"> </w:t>
      </w:r>
    </w:p>
    <w:p w14:paraId="536AE67D" w14:textId="77777777" w:rsidR="00642BB3" w:rsidRDefault="00642BB3" w:rsidP="00BC58CB">
      <w:pPr>
        <w:rPr>
          <w:rFonts w:asciiTheme="majorHAnsi" w:hAnsiTheme="majorHAnsi" w:cs="Times New Roman"/>
        </w:rPr>
      </w:pPr>
    </w:p>
    <w:p w14:paraId="471931A3" w14:textId="77777777" w:rsidR="00642BB3" w:rsidRDefault="00642BB3" w:rsidP="00BC58CB">
      <w:pPr>
        <w:rPr>
          <w:rFonts w:asciiTheme="majorHAnsi" w:hAnsiTheme="majorHAnsi" w:cs="Times New Roman"/>
        </w:rPr>
      </w:pPr>
    </w:p>
    <w:p w14:paraId="2C920718" w14:textId="77777777" w:rsidR="00642BB3" w:rsidRDefault="00642BB3" w:rsidP="00BC58CB">
      <w:pPr>
        <w:rPr>
          <w:rFonts w:asciiTheme="majorHAnsi" w:hAnsiTheme="majorHAnsi" w:cs="Times New Roman"/>
        </w:rPr>
      </w:pPr>
    </w:p>
    <w:p w14:paraId="7926E521" w14:textId="77777777" w:rsidR="00642BB3" w:rsidRDefault="00642BB3" w:rsidP="00BC58CB">
      <w:pPr>
        <w:rPr>
          <w:rFonts w:asciiTheme="majorHAnsi" w:hAnsiTheme="majorHAnsi" w:cs="Times New Roman"/>
        </w:rPr>
      </w:pPr>
    </w:p>
    <w:p w14:paraId="643112C8" w14:textId="77777777" w:rsidR="00642BB3" w:rsidRDefault="00642BB3" w:rsidP="00BC58CB">
      <w:pPr>
        <w:rPr>
          <w:rFonts w:asciiTheme="majorHAnsi" w:hAnsiTheme="majorHAnsi" w:cs="Times New Roman"/>
        </w:rPr>
      </w:pPr>
    </w:p>
    <w:p w14:paraId="49AA5CCB" w14:textId="77777777" w:rsidR="00642BB3" w:rsidRDefault="00642BB3" w:rsidP="00BC58CB">
      <w:pPr>
        <w:rPr>
          <w:rFonts w:asciiTheme="majorHAnsi" w:hAnsiTheme="majorHAnsi" w:cs="Times New Roman"/>
        </w:rPr>
      </w:pPr>
    </w:p>
    <w:p w14:paraId="27B6C54B" w14:textId="77777777" w:rsidR="00642BB3" w:rsidRDefault="00642BB3" w:rsidP="00BC58CB">
      <w:pPr>
        <w:rPr>
          <w:rFonts w:asciiTheme="majorHAnsi" w:hAnsiTheme="majorHAnsi" w:cs="Times New Roman"/>
        </w:rPr>
      </w:pPr>
    </w:p>
    <w:p w14:paraId="29BB9727" w14:textId="77777777" w:rsidR="00642BB3" w:rsidRDefault="00642BB3" w:rsidP="00BC58CB">
      <w:pPr>
        <w:rPr>
          <w:rFonts w:asciiTheme="majorHAnsi" w:hAnsiTheme="majorHAnsi" w:cs="Times New Roman"/>
        </w:rPr>
      </w:pPr>
    </w:p>
    <w:p w14:paraId="1CA282E5" w14:textId="77777777" w:rsidR="00642BB3" w:rsidRDefault="00642BB3" w:rsidP="00BC58CB">
      <w:pPr>
        <w:rPr>
          <w:rFonts w:asciiTheme="majorHAnsi" w:hAnsiTheme="majorHAnsi" w:cs="Times New Roman"/>
        </w:rPr>
      </w:pPr>
    </w:p>
    <w:p w14:paraId="218448DC" w14:textId="77777777" w:rsidR="00642BB3" w:rsidRDefault="00642BB3" w:rsidP="00BC58CB">
      <w:pPr>
        <w:rPr>
          <w:rFonts w:asciiTheme="majorHAnsi" w:hAnsiTheme="majorHAnsi" w:cs="Times New Roman"/>
        </w:rPr>
      </w:pPr>
    </w:p>
    <w:p w14:paraId="6AEBE634" w14:textId="77777777" w:rsidR="00642BB3" w:rsidRDefault="00642BB3" w:rsidP="00BC58CB">
      <w:pPr>
        <w:rPr>
          <w:rFonts w:asciiTheme="majorHAnsi" w:hAnsiTheme="majorHAnsi" w:cs="Times New Roman"/>
        </w:rPr>
      </w:pPr>
    </w:p>
    <w:p w14:paraId="76EB4143" w14:textId="77777777" w:rsidR="00642BB3" w:rsidRDefault="00642BB3" w:rsidP="00BC58CB">
      <w:pPr>
        <w:rPr>
          <w:rFonts w:asciiTheme="majorHAnsi" w:hAnsiTheme="majorHAnsi" w:cs="Times New Roman"/>
        </w:rPr>
      </w:pPr>
    </w:p>
    <w:p w14:paraId="3A33A898" w14:textId="77777777" w:rsidR="00642BB3" w:rsidRDefault="00642BB3" w:rsidP="00BC58CB">
      <w:pPr>
        <w:rPr>
          <w:rFonts w:asciiTheme="majorHAnsi" w:hAnsiTheme="majorHAnsi" w:cs="Times New Roman"/>
        </w:rPr>
      </w:pPr>
    </w:p>
    <w:p w14:paraId="6AD78F6E" w14:textId="77777777" w:rsidR="00642BB3" w:rsidRDefault="00642BB3" w:rsidP="00BC58CB">
      <w:pPr>
        <w:rPr>
          <w:rFonts w:asciiTheme="majorHAnsi" w:hAnsiTheme="majorHAnsi" w:cs="Times New Roman"/>
        </w:rPr>
      </w:pPr>
    </w:p>
    <w:p w14:paraId="6AA66259" w14:textId="77777777" w:rsidR="00642BB3" w:rsidRDefault="00642BB3" w:rsidP="00BC58CB">
      <w:pPr>
        <w:rPr>
          <w:rFonts w:asciiTheme="majorHAnsi" w:hAnsiTheme="majorHAnsi" w:cs="Times New Roman"/>
        </w:rPr>
      </w:pPr>
    </w:p>
    <w:p w14:paraId="0C17E60C" w14:textId="77777777" w:rsidR="00642BB3" w:rsidRDefault="00642BB3" w:rsidP="00BC58CB">
      <w:pPr>
        <w:rPr>
          <w:rFonts w:asciiTheme="majorHAnsi" w:hAnsiTheme="majorHAnsi" w:cs="Times New Roman"/>
        </w:rPr>
      </w:pPr>
    </w:p>
    <w:p w14:paraId="0BE11B8D" w14:textId="77777777" w:rsidR="00642BB3" w:rsidRDefault="00642BB3" w:rsidP="00BC58CB">
      <w:pPr>
        <w:rPr>
          <w:rFonts w:asciiTheme="majorHAnsi" w:hAnsiTheme="majorHAnsi" w:cs="Times New Roman"/>
        </w:rPr>
      </w:pPr>
    </w:p>
    <w:p w14:paraId="55EAA4BF" w14:textId="77777777" w:rsidR="00642BB3" w:rsidRDefault="00642BB3" w:rsidP="00BC58CB">
      <w:pPr>
        <w:rPr>
          <w:rFonts w:asciiTheme="majorHAnsi" w:hAnsiTheme="majorHAnsi" w:cs="Times New Roman"/>
        </w:rPr>
      </w:pPr>
    </w:p>
    <w:p w14:paraId="25BF19E4" w14:textId="77777777" w:rsidR="00642BB3" w:rsidRDefault="00642BB3" w:rsidP="00BC58CB">
      <w:pPr>
        <w:rPr>
          <w:rFonts w:asciiTheme="majorHAnsi" w:hAnsiTheme="majorHAnsi" w:cs="Times New Roman"/>
        </w:rPr>
      </w:pPr>
    </w:p>
    <w:p w14:paraId="2F5105E3" w14:textId="77777777" w:rsidR="00642BB3" w:rsidRDefault="00642BB3" w:rsidP="00BC58CB">
      <w:pPr>
        <w:rPr>
          <w:rFonts w:asciiTheme="majorHAnsi" w:hAnsiTheme="majorHAnsi" w:cs="Times New Roman"/>
        </w:rPr>
      </w:pPr>
    </w:p>
    <w:p w14:paraId="525BA8EF" w14:textId="77777777" w:rsidR="00642BB3" w:rsidRDefault="00642BB3" w:rsidP="00BC58CB">
      <w:pPr>
        <w:rPr>
          <w:rFonts w:asciiTheme="majorHAnsi" w:hAnsiTheme="majorHAnsi" w:cs="Times New Roman"/>
        </w:rPr>
      </w:pPr>
    </w:p>
    <w:p w14:paraId="216CC001" w14:textId="77777777" w:rsidR="00642BB3" w:rsidRDefault="00642BB3" w:rsidP="00BC58CB">
      <w:pPr>
        <w:rPr>
          <w:rFonts w:asciiTheme="majorHAnsi" w:hAnsiTheme="majorHAnsi" w:cs="Times New Roman"/>
        </w:rPr>
      </w:pPr>
    </w:p>
    <w:p w14:paraId="640E9E68" w14:textId="77777777" w:rsidR="00642BB3" w:rsidRPr="00D95C57" w:rsidRDefault="00642BB3" w:rsidP="00BC58CB">
      <w:pPr>
        <w:rPr>
          <w:rFonts w:asciiTheme="majorHAnsi" w:hAnsiTheme="majorHAnsi" w:cs="Times New Roman"/>
        </w:rPr>
      </w:pPr>
    </w:p>
    <w:p w14:paraId="1FDFF6E4" w14:textId="77777777" w:rsidR="00FD6D13" w:rsidRPr="00D95C57" w:rsidRDefault="00FD6D13" w:rsidP="003E7F5B">
      <w:pPr>
        <w:pStyle w:val="ListParagraph"/>
        <w:ind w:left="0"/>
        <w:jc w:val="both"/>
        <w:outlineLvl w:val="1"/>
        <w:rPr>
          <w:rFonts w:asciiTheme="majorHAnsi" w:hAnsiTheme="majorHAnsi"/>
          <w:b/>
          <w:bCs/>
          <w:sz w:val="32"/>
          <w:szCs w:val="32"/>
        </w:rPr>
      </w:pPr>
      <w:bookmarkStart w:id="100" w:name="_Toc490763531"/>
      <w:bookmarkStart w:id="101" w:name="_Toc490763712"/>
      <w:bookmarkStart w:id="102" w:name="_Toc490763880"/>
      <w:bookmarkStart w:id="103" w:name="_Toc87875962"/>
      <w:r w:rsidRPr="00522CC8">
        <w:rPr>
          <w:rFonts w:asciiTheme="majorHAnsi" w:hAnsiTheme="majorHAnsi"/>
          <w:b/>
          <w:bCs/>
          <w:color w:val="0F6FC6" w:themeColor="accent1"/>
          <w:sz w:val="32"/>
          <w:szCs w:val="32"/>
        </w:rPr>
        <w:t xml:space="preserve">Capitolul </w:t>
      </w:r>
      <w:r w:rsidR="001E796D" w:rsidRPr="00522CC8">
        <w:rPr>
          <w:rFonts w:asciiTheme="majorHAnsi" w:hAnsiTheme="majorHAnsi"/>
          <w:b/>
          <w:bCs/>
          <w:color w:val="0F6FC6" w:themeColor="accent1"/>
          <w:sz w:val="32"/>
          <w:szCs w:val="32"/>
        </w:rPr>
        <w:t>2</w:t>
      </w:r>
      <w:r w:rsidRPr="00522CC8">
        <w:rPr>
          <w:rFonts w:asciiTheme="majorHAnsi" w:hAnsiTheme="majorHAnsi"/>
          <w:b/>
          <w:bCs/>
          <w:color w:val="0F6FC6" w:themeColor="accent1"/>
          <w:sz w:val="32"/>
          <w:szCs w:val="32"/>
        </w:rPr>
        <w:t xml:space="preserve"> – Evoluția participațiilor </w:t>
      </w:r>
      <w:r w:rsidR="003E7F5B" w:rsidRPr="00522CC8">
        <w:rPr>
          <w:rFonts w:asciiTheme="majorHAnsi" w:hAnsiTheme="majorHAnsi"/>
          <w:b/>
          <w:bCs/>
          <w:color w:val="0F6FC6" w:themeColor="accent1"/>
          <w:sz w:val="32"/>
          <w:szCs w:val="32"/>
        </w:rPr>
        <w:t xml:space="preserve">deținute de autoritățile publice tutelare locale </w:t>
      </w:r>
      <w:r w:rsidRPr="00522CC8">
        <w:rPr>
          <w:rFonts w:asciiTheme="majorHAnsi" w:hAnsiTheme="majorHAnsi"/>
          <w:b/>
          <w:bCs/>
          <w:color w:val="0F6FC6" w:themeColor="accent1"/>
          <w:sz w:val="32"/>
          <w:szCs w:val="32"/>
        </w:rPr>
        <w:t>la întreprinderile publice</w:t>
      </w:r>
      <w:bookmarkEnd w:id="100"/>
      <w:bookmarkEnd w:id="101"/>
      <w:bookmarkEnd w:id="102"/>
      <w:r w:rsidR="0039269F" w:rsidRPr="00522CC8">
        <w:rPr>
          <w:rFonts w:asciiTheme="majorHAnsi" w:hAnsiTheme="majorHAnsi"/>
          <w:b/>
          <w:bCs/>
          <w:color w:val="0F6FC6" w:themeColor="accent1"/>
          <w:sz w:val="32"/>
          <w:szCs w:val="32"/>
        </w:rPr>
        <w:t xml:space="preserve"> locale</w:t>
      </w:r>
      <w:bookmarkEnd w:id="103"/>
    </w:p>
    <w:p w14:paraId="6E0F4D03" w14:textId="77777777" w:rsidR="00CC1ED3" w:rsidRPr="00954200" w:rsidRDefault="00CC1ED3" w:rsidP="00C416AE">
      <w:pPr>
        <w:spacing w:before="0" w:after="0" w:line="240" w:lineRule="auto"/>
        <w:jc w:val="both"/>
        <w:rPr>
          <w:rFonts w:asciiTheme="majorHAnsi" w:hAnsiTheme="majorHAnsi" w:cstheme="majorBidi"/>
        </w:rPr>
      </w:pPr>
      <w:r w:rsidRPr="00954200">
        <w:rPr>
          <w:rFonts w:asciiTheme="majorHAnsi" w:hAnsiTheme="majorHAnsi" w:cstheme="majorBidi"/>
        </w:rPr>
        <w:t xml:space="preserve">Unitățile administrativ – teritoriale dețin </w:t>
      </w:r>
      <w:r w:rsidR="0039269F" w:rsidRPr="00954200">
        <w:rPr>
          <w:rFonts w:asciiTheme="majorHAnsi" w:hAnsiTheme="majorHAnsi" w:cstheme="majorBidi"/>
        </w:rPr>
        <w:t xml:space="preserve">participații </w:t>
      </w:r>
      <w:r w:rsidRPr="00954200">
        <w:rPr>
          <w:rFonts w:asciiTheme="majorHAnsi" w:hAnsiTheme="majorHAnsi" w:cstheme="majorBidi"/>
        </w:rPr>
        <w:t>în proporție majoritară, fapt care le asigură controlul, la un număr de 1.</w:t>
      </w:r>
      <w:r w:rsidR="001A65CB" w:rsidRPr="00954200">
        <w:rPr>
          <w:rFonts w:asciiTheme="majorHAnsi" w:hAnsiTheme="majorHAnsi" w:cstheme="majorBidi"/>
        </w:rPr>
        <w:t>2</w:t>
      </w:r>
      <w:r w:rsidR="00B73147" w:rsidRPr="00954200">
        <w:rPr>
          <w:rFonts w:asciiTheme="majorHAnsi" w:hAnsiTheme="majorHAnsi" w:cstheme="majorBidi"/>
        </w:rPr>
        <w:t>3</w:t>
      </w:r>
      <w:r w:rsidR="00A37339" w:rsidRPr="00954200">
        <w:rPr>
          <w:rFonts w:asciiTheme="majorHAnsi" w:hAnsiTheme="majorHAnsi" w:cstheme="majorBidi"/>
        </w:rPr>
        <w:t>8</w:t>
      </w:r>
      <w:r w:rsidRPr="00954200">
        <w:rPr>
          <w:rFonts w:asciiTheme="majorHAnsi" w:hAnsiTheme="majorHAnsi" w:cstheme="majorBidi"/>
        </w:rPr>
        <w:t xml:space="preserve"> ÎPL</w:t>
      </w:r>
      <w:r w:rsidR="00C416AE" w:rsidRPr="00954200">
        <w:rPr>
          <w:rFonts w:asciiTheme="majorHAnsi" w:hAnsiTheme="majorHAnsi" w:cstheme="majorBidi"/>
        </w:rPr>
        <w:t xml:space="preserve"> active</w:t>
      </w:r>
      <w:r w:rsidRPr="00954200">
        <w:rPr>
          <w:rFonts w:asciiTheme="majorHAnsi" w:hAnsiTheme="majorHAnsi" w:cstheme="majorBidi"/>
        </w:rPr>
        <w:t xml:space="preserve"> după cum urmează:</w:t>
      </w:r>
    </w:p>
    <w:p w14:paraId="5C0A512B" w14:textId="77777777" w:rsidR="00FF3A21" w:rsidRPr="00954200" w:rsidRDefault="00FF3A21" w:rsidP="00FF3A21">
      <w:pPr>
        <w:spacing w:before="0" w:after="0" w:line="240" w:lineRule="auto"/>
        <w:jc w:val="both"/>
        <w:rPr>
          <w:rFonts w:asciiTheme="majorHAnsi" w:hAnsiTheme="majorHAnsi" w:cstheme="majorBidi"/>
        </w:rPr>
      </w:pPr>
    </w:p>
    <w:p w14:paraId="12D8B9D0" w14:textId="77777777" w:rsidR="00695B02" w:rsidRPr="00954200" w:rsidRDefault="001A65CB" w:rsidP="00F26763">
      <w:pPr>
        <w:numPr>
          <w:ilvl w:val="0"/>
          <w:numId w:val="5"/>
        </w:numPr>
        <w:spacing w:before="0" w:after="0"/>
        <w:ind w:left="270" w:hanging="270"/>
        <w:contextualSpacing/>
        <w:jc w:val="both"/>
        <w:rPr>
          <w:rFonts w:asciiTheme="majorHAnsi" w:hAnsiTheme="majorHAnsi" w:cstheme="majorBidi"/>
          <w:kern w:val="20"/>
          <w:lang w:eastAsia="ja-JP"/>
        </w:rPr>
      </w:pPr>
      <w:r w:rsidRPr="00954200">
        <w:rPr>
          <w:rFonts w:asciiTheme="majorHAnsi" w:hAnsiTheme="majorHAnsi" w:cstheme="majorBidi"/>
          <w:kern w:val="20"/>
          <w:lang w:eastAsia="ja-JP"/>
        </w:rPr>
        <w:t>2</w:t>
      </w:r>
      <w:r w:rsidR="00A37339" w:rsidRPr="00954200">
        <w:rPr>
          <w:rFonts w:asciiTheme="majorHAnsi" w:hAnsiTheme="majorHAnsi" w:cstheme="majorBidi"/>
          <w:kern w:val="20"/>
          <w:lang w:eastAsia="ja-JP"/>
        </w:rPr>
        <w:t>92</w:t>
      </w:r>
      <w:r w:rsidR="00CC1ED3" w:rsidRPr="00954200">
        <w:rPr>
          <w:rFonts w:asciiTheme="majorHAnsi" w:hAnsiTheme="majorHAnsi" w:cstheme="majorBidi"/>
          <w:kern w:val="20"/>
          <w:lang w:eastAsia="ja-JP"/>
        </w:rPr>
        <w:t xml:space="preserve"> ÎPL organizate ca societăți pe acțiuni și sunt deținute de unitățile administrativ-teritoriale prin APTL în proporție majoritară sau integrală</w:t>
      </w:r>
      <w:r w:rsidR="00CC1ED3" w:rsidRPr="00954200">
        <w:rPr>
          <w:rFonts w:asciiTheme="majorHAnsi" w:hAnsiTheme="majorHAnsi" w:cstheme="majorBidi"/>
          <w:kern w:val="20"/>
          <w:lang w:val="en-US" w:eastAsia="ja-JP"/>
        </w:rPr>
        <w:t>;</w:t>
      </w:r>
    </w:p>
    <w:p w14:paraId="1F5D1637" w14:textId="77777777" w:rsidR="00CC1ED3" w:rsidRPr="00954200" w:rsidRDefault="00A37339" w:rsidP="00F26763">
      <w:pPr>
        <w:numPr>
          <w:ilvl w:val="0"/>
          <w:numId w:val="5"/>
        </w:numPr>
        <w:spacing w:before="0" w:after="0"/>
        <w:ind w:left="270" w:hanging="270"/>
        <w:contextualSpacing/>
        <w:jc w:val="both"/>
        <w:rPr>
          <w:rFonts w:asciiTheme="majorHAnsi" w:hAnsiTheme="majorHAnsi" w:cstheme="majorBidi"/>
          <w:kern w:val="20"/>
          <w:lang w:eastAsia="ja-JP"/>
        </w:rPr>
      </w:pPr>
      <w:r w:rsidRPr="00954200">
        <w:rPr>
          <w:rFonts w:asciiTheme="majorHAnsi" w:hAnsiTheme="majorHAnsi" w:cstheme="majorBidi"/>
          <w:kern w:val="20"/>
          <w:lang w:eastAsia="ja-JP"/>
        </w:rPr>
        <w:t>862</w:t>
      </w:r>
      <w:r w:rsidR="00CC1ED3" w:rsidRPr="00954200">
        <w:rPr>
          <w:rFonts w:asciiTheme="majorHAnsi" w:hAnsiTheme="majorHAnsi" w:cstheme="majorBidi"/>
          <w:kern w:val="20"/>
          <w:lang w:eastAsia="ja-JP"/>
        </w:rPr>
        <w:t xml:space="preserve"> ÎPL organizate ca societăți cu răspundere limitată și sunt deținute de unitățile administrativ-teritoriale prin APTL în proporție majoritară sau integrală</w:t>
      </w:r>
      <w:r w:rsidR="00CC1ED3" w:rsidRPr="00954200">
        <w:rPr>
          <w:rFonts w:asciiTheme="majorHAnsi" w:hAnsiTheme="majorHAnsi" w:cstheme="majorBidi"/>
          <w:kern w:val="20"/>
          <w:lang w:val="en-US" w:eastAsia="ja-JP"/>
        </w:rPr>
        <w:t>;</w:t>
      </w:r>
    </w:p>
    <w:p w14:paraId="5129F18E" w14:textId="77777777" w:rsidR="006E1F3C" w:rsidRPr="00954200" w:rsidRDefault="00A37339" w:rsidP="00F26763">
      <w:pPr>
        <w:numPr>
          <w:ilvl w:val="0"/>
          <w:numId w:val="5"/>
        </w:numPr>
        <w:spacing w:before="0" w:after="0"/>
        <w:ind w:left="270" w:hanging="270"/>
        <w:contextualSpacing/>
        <w:jc w:val="both"/>
        <w:rPr>
          <w:rFonts w:asciiTheme="majorHAnsi" w:hAnsiTheme="majorHAnsi" w:cstheme="majorBidi"/>
          <w:kern w:val="20"/>
          <w:lang w:eastAsia="ja-JP"/>
        </w:rPr>
      </w:pPr>
      <w:r w:rsidRPr="00954200">
        <w:rPr>
          <w:rFonts w:asciiTheme="majorHAnsi" w:hAnsiTheme="majorHAnsi" w:cstheme="majorBidi"/>
          <w:kern w:val="20"/>
          <w:lang w:eastAsia="ja-JP"/>
        </w:rPr>
        <w:t>84</w:t>
      </w:r>
      <w:r w:rsidR="00FA3611" w:rsidRPr="00954200">
        <w:rPr>
          <w:rFonts w:asciiTheme="majorHAnsi" w:hAnsiTheme="majorHAnsi" w:cstheme="majorBidi"/>
          <w:kern w:val="20"/>
          <w:lang w:eastAsia="ja-JP"/>
        </w:rPr>
        <w:t xml:space="preserve"> ÎPL</w:t>
      </w:r>
      <w:r w:rsidR="00CC1ED3" w:rsidRPr="00954200">
        <w:rPr>
          <w:rFonts w:asciiTheme="majorHAnsi" w:hAnsiTheme="majorHAnsi" w:cstheme="majorBidi"/>
          <w:kern w:val="20"/>
          <w:lang w:eastAsia="ja-JP"/>
        </w:rPr>
        <w:t xml:space="preserve"> organizate ca regii autonome și sunt deținute de unitățile administrativ-teritoriale p</w:t>
      </w:r>
      <w:r w:rsidRPr="00954200">
        <w:rPr>
          <w:rFonts w:asciiTheme="majorHAnsi" w:hAnsiTheme="majorHAnsi" w:cstheme="majorBidi"/>
          <w:kern w:val="20"/>
          <w:lang w:eastAsia="ja-JP"/>
        </w:rPr>
        <w:t>rin APTL în proporție integrală.</w:t>
      </w:r>
    </w:p>
    <w:p w14:paraId="5124A98E" w14:textId="77777777" w:rsidR="00954200" w:rsidRPr="00954200" w:rsidRDefault="00954200" w:rsidP="00954200">
      <w:pPr>
        <w:spacing w:before="0" w:after="0"/>
        <w:ind w:left="270"/>
        <w:contextualSpacing/>
        <w:jc w:val="both"/>
        <w:rPr>
          <w:rFonts w:asciiTheme="majorHAnsi" w:hAnsiTheme="majorHAnsi" w:cstheme="majorBidi"/>
          <w:kern w:val="20"/>
          <w:lang w:eastAsia="ja-JP"/>
        </w:rPr>
      </w:pPr>
    </w:p>
    <w:p w14:paraId="068985AE" w14:textId="77777777" w:rsidR="007632E6" w:rsidRPr="00954200" w:rsidRDefault="00954200" w:rsidP="007632E6">
      <w:pPr>
        <w:spacing w:before="0" w:after="0"/>
        <w:contextualSpacing/>
        <w:jc w:val="both"/>
        <w:rPr>
          <w:rFonts w:asciiTheme="majorHAnsi" w:hAnsiTheme="majorHAnsi" w:cstheme="majorBidi"/>
          <w:kern w:val="20"/>
          <w:lang w:eastAsia="ja-JP"/>
        </w:rPr>
      </w:pPr>
      <w:r w:rsidRPr="00954200">
        <w:rPr>
          <w:rFonts w:asciiTheme="majorHAnsi" w:hAnsiTheme="majorHAnsi" w:cstheme="majorBidi"/>
          <w:kern w:val="20"/>
          <w:lang w:eastAsia="ja-JP"/>
        </w:rPr>
        <w:t>TABEL – Evoluția participațiilor deținute de unitățile administrativ-teritoriale la ÎPL active în perioada 2018-2020</w:t>
      </w:r>
    </w:p>
    <w:p w14:paraId="64DA1690" w14:textId="77777777" w:rsidR="00954200" w:rsidRDefault="00954200" w:rsidP="007632E6">
      <w:pPr>
        <w:spacing w:before="0" w:after="0"/>
        <w:contextualSpacing/>
        <w:jc w:val="both"/>
        <w:rPr>
          <w:rFonts w:asciiTheme="majorHAnsi" w:hAnsiTheme="majorHAnsi" w:cstheme="majorBidi"/>
          <w:kern w:val="20"/>
          <w:lang w:eastAsia="ja-JP"/>
        </w:rPr>
      </w:pPr>
    </w:p>
    <w:tbl>
      <w:tblPr>
        <w:tblW w:w="9200" w:type="dxa"/>
        <w:tblInd w:w="93" w:type="dxa"/>
        <w:tblLook w:val="04A0" w:firstRow="1" w:lastRow="0" w:firstColumn="1" w:lastColumn="0" w:noHBand="0" w:noVBand="1"/>
      </w:tblPr>
      <w:tblGrid>
        <w:gridCol w:w="2627"/>
        <w:gridCol w:w="768"/>
        <w:gridCol w:w="1161"/>
        <w:gridCol w:w="1161"/>
        <w:gridCol w:w="1161"/>
        <w:gridCol w:w="1161"/>
        <w:gridCol w:w="1161"/>
      </w:tblGrid>
      <w:tr w:rsidR="00954200" w:rsidRPr="00954200" w14:paraId="7DF472E2" w14:textId="77777777" w:rsidTr="00954200">
        <w:trPr>
          <w:trHeight w:val="792"/>
        </w:trPr>
        <w:tc>
          <w:tcPr>
            <w:tcW w:w="2627" w:type="dxa"/>
            <w:vMerge w:val="restart"/>
            <w:tcBorders>
              <w:top w:val="single" w:sz="4" w:space="0" w:color="4F81BD"/>
              <w:left w:val="nil"/>
              <w:bottom w:val="single" w:sz="4" w:space="0" w:color="4F81BD"/>
              <w:right w:val="nil"/>
            </w:tcBorders>
            <w:shd w:val="clear" w:color="000000" w:fill="FFFFFF"/>
            <w:hideMark/>
          </w:tcPr>
          <w:p w14:paraId="1DA06E8D" w14:textId="77777777" w:rsidR="00954200" w:rsidRPr="00954200" w:rsidRDefault="00954200" w:rsidP="00954200">
            <w:pPr>
              <w:spacing w:before="0" w:after="0" w:line="240" w:lineRule="auto"/>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Mod organizare societăți</w:t>
            </w:r>
          </w:p>
        </w:tc>
        <w:tc>
          <w:tcPr>
            <w:tcW w:w="768" w:type="dxa"/>
            <w:vMerge w:val="restart"/>
            <w:tcBorders>
              <w:top w:val="single" w:sz="4" w:space="0" w:color="4F81BD"/>
              <w:left w:val="nil"/>
              <w:bottom w:val="single" w:sz="4" w:space="0" w:color="4F81BD"/>
              <w:right w:val="nil"/>
            </w:tcBorders>
            <w:shd w:val="clear" w:color="000000" w:fill="FFFFFF"/>
            <w:hideMark/>
          </w:tcPr>
          <w:p w14:paraId="2EBDE1B4" w14:textId="77777777" w:rsidR="00954200" w:rsidRPr="00954200" w:rsidRDefault="00954200" w:rsidP="00954200">
            <w:pPr>
              <w:spacing w:before="0" w:after="0" w:line="240" w:lineRule="auto"/>
              <w:jc w:val="right"/>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Anul</w:t>
            </w:r>
          </w:p>
        </w:tc>
        <w:tc>
          <w:tcPr>
            <w:tcW w:w="1161" w:type="dxa"/>
            <w:vMerge w:val="restart"/>
            <w:tcBorders>
              <w:top w:val="single" w:sz="4" w:space="0" w:color="4F81BD"/>
              <w:left w:val="nil"/>
              <w:bottom w:val="single" w:sz="4" w:space="0" w:color="4F81BD"/>
              <w:right w:val="nil"/>
            </w:tcBorders>
            <w:shd w:val="clear" w:color="000000" w:fill="FFFFFF"/>
            <w:hideMark/>
          </w:tcPr>
          <w:p w14:paraId="45887EFF" w14:textId="77777777" w:rsidR="00954200" w:rsidRPr="00954200" w:rsidRDefault="00954200" w:rsidP="00954200">
            <w:pPr>
              <w:spacing w:before="0" w:after="0" w:line="240" w:lineRule="auto"/>
              <w:jc w:val="right"/>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Nr ÎPL</w:t>
            </w:r>
          </w:p>
        </w:tc>
        <w:tc>
          <w:tcPr>
            <w:tcW w:w="1161" w:type="dxa"/>
            <w:tcBorders>
              <w:top w:val="single" w:sz="4" w:space="0" w:color="4F81BD"/>
              <w:left w:val="nil"/>
              <w:bottom w:val="single" w:sz="4" w:space="0" w:color="4F81BD"/>
              <w:right w:val="nil"/>
            </w:tcBorders>
            <w:shd w:val="clear" w:color="000000" w:fill="FFFFFF"/>
            <w:hideMark/>
          </w:tcPr>
          <w:p w14:paraId="207CD6DA" w14:textId="77777777" w:rsidR="00954200" w:rsidRPr="00954200" w:rsidRDefault="00954200" w:rsidP="00954200">
            <w:pPr>
              <w:spacing w:before="0" w:after="0" w:line="240" w:lineRule="auto"/>
              <w:jc w:val="right"/>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Valoare capital social sau patrimoniu deținut de APTL</w:t>
            </w:r>
          </w:p>
        </w:tc>
        <w:tc>
          <w:tcPr>
            <w:tcW w:w="1161" w:type="dxa"/>
            <w:tcBorders>
              <w:top w:val="single" w:sz="4" w:space="0" w:color="4F81BD"/>
              <w:left w:val="nil"/>
              <w:bottom w:val="single" w:sz="4" w:space="0" w:color="4F81BD"/>
              <w:right w:val="nil"/>
            </w:tcBorders>
            <w:shd w:val="clear" w:color="000000" w:fill="FFFFFF"/>
            <w:hideMark/>
          </w:tcPr>
          <w:p w14:paraId="704B3758" w14:textId="77777777" w:rsidR="00954200" w:rsidRPr="00954200" w:rsidRDefault="00954200" w:rsidP="00954200">
            <w:pPr>
              <w:spacing w:before="0" w:after="0" w:line="240" w:lineRule="auto"/>
              <w:jc w:val="right"/>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Valoare capital social deținut de PERSOANE JURIDICE ȘI FIZICE</w:t>
            </w:r>
          </w:p>
        </w:tc>
        <w:tc>
          <w:tcPr>
            <w:tcW w:w="1161" w:type="dxa"/>
            <w:tcBorders>
              <w:top w:val="single" w:sz="4" w:space="0" w:color="4F81BD"/>
              <w:left w:val="nil"/>
              <w:bottom w:val="single" w:sz="4" w:space="0" w:color="4F81BD"/>
              <w:right w:val="nil"/>
            </w:tcBorders>
            <w:shd w:val="clear" w:color="000000" w:fill="FFFFFF"/>
            <w:hideMark/>
          </w:tcPr>
          <w:p w14:paraId="1097161F" w14:textId="77777777" w:rsidR="00954200" w:rsidRPr="00954200" w:rsidRDefault="00954200" w:rsidP="00954200">
            <w:pPr>
              <w:spacing w:before="0" w:after="0" w:line="240" w:lineRule="auto"/>
              <w:jc w:val="right"/>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Nr total acțiuni sau părți sociale deținute de APTL</w:t>
            </w:r>
          </w:p>
        </w:tc>
        <w:tc>
          <w:tcPr>
            <w:tcW w:w="1161" w:type="dxa"/>
            <w:tcBorders>
              <w:top w:val="single" w:sz="4" w:space="0" w:color="4F81BD"/>
              <w:left w:val="nil"/>
              <w:bottom w:val="single" w:sz="4" w:space="0" w:color="4F81BD"/>
              <w:right w:val="nil"/>
            </w:tcBorders>
            <w:shd w:val="clear" w:color="000000" w:fill="FFFFFF"/>
            <w:hideMark/>
          </w:tcPr>
          <w:p w14:paraId="0F384D26" w14:textId="77777777" w:rsidR="00954200" w:rsidRPr="00954200" w:rsidRDefault="00954200" w:rsidP="00954200">
            <w:pPr>
              <w:spacing w:before="0" w:after="0" w:line="240" w:lineRule="auto"/>
              <w:jc w:val="right"/>
              <w:rPr>
                <w:rFonts w:ascii="Calibri" w:eastAsia="Times New Roman" w:hAnsi="Calibri" w:cs="Calibri"/>
                <w:color w:val="0F6FC6" w:themeColor="accent1"/>
                <w:sz w:val="16"/>
                <w:szCs w:val="16"/>
                <w:lang w:val="en-US"/>
              </w:rPr>
            </w:pPr>
            <w:r w:rsidRPr="00954200">
              <w:rPr>
                <w:rFonts w:ascii="Calibri" w:eastAsia="Times New Roman" w:hAnsi="Calibri" w:cs="Calibri"/>
                <w:color w:val="0F6FC6" w:themeColor="accent1"/>
                <w:sz w:val="16"/>
                <w:szCs w:val="16"/>
                <w:lang w:val="en-US"/>
              </w:rPr>
              <w:t>Valoare nominală medie estimată pe acțiune/ parte socială</w:t>
            </w:r>
          </w:p>
        </w:tc>
      </w:tr>
      <w:tr w:rsidR="00954200" w:rsidRPr="00954200" w14:paraId="7BE7A668" w14:textId="77777777" w:rsidTr="00954200">
        <w:trPr>
          <w:trHeight w:val="253"/>
        </w:trPr>
        <w:tc>
          <w:tcPr>
            <w:tcW w:w="2627" w:type="dxa"/>
            <w:vMerge/>
            <w:tcBorders>
              <w:top w:val="single" w:sz="4" w:space="0" w:color="4F81BD"/>
              <w:left w:val="nil"/>
              <w:bottom w:val="single" w:sz="4" w:space="0" w:color="4F81BD"/>
              <w:right w:val="nil"/>
            </w:tcBorders>
            <w:vAlign w:val="center"/>
            <w:hideMark/>
          </w:tcPr>
          <w:p w14:paraId="25E83E44" w14:textId="77777777" w:rsidR="00954200" w:rsidRPr="00954200" w:rsidRDefault="00954200" w:rsidP="00954200">
            <w:pPr>
              <w:spacing w:before="0" w:after="0" w:line="240" w:lineRule="auto"/>
              <w:rPr>
                <w:rFonts w:ascii="Calibri" w:eastAsia="Times New Roman" w:hAnsi="Calibri" w:cs="Calibri"/>
                <w:color w:val="0F6FC6" w:themeColor="accent1"/>
                <w:sz w:val="16"/>
                <w:szCs w:val="16"/>
                <w:lang w:val="en-US"/>
              </w:rPr>
            </w:pPr>
          </w:p>
        </w:tc>
        <w:tc>
          <w:tcPr>
            <w:tcW w:w="768" w:type="dxa"/>
            <w:vMerge/>
            <w:tcBorders>
              <w:top w:val="single" w:sz="4" w:space="0" w:color="4F81BD"/>
              <w:left w:val="nil"/>
              <w:bottom w:val="single" w:sz="4" w:space="0" w:color="4F81BD"/>
              <w:right w:val="nil"/>
            </w:tcBorders>
            <w:vAlign w:val="center"/>
            <w:hideMark/>
          </w:tcPr>
          <w:p w14:paraId="59A97B69" w14:textId="77777777" w:rsidR="00954200" w:rsidRPr="00954200" w:rsidRDefault="00954200" w:rsidP="00954200">
            <w:pPr>
              <w:spacing w:before="0" w:after="0" w:line="240" w:lineRule="auto"/>
              <w:rPr>
                <w:rFonts w:ascii="Calibri" w:eastAsia="Times New Roman" w:hAnsi="Calibri" w:cs="Calibri"/>
                <w:color w:val="0F6FC6" w:themeColor="accent1"/>
                <w:sz w:val="16"/>
                <w:szCs w:val="16"/>
                <w:lang w:val="en-US"/>
              </w:rPr>
            </w:pPr>
          </w:p>
        </w:tc>
        <w:tc>
          <w:tcPr>
            <w:tcW w:w="1161" w:type="dxa"/>
            <w:vMerge/>
            <w:tcBorders>
              <w:top w:val="single" w:sz="4" w:space="0" w:color="4F81BD"/>
              <w:left w:val="nil"/>
              <w:bottom w:val="single" w:sz="4" w:space="0" w:color="4F81BD"/>
              <w:right w:val="nil"/>
            </w:tcBorders>
            <w:vAlign w:val="center"/>
            <w:hideMark/>
          </w:tcPr>
          <w:p w14:paraId="55F05AA3" w14:textId="77777777" w:rsidR="00954200" w:rsidRPr="00954200" w:rsidRDefault="00954200" w:rsidP="00954200">
            <w:pPr>
              <w:spacing w:before="0" w:after="0" w:line="240" w:lineRule="auto"/>
              <w:rPr>
                <w:rFonts w:ascii="Calibri" w:eastAsia="Times New Roman" w:hAnsi="Calibri" w:cs="Calibri"/>
                <w:color w:val="0F6FC6" w:themeColor="accent1"/>
                <w:sz w:val="16"/>
                <w:szCs w:val="16"/>
                <w:lang w:val="en-US"/>
              </w:rPr>
            </w:pPr>
          </w:p>
        </w:tc>
        <w:tc>
          <w:tcPr>
            <w:tcW w:w="1161" w:type="dxa"/>
            <w:tcBorders>
              <w:top w:val="nil"/>
              <w:left w:val="nil"/>
              <w:bottom w:val="single" w:sz="4" w:space="0" w:color="4F81BD"/>
              <w:right w:val="nil"/>
            </w:tcBorders>
            <w:shd w:val="clear" w:color="000000" w:fill="FFFFFF"/>
            <w:hideMark/>
          </w:tcPr>
          <w:p w14:paraId="00D203D9" w14:textId="77777777" w:rsidR="00954200" w:rsidRPr="00954200" w:rsidRDefault="00954200" w:rsidP="00954200">
            <w:pPr>
              <w:spacing w:before="0" w:after="0" w:line="240" w:lineRule="auto"/>
              <w:jc w:val="right"/>
              <w:rPr>
                <w:rFonts w:ascii="Calibri" w:eastAsia="Times New Roman" w:hAnsi="Calibri" w:cs="Calibri"/>
                <w:i/>
                <w:iCs/>
                <w:color w:val="0F6FC6" w:themeColor="accent1"/>
                <w:sz w:val="14"/>
                <w:szCs w:val="14"/>
                <w:lang w:val="en-US"/>
              </w:rPr>
            </w:pPr>
            <w:r w:rsidRPr="00954200">
              <w:rPr>
                <w:rFonts w:ascii="Calibri" w:eastAsia="Times New Roman" w:hAnsi="Calibri" w:cs="Calibri"/>
                <w:i/>
                <w:iCs/>
                <w:color w:val="0F6FC6" w:themeColor="accent1"/>
                <w:sz w:val="14"/>
                <w:szCs w:val="14"/>
                <w:lang w:val="en-US"/>
              </w:rPr>
              <w:t>mii lei</w:t>
            </w:r>
          </w:p>
        </w:tc>
        <w:tc>
          <w:tcPr>
            <w:tcW w:w="1161" w:type="dxa"/>
            <w:tcBorders>
              <w:top w:val="nil"/>
              <w:left w:val="nil"/>
              <w:bottom w:val="single" w:sz="4" w:space="0" w:color="4F81BD"/>
              <w:right w:val="nil"/>
            </w:tcBorders>
            <w:shd w:val="clear" w:color="000000" w:fill="FFFFFF"/>
            <w:hideMark/>
          </w:tcPr>
          <w:p w14:paraId="13EA4D23" w14:textId="77777777" w:rsidR="00954200" w:rsidRPr="00954200" w:rsidRDefault="00954200" w:rsidP="00954200">
            <w:pPr>
              <w:spacing w:before="0" w:after="0" w:line="240" w:lineRule="auto"/>
              <w:jc w:val="right"/>
              <w:rPr>
                <w:rFonts w:ascii="Calibri" w:eastAsia="Times New Roman" w:hAnsi="Calibri" w:cs="Calibri"/>
                <w:i/>
                <w:iCs/>
                <w:color w:val="0F6FC6" w:themeColor="accent1"/>
                <w:sz w:val="14"/>
                <w:szCs w:val="14"/>
                <w:lang w:val="en-US"/>
              </w:rPr>
            </w:pPr>
            <w:r w:rsidRPr="00954200">
              <w:rPr>
                <w:rFonts w:ascii="Calibri" w:eastAsia="Times New Roman" w:hAnsi="Calibri" w:cs="Calibri"/>
                <w:i/>
                <w:iCs/>
                <w:color w:val="0F6FC6" w:themeColor="accent1"/>
                <w:sz w:val="14"/>
                <w:szCs w:val="14"/>
                <w:lang w:val="en-US"/>
              </w:rPr>
              <w:t>mii lei</w:t>
            </w:r>
          </w:p>
        </w:tc>
        <w:tc>
          <w:tcPr>
            <w:tcW w:w="1161" w:type="dxa"/>
            <w:tcBorders>
              <w:top w:val="nil"/>
              <w:left w:val="nil"/>
              <w:bottom w:val="single" w:sz="4" w:space="0" w:color="4F81BD"/>
              <w:right w:val="nil"/>
            </w:tcBorders>
            <w:shd w:val="clear" w:color="000000" w:fill="FFFFFF"/>
            <w:hideMark/>
          </w:tcPr>
          <w:p w14:paraId="1E9DFF20" w14:textId="77777777" w:rsidR="00954200" w:rsidRPr="00954200" w:rsidRDefault="00954200" w:rsidP="00954200">
            <w:pPr>
              <w:spacing w:before="0" w:after="0" w:line="240" w:lineRule="auto"/>
              <w:jc w:val="right"/>
              <w:rPr>
                <w:rFonts w:ascii="Calibri" w:eastAsia="Times New Roman" w:hAnsi="Calibri" w:cs="Calibri"/>
                <w:i/>
                <w:iCs/>
                <w:color w:val="0F6FC6" w:themeColor="accent1"/>
                <w:sz w:val="14"/>
                <w:szCs w:val="14"/>
                <w:lang w:val="en-US"/>
              </w:rPr>
            </w:pPr>
            <w:r w:rsidRPr="00954200">
              <w:rPr>
                <w:rFonts w:ascii="Calibri" w:eastAsia="Times New Roman" w:hAnsi="Calibri" w:cs="Calibri"/>
                <w:i/>
                <w:iCs/>
                <w:color w:val="0F6FC6" w:themeColor="accent1"/>
                <w:sz w:val="14"/>
                <w:szCs w:val="14"/>
                <w:lang w:val="en-US"/>
              </w:rPr>
              <w:t>nr</w:t>
            </w:r>
          </w:p>
        </w:tc>
        <w:tc>
          <w:tcPr>
            <w:tcW w:w="1161" w:type="dxa"/>
            <w:tcBorders>
              <w:top w:val="nil"/>
              <w:left w:val="nil"/>
              <w:bottom w:val="single" w:sz="4" w:space="0" w:color="4F81BD"/>
              <w:right w:val="nil"/>
            </w:tcBorders>
            <w:shd w:val="clear" w:color="000000" w:fill="FFFFFF"/>
            <w:hideMark/>
          </w:tcPr>
          <w:p w14:paraId="2E513193" w14:textId="77777777" w:rsidR="00954200" w:rsidRPr="00954200" w:rsidRDefault="00954200" w:rsidP="00954200">
            <w:pPr>
              <w:spacing w:before="0" w:after="0" w:line="240" w:lineRule="auto"/>
              <w:jc w:val="right"/>
              <w:rPr>
                <w:rFonts w:ascii="Calibri" w:eastAsia="Times New Roman" w:hAnsi="Calibri" w:cs="Calibri"/>
                <w:i/>
                <w:iCs/>
                <w:color w:val="0F6FC6" w:themeColor="accent1"/>
                <w:sz w:val="14"/>
                <w:szCs w:val="14"/>
                <w:lang w:val="en-US"/>
              </w:rPr>
            </w:pPr>
            <w:r w:rsidRPr="00954200">
              <w:rPr>
                <w:rFonts w:ascii="Calibri" w:eastAsia="Times New Roman" w:hAnsi="Calibri" w:cs="Calibri"/>
                <w:i/>
                <w:iCs/>
                <w:color w:val="0F6FC6" w:themeColor="accent1"/>
                <w:sz w:val="14"/>
                <w:szCs w:val="14"/>
                <w:lang w:val="en-US"/>
              </w:rPr>
              <w:t>lei/acțiune sau parte socială</w:t>
            </w:r>
          </w:p>
        </w:tc>
      </w:tr>
      <w:tr w:rsidR="00954200" w:rsidRPr="00954200" w14:paraId="2D10F314" w14:textId="77777777" w:rsidTr="00954200">
        <w:trPr>
          <w:trHeight w:val="211"/>
        </w:trPr>
        <w:tc>
          <w:tcPr>
            <w:tcW w:w="2627" w:type="dxa"/>
            <w:vMerge w:val="restart"/>
            <w:tcBorders>
              <w:top w:val="nil"/>
              <w:left w:val="nil"/>
              <w:bottom w:val="single" w:sz="4" w:space="0" w:color="4F81BD"/>
              <w:right w:val="nil"/>
            </w:tcBorders>
            <w:shd w:val="clear" w:color="000000" w:fill="FFFFFF"/>
            <w:vAlign w:val="center"/>
            <w:hideMark/>
          </w:tcPr>
          <w:p w14:paraId="00E7EFB7" w14:textId="77777777" w:rsidR="00954200" w:rsidRPr="00954200" w:rsidRDefault="00954200" w:rsidP="00954200">
            <w:pPr>
              <w:spacing w:before="0" w:after="0" w:line="240" w:lineRule="auto"/>
              <w:rPr>
                <w:rFonts w:ascii="Calibri" w:eastAsia="Times New Roman" w:hAnsi="Calibri" w:cs="Calibri"/>
                <w:sz w:val="16"/>
                <w:szCs w:val="16"/>
                <w:lang w:val="en-US"/>
              </w:rPr>
            </w:pPr>
            <w:r w:rsidRPr="00954200">
              <w:rPr>
                <w:rFonts w:ascii="Calibri" w:eastAsia="Times New Roman" w:hAnsi="Calibri" w:cs="Calibri"/>
                <w:sz w:val="16"/>
                <w:szCs w:val="16"/>
                <w:lang w:val="en-US"/>
              </w:rPr>
              <w:t xml:space="preserve">Societăți pe acțiuni la care APTL deține </w:t>
            </w:r>
            <w:r w:rsidRPr="00954200">
              <w:rPr>
                <w:rFonts w:ascii="Calibri" w:eastAsia="Times New Roman" w:hAnsi="Calibri" w:cs="Calibri"/>
                <w:b/>
                <w:bCs/>
                <w:sz w:val="16"/>
                <w:szCs w:val="16"/>
                <w:lang w:val="en-US"/>
              </w:rPr>
              <w:t>capital social</w:t>
            </w:r>
          </w:p>
        </w:tc>
        <w:tc>
          <w:tcPr>
            <w:tcW w:w="768" w:type="dxa"/>
            <w:tcBorders>
              <w:top w:val="nil"/>
              <w:left w:val="nil"/>
              <w:bottom w:val="nil"/>
              <w:right w:val="nil"/>
            </w:tcBorders>
            <w:shd w:val="clear" w:color="000000" w:fill="FFFFFF"/>
            <w:noWrap/>
            <w:vAlign w:val="center"/>
            <w:hideMark/>
          </w:tcPr>
          <w:p w14:paraId="5CE3E804"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2018</w:t>
            </w:r>
          </w:p>
        </w:tc>
        <w:tc>
          <w:tcPr>
            <w:tcW w:w="1161" w:type="dxa"/>
            <w:tcBorders>
              <w:top w:val="nil"/>
              <w:left w:val="nil"/>
              <w:bottom w:val="nil"/>
              <w:right w:val="nil"/>
            </w:tcBorders>
            <w:shd w:val="clear" w:color="000000" w:fill="FFFFFF"/>
            <w:noWrap/>
            <w:vAlign w:val="center"/>
            <w:hideMark/>
          </w:tcPr>
          <w:p w14:paraId="2E48C58F"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279</w:t>
            </w:r>
          </w:p>
        </w:tc>
        <w:tc>
          <w:tcPr>
            <w:tcW w:w="1161" w:type="dxa"/>
            <w:tcBorders>
              <w:top w:val="nil"/>
              <w:left w:val="nil"/>
              <w:bottom w:val="nil"/>
              <w:right w:val="nil"/>
            </w:tcBorders>
            <w:shd w:val="clear" w:color="000000" w:fill="FFFFFF"/>
            <w:noWrap/>
            <w:vAlign w:val="center"/>
            <w:hideMark/>
          </w:tcPr>
          <w:p w14:paraId="38CFD7AA"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2.801.251</w:t>
            </w:r>
          </w:p>
        </w:tc>
        <w:tc>
          <w:tcPr>
            <w:tcW w:w="1161" w:type="dxa"/>
            <w:tcBorders>
              <w:top w:val="nil"/>
              <w:left w:val="nil"/>
              <w:bottom w:val="nil"/>
              <w:right w:val="nil"/>
            </w:tcBorders>
            <w:shd w:val="clear" w:color="000000" w:fill="FFFFFF"/>
            <w:noWrap/>
            <w:vAlign w:val="center"/>
            <w:hideMark/>
          </w:tcPr>
          <w:p w14:paraId="189170FF"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110.283</w:t>
            </w:r>
          </w:p>
        </w:tc>
        <w:tc>
          <w:tcPr>
            <w:tcW w:w="1161" w:type="dxa"/>
            <w:tcBorders>
              <w:top w:val="nil"/>
              <w:left w:val="nil"/>
              <w:bottom w:val="nil"/>
              <w:right w:val="nil"/>
            </w:tcBorders>
            <w:shd w:val="clear" w:color="000000" w:fill="FFFFFF"/>
            <w:noWrap/>
            <w:vAlign w:val="center"/>
            <w:hideMark/>
          </w:tcPr>
          <w:p w14:paraId="1EA8B11E"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399.927.524</w:t>
            </w:r>
          </w:p>
        </w:tc>
        <w:tc>
          <w:tcPr>
            <w:tcW w:w="1161" w:type="dxa"/>
            <w:tcBorders>
              <w:top w:val="nil"/>
              <w:left w:val="nil"/>
              <w:bottom w:val="nil"/>
              <w:right w:val="nil"/>
            </w:tcBorders>
            <w:shd w:val="clear" w:color="000000" w:fill="FFFFFF"/>
            <w:noWrap/>
            <w:vAlign w:val="center"/>
            <w:hideMark/>
          </w:tcPr>
          <w:p w14:paraId="489F9481"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7,00</w:t>
            </w:r>
          </w:p>
        </w:tc>
      </w:tr>
      <w:tr w:rsidR="00954200" w:rsidRPr="00954200" w14:paraId="41E2BBC3" w14:textId="77777777" w:rsidTr="00954200">
        <w:trPr>
          <w:trHeight w:val="211"/>
        </w:trPr>
        <w:tc>
          <w:tcPr>
            <w:tcW w:w="2627" w:type="dxa"/>
            <w:vMerge/>
            <w:tcBorders>
              <w:top w:val="nil"/>
              <w:left w:val="nil"/>
              <w:bottom w:val="single" w:sz="4" w:space="0" w:color="4F81BD"/>
              <w:right w:val="nil"/>
            </w:tcBorders>
            <w:vAlign w:val="center"/>
            <w:hideMark/>
          </w:tcPr>
          <w:p w14:paraId="7E4A146A" w14:textId="77777777" w:rsidR="00954200" w:rsidRPr="00954200" w:rsidRDefault="00954200" w:rsidP="00954200">
            <w:pPr>
              <w:spacing w:before="0" w:after="0" w:line="240" w:lineRule="auto"/>
              <w:rPr>
                <w:rFonts w:ascii="Calibri" w:eastAsia="Times New Roman" w:hAnsi="Calibri" w:cs="Calibri"/>
                <w:sz w:val="16"/>
                <w:szCs w:val="16"/>
                <w:lang w:val="en-US"/>
              </w:rPr>
            </w:pPr>
          </w:p>
        </w:tc>
        <w:tc>
          <w:tcPr>
            <w:tcW w:w="768" w:type="dxa"/>
            <w:tcBorders>
              <w:top w:val="nil"/>
              <w:left w:val="nil"/>
              <w:bottom w:val="nil"/>
              <w:right w:val="nil"/>
            </w:tcBorders>
            <w:shd w:val="clear" w:color="000000" w:fill="FFFFFF"/>
            <w:noWrap/>
            <w:vAlign w:val="center"/>
            <w:hideMark/>
          </w:tcPr>
          <w:p w14:paraId="7AFE11A7"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2019</w:t>
            </w:r>
          </w:p>
        </w:tc>
        <w:tc>
          <w:tcPr>
            <w:tcW w:w="1161" w:type="dxa"/>
            <w:tcBorders>
              <w:top w:val="nil"/>
              <w:left w:val="nil"/>
              <w:bottom w:val="nil"/>
              <w:right w:val="nil"/>
            </w:tcBorders>
            <w:shd w:val="clear" w:color="000000" w:fill="FFFFFF"/>
            <w:noWrap/>
            <w:vAlign w:val="center"/>
            <w:hideMark/>
          </w:tcPr>
          <w:p w14:paraId="7FF82A47"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294</w:t>
            </w:r>
          </w:p>
        </w:tc>
        <w:tc>
          <w:tcPr>
            <w:tcW w:w="1161" w:type="dxa"/>
            <w:tcBorders>
              <w:top w:val="nil"/>
              <w:left w:val="nil"/>
              <w:bottom w:val="nil"/>
              <w:right w:val="nil"/>
            </w:tcBorders>
            <w:shd w:val="clear" w:color="000000" w:fill="FFFFFF"/>
            <w:noWrap/>
            <w:vAlign w:val="center"/>
            <w:hideMark/>
          </w:tcPr>
          <w:p w14:paraId="6E7AD44F"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3.428.472</w:t>
            </w:r>
          </w:p>
        </w:tc>
        <w:tc>
          <w:tcPr>
            <w:tcW w:w="1161" w:type="dxa"/>
            <w:tcBorders>
              <w:top w:val="nil"/>
              <w:left w:val="nil"/>
              <w:bottom w:val="nil"/>
              <w:right w:val="nil"/>
            </w:tcBorders>
            <w:shd w:val="clear" w:color="000000" w:fill="FFFFFF"/>
            <w:noWrap/>
            <w:vAlign w:val="center"/>
            <w:hideMark/>
          </w:tcPr>
          <w:p w14:paraId="792FD7E7"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4.891</w:t>
            </w:r>
          </w:p>
        </w:tc>
        <w:tc>
          <w:tcPr>
            <w:tcW w:w="1161" w:type="dxa"/>
            <w:tcBorders>
              <w:top w:val="nil"/>
              <w:left w:val="nil"/>
              <w:bottom w:val="nil"/>
              <w:right w:val="nil"/>
            </w:tcBorders>
            <w:shd w:val="clear" w:color="000000" w:fill="FFFFFF"/>
            <w:noWrap/>
            <w:vAlign w:val="center"/>
            <w:hideMark/>
          </w:tcPr>
          <w:p w14:paraId="3B7AA6D7"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454.024.832</w:t>
            </w:r>
          </w:p>
        </w:tc>
        <w:tc>
          <w:tcPr>
            <w:tcW w:w="1161" w:type="dxa"/>
            <w:tcBorders>
              <w:top w:val="nil"/>
              <w:left w:val="nil"/>
              <w:bottom w:val="nil"/>
              <w:right w:val="nil"/>
            </w:tcBorders>
            <w:shd w:val="clear" w:color="000000" w:fill="FFFFFF"/>
            <w:noWrap/>
            <w:vAlign w:val="center"/>
            <w:hideMark/>
          </w:tcPr>
          <w:p w14:paraId="6B5F4B90"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7,55</w:t>
            </w:r>
          </w:p>
        </w:tc>
      </w:tr>
      <w:tr w:rsidR="00954200" w:rsidRPr="00954200" w14:paraId="3023F660" w14:textId="77777777" w:rsidTr="00954200">
        <w:trPr>
          <w:trHeight w:val="211"/>
        </w:trPr>
        <w:tc>
          <w:tcPr>
            <w:tcW w:w="2627" w:type="dxa"/>
            <w:vMerge/>
            <w:tcBorders>
              <w:top w:val="nil"/>
              <w:left w:val="nil"/>
              <w:bottom w:val="single" w:sz="4" w:space="0" w:color="4F81BD"/>
              <w:right w:val="nil"/>
            </w:tcBorders>
            <w:vAlign w:val="center"/>
            <w:hideMark/>
          </w:tcPr>
          <w:p w14:paraId="324A09C6" w14:textId="77777777" w:rsidR="00954200" w:rsidRPr="00954200" w:rsidRDefault="00954200" w:rsidP="00954200">
            <w:pPr>
              <w:spacing w:before="0" w:after="0" w:line="240" w:lineRule="auto"/>
              <w:rPr>
                <w:rFonts w:ascii="Calibri" w:eastAsia="Times New Roman" w:hAnsi="Calibri" w:cs="Calibri"/>
                <w:sz w:val="16"/>
                <w:szCs w:val="16"/>
                <w:lang w:val="en-US"/>
              </w:rPr>
            </w:pPr>
          </w:p>
        </w:tc>
        <w:tc>
          <w:tcPr>
            <w:tcW w:w="768" w:type="dxa"/>
            <w:tcBorders>
              <w:top w:val="nil"/>
              <w:left w:val="nil"/>
              <w:bottom w:val="single" w:sz="4" w:space="0" w:color="4F81BD"/>
              <w:right w:val="nil"/>
            </w:tcBorders>
            <w:shd w:val="clear" w:color="000000" w:fill="FFFFFF"/>
            <w:noWrap/>
            <w:vAlign w:val="center"/>
            <w:hideMark/>
          </w:tcPr>
          <w:p w14:paraId="5D65B3EA"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2020</w:t>
            </w:r>
          </w:p>
        </w:tc>
        <w:tc>
          <w:tcPr>
            <w:tcW w:w="1161" w:type="dxa"/>
            <w:tcBorders>
              <w:top w:val="nil"/>
              <w:left w:val="nil"/>
              <w:bottom w:val="single" w:sz="4" w:space="0" w:color="4F81BD"/>
              <w:right w:val="nil"/>
            </w:tcBorders>
            <w:shd w:val="clear" w:color="000000" w:fill="FFFFFF"/>
            <w:noWrap/>
            <w:vAlign w:val="center"/>
            <w:hideMark/>
          </w:tcPr>
          <w:p w14:paraId="21B400AF"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292</w:t>
            </w:r>
          </w:p>
        </w:tc>
        <w:tc>
          <w:tcPr>
            <w:tcW w:w="1161" w:type="dxa"/>
            <w:tcBorders>
              <w:top w:val="nil"/>
              <w:left w:val="nil"/>
              <w:bottom w:val="single" w:sz="4" w:space="0" w:color="4F81BD"/>
              <w:right w:val="nil"/>
            </w:tcBorders>
            <w:shd w:val="clear" w:color="000000" w:fill="FFFFFF"/>
            <w:noWrap/>
            <w:vAlign w:val="center"/>
            <w:hideMark/>
          </w:tcPr>
          <w:p w14:paraId="118B09E7"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3.189.992</w:t>
            </w:r>
          </w:p>
        </w:tc>
        <w:tc>
          <w:tcPr>
            <w:tcW w:w="1161" w:type="dxa"/>
            <w:tcBorders>
              <w:top w:val="nil"/>
              <w:left w:val="nil"/>
              <w:bottom w:val="single" w:sz="4" w:space="0" w:color="4F81BD"/>
              <w:right w:val="nil"/>
            </w:tcBorders>
            <w:shd w:val="clear" w:color="000000" w:fill="FFFFFF"/>
            <w:noWrap/>
            <w:vAlign w:val="center"/>
            <w:hideMark/>
          </w:tcPr>
          <w:p w14:paraId="1E078B9B"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5.922</w:t>
            </w:r>
          </w:p>
        </w:tc>
        <w:tc>
          <w:tcPr>
            <w:tcW w:w="1161" w:type="dxa"/>
            <w:tcBorders>
              <w:top w:val="nil"/>
              <w:left w:val="nil"/>
              <w:bottom w:val="single" w:sz="4" w:space="0" w:color="4F81BD"/>
              <w:right w:val="nil"/>
            </w:tcBorders>
            <w:shd w:val="clear" w:color="000000" w:fill="FFFFFF"/>
            <w:noWrap/>
            <w:vAlign w:val="center"/>
            <w:hideMark/>
          </w:tcPr>
          <w:p w14:paraId="228384FD"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441.174.655</w:t>
            </w:r>
          </w:p>
        </w:tc>
        <w:tc>
          <w:tcPr>
            <w:tcW w:w="1161" w:type="dxa"/>
            <w:tcBorders>
              <w:top w:val="nil"/>
              <w:left w:val="nil"/>
              <w:bottom w:val="single" w:sz="4" w:space="0" w:color="4F81BD"/>
              <w:right w:val="nil"/>
            </w:tcBorders>
            <w:shd w:val="clear" w:color="000000" w:fill="FFFFFF"/>
            <w:noWrap/>
            <w:vAlign w:val="center"/>
            <w:hideMark/>
          </w:tcPr>
          <w:p w14:paraId="2A91A2EC"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7,23</w:t>
            </w:r>
          </w:p>
        </w:tc>
      </w:tr>
      <w:tr w:rsidR="00954200" w:rsidRPr="00954200" w14:paraId="11BB8727" w14:textId="77777777" w:rsidTr="00954200">
        <w:trPr>
          <w:trHeight w:val="211"/>
        </w:trPr>
        <w:tc>
          <w:tcPr>
            <w:tcW w:w="2627" w:type="dxa"/>
            <w:vMerge w:val="restart"/>
            <w:tcBorders>
              <w:top w:val="nil"/>
              <w:left w:val="nil"/>
              <w:bottom w:val="single" w:sz="4" w:space="0" w:color="4F81BD"/>
              <w:right w:val="nil"/>
            </w:tcBorders>
            <w:shd w:val="clear" w:color="000000" w:fill="FFFFFF"/>
            <w:vAlign w:val="center"/>
            <w:hideMark/>
          </w:tcPr>
          <w:p w14:paraId="6EAF9504" w14:textId="77777777" w:rsidR="00954200" w:rsidRPr="00954200" w:rsidRDefault="00954200" w:rsidP="00954200">
            <w:pPr>
              <w:spacing w:before="0" w:after="0" w:line="240" w:lineRule="auto"/>
              <w:rPr>
                <w:rFonts w:ascii="Calibri" w:eastAsia="Times New Roman" w:hAnsi="Calibri" w:cs="Calibri"/>
                <w:sz w:val="16"/>
                <w:szCs w:val="16"/>
                <w:lang w:val="en-US"/>
              </w:rPr>
            </w:pPr>
            <w:r w:rsidRPr="00954200">
              <w:rPr>
                <w:rFonts w:ascii="Calibri" w:eastAsia="Times New Roman" w:hAnsi="Calibri" w:cs="Calibri"/>
                <w:sz w:val="16"/>
                <w:szCs w:val="16"/>
                <w:lang w:val="en-US"/>
              </w:rPr>
              <w:t xml:space="preserve">Societăți cu răspundere limitată la care APTL deține </w:t>
            </w:r>
            <w:r w:rsidRPr="00954200">
              <w:rPr>
                <w:rFonts w:ascii="Calibri" w:eastAsia="Times New Roman" w:hAnsi="Calibri" w:cs="Calibri"/>
                <w:b/>
                <w:bCs/>
                <w:sz w:val="16"/>
                <w:szCs w:val="16"/>
                <w:lang w:val="en-US"/>
              </w:rPr>
              <w:t>părți sociale</w:t>
            </w:r>
          </w:p>
        </w:tc>
        <w:tc>
          <w:tcPr>
            <w:tcW w:w="768" w:type="dxa"/>
            <w:tcBorders>
              <w:top w:val="nil"/>
              <w:left w:val="nil"/>
              <w:bottom w:val="nil"/>
              <w:right w:val="nil"/>
            </w:tcBorders>
            <w:shd w:val="clear" w:color="000000" w:fill="FFFFFF"/>
            <w:noWrap/>
            <w:vAlign w:val="center"/>
            <w:hideMark/>
          </w:tcPr>
          <w:p w14:paraId="60F4B9FB"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2018</w:t>
            </w:r>
          </w:p>
        </w:tc>
        <w:tc>
          <w:tcPr>
            <w:tcW w:w="1161" w:type="dxa"/>
            <w:tcBorders>
              <w:top w:val="nil"/>
              <w:left w:val="nil"/>
              <w:bottom w:val="nil"/>
              <w:right w:val="nil"/>
            </w:tcBorders>
            <w:shd w:val="clear" w:color="000000" w:fill="FFFFFF"/>
            <w:noWrap/>
            <w:vAlign w:val="center"/>
            <w:hideMark/>
          </w:tcPr>
          <w:p w14:paraId="278FB205"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879</w:t>
            </w:r>
          </w:p>
        </w:tc>
        <w:tc>
          <w:tcPr>
            <w:tcW w:w="1161" w:type="dxa"/>
            <w:tcBorders>
              <w:top w:val="nil"/>
              <w:left w:val="nil"/>
              <w:bottom w:val="nil"/>
              <w:right w:val="nil"/>
            </w:tcBorders>
            <w:shd w:val="clear" w:color="000000" w:fill="FFFFFF"/>
            <w:noWrap/>
            <w:vAlign w:val="center"/>
            <w:hideMark/>
          </w:tcPr>
          <w:p w14:paraId="4EAD2981"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1.456.829</w:t>
            </w:r>
          </w:p>
        </w:tc>
        <w:tc>
          <w:tcPr>
            <w:tcW w:w="1161" w:type="dxa"/>
            <w:tcBorders>
              <w:top w:val="nil"/>
              <w:left w:val="nil"/>
              <w:bottom w:val="nil"/>
              <w:right w:val="nil"/>
            </w:tcBorders>
            <w:shd w:val="clear" w:color="000000" w:fill="FFFFFF"/>
            <w:noWrap/>
            <w:vAlign w:val="center"/>
            <w:hideMark/>
          </w:tcPr>
          <w:p w14:paraId="641E22D6"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27.996</w:t>
            </w:r>
          </w:p>
        </w:tc>
        <w:tc>
          <w:tcPr>
            <w:tcW w:w="1161" w:type="dxa"/>
            <w:tcBorders>
              <w:top w:val="nil"/>
              <w:left w:val="nil"/>
              <w:bottom w:val="nil"/>
              <w:right w:val="nil"/>
            </w:tcBorders>
            <w:shd w:val="clear" w:color="000000" w:fill="FFFFFF"/>
            <w:noWrap/>
            <w:vAlign w:val="center"/>
            <w:hideMark/>
          </w:tcPr>
          <w:p w14:paraId="732B57F0"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67.629.705</w:t>
            </w:r>
          </w:p>
        </w:tc>
        <w:tc>
          <w:tcPr>
            <w:tcW w:w="1161" w:type="dxa"/>
            <w:tcBorders>
              <w:top w:val="nil"/>
              <w:left w:val="nil"/>
              <w:bottom w:val="nil"/>
              <w:right w:val="nil"/>
            </w:tcBorders>
            <w:shd w:val="clear" w:color="000000" w:fill="FFFFFF"/>
            <w:noWrap/>
            <w:vAlign w:val="center"/>
            <w:hideMark/>
          </w:tcPr>
          <w:p w14:paraId="60D9771D"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21,54</w:t>
            </w:r>
          </w:p>
        </w:tc>
      </w:tr>
      <w:tr w:rsidR="00954200" w:rsidRPr="00954200" w14:paraId="1C6B3820" w14:textId="77777777" w:rsidTr="00954200">
        <w:trPr>
          <w:trHeight w:val="211"/>
        </w:trPr>
        <w:tc>
          <w:tcPr>
            <w:tcW w:w="2627" w:type="dxa"/>
            <w:vMerge/>
            <w:tcBorders>
              <w:top w:val="nil"/>
              <w:left w:val="nil"/>
              <w:bottom w:val="single" w:sz="4" w:space="0" w:color="4F81BD"/>
              <w:right w:val="nil"/>
            </w:tcBorders>
            <w:vAlign w:val="center"/>
            <w:hideMark/>
          </w:tcPr>
          <w:p w14:paraId="623CA10F" w14:textId="77777777" w:rsidR="00954200" w:rsidRPr="00954200" w:rsidRDefault="00954200" w:rsidP="00954200">
            <w:pPr>
              <w:spacing w:before="0" w:after="0" w:line="240" w:lineRule="auto"/>
              <w:rPr>
                <w:rFonts w:ascii="Calibri" w:eastAsia="Times New Roman" w:hAnsi="Calibri" w:cs="Calibri"/>
                <w:sz w:val="16"/>
                <w:szCs w:val="16"/>
                <w:lang w:val="en-US"/>
              </w:rPr>
            </w:pPr>
          </w:p>
        </w:tc>
        <w:tc>
          <w:tcPr>
            <w:tcW w:w="768" w:type="dxa"/>
            <w:tcBorders>
              <w:top w:val="nil"/>
              <w:left w:val="nil"/>
              <w:bottom w:val="nil"/>
              <w:right w:val="nil"/>
            </w:tcBorders>
            <w:shd w:val="clear" w:color="000000" w:fill="FFFFFF"/>
            <w:noWrap/>
            <w:vAlign w:val="center"/>
            <w:hideMark/>
          </w:tcPr>
          <w:p w14:paraId="4AFB97A3"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2019</w:t>
            </w:r>
          </w:p>
        </w:tc>
        <w:tc>
          <w:tcPr>
            <w:tcW w:w="1161" w:type="dxa"/>
            <w:tcBorders>
              <w:top w:val="nil"/>
              <w:left w:val="nil"/>
              <w:bottom w:val="nil"/>
              <w:right w:val="nil"/>
            </w:tcBorders>
            <w:shd w:val="clear" w:color="000000" w:fill="FFFFFF"/>
            <w:noWrap/>
            <w:vAlign w:val="center"/>
            <w:hideMark/>
          </w:tcPr>
          <w:p w14:paraId="30F5243A"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856</w:t>
            </w:r>
          </w:p>
        </w:tc>
        <w:tc>
          <w:tcPr>
            <w:tcW w:w="1161" w:type="dxa"/>
            <w:tcBorders>
              <w:top w:val="nil"/>
              <w:left w:val="nil"/>
              <w:bottom w:val="nil"/>
              <w:right w:val="nil"/>
            </w:tcBorders>
            <w:shd w:val="clear" w:color="000000" w:fill="FFFFFF"/>
            <w:noWrap/>
            <w:vAlign w:val="center"/>
            <w:hideMark/>
          </w:tcPr>
          <w:p w14:paraId="477BA102"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1.736.801</w:t>
            </w:r>
          </w:p>
        </w:tc>
        <w:tc>
          <w:tcPr>
            <w:tcW w:w="1161" w:type="dxa"/>
            <w:tcBorders>
              <w:top w:val="nil"/>
              <w:left w:val="nil"/>
              <w:bottom w:val="nil"/>
              <w:right w:val="nil"/>
            </w:tcBorders>
            <w:shd w:val="clear" w:color="000000" w:fill="FFFFFF"/>
            <w:noWrap/>
            <w:vAlign w:val="center"/>
            <w:hideMark/>
          </w:tcPr>
          <w:p w14:paraId="6CDC9EB1"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27.773</w:t>
            </w:r>
          </w:p>
        </w:tc>
        <w:tc>
          <w:tcPr>
            <w:tcW w:w="1161" w:type="dxa"/>
            <w:tcBorders>
              <w:top w:val="nil"/>
              <w:left w:val="nil"/>
              <w:bottom w:val="nil"/>
              <w:right w:val="nil"/>
            </w:tcBorders>
            <w:shd w:val="clear" w:color="000000" w:fill="FFFFFF"/>
            <w:noWrap/>
            <w:vAlign w:val="center"/>
            <w:hideMark/>
          </w:tcPr>
          <w:p w14:paraId="66C0EBC0"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50.959.399</w:t>
            </w:r>
          </w:p>
        </w:tc>
        <w:tc>
          <w:tcPr>
            <w:tcW w:w="1161" w:type="dxa"/>
            <w:tcBorders>
              <w:top w:val="nil"/>
              <w:left w:val="nil"/>
              <w:bottom w:val="nil"/>
              <w:right w:val="nil"/>
            </w:tcBorders>
            <w:shd w:val="clear" w:color="000000" w:fill="FFFFFF"/>
            <w:noWrap/>
            <w:vAlign w:val="center"/>
            <w:hideMark/>
          </w:tcPr>
          <w:p w14:paraId="122123E8"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34,08</w:t>
            </w:r>
          </w:p>
        </w:tc>
      </w:tr>
      <w:tr w:rsidR="00954200" w:rsidRPr="00954200" w14:paraId="61B51129" w14:textId="77777777" w:rsidTr="00954200">
        <w:trPr>
          <w:trHeight w:val="211"/>
        </w:trPr>
        <w:tc>
          <w:tcPr>
            <w:tcW w:w="2627" w:type="dxa"/>
            <w:vMerge/>
            <w:tcBorders>
              <w:top w:val="nil"/>
              <w:left w:val="nil"/>
              <w:bottom w:val="single" w:sz="4" w:space="0" w:color="4F81BD"/>
              <w:right w:val="nil"/>
            </w:tcBorders>
            <w:vAlign w:val="center"/>
            <w:hideMark/>
          </w:tcPr>
          <w:p w14:paraId="5854E9FB" w14:textId="77777777" w:rsidR="00954200" w:rsidRPr="00954200" w:rsidRDefault="00954200" w:rsidP="00954200">
            <w:pPr>
              <w:spacing w:before="0" w:after="0" w:line="240" w:lineRule="auto"/>
              <w:rPr>
                <w:rFonts w:ascii="Calibri" w:eastAsia="Times New Roman" w:hAnsi="Calibri" w:cs="Calibri"/>
                <w:sz w:val="16"/>
                <w:szCs w:val="16"/>
                <w:lang w:val="en-US"/>
              </w:rPr>
            </w:pPr>
          </w:p>
        </w:tc>
        <w:tc>
          <w:tcPr>
            <w:tcW w:w="768" w:type="dxa"/>
            <w:tcBorders>
              <w:top w:val="nil"/>
              <w:left w:val="nil"/>
              <w:bottom w:val="single" w:sz="4" w:space="0" w:color="4F81BD"/>
              <w:right w:val="nil"/>
            </w:tcBorders>
            <w:shd w:val="clear" w:color="000000" w:fill="FFFFFF"/>
            <w:noWrap/>
            <w:vAlign w:val="center"/>
            <w:hideMark/>
          </w:tcPr>
          <w:p w14:paraId="4CA13187"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2020</w:t>
            </w:r>
          </w:p>
        </w:tc>
        <w:tc>
          <w:tcPr>
            <w:tcW w:w="1161" w:type="dxa"/>
            <w:tcBorders>
              <w:top w:val="nil"/>
              <w:left w:val="nil"/>
              <w:bottom w:val="single" w:sz="4" w:space="0" w:color="4F81BD"/>
              <w:right w:val="nil"/>
            </w:tcBorders>
            <w:shd w:val="clear" w:color="000000" w:fill="FFFFFF"/>
            <w:noWrap/>
            <w:vAlign w:val="center"/>
            <w:hideMark/>
          </w:tcPr>
          <w:p w14:paraId="5EF5DEBC"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862</w:t>
            </w:r>
          </w:p>
        </w:tc>
        <w:tc>
          <w:tcPr>
            <w:tcW w:w="1161" w:type="dxa"/>
            <w:tcBorders>
              <w:top w:val="nil"/>
              <w:left w:val="nil"/>
              <w:bottom w:val="single" w:sz="4" w:space="0" w:color="4F81BD"/>
              <w:right w:val="nil"/>
            </w:tcBorders>
            <w:shd w:val="clear" w:color="000000" w:fill="FFFFFF"/>
            <w:noWrap/>
            <w:vAlign w:val="center"/>
            <w:hideMark/>
          </w:tcPr>
          <w:p w14:paraId="196EB235"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1.905.972</w:t>
            </w:r>
          </w:p>
        </w:tc>
        <w:tc>
          <w:tcPr>
            <w:tcW w:w="1161" w:type="dxa"/>
            <w:tcBorders>
              <w:top w:val="nil"/>
              <w:left w:val="nil"/>
              <w:bottom w:val="single" w:sz="4" w:space="0" w:color="4F81BD"/>
              <w:right w:val="nil"/>
            </w:tcBorders>
            <w:shd w:val="clear" w:color="000000" w:fill="FFFFFF"/>
            <w:noWrap/>
            <w:vAlign w:val="center"/>
            <w:hideMark/>
          </w:tcPr>
          <w:p w14:paraId="46B761E9"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76</w:t>
            </w:r>
          </w:p>
        </w:tc>
        <w:tc>
          <w:tcPr>
            <w:tcW w:w="1161" w:type="dxa"/>
            <w:tcBorders>
              <w:top w:val="nil"/>
              <w:left w:val="nil"/>
              <w:bottom w:val="single" w:sz="4" w:space="0" w:color="4F81BD"/>
              <w:right w:val="nil"/>
            </w:tcBorders>
            <w:shd w:val="clear" w:color="000000" w:fill="FFFFFF"/>
            <w:noWrap/>
            <w:vAlign w:val="center"/>
            <w:hideMark/>
          </w:tcPr>
          <w:p w14:paraId="04340C81"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48.337.251</w:t>
            </w:r>
          </w:p>
        </w:tc>
        <w:tc>
          <w:tcPr>
            <w:tcW w:w="1161" w:type="dxa"/>
            <w:tcBorders>
              <w:top w:val="nil"/>
              <w:left w:val="nil"/>
              <w:bottom w:val="single" w:sz="4" w:space="0" w:color="4F81BD"/>
              <w:right w:val="nil"/>
            </w:tcBorders>
            <w:shd w:val="clear" w:color="000000" w:fill="FFFFFF"/>
            <w:noWrap/>
            <w:vAlign w:val="center"/>
            <w:hideMark/>
          </w:tcPr>
          <w:p w14:paraId="5BD050B5"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39,43</w:t>
            </w:r>
          </w:p>
        </w:tc>
      </w:tr>
      <w:tr w:rsidR="00954200" w:rsidRPr="00954200" w14:paraId="0C493C6B" w14:textId="77777777" w:rsidTr="00954200">
        <w:trPr>
          <w:trHeight w:val="211"/>
        </w:trPr>
        <w:tc>
          <w:tcPr>
            <w:tcW w:w="2627" w:type="dxa"/>
            <w:vMerge w:val="restart"/>
            <w:tcBorders>
              <w:top w:val="nil"/>
              <w:left w:val="nil"/>
              <w:bottom w:val="single" w:sz="4" w:space="0" w:color="4F81BD"/>
              <w:right w:val="nil"/>
            </w:tcBorders>
            <w:shd w:val="clear" w:color="000000" w:fill="FFFFFF"/>
            <w:noWrap/>
            <w:vAlign w:val="center"/>
            <w:hideMark/>
          </w:tcPr>
          <w:p w14:paraId="7A6030D3" w14:textId="77777777" w:rsidR="00954200" w:rsidRPr="00954200" w:rsidRDefault="00954200" w:rsidP="00954200">
            <w:pPr>
              <w:spacing w:before="0" w:after="0" w:line="240" w:lineRule="auto"/>
              <w:rPr>
                <w:rFonts w:ascii="Calibri" w:eastAsia="Times New Roman" w:hAnsi="Calibri" w:cs="Calibri"/>
                <w:sz w:val="16"/>
                <w:szCs w:val="16"/>
                <w:lang w:val="en-US"/>
              </w:rPr>
            </w:pPr>
            <w:r w:rsidRPr="00954200">
              <w:rPr>
                <w:rFonts w:ascii="Calibri" w:eastAsia="Times New Roman" w:hAnsi="Calibri" w:cs="Calibri"/>
                <w:sz w:val="16"/>
                <w:szCs w:val="16"/>
                <w:lang w:val="en-US"/>
              </w:rPr>
              <w:t xml:space="preserve">Regii autonome la care APTL deține </w:t>
            </w:r>
            <w:r w:rsidRPr="00954200">
              <w:rPr>
                <w:rFonts w:ascii="Calibri" w:eastAsia="Times New Roman" w:hAnsi="Calibri" w:cs="Calibri"/>
                <w:b/>
                <w:bCs/>
                <w:sz w:val="16"/>
                <w:szCs w:val="16"/>
                <w:lang w:val="en-US"/>
              </w:rPr>
              <w:t>patrimoniu</w:t>
            </w:r>
          </w:p>
        </w:tc>
        <w:tc>
          <w:tcPr>
            <w:tcW w:w="768" w:type="dxa"/>
            <w:tcBorders>
              <w:top w:val="nil"/>
              <w:left w:val="nil"/>
              <w:bottom w:val="nil"/>
              <w:right w:val="nil"/>
            </w:tcBorders>
            <w:shd w:val="clear" w:color="000000" w:fill="FFFFFF"/>
            <w:noWrap/>
            <w:vAlign w:val="center"/>
            <w:hideMark/>
          </w:tcPr>
          <w:p w14:paraId="573E142C"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2018</w:t>
            </w:r>
          </w:p>
        </w:tc>
        <w:tc>
          <w:tcPr>
            <w:tcW w:w="1161" w:type="dxa"/>
            <w:tcBorders>
              <w:top w:val="nil"/>
              <w:left w:val="nil"/>
              <w:bottom w:val="nil"/>
              <w:right w:val="nil"/>
            </w:tcBorders>
            <w:shd w:val="clear" w:color="000000" w:fill="FFFFFF"/>
            <w:noWrap/>
            <w:vAlign w:val="center"/>
            <w:hideMark/>
          </w:tcPr>
          <w:p w14:paraId="0398D034"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92</w:t>
            </w:r>
          </w:p>
        </w:tc>
        <w:tc>
          <w:tcPr>
            <w:tcW w:w="1161" w:type="dxa"/>
            <w:tcBorders>
              <w:top w:val="nil"/>
              <w:left w:val="nil"/>
              <w:bottom w:val="nil"/>
              <w:right w:val="nil"/>
            </w:tcBorders>
            <w:shd w:val="clear" w:color="000000" w:fill="FFFFFF"/>
            <w:noWrap/>
            <w:vAlign w:val="center"/>
            <w:hideMark/>
          </w:tcPr>
          <w:p w14:paraId="187803CE"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304.051</w:t>
            </w:r>
          </w:p>
        </w:tc>
        <w:tc>
          <w:tcPr>
            <w:tcW w:w="1161" w:type="dxa"/>
            <w:tcBorders>
              <w:top w:val="nil"/>
              <w:left w:val="nil"/>
              <w:bottom w:val="nil"/>
              <w:right w:val="nil"/>
            </w:tcBorders>
            <w:shd w:val="clear" w:color="000000" w:fill="FFFFFF"/>
            <w:noWrap/>
            <w:vAlign w:val="center"/>
            <w:hideMark/>
          </w:tcPr>
          <w:p w14:paraId="4F36B00E"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N/A</w:t>
            </w:r>
          </w:p>
        </w:tc>
        <w:tc>
          <w:tcPr>
            <w:tcW w:w="1161" w:type="dxa"/>
            <w:tcBorders>
              <w:top w:val="nil"/>
              <w:left w:val="nil"/>
              <w:bottom w:val="nil"/>
              <w:right w:val="nil"/>
            </w:tcBorders>
            <w:shd w:val="clear" w:color="000000" w:fill="FFFFFF"/>
            <w:noWrap/>
            <w:vAlign w:val="center"/>
            <w:hideMark/>
          </w:tcPr>
          <w:p w14:paraId="000CE819"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N/A</w:t>
            </w:r>
          </w:p>
        </w:tc>
        <w:tc>
          <w:tcPr>
            <w:tcW w:w="1161" w:type="dxa"/>
            <w:tcBorders>
              <w:top w:val="nil"/>
              <w:left w:val="nil"/>
              <w:bottom w:val="nil"/>
              <w:right w:val="nil"/>
            </w:tcBorders>
            <w:shd w:val="clear" w:color="000000" w:fill="FFFFFF"/>
            <w:noWrap/>
            <w:vAlign w:val="center"/>
            <w:hideMark/>
          </w:tcPr>
          <w:p w14:paraId="0A30C6DA"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N/A</w:t>
            </w:r>
          </w:p>
        </w:tc>
      </w:tr>
      <w:tr w:rsidR="00954200" w:rsidRPr="00954200" w14:paraId="647E22CA" w14:textId="77777777" w:rsidTr="00954200">
        <w:trPr>
          <w:trHeight w:val="211"/>
        </w:trPr>
        <w:tc>
          <w:tcPr>
            <w:tcW w:w="2627" w:type="dxa"/>
            <w:vMerge/>
            <w:tcBorders>
              <w:top w:val="nil"/>
              <w:left w:val="nil"/>
              <w:bottom w:val="single" w:sz="4" w:space="0" w:color="4F81BD"/>
              <w:right w:val="nil"/>
            </w:tcBorders>
            <w:vAlign w:val="center"/>
            <w:hideMark/>
          </w:tcPr>
          <w:p w14:paraId="709F7DDF" w14:textId="77777777" w:rsidR="00954200" w:rsidRPr="00954200" w:rsidRDefault="00954200" w:rsidP="00954200">
            <w:pPr>
              <w:spacing w:before="0" w:after="0" w:line="240" w:lineRule="auto"/>
              <w:rPr>
                <w:rFonts w:ascii="Calibri" w:eastAsia="Times New Roman" w:hAnsi="Calibri" w:cs="Calibri"/>
                <w:sz w:val="16"/>
                <w:szCs w:val="16"/>
                <w:lang w:val="en-US"/>
              </w:rPr>
            </w:pPr>
          </w:p>
        </w:tc>
        <w:tc>
          <w:tcPr>
            <w:tcW w:w="768" w:type="dxa"/>
            <w:tcBorders>
              <w:top w:val="nil"/>
              <w:left w:val="nil"/>
              <w:bottom w:val="nil"/>
              <w:right w:val="nil"/>
            </w:tcBorders>
            <w:shd w:val="clear" w:color="000000" w:fill="FFFFFF"/>
            <w:noWrap/>
            <w:vAlign w:val="center"/>
            <w:hideMark/>
          </w:tcPr>
          <w:p w14:paraId="31ACDA14"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2019</w:t>
            </w:r>
          </w:p>
        </w:tc>
        <w:tc>
          <w:tcPr>
            <w:tcW w:w="1161" w:type="dxa"/>
            <w:tcBorders>
              <w:top w:val="nil"/>
              <w:left w:val="nil"/>
              <w:bottom w:val="nil"/>
              <w:right w:val="nil"/>
            </w:tcBorders>
            <w:shd w:val="clear" w:color="000000" w:fill="FFFFFF"/>
            <w:noWrap/>
            <w:vAlign w:val="center"/>
            <w:hideMark/>
          </w:tcPr>
          <w:p w14:paraId="4F3701AA"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87</w:t>
            </w:r>
          </w:p>
        </w:tc>
        <w:tc>
          <w:tcPr>
            <w:tcW w:w="1161" w:type="dxa"/>
            <w:tcBorders>
              <w:top w:val="nil"/>
              <w:left w:val="nil"/>
              <w:bottom w:val="nil"/>
              <w:right w:val="nil"/>
            </w:tcBorders>
            <w:shd w:val="clear" w:color="000000" w:fill="FFFFFF"/>
            <w:noWrap/>
            <w:vAlign w:val="center"/>
            <w:hideMark/>
          </w:tcPr>
          <w:p w14:paraId="0C47ACC7"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190.490</w:t>
            </w:r>
          </w:p>
        </w:tc>
        <w:tc>
          <w:tcPr>
            <w:tcW w:w="1161" w:type="dxa"/>
            <w:tcBorders>
              <w:top w:val="nil"/>
              <w:left w:val="nil"/>
              <w:bottom w:val="nil"/>
              <w:right w:val="nil"/>
            </w:tcBorders>
            <w:shd w:val="clear" w:color="000000" w:fill="FFFFFF"/>
            <w:noWrap/>
            <w:vAlign w:val="center"/>
            <w:hideMark/>
          </w:tcPr>
          <w:p w14:paraId="34BC15DA"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N/A</w:t>
            </w:r>
          </w:p>
        </w:tc>
        <w:tc>
          <w:tcPr>
            <w:tcW w:w="1161" w:type="dxa"/>
            <w:tcBorders>
              <w:top w:val="nil"/>
              <w:left w:val="nil"/>
              <w:bottom w:val="nil"/>
              <w:right w:val="nil"/>
            </w:tcBorders>
            <w:shd w:val="clear" w:color="000000" w:fill="FFFFFF"/>
            <w:noWrap/>
            <w:vAlign w:val="center"/>
            <w:hideMark/>
          </w:tcPr>
          <w:p w14:paraId="2E9F1195"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N/A</w:t>
            </w:r>
          </w:p>
        </w:tc>
        <w:tc>
          <w:tcPr>
            <w:tcW w:w="1161" w:type="dxa"/>
            <w:tcBorders>
              <w:top w:val="nil"/>
              <w:left w:val="nil"/>
              <w:bottom w:val="nil"/>
              <w:right w:val="nil"/>
            </w:tcBorders>
            <w:shd w:val="clear" w:color="000000" w:fill="FFFFFF"/>
            <w:noWrap/>
            <w:vAlign w:val="center"/>
            <w:hideMark/>
          </w:tcPr>
          <w:p w14:paraId="27723C40" w14:textId="77777777" w:rsidR="00954200" w:rsidRPr="00954200" w:rsidRDefault="00954200" w:rsidP="00954200">
            <w:pPr>
              <w:spacing w:before="0" w:after="0" w:line="240" w:lineRule="auto"/>
              <w:jc w:val="right"/>
              <w:rPr>
                <w:rFonts w:ascii="Calibri" w:eastAsia="Times New Roman" w:hAnsi="Calibri" w:cs="Calibri"/>
                <w:sz w:val="16"/>
                <w:szCs w:val="16"/>
                <w:lang w:val="en-US"/>
              </w:rPr>
            </w:pPr>
            <w:r w:rsidRPr="00954200">
              <w:rPr>
                <w:rFonts w:ascii="Calibri" w:eastAsia="Times New Roman" w:hAnsi="Calibri" w:cs="Calibri"/>
                <w:sz w:val="16"/>
                <w:szCs w:val="16"/>
                <w:lang w:val="en-US"/>
              </w:rPr>
              <w:t>N/A</w:t>
            </w:r>
          </w:p>
        </w:tc>
      </w:tr>
      <w:tr w:rsidR="00954200" w:rsidRPr="00954200" w14:paraId="439A84DA" w14:textId="77777777" w:rsidTr="00954200">
        <w:trPr>
          <w:trHeight w:val="211"/>
        </w:trPr>
        <w:tc>
          <w:tcPr>
            <w:tcW w:w="2627" w:type="dxa"/>
            <w:vMerge/>
            <w:tcBorders>
              <w:top w:val="nil"/>
              <w:left w:val="nil"/>
              <w:bottom w:val="single" w:sz="4" w:space="0" w:color="4F81BD"/>
              <w:right w:val="nil"/>
            </w:tcBorders>
            <w:vAlign w:val="center"/>
            <w:hideMark/>
          </w:tcPr>
          <w:p w14:paraId="56097A6B" w14:textId="77777777" w:rsidR="00954200" w:rsidRPr="00954200" w:rsidRDefault="00954200" w:rsidP="00954200">
            <w:pPr>
              <w:spacing w:before="0" w:after="0" w:line="240" w:lineRule="auto"/>
              <w:rPr>
                <w:rFonts w:ascii="Calibri" w:eastAsia="Times New Roman" w:hAnsi="Calibri" w:cs="Calibri"/>
                <w:sz w:val="16"/>
                <w:szCs w:val="16"/>
                <w:lang w:val="en-US"/>
              </w:rPr>
            </w:pPr>
          </w:p>
        </w:tc>
        <w:tc>
          <w:tcPr>
            <w:tcW w:w="768" w:type="dxa"/>
            <w:tcBorders>
              <w:top w:val="nil"/>
              <w:left w:val="nil"/>
              <w:bottom w:val="single" w:sz="4" w:space="0" w:color="4F81BD"/>
              <w:right w:val="nil"/>
            </w:tcBorders>
            <w:shd w:val="clear" w:color="000000" w:fill="FFFFFF"/>
            <w:noWrap/>
            <w:vAlign w:val="center"/>
            <w:hideMark/>
          </w:tcPr>
          <w:p w14:paraId="44AA4F4F"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2020</w:t>
            </w:r>
          </w:p>
        </w:tc>
        <w:tc>
          <w:tcPr>
            <w:tcW w:w="1161" w:type="dxa"/>
            <w:tcBorders>
              <w:top w:val="nil"/>
              <w:left w:val="nil"/>
              <w:bottom w:val="single" w:sz="4" w:space="0" w:color="4F81BD"/>
              <w:right w:val="nil"/>
            </w:tcBorders>
            <w:shd w:val="clear" w:color="000000" w:fill="FFFFFF"/>
            <w:noWrap/>
            <w:vAlign w:val="center"/>
            <w:hideMark/>
          </w:tcPr>
          <w:p w14:paraId="54B16DE1"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84</w:t>
            </w:r>
          </w:p>
        </w:tc>
        <w:tc>
          <w:tcPr>
            <w:tcW w:w="1161" w:type="dxa"/>
            <w:tcBorders>
              <w:top w:val="nil"/>
              <w:left w:val="nil"/>
              <w:bottom w:val="single" w:sz="4" w:space="0" w:color="4F81BD"/>
              <w:right w:val="nil"/>
            </w:tcBorders>
            <w:shd w:val="clear" w:color="000000" w:fill="FFFFFF"/>
            <w:noWrap/>
            <w:vAlign w:val="center"/>
            <w:hideMark/>
          </w:tcPr>
          <w:p w14:paraId="35D124F5"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167.531</w:t>
            </w:r>
          </w:p>
        </w:tc>
        <w:tc>
          <w:tcPr>
            <w:tcW w:w="1161" w:type="dxa"/>
            <w:tcBorders>
              <w:top w:val="nil"/>
              <w:left w:val="nil"/>
              <w:bottom w:val="single" w:sz="4" w:space="0" w:color="4F81BD"/>
              <w:right w:val="nil"/>
            </w:tcBorders>
            <w:shd w:val="clear" w:color="000000" w:fill="FFFFFF"/>
            <w:noWrap/>
            <w:vAlign w:val="center"/>
            <w:hideMark/>
          </w:tcPr>
          <w:p w14:paraId="3383AB23"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N/A</w:t>
            </w:r>
          </w:p>
        </w:tc>
        <w:tc>
          <w:tcPr>
            <w:tcW w:w="1161" w:type="dxa"/>
            <w:tcBorders>
              <w:top w:val="nil"/>
              <w:left w:val="nil"/>
              <w:bottom w:val="single" w:sz="4" w:space="0" w:color="4F81BD"/>
              <w:right w:val="nil"/>
            </w:tcBorders>
            <w:shd w:val="clear" w:color="000000" w:fill="FFFFFF"/>
            <w:noWrap/>
            <w:vAlign w:val="center"/>
            <w:hideMark/>
          </w:tcPr>
          <w:p w14:paraId="5D493947"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N/A</w:t>
            </w:r>
          </w:p>
        </w:tc>
        <w:tc>
          <w:tcPr>
            <w:tcW w:w="1161" w:type="dxa"/>
            <w:tcBorders>
              <w:top w:val="nil"/>
              <w:left w:val="nil"/>
              <w:bottom w:val="single" w:sz="4" w:space="0" w:color="4F81BD"/>
              <w:right w:val="nil"/>
            </w:tcBorders>
            <w:shd w:val="clear" w:color="000000" w:fill="FFFFFF"/>
            <w:noWrap/>
            <w:vAlign w:val="center"/>
            <w:hideMark/>
          </w:tcPr>
          <w:p w14:paraId="5D273148" w14:textId="77777777" w:rsidR="00954200" w:rsidRPr="00095067" w:rsidRDefault="00954200" w:rsidP="00954200">
            <w:pPr>
              <w:spacing w:before="0" w:after="0" w:line="240" w:lineRule="auto"/>
              <w:jc w:val="right"/>
              <w:rPr>
                <w:rFonts w:ascii="Calibri" w:eastAsia="Times New Roman" w:hAnsi="Calibri" w:cs="Calibri"/>
                <w:b/>
                <w:sz w:val="16"/>
                <w:szCs w:val="16"/>
                <w:lang w:val="en-US"/>
              </w:rPr>
            </w:pPr>
            <w:r w:rsidRPr="00095067">
              <w:rPr>
                <w:rFonts w:ascii="Calibri" w:eastAsia="Times New Roman" w:hAnsi="Calibri" w:cs="Calibri"/>
                <w:b/>
                <w:sz w:val="16"/>
                <w:szCs w:val="16"/>
                <w:lang w:val="en-US"/>
              </w:rPr>
              <w:t>N/A</w:t>
            </w:r>
          </w:p>
        </w:tc>
      </w:tr>
      <w:tr w:rsidR="00954200" w:rsidRPr="00954200" w14:paraId="2353DD39" w14:textId="77777777" w:rsidTr="00954200">
        <w:trPr>
          <w:trHeight w:val="211"/>
        </w:trPr>
        <w:tc>
          <w:tcPr>
            <w:tcW w:w="2627" w:type="dxa"/>
            <w:vMerge w:val="restart"/>
            <w:tcBorders>
              <w:top w:val="nil"/>
              <w:left w:val="nil"/>
              <w:bottom w:val="single" w:sz="4" w:space="0" w:color="4F81BD"/>
              <w:right w:val="nil"/>
            </w:tcBorders>
            <w:shd w:val="clear" w:color="000000" w:fill="FFFFFF"/>
            <w:noWrap/>
            <w:vAlign w:val="center"/>
            <w:hideMark/>
          </w:tcPr>
          <w:p w14:paraId="19E7760A" w14:textId="77777777" w:rsidR="00954200" w:rsidRPr="00954200" w:rsidRDefault="00954200" w:rsidP="00954200">
            <w:pPr>
              <w:spacing w:before="0" w:after="0" w:line="240" w:lineRule="auto"/>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TOTAL GENERAL PE ANI</w:t>
            </w:r>
          </w:p>
        </w:tc>
        <w:tc>
          <w:tcPr>
            <w:tcW w:w="768" w:type="dxa"/>
            <w:tcBorders>
              <w:top w:val="nil"/>
              <w:left w:val="nil"/>
              <w:bottom w:val="nil"/>
              <w:right w:val="nil"/>
            </w:tcBorders>
            <w:shd w:val="clear" w:color="000000" w:fill="FFFFFF"/>
            <w:noWrap/>
            <w:vAlign w:val="center"/>
            <w:hideMark/>
          </w:tcPr>
          <w:p w14:paraId="5FA8251D"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2018</w:t>
            </w:r>
          </w:p>
        </w:tc>
        <w:tc>
          <w:tcPr>
            <w:tcW w:w="1161" w:type="dxa"/>
            <w:tcBorders>
              <w:top w:val="nil"/>
              <w:left w:val="nil"/>
              <w:bottom w:val="nil"/>
              <w:right w:val="nil"/>
            </w:tcBorders>
            <w:shd w:val="clear" w:color="000000" w:fill="FFFFFF"/>
            <w:noWrap/>
            <w:vAlign w:val="center"/>
            <w:hideMark/>
          </w:tcPr>
          <w:p w14:paraId="50A4AE50"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1.250</w:t>
            </w:r>
          </w:p>
        </w:tc>
        <w:tc>
          <w:tcPr>
            <w:tcW w:w="1161" w:type="dxa"/>
            <w:tcBorders>
              <w:top w:val="nil"/>
              <w:left w:val="nil"/>
              <w:bottom w:val="nil"/>
              <w:right w:val="nil"/>
            </w:tcBorders>
            <w:shd w:val="clear" w:color="000000" w:fill="FFFFFF"/>
            <w:noWrap/>
            <w:vAlign w:val="center"/>
            <w:hideMark/>
          </w:tcPr>
          <w:p w14:paraId="58C018AA"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4.562.131</w:t>
            </w:r>
          </w:p>
        </w:tc>
        <w:tc>
          <w:tcPr>
            <w:tcW w:w="1161" w:type="dxa"/>
            <w:tcBorders>
              <w:top w:val="nil"/>
              <w:left w:val="nil"/>
              <w:bottom w:val="nil"/>
              <w:right w:val="nil"/>
            </w:tcBorders>
            <w:shd w:val="clear" w:color="000000" w:fill="FFFFFF"/>
            <w:noWrap/>
            <w:vAlign w:val="center"/>
            <w:hideMark/>
          </w:tcPr>
          <w:p w14:paraId="5C7F1749"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138.279</w:t>
            </w:r>
          </w:p>
        </w:tc>
        <w:tc>
          <w:tcPr>
            <w:tcW w:w="1161" w:type="dxa"/>
            <w:tcBorders>
              <w:top w:val="nil"/>
              <w:left w:val="nil"/>
              <w:bottom w:val="nil"/>
              <w:right w:val="nil"/>
            </w:tcBorders>
            <w:shd w:val="clear" w:color="000000" w:fill="FFFFFF"/>
            <w:noWrap/>
            <w:vAlign w:val="center"/>
            <w:hideMark/>
          </w:tcPr>
          <w:p w14:paraId="12AD2A15"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468.852.229</w:t>
            </w:r>
          </w:p>
        </w:tc>
        <w:tc>
          <w:tcPr>
            <w:tcW w:w="1161" w:type="dxa"/>
            <w:tcBorders>
              <w:top w:val="nil"/>
              <w:left w:val="nil"/>
              <w:bottom w:val="nil"/>
              <w:right w:val="nil"/>
            </w:tcBorders>
            <w:shd w:val="clear" w:color="000000" w:fill="FFFFFF"/>
            <w:noWrap/>
            <w:vAlign w:val="center"/>
            <w:hideMark/>
          </w:tcPr>
          <w:p w14:paraId="183423F3"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9,08</w:t>
            </w:r>
          </w:p>
        </w:tc>
      </w:tr>
      <w:tr w:rsidR="00954200" w:rsidRPr="00954200" w14:paraId="7860D8F4" w14:textId="77777777" w:rsidTr="00954200">
        <w:trPr>
          <w:trHeight w:val="211"/>
        </w:trPr>
        <w:tc>
          <w:tcPr>
            <w:tcW w:w="2627" w:type="dxa"/>
            <w:vMerge/>
            <w:tcBorders>
              <w:top w:val="nil"/>
              <w:left w:val="nil"/>
              <w:bottom w:val="single" w:sz="4" w:space="0" w:color="4F81BD"/>
              <w:right w:val="nil"/>
            </w:tcBorders>
            <w:vAlign w:val="center"/>
            <w:hideMark/>
          </w:tcPr>
          <w:p w14:paraId="635A932B" w14:textId="77777777" w:rsidR="00954200" w:rsidRPr="00954200" w:rsidRDefault="00954200" w:rsidP="00954200">
            <w:pPr>
              <w:spacing w:before="0" w:after="0" w:line="240" w:lineRule="auto"/>
              <w:rPr>
                <w:rFonts w:ascii="Calibri" w:eastAsia="Times New Roman" w:hAnsi="Calibri" w:cs="Calibri"/>
                <w:b/>
                <w:bCs/>
                <w:sz w:val="16"/>
                <w:szCs w:val="16"/>
                <w:lang w:val="en-US"/>
              </w:rPr>
            </w:pPr>
          </w:p>
        </w:tc>
        <w:tc>
          <w:tcPr>
            <w:tcW w:w="768" w:type="dxa"/>
            <w:tcBorders>
              <w:top w:val="nil"/>
              <w:left w:val="nil"/>
              <w:bottom w:val="nil"/>
              <w:right w:val="nil"/>
            </w:tcBorders>
            <w:shd w:val="clear" w:color="000000" w:fill="FFFFFF"/>
            <w:noWrap/>
            <w:vAlign w:val="center"/>
            <w:hideMark/>
          </w:tcPr>
          <w:p w14:paraId="24CCD30E"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2019</w:t>
            </w:r>
          </w:p>
        </w:tc>
        <w:tc>
          <w:tcPr>
            <w:tcW w:w="1161" w:type="dxa"/>
            <w:tcBorders>
              <w:top w:val="nil"/>
              <w:left w:val="nil"/>
              <w:bottom w:val="nil"/>
              <w:right w:val="nil"/>
            </w:tcBorders>
            <w:shd w:val="clear" w:color="000000" w:fill="FFFFFF"/>
            <w:noWrap/>
            <w:vAlign w:val="center"/>
            <w:hideMark/>
          </w:tcPr>
          <w:p w14:paraId="60C99248"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1.237</w:t>
            </w:r>
          </w:p>
        </w:tc>
        <w:tc>
          <w:tcPr>
            <w:tcW w:w="1161" w:type="dxa"/>
            <w:tcBorders>
              <w:top w:val="nil"/>
              <w:left w:val="nil"/>
              <w:bottom w:val="nil"/>
              <w:right w:val="nil"/>
            </w:tcBorders>
            <w:shd w:val="clear" w:color="000000" w:fill="FFFFFF"/>
            <w:noWrap/>
            <w:vAlign w:val="center"/>
            <w:hideMark/>
          </w:tcPr>
          <w:p w14:paraId="2FFDB7F6"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5.355.762</w:t>
            </w:r>
          </w:p>
        </w:tc>
        <w:tc>
          <w:tcPr>
            <w:tcW w:w="1161" w:type="dxa"/>
            <w:tcBorders>
              <w:top w:val="nil"/>
              <w:left w:val="nil"/>
              <w:bottom w:val="nil"/>
              <w:right w:val="nil"/>
            </w:tcBorders>
            <w:shd w:val="clear" w:color="000000" w:fill="FFFFFF"/>
            <w:noWrap/>
            <w:vAlign w:val="center"/>
            <w:hideMark/>
          </w:tcPr>
          <w:p w14:paraId="3387301C"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32.664</w:t>
            </w:r>
          </w:p>
        </w:tc>
        <w:tc>
          <w:tcPr>
            <w:tcW w:w="1161" w:type="dxa"/>
            <w:tcBorders>
              <w:top w:val="nil"/>
              <w:left w:val="nil"/>
              <w:bottom w:val="nil"/>
              <w:right w:val="nil"/>
            </w:tcBorders>
            <w:shd w:val="clear" w:color="000000" w:fill="FFFFFF"/>
            <w:noWrap/>
            <w:vAlign w:val="center"/>
            <w:hideMark/>
          </w:tcPr>
          <w:p w14:paraId="644D708C"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504.984.230</w:t>
            </w:r>
          </w:p>
        </w:tc>
        <w:tc>
          <w:tcPr>
            <w:tcW w:w="1161" w:type="dxa"/>
            <w:tcBorders>
              <w:top w:val="nil"/>
              <w:left w:val="nil"/>
              <w:bottom w:val="nil"/>
              <w:right w:val="nil"/>
            </w:tcBorders>
            <w:shd w:val="clear" w:color="000000" w:fill="FFFFFF"/>
            <w:noWrap/>
            <w:vAlign w:val="center"/>
            <w:hideMark/>
          </w:tcPr>
          <w:p w14:paraId="09E3848D" w14:textId="77777777" w:rsidR="00954200" w:rsidRPr="00095067" w:rsidRDefault="00954200" w:rsidP="00954200">
            <w:pPr>
              <w:spacing w:before="0" w:after="0" w:line="240" w:lineRule="auto"/>
              <w:jc w:val="right"/>
              <w:rPr>
                <w:rFonts w:ascii="Calibri" w:eastAsia="Times New Roman" w:hAnsi="Calibri" w:cs="Calibri"/>
                <w:bCs/>
                <w:sz w:val="16"/>
                <w:szCs w:val="16"/>
                <w:lang w:val="en-US"/>
              </w:rPr>
            </w:pPr>
            <w:r w:rsidRPr="00095067">
              <w:rPr>
                <w:rFonts w:ascii="Calibri" w:eastAsia="Times New Roman" w:hAnsi="Calibri" w:cs="Calibri"/>
                <w:bCs/>
                <w:sz w:val="16"/>
                <w:szCs w:val="16"/>
                <w:lang w:val="en-US"/>
              </w:rPr>
              <w:t>10,23</w:t>
            </w:r>
          </w:p>
        </w:tc>
      </w:tr>
      <w:tr w:rsidR="00954200" w:rsidRPr="00954200" w14:paraId="614E8F48" w14:textId="77777777" w:rsidTr="00954200">
        <w:trPr>
          <w:trHeight w:val="211"/>
        </w:trPr>
        <w:tc>
          <w:tcPr>
            <w:tcW w:w="2627" w:type="dxa"/>
            <w:vMerge/>
            <w:tcBorders>
              <w:top w:val="nil"/>
              <w:left w:val="nil"/>
              <w:bottom w:val="single" w:sz="4" w:space="0" w:color="4F81BD"/>
              <w:right w:val="nil"/>
            </w:tcBorders>
            <w:vAlign w:val="center"/>
            <w:hideMark/>
          </w:tcPr>
          <w:p w14:paraId="367010A3" w14:textId="77777777" w:rsidR="00954200" w:rsidRPr="00954200" w:rsidRDefault="00954200" w:rsidP="00954200">
            <w:pPr>
              <w:spacing w:before="0" w:after="0" w:line="240" w:lineRule="auto"/>
              <w:rPr>
                <w:rFonts w:ascii="Calibri" w:eastAsia="Times New Roman" w:hAnsi="Calibri" w:cs="Calibri"/>
                <w:b/>
                <w:bCs/>
                <w:sz w:val="16"/>
                <w:szCs w:val="16"/>
                <w:lang w:val="en-US"/>
              </w:rPr>
            </w:pPr>
          </w:p>
        </w:tc>
        <w:tc>
          <w:tcPr>
            <w:tcW w:w="768" w:type="dxa"/>
            <w:tcBorders>
              <w:top w:val="nil"/>
              <w:left w:val="nil"/>
              <w:bottom w:val="single" w:sz="4" w:space="0" w:color="4F81BD"/>
              <w:right w:val="nil"/>
            </w:tcBorders>
            <w:shd w:val="clear" w:color="000000" w:fill="FFFFFF"/>
            <w:noWrap/>
            <w:vAlign w:val="center"/>
            <w:hideMark/>
          </w:tcPr>
          <w:p w14:paraId="043B0AC5" w14:textId="77777777" w:rsidR="00954200" w:rsidRPr="00954200" w:rsidRDefault="00954200" w:rsidP="00954200">
            <w:pPr>
              <w:spacing w:before="0" w:after="0" w:line="240" w:lineRule="auto"/>
              <w:jc w:val="right"/>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2020</w:t>
            </w:r>
          </w:p>
        </w:tc>
        <w:tc>
          <w:tcPr>
            <w:tcW w:w="1161" w:type="dxa"/>
            <w:tcBorders>
              <w:top w:val="nil"/>
              <w:left w:val="nil"/>
              <w:bottom w:val="single" w:sz="4" w:space="0" w:color="4F81BD"/>
              <w:right w:val="nil"/>
            </w:tcBorders>
            <w:shd w:val="clear" w:color="000000" w:fill="FFFFFF"/>
            <w:noWrap/>
            <w:vAlign w:val="center"/>
            <w:hideMark/>
          </w:tcPr>
          <w:p w14:paraId="6818DAF7" w14:textId="77777777" w:rsidR="00954200" w:rsidRPr="00954200" w:rsidRDefault="00954200" w:rsidP="00954200">
            <w:pPr>
              <w:spacing w:before="0" w:after="0" w:line="240" w:lineRule="auto"/>
              <w:jc w:val="right"/>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1.238</w:t>
            </w:r>
          </w:p>
        </w:tc>
        <w:tc>
          <w:tcPr>
            <w:tcW w:w="1161" w:type="dxa"/>
            <w:tcBorders>
              <w:top w:val="nil"/>
              <w:left w:val="nil"/>
              <w:bottom w:val="single" w:sz="4" w:space="0" w:color="4F81BD"/>
              <w:right w:val="nil"/>
            </w:tcBorders>
            <w:shd w:val="clear" w:color="000000" w:fill="FFFFFF"/>
            <w:noWrap/>
            <w:vAlign w:val="center"/>
            <w:hideMark/>
          </w:tcPr>
          <w:p w14:paraId="1C9526CD" w14:textId="77777777" w:rsidR="00954200" w:rsidRPr="00954200" w:rsidRDefault="00954200" w:rsidP="00954200">
            <w:pPr>
              <w:spacing w:before="0" w:after="0" w:line="240" w:lineRule="auto"/>
              <w:jc w:val="right"/>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5.263.495</w:t>
            </w:r>
          </w:p>
        </w:tc>
        <w:tc>
          <w:tcPr>
            <w:tcW w:w="1161" w:type="dxa"/>
            <w:tcBorders>
              <w:top w:val="nil"/>
              <w:left w:val="nil"/>
              <w:bottom w:val="single" w:sz="4" w:space="0" w:color="4F81BD"/>
              <w:right w:val="nil"/>
            </w:tcBorders>
            <w:shd w:val="clear" w:color="000000" w:fill="FFFFFF"/>
            <w:noWrap/>
            <w:vAlign w:val="center"/>
            <w:hideMark/>
          </w:tcPr>
          <w:p w14:paraId="20FE3D9F" w14:textId="77777777" w:rsidR="00954200" w:rsidRPr="00954200" w:rsidRDefault="00954200" w:rsidP="00954200">
            <w:pPr>
              <w:spacing w:before="0" w:after="0" w:line="240" w:lineRule="auto"/>
              <w:jc w:val="right"/>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5.998</w:t>
            </w:r>
          </w:p>
        </w:tc>
        <w:tc>
          <w:tcPr>
            <w:tcW w:w="1161" w:type="dxa"/>
            <w:tcBorders>
              <w:top w:val="nil"/>
              <w:left w:val="nil"/>
              <w:bottom w:val="single" w:sz="4" w:space="0" w:color="4F81BD"/>
              <w:right w:val="nil"/>
            </w:tcBorders>
            <w:shd w:val="clear" w:color="000000" w:fill="FFFFFF"/>
            <w:noWrap/>
            <w:vAlign w:val="center"/>
            <w:hideMark/>
          </w:tcPr>
          <w:p w14:paraId="548ECA9C" w14:textId="77777777" w:rsidR="00954200" w:rsidRPr="00954200" w:rsidRDefault="00954200" w:rsidP="00954200">
            <w:pPr>
              <w:spacing w:before="0" w:after="0" w:line="240" w:lineRule="auto"/>
              <w:jc w:val="right"/>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489.511.905</w:t>
            </w:r>
          </w:p>
        </w:tc>
        <w:tc>
          <w:tcPr>
            <w:tcW w:w="1161" w:type="dxa"/>
            <w:tcBorders>
              <w:top w:val="nil"/>
              <w:left w:val="nil"/>
              <w:bottom w:val="single" w:sz="4" w:space="0" w:color="4F81BD"/>
              <w:right w:val="nil"/>
            </w:tcBorders>
            <w:shd w:val="clear" w:color="000000" w:fill="FFFFFF"/>
            <w:noWrap/>
            <w:vAlign w:val="center"/>
            <w:hideMark/>
          </w:tcPr>
          <w:p w14:paraId="04FFB850" w14:textId="77777777" w:rsidR="00954200" w:rsidRPr="00954200" w:rsidRDefault="00954200" w:rsidP="00954200">
            <w:pPr>
              <w:spacing w:before="0" w:after="0" w:line="240" w:lineRule="auto"/>
              <w:jc w:val="right"/>
              <w:rPr>
                <w:rFonts w:ascii="Calibri" w:eastAsia="Times New Roman" w:hAnsi="Calibri" w:cs="Calibri"/>
                <w:b/>
                <w:bCs/>
                <w:sz w:val="16"/>
                <w:szCs w:val="16"/>
                <w:lang w:val="en-US"/>
              </w:rPr>
            </w:pPr>
            <w:r w:rsidRPr="00954200">
              <w:rPr>
                <w:rFonts w:ascii="Calibri" w:eastAsia="Times New Roman" w:hAnsi="Calibri" w:cs="Calibri"/>
                <w:b/>
                <w:bCs/>
                <w:sz w:val="16"/>
                <w:szCs w:val="16"/>
                <w:lang w:val="en-US"/>
              </w:rPr>
              <w:t>10,41</w:t>
            </w:r>
          </w:p>
        </w:tc>
      </w:tr>
    </w:tbl>
    <w:p w14:paraId="1DDB9C2B" w14:textId="77777777" w:rsidR="00954200" w:rsidRDefault="00954200" w:rsidP="007632E6">
      <w:pPr>
        <w:spacing w:before="0" w:after="0"/>
        <w:contextualSpacing/>
        <w:jc w:val="both"/>
        <w:rPr>
          <w:rFonts w:asciiTheme="majorHAnsi" w:hAnsiTheme="majorHAnsi" w:cstheme="majorBidi"/>
          <w:kern w:val="20"/>
          <w:lang w:eastAsia="ja-JP"/>
        </w:rPr>
      </w:pPr>
    </w:p>
    <w:p w14:paraId="0D02DD63" w14:textId="77777777" w:rsidR="00954200" w:rsidRDefault="00954200" w:rsidP="007632E6">
      <w:pPr>
        <w:spacing w:before="0" w:after="0"/>
        <w:contextualSpacing/>
        <w:jc w:val="both"/>
        <w:rPr>
          <w:rFonts w:asciiTheme="majorHAnsi" w:hAnsiTheme="majorHAnsi" w:cstheme="majorBidi"/>
          <w:kern w:val="20"/>
          <w:lang w:eastAsia="ja-JP"/>
        </w:rPr>
      </w:pPr>
    </w:p>
    <w:p w14:paraId="41F3E88B" w14:textId="77777777" w:rsidR="00954200" w:rsidRDefault="001477D3" w:rsidP="007632E6">
      <w:pPr>
        <w:spacing w:before="0" w:after="0"/>
        <w:contextualSpacing/>
        <w:jc w:val="both"/>
        <w:rPr>
          <w:rFonts w:asciiTheme="majorHAnsi" w:hAnsiTheme="majorHAnsi" w:cstheme="majorBidi"/>
          <w:kern w:val="20"/>
          <w:lang w:eastAsia="ja-JP"/>
        </w:rPr>
      </w:pPr>
      <w:r>
        <w:rPr>
          <w:rFonts w:asciiTheme="majorHAnsi" w:hAnsiTheme="majorHAnsi" w:cstheme="majorBidi"/>
          <w:noProof/>
          <w:kern w:val="20"/>
          <w:lang w:val="en-US"/>
        </w:rPr>
        <w:drawing>
          <wp:inline distT="0" distB="0" distL="0" distR="0" wp14:anchorId="60146422" wp14:editId="09524A9E">
            <wp:extent cx="2847340" cy="2926080"/>
            <wp:effectExtent l="0" t="0" r="0"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7340" cy="2926080"/>
                    </a:xfrm>
                    <a:prstGeom prst="rect">
                      <a:avLst/>
                    </a:prstGeom>
                    <a:noFill/>
                  </pic:spPr>
                </pic:pic>
              </a:graphicData>
            </a:graphic>
          </wp:inline>
        </w:drawing>
      </w:r>
      <w:r>
        <w:rPr>
          <w:rFonts w:asciiTheme="majorHAnsi" w:hAnsiTheme="majorHAnsi" w:cstheme="majorBidi"/>
          <w:noProof/>
          <w:kern w:val="20"/>
          <w:lang w:val="en-US"/>
        </w:rPr>
        <w:drawing>
          <wp:inline distT="0" distB="0" distL="0" distR="0" wp14:anchorId="350546D9" wp14:editId="267BB632">
            <wp:extent cx="2840990" cy="2932430"/>
            <wp:effectExtent l="0" t="0" r="0"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0990" cy="2932430"/>
                    </a:xfrm>
                    <a:prstGeom prst="rect">
                      <a:avLst/>
                    </a:prstGeom>
                    <a:noFill/>
                  </pic:spPr>
                </pic:pic>
              </a:graphicData>
            </a:graphic>
          </wp:inline>
        </w:drawing>
      </w:r>
    </w:p>
    <w:p w14:paraId="452D0492" w14:textId="77777777" w:rsidR="00954200" w:rsidRDefault="00954200" w:rsidP="007632E6">
      <w:pPr>
        <w:spacing w:before="0" w:after="0"/>
        <w:contextualSpacing/>
        <w:jc w:val="both"/>
        <w:rPr>
          <w:rFonts w:asciiTheme="majorHAnsi" w:hAnsiTheme="majorHAnsi" w:cstheme="majorBidi"/>
          <w:kern w:val="20"/>
          <w:lang w:eastAsia="ja-JP"/>
        </w:rPr>
      </w:pPr>
    </w:p>
    <w:p w14:paraId="6B153A57" w14:textId="77777777" w:rsidR="00983968" w:rsidRPr="00D95C57" w:rsidRDefault="00983968" w:rsidP="007632E6">
      <w:pPr>
        <w:spacing w:before="0" w:after="0"/>
        <w:contextualSpacing/>
        <w:jc w:val="both"/>
        <w:rPr>
          <w:rFonts w:asciiTheme="majorHAnsi" w:hAnsiTheme="majorHAnsi" w:cstheme="majorBidi"/>
          <w:kern w:val="20"/>
          <w:lang w:eastAsia="ja-JP"/>
        </w:rPr>
      </w:pPr>
    </w:p>
    <w:p w14:paraId="286C0BA0" w14:textId="77777777" w:rsidR="007632E6" w:rsidRPr="00D95C57" w:rsidRDefault="007632E6" w:rsidP="007632E6">
      <w:pPr>
        <w:spacing w:before="0" w:after="0"/>
        <w:contextualSpacing/>
        <w:jc w:val="both"/>
        <w:rPr>
          <w:rFonts w:asciiTheme="majorHAnsi" w:hAnsiTheme="majorHAnsi" w:cstheme="majorBidi"/>
          <w:kern w:val="20"/>
          <w:lang w:eastAsia="ja-JP"/>
        </w:rPr>
      </w:pPr>
    </w:p>
    <w:p w14:paraId="5406C1E1" w14:textId="77777777" w:rsidR="00CC1ED3" w:rsidRPr="00D95C57" w:rsidRDefault="00CC1ED3" w:rsidP="00C416AE">
      <w:pPr>
        <w:spacing w:beforeAutospacing="1" w:after="100" w:afterAutospacing="1"/>
        <w:jc w:val="both"/>
        <w:rPr>
          <w:rFonts w:asciiTheme="majorHAnsi" w:hAnsiTheme="majorHAnsi"/>
          <w:b/>
          <w:bCs/>
        </w:rPr>
      </w:pPr>
      <w:r w:rsidRPr="00D95C57">
        <w:rPr>
          <w:rFonts w:asciiTheme="majorHAnsi" w:hAnsiTheme="majorHAnsi"/>
          <w:b/>
        </w:rPr>
        <w:t xml:space="preserve">Din datele înscrise în tabelul prezentat mai sus </w:t>
      </w:r>
      <w:r w:rsidRPr="00D95C57">
        <w:rPr>
          <w:rFonts w:asciiTheme="majorHAnsi" w:hAnsiTheme="majorHAnsi"/>
          <w:b/>
          <w:bCs/>
        </w:rPr>
        <w:t>la</w:t>
      </w:r>
      <w:r w:rsidRPr="00D95C57">
        <w:rPr>
          <w:rFonts w:asciiTheme="majorHAnsi" w:hAnsiTheme="majorHAnsi"/>
          <w:b/>
        </w:rPr>
        <w:t xml:space="preserve"> sfârșitul anului 20</w:t>
      </w:r>
      <w:r w:rsidR="001477D3">
        <w:rPr>
          <w:rFonts w:asciiTheme="majorHAnsi" w:hAnsiTheme="majorHAnsi"/>
          <w:b/>
        </w:rPr>
        <w:t>20</w:t>
      </w:r>
      <w:r w:rsidRPr="00D95C57">
        <w:rPr>
          <w:rFonts w:asciiTheme="majorHAnsi" w:hAnsiTheme="majorHAnsi"/>
        </w:rPr>
        <w:t>,</w:t>
      </w:r>
      <w:r w:rsidR="003E7F5B" w:rsidRPr="00D95C57">
        <w:rPr>
          <w:rFonts w:asciiTheme="majorHAnsi" w:hAnsiTheme="majorHAnsi"/>
        </w:rPr>
        <w:t xml:space="preserve"> raportat la finalul anului 20</w:t>
      </w:r>
      <w:r w:rsidR="001477D3">
        <w:rPr>
          <w:rFonts w:asciiTheme="majorHAnsi" w:hAnsiTheme="majorHAnsi"/>
        </w:rPr>
        <w:t>19</w:t>
      </w:r>
      <w:r w:rsidR="003E7F5B" w:rsidRPr="00D95C57">
        <w:rPr>
          <w:rFonts w:asciiTheme="majorHAnsi" w:hAnsiTheme="majorHAnsi"/>
        </w:rPr>
        <w:t>,</w:t>
      </w:r>
      <w:r w:rsidRPr="00D95C57">
        <w:rPr>
          <w:rFonts w:asciiTheme="majorHAnsi" w:hAnsiTheme="majorHAnsi"/>
        </w:rPr>
        <w:t xml:space="preserve"> valoarea</w:t>
      </w:r>
      <w:r w:rsidR="003E7F5B" w:rsidRPr="00D95C57">
        <w:rPr>
          <w:rFonts w:asciiTheme="majorHAnsi" w:hAnsiTheme="majorHAnsi"/>
        </w:rPr>
        <w:t xml:space="preserve"> participațiilor</w:t>
      </w:r>
      <w:r w:rsidRPr="00D95C57">
        <w:rPr>
          <w:rFonts w:asciiTheme="majorHAnsi" w:hAnsiTheme="majorHAnsi"/>
        </w:rPr>
        <w:t xml:space="preserve"> deținut</w:t>
      </w:r>
      <w:r w:rsidR="003E7F5B" w:rsidRPr="00D95C57">
        <w:rPr>
          <w:rFonts w:asciiTheme="majorHAnsi" w:hAnsiTheme="majorHAnsi"/>
        </w:rPr>
        <w:t>e de</w:t>
      </w:r>
      <w:r w:rsidRPr="00D95C57">
        <w:rPr>
          <w:rFonts w:asciiTheme="majorHAnsi" w:hAnsiTheme="majorHAnsi"/>
        </w:rPr>
        <w:t xml:space="preserve"> APTL la ÎPL</w:t>
      </w:r>
      <w:r w:rsidR="00C416AE" w:rsidRPr="00D95C57">
        <w:rPr>
          <w:rFonts w:asciiTheme="majorHAnsi" w:hAnsiTheme="majorHAnsi"/>
        </w:rPr>
        <w:t xml:space="preserve"> active</w:t>
      </w:r>
      <w:r w:rsidRPr="00D95C57">
        <w:rPr>
          <w:rFonts w:asciiTheme="majorHAnsi" w:hAnsiTheme="majorHAnsi"/>
        </w:rPr>
        <w:t xml:space="preserve"> este în sumă de</w:t>
      </w:r>
      <w:r w:rsidR="00C62137" w:rsidRPr="00D95C57">
        <w:rPr>
          <w:rFonts w:asciiTheme="majorHAnsi" w:hAnsiTheme="majorHAnsi"/>
        </w:rPr>
        <w:t xml:space="preserve"> </w:t>
      </w:r>
      <w:r w:rsidR="00B73147" w:rsidRPr="00B73147">
        <w:rPr>
          <w:rFonts w:asciiTheme="majorHAnsi" w:hAnsiTheme="majorHAnsi"/>
          <w:b/>
          <w:bCs/>
        </w:rPr>
        <w:t>5.</w:t>
      </w:r>
      <w:r w:rsidR="001477D3">
        <w:rPr>
          <w:rFonts w:asciiTheme="majorHAnsi" w:hAnsiTheme="majorHAnsi"/>
          <w:b/>
          <w:bCs/>
        </w:rPr>
        <w:t>263</w:t>
      </w:r>
      <w:r w:rsidR="00B73147" w:rsidRPr="00B73147">
        <w:rPr>
          <w:rFonts w:asciiTheme="majorHAnsi" w:hAnsiTheme="majorHAnsi"/>
          <w:b/>
          <w:bCs/>
        </w:rPr>
        <w:t>.</w:t>
      </w:r>
      <w:r w:rsidR="001477D3">
        <w:rPr>
          <w:rFonts w:asciiTheme="majorHAnsi" w:hAnsiTheme="majorHAnsi"/>
          <w:b/>
          <w:bCs/>
        </w:rPr>
        <w:t>495</w:t>
      </w:r>
      <w:r w:rsidR="00B73147">
        <w:rPr>
          <w:rFonts w:asciiTheme="majorHAnsi" w:hAnsiTheme="majorHAnsi"/>
          <w:b/>
          <w:bCs/>
        </w:rPr>
        <w:t xml:space="preserve"> mii </w:t>
      </w:r>
      <w:r w:rsidRPr="00D95C57">
        <w:rPr>
          <w:rFonts w:asciiTheme="majorHAnsi" w:hAnsiTheme="majorHAnsi"/>
          <w:b/>
          <w:bCs/>
        </w:rPr>
        <w:t>lei,</w:t>
      </w:r>
      <w:r w:rsidRPr="00D95C57">
        <w:rPr>
          <w:rFonts w:asciiTheme="majorHAnsi" w:hAnsiTheme="majorHAnsi"/>
        </w:rPr>
        <w:t xml:space="preserve"> în </w:t>
      </w:r>
      <w:r w:rsidR="001477D3">
        <w:rPr>
          <w:rFonts w:asciiTheme="majorHAnsi" w:hAnsiTheme="majorHAnsi"/>
        </w:rPr>
        <w:t>scădere</w:t>
      </w:r>
      <w:r w:rsidRPr="00D95C57">
        <w:rPr>
          <w:rFonts w:asciiTheme="majorHAnsi" w:hAnsiTheme="majorHAnsi"/>
        </w:rPr>
        <w:t xml:space="preserve"> </w:t>
      </w:r>
      <w:r w:rsidRPr="00D95C57">
        <w:rPr>
          <w:rFonts w:asciiTheme="majorHAnsi" w:hAnsiTheme="majorHAnsi"/>
          <w:b/>
          <w:bCs/>
        </w:rPr>
        <w:t xml:space="preserve">cu suma de </w:t>
      </w:r>
      <w:r w:rsidR="001477D3" w:rsidRPr="001477D3">
        <w:rPr>
          <w:rFonts w:asciiTheme="majorHAnsi" w:hAnsiTheme="majorHAnsi"/>
          <w:b/>
          <w:bCs/>
        </w:rPr>
        <w:t>92.268</w:t>
      </w:r>
      <w:r w:rsidR="001477D3">
        <w:rPr>
          <w:rFonts w:asciiTheme="majorHAnsi" w:hAnsiTheme="majorHAnsi"/>
          <w:b/>
          <w:bCs/>
        </w:rPr>
        <w:t xml:space="preserve"> </w:t>
      </w:r>
      <w:r w:rsidRPr="00D95C57">
        <w:rPr>
          <w:rFonts w:asciiTheme="majorHAnsi" w:hAnsiTheme="majorHAnsi"/>
          <w:b/>
          <w:bCs/>
        </w:rPr>
        <w:t>mii lei (</w:t>
      </w:r>
      <w:r w:rsidR="00B73147">
        <w:rPr>
          <w:rFonts w:asciiTheme="majorHAnsi" w:hAnsiTheme="majorHAnsi"/>
          <w:b/>
          <w:bCs/>
        </w:rPr>
        <w:t>1</w:t>
      </w:r>
      <w:r w:rsidR="001477D3">
        <w:rPr>
          <w:rFonts w:asciiTheme="majorHAnsi" w:hAnsiTheme="majorHAnsi"/>
          <w:b/>
          <w:bCs/>
        </w:rPr>
        <w:t>,</w:t>
      </w:r>
      <w:r w:rsidR="00B73147">
        <w:rPr>
          <w:rFonts w:asciiTheme="majorHAnsi" w:hAnsiTheme="majorHAnsi"/>
          <w:b/>
          <w:bCs/>
        </w:rPr>
        <w:t>7</w:t>
      </w:r>
      <w:r w:rsidR="001477D3">
        <w:rPr>
          <w:rFonts w:asciiTheme="majorHAnsi" w:hAnsiTheme="majorHAnsi"/>
          <w:b/>
          <w:bCs/>
        </w:rPr>
        <w:t>2</w:t>
      </w:r>
      <w:r w:rsidR="00C62137" w:rsidRPr="00D95C57">
        <w:rPr>
          <w:rFonts w:asciiTheme="majorHAnsi" w:hAnsiTheme="majorHAnsi"/>
          <w:b/>
          <w:bCs/>
        </w:rPr>
        <w:t>%</w:t>
      </w:r>
      <w:r w:rsidRPr="00D95C57">
        <w:rPr>
          <w:rFonts w:asciiTheme="majorHAnsi" w:hAnsiTheme="majorHAnsi"/>
          <w:b/>
          <w:bCs/>
        </w:rPr>
        <w:t xml:space="preserve">) </w:t>
      </w:r>
      <w:r w:rsidRPr="00D95C57">
        <w:rPr>
          <w:rFonts w:asciiTheme="majorHAnsi" w:hAnsiTheme="majorHAnsi"/>
        </w:rPr>
        <w:t>față de anul 201</w:t>
      </w:r>
      <w:r w:rsidR="001477D3">
        <w:rPr>
          <w:rFonts w:asciiTheme="majorHAnsi" w:hAnsiTheme="majorHAnsi"/>
        </w:rPr>
        <w:t>9</w:t>
      </w:r>
      <w:r w:rsidRPr="00D95C57">
        <w:rPr>
          <w:rFonts w:asciiTheme="majorHAnsi" w:hAnsiTheme="majorHAnsi"/>
        </w:rPr>
        <w:t>, iar valoarea medie estimată pe acțiune/parte socială înre</w:t>
      </w:r>
      <w:r w:rsidR="00C62137" w:rsidRPr="00D95C57">
        <w:rPr>
          <w:rFonts w:asciiTheme="majorHAnsi" w:hAnsiTheme="majorHAnsi"/>
        </w:rPr>
        <w:t>gistrează la finalul anului 20</w:t>
      </w:r>
      <w:r w:rsidR="00F627C5">
        <w:rPr>
          <w:rFonts w:asciiTheme="majorHAnsi" w:hAnsiTheme="majorHAnsi"/>
        </w:rPr>
        <w:t>20</w:t>
      </w:r>
      <w:r w:rsidRPr="00D95C57">
        <w:rPr>
          <w:rFonts w:asciiTheme="majorHAnsi" w:hAnsiTheme="majorHAnsi"/>
        </w:rPr>
        <w:t xml:space="preserve"> valoarea de </w:t>
      </w:r>
      <w:r w:rsidR="00B73147">
        <w:rPr>
          <w:rFonts w:asciiTheme="majorHAnsi" w:hAnsiTheme="majorHAnsi"/>
        </w:rPr>
        <w:t>10</w:t>
      </w:r>
      <w:r w:rsidR="00EA5850" w:rsidRPr="00D95C57">
        <w:rPr>
          <w:rFonts w:asciiTheme="majorHAnsi" w:hAnsiTheme="majorHAnsi"/>
        </w:rPr>
        <w:t>,</w:t>
      </w:r>
      <w:r w:rsidR="00F627C5">
        <w:rPr>
          <w:rFonts w:asciiTheme="majorHAnsi" w:hAnsiTheme="majorHAnsi"/>
        </w:rPr>
        <w:t xml:space="preserve">41 </w:t>
      </w:r>
      <w:r w:rsidRPr="00D95C57">
        <w:rPr>
          <w:rFonts w:asciiTheme="majorHAnsi" w:hAnsiTheme="majorHAnsi"/>
        </w:rPr>
        <w:t>lei pe acțiune/parte socială. Valoarea totală a capitalului social/patrimoniului deținut de APTL la ÎPL</w:t>
      </w:r>
      <w:r w:rsidR="00C030E8" w:rsidRPr="00D95C57">
        <w:rPr>
          <w:rFonts w:asciiTheme="majorHAnsi" w:hAnsiTheme="majorHAnsi"/>
        </w:rPr>
        <w:t xml:space="preserve"> </w:t>
      </w:r>
      <w:r w:rsidR="00C416AE" w:rsidRPr="00D95C57">
        <w:rPr>
          <w:rFonts w:asciiTheme="majorHAnsi" w:hAnsiTheme="majorHAnsi"/>
        </w:rPr>
        <w:t xml:space="preserve">active </w:t>
      </w:r>
      <w:r w:rsidR="00C030E8" w:rsidRPr="00D95C57">
        <w:rPr>
          <w:rFonts w:asciiTheme="majorHAnsi" w:hAnsiTheme="majorHAnsi"/>
        </w:rPr>
        <w:t>înregistrează în anul 20</w:t>
      </w:r>
      <w:r w:rsidR="00F627C5">
        <w:rPr>
          <w:rFonts w:asciiTheme="majorHAnsi" w:hAnsiTheme="majorHAnsi"/>
        </w:rPr>
        <w:t>20</w:t>
      </w:r>
      <w:r w:rsidRPr="00D95C57">
        <w:rPr>
          <w:rFonts w:asciiTheme="majorHAnsi" w:hAnsiTheme="majorHAnsi"/>
        </w:rPr>
        <w:t xml:space="preserve"> o pondere de </w:t>
      </w:r>
      <w:r w:rsidR="00B73147">
        <w:rPr>
          <w:rFonts w:asciiTheme="majorHAnsi" w:hAnsiTheme="majorHAnsi"/>
          <w:b/>
          <w:bCs/>
        </w:rPr>
        <w:t>0,</w:t>
      </w:r>
      <w:r w:rsidR="00EA5850" w:rsidRPr="00D95C57">
        <w:rPr>
          <w:rFonts w:asciiTheme="majorHAnsi" w:hAnsiTheme="majorHAnsi"/>
          <w:b/>
          <w:bCs/>
        </w:rPr>
        <w:t>5</w:t>
      </w:r>
      <w:r w:rsidR="00F627C5">
        <w:rPr>
          <w:rFonts w:asciiTheme="majorHAnsi" w:hAnsiTheme="majorHAnsi"/>
          <w:b/>
          <w:bCs/>
        </w:rPr>
        <w:t>0</w:t>
      </w:r>
      <w:r w:rsidRPr="00D95C57">
        <w:rPr>
          <w:rFonts w:asciiTheme="majorHAnsi" w:hAnsiTheme="majorHAnsi"/>
          <w:b/>
          <w:bCs/>
        </w:rPr>
        <w:t>% din PIB.</w:t>
      </w:r>
    </w:p>
    <w:p w14:paraId="2248BCE4" w14:textId="77777777" w:rsidR="00CC1ED3" w:rsidRPr="00D95C57" w:rsidRDefault="00F627C5" w:rsidP="00365FC9">
      <w:pPr>
        <w:spacing w:beforeAutospacing="1" w:after="100" w:afterAutospacing="1"/>
        <w:jc w:val="both"/>
        <w:rPr>
          <w:rFonts w:asciiTheme="majorHAnsi" w:hAnsiTheme="majorHAnsi"/>
        </w:rPr>
      </w:pPr>
      <w:r>
        <w:rPr>
          <w:rFonts w:asciiTheme="majorHAnsi" w:hAnsiTheme="majorHAnsi"/>
        </w:rPr>
        <w:t>Reducerea</w:t>
      </w:r>
      <w:r w:rsidR="00CC1ED3" w:rsidRPr="00D95C57">
        <w:rPr>
          <w:rFonts w:asciiTheme="majorHAnsi" w:hAnsiTheme="majorHAnsi"/>
        </w:rPr>
        <w:t xml:space="preserve"> volumului participațiilor deținute de APTL la ÎPL </w:t>
      </w:r>
      <w:r w:rsidR="00C416AE" w:rsidRPr="00D95C57">
        <w:rPr>
          <w:rFonts w:asciiTheme="majorHAnsi" w:hAnsiTheme="majorHAnsi"/>
        </w:rPr>
        <w:t xml:space="preserve">active </w:t>
      </w:r>
      <w:r w:rsidR="00CC1ED3" w:rsidRPr="00D95C57">
        <w:rPr>
          <w:rFonts w:asciiTheme="majorHAnsi" w:hAnsiTheme="majorHAnsi"/>
        </w:rPr>
        <w:t>în anul 20</w:t>
      </w:r>
      <w:r>
        <w:rPr>
          <w:rFonts w:asciiTheme="majorHAnsi" w:hAnsiTheme="majorHAnsi"/>
        </w:rPr>
        <w:t>20</w:t>
      </w:r>
      <w:r w:rsidR="00CC1ED3" w:rsidRPr="00D95C57">
        <w:rPr>
          <w:rFonts w:asciiTheme="majorHAnsi" w:hAnsiTheme="majorHAnsi"/>
        </w:rPr>
        <w:t xml:space="preserve"> se datorează, în principal, următoarelor acțiuni:</w:t>
      </w:r>
    </w:p>
    <w:p w14:paraId="5B833CBC" w14:textId="77777777" w:rsidR="003E7F5B" w:rsidRPr="00007024" w:rsidRDefault="003E7F5B" w:rsidP="00F26763">
      <w:pPr>
        <w:pStyle w:val="ListParagraph"/>
        <w:numPr>
          <w:ilvl w:val="1"/>
          <w:numId w:val="27"/>
        </w:numPr>
        <w:spacing w:beforeAutospacing="1" w:after="100" w:afterAutospacing="1"/>
        <w:ind w:left="270" w:hanging="270"/>
        <w:jc w:val="both"/>
        <w:rPr>
          <w:rFonts w:asciiTheme="majorHAnsi" w:hAnsiTheme="majorHAnsi" w:cs="Times New Roman"/>
        </w:rPr>
      </w:pPr>
      <w:r w:rsidRPr="00007024">
        <w:rPr>
          <w:rFonts w:asciiTheme="majorHAnsi" w:hAnsiTheme="majorHAnsi"/>
          <w:b/>
          <w:bCs/>
        </w:rPr>
        <w:t>Creșterea participațiilor deținute de APTL la ÎPL</w:t>
      </w:r>
      <w:r w:rsidR="0046054B" w:rsidRPr="00007024">
        <w:rPr>
          <w:rFonts w:asciiTheme="majorHAnsi" w:hAnsiTheme="majorHAnsi"/>
          <w:b/>
          <w:bCs/>
        </w:rPr>
        <w:t xml:space="preserve"> active </w:t>
      </w:r>
      <w:r w:rsidR="000F178A" w:rsidRPr="00007024">
        <w:rPr>
          <w:rFonts w:asciiTheme="majorHAnsi" w:hAnsiTheme="majorHAnsi"/>
        </w:rPr>
        <w:t xml:space="preserve">urmare </w:t>
      </w:r>
      <w:r w:rsidR="000F178A" w:rsidRPr="00007024">
        <w:rPr>
          <w:rFonts w:asciiTheme="majorHAnsi" w:hAnsiTheme="majorHAnsi" w:cs="Times New Roman"/>
        </w:rPr>
        <w:t xml:space="preserve">înființării/identificării unui număr de </w:t>
      </w:r>
      <w:r w:rsidR="00736607" w:rsidRPr="00007024">
        <w:rPr>
          <w:rFonts w:asciiTheme="majorHAnsi" w:hAnsiTheme="majorHAnsi" w:cs="Times New Roman"/>
          <w:b/>
        </w:rPr>
        <w:t>46</w:t>
      </w:r>
      <w:r w:rsidR="000F178A" w:rsidRPr="00007024">
        <w:rPr>
          <w:rFonts w:asciiTheme="majorHAnsi" w:hAnsiTheme="majorHAnsi" w:cs="Times New Roman"/>
          <w:b/>
        </w:rPr>
        <w:t xml:space="preserve"> ÎPL</w:t>
      </w:r>
      <w:r w:rsidR="000F178A" w:rsidRPr="00007024">
        <w:rPr>
          <w:rFonts w:asciiTheme="majorHAnsi" w:hAnsiTheme="majorHAnsi" w:cs="Times New Roman"/>
        </w:rPr>
        <w:t xml:space="preserve"> care au fost introduse în acțiunea de monitorizare în anul 20</w:t>
      </w:r>
      <w:r w:rsidR="00736607" w:rsidRPr="00007024">
        <w:rPr>
          <w:rFonts w:asciiTheme="majorHAnsi" w:hAnsiTheme="majorHAnsi" w:cs="Times New Roman"/>
        </w:rPr>
        <w:t>20</w:t>
      </w:r>
      <w:r w:rsidR="000F178A" w:rsidRPr="00007024">
        <w:rPr>
          <w:rFonts w:asciiTheme="majorHAnsi" w:hAnsiTheme="majorHAnsi" w:cs="Times New Roman"/>
        </w:rPr>
        <w:t xml:space="preserve"> cu suma </w:t>
      </w:r>
      <w:r w:rsidR="00007024">
        <w:rPr>
          <w:rFonts w:asciiTheme="majorHAnsi" w:hAnsiTheme="majorHAnsi" w:cs="Times New Roman"/>
        </w:rPr>
        <w:t xml:space="preserve">totală </w:t>
      </w:r>
      <w:r w:rsidR="000F178A" w:rsidRPr="00007024">
        <w:rPr>
          <w:rFonts w:asciiTheme="majorHAnsi" w:hAnsiTheme="majorHAnsi" w:cs="Times New Roman"/>
        </w:rPr>
        <w:t xml:space="preserve">de </w:t>
      </w:r>
      <w:r w:rsidR="00736607" w:rsidRPr="00007024">
        <w:rPr>
          <w:rFonts w:asciiTheme="majorHAnsi" w:hAnsiTheme="majorHAnsi" w:cs="Times New Roman"/>
          <w:b/>
        </w:rPr>
        <w:t xml:space="preserve">18.202 </w:t>
      </w:r>
      <w:r w:rsidR="000F178A" w:rsidRPr="00007024">
        <w:rPr>
          <w:rFonts w:asciiTheme="majorHAnsi" w:hAnsiTheme="majorHAnsi" w:cs="Times New Roman"/>
          <w:b/>
        </w:rPr>
        <w:t>mii lei</w:t>
      </w:r>
      <w:r w:rsidR="000F178A" w:rsidRPr="00007024">
        <w:rPr>
          <w:rFonts w:asciiTheme="majorHAnsi" w:hAnsiTheme="majorHAnsi"/>
        </w:rPr>
        <w:t xml:space="preserve"> și </w:t>
      </w:r>
      <w:r w:rsidRPr="00007024">
        <w:rPr>
          <w:rFonts w:asciiTheme="majorHAnsi" w:hAnsiTheme="majorHAnsi"/>
        </w:rPr>
        <w:t xml:space="preserve">prin </w:t>
      </w:r>
      <w:r w:rsidRPr="00007024">
        <w:rPr>
          <w:rFonts w:asciiTheme="majorHAnsi" w:hAnsiTheme="majorHAnsi"/>
          <w:b/>
        </w:rPr>
        <w:t>majorarea capitalului social</w:t>
      </w:r>
      <w:r w:rsidRPr="00007024">
        <w:rPr>
          <w:rFonts w:asciiTheme="majorHAnsi" w:hAnsiTheme="majorHAnsi"/>
        </w:rPr>
        <w:t xml:space="preserve"> la un număr de </w:t>
      </w:r>
      <w:r w:rsidR="0070335B" w:rsidRPr="00007024">
        <w:rPr>
          <w:rFonts w:asciiTheme="majorHAnsi" w:hAnsiTheme="majorHAnsi"/>
          <w:b/>
        </w:rPr>
        <w:t>1</w:t>
      </w:r>
      <w:r w:rsidR="00736607" w:rsidRPr="00007024">
        <w:rPr>
          <w:rFonts w:asciiTheme="majorHAnsi" w:hAnsiTheme="majorHAnsi"/>
          <w:b/>
        </w:rPr>
        <w:t>13</w:t>
      </w:r>
      <w:r w:rsidRPr="00007024">
        <w:rPr>
          <w:rFonts w:asciiTheme="majorHAnsi" w:hAnsiTheme="majorHAnsi"/>
          <w:b/>
        </w:rPr>
        <w:t xml:space="preserve"> ÎPL</w:t>
      </w:r>
      <w:r w:rsidRPr="00007024">
        <w:rPr>
          <w:rFonts w:asciiTheme="majorHAnsi" w:hAnsiTheme="majorHAnsi"/>
        </w:rPr>
        <w:t xml:space="preserve"> cu suma totală de </w:t>
      </w:r>
      <w:r w:rsidR="00736607" w:rsidRPr="00007024">
        <w:rPr>
          <w:rFonts w:asciiTheme="majorHAnsi" w:hAnsiTheme="majorHAnsi"/>
          <w:b/>
        </w:rPr>
        <w:t xml:space="preserve">410.639 </w:t>
      </w:r>
      <w:r w:rsidRPr="00007024">
        <w:rPr>
          <w:rFonts w:asciiTheme="majorHAnsi" w:hAnsiTheme="majorHAnsi"/>
          <w:b/>
        </w:rPr>
        <w:t>mii lei</w:t>
      </w:r>
      <w:r w:rsidR="00007024">
        <w:rPr>
          <w:rFonts w:asciiTheme="majorHAnsi" w:hAnsiTheme="majorHAnsi" w:cs="Times New Roman"/>
          <w:lang w:val="en-US"/>
        </w:rPr>
        <w:t>;</w:t>
      </w:r>
    </w:p>
    <w:p w14:paraId="54BDE431" w14:textId="77777777" w:rsidR="003E7F5B" w:rsidRPr="00007024" w:rsidRDefault="003E7F5B" w:rsidP="00F26763">
      <w:pPr>
        <w:pStyle w:val="ListParagraph"/>
        <w:numPr>
          <w:ilvl w:val="1"/>
          <w:numId w:val="27"/>
        </w:numPr>
        <w:spacing w:beforeAutospacing="1" w:after="100" w:afterAutospacing="1"/>
        <w:ind w:left="270" w:hanging="270"/>
        <w:jc w:val="both"/>
        <w:rPr>
          <w:rFonts w:asciiTheme="majorHAnsi" w:hAnsiTheme="majorHAnsi"/>
        </w:rPr>
      </w:pPr>
      <w:r w:rsidRPr="00007024">
        <w:rPr>
          <w:rFonts w:asciiTheme="majorHAnsi" w:hAnsiTheme="majorHAnsi"/>
          <w:b/>
        </w:rPr>
        <w:t>Diminuări ale participațiilor deținute de APTL la ÎPL</w:t>
      </w:r>
      <w:r w:rsidRPr="00007024">
        <w:rPr>
          <w:rFonts w:asciiTheme="majorHAnsi" w:hAnsiTheme="majorHAnsi"/>
        </w:rPr>
        <w:t xml:space="preserve">, prin </w:t>
      </w:r>
      <w:r w:rsidR="00007024" w:rsidRPr="00007024">
        <w:rPr>
          <w:rFonts w:asciiTheme="majorHAnsi" w:hAnsiTheme="majorHAnsi"/>
          <w:b/>
        </w:rPr>
        <w:t>eliminarea</w:t>
      </w:r>
      <w:r w:rsidR="00007024" w:rsidRPr="00007024">
        <w:rPr>
          <w:rFonts w:asciiTheme="majorHAnsi" w:hAnsiTheme="majorHAnsi"/>
        </w:rPr>
        <w:t xml:space="preserve"> din activitatea de monitorizare a unui număr de </w:t>
      </w:r>
      <w:r w:rsidR="00007024" w:rsidRPr="00007024">
        <w:rPr>
          <w:rFonts w:asciiTheme="majorHAnsi" w:hAnsiTheme="majorHAnsi"/>
          <w:b/>
        </w:rPr>
        <w:t>45 ÎPL</w:t>
      </w:r>
      <w:r w:rsidR="00007024" w:rsidRPr="00007024">
        <w:rPr>
          <w:rFonts w:asciiTheme="majorHAnsi" w:hAnsiTheme="majorHAnsi"/>
        </w:rPr>
        <w:t xml:space="preserve"> active urmare </w:t>
      </w:r>
      <w:r w:rsidRPr="00007024">
        <w:rPr>
          <w:rFonts w:asciiTheme="majorHAnsi" w:hAnsiTheme="majorHAnsi"/>
          <w:bCs/>
        </w:rPr>
        <w:t>radier</w:t>
      </w:r>
      <w:r w:rsidR="00007024" w:rsidRPr="00007024">
        <w:rPr>
          <w:rFonts w:asciiTheme="majorHAnsi" w:hAnsiTheme="majorHAnsi"/>
          <w:bCs/>
        </w:rPr>
        <w:t>ii</w:t>
      </w:r>
      <w:r w:rsidRPr="00007024">
        <w:rPr>
          <w:rFonts w:asciiTheme="majorHAnsi" w:hAnsiTheme="majorHAnsi"/>
        </w:rPr>
        <w:t xml:space="preserve"> de la </w:t>
      </w:r>
      <w:r w:rsidR="00DF4EED" w:rsidRPr="00642BB3">
        <w:rPr>
          <w:rFonts w:asciiTheme="majorHAnsi" w:hAnsiTheme="majorHAnsi" w:cstheme="majorBidi"/>
        </w:rPr>
        <w:t>Oficiul Național al Registrului Comerțului</w:t>
      </w:r>
      <w:r w:rsidR="00007024" w:rsidRPr="00007024">
        <w:rPr>
          <w:rFonts w:asciiTheme="majorHAnsi" w:hAnsiTheme="majorHAnsi"/>
        </w:rPr>
        <w:t>, a</w:t>
      </w:r>
      <w:r w:rsidR="00365FC9" w:rsidRPr="00007024">
        <w:rPr>
          <w:rFonts w:asciiTheme="majorHAnsi" w:hAnsiTheme="majorHAnsi"/>
        </w:rPr>
        <w:t xml:space="preserve"> </w:t>
      </w:r>
      <w:r w:rsidR="00365FC9" w:rsidRPr="00007024">
        <w:rPr>
          <w:rFonts w:asciiTheme="majorHAnsi" w:hAnsiTheme="majorHAnsi"/>
          <w:bCs/>
        </w:rPr>
        <w:t>privatiz</w:t>
      </w:r>
      <w:r w:rsidR="00007024" w:rsidRPr="00007024">
        <w:rPr>
          <w:rFonts w:asciiTheme="majorHAnsi" w:hAnsiTheme="majorHAnsi"/>
          <w:bCs/>
        </w:rPr>
        <w:t>ării</w:t>
      </w:r>
      <w:r w:rsidR="00007024" w:rsidRPr="00007024">
        <w:rPr>
          <w:rFonts w:asciiTheme="majorHAnsi" w:hAnsiTheme="majorHAnsi"/>
          <w:b/>
          <w:bCs/>
        </w:rPr>
        <w:t xml:space="preserve"> </w:t>
      </w:r>
      <w:r w:rsidR="00007024" w:rsidRPr="00007024">
        <w:rPr>
          <w:rFonts w:asciiTheme="majorHAnsi" w:hAnsiTheme="majorHAnsi"/>
          <w:bCs/>
        </w:rPr>
        <w:t>sau a</w:t>
      </w:r>
      <w:r w:rsidR="0070335B" w:rsidRPr="00007024">
        <w:rPr>
          <w:rFonts w:asciiTheme="majorHAnsi" w:hAnsiTheme="majorHAnsi"/>
        </w:rPr>
        <w:t xml:space="preserve"> intr</w:t>
      </w:r>
      <w:r w:rsidR="00007024" w:rsidRPr="00007024">
        <w:rPr>
          <w:rFonts w:asciiTheme="majorHAnsi" w:hAnsiTheme="majorHAnsi"/>
        </w:rPr>
        <w:t>ării</w:t>
      </w:r>
      <w:r w:rsidR="0070335B" w:rsidRPr="00007024">
        <w:rPr>
          <w:rFonts w:asciiTheme="majorHAnsi" w:hAnsiTheme="majorHAnsi"/>
        </w:rPr>
        <w:t xml:space="preserve"> în proceduri prevăzute de Legea nr. 85/2014 la care APTL</w:t>
      </w:r>
      <w:r w:rsidRPr="00007024">
        <w:rPr>
          <w:rFonts w:asciiTheme="majorHAnsi" w:hAnsiTheme="majorHAnsi"/>
        </w:rPr>
        <w:t xml:space="preserve"> dețineau participații în sumă totală de </w:t>
      </w:r>
      <w:r w:rsidR="00007024" w:rsidRPr="00007024">
        <w:rPr>
          <w:rFonts w:asciiTheme="majorHAnsi" w:hAnsiTheme="majorHAnsi"/>
          <w:b/>
        </w:rPr>
        <w:t xml:space="preserve">431.059 </w:t>
      </w:r>
      <w:r w:rsidRPr="00007024">
        <w:rPr>
          <w:rFonts w:asciiTheme="majorHAnsi" w:hAnsiTheme="majorHAnsi"/>
          <w:b/>
        </w:rPr>
        <w:t>mii lei</w:t>
      </w:r>
      <w:r w:rsidR="00B94F74" w:rsidRPr="00007024">
        <w:rPr>
          <w:rFonts w:asciiTheme="majorHAnsi" w:hAnsiTheme="majorHAnsi"/>
          <w:b/>
        </w:rPr>
        <w:t xml:space="preserve"> </w:t>
      </w:r>
      <w:r w:rsidR="00365FC9" w:rsidRPr="00007024">
        <w:rPr>
          <w:rFonts w:asciiTheme="majorHAnsi" w:hAnsiTheme="majorHAnsi"/>
        </w:rPr>
        <w:t xml:space="preserve">și </w:t>
      </w:r>
      <w:r w:rsidR="004A3927" w:rsidRPr="00007024">
        <w:rPr>
          <w:rFonts w:asciiTheme="majorHAnsi" w:hAnsiTheme="majorHAnsi"/>
          <w:b/>
        </w:rPr>
        <w:t xml:space="preserve">prin </w:t>
      </w:r>
      <w:r w:rsidRPr="00007024">
        <w:rPr>
          <w:rFonts w:asciiTheme="majorHAnsi" w:hAnsiTheme="majorHAnsi"/>
          <w:b/>
        </w:rPr>
        <w:t>diminuarea participațiilor</w:t>
      </w:r>
      <w:r w:rsidRPr="00007024">
        <w:rPr>
          <w:rFonts w:asciiTheme="majorHAnsi" w:hAnsiTheme="majorHAnsi"/>
        </w:rPr>
        <w:t xml:space="preserve"> deținute de APTL la </w:t>
      </w:r>
      <w:r w:rsidR="000F178A" w:rsidRPr="00007024">
        <w:rPr>
          <w:rFonts w:asciiTheme="majorHAnsi" w:hAnsiTheme="majorHAnsi"/>
          <w:b/>
        </w:rPr>
        <w:t>3</w:t>
      </w:r>
      <w:r w:rsidR="00007024" w:rsidRPr="00007024">
        <w:rPr>
          <w:rFonts w:asciiTheme="majorHAnsi" w:hAnsiTheme="majorHAnsi"/>
          <w:b/>
        </w:rPr>
        <w:t>6</w:t>
      </w:r>
      <w:r w:rsidRPr="00007024">
        <w:rPr>
          <w:rFonts w:asciiTheme="majorHAnsi" w:hAnsiTheme="majorHAnsi"/>
          <w:b/>
        </w:rPr>
        <w:t xml:space="preserve"> ÎPL</w:t>
      </w:r>
      <w:r w:rsidRPr="00007024">
        <w:rPr>
          <w:rFonts w:asciiTheme="majorHAnsi" w:hAnsiTheme="majorHAnsi"/>
        </w:rPr>
        <w:t xml:space="preserve"> cu suma totală de </w:t>
      </w:r>
      <w:r w:rsidR="00007024" w:rsidRPr="00007024">
        <w:rPr>
          <w:rFonts w:asciiTheme="majorHAnsi" w:hAnsiTheme="majorHAnsi"/>
          <w:b/>
        </w:rPr>
        <w:t xml:space="preserve">90.050 </w:t>
      </w:r>
      <w:r w:rsidRPr="00007024">
        <w:rPr>
          <w:rFonts w:asciiTheme="majorHAnsi" w:hAnsiTheme="majorHAnsi"/>
          <w:b/>
        </w:rPr>
        <w:t>mii lei</w:t>
      </w:r>
      <w:r w:rsidR="00EF36B1" w:rsidRPr="00007024">
        <w:rPr>
          <w:rFonts w:asciiTheme="majorHAnsi" w:hAnsiTheme="majorHAnsi"/>
        </w:rPr>
        <w:t>.</w:t>
      </w:r>
    </w:p>
    <w:p w14:paraId="13E81B39" w14:textId="77777777" w:rsidR="00F4562D" w:rsidRDefault="00F4562D" w:rsidP="001D30B3">
      <w:pPr>
        <w:spacing w:beforeAutospacing="1" w:after="100" w:afterAutospacing="1"/>
        <w:jc w:val="both"/>
        <w:rPr>
          <w:rFonts w:asciiTheme="majorHAnsi" w:hAnsiTheme="majorHAnsi"/>
        </w:rPr>
      </w:pPr>
    </w:p>
    <w:p w14:paraId="4A691101" w14:textId="77777777" w:rsidR="00F4562D" w:rsidRDefault="00F4562D" w:rsidP="001D30B3">
      <w:pPr>
        <w:spacing w:beforeAutospacing="1" w:after="100" w:afterAutospacing="1"/>
        <w:jc w:val="both"/>
        <w:rPr>
          <w:rFonts w:asciiTheme="majorHAnsi" w:hAnsiTheme="majorHAnsi"/>
        </w:rPr>
      </w:pPr>
    </w:p>
    <w:p w14:paraId="3BBE2F27" w14:textId="77777777" w:rsidR="00F4562D" w:rsidRDefault="00F4562D" w:rsidP="001D30B3">
      <w:pPr>
        <w:spacing w:beforeAutospacing="1" w:after="100" w:afterAutospacing="1"/>
        <w:jc w:val="both"/>
        <w:rPr>
          <w:rFonts w:asciiTheme="majorHAnsi" w:hAnsiTheme="majorHAnsi"/>
        </w:rPr>
      </w:pPr>
    </w:p>
    <w:p w14:paraId="0A23B234" w14:textId="77777777" w:rsidR="00F4562D" w:rsidRDefault="00F4562D" w:rsidP="001D30B3">
      <w:pPr>
        <w:spacing w:beforeAutospacing="1" w:after="100" w:afterAutospacing="1"/>
        <w:jc w:val="both"/>
        <w:rPr>
          <w:rFonts w:asciiTheme="majorHAnsi" w:hAnsiTheme="majorHAnsi"/>
        </w:rPr>
      </w:pPr>
    </w:p>
    <w:p w14:paraId="16782FDD" w14:textId="77777777" w:rsidR="00F4562D" w:rsidRDefault="00F4562D" w:rsidP="001D30B3">
      <w:pPr>
        <w:spacing w:beforeAutospacing="1" w:after="100" w:afterAutospacing="1"/>
        <w:jc w:val="both"/>
        <w:rPr>
          <w:rFonts w:asciiTheme="majorHAnsi" w:hAnsiTheme="majorHAnsi"/>
        </w:rPr>
      </w:pPr>
    </w:p>
    <w:p w14:paraId="1BD0E2E4" w14:textId="77777777" w:rsidR="00F4562D" w:rsidRDefault="00F4562D" w:rsidP="001D30B3">
      <w:pPr>
        <w:spacing w:beforeAutospacing="1" w:after="100" w:afterAutospacing="1"/>
        <w:jc w:val="both"/>
        <w:rPr>
          <w:rFonts w:asciiTheme="majorHAnsi" w:hAnsiTheme="majorHAnsi"/>
        </w:rPr>
      </w:pPr>
    </w:p>
    <w:p w14:paraId="379D01BF" w14:textId="77777777" w:rsidR="00F4562D" w:rsidRDefault="00F4562D" w:rsidP="001D30B3">
      <w:pPr>
        <w:spacing w:beforeAutospacing="1" w:after="100" w:afterAutospacing="1"/>
        <w:jc w:val="both"/>
        <w:rPr>
          <w:rFonts w:asciiTheme="majorHAnsi" w:hAnsiTheme="majorHAnsi"/>
        </w:rPr>
      </w:pPr>
    </w:p>
    <w:p w14:paraId="1D58C9B7" w14:textId="77777777" w:rsidR="00007024" w:rsidRDefault="00007024" w:rsidP="001D30B3">
      <w:pPr>
        <w:spacing w:beforeAutospacing="1" w:after="100" w:afterAutospacing="1"/>
        <w:jc w:val="both"/>
        <w:rPr>
          <w:rFonts w:asciiTheme="majorHAnsi" w:hAnsiTheme="majorHAnsi"/>
        </w:rPr>
      </w:pPr>
    </w:p>
    <w:p w14:paraId="723F3656" w14:textId="77777777" w:rsidR="00007024" w:rsidRDefault="00007024" w:rsidP="001D30B3">
      <w:pPr>
        <w:spacing w:beforeAutospacing="1" w:after="100" w:afterAutospacing="1"/>
        <w:jc w:val="both"/>
        <w:rPr>
          <w:rFonts w:asciiTheme="majorHAnsi" w:hAnsiTheme="majorHAnsi"/>
        </w:rPr>
      </w:pPr>
    </w:p>
    <w:p w14:paraId="7E147EAB" w14:textId="77777777" w:rsidR="00F4562D" w:rsidRDefault="00F4562D" w:rsidP="001D30B3">
      <w:pPr>
        <w:spacing w:beforeAutospacing="1" w:after="100" w:afterAutospacing="1"/>
        <w:jc w:val="both"/>
        <w:rPr>
          <w:rFonts w:asciiTheme="majorHAnsi" w:hAnsiTheme="majorHAnsi"/>
        </w:rPr>
      </w:pPr>
    </w:p>
    <w:p w14:paraId="734C6905" w14:textId="77777777" w:rsidR="00F4562D" w:rsidRDefault="00F4562D" w:rsidP="001D30B3">
      <w:pPr>
        <w:spacing w:beforeAutospacing="1" w:after="100" w:afterAutospacing="1"/>
        <w:jc w:val="both"/>
        <w:rPr>
          <w:rFonts w:asciiTheme="majorHAnsi" w:hAnsiTheme="majorHAnsi"/>
        </w:rPr>
      </w:pPr>
    </w:p>
    <w:p w14:paraId="5565CB3E" w14:textId="77777777" w:rsidR="00F4562D" w:rsidRDefault="00F4562D" w:rsidP="001D30B3">
      <w:pPr>
        <w:spacing w:beforeAutospacing="1" w:after="100" w:afterAutospacing="1"/>
        <w:jc w:val="both"/>
        <w:rPr>
          <w:rFonts w:asciiTheme="majorHAnsi" w:hAnsiTheme="majorHAnsi"/>
        </w:rPr>
      </w:pPr>
    </w:p>
    <w:p w14:paraId="3D32EF0D" w14:textId="77777777" w:rsidR="00F4562D" w:rsidRDefault="00F4562D" w:rsidP="001D30B3">
      <w:pPr>
        <w:spacing w:beforeAutospacing="1" w:after="100" w:afterAutospacing="1"/>
        <w:jc w:val="both"/>
        <w:rPr>
          <w:rFonts w:asciiTheme="majorHAnsi" w:hAnsiTheme="majorHAnsi"/>
        </w:rPr>
      </w:pPr>
    </w:p>
    <w:p w14:paraId="6609A448" w14:textId="77777777" w:rsidR="00F4562D" w:rsidRDefault="00F4562D" w:rsidP="001D30B3">
      <w:pPr>
        <w:spacing w:beforeAutospacing="1" w:after="100" w:afterAutospacing="1"/>
        <w:jc w:val="both"/>
        <w:rPr>
          <w:rFonts w:asciiTheme="majorHAnsi" w:hAnsiTheme="majorHAnsi"/>
        </w:rPr>
      </w:pPr>
    </w:p>
    <w:p w14:paraId="1AF040D7" w14:textId="77777777" w:rsidR="00F4562D" w:rsidRDefault="00F4562D" w:rsidP="001D30B3">
      <w:pPr>
        <w:spacing w:beforeAutospacing="1" w:after="100" w:afterAutospacing="1"/>
        <w:jc w:val="both"/>
        <w:rPr>
          <w:rFonts w:asciiTheme="majorHAnsi" w:hAnsiTheme="majorHAnsi"/>
        </w:rPr>
      </w:pPr>
    </w:p>
    <w:p w14:paraId="0DF4340D" w14:textId="77777777" w:rsidR="009E2EBE" w:rsidRDefault="009E2EBE" w:rsidP="001D30B3">
      <w:pPr>
        <w:spacing w:beforeAutospacing="1" w:after="100" w:afterAutospacing="1"/>
        <w:jc w:val="both"/>
        <w:rPr>
          <w:rFonts w:asciiTheme="majorHAnsi" w:hAnsiTheme="majorHAnsi"/>
        </w:rPr>
      </w:pPr>
    </w:p>
    <w:p w14:paraId="6C7D962F" w14:textId="77777777" w:rsidR="00F4562D" w:rsidRPr="00D95C57" w:rsidRDefault="00F4562D" w:rsidP="001D30B3">
      <w:pPr>
        <w:spacing w:beforeAutospacing="1" w:after="100" w:afterAutospacing="1"/>
        <w:jc w:val="both"/>
        <w:rPr>
          <w:rFonts w:asciiTheme="majorHAnsi" w:hAnsiTheme="majorHAnsi"/>
        </w:rPr>
      </w:pPr>
    </w:p>
    <w:p w14:paraId="28F78382" w14:textId="77777777" w:rsidR="00AA57F8" w:rsidRPr="00522CC8" w:rsidRDefault="00AA57F8" w:rsidP="00AA57F8">
      <w:pPr>
        <w:pStyle w:val="ListParagraph"/>
        <w:ind w:left="0"/>
        <w:jc w:val="both"/>
        <w:outlineLvl w:val="1"/>
        <w:rPr>
          <w:rFonts w:asciiTheme="majorHAnsi" w:hAnsiTheme="majorHAnsi"/>
          <w:b/>
          <w:bCs/>
          <w:color w:val="0F6FC6" w:themeColor="accent1"/>
          <w:sz w:val="32"/>
          <w:szCs w:val="32"/>
        </w:rPr>
      </w:pPr>
      <w:bookmarkStart w:id="104" w:name="_Toc490763536"/>
      <w:bookmarkStart w:id="105" w:name="_Toc490763717"/>
      <w:bookmarkStart w:id="106" w:name="_Toc490763885"/>
      <w:bookmarkStart w:id="107" w:name="_Toc87875963"/>
      <w:r w:rsidRPr="00522CC8">
        <w:rPr>
          <w:rFonts w:asciiTheme="majorHAnsi" w:hAnsiTheme="majorHAnsi"/>
          <w:b/>
          <w:bCs/>
          <w:color w:val="0F6FC6" w:themeColor="accent1"/>
          <w:sz w:val="32"/>
          <w:szCs w:val="32"/>
        </w:rPr>
        <w:t xml:space="preserve">Capitolul </w:t>
      </w:r>
      <w:r w:rsidR="00000374">
        <w:rPr>
          <w:rFonts w:asciiTheme="majorHAnsi" w:hAnsiTheme="majorHAnsi"/>
          <w:b/>
          <w:bCs/>
          <w:color w:val="0F6FC6" w:themeColor="accent1"/>
          <w:sz w:val="32"/>
          <w:szCs w:val="32"/>
        </w:rPr>
        <w:t>3</w:t>
      </w:r>
      <w:r w:rsidRPr="00522CC8">
        <w:rPr>
          <w:rFonts w:asciiTheme="majorHAnsi" w:hAnsiTheme="majorHAnsi"/>
          <w:b/>
          <w:bCs/>
          <w:color w:val="0F6FC6" w:themeColor="accent1"/>
          <w:sz w:val="32"/>
          <w:szCs w:val="32"/>
        </w:rPr>
        <w:t xml:space="preserve"> – Principalii indicatori economico-financiari înregistrați în anul 20</w:t>
      </w:r>
      <w:r w:rsidR="009E2EBE">
        <w:rPr>
          <w:rFonts w:asciiTheme="majorHAnsi" w:hAnsiTheme="majorHAnsi"/>
          <w:b/>
          <w:bCs/>
          <w:color w:val="0F6FC6" w:themeColor="accent1"/>
          <w:sz w:val="32"/>
          <w:szCs w:val="32"/>
        </w:rPr>
        <w:t>20</w:t>
      </w:r>
      <w:r w:rsidRPr="00522CC8">
        <w:rPr>
          <w:rFonts w:asciiTheme="majorHAnsi" w:hAnsiTheme="majorHAnsi"/>
          <w:b/>
          <w:bCs/>
          <w:color w:val="0F6FC6" w:themeColor="accent1"/>
          <w:sz w:val="32"/>
          <w:szCs w:val="32"/>
        </w:rPr>
        <w:t xml:space="preserve"> de </w:t>
      </w:r>
      <w:bookmarkEnd w:id="104"/>
      <w:bookmarkEnd w:id="105"/>
      <w:bookmarkEnd w:id="106"/>
      <w:r w:rsidRPr="00522CC8">
        <w:rPr>
          <w:rFonts w:asciiTheme="majorHAnsi" w:hAnsiTheme="majorHAnsi"/>
          <w:b/>
          <w:bCs/>
          <w:color w:val="0F6FC6" w:themeColor="accent1"/>
          <w:sz w:val="32"/>
          <w:szCs w:val="32"/>
        </w:rPr>
        <w:t>întreprinderile publice locale</w:t>
      </w:r>
      <w:bookmarkEnd w:id="107"/>
    </w:p>
    <w:p w14:paraId="3A7CE493" w14:textId="77777777" w:rsidR="00000374" w:rsidRDefault="00000374" w:rsidP="00A06393">
      <w:pPr>
        <w:pStyle w:val="ListParagraph"/>
        <w:ind w:left="0"/>
        <w:rPr>
          <w:rFonts w:asciiTheme="majorHAnsi" w:hAnsiTheme="majorHAnsi"/>
          <w:b/>
          <w:bCs/>
          <w:color w:val="0F6FC6" w:themeColor="accent1"/>
          <w:sz w:val="28"/>
          <w:szCs w:val="28"/>
        </w:rPr>
      </w:pPr>
    </w:p>
    <w:p w14:paraId="6459A6C7" w14:textId="77777777" w:rsidR="00AA57F8" w:rsidRPr="00522CC8" w:rsidRDefault="00000374" w:rsidP="00AA57F8">
      <w:pPr>
        <w:pStyle w:val="ListParagraph"/>
        <w:ind w:left="0"/>
        <w:outlineLvl w:val="2"/>
        <w:rPr>
          <w:color w:val="0F6FC6" w:themeColor="accent1"/>
        </w:rPr>
      </w:pPr>
      <w:bookmarkStart w:id="108" w:name="_Toc87875964"/>
      <w:r>
        <w:rPr>
          <w:rFonts w:asciiTheme="majorHAnsi" w:hAnsiTheme="majorHAnsi"/>
          <w:b/>
          <w:bCs/>
          <w:color w:val="0F6FC6" w:themeColor="accent1"/>
          <w:sz w:val="28"/>
          <w:szCs w:val="28"/>
        </w:rPr>
        <w:t>3</w:t>
      </w:r>
      <w:r w:rsidR="00AA57F8" w:rsidRPr="00522CC8">
        <w:rPr>
          <w:rFonts w:asciiTheme="majorHAnsi" w:hAnsiTheme="majorHAnsi"/>
          <w:b/>
          <w:bCs/>
          <w:color w:val="0F6FC6" w:themeColor="accent1"/>
          <w:sz w:val="28"/>
          <w:szCs w:val="28"/>
        </w:rPr>
        <w:t>.1 – Principalii indicatori economico-financiari ai întreprinderilor publice locale</w:t>
      </w:r>
      <w:bookmarkEnd w:id="108"/>
      <w:r w:rsidR="00AA57F8" w:rsidRPr="00522CC8">
        <w:rPr>
          <w:color w:val="0F6FC6" w:themeColor="accent1"/>
        </w:rPr>
        <w:t xml:space="preserve">   </w:t>
      </w:r>
    </w:p>
    <w:p w14:paraId="5E601627" w14:textId="77777777" w:rsidR="00095067" w:rsidRDefault="00095067" w:rsidP="00095067">
      <w:pPr>
        <w:spacing w:before="0" w:after="0"/>
        <w:contextualSpacing/>
        <w:jc w:val="both"/>
        <w:rPr>
          <w:rFonts w:asciiTheme="majorHAnsi" w:hAnsiTheme="majorHAnsi" w:cs="Times New Roman"/>
          <w:bCs/>
        </w:rPr>
      </w:pPr>
    </w:p>
    <w:p w14:paraId="273ECBA8" w14:textId="77777777" w:rsidR="00095067" w:rsidRDefault="00095067" w:rsidP="00B2472E">
      <w:pPr>
        <w:spacing w:before="0" w:after="0"/>
        <w:contextualSpacing/>
        <w:jc w:val="both"/>
        <w:rPr>
          <w:rFonts w:asciiTheme="majorHAnsi" w:hAnsiTheme="majorHAnsi" w:cs="Times New Roman"/>
          <w:bCs/>
          <w:color w:val="0F6FC6" w:themeColor="accent1"/>
        </w:rPr>
      </w:pPr>
      <w:r w:rsidRPr="00095067">
        <w:rPr>
          <w:rFonts w:asciiTheme="majorHAnsi" w:hAnsiTheme="majorHAnsi" w:cs="Times New Roman"/>
          <w:bCs/>
        </w:rPr>
        <w:t>TABEL - Evoluția unor indicatori economico-financiari înregistrați de ÎPL la 31 decembrie 2020 în perioada 2018-2</w:t>
      </w:r>
      <w:r>
        <w:rPr>
          <w:rFonts w:asciiTheme="majorHAnsi" w:hAnsiTheme="majorHAnsi" w:cs="Times New Roman"/>
          <w:bCs/>
        </w:rPr>
        <w:t>020, determinată prin însumarea</w:t>
      </w:r>
      <w:r w:rsidRPr="00095067">
        <w:rPr>
          <w:rFonts w:asciiTheme="majorHAnsi" w:hAnsiTheme="majorHAnsi" w:cs="Times New Roman"/>
          <w:bCs/>
        </w:rPr>
        <w:t xml:space="preserve"> datelor din situațiile financiare anuale:</w:t>
      </w:r>
      <w:r w:rsidRPr="00095067">
        <w:rPr>
          <w:rFonts w:asciiTheme="majorHAnsi" w:hAnsiTheme="majorHAnsi" w:cs="Times New Roman"/>
          <w:bCs/>
        </w:rPr>
        <w:tab/>
      </w:r>
      <w:r>
        <w:rPr>
          <w:rFonts w:asciiTheme="majorHAnsi" w:hAnsiTheme="majorHAnsi" w:cs="Times New Roman"/>
          <w:bCs/>
          <w:color w:val="0F6FC6" w:themeColor="accent1"/>
        </w:rPr>
        <w:tab/>
      </w:r>
      <w:r>
        <w:rPr>
          <w:rFonts w:asciiTheme="majorHAnsi" w:hAnsiTheme="majorHAnsi" w:cs="Times New Roman"/>
          <w:bCs/>
          <w:color w:val="0F6FC6" w:themeColor="accent1"/>
        </w:rPr>
        <w:tab/>
      </w:r>
      <w:r>
        <w:rPr>
          <w:rFonts w:asciiTheme="majorHAnsi" w:hAnsiTheme="majorHAnsi" w:cs="Times New Roman"/>
          <w:bCs/>
          <w:color w:val="0F6FC6" w:themeColor="accent1"/>
        </w:rPr>
        <w:tab/>
      </w:r>
    </w:p>
    <w:p w14:paraId="2F17BEAE" w14:textId="77777777" w:rsidR="00095067" w:rsidRDefault="00095067" w:rsidP="00B2472E">
      <w:pPr>
        <w:spacing w:before="0" w:after="0"/>
        <w:contextualSpacing/>
        <w:jc w:val="both"/>
        <w:rPr>
          <w:rFonts w:asciiTheme="majorHAnsi" w:hAnsiTheme="majorHAnsi" w:cs="Times New Roman"/>
          <w:bCs/>
          <w:color w:val="0F6FC6" w:themeColor="accent1"/>
        </w:rPr>
      </w:pPr>
    </w:p>
    <w:tbl>
      <w:tblPr>
        <w:tblW w:w="9092" w:type="dxa"/>
        <w:tblInd w:w="93" w:type="dxa"/>
        <w:tblLook w:val="04A0" w:firstRow="1" w:lastRow="0" w:firstColumn="1" w:lastColumn="0" w:noHBand="0" w:noVBand="1"/>
      </w:tblPr>
      <w:tblGrid>
        <w:gridCol w:w="2359"/>
        <w:gridCol w:w="1405"/>
        <w:gridCol w:w="1224"/>
        <w:gridCol w:w="1542"/>
        <w:gridCol w:w="1383"/>
        <w:gridCol w:w="1179"/>
      </w:tblGrid>
      <w:tr w:rsidR="00095067" w:rsidRPr="00095067" w14:paraId="0D926116" w14:textId="77777777" w:rsidTr="00095067">
        <w:trPr>
          <w:trHeight w:val="587"/>
        </w:trPr>
        <w:tc>
          <w:tcPr>
            <w:tcW w:w="2359" w:type="dxa"/>
            <w:vMerge w:val="restart"/>
            <w:tcBorders>
              <w:top w:val="single" w:sz="4" w:space="0" w:color="95B3D7"/>
              <w:left w:val="nil"/>
              <w:bottom w:val="single" w:sz="4" w:space="0" w:color="95B3D7"/>
              <w:right w:val="nil"/>
            </w:tcBorders>
            <w:shd w:val="clear" w:color="000000" w:fill="FFFFFF"/>
            <w:hideMark/>
          </w:tcPr>
          <w:p w14:paraId="3CFADA19"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r w:rsidRPr="00642BB3">
              <w:rPr>
                <w:rFonts w:ascii="Calibri" w:eastAsia="Times New Roman" w:hAnsi="Calibri" w:cs="Calibri"/>
                <w:bCs/>
                <w:color w:val="0F6FC6" w:themeColor="accent1"/>
                <w:sz w:val="16"/>
                <w:szCs w:val="14"/>
                <w:lang w:val="en-US"/>
              </w:rPr>
              <w:t>Indicatori economico-financiari</w:t>
            </w:r>
          </w:p>
        </w:tc>
        <w:tc>
          <w:tcPr>
            <w:tcW w:w="1405" w:type="dxa"/>
            <w:vMerge w:val="restart"/>
            <w:tcBorders>
              <w:top w:val="single" w:sz="4" w:space="0" w:color="95B3D7"/>
              <w:left w:val="nil"/>
              <w:bottom w:val="single" w:sz="4" w:space="0" w:color="95B3D7"/>
              <w:right w:val="nil"/>
            </w:tcBorders>
            <w:shd w:val="clear" w:color="000000" w:fill="FFFFFF"/>
            <w:noWrap/>
            <w:hideMark/>
          </w:tcPr>
          <w:p w14:paraId="7E8DD675" w14:textId="77777777" w:rsidR="00095067" w:rsidRPr="00642BB3" w:rsidRDefault="00095067" w:rsidP="00095067">
            <w:pPr>
              <w:spacing w:before="0" w:after="0" w:line="240" w:lineRule="auto"/>
              <w:jc w:val="right"/>
              <w:rPr>
                <w:rFonts w:ascii="Calibri" w:eastAsia="Times New Roman" w:hAnsi="Calibri" w:cs="Calibri"/>
                <w:bCs/>
                <w:color w:val="0F6FC6" w:themeColor="accent1"/>
                <w:sz w:val="16"/>
                <w:szCs w:val="14"/>
                <w:lang w:val="en-US"/>
              </w:rPr>
            </w:pPr>
            <w:r w:rsidRPr="00642BB3">
              <w:rPr>
                <w:rFonts w:ascii="Calibri" w:eastAsia="Times New Roman" w:hAnsi="Calibri" w:cs="Calibri"/>
                <w:bCs/>
                <w:color w:val="0F6FC6" w:themeColor="accent1"/>
                <w:sz w:val="16"/>
                <w:szCs w:val="14"/>
                <w:lang w:val="en-US"/>
              </w:rPr>
              <w:t>U.M.</w:t>
            </w:r>
          </w:p>
        </w:tc>
        <w:tc>
          <w:tcPr>
            <w:tcW w:w="1224" w:type="dxa"/>
            <w:vMerge w:val="restart"/>
            <w:tcBorders>
              <w:top w:val="single" w:sz="4" w:space="0" w:color="95B3D7"/>
              <w:left w:val="nil"/>
              <w:bottom w:val="single" w:sz="4" w:space="0" w:color="95B3D7"/>
              <w:right w:val="nil"/>
            </w:tcBorders>
            <w:shd w:val="clear" w:color="000000" w:fill="FFFFFF"/>
            <w:noWrap/>
            <w:hideMark/>
          </w:tcPr>
          <w:p w14:paraId="22693D7E" w14:textId="77777777" w:rsidR="00095067" w:rsidRPr="00642BB3" w:rsidRDefault="00095067" w:rsidP="00095067">
            <w:pPr>
              <w:spacing w:before="0" w:after="0" w:line="240" w:lineRule="auto"/>
              <w:jc w:val="right"/>
              <w:rPr>
                <w:rFonts w:ascii="Calibri" w:eastAsia="Times New Roman" w:hAnsi="Calibri" w:cs="Calibri"/>
                <w:bCs/>
                <w:color w:val="0F6FC6" w:themeColor="accent1"/>
                <w:sz w:val="16"/>
                <w:szCs w:val="14"/>
                <w:lang w:val="en-US"/>
              </w:rPr>
            </w:pPr>
            <w:r w:rsidRPr="00642BB3">
              <w:rPr>
                <w:rFonts w:ascii="Calibri" w:eastAsia="Times New Roman" w:hAnsi="Calibri" w:cs="Calibri"/>
                <w:bCs/>
                <w:color w:val="0F6FC6" w:themeColor="accent1"/>
                <w:sz w:val="16"/>
                <w:szCs w:val="14"/>
                <w:lang w:val="en-US"/>
              </w:rPr>
              <w:t>Anul</w:t>
            </w:r>
          </w:p>
        </w:tc>
        <w:tc>
          <w:tcPr>
            <w:tcW w:w="1542"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3A68CF55" w14:textId="77777777" w:rsidR="00095067" w:rsidRPr="00642BB3" w:rsidRDefault="00095067" w:rsidP="00095067">
            <w:pPr>
              <w:spacing w:before="0" w:after="0" w:line="240" w:lineRule="auto"/>
              <w:jc w:val="right"/>
              <w:rPr>
                <w:rFonts w:ascii="Calibri" w:eastAsia="Times New Roman" w:hAnsi="Calibri" w:cs="Calibri"/>
                <w:bCs/>
                <w:color w:val="0F6FC6" w:themeColor="accent1"/>
                <w:sz w:val="16"/>
                <w:szCs w:val="14"/>
                <w:lang w:val="en-US"/>
              </w:rPr>
            </w:pPr>
            <w:r w:rsidRPr="00642BB3">
              <w:rPr>
                <w:rFonts w:ascii="Calibri" w:eastAsia="Times New Roman" w:hAnsi="Calibri" w:cs="Calibri"/>
                <w:bCs/>
                <w:color w:val="0F6FC6" w:themeColor="accent1"/>
                <w:sz w:val="16"/>
                <w:szCs w:val="14"/>
                <w:lang w:val="en-US"/>
              </w:rPr>
              <w:t xml:space="preserve">ÎPL ACTIVE care au date comparative pe întreaga perioadă </w:t>
            </w:r>
          </w:p>
        </w:tc>
        <w:tc>
          <w:tcPr>
            <w:tcW w:w="1383"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61E6D16F" w14:textId="77777777" w:rsidR="00095067" w:rsidRPr="00642BB3" w:rsidRDefault="00095067" w:rsidP="00095067">
            <w:pPr>
              <w:spacing w:before="0" w:after="0" w:line="240" w:lineRule="auto"/>
              <w:jc w:val="right"/>
              <w:rPr>
                <w:rFonts w:ascii="Calibri" w:eastAsia="Times New Roman" w:hAnsi="Calibri" w:cs="Calibri"/>
                <w:bCs/>
                <w:color w:val="0F6FC6" w:themeColor="accent1"/>
                <w:sz w:val="16"/>
                <w:szCs w:val="14"/>
                <w:lang w:val="en-US"/>
              </w:rPr>
            </w:pPr>
            <w:r w:rsidRPr="00642BB3">
              <w:rPr>
                <w:rFonts w:ascii="Calibri" w:eastAsia="Times New Roman" w:hAnsi="Calibri" w:cs="Calibri"/>
                <w:bCs/>
                <w:color w:val="0F6FC6" w:themeColor="accent1"/>
                <w:sz w:val="16"/>
                <w:szCs w:val="14"/>
                <w:lang w:val="en-US"/>
              </w:rPr>
              <w:t>ÎPL ACTIVE care nu au date comparative pe întreaga perioadă</w:t>
            </w:r>
          </w:p>
        </w:tc>
        <w:tc>
          <w:tcPr>
            <w:tcW w:w="1179"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6EFD7C31" w14:textId="77777777" w:rsidR="00095067" w:rsidRPr="00642BB3" w:rsidRDefault="00095067" w:rsidP="00095067">
            <w:pPr>
              <w:spacing w:before="0" w:after="0" w:line="240" w:lineRule="auto"/>
              <w:jc w:val="right"/>
              <w:rPr>
                <w:rFonts w:ascii="Calibri" w:eastAsia="Times New Roman" w:hAnsi="Calibri" w:cs="Calibri"/>
                <w:bCs/>
                <w:color w:val="0F6FC6" w:themeColor="accent1"/>
                <w:sz w:val="16"/>
                <w:szCs w:val="14"/>
                <w:lang w:val="en-US"/>
              </w:rPr>
            </w:pPr>
            <w:r w:rsidRPr="00642BB3">
              <w:rPr>
                <w:rFonts w:ascii="Calibri" w:eastAsia="Times New Roman" w:hAnsi="Calibri" w:cs="Calibri"/>
                <w:bCs/>
                <w:color w:val="0F6FC6" w:themeColor="accent1"/>
                <w:sz w:val="16"/>
                <w:szCs w:val="14"/>
                <w:lang w:val="en-US"/>
              </w:rPr>
              <w:t>Total general ÎPL Active</w:t>
            </w:r>
          </w:p>
        </w:tc>
      </w:tr>
      <w:tr w:rsidR="00095067" w:rsidRPr="00095067" w14:paraId="5DEB587C" w14:textId="77777777" w:rsidTr="00095067">
        <w:trPr>
          <w:trHeight w:val="581"/>
        </w:trPr>
        <w:tc>
          <w:tcPr>
            <w:tcW w:w="2359" w:type="dxa"/>
            <w:vMerge/>
            <w:tcBorders>
              <w:top w:val="single" w:sz="4" w:space="0" w:color="95B3D7"/>
              <w:left w:val="nil"/>
              <w:bottom w:val="single" w:sz="4" w:space="0" w:color="95B3D7"/>
              <w:right w:val="nil"/>
            </w:tcBorders>
            <w:vAlign w:val="center"/>
            <w:hideMark/>
          </w:tcPr>
          <w:p w14:paraId="43A33114"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405" w:type="dxa"/>
            <w:vMerge/>
            <w:tcBorders>
              <w:top w:val="single" w:sz="4" w:space="0" w:color="95B3D7"/>
              <w:left w:val="nil"/>
              <w:bottom w:val="single" w:sz="4" w:space="0" w:color="95B3D7"/>
              <w:right w:val="nil"/>
            </w:tcBorders>
            <w:vAlign w:val="center"/>
            <w:hideMark/>
          </w:tcPr>
          <w:p w14:paraId="669EACEC"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224" w:type="dxa"/>
            <w:vMerge/>
            <w:tcBorders>
              <w:top w:val="single" w:sz="4" w:space="0" w:color="95B3D7"/>
              <w:left w:val="nil"/>
              <w:bottom w:val="single" w:sz="4" w:space="0" w:color="95B3D7"/>
              <w:right w:val="nil"/>
            </w:tcBorders>
            <w:vAlign w:val="center"/>
            <w:hideMark/>
          </w:tcPr>
          <w:p w14:paraId="705CBFB6"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542" w:type="dxa"/>
            <w:vMerge/>
            <w:tcBorders>
              <w:top w:val="single" w:sz="4" w:space="0" w:color="95B3D7"/>
              <w:left w:val="single" w:sz="4" w:space="0" w:color="FFFFFF"/>
              <w:bottom w:val="single" w:sz="4" w:space="0" w:color="95B3D7"/>
              <w:right w:val="single" w:sz="4" w:space="0" w:color="FFFFFF"/>
            </w:tcBorders>
            <w:vAlign w:val="center"/>
            <w:hideMark/>
          </w:tcPr>
          <w:p w14:paraId="31338B20"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383" w:type="dxa"/>
            <w:vMerge/>
            <w:tcBorders>
              <w:top w:val="single" w:sz="4" w:space="0" w:color="95B3D7"/>
              <w:left w:val="single" w:sz="4" w:space="0" w:color="FFFFFF"/>
              <w:bottom w:val="single" w:sz="4" w:space="0" w:color="95B3D7"/>
              <w:right w:val="single" w:sz="4" w:space="0" w:color="FFFFFF"/>
            </w:tcBorders>
            <w:vAlign w:val="center"/>
            <w:hideMark/>
          </w:tcPr>
          <w:p w14:paraId="216D1495"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179" w:type="dxa"/>
            <w:vMerge/>
            <w:tcBorders>
              <w:top w:val="single" w:sz="4" w:space="0" w:color="95B3D7"/>
              <w:left w:val="single" w:sz="4" w:space="0" w:color="FFFFFF"/>
              <w:bottom w:val="single" w:sz="4" w:space="0" w:color="95B3D7"/>
              <w:right w:val="single" w:sz="4" w:space="0" w:color="FFFFFF"/>
            </w:tcBorders>
            <w:vAlign w:val="center"/>
            <w:hideMark/>
          </w:tcPr>
          <w:p w14:paraId="70BB5651"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r>
      <w:tr w:rsidR="00095067" w:rsidRPr="00095067" w14:paraId="5D0BE9E0" w14:textId="77777777" w:rsidTr="00095067">
        <w:trPr>
          <w:trHeight w:val="244"/>
        </w:trPr>
        <w:tc>
          <w:tcPr>
            <w:tcW w:w="2359" w:type="dxa"/>
            <w:vMerge/>
            <w:tcBorders>
              <w:top w:val="single" w:sz="4" w:space="0" w:color="95B3D7"/>
              <w:left w:val="nil"/>
              <w:bottom w:val="single" w:sz="4" w:space="0" w:color="95B3D7"/>
              <w:right w:val="nil"/>
            </w:tcBorders>
            <w:vAlign w:val="center"/>
            <w:hideMark/>
          </w:tcPr>
          <w:p w14:paraId="28AE7F04"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405" w:type="dxa"/>
            <w:vMerge/>
            <w:tcBorders>
              <w:top w:val="single" w:sz="4" w:space="0" w:color="95B3D7"/>
              <w:left w:val="nil"/>
              <w:bottom w:val="single" w:sz="4" w:space="0" w:color="95B3D7"/>
              <w:right w:val="nil"/>
            </w:tcBorders>
            <w:vAlign w:val="center"/>
            <w:hideMark/>
          </w:tcPr>
          <w:p w14:paraId="494B7A7E"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224" w:type="dxa"/>
            <w:vMerge/>
            <w:tcBorders>
              <w:top w:val="single" w:sz="4" w:space="0" w:color="95B3D7"/>
              <w:left w:val="nil"/>
              <w:bottom w:val="single" w:sz="4" w:space="0" w:color="95B3D7"/>
              <w:right w:val="nil"/>
            </w:tcBorders>
            <w:vAlign w:val="center"/>
            <w:hideMark/>
          </w:tcPr>
          <w:p w14:paraId="6FA71CE5" w14:textId="77777777" w:rsidR="00095067" w:rsidRPr="00642BB3" w:rsidRDefault="00095067" w:rsidP="00095067">
            <w:pPr>
              <w:spacing w:before="0" w:after="0" w:line="240" w:lineRule="auto"/>
              <w:rPr>
                <w:rFonts w:ascii="Calibri" w:eastAsia="Times New Roman" w:hAnsi="Calibri" w:cs="Calibri"/>
                <w:bCs/>
                <w:color w:val="0F6FC6" w:themeColor="accent1"/>
                <w:sz w:val="16"/>
                <w:szCs w:val="14"/>
                <w:lang w:val="en-US"/>
              </w:rPr>
            </w:pPr>
          </w:p>
        </w:tc>
        <w:tc>
          <w:tcPr>
            <w:tcW w:w="1542" w:type="dxa"/>
            <w:tcBorders>
              <w:top w:val="nil"/>
              <w:left w:val="nil"/>
              <w:bottom w:val="single" w:sz="4" w:space="0" w:color="95B3D7"/>
              <w:right w:val="nil"/>
            </w:tcBorders>
            <w:shd w:val="clear" w:color="000000" w:fill="FFFFFF"/>
            <w:hideMark/>
          </w:tcPr>
          <w:p w14:paraId="790C7752" w14:textId="77777777" w:rsidR="00095067" w:rsidRPr="00642BB3" w:rsidRDefault="00095067" w:rsidP="00095067">
            <w:pPr>
              <w:spacing w:before="0" w:after="0" w:line="240" w:lineRule="auto"/>
              <w:jc w:val="right"/>
              <w:rPr>
                <w:rFonts w:ascii="Calibri" w:eastAsia="Times New Roman" w:hAnsi="Calibri" w:cs="Calibri"/>
                <w:bCs/>
                <w:i/>
                <w:iCs/>
                <w:color w:val="0F6FC6" w:themeColor="accent1"/>
                <w:sz w:val="16"/>
                <w:szCs w:val="14"/>
                <w:lang w:val="en-US"/>
              </w:rPr>
            </w:pPr>
            <w:r w:rsidRPr="00642BB3">
              <w:rPr>
                <w:rFonts w:ascii="Calibri" w:eastAsia="Times New Roman" w:hAnsi="Calibri" w:cs="Calibri"/>
                <w:bCs/>
                <w:i/>
                <w:iCs/>
                <w:color w:val="0F6FC6" w:themeColor="accent1"/>
                <w:sz w:val="16"/>
                <w:szCs w:val="14"/>
                <w:lang w:val="en-US"/>
              </w:rPr>
              <w:t>1</w:t>
            </w:r>
          </w:p>
        </w:tc>
        <w:tc>
          <w:tcPr>
            <w:tcW w:w="1383" w:type="dxa"/>
            <w:tcBorders>
              <w:top w:val="nil"/>
              <w:left w:val="nil"/>
              <w:bottom w:val="single" w:sz="4" w:space="0" w:color="95B3D7"/>
              <w:right w:val="nil"/>
            </w:tcBorders>
            <w:shd w:val="clear" w:color="000000" w:fill="FFFFFF"/>
            <w:hideMark/>
          </w:tcPr>
          <w:p w14:paraId="6E4A87FC" w14:textId="77777777" w:rsidR="00095067" w:rsidRPr="00642BB3" w:rsidRDefault="00095067" w:rsidP="00095067">
            <w:pPr>
              <w:spacing w:before="0" w:after="0" w:line="240" w:lineRule="auto"/>
              <w:jc w:val="right"/>
              <w:rPr>
                <w:rFonts w:ascii="Calibri" w:eastAsia="Times New Roman" w:hAnsi="Calibri" w:cs="Calibri"/>
                <w:bCs/>
                <w:i/>
                <w:iCs/>
                <w:color w:val="0F6FC6" w:themeColor="accent1"/>
                <w:sz w:val="16"/>
                <w:szCs w:val="14"/>
                <w:lang w:val="en-US"/>
              </w:rPr>
            </w:pPr>
            <w:r w:rsidRPr="00642BB3">
              <w:rPr>
                <w:rFonts w:ascii="Calibri" w:eastAsia="Times New Roman" w:hAnsi="Calibri" w:cs="Calibri"/>
                <w:bCs/>
                <w:i/>
                <w:iCs/>
                <w:color w:val="0F6FC6" w:themeColor="accent1"/>
                <w:sz w:val="16"/>
                <w:szCs w:val="14"/>
                <w:lang w:val="en-US"/>
              </w:rPr>
              <w:t>2</w:t>
            </w:r>
          </w:p>
        </w:tc>
        <w:tc>
          <w:tcPr>
            <w:tcW w:w="1179" w:type="dxa"/>
            <w:tcBorders>
              <w:top w:val="nil"/>
              <w:left w:val="nil"/>
              <w:bottom w:val="single" w:sz="4" w:space="0" w:color="95B3D7"/>
              <w:right w:val="nil"/>
            </w:tcBorders>
            <w:shd w:val="clear" w:color="000000" w:fill="FFFFFF"/>
            <w:hideMark/>
          </w:tcPr>
          <w:p w14:paraId="3C4FD0D9" w14:textId="77777777" w:rsidR="00095067" w:rsidRPr="00642BB3" w:rsidRDefault="00095067" w:rsidP="00095067">
            <w:pPr>
              <w:spacing w:before="0" w:after="0" w:line="240" w:lineRule="auto"/>
              <w:jc w:val="right"/>
              <w:rPr>
                <w:rFonts w:ascii="Calibri" w:eastAsia="Times New Roman" w:hAnsi="Calibri" w:cs="Calibri"/>
                <w:i/>
                <w:iCs/>
                <w:color w:val="0F6FC6" w:themeColor="accent1"/>
                <w:sz w:val="16"/>
                <w:szCs w:val="14"/>
                <w:lang w:val="en-US"/>
              </w:rPr>
            </w:pPr>
            <w:r w:rsidRPr="00642BB3">
              <w:rPr>
                <w:rFonts w:ascii="Calibri" w:eastAsia="Times New Roman" w:hAnsi="Calibri" w:cs="Calibri"/>
                <w:i/>
                <w:iCs/>
                <w:color w:val="0F6FC6" w:themeColor="accent1"/>
                <w:sz w:val="16"/>
                <w:szCs w:val="14"/>
                <w:lang w:val="en-US"/>
              </w:rPr>
              <w:t>3=1+2</w:t>
            </w:r>
          </w:p>
        </w:tc>
      </w:tr>
      <w:tr w:rsidR="00095067" w:rsidRPr="00095067" w14:paraId="36ED0454" w14:textId="77777777" w:rsidTr="00095067">
        <w:trPr>
          <w:trHeight w:val="244"/>
        </w:trPr>
        <w:tc>
          <w:tcPr>
            <w:tcW w:w="2359" w:type="dxa"/>
            <w:vMerge w:val="restart"/>
            <w:tcBorders>
              <w:top w:val="nil"/>
              <w:left w:val="nil"/>
              <w:bottom w:val="nil"/>
            </w:tcBorders>
            <w:shd w:val="clear" w:color="auto" w:fill="auto"/>
            <w:hideMark/>
          </w:tcPr>
          <w:p w14:paraId="2D18166F" w14:textId="77777777" w:rsidR="00095067" w:rsidRPr="00642BB3" w:rsidRDefault="00095067" w:rsidP="00095067">
            <w:pPr>
              <w:spacing w:before="0" w:after="0" w:line="240" w:lineRule="auto"/>
              <w:rPr>
                <w:rFonts w:ascii="Calibri" w:eastAsia="Times New Roman" w:hAnsi="Calibri" w:cs="Calibri"/>
                <w:bCs/>
                <w:sz w:val="14"/>
                <w:szCs w:val="14"/>
                <w:lang w:val="en-US"/>
              </w:rPr>
            </w:pPr>
            <w:r w:rsidRPr="00642BB3">
              <w:rPr>
                <w:rFonts w:ascii="Calibri" w:eastAsia="Times New Roman" w:hAnsi="Calibri" w:cs="Calibri"/>
                <w:bCs/>
                <w:sz w:val="14"/>
                <w:szCs w:val="14"/>
                <w:lang w:val="en-US"/>
              </w:rPr>
              <w:t>Număr întreprinderi publice</w:t>
            </w:r>
          </w:p>
        </w:tc>
        <w:tc>
          <w:tcPr>
            <w:tcW w:w="1405" w:type="dxa"/>
            <w:tcBorders>
              <w:top w:val="single" w:sz="4" w:space="0" w:color="95B3D7"/>
              <w:bottom w:val="single" w:sz="4" w:space="0" w:color="95B3D7"/>
            </w:tcBorders>
            <w:shd w:val="clear" w:color="auto" w:fill="auto"/>
            <w:vAlign w:val="center"/>
            <w:hideMark/>
          </w:tcPr>
          <w:p w14:paraId="102174EC"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nr ÎPL</w:t>
            </w:r>
          </w:p>
        </w:tc>
        <w:tc>
          <w:tcPr>
            <w:tcW w:w="1224" w:type="dxa"/>
            <w:tcBorders>
              <w:top w:val="single" w:sz="4" w:space="0" w:color="95B3D7"/>
              <w:bottom w:val="single" w:sz="4" w:space="0" w:color="95B3D7"/>
            </w:tcBorders>
            <w:shd w:val="clear" w:color="auto" w:fill="auto"/>
            <w:vAlign w:val="center"/>
            <w:hideMark/>
          </w:tcPr>
          <w:p w14:paraId="6E8F37F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single" w:sz="4" w:space="0" w:color="95B3D7"/>
              <w:bottom w:val="single" w:sz="4" w:space="0" w:color="95B3D7"/>
            </w:tcBorders>
            <w:shd w:val="clear" w:color="auto" w:fill="auto"/>
            <w:vAlign w:val="center"/>
            <w:hideMark/>
          </w:tcPr>
          <w:p w14:paraId="0763858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1.134</w:t>
            </w:r>
          </w:p>
        </w:tc>
        <w:tc>
          <w:tcPr>
            <w:tcW w:w="1383" w:type="dxa"/>
            <w:tcBorders>
              <w:top w:val="single" w:sz="4" w:space="0" w:color="95B3D7"/>
              <w:bottom w:val="single" w:sz="4" w:space="0" w:color="95B3D7"/>
            </w:tcBorders>
            <w:shd w:val="clear" w:color="auto" w:fill="auto"/>
            <w:vAlign w:val="center"/>
            <w:hideMark/>
          </w:tcPr>
          <w:p w14:paraId="1005804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116</w:t>
            </w:r>
          </w:p>
        </w:tc>
        <w:tc>
          <w:tcPr>
            <w:tcW w:w="1179" w:type="dxa"/>
            <w:tcBorders>
              <w:top w:val="single" w:sz="4" w:space="0" w:color="95B3D7"/>
              <w:bottom w:val="single" w:sz="4" w:space="0" w:color="95B3D7"/>
            </w:tcBorders>
            <w:shd w:val="clear" w:color="auto" w:fill="auto"/>
            <w:vAlign w:val="center"/>
            <w:hideMark/>
          </w:tcPr>
          <w:p w14:paraId="3E17ED0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1.250</w:t>
            </w:r>
          </w:p>
        </w:tc>
      </w:tr>
      <w:tr w:rsidR="00095067" w:rsidRPr="00095067" w14:paraId="29815D43" w14:textId="77777777" w:rsidTr="00095067">
        <w:trPr>
          <w:trHeight w:val="244"/>
        </w:trPr>
        <w:tc>
          <w:tcPr>
            <w:tcW w:w="2359" w:type="dxa"/>
            <w:vMerge/>
            <w:tcBorders>
              <w:top w:val="nil"/>
              <w:left w:val="nil"/>
              <w:bottom w:val="nil"/>
            </w:tcBorders>
            <w:shd w:val="clear" w:color="auto" w:fill="auto"/>
            <w:vAlign w:val="center"/>
            <w:hideMark/>
          </w:tcPr>
          <w:p w14:paraId="3DCBDBBD" w14:textId="77777777" w:rsidR="00095067" w:rsidRPr="00642BB3" w:rsidRDefault="00095067" w:rsidP="00095067">
            <w:pPr>
              <w:spacing w:before="0" w:after="0" w:line="240" w:lineRule="auto"/>
              <w:rPr>
                <w:rFonts w:ascii="Calibri" w:eastAsia="Times New Roman" w:hAnsi="Calibri" w:cs="Calibri"/>
                <w:b/>
                <w:bCs/>
                <w:sz w:val="14"/>
                <w:szCs w:val="14"/>
                <w:lang w:val="en-US"/>
              </w:rPr>
            </w:pPr>
          </w:p>
        </w:tc>
        <w:tc>
          <w:tcPr>
            <w:tcW w:w="1405" w:type="dxa"/>
            <w:tcBorders>
              <w:top w:val="single" w:sz="4" w:space="0" w:color="95B3D7"/>
              <w:bottom w:val="single" w:sz="4" w:space="0" w:color="95B3D7"/>
            </w:tcBorders>
            <w:shd w:val="clear" w:color="auto" w:fill="auto"/>
            <w:vAlign w:val="center"/>
            <w:hideMark/>
          </w:tcPr>
          <w:p w14:paraId="50B9B79A"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nr ÎPL</w:t>
            </w:r>
          </w:p>
        </w:tc>
        <w:tc>
          <w:tcPr>
            <w:tcW w:w="1224" w:type="dxa"/>
            <w:tcBorders>
              <w:top w:val="single" w:sz="4" w:space="0" w:color="95B3D7"/>
              <w:bottom w:val="single" w:sz="4" w:space="0" w:color="95B3D7"/>
            </w:tcBorders>
            <w:shd w:val="clear" w:color="auto" w:fill="auto"/>
            <w:vAlign w:val="center"/>
            <w:hideMark/>
          </w:tcPr>
          <w:p w14:paraId="7FC575E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single" w:sz="4" w:space="0" w:color="95B3D7"/>
              <w:bottom w:val="single" w:sz="4" w:space="0" w:color="95B3D7"/>
            </w:tcBorders>
            <w:shd w:val="clear" w:color="auto" w:fill="auto"/>
            <w:vAlign w:val="center"/>
            <w:hideMark/>
          </w:tcPr>
          <w:p w14:paraId="5548C20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1.134</w:t>
            </w:r>
          </w:p>
        </w:tc>
        <w:tc>
          <w:tcPr>
            <w:tcW w:w="1383" w:type="dxa"/>
            <w:tcBorders>
              <w:top w:val="single" w:sz="4" w:space="0" w:color="95B3D7"/>
              <w:bottom w:val="single" w:sz="4" w:space="0" w:color="95B3D7"/>
            </w:tcBorders>
            <w:shd w:val="clear" w:color="auto" w:fill="auto"/>
            <w:vAlign w:val="center"/>
            <w:hideMark/>
          </w:tcPr>
          <w:p w14:paraId="63499AA1"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103</w:t>
            </w:r>
          </w:p>
        </w:tc>
        <w:tc>
          <w:tcPr>
            <w:tcW w:w="1179" w:type="dxa"/>
            <w:tcBorders>
              <w:top w:val="single" w:sz="4" w:space="0" w:color="95B3D7"/>
              <w:bottom w:val="single" w:sz="4" w:space="0" w:color="95B3D7"/>
            </w:tcBorders>
            <w:shd w:val="clear" w:color="auto" w:fill="auto"/>
            <w:vAlign w:val="center"/>
            <w:hideMark/>
          </w:tcPr>
          <w:p w14:paraId="19BE02E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1.237</w:t>
            </w:r>
          </w:p>
        </w:tc>
      </w:tr>
      <w:tr w:rsidR="00095067" w:rsidRPr="00095067" w14:paraId="4697E070" w14:textId="77777777" w:rsidTr="00095067">
        <w:trPr>
          <w:trHeight w:val="244"/>
        </w:trPr>
        <w:tc>
          <w:tcPr>
            <w:tcW w:w="2359" w:type="dxa"/>
            <w:vMerge/>
            <w:tcBorders>
              <w:top w:val="nil"/>
              <w:left w:val="nil"/>
              <w:bottom w:val="nil"/>
            </w:tcBorders>
            <w:shd w:val="clear" w:color="auto" w:fill="auto"/>
            <w:vAlign w:val="center"/>
            <w:hideMark/>
          </w:tcPr>
          <w:p w14:paraId="62E39FEA" w14:textId="77777777" w:rsidR="00095067" w:rsidRPr="00642BB3" w:rsidRDefault="00095067" w:rsidP="00095067">
            <w:pPr>
              <w:spacing w:before="0" w:after="0" w:line="240" w:lineRule="auto"/>
              <w:rPr>
                <w:rFonts w:ascii="Calibri" w:eastAsia="Times New Roman" w:hAnsi="Calibri" w:cs="Calibri"/>
                <w:b/>
                <w:bCs/>
                <w:sz w:val="14"/>
                <w:szCs w:val="14"/>
                <w:lang w:val="en-US"/>
              </w:rPr>
            </w:pPr>
          </w:p>
        </w:tc>
        <w:tc>
          <w:tcPr>
            <w:tcW w:w="1405" w:type="dxa"/>
            <w:tcBorders>
              <w:top w:val="single" w:sz="4" w:space="0" w:color="95B3D7"/>
              <w:bottom w:val="single" w:sz="4" w:space="0" w:color="95B3D7"/>
            </w:tcBorders>
            <w:shd w:val="clear" w:color="auto" w:fill="auto"/>
            <w:vAlign w:val="center"/>
            <w:hideMark/>
          </w:tcPr>
          <w:p w14:paraId="517AC646"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nr ÎPL</w:t>
            </w:r>
          </w:p>
        </w:tc>
        <w:tc>
          <w:tcPr>
            <w:tcW w:w="1224" w:type="dxa"/>
            <w:tcBorders>
              <w:top w:val="single" w:sz="4" w:space="0" w:color="95B3D7"/>
              <w:bottom w:val="single" w:sz="4" w:space="0" w:color="95B3D7"/>
            </w:tcBorders>
            <w:shd w:val="clear" w:color="auto" w:fill="auto"/>
            <w:vAlign w:val="center"/>
            <w:hideMark/>
          </w:tcPr>
          <w:p w14:paraId="6E15455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single" w:sz="4" w:space="0" w:color="95B3D7"/>
              <w:bottom w:val="single" w:sz="4" w:space="0" w:color="95B3D7"/>
            </w:tcBorders>
            <w:shd w:val="clear" w:color="auto" w:fill="auto"/>
            <w:vAlign w:val="center"/>
            <w:hideMark/>
          </w:tcPr>
          <w:p w14:paraId="4112199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1.134</w:t>
            </w:r>
          </w:p>
        </w:tc>
        <w:tc>
          <w:tcPr>
            <w:tcW w:w="1383" w:type="dxa"/>
            <w:tcBorders>
              <w:top w:val="single" w:sz="4" w:space="0" w:color="95B3D7"/>
              <w:bottom w:val="single" w:sz="4" w:space="0" w:color="95B3D7"/>
            </w:tcBorders>
            <w:shd w:val="clear" w:color="auto" w:fill="auto"/>
            <w:vAlign w:val="center"/>
            <w:hideMark/>
          </w:tcPr>
          <w:p w14:paraId="6E6D4B0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104</w:t>
            </w:r>
          </w:p>
        </w:tc>
        <w:tc>
          <w:tcPr>
            <w:tcW w:w="1179" w:type="dxa"/>
            <w:tcBorders>
              <w:top w:val="single" w:sz="4" w:space="0" w:color="95B3D7"/>
              <w:bottom w:val="single" w:sz="4" w:space="0" w:color="95B3D7"/>
            </w:tcBorders>
            <w:shd w:val="clear" w:color="auto" w:fill="auto"/>
            <w:vAlign w:val="center"/>
            <w:hideMark/>
          </w:tcPr>
          <w:p w14:paraId="71E3AE0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1.238</w:t>
            </w:r>
          </w:p>
        </w:tc>
      </w:tr>
      <w:tr w:rsidR="00095067" w:rsidRPr="00095067" w14:paraId="62451D1D" w14:textId="77777777" w:rsidTr="00095067">
        <w:trPr>
          <w:trHeight w:val="244"/>
        </w:trPr>
        <w:tc>
          <w:tcPr>
            <w:tcW w:w="2359"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4B8A14CF"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Rezultat din exploatare (EBIT)</w:t>
            </w:r>
          </w:p>
        </w:tc>
        <w:tc>
          <w:tcPr>
            <w:tcW w:w="1405" w:type="dxa"/>
            <w:tcBorders>
              <w:top w:val="nil"/>
              <w:left w:val="nil"/>
              <w:bottom w:val="single" w:sz="4" w:space="0" w:color="95B3D7"/>
              <w:right w:val="single" w:sz="4" w:space="0" w:color="FFFFFF"/>
            </w:tcBorders>
            <w:shd w:val="clear" w:color="000000" w:fill="FFFFFF"/>
            <w:vAlign w:val="center"/>
            <w:hideMark/>
          </w:tcPr>
          <w:p w14:paraId="0B4D272A"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29E4213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2FDA31B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322.139</w:t>
            </w:r>
          </w:p>
        </w:tc>
        <w:tc>
          <w:tcPr>
            <w:tcW w:w="1383" w:type="dxa"/>
            <w:tcBorders>
              <w:top w:val="nil"/>
              <w:left w:val="nil"/>
              <w:bottom w:val="single" w:sz="4" w:space="0" w:color="95B3D7"/>
              <w:right w:val="single" w:sz="4" w:space="0" w:color="FFFFFF"/>
            </w:tcBorders>
            <w:shd w:val="clear" w:color="000000" w:fill="FFFFFF"/>
            <w:vAlign w:val="center"/>
            <w:hideMark/>
          </w:tcPr>
          <w:p w14:paraId="60B1F5F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-45.145</w:t>
            </w:r>
          </w:p>
        </w:tc>
        <w:tc>
          <w:tcPr>
            <w:tcW w:w="1179" w:type="dxa"/>
            <w:tcBorders>
              <w:top w:val="nil"/>
              <w:left w:val="nil"/>
              <w:bottom w:val="single" w:sz="4" w:space="0" w:color="95B3D7"/>
              <w:right w:val="single" w:sz="4" w:space="0" w:color="FFFFFF"/>
            </w:tcBorders>
            <w:shd w:val="clear" w:color="000000" w:fill="FFFFFF"/>
            <w:noWrap/>
            <w:vAlign w:val="center"/>
            <w:hideMark/>
          </w:tcPr>
          <w:p w14:paraId="26353529"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276.994</w:t>
            </w:r>
          </w:p>
        </w:tc>
      </w:tr>
      <w:tr w:rsidR="00095067" w:rsidRPr="00095067" w14:paraId="4BFF595B" w14:textId="77777777" w:rsidTr="00095067">
        <w:trPr>
          <w:trHeight w:val="244"/>
        </w:trPr>
        <w:tc>
          <w:tcPr>
            <w:tcW w:w="2359" w:type="dxa"/>
            <w:vMerge/>
            <w:tcBorders>
              <w:top w:val="single" w:sz="4" w:space="0" w:color="95B3D7"/>
              <w:left w:val="single" w:sz="4" w:space="0" w:color="FFFFFF"/>
              <w:bottom w:val="single" w:sz="4" w:space="0" w:color="95B3D7"/>
              <w:right w:val="single" w:sz="4" w:space="0" w:color="FFFFFF"/>
            </w:tcBorders>
            <w:vAlign w:val="center"/>
            <w:hideMark/>
          </w:tcPr>
          <w:p w14:paraId="107ADCB8"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547249FF"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3F8D9C9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36BD4EB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385.541</w:t>
            </w:r>
          </w:p>
        </w:tc>
        <w:tc>
          <w:tcPr>
            <w:tcW w:w="1383" w:type="dxa"/>
            <w:tcBorders>
              <w:top w:val="nil"/>
              <w:left w:val="nil"/>
              <w:bottom w:val="single" w:sz="4" w:space="0" w:color="95B3D7"/>
              <w:right w:val="single" w:sz="4" w:space="0" w:color="FFFFFF"/>
            </w:tcBorders>
            <w:shd w:val="clear" w:color="000000" w:fill="FFFFFF"/>
            <w:vAlign w:val="center"/>
            <w:hideMark/>
          </w:tcPr>
          <w:p w14:paraId="1781474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-19.405</w:t>
            </w:r>
          </w:p>
        </w:tc>
        <w:tc>
          <w:tcPr>
            <w:tcW w:w="1179" w:type="dxa"/>
            <w:tcBorders>
              <w:top w:val="nil"/>
              <w:left w:val="nil"/>
              <w:bottom w:val="single" w:sz="4" w:space="0" w:color="95B3D7"/>
              <w:right w:val="single" w:sz="4" w:space="0" w:color="FFFFFF"/>
            </w:tcBorders>
            <w:shd w:val="clear" w:color="000000" w:fill="FFFFFF"/>
            <w:noWrap/>
            <w:vAlign w:val="center"/>
            <w:hideMark/>
          </w:tcPr>
          <w:p w14:paraId="55983A3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366.136</w:t>
            </w:r>
          </w:p>
        </w:tc>
      </w:tr>
      <w:tr w:rsidR="00095067" w:rsidRPr="00095067" w14:paraId="5C0B1953" w14:textId="77777777" w:rsidTr="00095067">
        <w:trPr>
          <w:trHeight w:val="244"/>
        </w:trPr>
        <w:tc>
          <w:tcPr>
            <w:tcW w:w="2359" w:type="dxa"/>
            <w:vMerge/>
            <w:tcBorders>
              <w:top w:val="single" w:sz="4" w:space="0" w:color="95B3D7"/>
              <w:left w:val="single" w:sz="4" w:space="0" w:color="FFFFFF"/>
              <w:bottom w:val="single" w:sz="4" w:space="0" w:color="95B3D7"/>
              <w:right w:val="single" w:sz="4" w:space="0" w:color="FFFFFF"/>
            </w:tcBorders>
            <w:vAlign w:val="center"/>
            <w:hideMark/>
          </w:tcPr>
          <w:p w14:paraId="1E13C31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772F0FD4"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637F421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2417FD0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291.243</w:t>
            </w:r>
          </w:p>
        </w:tc>
        <w:tc>
          <w:tcPr>
            <w:tcW w:w="1383" w:type="dxa"/>
            <w:tcBorders>
              <w:top w:val="nil"/>
              <w:left w:val="nil"/>
              <w:bottom w:val="single" w:sz="4" w:space="0" w:color="95B3D7"/>
              <w:right w:val="single" w:sz="4" w:space="0" w:color="FFFFFF"/>
            </w:tcBorders>
            <w:shd w:val="clear" w:color="000000" w:fill="FFFFFF"/>
            <w:vAlign w:val="center"/>
            <w:hideMark/>
          </w:tcPr>
          <w:p w14:paraId="4752824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-134.584</w:t>
            </w:r>
          </w:p>
        </w:tc>
        <w:tc>
          <w:tcPr>
            <w:tcW w:w="1179" w:type="dxa"/>
            <w:tcBorders>
              <w:top w:val="nil"/>
              <w:left w:val="nil"/>
              <w:bottom w:val="single" w:sz="4" w:space="0" w:color="95B3D7"/>
              <w:right w:val="single" w:sz="4" w:space="0" w:color="FFFFFF"/>
            </w:tcBorders>
            <w:shd w:val="clear" w:color="000000" w:fill="FFFFFF"/>
            <w:noWrap/>
            <w:vAlign w:val="center"/>
            <w:hideMark/>
          </w:tcPr>
          <w:p w14:paraId="435CD95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156.659</w:t>
            </w:r>
          </w:p>
        </w:tc>
      </w:tr>
      <w:tr w:rsidR="00095067" w:rsidRPr="00095067" w14:paraId="4EE8E27B"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30D777DE"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EBITDA</w:t>
            </w:r>
          </w:p>
        </w:tc>
        <w:tc>
          <w:tcPr>
            <w:tcW w:w="1405" w:type="dxa"/>
            <w:tcBorders>
              <w:top w:val="nil"/>
              <w:left w:val="nil"/>
              <w:bottom w:val="single" w:sz="4" w:space="0" w:color="95B3D7"/>
              <w:right w:val="single" w:sz="4" w:space="0" w:color="FFFFFF"/>
            </w:tcBorders>
            <w:shd w:val="clear" w:color="000000" w:fill="FFFFFF"/>
            <w:vAlign w:val="center"/>
            <w:hideMark/>
          </w:tcPr>
          <w:p w14:paraId="551E5D02"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08E2FC0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06EA89E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849.917</w:t>
            </w:r>
          </w:p>
        </w:tc>
        <w:tc>
          <w:tcPr>
            <w:tcW w:w="1383" w:type="dxa"/>
            <w:tcBorders>
              <w:top w:val="nil"/>
              <w:left w:val="nil"/>
              <w:bottom w:val="single" w:sz="4" w:space="0" w:color="95B3D7"/>
              <w:right w:val="single" w:sz="4" w:space="0" w:color="FFFFFF"/>
            </w:tcBorders>
            <w:shd w:val="clear" w:color="000000" w:fill="FFFFFF"/>
            <w:vAlign w:val="center"/>
            <w:hideMark/>
          </w:tcPr>
          <w:p w14:paraId="6EB85C9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-29.183</w:t>
            </w:r>
          </w:p>
        </w:tc>
        <w:tc>
          <w:tcPr>
            <w:tcW w:w="1179" w:type="dxa"/>
            <w:tcBorders>
              <w:top w:val="nil"/>
              <w:left w:val="nil"/>
              <w:bottom w:val="single" w:sz="4" w:space="0" w:color="95B3D7"/>
              <w:right w:val="single" w:sz="4" w:space="0" w:color="FFFFFF"/>
            </w:tcBorders>
            <w:shd w:val="clear" w:color="000000" w:fill="FFFFFF"/>
            <w:noWrap/>
            <w:vAlign w:val="center"/>
            <w:hideMark/>
          </w:tcPr>
          <w:p w14:paraId="31C4331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820.734</w:t>
            </w:r>
          </w:p>
        </w:tc>
      </w:tr>
      <w:tr w:rsidR="00095067" w:rsidRPr="00095067" w14:paraId="17B3BAD3"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57455C74"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1AF8AAD4"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50BE54F1"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30CD77C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979.600</w:t>
            </w:r>
          </w:p>
        </w:tc>
        <w:tc>
          <w:tcPr>
            <w:tcW w:w="1383" w:type="dxa"/>
            <w:tcBorders>
              <w:top w:val="nil"/>
              <w:left w:val="nil"/>
              <w:bottom w:val="single" w:sz="4" w:space="0" w:color="95B3D7"/>
              <w:right w:val="single" w:sz="4" w:space="0" w:color="FFFFFF"/>
            </w:tcBorders>
            <w:shd w:val="clear" w:color="000000" w:fill="FFFFFF"/>
            <w:vAlign w:val="center"/>
            <w:hideMark/>
          </w:tcPr>
          <w:p w14:paraId="5579833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-13.024</w:t>
            </w:r>
          </w:p>
        </w:tc>
        <w:tc>
          <w:tcPr>
            <w:tcW w:w="1179" w:type="dxa"/>
            <w:tcBorders>
              <w:top w:val="nil"/>
              <w:left w:val="nil"/>
              <w:bottom w:val="single" w:sz="4" w:space="0" w:color="95B3D7"/>
              <w:right w:val="single" w:sz="4" w:space="0" w:color="FFFFFF"/>
            </w:tcBorders>
            <w:shd w:val="clear" w:color="000000" w:fill="FFFFFF"/>
            <w:noWrap/>
            <w:vAlign w:val="center"/>
            <w:hideMark/>
          </w:tcPr>
          <w:p w14:paraId="31AB67A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966.576</w:t>
            </w:r>
          </w:p>
        </w:tc>
      </w:tr>
      <w:tr w:rsidR="00095067" w:rsidRPr="00095067" w14:paraId="52CA22B5"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6512E5A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21001513"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1B354D9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66EEBC4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910.048</w:t>
            </w:r>
          </w:p>
        </w:tc>
        <w:tc>
          <w:tcPr>
            <w:tcW w:w="1383" w:type="dxa"/>
            <w:tcBorders>
              <w:top w:val="nil"/>
              <w:left w:val="nil"/>
              <w:bottom w:val="single" w:sz="4" w:space="0" w:color="95B3D7"/>
              <w:right w:val="single" w:sz="4" w:space="0" w:color="FFFFFF"/>
            </w:tcBorders>
            <w:shd w:val="clear" w:color="000000" w:fill="FFFFFF"/>
            <w:vAlign w:val="center"/>
            <w:hideMark/>
          </w:tcPr>
          <w:p w14:paraId="6FBAA80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-128.810</w:t>
            </w:r>
          </w:p>
        </w:tc>
        <w:tc>
          <w:tcPr>
            <w:tcW w:w="1179" w:type="dxa"/>
            <w:tcBorders>
              <w:top w:val="nil"/>
              <w:left w:val="nil"/>
              <w:bottom w:val="single" w:sz="4" w:space="0" w:color="95B3D7"/>
              <w:right w:val="single" w:sz="4" w:space="0" w:color="FFFFFF"/>
            </w:tcBorders>
            <w:shd w:val="clear" w:color="000000" w:fill="FFFFFF"/>
            <w:noWrap/>
            <w:vAlign w:val="center"/>
            <w:hideMark/>
          </w:tcPr>
          <w:p w14:paraId="66CC9DA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781.238</w:t>
            </w:r>
          </w:p>
        </w:tc>
      </w:tr>
      <w:tr w:rsidR="00095067" w:rsidRPr="00095067" w14:paraId="11DEF214"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2FA25551"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Profit brut</w:t>
            </w:r>
          </w:p>
        </w:tc>
        <w:tc>
          <w:tcPr>
            <w:tcW w:w="1405" w:type="dxa"/>
            <w:tcBorders>
              <w:top w:val="nil"/>
              <w:left w:val="nil"/>
              <w:bottom w:val="single" w:sz="4" w:space="0" w:color="95B3D7"/>
              <w:right w:val="single" w:sz="4" w:space="0" w:color="FFFFFF"/>
            </w:tcBorders>
            <w:shd w:val="clear" w:color="000000" w:fill="FFFFFF"/>
            <w:vAlign w:val="center"/>
            <w:hideMark/>
          </w:tcPr>
          <w:p w14:paraId="01AFDCEC"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52BAEAB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67CAD23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515.027</w:t>
            </w:r>
          </w:p>
        </w:tc>
        <w:tc>
          <w:tcPr>
            <w:tcW w:w="1383" w:type="dxa"/>
            <w:tcBorders>
              <w:top w:val="nil"/>
              <w:left w:val="nil"/>
              <w:bottom w:val="single" w:sz="4" w:space="0" w:color="95B3D7"/>
              <w:right w:val="single" w:sz="4" w:space="0" w:color="FFFFFF"/>
            </w:tcBorders>
            <w:shd w:val="clear" w:color="000000" w:fill="FFFFFF"/>
            <w:vAlign w:val="center"/>
            <w:hideMark/>
          </w:tcPr>
          <w:p w14:paraId="6AF0264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3.750</w:t>
            </w:r>
          </w:p>
        </w:tc>
        <w:tc>
          <w:tcPr>
            <w:tcW w:w="1179" w:type="dxa"/>
            <w:tcBorders>
              <w:top w:val="nil"/>
              <w:left w:val="nil"/>
              <w:bottom w:val="single" w:sz="4" w:space="0" w:color="95B3D7"/>
              <w:right w:val="single" w:sz="4" w:space="0" w:color="FFFFFF"/>
            </w:tcBorders>
            <w:shd w:val="clear" w:color="000000" w:fill="FFFFFF"/>
            <w:noWrap/>
            <w:vAlign w:val="center"/>
            <w:hideMark/>
          </w:tcPr>
          <w:p w14:paraId="19F973D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518.777</w:t>
            </w:r>
          </w:p>
        </w:tc>
      </w:tr>
      <w:tr w:rsidR="00095067" w:rsidRPr="00095067" w14:paraId="0E1A78A3"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30F9A85B"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74BC82A6"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7EED011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65504ABD"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536.500</w:t>
            </w:r>
          </w:p>
        </w:tc>
        <w:tc>
          <w:tcPr>
            <w:tcW w:w="1383" w:type="dxa"/>
            <w:tcBorders>
              <w:top w:val="nil"/>
              <w:left w:val="nil"/>
              <w:bottom w:val="single" w:sz="4" w:space="0" w:color="95B3D7"/>
              <w:right w:val="single" w:sz="4" w:space="0" w:color="FFFFFF"/>
            </w:tcBorders>
            <w:shd w:val="clear" w:color="000000" w:fill="FFFFFF"/>
            <w:vAlign w:val="center"/>
            <w:hideMark/>
          </w:tcPr>
          <w:p w14:paraId="54501E1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10.449</w:t>
            </w:r>
          </w:p>
        </w:tc>
        <w:tc>
          <w:tcPr>
            <w:tcW w:w="1179" w:type="dxa"/>
            <w:tcBorders>
              <w:top w:val="nil"/>
              <w:left w:val="nil"/>
              <w:bottom w:val="single" w:sz="4" w:space="0" w:color="95B3D7"/>
              <w:right w:val="single" w:sz="4" w:space="0" w:color="FFFFFF"/>
            </w:tcBorders>
            <w:shd w:val="clear" w:color="000000" w:fill="FFFFFF"/>
            <w:noWrap/>
            <w:vAlign w:val="center"/>
            <w:hideMark/>
          </w:tcPr>
          <w:p w14:paraId="209EFB4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546.949</w:t>
            </w:r>
          </w:p>
        </w:tc>
      </w:tr>
      <w:tr w:rsidR="00095067" w:rsidRPr="00095067" w14:paraId="03E78C11"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2892AE47"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1E34A1F4"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6435BE0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7CC892D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507.037</w:t>
            </w:r>
          </w:p>
        </w:tc>
        <w:tc>
          <w:tcPr>
            <w:tcW w:w="1383" w:type="dxa"/>
            <w:tcBorders>
              <w:top w:val="nil"/>
              <w:left w:val="nil"/>
              <w:bottom w:val="single" w:sz="4" w:space="0" w:color="95B3D7"/>
              <w:right w:val="single" w:sz="4" w:space="0" w:color="FFFFFF"/>
            </w:tcBorders>
            <w:shd w:val="clear" w:color="000000" w:fill="FFFFFF"/>
            <w:vAlign w:val="center"/>
            <w:hideMark/>
          </w:tcPr>
          <w:p w14:paraId="35B75DE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7.728</w:t>
            </w:r>
          </w:p>
        </w:tc>
        <w:tc>
          <w:tcPr>
            <w:tcW w:w="1179" w:type="dxa"/>
            <w:tcBorders>
              <w:top w:val="nil"/>
              <w:left w:val="nil"/>
              <w:bottom w:val="single" w:sz="4" w:space="0" w:color="95B3D7"/>
              <w:right w:val="single" w:sz="4" w:space="0" w:color="FFFFFF"/>
            </w:tcBorders>
            <w:shd w:val="clear" w:color="000000" w:fill="FFFFFF"/>
            <w:noWrap/>
            <w:vAlign w:val="center"/>
            <w:hideMark/>
          </w:tcPr>
          <w:p w14:paraId="569A98D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514.765</w:t>
            </w:r>
          </w:p>
        </w:tc>
      </w:tr>
      <w:tr w:rsidR="00095067" w:rsidRPr="00095067" w14:paraId="799C0CD3"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64F50E9D"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Pierdere brută</w:t>
            </w:r>
          </w:p>
        </w:tc>
        <w:tc>
          <w:tcPr>
            <w:tcW w:w="1405" w:type="dxa"/>
            <w:tcBorders>
              <w:top w:val="nil"/>
              <w:left w:val="nil"/>
              <w:bottom w:val="single" w:sz="4" w:space="0" w:color="95B3D7"/>
              <w:right w:val="single" w:sz="4" w:space="0" w:color="FFFFFF"/>
            </w:tcBorders>
            <w:shd w:val="clear" w:color="000000" w:fill="FFFFFF"/>
            <w:vAlign w:val="center"/>
            <w:hideMark/>
          </w:tcPr>
          <w:p w14:paraId="283E7DD8"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006E950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2D57BA9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229.150</w:t>
            </w:r>
          </w:p>
        </w:tc>
        <w:tc>
          <w:tcPr>
            <w:tcW w:w="1383" w:type="dxa"/>
            <w:tcBorders>
              <w:top w:val="nil"/>
              <w:left w:val="nil"/>
              <w:bottom w:val="single" w:sz="4" w:space="0" w:color="95B3D7"/>
              <w:right w:val="single" w:sz="4" w:space="0" w:color="FFFFFF"/>
            </w:tcBorders>
            <w:shd w:val="clear" w:color="000000" w:fill="FFFFFF"/>
            <w:vAlign w:val="center"/>
            <w:hideMark/>
          </w:tcPr>
          <w:p w14:paraId="199DB0D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46.535</w:t>
            </w:r>
          </w:p>
        </w:tc>
        <w:tc>
          <w:tcPr>
            <w:tcW w:w="1179" w:type="dxa"/>
            <w:tcBorders>
              <w:top w:val="nil"/>
              <w:left w:val="nil"/>
              <w:bottom w:val="single" w:sz="4" w:space="0" w:color="95B3D7"/>
              <w:right w:val="single" w:sz="4" w:space="0" w:color="FFFFFF"/>
            </w:tcBorders>
            <w:shd w:val="clear" w:color="000000" w:fill="FFFFFF"/>
            <w:noWrap/>
            <w:vAlign w:val="center"/>
            <w:hideMark/>
          </w:tcPr>
          <w:p w14:paraId="5195C46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275.685</w:t>
            </w:r>
          </w:p>
        </w:tc>
      </w:tr>
      <w:tr w:rsidR="00095067" w:rsidRPr="00095067" w14:paraId="3CC4CDEE"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72A4F0BD"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3CB466B1"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6FD45AA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40A6CE60"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209.008</w:t>
            </w:r>
          </w:p>
        </w:tc>
        <w:tc>
          <w:tcPr>
            <w:tcW w:w="1383" w:type="dxa"/>
            <w:tcBorders>
              <w:top w:val="nil"/>
              <w:left w:val="nil"/>
              <w:bottom w:val="single" w:sz="4" w:space="0" w:color="95B3D7"/>
              <w:right w:val="single" w:sz="4" w:space="0" w:color="FFFFFF"/>
            </w:tcBorders>
            <w:shd w:val="clear" w:color="000000" w:fill="FFFFFF"/>
            <w:vAlign w:val="center"/>
            <w:hideMark/>
          </w:tcPr>
          <w:p w14:paraId="5A480FB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23.149</w:t>
            </w:r>
          </w:p>
        </w:tc>
        <w:tc>
          <w:tcPr>
            <w:tcW w:w="1179" w:type="dxa"/>
            <w:tcBorders>
              <w:top w:val="nil"/>
              <w:left w:val="nil"/>
              <w:bottom w:val="single" w:sz="4" w:space="0" w:color="95B3D7"/>
              <w:right w:val="single" w:sz="4" w:space="0" w:color="FFFFFF"/>
            </w:tcBorders>
            <w:shd w:val="clear" w:color="000000" w:fill="FFFFFF"/>
            <w:noWrap/>
            <w:vAlign w:val="center"/>
            <w:hideMark/>
          </w:tcPr>
          <w:p w14:paraId="198FCD5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232.157</w:t>
            </w:r>
          </w:p>
        </w:tc>
      </w:tr>
      <w:tr w:rsidR="00095067" w:rsidRPr="00095067" w14:paraId="0A312D18"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651D091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25F19058"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3F3B382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5DE685F0"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260.353</w:t>
            </w:r>
          </w:p>
        </w:tc>
        <w:tc>
          <w:tcPr>
            <w:tcW w:w="1383" w:type="dxa"/>
            <w:tcBorders>
              <w:top w:val="nil"/>
              <w:left w:val="nil"/>
              <w:bottom w:val="single" w:sz="4" w:space="0" w:color="95B3D7"/>
              <w:right w:val="single" w:sz="4" w:space="0" w:color="FFFFFF"/>
            </w:tcBorders>
            <w:shd w:val="clear" w:color="000000" w:fill="FFFFFF"/>
            <w:vAlign w:val="center"/>
            <w:hideMark/>
          </w:tcPr>
          <w:p w14:paraId="6FAD2A7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142.268</w:t>
            </w:r>
          </w:p>
        </w:tc>
        <w:tc>
          <w:tcPr>
            <w:tcW w:w="1179" w:type="dxa"/>
            <w:tcBorders>
              <w:top w:val="nil"/>
              <w:left w:val="nil"/>
              <w:bottom w:val="single" w:sz="4" w:space="0" w:color="95B3D7"/>
              <w:right w:val="single" w:sz="4" w:space="0" w:color="FFFFFF"/>
            </w:tcBorders>
            <w:shd w:val="clear" w:color="000000" w:fill="FFFFFF"/>
            <w:noWrap/>
            <w:vAlign w:val="center"/>
            <w:hideMark/>
          </w:tcPr>
          <w:p w14:paraId="61440999"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402.621</w:t>
            </w:r>
          </w:p>
        </w:tc>
      </w:tr>
      <w:tr w:rsidR="00095067" w:rsidRPr="00095067" w14:paraId="2B7E08D1"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1B9BA486"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Rezultat Brut (EBT)</w:t>
            </w:r>
          </w:p>
        </w:tc>
        <w:tc>
          <w:tcPr>
            <w:tcW w:w="1405" w:type="dxa"/>
            <w:tcBorders>
              <w:top w:val="nil"/>
              <w:left w:val="nil"/>
              <w:bottom w:val="single" w:sz="4" w:space="0" w:color="95B3D7"/>
              <w:right w:val="single" w:sz="4" w:space="0" w:color="FFFFFF"/>
            </w:tcBorders>
            <w:shd w:val="clear" w:color="000000" w:fill="FFFFFF"/>
            <w:vAlign w:val="center"/>
            <w:hideMark/>
          </w:tcPr>
          <w:p w14:paraId="3D036200"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45D3721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5BCDB3C0"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285.877</w:t>
            </w:r>
          </w:p>
        </w:tc>
        <w:tc>
          <w:tcPr>
            <w:tcW w:w="1383" w:type="dxa"/>
            <w:tcBorders>
              <w:top w:val="nil"/>
              <w:left w:val="nil"/>
              <w:bottom w:val="single" w:sz="4" w:space="0" w:color="95B3D7"/>
              <w:right w:val="single" w:sz="4" w:space="0" w:color="FFFFFF"/>
            </w:tcBorders>
            <w:shd w:val="clear" w:color="000000" w:fill="FFFFFF"/>
            <w:vAlign w:val="center"/>
            <w:hideMark/>
          </w:tcPr>
          <w:p w14:paraId="7D75B83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-42.784</w:t>
            </w:r>
          </w:p>
        </w:tc>
        <w:tc>
          <w:tcPr>
            <w:tcW w:w="1179" w:type="dxa"/>
            <w:tcBorders>
              <w:top w:val="nil"/>
              <w:left w:val="nil"/>
              <w:bottom w:val="single" w:sz="4" w:space="0" w:color="95B3D7"/>
              <w:right w:val="single" w:sz="4" w:space="0" w:color="FFFFFF"/>
            </w:tcBorders>
            <w:shd w:val="clear" w:color="000000" w:fill="FFFFFF"/>
            <w:noWrap/>
            <w:vAlign w:val="center"/>
            <w:hideMark/>
          </w:tcPr>
          <w:p w14:paraId="2828422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243.093</w:t>
            </w:r>
          </w:p>
        </w:tc>
      </w:tr>
      <w:tr w:rsidR="00095067" w:rsidRPr="00095067" w14:paraId="28521EF1"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1D24F413"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2DB42E95"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746BCE0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66CB38A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327.493</w:t>
            </w:r>
          </w:p>
        </w:tc>
        <w:tc>
          <w:tcPr>
            <w:tcW w:w="1383" w:type="dxa"/>
            <w:tcBorders>
              <w:top w:val="nil"/>
              <w:left w:val="nil"/>
              <w:bottom w:val="single" w:sz="4" w:space="0" w:color="95B3D7"/>
              <w:right w:val="single" w:sz="4" w:space="0" w:color="FFFFFF"/>
            </w:tcBorders>
            <w:shd w:val="clear" w:color="000000" w:fill="FFFFFF"/>
            <w:vAlign w:val="center"/>
            <w:hideMark/>
          </w:tcPr>
          <w:p w14:paraId="1D4970B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-12.700</w:t>
            </w:r>
          </w:p>
        </w:tc>
        <w:tc>
          <w:tcPr>
            <w:tcW w:w="1179" w:type="dxa"/>
            <w:tcBorders>
              <w:top w:val="nil"/>
              <w:left w:val="nil"/>
              <w:bottom w:val="single" w:sz="4" w:space="0" w:color="95B3D7"/>
              <w:right w:val="single" w:sz="4" w:space="0" w:color="FFFFFF"/>
            </w:tcBorders>
            <w:shd w:val="clear" w:color="000000" w:fill="FFFFFF"/>
            <w:noWrap/>
            <w:vAlign w:val="center"/>
            <w:hideMark/>
          </w:tcPr>
          <w:p w14:paraId="257583E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314.792</w:t>
            </w:r>
          </w:p>
        </w:tc>
      </w:tr>
      <w:tr w:rsidR="00095067" w:rsidRPr="00095067" w14:paraId="4D605048"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7179DE36"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6B4EB593"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4598C14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103B00B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246.684</w:t>
            </w:r>
          </w:p>
        </w:tc>
        <w:tc>
          <w:tcPr>
            <w:tcW w:w="1383" w:type="dxa"/>
            <w:tcBorders>
              <w:top w:val="nil"/>
              <w:left w:val="nil"/>
              <w:bottom w:val="single" w:sz="4" w:space="0" w:color="95B3D7"/>
              <w:right w:val="single" w:sz="4" w:space="0" w:color="FFFFFF"/>
            </w:tcBorders>
            <w:shd w:val="clear" w:color="000000" w:fill="FFFFFF"/>
            <w:vAlign w:val="center"/>
            <w:hideMark/>
          </w:tcPr>
          <w:p w14:paraId="4297D429"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-134.540</w:t>
            </w:r>
          </w:p>
        </w:tc>
        <w:tc>
          <w:tcPr>
            <w:tcW w:w="1179" w:type="dxa"/>
            <w:tcBorders>
              <w:top w:val="nil"/>
              <w:left w:val="nil"/>
              <w:bottom w:val="single" w:sz="4" w:space="0" w:color="95B3D7"/>
              <w:right w:val="single" w:sz="4" w:space="0" w:color="FFFFFF"/>
            </w:tcBorders>
            <w:shd w:val="clear" w:color="000000" w:fill="FFFFFF"/>
            <w:noWrap/>
            <w:vAlign w:val="center"/>
            <w:hideMark/>
          </w:tcPr>
          <w:p w14:paraId="55B2F4A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112.144</w:t>
            </w:r>
          </w:p>
        </w:tc>
      </w:tr>
      <w:tr w:rsidR="00095067" w:rsidRPr="00095067" w14:paraId="44452A81"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02F4BB0B"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Rezultat Net</w:t>
            </w:r>
          </w:p>
        </w:tc>
        <w:tc>
          <w:tcPr>
            <w:tcW w:w="1405" w:type="dxa"/>
            <w:tcBorders>
              <w:top w:val="nil"/>
              <w:left w:val="nil"/>
              <w:bottom w:val="single" w:sz="4" w:space="0" w:color="95B3D7"/>
              <w:right w:val="single" w:sz="4" w:space="0" w:color="FFFFFF"/>
            </w:tcBorders>
            <w:shd w:val="clear" w:color="000000" w:fill="FFFFFF"/>
            <w:vAlign w:val="center"/>
            <w:hideMark/>
          </w:tcPr>
          <w:p w14:paraId="01B84328"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14F504D1"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16C681A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195.792</w:t>
            </w:r>
          </w:p>
        </w:tc>
        <w:tc>
          <w:tcPr>
            <w:tcW w:w="1383" w:type="dxa"/>
            <w:tcBorders>
              <w:top w:val="nil"/>
              <w:left w:val="nil"/>
              <w:bottom w:val="single" w:sz="4" w:space="0" w:color="95B3D7"/>
              <w:right w:val="single" w:sz="4" w:space="0" w:color="FFFFFF"/>
            </w:tcBorders>
            <w:shd w:val="clear" w:color="000000" w:fill="FFFFFF"/>
            <w:vAlign w:val="center"/>
            <w:hideMark/>
          </w:tcPr>
          <w:p w14:paraId="586839E0"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-43.165</w:t>
            </w:r>
          </w:p>
        </w:tc>
        <w:tc>
          <w:tcPr>
            <w:tcW w:w="1179" w:type="dxa"/>
            <w:tcBorders>
              <w:top w:val="nil"/>
              <w:left w:val="nil"/>
              <w:bottom w:val="single" w:sz="4" w:space="0" w:color="95B3D7"/>
              <w:right w:val="single" w:sz="4" w:space="0" w:color="FFFFFF"/>
            </w:tcBorders>
            <w:shd w:val="clear" w:color="000000" w:fill="FFFFFF"/>
            <w:noWrap/>
            <w:vAlign w:val="center"/>
            <w:hideMark/>
          </w:tcPr>
          <w:p w14:paraId="3181311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152.626</w:t>
            </w:r>
          </w:p>
        </w:tc>
      </w:tr>
      <w:tr w:rsidR="00095067" w:rsidRPr="00095067" w14:paraId="1C86B5BF"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2C7C66F7"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3B86CBE0"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3D48286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144354C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238.767</w:t>
            </w:r>
          </w:p>
        </w:tc>
        <w:tc>
          <w:tcPr>
            <w:tcW w:w="1383" w:type="dxa"/>
            <w:tcBorders>
              <w:top w:val="nil"/>
              <w:left w:val="nil"/>
              <w:bottom w:val="single" w:sz="4" w:space="0" w:color="95B3D7"/>
              <w:right w:val="single" w:sz="4" w:space="0" w:color="FFFFFF"/>
            </w:tcBorders>
            <w:shd w:val="clear" w:color="000000" w:fill="FFFFFF"/>
            <w:vAlign w:val="center"/>
            <w:hideMark/>
          </w:tcPr>
          <w:p w14:paraId="76175FA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-14.355</w:t>
            </w:r>
          </w:p>
        </w:tc>
        <w:tc>
          <w:tcPr>
            <w:tcW w:w="1179" w:type="dxa"/>
            <w:tcBorders>
              <w:top w:val="nil"/>
              <w:left w:val="nil"/>
              <w:bottom w:val="single" w:sz="4" w:space="0" w:color="95B3D7"/>
              <w:right w:val="single" w:sz="4" w:space="0" w:color="FFFFFF"/>
            </w:tcBorders>
            <w:shd w:val="clear" w:color="000000" w:fill="FFFFFF"/>
            <w:noWrap/>
            <w:vAlign w:val="center"/>
            <w:hideMark/>
          </w:tcPr>
          <w:p w14:paraId="79BE81C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224.412</w:t>
            </w:r>
          </w:p>
        </w:tc>
      </w:tr>
      <w:tr w:rsidR="00095067" w:rsidRPr="00095067" w14:paraId="77F0A7C5"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76F7283D"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02CFB3C9"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7530D0CD"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6CC73DC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168.010</w:t>
            </w:r>
          </w:p>
        </w:tc>
        <w:tc>
          <w:tcPr>
            <w:tcW w:w="1383" w:type="dxa"/>
            <w:tcBorders>
              <w:top w:val="nil"/>
              <w:left w:val="nil"/>
              <w:bottom w:val="single" w:sz="4" w:space="0" w:color="95B3D7"/>
              <w:right w:val="single" w:sz="4" w:space="0" w:color="FFFFFF"/>
            </w:tcBorders>
            <w:shd w:val="clear" w:color="000000" w:fill="FFFFFF"/>
            <w:vAlign w:val="center"/>
            <w:hideMark/>
          </w:tcPr>
          <w:p w14:paraId="329B305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-135.096</w:t>
            </w:r>
          </w:p>
        </w:tc>
        <w:tc>
          <w:tcPr>
            <w:tcW w:w="1179" w:type="dxa"/>
            <w:tcBorders>
              <w:top w:val="nil"/>
              <w:left w:val="nil"/>
              <w:bottom w:val="single" w:sz="4" w:space="0" w:color="95B3D7"/>
              <w:right w:val="single" w:sz="4" w:space="0" w:color="FFFFFF"/>
            </w:tcBorders>
            <w:shd w:val="clear" w:color="000000" w:fill="FFFFFF"/>
            <w:noWrap/>
            <w:vAlign w:val="center"/>
            <w:hideMark/>
          </w:tcPr>
          <w:p w14:paraId="069AB3C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32.914</w:t>
            </w:r>
          </w:p>
        </w:tc>
      </w:tr>
      <w:tr w:rsidR="00095067" w:rsidRPr="00095067" w14:paraId="47341209"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66612AC6"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Cifra de afaceri netă</w:t>
            </w:r>
          </w:p>
        </w:tc>
        <w:tc>
          <w:tcPr>
            <w:tcW w:w="1405" w:type="dxa"/>
            <w:tcBorders>
              <w:top w:val="nil"/>
              <w:left w:val="nil"/>
              <w:bottom w:val="single" w:sz="4" w:space="0" w:color="95B3D7"/>
              <w:right w:val="single" w:sz="4" w:space="0" w:color="FFFFFF"/>
            </w:tcBorders>
            <w:shd w:val="clear" w:color="000000" w:fill="FFFFFF"/>
            <w:vAlign w:val="center"/>
            <w:hideMark/>
          </w:tcPr>
          <w:p w14:paraId="38B2D1A9"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3F22112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18F9711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8.989.315</w:t>
            </w:r>
          </w:p>
        </w:tc>
        <w:tc>
          <w:tcPr>
            <w:tcW w:w="1383" w:type="dxa"/>
            <w:tcBorders>
              <w:top w:val="nil"/>
              <w:left w:val="nil"/>
              <w:bottom w:val="single" w:sz="4" w:space="0" w:color="95B3D7"/>
              <w:right w:val="single" w:sz="4" w:space="0" w:color="FFFFFF"/>
            </w:tcBorders>
            <w:shd w:val="clear" w:color="000000" w:fill="FFFFFF"/>
            <w:vAlign w:val="center"/>
            <w:hideMark/>
          </w:tcPr>
          <w:p w14:paraId="3475653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463.206</w:t>
            </w:r>
          </w:p>
        </w:tc>
        <w:tc>
          <w:tcPr>
            <w:tcW w:w="1179" w:type="dxa"/>
            <w:tcBorders>
              <w:top w:val="nil"/>
              <w:left w:val="nil"/>
              <w:bottom w:val="single" w:sz="4" w:space="0" w:color="95B3D7"/>
              <w:right w:val="single" w:sz="4" w:space="0" w:color="FFFFFF"/>
            </w:tcBorders>
            <w:shd w:val="clear" w:color="000000" w:fill="FFFFFF"/>
            <w:noWrap/>
            <w:vAlign w:val="center"/>
            <w:hideMark/>
          </w:tcPr>
          <w:p w14:paraId="16B8B63D"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9.452.521</w:t>
            </w:r>
          </w:p>
        </w:tc>
      </w:tr>
      <w:tr w:rsidR="00095067" w:rsidRPr="00095067" w14:paraId="46B5A2A2"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33A4AEE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4FD5856A"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4D6C1CA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4793469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10.670.101</w:t>
            </w:r>
          </w:p>
        </w:tc>
        <w:tc>
          <w:tcPr>
            <w:tcW w:w="1383" w:type="dxa"/>
            <w:tcBorders>
              <w:top w:val="nil"/>
              <w:left w:val="nil"/>
              <w:bottom w:val="single" w:sz="4" w:space="0" w:color="95B3D7"/>
              <w:right w:val="single" w:sz="4" w:space="0" w:color="FFFFFF"/>
            </w:tcBorders>
            <w:shd w:val="clear" w:color="000000" w:fill="FFFFFF"/>
            <w:vAlign w:val="center"/>
            <w:hideMark/>
          </w:tcPr>
          <w:p w14:paraId="78091E7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288.337</w:t>
            </w:r>
          </w:p>
        </w:tc>
        <w:tc>
          <w:tcPr>
            <w:tcW w:w="1179" w:type="dxa"/>
            <w:tcBorders>
              <w:top w:val="nil"/>
              <w:left w:val="nil"/>
              <w:bottom w:val="single" w:sz="4" w:space="0" w:color="95B3D7"/>
              <w:right w:val="single" w:sz="4" w:space="0" w:color="FFFFFF"/>
            </w:tcBorders>
            <w:shd w:val="clear" w:color="000000" w:fill="FFFFFF"/>
            <w:noWrap/>
            <w:vAlign w:val="center"/>
            <w:hideMark/>
          </w:tcPr>
          <w:p w14:paraId="10E1EFB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10.958.439</w:t>
            </w:r>
          </w:p>
        </w:tc>
      </w:tr>
      <w:tr w:rsidR="00095067" w:rsidRPr="00095067" w14:paraId="32B298F0"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412CFD5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75FEC571"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49E9890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1F3A602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10.877.496</w:t>
            </w:r>
          </w:p>
        </w:tc>
        <w:tc>
          <w:tcPr>
            <w:tcW w:w="1383" w:type="dxa"/>
            <w:tcBorders>
              <w:top w:val="nil"/>
              <w:left w:val="nil"/>
              <w:bottom w:val="single" w:sz="4" w:space="0" w:color="95B3D7"/>
              <w:right w:val="single" w:sz="4" w:space="0" w:color="FFFFFF"/>
            </w:tcBorders>
            <w:shd w:val="clear" w:color="000000" w:fill="FFFFFF"/>
            <w:vAlign w:val="center"/>
            <w:hideMark/>
          </w:tcPr>
          <w:p w14:paraId="1D87A21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1.330.005</w:t>
            </w:r>
          </w:p>
        </w:tc>
        <w:tc>
          <w:tcPr>
            <w:tcW w:w="1179" w:type="dxa"/>
            <w:tcBorders>
              <w:top w:val="nil"/>
              <w:left w:val="nil"/>
              <w:bottom w:val="single" w:sz="4" w:space="0" w:color="95B3D7"/>
              <w:right w:val="single" w:sz="4" w:space="0" w:color="FFFFFF"/>
            </w:tcBorders>
            <w:shd w:val="clear" w:color="000000" w:fill="FFFFFF"/>
            <w:noWrap/>
            <w:vAlign w:val="center"/>
            <w:hideMark/>
          </w:tcPr>
          <w:p w14:paraId="77632C9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12.207.501</w:t>
            </w:r>
          </w:p>
        </w:tc>
      </w:tr>
      <w:tr w:rsidR="00095067" w:rsidRPr="00095067" w14:paraId="6F308A03"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08A2013D"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Capitaluri proprii</w:t>
            </w:r>
          </w:p>
        </w:tc>
        <w:tc>
          <w:tcPr>
            <w:tcW w:w="1405" w:type="dxa"/>
            <w:tcBorders>
              <w:top w:val="nil"/>
              <w:left w:val="nil"/>
              <w:bottom w:val="single" w:sz="4" w:space="0" w:color="95B3D7"/>
              <w:right w:val="single" w:sz="4" w:space="0" w:color="FFFFFF"/>
            </w:tcBorders>
            <w:shd w:val="clear" w:color="000000" w:fill="FFFFFF"/>
            <w:vAlign w:val="center"/>
            <w:hideMark/>
          </w:tcPr>
          <w:p w14:paraId="4A1630AA"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5055C9B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06294BA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7.171.265</w:t>
            </w:r>
          </w:p>
        </w:tc>
        <w:tc>
          <w:tcPr>
            <w:tcW w:w="1383" w:type="dxa"/>
            <w:tcBorders>
              <w:top w:val="nil"/>
              <w:left w:val="nil"/>
              <w:bottom w:val="single" w:sz="4" w:space="0" w:color="95B3D7"/>
              <w:right w:val="single" w:sz="4" w:space="0" w:color="FFFFFF"/>
            </w:tcBorders>
            <w:shd w:val="clear" w:color="000000" w:fill="FFFFFF"/>
            <w:vAlign w:val="center"/>
            <w:hideMark/>
          </w:tcPr>
          <w:p w14:paraId="79480009"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-49.526</w:t>
            </w:r>
          </w:p>
        </w:tc>
        <w:tc>
          <w:tcPr>
            <w:tcW w:w="1179" w:type="dxa"/>
            <w:tcBorders>
              <w:top w:val="nil"/>
              <w:left w:val="nil"/>
              <w:bottom w:val="single" w:sz="4" w:space="0" w:color="95B3D7"/>
              <w:right w:val="single" w:sz="4" w:space="0" w:color="FFFFFF"/>
            </w:tcBorders>
            <w:shd w:val="clear" w:color="000000" w:fill="FFFFFF"/>
            <w:noWrap/>
            <w:vAlign w:val="center"/>
            <w:hideMark/>
          </w:tcPr>
          <w:p w14:paraId="5A36463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7.121.739</w:t>
            </w:r>
          </w:p>
        </w:tc>
      </w:tr>
      <w:tr w:rsidR="00095067" w:rsidRPr="00095067" w14:paraId="79714F23"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342B93B8"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06CED2CA"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477933C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0FC4FD9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7.621.115</w:t>
            </w:r>
          </w:p>
        </w:tc>
        <w:tc>
          <w:tcPr>
            <w:tcW w:w="1383" w:type="dxa"/>
            <w:tcBorders>
              <w:top w:val="nil"/>
              <w:left w:val="nil"/>
              <w:bottom w:val="single" w:sz="4" w:space="0" w:color="95B3D7"/>
              <w:right w:val="single" w:sz="4" w:space="0" w:color="FFFFFF"/>
            </w:tcBorders>
            <w:shd w:val="clear" w:color="000000" w:fill="FFFFFF"/>
            <w:vAlign w:val="center"/>
            <w:hideMark/>
          </w:tcPr>
          <w:p w14:paraId="1341539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349.127</w:t>
            </w:r>
          </w:p>
        </w:tc>
        <w:tc>
          <w:tcPr>
            <w:tcW w:w="1179" w:type="dxa"/>
            <w:tcBorders>
              <w:top w:val="nil"/>
              <w:left w:val="nil"/>
              <w:bottom w:val="single" w:sz="4" w:space="0" w:color="95B3D7"/>
              <w:right w:val="single" w:sz="4" w:space="0" w:color="FFFFFF"/>
            </w:tcBorders>
            <w:shd w:val="clear" w:color="000000" w:fill="FFFFFF"/>
            <w:noWrap/>
            <w:vAlign w:val="center"/>
            <w:hideMark/>
          </w:tcPr>
          <w:p w14:paraId="4C30712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7.970.242</w:t>
            </w:r>
          </w:p>
        </w:tc>
      </w:tr>
      <w:tr w:rsidR="00095067" w:rsidRPr="00095067" w14:paraId="43313B5C"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0AF5E27C"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15FE70C3"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5D38A7C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61896D4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8.077.975</w:t>
            </w:r>
          </w:p>
        </w:tc>
        <w:tc>
          <w:tcPr>
            <w:tcW w:w="1383" w:type="dxa"/>
            <w:tcBorders>
              <w:top w:val="nil"/>
              <w:left w:val="nil"/>
              <w:bottom w:val="single" w:sz="4" w:space="0" w:color="95B3D7"/>
              <w:right w:val="single" w:sz="4" w:space="0" w:color="FFFFFF"/>
            </w:tcBorders>
            <w:shd w:val="clear" w:color="000000" w:fill="FFFFFF"/>
            <w:vAlign w:val="center"/>
            <w:hideMark/>
          </w:tcPr>
          <w:p w14:paraId="70335EB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29.614</w:t>
            </w:r>
          </w:p>
        </w:tc>
        <w:tc>
          <w:tcPr>
            <w:tcW w:w="1179" w:type="dxa"/>
            <w:tcBorders>
              <w:top w:val="nil"/>
              <w:left w:val="nil"/>
              <w:bottom w:val="single" w:sz="4" w:space="0" w:color="95B3D7"/>
              <w:right w:val="single" w:sz="4" w:space="0" w:color="FFFFFF"/>
            </w:tcBorders>
            <w:shd w:val="clear" w:color="000000" w:fill="FFFFFF"/>
            <w:noWrap/>
            <w:vAlign w:val="center"/>
            <w:hideMark/>
          </w:tcPr>
          <w:p w14:paraId="7DC6803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8.107.589</w:t>
            </w:r>
          </w:p>
        </w:tc>
      </w:tr>
      <w:tr w:rsidR="00095067" w:rsidRPr="00095067" w14:paraId="5F60A4AD"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52BF04A0"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TOTAL ACTIVE</w:t>
            </w:r>
          </w:p>
        </w:tc>
        <w:tc>
          <w:tcPr>
            <w:tcW w:w="1405" w:type="dxa"/>
            <w:tcBorders>
              <w:top w:val="nil"/>
              <w:left w:val="nil"/>
              <w:bottom w:val="single" w:sz="4" w:space="0" w:color="95B3D7"/>
              <w:right w:val="single" w:sz="4" w:space="0" w:color="FFFFFF"/>
            </w:tcBorders>
            <w:shd w:val="clear" w:color="000000" w:fill="FFFFFF"/>
            <w:vAlign w:val="center"/>
            <w:hideMark/>
          </w:tcPr>
          <w:p w14:paraId="05213D8E"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67431260"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1324EA0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23.895.774</w:t>
            </w:r>
          </w:p>
        </w:tc>
        <w:tc>
          <w:tcPr>
            <w:tcW w:w="1383" w:type="dxa"/>
            <w:tcBorders>
              <w:top w:val="nil"/>
              <w:left w:val="nil"/>
              <w:bottom w:val="single" w:sz="4" w:space="0" w:color="95B3D7"/>
              <w:right w:val="single" w:sz="4" w:space="0" w:color="FFFFFF"/>
            </w:tcBorders>
            <w:shd w:val="clear" w:color="000000" w:fill="FFFFFF"/>
            <w:vAlign w:val="center"/>
            <w:hideMark/>
          </w:tcPr>
          <w:p w14:paraId="0A320F3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909.306</w:t>
            </w:r>
          </w:p>
        </w:tc>
        <w:tc>
          <w:tcPr>
            <w:tcW w:w="1179" w:type="dxa"/>
            <w:tcBorders>
              <w:top w:val="nil"/>
              <w:left w:val="nil"/>
              <w:bottom w:val="single" w:sz="4" w:space="0" w:color="95B3D7"/>
              <w:right w:val="single" w:sz="4" w:space="0" w:color="FFFFFF"/>
            </w:tcBorders>
            <w:shd w:val="clear" w:color="000000" w:fill="FFFFFF"/>
            <w:noWrap/>
            <w:vAlign w:val="center"/>
            <w:hideMark/>
          </w:tcPr>
          <w:p w14:paraId="3D7F800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24.805.080</w:t>
            </w:r>
          </w:p>
        </w:tc>
      </w:tr>
      <w:tr w:rsidR="00095067" w:rsidRPr="00095067" w14:paraId="7ABFACAD"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199A69E6"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53DD695B"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701FA8DD"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099E1A3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24.354.948</w:t>
            </w:r>
          </w:p>
        </w:tc>
        <w:tc>
          <w:tcPr>
            <w:tcW w:w="1383" w:type="dxa"/>
            <w:tcBorders>
              <w:top w:val="nil"/>
              <w:left w:val="nil"/>
              <w:bottom w:val="single" w:sz="4" w:space="0" w:color="95B3D7"/>
              <w:right w:val="single" w:sz="4" w:space="0" w:color="FFFFFF"/>
            </w:tcBorders>
            <w:shd w:val="clear" w:color="000000" w:fill="FFFFFF"/>
            <w:vAlign w:val="center"/>
            <w:hideMark/>
          </w:tcPr>
          <w:p w14:paraId="115FF05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755.734</w:t>
            </w:r>
          </w:p>
        </w:tc>
        <w:tc>
          <w:tcPr>
            <w:tcW w:w="1179" w:type="dxa"/>
            <w:tcBorders>
              <w:top w:val="nil"/>
              <w:left w:val="nil"/>
              <w:bottom w:val="single" w:sz="4" w:space="0" w:color="95B3D7"/>
              <w:right w:val="single" w:sz="4" w:space="0" w:color="FFFFFF"/>
            </w:tcBorders>
            <w:shd w:val="clear" w:color="000000" w:fill="FFFFFF"/>
            <w:noWrap/>
            <w:vAlign w:val="center"/>
            <w:hideMark/>
          </w:tcPr>
          <w:p w14:paraId="289517D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25.110.682</w:t>
            </w:r>
          </w:p>
        </w:tc>
      </w:tr>
      <w:tr w:rsidR="00095067" w:rsidRPr="00095067" w14:paraId="2FD122FB"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26505D7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741D5D70"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2596840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1A53E194"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26.947.563</w:t>
            </w:r>
          </w:p>
        </w:tc>
        <w:tc>
          <w:tcPr>
            <w:tcW w:w="1383" w:type="dxa"/>
            <w:tcBorders>
              <w:top w:val="nil"/>
              <w:left w:val="nil"/>
              <w:bottom w:val="single" w:sz="4" w:space="0" w:color="95B3D7"/>
              <w:right w:val="single" w:sz="4" w:space="0" w:color="FFFFFF"/>
            </w:tcBorders>
            <w:shd w:val="clear" w:color="000000" w:fill="FFFFFF"/>
            <w:vAlign w:val="center"/>
            <w:hideMark/>
          </w:tcPr>
          <w:p w14:paraId="1F01A6D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692.552</w:t>
            </w:r>
          </w:p>
        </w:tc>
        <w:tc>
          <w:tcPr>
            <w:tcW w:w="1179" w:type="dxa"/>
            <w:tcBorders>
              <w:top w:val="nil"/>
              <w:left w:val="nil"/>
              <w:bottom w:val="single" w:sz="4" w:space="0" w:color="95B3D7"/>
              <w:right w:val="single" w:sz="4" w:space="0" w:color="FFFFFF"/>
            </w:tcBorders>
            <w:shd w:val="clear" w:color="000000" w:fill="FFFFFF"/>
            <w:noWrap/>
            <w:vAlign w:val="center"/>
            <w:hideMark/>
          </w:tcPr>
          <w:p w14:paraId="1D6B135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27.640.115</w:t>
            </w:r>
          </w:p>
        </w:tc>
      </w:tr>
      <w:tr w:rsidR="00095067" w:rsidRPr="00095067" w14:paraId="2CC7237E"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0537CA22"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Datorii totale</w:t>
            </w:r>
          </w:p>
        </w:tc>
        <w:tc>
          <w:tcPr>
            <w:tcW w:w="1405" w:type="dxa"/>
            <w:tcBorders>
              <w:top w:val="nil"/>
              <w:left w:val="nil"/>
              <w:bottom w:val="single" w:sz="4" w:space="0" w:color="95B3D7"/>
              <w:right w:val="single" w:sz="4" w:space="0" w:color="FFFFFF"/>
            </w:tcBorders>
            <w:shd w:val="clear" w:color="000000" w:fill="FFFFFF"/>
            <w:vAlign w:val="center"/>
            <w:hideMark/>
          </w:tcPr>
          <w:p w14:paraId="485230C0"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14250AA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6C162E0F"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4.846.590</w:t>
            </w:r>
          </w:p>
        </w:tc>
        <w:tc>
          <w:tcPr>
            <w:tcW w:w="1383" w:type="dxa"/>
            <w:tcBorders>
              <w:top w:val="nil"/>
              <w:left w:val="nil"/>
              <w:bottom w:val="single" w:sz="4" w:space="0" w:color="95B3D7"/>
              <w:right w:val="single" w:sz="4" w:space="0" w:color="FFFFFF"/>
            </w:tcBorders>
            <w:shd w:val="clear" w:color="000000" w:fill="FFFFFF"/>
            <w:vAlign w:val="center"/>
            <w:hideMark/>
          </w:tcPr>
          <w:p w14:paraId="29F1F8A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804.857</w:t>
            </w:r>
          </w:p>
        </w:tc>
        <w:tc>
          <w:tcPr>
            <w:tcW w:w="1179" w:type="dxa"/>
            <w:tcBorders>
              <w:top w:val="nil"/>
              <w:left w:val="nil"/>
              <w:bottom w:val="single" w:sz="4" w:space="0" w:color="95B3D7"/>
              <w:right w:val="single" w:sz="4" w:space="0" w:color="FFFFFF"/>
            </w:tcBorders>
            <w:shd w:val="clear" w:color="000000" w:fill="FFFFFF"/>
            <w:noWrap/>
            <w:vAlign w:val="center"/>
            <w:hideMark/>
          </w:tcPr>
          <w:p w14:paraId="42DCD43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5.651.447</w:t>
            </w:r>
          </w:p>
        </w:tc>
      </w:tr>
      <w:tr w:rsidR="00095067" w:rsidRPr="00095067" w14:paraId="038C983D"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6EA971DC"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758203FF"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17E0503D"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1372FEB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5.923.682</w:t>
            </w:r>
          </w:p>
        </w:tc>
        <w:tc>
          <w:tcPr>
            <w:tcW w:w="1383" w:type="dxa"/>
            <w:tcBorders>
              <w:top w:val="nil"/>
              <w:left w:val="nil"/>
              <w:bottom w:val="single" w:sz="4" w:space="0" w:color="95B3D7"/>
              <w:right w:val="single" w:sz="4" w:space="0" w:color="FFFFFF"/>
            </w:tcBorders>
            <w:shd w:val="clear" w:color="000000" w:fill="FFFFFF"/>
            <w:vAlign w:val="center"/>
            <w:hideMark/>
          </w:tcPr>
          <w:p w14:paraId="3DA2820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378.496</w:t>
            </w:r>
          </w:p>
        </w:tc>
        <w:tc>
          <w:tcPr>
            <w:tcW w:w="1179" w:type="dxa"/>
            <w:tcBorders>
              <w:top w:val="nil"/>
              <w:left w:val="nil"/>
              <w:bottom w:val="single" w:sz="4" w:space="0" w:color="95B3D7"/>
              <w:right w:val="single" w:sz="4" w:space="0" w:color="FFFFFF"/>
            </w:tcBorders>
            <w:shd w:val="clear" w:color="000000" w:fill="FFFFFF"/>
            <w:noWrap/>
            <w:vAlign w:val="center"/>
            <w:hideMark/>
          </w:tcPr>
          <w:p w14:paraId="1E64292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6.302.179</w:t>
            </w:r>
          </w:p>
        </w:tc>
      </w:tr>
      <w:tr w:rsidR="00095067" w:rsidRPr="00095067" w14:paraId="20331B96"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43B91D6C"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2FAA9A18"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3EE646BD"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2334871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6.811.700</w:t>
            </w:r>
          </w:p>
        </w:tc>
        <w:tc>
          <w:tcPr>
            <w:tcW w:w="1383" w:type="dxa"/>
            <w:tcBorders>
              <w:top w:val="nil"/>
              <w:left w:val="nil"/>
              <w:bottom w:val="single" w:sz="4" w:space="0" w:color="95B3D7"/>
              <w:right w:val="single" w:sz="4" w:space="0" w:color="FFFFFF"/>
            </w:tcBorders>
            <w:shd w:val="clear" w:color="000000" w:fill="FFFFFF"/>
            <w:vAlign w:val="center"/>
            <w:hideMark/>
          </w:tcPr>
          <w:p w14:paraId="312F73A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662.420</w:t>
            </w:r>
          </w:p>
        </w:tc>
        <w:tc>
          <w:tcPr>
            <w:tcW w:w="1179" w:type="dxa"/>
            <w:tcBorders>
              <w:top w:val="nil"/>
              <w:left w:val="nil"/>
              <w:bottom w:val="single" w:sz="4" w:space="0" w:color="95B3D7"/>
              <w:right w:val="single" w:sz="4" w:space="0" w:color="FFFFFF"/>
            </w:tcBorders>
            <w:shd w:val="clear" w:color="000000" w:fill="FFFFFF"/>
            <w:noWrap/>
            <w:vAlign w:val="center"/>
            <w:hideMark/>
          </w:tcPr>
          <w:p w14:paraId="047539B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7.474.119</w:t>
            </w:r>
          </w:p>
        </w:tc>
      </w:tr>
      <w:tr w:rsidR="00095067" w:rsidRPr="00095067" w14:paraId="4EEB1CBF"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63B60CA0"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Plăți restante</w:t>
            </w:r>
          </w:p>
        </w:tc>
        <w:tc>
          <w:tcPr>
            <w:tcW w:w="1405" w:type="dxa"/>
            <w:tcBorders>
              <w:top w:val="nil"/>
              <w:left w:val="nil"/>
              <w:bottom w:val="single" w:sz="4" w:space="0" w:color="95B3D7"/>
              <w:right w:val="single" w:sz="4" w:space="0" w:color="FFFFFF"/>
            </w:tcBorders>
            <w:shd w:val="clear" w:color="000000" w:fill="FFFFFF"/>
            <w:vAlign w:val="center"/>
            <w:hideMark/>
          </w:tcPr>
          <w:p w14:paraId="5A0F4CBC"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17FFB6BE"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481266D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2.105.145</w:t>
            </w:r>
          </w:p>
        </w:tc>
        <w:tc>
          <w:tcPr>
            <w:tcW w:w="1383" w:type="dxa"/>
            <w:tcBorders>
              <w:top w:val="nil"/>
              <w:left w:val="nil"/>
              <w:bottom w:val="single" w:sz="4" w:space="0" w:color="95B3D7"/>
              <w:right w:val="single" w:sz="4" w:space="0" w:color="FFFFFF"/>
            </w:tcBorders>
            <w:shd w:val="clear" w:color="000000" w:fill="FFFFFF"/>
            <w:vAlign w:val="center"/>
            <w:hideMark/>
          </w:tcPr>
          <w:p w14:paraId="04FF714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747.794</w:t>
            </w:r>
          </w:p>
        </w:tc>
        <w:tc>
          <w:tcPr>
            <w:tcW w:w="1179" w:type="dxa"/>
            <w:tcBorders>
              <w:top w:val="nil"/>
              <w:left w:val="nil"/>
              <w:bottom w:val="single" w:sz="4" w:space="0" w:color="95B3D7"/>
              <w:right w:val="single" w:sz="4" w:space="0" w:color="FFFFFF"/>
            </w:tcBorders>
            <w:shd w:val="clear" w:color="000000" w:fill="FFFFFF"/>
            <w:noWrap/>
            <w:vAlign w:val="center"/>
            <w:hideMark/>
          </w:tcPr>
          <w:p w14:paraId="56A9E60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2.852.939</w:t>
            </w:r>
          </w:p>
        </w:tc>
      </w:tr>
      <w:tr w:rsidR="00095067" w:rsidRPr="00095067" w14:paraId="6A1F3DF4"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2CBAA2AE"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0EFFB824"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0348092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7D931ED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990.570</w:t>
            </w:r>
          </w:p>
        </w:tc>
        <w:tc>
          <w:tcPr>
            <w:tcW w:w="1383" w:type="dxa"/>
            <w:tcBorders>
              <w:top w:val="nil"/>
              <w:left w:val="nil"/>
              <w:bottom w:val="single" w:sz="4" w:space="0" w:color="95B3D7"/>
              <w:right w:val="single" w:sz="4" w:space="0" w:color="FFFFFF"/>
            </w:tcBorders>
            <w:shd w:val="clear" w:color="000000" w:fill="FFFFFF"/>
            <w:vAlign w:val="center"/>
            <w:hideMark/>
          </w:tcPr>
          <w:p w14:paraId="1012EE8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84.812</w:t>
            </w:r>
          </w:p>
        </w:tc>
        <w:tc>
          <w:tcPr>
            <w:tcW w:w="1179" w:type="dxa"/>
            <w:tcBorders>
              <w:top w:val="nil"/>
              <w:left w:val="nil"/>
              <w:bottom w:val="single" w:sz="4" w:space="0" w:color="95B3D7"/>
              <w:right w:val="single" w:sz="4" w:space="0" w:color="FFFFFF"/>
            </w:tcBorders>
            <w:shd w:val="clear" w:color="000000" w:fill="FFFFFF"/>
            <w:noWrap/>
            <w:vAlign w:val="center"/>
            <w:hideMark/>
          </w:tcPr>
          <w:p w14:paraId="4154B7E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1.075.382</w:t>
            </w:r>
          </w:p>
        </w:tc>
      </w:tr>
      <w:tr w:rsidR="00095067" w:rsidRPr="00095067" w14:paraId="3744D9A7"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4B98A636"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3A2D4706"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mii lei</w:t>
            </w:r>
          </w:p>
        </w:tc>
        <w:tc>
          <w:tcPr>
            <w:tcW w:w="1224" w:type="dxa"/>
            <w:tcBorders>
              <w:top w:val="nil"/>
              <w:left w:val="nil"/>
              <w:bottom w:val="single" w:sz="4" w:space="0" w:color="95B3D7"/>
              <w:right w:val="single" w:sz="4" w:space="0" w:color="FFFFFF"/>
            </w:tcBorders>
            <w:shd w:val="clear" w:color="000000" w:fill="FFFFFF"/>
            <w:vAlign w:val="center"/>
            <w:hideMark/>
          </w:tcPr>
          <w:p w14:paraId="760A901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0E4787B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1.865.640</w:t>
            </w:r>
          </w:p>
        </w:tc>
        <w:tc>
          <w:tcPr>
            <w:tcW w:w="1383" w:type="dxa"/>
            <w:tcBorders>
              <w:top w:val="nil"/>
              <w:left w:val="nil"/>
              <w:bottom w:val="single" w:sz="4" w:space="0" w:color="95B3D7"/>
              <w:right w:val="single" w:sz="4" w:space="0" w:color="FFFFFF"/>
            </w:tcBorders>
            <w:shd w:val="clear" w:color="000000" w:fill="FFFFFF"/>
            <w:vAlign w:val="center"/>
            <w:hideMark/>
          </w:tcPr>
          <w:p w14:paraId="692D8583"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91.579</w:t>
            </w:r>
          </w:p>
        </w:tc>
        <w:tc>
          <w:tcPr>
            <w:tcW w:w="1179" w:type="dxa"/>
            <w:tcBorders>
              <w:top w:val="nil"/>
              <w:left w:val="nil"/>
              <w:bottom w:val="single" w:sz="4" w:space="0" w:color="95B3D7"/>
              <w:right w:val="single" w:sz="4" w:space="0" w:color="FFFFFF"/>
            </w:tcBorders>
            <w:shd w:val="clear" w:color="000000" w:fill="FFFFFF"/>
            <w:noWrap/>
            <w:vAlign w:val="center"/>
            <w:hideMark/>
          </w:tcPr>
          <w:p w14:paraId="1267E83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1.957.219</w:t>
            </w:r>
          </w:p>
        </w:tc>
      </w:tr>
      <w:tr w:rsidR="00095067" w:rsidRPr="00095067" w14:paraId="48AE2C99" w14:textId="77777777" w:rsidTr="00095067">
        <w:trPr>
          <w:trHeight w:val="244"/>
        </w:trPr>
        <w:tc>
          <w:tcPr>
            <w:tcW w:w="2359" w:type="dxa"/>
            <w:vMerge w:val="restart"/>
            <w:tcBorders>
              <w:top w:val="nil"/>
              <w:left w:val="single" w:sz="4" w:space="0" w:color="FFFFFF"/>
              <w:bottom w:val="single" w:sz="4" w:space="0" w:color="95B3D7"/>
              <w:right w:val="single" w:sz="4" w:space="0" w:color="FFFFFF"/>
            </w:tcBorders>
            <w:shd w:val="clear" w:color="000000" w:fill="FFFFFF"/>
            <w:hideMark/>
          </w:tcPr>
          <w:p w14:paraId="675EBAAD" w14:textId="77777777" w:rsidR="00095067" w:rsidRPr="00642BB3" w:rsidRDefault="00095067" w:rsidP="00095067">
            <w:pPr>
              <w:spacing w:before="0" w:after="0" w:line="240" w:lineRule="auto"/>
              <w:rPr>
                <w:rFonts w:ascii="Calibri" w:eastAsia="Times New Roman" w:hAnsi="Calibri" w:cs="Calibri"/>
                <w:sz w:val="14"/>
                <w:szCs w:val="14"/>
                <w:lang w:val="en-US"/>
              </w:rPr>
            </w:pPr>
            <w:r w:rsidRPr="00642BB3">
              <w:rPr>
                <w:rFonts w:ascii="Calibri" w:eastAsia="Times New Roman" w:hAnsi="Calibri" w:cs="Calibri"/>
                <w:sz w:val="14"/>
                <w:szCs w:val="14"/>
                <w:lang w:val="en-US"/>
              </w:rPr>
              <w:t>Nr efectiv de personal</w:t>
            </w:r>
          </w:p>
        </w:tc>
        <w:tc>
          <w:tcPr>
            <w:tcW w:w="1405" w:type="dxa"/>
            <w:tcBorders>
              <w:top w:val="nil"/>
              <w:left w:val="nil"/>
              <w:bottom w:val="single" w:sz="4" w:space="0" w:color="95B3D7"/>
              <w:right w:val="single" w:sz="4" w:space="0" w:color="FFFFFF"/>
            </w:tcBorders>
            <w:shd w:val="clear" w:color="000000" w:fill="FFFFFF"/>
            <w:vAlign w:val="center"/>
            <w:hideMark/>
          </w:tcPr>
          <w:p w14:paraId="382C64FA"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nr. pers</w:t>
            </w:r>
          </w:p>
        </w:tc>
        <w:tc>
          <w:tcPr>
            <w:tcW w:w="1224" w:type="dxa"/>
            <w:tcBorders>
              <w:top w:val="nil"/>
              <w:left w:val="nil"/>
              <w:bottom w:val="single" w:sz="4" w:space="0" w:color="95B3D7"/>
              <w:right w:val="single" w:sz="4" w:space="0" w:color="FFFFFF"/>
            </w:tcBorders>
            <w:shd w:val="clear" w:color="000000" w:fill="FFFFFF"/>
            <w:vAlign w:val="center"/>
            <w:hideMark/>
          </w:tcPr>
          <w:p w14:paraId="1A2A9467"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2018</w:t>
            </w:r>
          </w:p>
        </w:tc>
        <w:tc>
          <w:tcPr>
            <w:tcW w:w="1542" w:type="dxa"/>
            <w:tcBorders>
              <w:top w:val="nil"/>
              <w:left w:val="nil"/>
              <w:bottom w:val="single" w:sz="4" w:space="0" w:color="95B3D7"/>
              <w:right w:val="single" w:sz="4" w:space="0" w:color="FFFFFF"/>
            </w:tcBorders>
            <w:shd w:val="clear" w:color="000000" w:fill="FFFFFF"/>
            <w:vAlign w:val="center"/>
            <w:hideMark/>
          </w:tcPr>
          <w:p w14:paraId="6E8BF521"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95.110</w:t>
            </w:r>
          </w:p>
        </w:tc>
        <w:tc>
          <w:tcPr>
            <w:tcW w:w="1383" w:type="dxa"/>
            <w:tcBorders>
              <w:top w:val="nil"/>
              <w:left w:val="nil"/>
              <w:bottom w:val="single" w:sz="4" w:space="0" w:color="95B3D7"/>
              <w:right w:val="single" w:sz="4" w:space="0" w:color="FFFFFF"/>
            </w:tcBorders>
            <w:shd w:val="clear" w:color="000000" w:fill="FFFFFF"/>
            <w:vAlign w:val="center"/>
            <w:hideMark/>
          </w:tcPr>
          <w:p w14:paraId="0A47D84C"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3.135</w:t>
            </w:r>
          </w:p>
        </w:tc>
        <w:tc>
          <w:tcPr>
            <w:tcW w:w="1179" w:type="dxa"/>
            <w:tcBorders>
              <w:top w:val="nil"/>
              <w:left w:val="nil"/>
              <w:bottom w:val="single" w:sz="4" w:space="0" w:color="95B3D7"/>
              <w:right w:val="single" w:sz="4" w:space="0" w:color="FFFFFF"/>
            </w:tcBorders>
            <w:shd w:val="clear" w:color="000000" w:fill="FFFFFF"/>
            <w:noWrap/>
            <w:vAlign w:val="center"/>
            <w:hideMark/>
          </w:tcPr>
          <w:p w14:paraId="01417EE8"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98.245</w:t>
            </w:r>
          </w:p>
        </w:tc>
      </w:tr>
      <w:tr w:rsidR="00095067" w:rsidRPr="00095067" w14:paraId="16A8D382"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5CF1CAC4"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42FC96B2"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nr. pers</w:t>
            </w:r>
          </w:p>
        </w:tc>
        <w:tc>
          <w:tcPr>
            <w:tcW w:w="1224" w:type="dxa"/>
            <w:tcBorders>
              <w:top w:val="nil"/>
              <w:left w:val="nil"/>
              <w:bottom w:val="single" w:sz="4" w:space="0" w:color="95B3D7"/>
              <w:right w:val="single" w:sz="4" w:space="0" w:color="FFFFFF"/>
            </w:tcBorders>
            <w:shd w:val="clear" w:color="000000" w:fill="FFFFFF"/>
            <w:vAlign w:val="center"/>
            <w:hideMark/>
          </w:tcPr>
          <w:p w14:paraId="6F2E0E2B"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2019</w:t>
            </w:r>
          </w:p>
        </w:tc>
        <w:tc>
          <w:tcPr>
            <w:tcW w:w="1542" w:type="dxa"/>
            <w:tcBorders>
              <w:top w:val="nil"/>
              <w:left w:val="nil"/>
              <w:bottom w:val="single" w:sz="4" w:space="0" w:color="95B3D7"/>
              <w:right w:val="single" w:sz="4" w:space="0" w:color="FFFFFF"/>
            </w:tcBorders>
            <w:shd w:val="clear" w:color="000000" w:fill="FFFFFF"/>
            <w:vAlign w:val="center"/>
            <w:hideMark/>
          </w:tcPr>
          <w:p w14:paraId="54E269D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97.000</w:t>
            </w:r>
          </w:p>
        </w:tc>
        <w:tc>
          <w:tcPr>
            <w:tcW w:w="1383" w:type="dxa"/>
            <w:tcBorders>
              <w:top w:val="nil"/>
              <w:left w:val="nil"/>
              <w:bottom w:val="single" w:sz="4" w:space="0" w:color="95B3D7"/>
              <w:right w:val="single" w:sz="4" w:space="0" w:color="FFFFFF"/>
            </w:tcBorders>
            <w:shd w:val="clear" w:color="000000" w:fill="FFFFFF"/>
            <w:vAlign w:val="center"/>
            <w:hideMark/>
          </w:tcPr>
          <w:p w14:paraId="0D03AF22"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718</w:t>
            </w:r>
          </w:p>
        </w:tc>
        <w:tc>
          <w:tcPr>
            <w:tcW w:w="1179" w:type="dxa"/>
            <w:tcBorders>
              <w:top w:val="nil"/>
              <w:left w:val="nil"/>
              <w:bottom w:val="single" w:sz="4" w:space="0" w:color="95B3D7"/>
              <w:right w:val="single" w:sz="4" w:space="0" w:color="FFFFFF"/>
            </w:tcBorders>
            <w:shd w:val="clear" w:color="000000" w:fill="FFFFFF"/>
            <w:noWrap/>
            <w:vAlign w:val="center"/>
            <w:hideMark/>
          </w:tcPr>
          <w:p w14:paraId="61626425"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97.718</w:t>
            </w:r>
          </w:p>
        </w:tc>
      </w:tr>
      <w:tr w:rsidR="00095067" w:rsidRPr="00095067" w14:paraId="1263037A" w14:textId="77777777" w:rsidTr="00095067">
        <w:trPr>
          <w:trHeight w:val="244"/>
        </w:trPr>
        <w:tc>
          <w:tcPr>
            <w:tcW w:w="2359" w:type="dxa"/>
            <w:vMerge/>
            <w:tcBorders>
              <w:top w:val="nil"/>
              <w:left w:val="single" w:sz="4" w:space="0" w:color="FFFFFF"/>
              <w:bottom w:val="single" w:sz="4" w:space="0" w:color="95B3D7"/>
              <w:right w:val="single" w:sz="4" w:space="0" w:color="FFFFFF"/>
            </w:tcBorders>
            <w:vAlign w:val="center"/>
            <w:hideMark/>
          </w:tcPr>
          <w:p w14:paraId="65C6E390" w14:textId="77777777" w:rsidR="00095067" w:rsidRPr="00642BB3" w:rsidRDefault="00095067" w:rsidP="00095067">
            <w:pPr>
              <w:spacing w:before="0" w:after="0" w:line="240" w:lineRule="auto"/>
              <w:rPr>
                <w:rFonts w:ascii="Calibri" w:eastAsia="Times New Roman" w:hAnsi="Calibri" w:cs="Calibri"/>
                <w:sz w:val="14"/>
                <w:szCs w:val="14"/>
                <w:lang w:val="en-US"/>
              </w:rPr>
            </w:pPr>
          </w:p>
        </w:tc>
        <w:tc>
          <w:tcPr>
            <w:tcW w:w="1405" w:type="dxa"/>
            <w:tcBorders>
              <w:top w:val="nil"/>
              <w:left w:val="nil"/>
              <w:bottom w:val="single" w:sz="4" w:space="0" w:color="95B3D7"/>
              <w:right w:val="single" w:sz="4" w:space="0" w:color="FFFFFF"/>
            </w:tcBorders>
            <w:shd w:val="clear" w:color="000000" w:fill="FFFFFF"/>
            <w:vAlign w:val="center"/>
            <w:hideMark/>
          </w:tcPr>
          <w:p w14:paraId="1A14F424" w14:textId="77777777" w:rsidR="00095067" w:rsidRPr="00642BB3" w:rsidRDefault="00095067" w:rsidP="00095067">
            <w:pPr>
              <w:spacing w:before="0" w:after="0" w:line="240" w:lineRule="auto"/>
              <w:jc w:val="right"/>
              <w:rPr>
                <w:rFonts w:ascii="Calibri" w:eastAsia="Times New Roman" w:hAnsi="Calibri" w:cs="Calibri"/>
                <w:i/>
                <w:iCs/>
                <w:sz w:val="14"/>
                <w:szCs w:val="14"/>
                <w:lang w:val="en-US"/>
              </w:rPr>
            </w:pPr>
            <w:r w:rsidRPr="00642BB3">
              <w:rPr>
                <w:rFonts w:ascii="Calibri" w:eastAsia="Times New Roman" w:hAnsi="Calibri" w:cs="Calibri"/>
                <w:i/>
                <w:iCs/>
                <w:sz w:val="14"/>
                <w:szCs w:val="14"/>
                <w:lang w:val="en-US"/>
              </w:rPr>
              <w:t>nr. pers</w:t>
            </w:r>
          </w:p>
        </w:tc>
        <w:tc>
          <w:tcPr>
            <w:tcW w:w="1224" w:type="dxa"/>
            <w:tcBorders>
              <w:top w:val="nil"/>
              <w:left w:val="nil"/>
              <w:bottom w:val="single" w:sz="4" w:space="0" w:color="95B3D7"/>
              <w:right w:val="single" w:sz="4" w:space="0" w:color="FFFFFF"/>
            </w:tcBorders>
            <w:shd w:val="clear" w:color="000000" w:fill="FFFFFF"/>
            <w:vAlign w:val="center"/>
            <w:hideMark/>
          </w:tcPr>
          <w:p w14:paraId="30E6C0F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2020</w:t>
            </w:r>
          </w:p>
        </w:tc>
        <w:tc>
          <w:tcPr>
            <w:tcW w:w="1542" w:type="dxa"/>
            <w:tcBorders>
              <w:top w:val="nil"/>
              <w:left w:val="nil"/>
              <w:bottom w:val="single" w:sz="4" w:space="0" w:color="95B3D7"/>
              <w:right w:val="single" w:sz="4" w:space="0" w:color="FFFFFF"/>
            </w:tcBorders>
            <w:shd w:val="clear" w:color="000000" w:fill="FFFFFF"/>
            <w:vAlign w:val="center"/>
            <w:hideMark/>
          </w:tcPr>
          <w:p w14:paraId="1F85FDA1"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97.929</w:t>
            </w:r>
          </w:p>
        </w:tc>
        <w:tc>
          <w:tcPr>
            <w:tcW w:w="1383" w:type="dxa"/>
            <w:tcBorders>
              <w:top w:val="nil"/>
              <w:left w:val="nil"/>
              <w:bottom w:val="single" w:sz="4" w:space="0" w:color="95B3D7"/>
              <w:right w:val="single" w:sz="4" w:space="0" w:color="FFFFFF"/>
            </w:tcBorders>
            <w:shd w:val="clear" w:color="000000" w:fill="FFFFFF"/>
            <w:vAlign w:val="center"/>
            <w:hideMark/>
          </w:tcPr>
          <w:p w14:paraId="725FD5EA"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3.518</w:t>
            </w:r>
          </w:p>
        </w:tc>
        <w:tc>
          <w:tcPr>
            <w:tcW w:w="1179" w:type="dxa"/>
            <w:tcBorders>
              <w:top w:val="nil"/>
              <w:left w:val="nil"/>
              <w:bottom w:val="single" w:sz="4" w:space="0" w:color="95B3D7"/>
              <w:right w:val="single" w:sz="4" w:space="0" w:color="FFFFFF"/>
            </w:tcBorders>
            <w:shd w:val="clear" w:color="000000" w:fill="FFFFFF"/>
            <w:noWrap/>
            <w:vAlign w:val="center"/>
            <w:hideMark/>
          </w:tcPr>
          <w:p w14:paraId="619E5656" w14:textId="77777777" w:rsidR="00095067" w:rsidRPr="00642BB3" w:rsidRDefault="00095067" w:rsidP="00095067">
            <w:pPr>
              <w:spacing w:before="0" w:after="0" w:line="240" w:lineRule="auto"/>
              <w:jc w:val="right"/>
              <w:rPr>
                <w:rFonts w:ascii="Calibri" w:eastAsia="Times New Roman" w:hAnsi="Calibri" w:cs="Calibri"/>
                <w:sz w:val="14"/>
                <w:szCs w:val="14"/>
                <w:lang w:val="en-US"/>
              </w:rPr>
            </w:pPr>
            <w:r w:rsidRPr="00642BB3">
              <w:rPr>
                <w:rFonts w:ascii="Calibri" w:eastAsia="Times New Roman" w:hAnsi="Calibri" w:cs="Calibri"/>
                <w:sz w:val="14"/>
                <w:szCs w:val="14"/>
                <w:lang w:val="en-US"/>
              </w:rPr>
              <w:t>101.447</w:t>
            </w:r>
          </w:p>
        </w:tc>
      </w:tr>
    </w:tbl>
    <w:p w14:paraId="7B8917D0" w14:textId="77777777" w:rsidR="00095067" w:rsidRDefault="00095067" w:rsidP="00B2472E">
      <w:pPr>
        <w:spacing w:before="0" w:after="0"/>
        <w:contextualSpacing/>
        <w:jc w:val="both"/>
        <w:rPr>
          <w:rFonts w:asciiTheme="majorHAnsi" w:hAnsiTheme="majorHAnsi" w:cs="Times New Roman"/>
          <w:bCs/>
          <w:color w:val="0F6FC6" w:themeColor="accent1"/>
        </w:rPr>
      </w:pPr>
    </w:p>
    <w:p w14:paraId="5563851E" w14:textId="77777777" w:rsidR="00F83DE8" w:rsidRPr="00D95C57" w:rsidRDefault="00F83DE8" w:rsidP="00F83DE8">
      <w:pPr>
        <w:spacing w:before="0" w:after="0"/>
        <w:contextualSpacing/>
        <w:jc w:val="both"/>
        <w:rPr>
          <w:rFonts w:asciiTheme="majorHAnsi" w:hAnsiTheme="majorHAnsi" w:cstheme="majorBidi"/>
        </w:rPr>
      </w:pPr>
      <w:r w:rsidRPr="00D95C57">
        <w:rPr>
          <w:rFonts w:asciiTheme="majorHAnsi" w:hAnsiTheme="majorHAnsi" w:cstheme="majorBidi"/>
        </w:rPr>
        <w:t>În scopul stabilirii unor date comparative privind evoluția indicatorilor economico-financiari în perioada 201</w:t>
      </w:r>
      <w:r w:rsidR="00095067">
        <w:rPr>
          <w:rFonts w:asciiTheme="majorHAnsi" w:hAnsiTheme="majorHAnsi" w:cstheme="majorBidi"/>
        </w:rPr>
        <w:t>8</w:t>
      </w:r>
      <w:r w:rsidRPr="00D95C57">
        <w:rPr>
          <w:rFonts w:asciiTheme="majorHAnsi" w:hAnsiTheme="majorHAnsi" w:cstheme="majorBidi"/>
        </w:rPr>
        <w:t>-20</w:t>
      </w:r>
      <w:r w:rsidR="00095067">
        <w:rPr>
          <w:rFonts w:asciiTheme="majorHAnsi" w:hAnsiTheme="majorHAnsi" w:cstheme="majorBidi"/>
        </w:rPr>
        <w:t>20</w:t>
      </w:r>
      <w:r w:rsidRPr="00D95C57">
        <w:rPr>
          <w:rFonts w:asciiTheme="majorHAnsi" w:hAnsiTheme="majorHAnsi" w:cstheme="majorBidi"/>
        </w:rPr>
        <w:t xml:space="preserve"> indicatorii economico-financiari au fost grupați în funcție de ÎPL active care au date comparative pe întreaga perioadă, respectiv au existat în activitatea de monitorizare pe parcursul ultimilor </w:t>
      </w:r>
      <w:r w:rsidR="00000374">
        <w:rPr>
          <w:rFonts w:asciiTheme="majorHAnsi" w:hAnsiTheme="majorHAnsi" w:cstheme="majorBidi"/>
        </w:rPr>
        <w:t>3</w:t>
      </w:r>
      <w:r w:rsidRPr="00D95C57">
        <w:rPr>
          <w:rFonts w:asciiTheme="majorHAnsi" w:hAnsiTheme="majorHAnsi" w:cstheme="majorBidi"/>
        </w:rPr>
        <w:t xml:space="preserve"> ani.</w:t>
      </w:r>
    </w:p>
    <w:p w14:paraId="65F6A1CB" w14:textId="77777777" w:rsidR="00F83DE8" w:rsidRDefault="00F83DE8" w:rsidP="00F83DE8">
      <w:pPr>
        <w:spacing w:before="0" w:after="0"/>
        <w:jc w:val="both"/>
        <w:rPr>
          <w:rFonts w:asciiTheme="majorHAnsi" w:hAnsiTheme="majorHAnsi" w:cstheme="majorBidi"/>
        </w:rPr>
      </w:pPr>
      <w:r w:rsidRPr="00D95C57">
        <w:rPr>
          <w:rFonts w:asciiTheme="majorHAnsi" w:hAnsiTheme="majorHAnsi" w:cstheme="majorBidi"/>
        </w:rPr>
        <w:t>Astfel cele 1.2</w:t>
      </w:r>
      <w:r w:rsidR="00000374">
        <w:rPr>
          <w:rFonts w:asciiTheme="majorHAnsi" w:hAnsiTheme="majorHAnsi" w:cstheme="majorBidi"/>
        </w:rPr>
        <w:t>3</w:t>
      </w:r>
      <w:r w:rsidR="00095067">
        <w:rPr>
          <w:rFonts w:asciiTheme="majorHAnsi" w:hAnsiTheme="majorHAnsi" w:cstheme="majorBidi"/>
        </w:rPr>
        <w:t>8</w:t>
      </w:r>
      <w:r w:rsidRPr="00D95C57">
        <w:rPr>
          <w:rFonts w:asciiTheme="majorHAnsi" w:hAnsiTheme="majorHAnsi" w:cstheme="majorBidi"/>
        </w:rPr>
        <w:t xml:space="preserve"> ÎPL active existente în activitatea de monitorizare la 31.12.20</w:t>
      </w:r>
      <w:r w:rsidR="00095067">
        <w:rPr>
          <w:rFonts w:asciiTheme="majorHAnsi" w:hAnsiTheme="majorHAnsi" w:cstheme="majorBidi"/>
        </w:rPr>
        <w:t>20</w:t>
      </w:r>
      <w:r w:rsidRPr="00D95C57">
        <w:rPr>
          <w:rFonts w:asciiTheme="majorHAnsi" w:hAnsiTheme="majorHAnsi" w:cstheme="majorBidi"/>
        </w:rPr>
        <w:t xml:space="preserve"> au fost grupate în </w:t>
      </w:r>
      <w:r w:rsidR="00B2472E">
        <w:rPr>
          <w:rFonts w:asciiTheme="majorHAnsi" w:hAnsiTheme="majorHAnsi" w:cstheme="majorBidi"/>
        </w:rPr>
        <w:t>1.</w:t>
      </w:r>
      <w:r w:rsidR="00095067">
        <w:rPr>
          <w:rFonts w:asciiTheme="majorHAnsi" w:hAnsiTheme="majorHAnsi" w:cstheme="majorBidi"/>
        </w:rPr>
        <w:t>134</w:t>
      </w:r>
      <w:r w:rsidRPr="00D95C57">
        <w:rPr>
          <w:rFonts w:asciiTheme="majorHAnsi" w:hAnsiTheme="majorHAnsi" w:cstheme="majorBidi"/>
        </w:rPr>
        <w:t xml:space="preserve"> ÎPL active care au existat în activitatea de monitorizare și au date comparative pe ultimii </w:t>
      </w:r>
      <w:r w:rsidR="00B2472E">
        <w:rPr>
          <w:rFonts w:asciiTheme="majorHAnsi" w:hAnsiTheme="majorHAnsi" w:cstheme="majorBidi"/>
        </w:rPr>
        <w:t>3</w:t>
      </w:r>
      <w:r w:rsidRPr="00D95C57">
        <w:rPr>
          <w:rFonts w:asciiTheme="majorHAnsi" w:hAnsiTheme="majorHAnsi" w:cstheme="majorBidi"/>
        </w:rPr>
        <w:t xml:space="preserve"> ani și ÎPL active care nu au date comparative pe ultimii </w:t>
      </w:r>
      <w:r w:rsidR="00B2472E">
        <w:rPr>
          <w:rFonts w:asciiTheme="majorHAnsi" w:hAnsiTheme="majorHAnsi" w:cstheme="majorBidi"/>
        </w:rPr>
        <w:t>3</w:t>
      </w:r>
      <w:r w:rsidRPr="00D95C57">
        <w:rPr>
          <w:rFonts w:asciiTheme="majorHAnsi" w:hAnsiTheme="majorHAnsi" w:cstheme="majorBidi"/>
        </w:rPr>
        <w:t xml:space="preserve"> ani datorită intrării în activitatea de monitorizare </w:t>
      </w:r>
      <w:r w:rsidR="00A42228">
        <w:rPr>
          <w:rFonts w:asciiTheme="majorHAnsi" w:hAnsiTheme="majorHAnsi" w:cstheme="majorBidi"/>
        </w:rPr>
        <w:t xml:space="preserve">ca </w:t>
      </w:r>
      <w:r w:rsidRPr="00D95C57">
        <w:rPr>
          <w:rFonts w:asciiTheme="majorHAnsi" w:hAnsiTheme="majorHAnsi" w:cstheme="majorBidi"/>
        </w:rPr>
        <w:t>urmare</w:t>
      </w:r>
      <w:r w:rsidR="00A42228">
        <w:rPr>
          <w:rFonts w:asciiTheme="majorHAnsi" w:hAnsiTheme="majorHAnsi" w:cstheme="majorBidi"/>
        </w:rPr>
        <w:t xml:space="preserve"> a</w:t>
      </w:r>
      <w:r w:rsidRPr="00D95C57">
        <w:rPr>
          <w:rFonts w:asciiTheme="majorHAnsi" w:hAnsiTheme="majorHAnsi" w:cstheme="majorBidi"/>
        </w:rPr>
        <w:t xml:space="preserve"> identificării acestora ulterior datei de 31.12.201</w:t>
      </w:r>
      <w:r w:rsidR="00095067">
        <w:rPr>
          <w:rFonts w:asciiTheme="majorHAnsi" w:hAnsiTheme="majorHAnsi" w:cstheme="majorBidi"/>
        </w:rPr>
        <w:t>8</w:t>
      </w:r>
      <w:r w:rsidR="00A42228">
        <w:rPr>
          <w:rFonts w:asciiTheme="majorHAnsi" w:hAnsiTheme="majorHAnsi" w:cstheme="majorBidi"/>
        </w:rPr>
        <w:t>,</w:t>
      </w:r>
      <w:r w:rsidRPr="00D95C57">
        <w:rPr>
          <w:rFonts w:asciiTheme="majorHAnsi" w:hAnsiTheme="majorHAnsi" w:cstheme="majorBidi"/>
        </w:rPr>
        <w:t xml:space="preserve"> sau datorită ieșirii din activitate de monitorizare </w:t>
      </w:r>
      <w:r w:rsidR="00095067">
        <w:rPr>
          <w:rFonts w:asciiTheme="majorHAnsi" w:hAnsiTheme="majorHAnsi" w:cstheme="majorBidi"/>
        </w:rPr>
        <w:t>urmare</w:t>
      </w:r>
      <w:r w:rsidRPr="00D95C57">
        <w:rPr>
          <w:rFonts w:asciiTheme="majorHAnsi" w:hAnsiTheme="majorHAnsi" w:cstheme="majorBidi"/>
        </w:rPr>
        <w:t xml:space="preserve"> </w:t>
      </w:r>
      <w:r w:rsidR="00B2472E">
        <w:rPr>
          <w:rFonts w:asciiTheme="majorHAnsi" w:hAnsiTheme="majorHAnsi" w:cstheme="majorBidi"/>
        </w:rPr>
        <w:t xml:space="preserve">intrării acestora în procedura de insolvență, </w:t>
      </w:r>
      <w:r w:rsidRPr="00D95C57">
        <w:rPr>
          <w:rFonts w:asciiTheme="majorHAnsi" w:hAnsiTheme="majorHAnsi" w:cstheme="majorBidi"/>
        </w:rPr>
        <w:t xml:space="preserve">radierii acestora de la </w:t>
      </w:r>
      <w:r w:rsidRPr="00DF4EED">
        <w:rPr>
          <w:rFonts w:asciiTheme="majorHAnsi" w:hAnsiTheme="majorHAnsi" w:cstheme="majorBidi"/>
        </w:rPr>
        <w:t>Oficiul Național</w:t>
      </w:r>
      <w:r w:rsidR="00B2472E" w:rsidRPr="00DF4EED">
        <w:rPr>
          <w:rFonts w:asciiTheme="majorHAnsi" w:hAnsiTheme="majorHAnsi" w:cstheme="majorBidi"/>
        </w:rPr>
        <w:t xml:space="preserve"> al Registrului Comerțului</w:t>
      </w:r>
      <w:r w:rsidR="00A42228">
        <w:rPr>
          <w:rFonts w:asciiTheme="majorHAnsi" w:hAnsiTheme="majorHAnsi" w:cstheme="majorBidi"/>
        </w:rPr>
        <w:t xml:space="preserve"> sau </w:t>
      </w:r>
      <w:r w:rsidR="00B2472E">
        <w:rPr>
          <w:rFonts w:asciiTheme="majorHAnsi" w:hAnsiTheme="majorHAnsi" w:cstheme="majorBidi"/>
        </w:rPr>
        <w:t>privatizării acestora</w:t>
      </w:r>
      <w:r w:rsidRPr="00D95C57">
        <w:rPr>
          <w:rFonts w:asciiTheme="majorHAnsi" w:hAnsiTheme="majorHAnsi" w:cstheme="majorBidi"/>
        </w:rPr>
        <w:t>.</w:t>
      </w:r>
    </w:p>
    <w:p w14:paraId="41A9D70A" w14:textId="77777777" w:rsidR="009D110C" w:rsidRPr="00D95C57" w:rsidRDefault="009D110C" w:rsidP="00F83DE8">
      <w:pPr>
        <w:spacing w:before="0" w:after="0"/>
        <w:jc w:val="both"/>
        <w:rPr>
          <w:rFonts w:asciiTheme="majorHAnsi" w:hAnsiTheme="majorHAnsi" w:cstheme="majorBidi"/>
        </w:rPr>
      </w:pPr>
    </w:p>
    <w:p w14:paraId="2BAB82DC" w14:textId="77777777" w:rsidR="00F83DE8" w:rsidRDefault="00095067" w:rsidP="009D110C">
      <w:pPr>
        <w:spacing w:before="0" w:after="0"/>
        <w:jc w:val="center"/>
        <w:rPr>
          <w:rFonts w:asciiTheme="majorHAnsi" w:hAnsiTheme="majorHAnsi" w:cs="Times New Roman"/>
          <w:bCs/>
        </w:rPr>
      </w:pPr>
      <w:r>
        <w:rPr>
          <w:rFonts w:asciiTheme="majorHAnsi" w:hAnsiTheme="majorHAnsi" w:cs="Times New Roman"/>
          <w:bCs/>
          <w:noProof/>
          <w:lang w:val="en-US"/>
        </w:rPr>
        <w:drawing>
          <wp:inline distT="0" distB="0" distL="0" distR="0" wp14:anchorId="73095AF4" wp14:editId="48F324B9">
            <wp:extent cx="5669915" cy="28473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9915" cy="2847340"/>
                    </a:xfrm>
                    <a:prstGeom prst="rect">
                      <a:avLst/>
                    </a:prstGeom>
                    <a:noFill/>
                  </pic:spPr>
                </pic:pic>
              </a:graphicData>
            </a:graphic>
          </wp:inline>
        </w:drawing>
      </w:r>
    </w:p>
    <w:p w14:paraId="6DC7FECC" w14:textId="77777777" w:rsidR="00963752" w:rsidRDefault="00963752" w:rsidP="009D110C">
      <w:pPr>
        <w:spacing w:before="0" w:after="0"/>
        <w:jc w:val="center"/>
        <w:rPr>
          <w:rFonts w:asciiTheme="majorHAnsi" w:hAnsiTheme="majorHAnsi" w:cs="Times New Roman"/>
          <w:bCs/>
        </w:rPr>
      </w:pPr>
    </w:p>
    <w:p w14:paraId="2C86BFE3" w14:textId="77777777" w:rsidR="00F83DE8" w:rsidRPr="00CE797E" w:rsidRDefault="00F83DE8" w:rsidP="00CE797E">
      <w:pPr>
        <w:spacing w:before="0" w:after="0"/>
        <w:jc w:val="both"/>
        <w:rPr>
          <w:rFonts w:asciiTheme="majorHAnsi" w:hAnsiTheme="majorHAnsi" w:cstheme="majorHAnsi"/>
        </w:rPr>
      </w:pPr>
      <w:r w:rsidRPr="00CE797E">
        <w:rPr>
          <w:rFonts w:asciiTheme="majorHAnsi" w:hAnsiTheme="majorHAnsi" w:cstheme="majorHAnsi"/>
        </w:rPr>
        <w:t>În anul 20</w:t>
      </w:r>
      <w:r w:rsidR="00A92CC2">
        <w:rPr>
          <w:rFonts w:asciiTheme="majorHAnsi" w:hAnsiTheme="majorHAnsi" w:cstheme="majorHAnsi"/>
        </w:rPr>
        <w:t>20</w:t>
      </w:r>
      <w:r w:rsidRPr="00CE797E">
        <w:rPr>
          <w:rFonts w:asciiTheme="majorHAnsi" w:hAnsiTheme="majorHAnsi" w:cstheme="majorHAnsi"/>
        </w:rPr>
        <w:t>, c</w:t>
      </w:r>
      <w:r w:rsidR="009D110C" w:rsidRPr="00CE797E">
        <w:rPr>
          <w:rFonts w:asciiTheme="majorHAnsi" w:hAnsiTheme="majorHAnsi" w:cstheme="majorHAnsi"/>
        </w:rPr>
        <w:t>omparativ cu nivelul anului 201</w:t>
      </w:r>
      <w:r w:rsidR="00A92CC2">
        <w:rPr>
          <w:rFonts w:asciiTheme="majorHAnsi" w:hAnsiTheme="majorHAnsi" w:cstheme="majorHAnsi"/>
        </w:rPr>
        <w:t>9</w:t>
      </w:r>
      <w:r w:rsidR="009D110C" w:rsidRPr="00CE797E">
        <w:rPr>
          <w:rFonts w:asciiTheme="majorHAnsi" w:hAnsiTheme="majorHAnsi" w:cstheme="majorHAnsi"/>
        </w:rPr>
        <w:t>, pentru cele 1.23</w:t>
      </w:r>
      <w:r w:rsidR="00A92CC2">
        <w:rPr>
          <w:rFonts w:asciiTheme="majorHAnsi" w:hAnsiTheme="majorHAnsi" w:cstheme="majorHAnsi"/>
        </w:rPr>
        <w:t>8</w:t>
      </w:r>
      <w:r w:rsidRPr="00CE797E">
        <w:rPr>
          <w:rFonts w:asciiTheme="majorHAnsi" w:hAnsiTheme="majorHAnsi" w:cstheme="majorHAnsi"/>
        </w:rPr>
        <w:t xml:space="preserve"> ÎPL active se observă modificări la principalii indicatori, astfel:</w:t>
      </w:r>
    </w:p>
    <w:p w14:paraId="487C30F8" w14:textId="77777777" w:rsidR="00F83DE8" w:rsidRPr="00284926" w:rsidRDefault="00F83DE8"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cifra de afaceri netă  a crescut pe total cu suma de </w:t>
      </w:r>
      <w:r w:rsidR="00457BAA" w:rsidRPr="00284926">
        <w:rPr>
          <w:rFonts w:asciiTheme="majorHAnsi" w:hAnsiTheme="majorHAnsi" w:cstheme="majorHAnsi"/>
          <w:b/>
        </w:rPr>
        <w:t xml:space="preserve">1.249.062 </w:t>
      </w:r>
      <w:r w:rsidRPr="00284926">
        <w:rPr>
          <w:rFonts w:asciiTheme="majorHAnsi" w:hAnsiTheme="majorHAnsi" w:cstheme="majorHAnsi"/>
          <w:b/>
        </w:rPr>
        <w:t>mii lei</w:t>
      </w:r>
      <w:r w:rsidRPr="00284926">
        <w:rPr>
          <w:rFonts w:asciiTheme="majorHAnsi" w:hAnsiTheme="majorHAnsi" w:cstheme="majorHAnsi"/>
        </w:rPr>
        <w:t xml:space="preserve"> de la </w:t>
      </w:r>
      <w:r w:rsidR="00457BAA" w:rsidRPr="00284926">
        <w:rPr>
          <w:rFonts w:asciiTheme="majorHAnsi" w:hAnsiTheme="majorHAnsi" w:cstheme="majorHAnsi"/>
        </w:rPr>
        <w:t xml:space="preserve">10.958.439 </w:t>
      </w:r>
      <w:r w:rsidRPr="00284926">
        <w:rPr>
          <w:rFonts w:asciiTheme="majorHAnsi" w:hAnsiTheme="majorHAnsi" w:cstheme="majorHAnsi"/>
        </w:rPr>
        <w:t xml:space="preserve">mii lei la </w:t>
      </w:r>
      <w:r w:rsidR="00457BAA" w:rsidRPr="00284926">
        <w:rPr>
          <w:rFonts w:asciiTheme="majorHAnsi" w:hAnsiTheme="majorHAnsi" w:cstheme="majorHAnsi"/>
        </w:rPr>
        <w:t xml:space="preserve">12.207.501 </w:t>
      </w:r>
      <w:r w:rsidRPr="00284926">
        <w:rPr>
          <w:rFonts w:asciiTheme="majorHAnsi" w:hAnsiTheme="majorHAnsi" w:cstheme="majorHAnsi"/>
        </w:rPr>
        <w:t>mii lei;</w:t>
      </w:r>
    </w:p>
    <w:p w14:paraId="5F6F7B33" w14:textId="77777777" w:rsidR="00F83DE8" w:rsidRPr="00284926" w:rsidRDefault="00F83DE8"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rezultatul brut din exploatare a </w:t>
      </w:r>
      <w:r w:rsidR="00457BAA" w:rsidRPr="00284926">
        <w:rPr>
          <w:rFonts w:asciiTheme="majorHAnsi" w:hAnsiTheme="majorHAnsi" w:cstheme="majorHAnsi"/>
          <w:b/>
        </w:rPr>
        <w:t>scăzut</w:t>
      </w:r>
      <w:r w:rsidR="007A7E18" w:rsidRPr="00284926">
        <w:rPr>
          <w:rFonts w:asciiTheme="majorHAnsi" w:hAnsiTheme="majorHAnsi" w:cstheme="majorHAnsi"/>
        </w:rPr>
        <w:t xml:space="preserve"> cu suma de </w:t>
      </w:r>
      <w:r w:rsidR="00457BAA" w:rsidRPr="00284926">
        <w:rPr>
          <w:rFonts w:asciiTheme="majorHAnsi" w:hAnsiTheme="majorHAnsi" w:cstheme="majorHAnsi"/>
          <w:b/>
        </w:rPr>
        <w:t xml:space="preserve">209.477 </w:t>
      </w:r>
      <w:r w:rsidR="007A7E18" w:rsidRPr="00284926">
        <w:rPr>
          <w:rFonts w:asciiTheme="majorHAnsi" w:hAnsiTheme="majorHAnsi" w:cstheme="majorHAnsi"/>
        </w:rPr>
        <w:t>mii le</w:t>
      </w:r>
      <w:r w:rsidR="00457BAA" w:rsidRPr="00284926">
        <w:rPr>
          <w:rFonts w:asciiTheme="majorHAnsi" w:hAnsiTheme="majorHAnsi" w:cstheme="majorHAnsi"/>
        </w:rPr>
        <w:t>i</w:t>
      </w:r>
      <w:r w:rsidR="00457BAA" w:rsidRPr="00284926">
        <w:t xml:space="preserve"> de la </w:t>
      </w:r>
      <w:r w:rsidR="00457BAA" w:rsidRPr="00284926">
        <w:rPr>
          <w:rFonts w:asciiTheme="majorHAnsi" w:hAnsiTheme="majorHAnsi" w:cstheme="majorHAnsi"/>
        </w:rPr>
        <w:t>366.136 mii lei la 156.659 mii lei</w:t>
      </w:r>
      <w:r w:rsidR="00EB20A1" w:rsidRPr="00284926">
        <w:rPr>
          <w:rFonts w:asciiTheme="majorHAnsi" w:hAnsiTheme="majorHAnsi" w:cstheme="majorHAnsi"/>
          <w:lang w:val="en-US"/>
        </w:rPr>
        <w:t>;</w:t>
      </w:r>
    </w:p>
    <w:p w14:paraId="52D63CF3" w14:textId="77777777" w:rsidR="00B14DEC" w:rsidRPr="00284926" w:rsidRDefault="00B14DEC"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rPr>
        <w:t>per total</w:t>
      </w:r>
      <w:r w:rsidRPr="00284926">
        <w:rPr>
          <w:rFonts w:asciiTheme="majorHAnsi" w:hAnsiTheme="majorHAnsi" w:cstheme="majorHAnsi"/>
          <w:b/>
        </w:rPr>
        <w:t xml:space="preserve"> rezultatul brut a </w:t>
      </w:r>
      <w:r w:rsidR="00457BAA" w:rsidRPr="00284926">
        <w:rPr>
          <w:rFonts w:asciiTheme="majorHAnsi" w:hAnsiTheme="majorHAnsi" w:cstheme="majorHAnsi"/>
          <w:b/>
        </w:rPr>
        <w:t>scăz</w:t>
      </w:r>
      <w:r w:rsidR="003C57CB" w:rsidRPr="00284926">
        <w:rPr>
          <w:rFonts w:asciiTheme="majorHAnsi" w:hAnsiTheme="majorHAnsi" w:cstheme="majorHAnsi"/>
          <w:b/>
        </w:rPr>
        <w:t xml:space="preserve">ut </w:t>
      </w:r>
      <w:r w:rsidRPr="00284926">
        <w:rPr>
          <w:rFonts w:asciiTheme="majorHAnsi" w:hAnsiTheme="majorHAnsi" w:cstheme="majorHAnsi"/>
          <w:b/>
        </w:rPr>
        <w:t xml:space="preserve">cu suma de </w:t>
      </w:r>
      <w:r w:rsidR="00457BAA" w:rsidRPr="00284926">
        <w:rPr>
          <w:rFonts w:asciiTheme="majorHAnsi" w:hAnsiTheme="majorHAnsi" w:cstheme="majorHAnsi"/>
          <w:b/>
        </w:rPr>
        <w:t xml:space="preserve">202.648 </w:t>
      </w:r>
      <w:r w:rsidRPr="00284926">
        <w:rPr>
          <w:rFonts w:asciiTheme="majorHAnsi" w:hAnsiTheme="majorHAnsi" w:cstheme="majorHAnsi"/>
          <w:b/>
        </w:rPr>
        <w:t>mii lei</w:t>
      </w:r>
      <w:r w:rsidRPr="00284926">
        <w:rPr>
          <w:rFonts w:asciiTheme="majorHAnsi" w:hAnsiTheme="majorHAnsi" w:cstheme="majorHAnsi"/>
        </w:rPr>
        <w:t xml:space="preserve"> de la </w:t>
      </w:r>
      <w:r w:rsidR="00457BAA" w:rsidRPr="00284926">
        <w:rPr>
          <w:rFonts w:asciiTheme="majorHAnsi" w:hAnsiTheme="majorHAnsi" w:cstheme="majorHAnsi"/>
        </w:rPr>
        <w:t xml:space="preserve">314.792 </w:t>
      </w:r>
      <w:r w:rsidRPr="00284926">
        <w:rPr>
          <w:rFonts w:asciiTheme="majorHAnsi" w:hAnsiTheme="majorHAnsi" w:cstheme="majorHAnsi"/>
        </w:rPr>
        <w:t xml:space="preserve">mii lei la </w:t>
      </w:r>
      <w:r w:rsidR="00457BAA" w:rsidRPr="00284926">
        <w:rPr>
          <w:rFonts w:asciiTheme="majorHAnsi" w:hAnsiTheme="majorHAnsi" w:cstheme="majorHAnsi"/>
        </w:rPr>
        <w:t xml:space="preserve">112.144 </w:t>
      </w:r>
      <w:r w:rsidRPr="00284926">
        <w:rPr>
          <w:rFonts w:asciiTheme="majorHAnsi" w:hAnsiTheme="majorHAnsi" w:cstheme="majorHAnsi"/>
        </w:rPr>
        <w:t>mii lei</w:t>
      </w:r>
      <w:r w:rsidR="00EB20A1" w:rsidRPr="00284926">
        <w:rPr>
          <w:rFonts w:asciiTheme="majorHAnsi" w:hAnsiTheme="majorHAnsi" w:cstheme="majorHAnsi"/>
        </w:rPr>
        <w:t>;</w:t>
      </w:r>
    </w:p>
    <w:p w14:paraId="7FED25EB" w14:textId="77777777" w:rsidR="00F83DE8" w:rsidRPr="00284926" w:rsidRDefault="00F83DE8"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profitul brut </w:t>
      </w:r>
      <w:r w:rsidRPr="00284926">
        <w:rPr>
          <w:rFonts w:asciiTheme="majorHAnsi" w:hAnsiTheme="majorHAnsi" w:cstheme="majorHAnsi"/>
        </w:rPr>
        <w:t xml:space="preserve">a </w:t>
      </w:r>
      <w:r w:rsidR="00457BAA" w:rsidRPr="00284926">
        <w:rPr>
          <w:rFonts w:asciiTheme="majorHAnsi" w:hAnsiTheme="majorHAnsi" w:cstheme="majorHAnsi"/>
        </w:rPr>
        <w:t>scăz</w:t>
      </w:r>
      <w:r w:rsidRPr="00284926">
        <w:rPr>
          <w:rFonts w:asciiTheme="majorHAnsi" w:hAnsiTheme="majorHAnsi" w:cstheme="majorHAnsi"/>
        </w:rPr>
        <w:t>ut pe</w:t>
      </w:r>
      <w:r w:rsidR="00DF4EED">
        <w:rPr>
          <w:rFonts w:asciiTheme="majorHAnsi" w:hAnsiTheme="majorHAnsi" w:cstheme="majorHAnsi"/>
        </w:rPr>
        <w:t>r</w:t>
      </w:r>
      <w:r w:rsidRPr="00284926">
        <w:rPr>
          <w:rFonts w:asciiTheme="majorHAnsi" w:hAnsiTheme="majorHAnsi" w:cstheme="majorHAnsi"/>
        </w:rPr>
        <w:t xml:space="preserve"> total cu suma de </w:t>
      </w:r>
      <w:r w:rsidR="00457BAA" w:rsidRPr="00284926">
        <w:rPr>
          <w:rFonts w:asciiTheme="majorHAnsi" w:hAnsiTheme="majorHAnsi" w:cstheme="majorHAnsi"/>
          <w:b/>
        </w:rPr>
        <w:t xml:space="preserve">32.184 </w:t>
      </w:r>
      <w:r w:rsidRPr="00284926">
        <w:rPr>
          <w:rFonts w:asciiTheme="majorHAnsi" w:hAnsiTheme="majorHAnsi" w:cstheme="majorHAnsi"/>
          <w:b/>
        </w:rPr>
        <w:t>mii lei</w:t>
      </w:r>
      <w:r w:rsidRPr="00284926">
        <w:rPr>
          <w:rFonts w:asciiTheme="majorHAnsi" w:hAnsiTheme="majorHAnsi" w:cstheme="majorHAnsi"/>
        </w:rPr>
        <w:t xml:space="preserve"> de la </w:t>
      </w:r>
      <w:r w:rsidR="00457BAA" w:rsidRPr="00284926">
        <w:rPr>
          <w:rFonts w:asciiTheme="majorHAnsi" w:hAnsiTheme="majorHAnsi" w:cstheme="majorHAnsi"/>
        </w:rPr>
        <w:t xml:space="preserve">546.949 </w:t>
      </w:r>
      <w:r w:rsidRPr="00284926">
        <w:rPr>
          <w:rFonts w:asciiTheme="majorHAnsi" w:hAnsiTheme="majorHAnsi" w:cstheme="majorHAnsi"/>
        </w:rPr>
        <w:t xml:space="preserve">mii lei la </w:t>
      </w:r>
      <w:r w:rsidR="00457BAA" w:rsidRPr="00284926">
        <w:rPr>
          <w:rFonts w:asciiTheme="majorHAnsi" w:hAnsiTheme="majorHAnsi" w:cstheme="majorHAnsi"/>
        </w:rPr>
        <w:t xml:space="preserve">514.765 </w:t>
      </w:r>
      <w:r w:rsidRPr="00284926">
        <w:rPr>
          <w:rFonts w:asciiTheme="majorHAnsi" w:hAnsiTheme="majorHAnsi" w:cstheme="majorHAnsi"/>
        </w:rPr>
        <w:t>mii lei</w:t>
      </w:r>
      <w:r w:rsidR="00EB20A1" w:rsidRPr="00284926">
        <w:rPr>
          <w:rFonts w:asciiTheme="majorHAnsi" w:hAnsiTheme="majorHAnsi" w:cstheme="majorHAnsi"/>
        </w:rPr>
        <w:t>;</w:t>
      </w:r>
    </w:p>
    <w:p w14:paraId="47D49AF0" w14:textId="77777777" w:rsidR="00F83DE8" w:rsidRPr="00284926" w:rsidRDefault="00F83DE8"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pierderea brută </w:t>
      </w:r>
      <w:r w:rsidR="00880B14" w:rsidRPr="00284926">
        <w:rPr>
          <w:rFonts w:asciiTheme="majorHAnsi" w:hAnsiTheme="majorHAnsi" w:cstheme="majorHAnsi"/>
          <w:b/>
        </w:rPr>
        <w:t xml:space="preserve">a </w:t>
      </w:r>
      <w:r w:rsidR="00284926" w:rsidRPr="00284926">
        <w:rPr>
          <w:rFonts w:asciiTheme="majorHAnsi" w:hAnsiTheme="majorHAnsi" w:cstheme="majorHAnsi"/>
          <w:b/>
        </w:rPr>
        <w:t>cresc</w:t>
      </w:r>
      <w:r w:rsidR="00880B14" w:rsidRPr="00284926">
        <w:rPr>
          <w:rFonts w:asciiTheme="majorHAnsi" w:hAnsiTheme="majorHAnsi" w:cstheme="majorHAnsi"/>
          <w:b/>
        </w:rPr>
        <w:t>ut</w:t>
      </w:r>
      <w:r w:rsidRPr="00284926">
        <w:rPr>
          <w:rFonts w:asciiTheme="majorHAnsi" w:hAnsiTheme="majorHAnsi" w:cstheme="majorHAnsi"/>
          <w:b/>
        </w:rPr>
        <w:t xml:space="preserve"> pe</w:t>
      </w:r>
      <w:r w:rsidR="00DF4EED">
        <w:rPr>
          <w:rFonts w:asciiTheme="majorHAnsi" w:hAnsiTheme="majorHAnsi" w:cstheme="majorHAnsi"/>
          <w:b/>
        </w:rPr>
        <w:t>r</w:t>
      </w:r>
      <w:r w:rsidRPr="00284926">
        <w:rPr>
          <w:rFonts w:asciiTheme="majorHAnsi" w:hAnsiTheme="majorHAnsi" w:cstheme="majorHAnsi"/>
          <w:b/>
        </w:rPr>
        <w:t xml:space="preserve"> total cu suma de </w:t>
      </w:r>
      <w:r w:rsidR="00284926" w:rsidRPr="00284926">
        <w:rPr>
          <w:rFonts w:asciiTheme="majorHAnsi" w:hAnsiTheme="majorHAnsi" w:cstheme="majorHAnsi"/>
          <w:b/>
        </w:rPr>
        <w:t xml:space="preserve">170.464 </w:t>
      </w:r>
      <w:r w:rsidRPr="00284926">
        <w:rPr>
          <w:rFonts w:asciiTheme="majorHAnsi" w:hAnsiTheme="majorHAnsi" w:cstheme="majorHAnsi"/>
          <w:b/>
        </w:rPr>
        <w:t>mii lei</w:t>
      </w:r>
      <w:r w:rsidRPr="00284926">
        <w:rPr>
          <w:rFonts w:asciiTheme="majorHAnsi" w:hAnsiTheme="majorHAnsi" w:cstheme="majorHAnsi"/>
        </w:rPr>
        <w:t xml:space="preserve"> de la </w:t>
      </w:r>
      <w:r w:rsidR="00284926" w:rsidRPr="00284926">
        <w:rPr>
          <w:rFonts w:asciiTheme="majorHAnsi" w:hAnsiTheme="majorHAnsi" w:cstheme="majorHAnsi"/>
        </w:rPr>
        <w:t xml:space="preserve">232.157 </w:t>
      </w:r>
      <w:r w:rsidRPr="00284926">
        <w:rPr>
          <w:rFonts w:asciiTheme="majorHAnsi" w:hAnsiTheme="majorHAnsi" w:cstheme="majorHAnsi"/>
        </w:rPr>
        <w:t xml:space="preserve">mii lei la </w:t>
      </w:r>
      <w:r w:rsidR="00284926" w:rsidRPr="00284926">
        <w:rPr>
          <w:rFonts w:asciiTheme="majorHAnsi" w:hAnsiTheme="majorHAnsi" w:cstheme="majorHAnsi"/>
        </w:rPr>
        <w:t xml:space="preserve">402.621 </w:t>
      </w:r>
      <w:r w:rsidRPr="00284926">
        <w:rPr>
          <w:rFonts w:asciiTheme="majorHAnsi" w:hAnsiTheme="majorHAnsi" w:cstheme="majorHAnsi"/>
        </w:rPr>
        <w:t>mii lei</w:t>
      </w:r>
      <w:r w:rsidR="00EB20A1" w:rsidRPr="00284926">
        <w:rPr>
          <w:rFonts w:asciiTheme="majorHAnsi" w:hAnsiTheme="majorHAnsi" w:cstheme="majorHAnsi"/>
        </w:rPr>
        <w:t>;</w:t>
      </w:r>
    </w:p>
    <w:p w14:paraId="4248B8B0" w14:textId="77777777" w:rsidR="00B14DEC" w:rsidRPr="00284926" w:rsidRDefault="00B14DEC"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rezultatul net </w:t>
      </w:r>
      <w:r w:rsidRPr="00284926">
        <w:rPr>
          <w:rFonts w:asciiTheme="majorHAnsi" w:hAnsiTheme="majorHAnsi" w:cstheme="majorHAnsi"/>
        </w:rPr>
        <w:t xml:space="preserve">per total </w:t>
      </w:r>
      <w:r w:rsidRPr="00284926">
        <w:rPr>
          <w:rFonts w:asciiTheme="majorHAnsi" w:hAnsiTheme="majorHAnsi" w:cstheme="majorHAnsi"/>
          <w:b/>
        </w:rPr>
        <w:t xml:space="preserve">a </w:t>
      </w:r>
      <w:r w:rsidR="00284926" w:rsidRPr="00284926">
        <w:rPr>
          <w:rFonts w:asciiTheme="majorHAnsi" w:hAnsiTheme="majorHAnsi" w:cstheme="majorHAnsi"/>
          <w:b/>
        </w:rPr>
        <w:t>scăzut</w:t>
      </w:r>
      <w:r w:rsidRPr="00284926">
        <w:rPr>
          <w:rFonts w:asciiTheme="majorHAnsi" w:hAnsiTheme="majorHAnsi" w:cstheme="majorHAnsi"/>
          <w:b/>
        </w:rPr>
        <w:t xml:space="preserve"> cu suma de </w:t>
      </w:r>
      <w:r w:rsidR="00284926" w:rsidRPr="00284926">
        <w:rPr>
          <w:rFonts w:asciiTheme="majorHAnsi" w:hAnsiTheme="majorHAnsi" w:cstheme="majorHAnsi"/>
          <w:b/>
        </w:rPr>
        <w:t xml:space="preserve">191.498 </w:t>
      </w:r>
      <w:r w:rsidRPr="00284926">
        <w:rPr>
          <w:rFonts w:asciiTheme="majorHAnsi" w:hAnsiTheme="majorHAnsi" w:cstheme="majorHAnsi"/>
          <w:b/>
        </w:rPr>
        <w:t>mii lei</w:t>
      </w:r>
      <w:r w:rsidRPr="00284926">
        <w:rPr>
          <w:rFonts w:asciiTheme="majorHAnsi" w:hAnsiTheme="majorHAnsi" w:cstheme="majorHAnsi"/>
        </w:rPr>
        <w:t xml:space="preserve"> de la </w:t>
      </w:r>
      <w:r w:rsidR="00284926" w:rsidRPr="00284926">
        <w:rPr>
          <w:rFonts w:asciiTheme="majorHAnsi" w:hAnsiTheme="majorHAnsi" w:cstheme="majorHAnsi"/>
        </w:rPr>
        <w:t xml:space="preserve">224.412 </w:t>
      </w:r>
      <w:r w:rsidRPr="00284926">
        <w:rPr>
          <w:rFonts w:asciiTheme="majorHAnsi" w:hAnsiTheme="majorHAnsi" w:cstheme="majorHAnsi"/>
        </w:rPr>
        <w:t xml:space="preserve">mii lei la </w:t>
      </w:r>
      <w:r w:rsidR="00284926" w:rsidRPr="00284926">
        <w:rPr>
          <w:rFonts w:asciiTheme="majorHAnsi" w:hAnsiTheme="majorHAnsi" w:cstheme="majorHAnsi"/>
        </w:rPr>
        <w:t xml:space="preserve">32.914 </w:t>
      </w:r>
      <w:r w:rsidRPr="00284926">
        <w:rPr>
          <w:rFonts w:asciiTheme="majorHAnsi" w:hAnsiTheme="majorHAnsi" w:cstheme="majorHAnsi"/>
        </w:rPr>
        <w:t>mii lei</w:t>
      </w:r>
      <w:r w:rsidR="00EB20A1" w:rsidRPr="00284926">
        <w:rPr>
          <w:rFonts w:asciiTheme="majorHAnsi" w:hAnsiTheme="majorHAnsi" w:cstheme="majorHAnsi"/>
        </w:rPr>
        <w:t>;</w:t>
      </w:r>
    </w:p>
    <w:p w14:paraId="7AE2070F" w14:textId="77777777" w:rsidR="00F83DE8" w:rsidRPr="00284926" w:rsidRDefault="00F83DE8"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EBITDA per total a </w:t>
      </w:r>
      <w:r w:rsidR="00284926" w:rsidRPr="00284926">
        <w:rPr>
          <w:rFonts w:asciiTheme="majorHAnsi" w:hAnsiTheme="majorHAnsi" w:cstheme="majorHAnsi"/>
          <w:b/>
        </w:rPr>
        <w:t>scăzu</w:t>
      </w:r>
      <w:r w:rsidR="00EB20A1" w:rsidRPr="00284926">
        <w:rPr>
          <w:rFonts w:asciiTheme="majorHAnsi" w:hAnsiTheme="majorHAnsi" w:cstheme="majorHAnsi"/>
          <w:b/>
        </w:rPr>
        <w:t>t</w:t>
      </w:r>
      <w:r w:rsidRPr="00284926">
        <w:rPr>
          <w:rFonts w:asciiTheme="majorHAnsi" w:hAnsiTheme="majorHAnsi" w:cstheme="majorHAnsi"/>
          <w:b/>
        </w:rPr>
        <w:t xml:space="preserve"> cu suma de </w:t>
      </w:r>
      <w:r w:rsidR="00284926" w:rsidRPr="00284926">
        <w:rPr>
          <w:rFonts w:asciiTheme="majorHAnsi" w:hAnsiTheme="majorHAnsi" w:cstheme="majorHAnsi"/>
          <w:b/>
        </w:rPr>
        <w:t xml:space="preserve">185.338 </w:t>
      </w:r>
      <w:r w:rsidRPr="00284926">
        <w:rPr>
          <w:rFonts w:asciiTheme="majorHAnsi" w:hAnsiTheme="majorHAnsi" w:cstheme="majorHAnsi"/>
          <w:b/>
        </w:rPr>
        <w:t>mii lei</w:t>
      </w:r>
      <w:r w:rsidRPr="00284926">
        <w:rPr>
          <w:rFonts w:asciiTheme="majorHAnsi" w:hAnsiTheme="majorHAnsi" w:cstheme="majorHAnsi"/>
        </w:rPr>
        <w:t xml:space="preserve"> de la </w:t>
      </w:r>
      <w:r w:rsidR="00284926" w:rsidRPr="00284926">
        <w:rPr>
          <w:rFonts w:asciiTheme="majorHAnsi" w:hAnsiTheme="majorHAnsi" w:cstheme="majorHAnsi"/>
        </w:rPr>
        <w:t xml:space="preserve">966.576 </w:t>
      </w:r>
      <w:r w:rsidRPr="00284926">
        <w:rPr>
          <w:rFonts w:asciiTheme="majorHAnsi" w:hAnsiTheme="majorHAnsi" w:cstheme="majorHAnsi"/>
        </w:rPr>
        <w:t xml:space="preserve">mii lei la </w:t>
      </w:r>
      <w:r w:rsidR="00284926" w:rsidRPr="00284926">
        <w:rPr>
          <w:rFonts w:asciiTheme="majorHAnsi" w:hAnsiTheme="majorHAnsi" w:cstheme="majorHAnsi"/>
        </w:rPr>
        <w:t xml:space="preserve">781.238 </w:t>
      </w:r>
      <w:r w:rsidRPr="00284926">
        <w:rPr>
          <w:rFonts w:asciiTheme="majorHAnsi" w:hAnsiTheme="majorHAnsi" w:cstheme="majorHAnsi"/>
        </w:rPr>
        <w:t>mii lei</w:t>
      </w:r>
      <w:r w:rsidR="00EB20A1" w:rsidRPr="00284926">
        <w:rPr>
          <w:rFonts w:asciiTheme="majorHAnsi" w:hAnsiTheme="majorHAnsi" w:cstheme="majorHAnsi"/>
        </w:rPr>
        <w:t>;</w:t>
      </w:r>
    </w:p>
    <w:p w14:paraId="4C35C375" w14:textId="77777777" w:rsidR="00F83DE8" w:rsidRPr="00284926" w:rsidRDefault="00F83DE8" w:rsidP="00284926">
      <w:pPr>
        <w:pStyle w:val="ListParagraph"/>
        <w:numPr>
          <w:ilvl w:val="2"/>
          <w:numId w:val="13"/>
        </w:numPr>
        <w:spacing w:before="0" w:after="0"/>
        <w:ind w:left="270" w:hanging="270"/>
        <w:jc w:val="both"/>
        <w:rPr>
          <w:rFonts w:asciiTheme="majorHAnsi" w:hAnsiTheme="majorHAnsi" w:cstheme="majorHAnsi"/>
        </w:rPr>
      </w:pPr>
      <w:r w:rsidRPr="00284926">
        <w:rPr>
          <w:rFonts w:asciiTheme="majorHAnsi" w:hAnsiTheme="majorHAnsi" w:cstheme="majorHAnsi"/>
          <w:b/>
        </w:rPr>
        <w:t xml:space="preserve">plățile restante </w:t>
      </w:r>
      <w:r w:rsidR="00AA5E6C" w:rsidRPr="00284926">
        <w:rPr>
          <w:rFonts w:asciiTheme="majorHAnsi" w:hAnsiTheme="majorHAnsi" w:cstheme="majorHAnsi"/>
          <w:b/>
        </w:rPr>
        <w:t xml:space="preserve">au </w:t>
      </w:r>
      <w:r w:rsidR="00284926" w:rsidRPr="00284926">
        <w:rPr>
          <w:rFonts w:asciiTheme="majorHAnsi" w:hAnsiTheme="majorHAnsi" w:cstheme="majorHAnsi"/>
          <w:b/>
        </w:rPr>
        <w:t>crescu</w:t>
      </w:r>
      <w:r w:rsidR="00AA5E6C" w:rsidRPr="00284926">
        <w:rPr>
          <w:rFonts w:asciiTheme="majorHAnsi" w:hAnsiTheme="majorHAnsi" w:cstheme="majorHAnsi"/>
          <w:b/>
        </w:rPr>
        <w:t>t</w:t>
      </w:r>
      <w:r w:rsidRPr="00284926">
        <w:rPr>
          <w:rFonts w:asciiTheme="majorHAnsi" w:hAnsiTheme="majorHAnsi" w:cstheme="majorHAnsi"/>
          <w:b/>
        </w:rPr>
        <w:t xml:space="preserve"> pe</w:t>
      </w:r>
      <w:r w:rsidR="00DF4EED">
        <w:rPr>
          <w:rFonts w:asciiTheme="majorHAnsi" w:hAnsiTheme="majorHAnsi" w:cstheme="majorHAnsi"/>
          <w:b/>
        </w:rPr>
        <w:t>r</w:t>
      </w:r>
      <w:r w:rsidRPr="00284926">
        <w:rPr>
          <w:rFonts w:asciiTheme="majorHAnsi" w:hAnsiTheme="majorHAnsi" w:cstheme="majorHAnsi"/>
          <w:b/>
        </w:rPr>
        <w:t xml:space="preserve"> total cu suma de </w:t>
      </w:r>
      <w:r w:rsidR="00284926" w:rsidRPr="00284926">
        <w:rPr>
          <w:rFonts w:asciiTheme="majorHAnsi" w:hAnsiTheme="majorHAnsi" w:cstheme="majorHAnsi"/>
          <w:b/>
        </w:rPr>
        <w:t xml:space="preserve">881.837 </w:t>
      </w:r>
      <w:r w:rsidRPr="00284926">
        <w:rPr>
          <w:rFonts w:asciiTheme="majorHAnsi" w:hAnsiTheme="majorHAnsi" w:cstheme="majorHAnsi"/>
          <w:b/>
        </w:rPr>
        <w:t>mii lei</w:t>
      </w:r>
      <w:r w:rsidRPr="00284926">
        <w:rPr>
          <w:rFonts w:asciiTheme="majorHAnsi" w:hAnsiTheme="majorHAnsi" w:cstheme="majorHAnsi"/>
        </w:rPr>
        <w:t xml:space="preserve"> de la </w:t>
      </w:r>
      <w:r w:rsidR="00284926" w:rsidRPr="00284926">
        <w:rPr>
          <w:rFonts w:asciiTheme="majorHAnsi" w:hAnsiTheme="majorHAnsi" w:cstheme="majorHAnsi"/>
        </w:rPr>
        <w:t xml:space="preserve">1.075.382 </w:t>
      </w:r>
      <w:r w:rsidRPr="00284926">
        <w:rPr>
          <w:rFonts w:asciiTheme="majorHAnsi" w:hAnsiTheme="majorHAnsi" w:cstheme="majorHAnsi"/>
        </w:rPr>
        <w:t xml:space="preserve">mii lei la </w:t>
      </w:r>
      <w:r w:rsidR="00284926" w:rsidRPr="00284926">
        <w:rPr>
          <w:rFonts w:asciiTheme="majorHAnsi" w:hAnsiTheme="majorHAnsi" w:cstheme="majorHAnsi"/>
        </w:rPr>
        <w:t xml:space="preserve">1.957.219 </w:t>
      </w:r>
      <w:r w:rsidRPr="00284926">
        <w:rPr>
          <w:rFonts w:asciiTheme="majorHAnsi" w:hAnsiTheme="majorHAnsi" w:cstheme="majorHAnsi"/>
        </w:rPr>
        <w:t>mii lei</w:t>
      </w:r>
      <w:r w:rsidR="00CE797E" w:rsidRPr="00284926">
        <w:rPr>
          <w:rFonts w:asciiTheme="majorHAnsi" w:hAnsiTheme="majorHAnsi" w:cstheme="majorHAnsi"/>
        </w:rPr>
        <w:t>.</w:t>
      </w:r>
    </w:p>
    <w:p w14:paraId="459846D4" w14:textId="77777777" w:rsidR="00F83DE8" w:rsidRPr="00284926" w:rsidRDefault="00284926" w:rsidP="00CE797E">
      <w:pPr>
        <w:spacing w:before="0" w:after="0"/>
        <w:ind w:left="270"/>
        <w:jc w:val="both"/>
        <w:rPr>
          <w:rFonts w:asciiTheme="majorHAnsi" w:hAnsiTheme="majorHAnsi" w:cstheme="majorHAnsi"/>
        </w:rPr>
      </w:pPr>
      <w:r w:rsidRPr="00284926">
        <w:rPr>
          <w:rFonts w:asciiTheme="majorHAnsi" w:hAnsiTheme="majorHAnsi" w:cstheme="majorHAnsi"/>
          <w:b/>
        </w:rPr>
        <w:t>O creștere semnificativ</w:t>
      </w:r>
      <w:r w:rsidR="00E91195">
        <w:rPr>
          <w:rFonts w:asciiTheme="majorHAnsi" w:hAnsiTheme="majorHAnsi" w:cstheme="majorHAnsi"/>
          <w:b/>
        </w:rPr>
        <w:t>ă</w:t>
      </w:r>
      <w:r w:rsidRPr="00284926">
        <w:rPr>
          <w:rFonts w:asciiTheme="majorHAnsi" w:hAnsiTheme="majorHAnsi" w:cstheme="majorHAnsi"/>
          <w:b/>
        </w:rPr>
        <w:t xml:space="preserve"> a pl</w:t>
      </w:r>
      <w:r w:rsidR="00E91195">
        <w:rPr>
          <w:rFonts w:asciiTheme="majorHAnsi" w:hAnsiTheme="majorHAnsi" w:cstheme="majorHAnsi"/>
          <w:b/>
        </w:rPr>
        <w:t>ă</w:t>
      </w:r>
      <w:r w:rsidRPr="00284926">
        <w:rPr>
          <w:rFonts w:asciiTheme="majorHAnsi" w:hAnsiTheme="majorHAnsi" w:cstheme="majorHAnsi"/>
          <w:b/>
        </w:rPr>
        <w:t>ților restante a fost înregistrat</w:t>
      </w:r>
      <w:r w:rsidR="00E91195">
        <w:rPr>
          <w:rFonts w:asciiTheme="majorHAnsi" w:hAnsiTheme="majorHAnsi" w:cstheme="majorHAnsi"/>
          <w:b/>
        </w:rPr>
        <w:t>ă</w:t>
      </w:r>
      <w:r w:rsidRPr="00284926">
        <w:rPr>
          <w:rFonts w:asciiTheme="majorHAnsi" w:hAnsiTheme="majorHAnsi" w:cstheme="majorHAnsi"/>
          <w:b/>
        </w:rPr>
        <w:t xml:space="preserve"> de urm</w:t>
      </w:r>
      <w:r w:rsidR="00E91195">
        <w:rPr>
          <w:rFonts w:asciiTheme="majorHAnsi" w:hAnsiTheme="majorHAnsi" w:cstheme="majorHAnsi"/>
          <w:b/>
        </w:rPr>
        <w:t>ă</w:t>
      </w:r>
      <w:r w:rsidRPr="00284926">
        <w:rPr>
          <w:rFonts w:asciiTheme="majorHAnsi" w:hAnsiTheme="majorHAnsi" w:cstheme="majorHAnsi"/>
          <w:b/>
        </w:rPr>
        <w:t>toarele ÎPL</w:t>
      </w:r>
      <w:r w:rsidRPr="00284926">
        <w:rPr>
          <w:rFonts w:asciiTheme="majorHAnsi" w:hAnsiTheme="majorHAnsi" w:cstheme="majorHAnsi"/>
        </w:rPr>
        <w:t>: Societatea de Transport București STB SA cu o creștere în sum</w:t>
      </w:r>
      <w:r w:rsidR="00E91195">
        <w:rPr>
          <w:rFonts w:asciiTheme="majorHAnsi" w:hAnsiTheme="majorHAnsi" w:cstheme="majorHAnsi"/>
        </w:rPr>
        <w:t>ă</w:t>
      </w:r>
      <w:r w:rsidRPr="00284926">
        <w:rPr>
          <w:rFonts w:asciiTheme="majorHAnsi" w:hAnsiTheme="majorHAnsi" w:cstheme="majorHAnsi"/>
        </w:rPr>
        <w:t xml:space="preserve"> de 513.541 mii lei, </w:t>
      </w:r>
      <w:r>
        <w:rPr>
          <w:rFonts w:asciiTheme="majorHAnsi" w:hAnsiTheme="majorHAnsi" w:cstheme="majorHAnsi"/>
        </w:rPr>
        <w:t xml:space="preserve">Amenajare Edilitară și Salubrizare </w:t>
      </w:r>
      <w:r w:rsidRPr="00284926">
        <w:rPr>
          <w:rFonts w:asciiTheme="majorHAnsi" w:hAnsiTheme="majorHAnsi" w:cstheme="majorHAnsi"/>
        </w:rPr>
        <w:t>SA cu o creștere în sum</w:t>
      </w:r>
      <w:r w:rsidR="00E91195">
        <w:rPr>
          <w:rFonts w:asciiTheme="majorHAnsi" w:hAnsiTheme="majorHAnsi" w:cstheme="majorHAnsi"/>
        </w:rPr>
        <w:t>ă</w:t>
      </w:r>
      <w:r w:rsidRPr="00284926">
        <w:rPr>
          <w:rFonts w:asciiTheme="majorHAnsi" w:hAnsiTheme="majorHAnsi" w:cstheme="majorHAnsi"/>
        </w:rPr>
        <w:t xml:space="preserve"> 71.683 mii lei, </w:t>
      </w:r>
      <w:r>
        <w:rPr>
          <w:rFonts w:asciiTheme="majorHAnsi" w:hAnsiTheme="majorHAnsi" w:cstheme="majorHAnsi"/>
        </w:rPr>
        <w:t>Compania Municipală Termoenergetica București SA</w:t>
      </w:r>
      <w:r w:rsidRPr="00284926">
        <w:rPr>
          <w:rFonts w:asciiTheme="majorHAnsi" w:hAnsiTheme="majorHAnsi" w:cstheme="majorHAnsi"/>
        </w:rPr>
        <w:t xml:space="preserve"> cu o creștere în sum</w:t>
      </w:r>
      <w:r w:rsidR="00E91195">
        <w:rPr>
          <w:rFonts w:asciiTheme="majorHAnsi" w:hAnsiTheme="majorHAnsi" w:cstheme="majorHAnsi"/>
        </w:rPr>
        <w:t>ă</w:t>
      </w:r>
      <w:r w:rsidRPr="00284926">
        <w:rPr>
          <w:rFonts w:asciiTheme="majorHAnsi" w:hAnsiTheme="majorHAnsi" w:cstheme="majorHAnsi"/>
        </w:rPr>
        <w:t xml:space="preserve"> de 64.785 mii lei.</w:t>
      </w:r>
    </w:p>
    <w:p w14:paraId="7DE21F5C" w14:textId="77777777" w:rsidR="005567D7" w:rsidRPr="00A92CC2" w:rsidRDefault="005567D7" w:rsidP="00CE797E">
      <w:pPr>
        <w:spacing w:before="0" w:after="0"/>
        <w:ind w:left="270"/>
        <w:jc w:val="both"/>
        <w:rPr>
          <w:rFonts w:asciiTheme="majorHAnsi" w:hAnsiTheme="majorHAnsi" w:cstheme="majorHAnsi"/>
          <w:color w:val="FF0000"/>
        </w:rPr>
      </w:pPr>
    </w:p>
    <w:p w14:paraId="66D9FF49" w14:textId="77777777" w:rsidR="00284926" w:rsidRPr="00284926" w:rsidRDefault="00284926" w:rsidP="00CE797E">
      <w:pPr>
        <w:spacing w:before="0" w:beforeAutospacing="1" w:after="0" w:afterAutospacing="1"/>
        <w:contextualSpacing/>
        <w:jc w:val="both"/>
        <w:rPr>
          <w:rFonts w:asciiTheme="majorHAnsi" w:hAnsiTheme="majorHAnsi" w:cstheme="majorHAnsi"/>
        </w:rPr>
      </w:pPr>
      <w:r w:rsidRPr="00284926">
        <w:rPr>
          <w:rFonts w:asciiTheme="majorHAnsi" w:hAnsiTheme="majorHAnsi" w:cstheme="majorHAnsi"/>
        </w:rPr>
        <w:t>Astfel, se observ</w:t>
      </w:r>
      <w:r w:rsidR="00E91195">
        <w:rPr>
          <w:rFonts w:asciiTheme="majorHAnsi" w:hAnsiTheme="majorHAnsi" w:cstheme="majorHAnsi"/>
        </w:rPr>
        <w:t>ă</w:t>
      </w:r>
      <w:r w:rsidRPr="00284926">
        <w:rPr>
          <w:rFonts w:asciiTheme="majorHAnsi" w:hAnsiTheme="majorHAnsi" w:cstheme="majorHAnsi"/>
        </w:rPr>
        <w:t xml:space="preserve"> c</w:t>
      </w:r>
      <w:r w:rsidR="00E91195">
        <w:rPr>
          <w:rFonts w:asciiTheme="majorHAnsi" w:hAnsiTheme="majorHAnsi" w:cstheme="majorHAnsi"/>
        </w:rPr>
        <w:t>ă</w:t>
      </w:r>
      <w:r w:rsidRPr="00284926">
        <w:rPr>
          <w:rFonts w:asciiTheme="majorHAnsi" w:hAnsiTheme="majorHAnsi" w:cstheme="majorHAnsi"/>
        </w:rPr>
        <w:t xml:space="preserve"> evoluția indicatorilor economico-financiari la finele anului 2020, faț</w:t>
      </w:r>
      <w:r w:rsidR="00E91195">
        <w:rPr>
          <w:rFonts w:asciiTheme="majorHAnsi" w:hAnsiTheme="majorHAnsi" w:cstheme="majorHAnsi"/>
        </w:rPr>
        <w:t>ă</w:t>
      </w:r>
      <w:r w:rsidRPr="00284926">
        <w:rPr>
          <w:rFonts w:asciiTheme="majorHAnsi" w:hAnsiTheme="majorHAnsi" w:cstheme="majorHAnsi"/>
        </w:rPr>
        <w:t xml:space="preserve"> de anul precedent, este nefavorabil</w:t>
      </w:r>
      <w:r w:rsidR="00E91195">
        <w:rPr>
          <w:rFonts w:asciiTheme="majorHAnsi" w:hAnsiTheme="majorHAnsi" w:cstheme="majorHAnsi"/>
        </w:rPr>
        <w:t>ă</w:t>
      </w:r>
      <w:r w:rsidRPr="00284926">
        <w:rPr>
          <w:rFonts w:asciiTheme="majorHAnsi" w:hAnsiTheme="majorHAnsi" w:cstheme="majorHAnsi"/>
        </w:rPr>
        <w:t xml:space="preserve">, </w:t>
      </w:r>
      <w:r w:rsidR="00DF4EED">
        <w:rPr>
          <w:rFonts w:asciiTheme="majorHAnsi" w:hAnsiTheme="majorHAnsi" w:cstheme="majorHAnsi"/>
        </w:rPr>
        <w:t>din cauza</w:t>
      </w:r>
      <w:r w:rsidRPr="00284926">
        <w:rPr>
          <w:rFonts w:asciiTheme="majorHAnsi" w:hAnsiTheme="majorHAnsi" w:cstheme="majorHAnsi"/>
        </w:rPr>
        <w:t xml:space="preserve"> faptului c</w:t>
      </w:r>
      <w:r w:rsidR="00E91195">
        <w:rPr>
          <w:rFonts w:asciiTheme="majorHAnsi" w:hAnsiTheme="majorHAnsi" w:cstheme="majorHAnsi"/>
        </w:rPr>
        <w:t>ă</w:t>
      </w:r>
      <w:r w:rsidRPr="00284926">
        <w:rPr>
          <w:rFonts w:asciiTheme="majorHAnsi" w:hAnsiTheme="majorHAnsi" w:cstheme="majorHAnsi"/>
        </w:rPr>
        <w:t xml:space="preserve"> rezultatul brut înregistreaz</w:t>
      </w:r>
      <w:r w:rsidR="00E91195">
        <w:rPr>
          <w:rFonts w:asciiTheme="majorHAnsi" w:hAnsiTheme="majorHAnsi" w:cstheme="majorHAnsi"/>
        </w:rPr>
        <w:t>ă</w:t>
      </w:r>
      <w:r w:rsidRPr="00284926">
        <w:rPr>
          <w:rFonts w:asciiTheme="majorHAnsi" w:hAnsiTheme="majorHAnsi" w:cstheme="majorHAnsi"/>
        </w:rPr>
        <w:t xml:space="preserve"> scădere cu suma de 202.648 mii lei, acesta fiind o consecinț</w:t>
      </w:r>
      <w:r w:rsidR="00E91195">
        <w:rPr>
          <w:rFonts w:asciiTheme="majorHAnsi" w:hAnsiTheme="majorHAnsi" w:cstheme="majorHAnsi"/>
        </w:rPr>
        <w:t>ă</w:t>
      </w:r>
      <w:r w:rsidRPr="00284926">
        <w:rPr>
          <w:rFonts w:asciiTheme="majorHAnsi" w:hAnsiTheme="majorHAnsi" w:cstheme="majorHAnsi"/>
        </w:rPr>
        <w:t xml:space="preserve"> a creșterii pierderii brute cu suma de 170.464 mii lei și a scăderii profitului brut cu suma de 32.184 mii lei.</w:t>
      </w:r>
      <w:r w:rsidR="009C67C8">
        <w:rPr>
          <w:rFonts w:asciiTheme="majorHAnsi" w:hAnsiTheme="majorHAnsi" w:cstheme="majorHAnsi"/>
        </w:rPr>
        <w:t xml:space="preserve"> </w:t>
      </w:r>
    </w:p>
    <w:p w14:paraId="54237EE4" w14:textId="77777777" w:rsidR="009C67C8" w:rsidRPr="00D95C57" w:rsidRDefault="009C67C8" w:rsidP="009C67C8">
      <w:pPr>
        <w:widowControl w:val="0"/>
        <w:suppressAutoHyphens/>
        <w:autoSpaceDN w:val="0"/>
        <w:spacing w:beforeAutospacing="1" w:after="100" w:afterAutospacing="1"/>
        <w:contextualSpacing/>
        <w:jc w:val="both"/>
        <w:textAlignment w:val="baseline"/>
      </w:pPr>
      <w:r w:rsidRPr="00C4279E">
        <w:rPr>
          <w:rFonts w:asciiTheme="majorHAnsi" w:hAnsiTheme="majorHAnsi"/>
        </w:rPr>
        <w:t>Societatea de Transport București STB S.A</w:t>
      </w:r>
      <w:r w:rsidRPr="00E47E02">
        <w:rPr>
          <w:rFonts w:asciiTheme="majorHAnsi" w:hAnsiTheme="majorHAnsi"/>
        </w:rPr>
        <w:t>. înregistrează cele mai mari plăți restante</w:t>
      </w:r>
      <w:r w:rsidRPr="00C4279E">
        <w:rPr>
          <w:rFonts w:asciiTheme="majorHAnsi" w:hAnsiTheme="majorHAnsi"/>
        </w:rPr>
        <w:t xml:space="preserve"> dintre ÎPL </w:t>
      </w:r>
      <w:r w:rsidR="00DF4EED">
        <w:rPr>
          <w:rFonts w:asciiTheme="majorHAnsi" w:hAnsiTheme="majorHAnsi"/>
        </w:rPr>
        <w:t>din cauza</w:t>
      </w:r>
      <w:r w:rsidR="00DF4EED" w:rsidRPr="00C4279E">
        <w:rPr>
          <w:rFonts w:asciiTheme="majorHAnsi" w:hAnsiTheme="majorHAnsi"/>
        </w:rPr>
        <w:t xml:space="preserve"> </w:t>
      </w:r>
      <w:r w:rsidRPr="00C4279E">
        <w:rPr>
          <w:rFonts w:asciiTheme="majorHAnsi" w:hAnsiTheme="majorHAnsi"/>
        </w:rPr>
        <w:t>neîncasării creanțelor restante și în consecință a neachitării soldurilor restante la furnizorii de materiale, energie, piese de schimb precum și a sumelor datorate Bugetului de stat. Perioada de pandemie a afectat în principal ÎPL care activează în sectorul transporturi terestre de călători din cauza restricțiilor de circulație impuse de autorități.</w:t>
      </w:r>
    </w:p>
    <w:p w14:paraId="70C7D5D4" w14:textId="77777777" w:rsidR="00F83DE8" w:rsidRDefault="00F83DE8" w:rsidP="00CE797E">
      <w:pPr>
        <w:spacing w:before="0" w:after="0"/>
        <w:contextualSpacing/>
        <w:jc w:val="both"/>
        <w:rPr>
          <w:rFonts w:asciiTheme="majorHAnsi" w:hAnsiTheme="majorHAnsi" w:cstheme="majorHAnsi"/>
        </w:rPr>
      </w:pPr>
      <w:r w:rsidRPr="00CE797E">
        <w:rPr>
          <w:rFonts w:asciiTheme="majorHAnsi" w:hAnsiTheme="majorHAnsi" w:cstheme="majorHAnsi"/>
        </w:rPr>
        <w:t xml:space="preserve">În scopul determinării cât mai exacte a indicatorilor medii de performanță ai ÎPL active aceștia au fost calculați pentru aceleași </w:t>
      </w:r>
      <w:r w:rsidR="00860F34">
        <w:rPr>
          <w:rFonts w:asciiTheme="majorHAnsi" w:hAnsiTheme="majorHAnsi" w:cstheme="majorHAnsi"/>
        </w:rPr>
        <w:t>1.</w:t>
      </w:r>
      <w:r w:rsidR="00095067">
        <w:rPr>
          <w:rFonts w:asciiTheme="majorHAnsi" w:hAnsiTheme="majorHAnsi" w:cstheme="majorHAnsi"/>
        </w:rPr>
        <w:t>134</w:t>
      </w:r>
      <w:r w:rsidRPr="00CE797E">
        <w:rPr>
          <w:rFonts w:asciiTheme="majorHAnsi" w:hAnsiTheme="majorHAnsi" w:cstheme="majorHAnsi"/>
        </w:rPr>
        <w:t xml:space="preserve"> ÎPL active care au date comparative în perioada 201</w:t>
      </w:r>
      <w:r w:rsidR="00095067">
        <w:rPr>
          <w:rFonts w:asciiTheme="majorHAnsi" w:hAnsiTheme="majorHAnsi" w:cstheme="majorHAnsi"/>
        </w:rPr>
        <w:t>8</w:t>
      </w:r>
      <w:r w:rsidRPr="00CE797E">
        <w:rPr>
          <w:rFonts w:asciiTheme="majorHAnsi" w:hAnsiTheme="majorHAnsi" w:cstheme="majorHAnsi"/>
        </w:rPr>
        <w:t>-20</w:t>
      </w:r>
      <w:r w:rsidR="00095067">
        <w:rPr>
          <w:rFonts w:asciiTheme="majorHAnsi" w:hAnsiTheme="majorHAnsi" w:cstheme="majorHAnsi"/>
        </w:rPr>
        <w:t>20</w:t>
      </w:r>
      <w:r w:rsidRPr="00CE797E">
        <w:rPr>
          <w:rFonts w:asciiTheme="majorHAnsi" w:hAnsiTheme="majorHAnsi" w:cstheme="majorHAnsi"/>
        </w:rPr>
        <w:t xml:space="preserve">. Indicatorii medii de performanță ai ÎPL active sunt prezentați în </w:t>
      </w:r>
      <w:r w:rsidR="00860F34">
        <w:rPr>
          <w:rFonts w:asciiTheme="majorHAnsi" w:hAnsiTheme="majorHAnsi" w:cstheme="majorHAnsi"/>
        </w:rPr>
        <w:t>tabelul următor</w:t>
      </w:r>
      <w:r w:rsidRPr="00CE797E">
        <w:rPr>
          <w:rFonts w:asciiTheme="majorHAnsi" w:hAnsiTheme="majorHAnsi" w:cstheme="majorHAnsi"/>
        </w:rPr>
        <w:t>.</w:t>
      </w:r>
    </w:p>
    <w:p w14:paraId="3D632086" w14:textId="77777777" w:rsidR="00FD2CCB" w:rsidRDefault="00FD2CCB" w:rsidP="00CE797E">
      <w:pPr>
        <w:spacing w:before="0" w:after="0"/>
        <w:contextualSpacing/>
        <w:jc w:val="both"/>
        <w:rPr>
          <w:rFonts w:asciiTheme="majorHAnsi" w:hAnsiTheme="majorHAnsi" w:cstheme="majorHAnsi"/>
        </w:rPr>
      </w:pPr>
    </w:p>
    <w:p w14:paraId="1EE38DEC" w14:textId="77777777" w:rsidR="00FD2CCB" w:rsidRPr="00FD2CCB" w:rsidRDefault="00FD2CCB" w:rsidP="00CE797E">
      <w:pPr>
        <w:spacing w:before="0" w:after="0"/>
        <w:contextualSpacing/>
        <w:jc w:val="both"/>
        <w:rPr>
          <w:rFonts w:asciiTheme="majorHAnsi" w:hAnsiTheme="majorHAnsi" w:cstheme="majorHAnsi"/>
          <w:lang w:val="en-US"/>
        </w:rPr>
      </w:pPr>
      <w:r w:rsidRPr="00FD2CCB">
        <w:rPr>
          <w:rFonts w:asciiTheme="majorHAnsi" w:hAnsiTheme="majorHAnsi" w:cstheme="majorHAnsi"/>
        </w:rPr>
        <w:t>TABEL –  Indicatorii medii de performanță realizați de aceleași 1.134 ÎPL active existente în activitatea de monitorizare în perioada 2018-20</w:t>
      </w:r>
      <w:r>
        <w:rPr>
          <w:rFonts w:asciiTheme="majorHAnsi" w:hAnsiTheme="majorHAnsi" w:cstheme="majorHAnsi"/>
        </w:rPr>
        <w:t>20 se prezintă după cum urmează</w:t>
      </w:r>
      <w:r>
        <w:rPr>
          <w:rFonts w:asciiTheme="majorHAnsi" w:hAnsiTheme="majorHAnsi" w:cstheme="majorHAnsi"/>
          <w:lang w:val="en-US"/>
        </w:rPr>
        <w:t>:</w:t>
      </w:r>
    </w:p>
    <w:p w14:paraId="1AC85707" w14:textId="77777777" w:rsidR="00FD2CCB" w:rsidRDefault="00FD2CCB" w:rsidP="00CE797E">
      <w:pPr>
        <w:spacing w:before="0" w:after="0"/>
        <w:contextualSpacing/>
        <w:jc w:val="both"/>
        <w:rPr>
          <w:rFonts w:asciiTheme="majorHAnsi" w:hAnsiTheme="majorHAnsi" w:cstheme="majorHAnsi"/>
        </w:rPr>
      </w:pPr>
    </w:p>
    <w:tbl>
      <w:tblPr>
        <w:tblW w:w="9590" w:type="dxa"/>
        <w:tblInd w:w="93" w:type="dxa"/>
        <w:tblLook w:val="04A0" w:firstRow="1" w:lastRow="0" w:firstColumn="1" w:lastColumn="0" w:noHBand="0" w:noVBand="1"/>
      </w:tblPr>
      <w:tblGrid>
        <w:gridCol w:w="2806"/>
        <w:gridCol w:w="2040"/>
        <w:gridCol w:w="1019"/>
        <w:gridCol w:w="926"/>
        <w:gridCol w:w="926"/>
        <w:gridCol w:w="927"/>
        <w:gridCol w:w="946"/>
      </w:tblGrid>
      <w:tr w:rsidR="00FD2CCB" w:rsidRPr="00FD2CCB" w14:paraId="52988201" w14:textId="77777777" w:rsidTr="00A92CC2">
        <w:trPr>
          <w:trHeight w:val="581"/>
        </w:trPr>
        <w:tc>
          <w:tcPr>
            <w:tcW w:w="2806" w:type="dxa"/>
            <w:vMerge w:val="restart"/>
            <w:tcBorders>
              <w:top w:val="single" w:sz="4" w:space="0" w:color="95B3D7"/>
              <w:left w:val="single" w:sz="4" w:space="0" w:color="FFFFFF"/>
              <w:bottom w:val="single" w:sz="4" w:space="0" w:color="95B3D7"/>
              <w:right w:val="single" w:sz="4" w:space="0" w:color="FFFFFF"/>
            </w:tcBorders>
            <w:shd w:val="clear" w:color="187672" w:fill="FFFFFF"/>
            <w:hideMark/>
          </w:tcPr>
          <w:p w14:paraId="12BF552D"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Indicatori economico - financiari</w:t>
            </w:r>
          </w:p>
        </w:tc>
        <w:tc>
          <w:tcPr>
            <w:tcW w:w="2040" w:type="dxa"/>
            <w:vMerge w:val="restart"/>
            <w:tcBorders>
              <w:top w:val="single" w:sz="4" w:space="0" w:color="95B3D7"/>
              <w:left w:val="single" w:sz="4" w:space="0" w:color="FFFFFF"/>
              <w:bottom w:val="single" w:sz="4" w:space="0" w:color="95B3D7"/>
              <w:right w:val="single" w:sz="4" w:space="0" w:color="FFFFFF"/>
            </w:tcBorders>
            <w:shd w:val="clear" w:color="187672" w:fill="FFFFFF"/>
            <w:hideMark/>
          </w:tcPr>
          <w:p w14:paraId="51336A93"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Formula utilizată</w:t>
            </w:r>
          </w:p>
        </w:tc>
        <w:tc>
          <w:tcPr>
            <w:tcW w:w="1019" w:type="dxa"/>
            <w:vMerge w:val="restart"/>
            <w:tcBorders>
              <w:top w:val="single" w:sz="4" w:space="0" w:color="95B3D7"/>
              <w:left w:val="single" w:sz="4" w:space="0" w:color="FFFFFF"/>
              <w:bottom w:val="single" w:sz="4" w:space="0" w:color="95B3D7"/>
              <w:right w:val="single" w:sz="4" w:space="0" w:color="FFFFFF"/>
            </w:tcBorders>
            <w:shd w:val="clear" w:color="187672" w:fill="FFFFFF"/>
            <w:hideMark/>
          </w:tcPr>
          <w:p w14:paraId="3C8C7154" w14:textId="77777777" w:rsidR="00FD2CCB" w:rsidRPr="00FD2CCB" w:rsidRDefault="00FD2CCB" w:rsidP="00FD2CCB">
            <w:pPr>
              <w:spacing w:before="0" w:after="0" w:line="240" w:lineRule="auto"/>
              <w:jc w:val="right"/>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U.M.</w:t>
            </w:r>
          </w:p>
        </w:tc>
        <w:tc>
          <w:tcPr>
            <w:tcW w:w="2779" w:type="dxa"/>
            <w:gridSpan w:val="3"/>
            <w:vMerge w:val="restart"/>
            <w:tcBorders>
              <w:top w:val="single" w:sz="4" w:space="0" w:color="95B3D7"/>
              <w:left w:val="single" w:sz="4" w:space="0" w:color="FFFFFF"/>
              <w:bottom w:val="single" w:sz="4" w:space="0" w:color="95B3D7"/>
              <w:right w:val="single" w:sz="4" w:space="0" w:color="FFFFFF"/>
            </w:tcBorders>
            <w:shd w:val="clear" w:color="187672" w:fill="FFFFFF"/>
            <w:hideMark/>
          </w:tcPr>
          <w:p w14:paraId="72E47AE1" w14:textId="77777777" w:rsidR="00FD2CCB" w:rsidRPr="00FD2CCB" w:rsidRDefault="00FD2CCB" w:rsidP="00FD2CCB">
            <w:pPr>
              <w:spacing w:before="0" w:after="0" w:line="240" w:lineRule="auto"/>
              <w:jc w:val="right"/>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Total general ÎPL active cu date comparative în perioada 2018-2020 și care există în activitatea de monitorizare la 31.12.2020</w:t>
            </w:r>
          </w:p>
        </w:tc>
        <w:tc>
          <w:tcPr>
            <w:tcW w:w="946" w:type="dxa"/>
            <w:vMerge w:val="restart"/>
            <w:tcBorders>
              <w:top w:val="single" w:sz="4" w:space="0" w:color="95B3D7"/>
              <w:left w:val="single" w:sz="4" w:space="0" w:color="FFFFFF"/>
              <w:bottom w:val="single" w:sz="4" w:space="0" w:color="95B3D7"/>
              <w:right w:val="single" w:sz="4" w:space="0" w:color="FFFFFF"/>
            </w:tcBorders>
            <w:shd w:val="clear" w:color="187672" w:fill="FFFFFF"/>
            <w:hideMark/>
          </w:tcPr>
          <w:p w14:paraId="424B0200" w14:textId="77777777" w:rsidR="00FD2CCB" w:rsidRPr="00FD2CCB" w:rsidRDefault="00FD2CCB" w:rsidP="00FD2CCB">
            <w:pPr>
              <w:spacing w:before="0" w:after="0" w:line="240" w:lineRule="auto"/>
              <w:jc w:val="right"/>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 xml:space="preserve">DIFERENȚĂ </w:t>
            </w:r>
          </w:p>
        </w:tc>
      </w:tr>
      <w:tr w:rsidR="00FD2CCB" w:rsidRPr="00FD2CCB" w14:paraId="6A40837B" w14:textId="77777777" w:rsidTr="00A92CC2">
        <w:trPr>
          <w:trHeight w:val="581"/>
        </w:trPr>
        <w:tc>
          <w:tcPr>
            <w:tcW w:w="2806" w:type="dxa"/>
            <w:vMerge/>
            <w:tcBorders>
              <w:top w:val="single" w:sz="4" w:space="0" w:color="95B3D7"/>
              <w:left w:val="single" w:sz="4" w:space="0" w:color="FFFFFF"/>
              <w:bottom w:val="single" w:sz="4" w:space="0" w:color="95B3D7"/>
              <w:right w:val="single" w:sz="4" w:space="0" w:color="FFFFFF"/>
            </w:tcBorders>
            <w:vAlign w:val="center"/>
            <w:hideMark/>
          </w:tcPr>
          <w:p w14:paraId="3FC04F8F"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2040" w:type="dxa"/>
            <w:vMerge/>
            <w:tcBorders>
              <w:top w:val="single" w:sz="4" w:space="0" w:color="95B3D7"/>
              <w:left w:val="single" w:sz="4" w:space="0" w:color="FFFFFF"/>
              <w:bottom w:val="single" w:sz="4" w:space="0" w:color="95B3D7"/>
              <w:right w:val="single" w:sz="4" w:space="0" w:color="FFFFFF"/>
            </w:tcBorders>
            <w:vAlign w:val="center"/>
            <w:hideMark/>
          </w:tcPr>
          <w:p w14:paraId="4FB8E9B4"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1019" w:type="dxa"/>
            <w:vMerge/>
            <w:tcBorders>
              <w:top w:val="single" w:sz="4" w:space="0" w:color="95B3D7"/>
              <w:left w:val="single" w:sz="4" w:space="0" w:color="FFFFFF"/>
              <w:bottom w:val="single" w:sz="4" w:space="0" w:color="95B3D7"/>
              <w:right w:val="single" w:sz="4" w:space="0" w:color="FFFFFF"/>
            </w:tcBorders>
            <w:vAlign w:val="center"/>
            <w:hideMark/>
          </w:tcPr>
          <w:p w14:paraId="03EA868C"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2779" w:type="dxa"/>
            <w:gridSpan w:val="3"/>
            <w:vMerge/>
            <w:tcBorders>
              <w:top w:val="single" w:sz="4" w:space="0" w:color="95B3D7"/>
              <w:left w:val="single" w:sz="4" w:space="0" w:color="FFFFFF"/>
              <w:bottom w:val="single" w:sz="4" w:space="0" w:color="95B3D7"/>
              <w:right w:val="single" w:sz="4" w:space="0" w:color="FFFFFF"/>
            </w:tcBorders>
            <w:vAlign w:val="center"/>
            <w:hideMark/>
          </w:tcPr>
          <w:p w14:paraId="57384867"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946" w:type="dxa"/>
            <w:vMerge/>
            <w:tcBorders>
              <w:top w:val="single" w:sz="4" w:space="0" w:color="95B3D7"/>
              <w:left w:val="single" w:sz="4" w:space="0" w:color="FFFFFF"/>
              <w:bottom w:val="single" w:sz="4" w:space="0" w:color="95B3D7"/>
              <w:right w:val="single" w:sz="4" w:space="0" w:color="FFFFFF"/>
            </w:tcBorders>
            <w:vAlign w:val="center"/>
            <w:hideMark/>
          </w:tcPr>
          <w:p w14:paraId="253E8351"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r>
      <w:tr w:rsidR="00FD2CCB" w:rsidRPr="00FD2CCB" w14:paraId="341C507A"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187672" w:fill="FFFFFF"/>
            <w:hideMark/>
          </w:tcPr>
          <w:p w14:paraId="4800E358"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Anul</w:t>
            </w:r>
          </w:p>
        </w:tc>
        <w:tc>
          <w:tcPr>
            <w:tcW w:w="2040" w:type="dxa"/>
            <w:vMerge/>
            <w:tcBorders>
              <w:top w:val="single" w:sz="4" w:space="0" w:color="95B3D7"/>
              <w:left w:val="single" w:sz="4" w:space="0" w:color="FFFFFF"/>
              <w:bottom w:val="single" w:sz="4" w:space="0" w:color="95B3D7"/>
              <w:right w:val="single" w:sz="4" w:space="0" w:color="FFFFFF"/>
            </w:tcBorders>
            <w:vAlign w:val="center"/>
            <w:hideMark/>
          </w:tcPr>
          <w:p w14:paraId="651E82C1"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1019" w:type="dxa"/>
            <w:vMerge/>
            <w:tcBorders>
              <w:top w:val="single" w:sz="4" w:space="0" w:color="95B3D7"/>
              <w:left w:val="single" w:sz="4" w:space="0" w:color="FFFFFF"/>
              <w:bottom w:val="single" w:sz="4" w:space="0" w:color="95B3D7"/>
              <w:right w:val="single" w:sz="4" w:space="0" w:color="FFFFFF"/>
            </w:tcBorders>
            <w:vAlign w:val="center"/>
            <w:hideMark/>
          </w:tcPr>
          <w:p w14:paraId="5E8B1382"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926" w:type="dxa"/>
            <w:tcBorders>
              <w:top w:val="nil"/>
              <w:left w:val="nil"/>
              <w:bottom w:val="single" w:sz="4" w:space="0" w:color="95B3D7"/>
              <w:right w:val="single" w:sz="4" w:space="0" w:color="FFFFFF"/>
            </w:tcBorders>
            <w:shd w:val="clear" w:color="4F81BD" w:fill="FFFFFF"/>
            <w:noWrap/>
            <w:hideMark/>
          </w:tcPr>
          <w:p w14:paraId="18784390" w14:textId="77777777" w:rsidR="00FD2CCB" w:rsidRPr="00FD2CCB" w:rsidRDefault="00FD2CCB" w:rsidP="00FD2CCB">
            <w:pPr>
              <w:spacing w:before="0" w:after="0" w:line="240" w:lineRule="auto"/>
              <w:jc w:val="right"/>
              <w:rPr>
                <w:rFonts w:ascii="Calibri" w:eastAsia="Times New Roman" w:hAnsi="Calibri" w:cs="Calibri"/>
                <w:bCs/>
                <w:color w:val="0F6FC6" w:themeColor="accent1"/>
                <w:sz w:val="16"/>
                <w:szCs w:val="16"/>
                <w:lang w:val="en-US"/>
              </w:rPr>
            </w:pPr>
            <w:r w:rsidRPr="00FD2CCB">
              <w:rPr>
                <w:rFonts w:ascii="Calibri" w:eastAsia="Times New Roman" w:hAnsi="Calibri" w:cs="Calibri"/>
                <w:bCs/>
                <w:color w:val="0F6FC6" w:themeColor="accent1"/>
                <w:sz w:val="16"/>
                <w:szCs w:val="16"/>
                <w:lang w:val="en-US"/>
              </w:rPr>
              <w:t>2018</w:t>
            </w:r>
          </w:p>
        </w:tc>
        <w:tc>
          <w:tcPr>
            <w:tcW w:w="926" w:type="dxa"/>
            <w:tcBorders>
              <w:top w:val="nil"/>
              <w:left w:val="nil"/>
              <w:bottom w:val="single" w:sz="4" w:space="0" w:color="95B3D7"/>
              <w:right w:val="single" w:sz="4" w:space="0" w:color="FFFFFF"/>
            </w:tcBorders>
            <w:shd w:val="clear" w:color="4F81BD" w:fill="FFFFFF"/>
            <w:noWrap/>
            <w:hideMark/>
          </w:tcPr>
          <w:p w14:paraId="58C49CEA" w14:textId="77777777" w:rsidR="00FD2CCB" w:rsidRPr="00FD2CCB" w:rsidRDefault="00FD2CCB" w:rsidP="00FD2CCB">
            <w:pPr>
              <w:spacing w:before="0" w:after="0" w:line="240" w:lineRule="auto"/>
              <w:jc w:val="right"/>
              <w:rPr>
                <w:rFonts w:ascii="Calibri" w:eastAsia="Times New Roman" w:hAnsi="Calibri" w:cs="Calibri"/>
                <w:bCs/>
                <w:color w:val="0F6FC6" w:themeColor="accent1"/>
                <w:sz w:val="16"/>
                <w:szCs w:val="16"/>
                <w:lang w:val="en-US"/>
              </w:rPr>
            </w:pPr>
            <w:r w:rsidRPr="00FD2CCB">
              <w:rPr>
                <w:rFonts w:ascii="Calibri" w:eastAsia="Times New Roman" w:hAnsi="Calibri" w:cs="Calibri"/>
                <w:bCs/>
                <w:color w:val="0F6FC6" w:themeColor="accent1"/>
                <w:sz w:val="16"/>
                <w:szCs w:val="16"/>
                <w:lang w:val="en-US"/>
              </w:rPr>
              <w:t>2019</w:t>
            </w:r>
          </w:p>
        </w:tc>
        <w:tc>
          <w:tcPr>
            <w:tcW w:w="927" w:type="dxa"/>
            <w:tcBorders>
              <w:top w:val="nil"/>
              <w:left w:val="nil"/>
              <w:bottom w:val="single" w:sz="4" w:space="0" w:color="95B3D7"/>
              <w:right w:val="single" w:sz="4" w:space="0" w:color="FFFFFF"/>
            </w:tcBorders>
            <w:shd w:val="clear" w:color="4F81BD" w:fill="FFFFFF"/>
            <w:noWrap/>
            <w:hideMark/>
          </w:tcPr>
          <w:p w14:paraId="09C4A04B" w14:textId="77777777" w:rsidR="00FD2CCB" w:rsidRPr="00FD2CCB" w:rsidRDefault="00FD2CCB" w:rsidP="00FD2CCB">
            <w:pPr>
              <w:spacing w:before="0" w:after="0" w:line="240" w:lineRule="auto"/>
              <w:jc w:val="right"/>
              <w:rPr>
                <w:rFonts w:ascii="Calibri" w:eastAsia="Times New Roman" w:hAnsi="Calibri" w:cs="Calibri"/>
                <w:bCs/>
                <w:color w:val="0F6FC6" w:themeColor="accent1"/>
                <w:sz w:val="16"/>
                <w:szCs w:val="16"/>
                <w:lang w:val="en-US"/>
              </w:rPr>
            </w:pPr>
            <w:r w:rsidRPr="00FD2CCB">
              <w:rPr>
                <w:rFonts w:ascii="Calibri" w:eastAsia="Times New Roman" w:hAnsi="Calibri" w:cs="Calibri"/>
                <w:bCs/>
                <w:color w:val="0F6FC6" w:themeColor="accent1"/>
                <w:sz w:val="16"/>
                <w:szCs w:val="16"/>
                <w:lang w:val="en-US"/>
              </w:rPr>
              <w:t>2020</w:t>
            </w:r>
          </w:p>
        </w:tc>
        <w:tc>
          <w:tcPr>
            <w:tcW w:w="946" w:type="dxa"/>
            <w:tcBorders>
              <w:top w:val="nil"/>
              <w:left w:val="nil"/>
              <w:bottom w:val="single" w:sz="4" w:space="0" w:color="95B3D7"/>
              <w:right w:val="single" w:sz="4" w:space="0" w:color="FFFFFF"/>
            </w:tcBorders>
            <w:shd w:val="clear" w:color="4F81BD" w:fill="FFFFFF"/>
            <w:noWrap/>
            <w:hideMark/>
          </w:tcPr>
          <w:p w14:paraId="57460435" w14:textId="77777777" w:rsidR="00FD2CCB" w:rsidRPr="00FD2CCB" w:rsidRDefault="00FD2CCB" w:rsidP="00FD2CCB">
            <w:pPr>
              <w:spacing w:before="0" w:after="0" w:line="240" w:lineRule="auto"/>
              <w:jc w:val="right"/>
              <w:rPr>
                <w:rFonts w:ascii="Calibri" w:eastAsia="Times New Roman" w:hAnsi="Calibri" w:cs="Calibri"/>
                <w:bCs/>
                <w:color w:val="0F6FC6" w:themeColor="accent1"/>
                <w:sz w:val="16"/>
                <w:szCs w:val="16"/>
                <w:lang w:val="en-US"/>
              </w:rPr>
            </w:pPr>
            <w:r w:rsidRPr="00FD2CCB">
              <w:rPr>
                <w:rFonts w:ascii="Calibri" w:eastAsia="Times New Roman" w:hAnsi="Calibri" w:cs="Calibri"/>
                <w:bCs/>
                <w:color w:val="0F6FC6" w:themeColor="accent1"/>
                <w:sz w:val="16"/>
                <w:szCs w:val="16"/>
                <w:lang w:val="en-US"/>
              </w:rPr>
              <w:t>2020-2019</w:t>
            </w:r>
          </w:p>
        </w:tc>
      </w:tr>
      <w:tr w:rsidR="00FD2CCB" w:rsidRPr="00FD2CCB" w14:paraId="7495D37B"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187672" w:fill="FFFFFF"/>
            <w:hideMark/>
          </w:tcPr>
          <w:p w14:paraId="3D482F63"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r w:rsidRPr="00FD2CCB">
              <w:rPr>
                <w:rFonts w:ascii="Calibri" w:eastAsia="Times New Roman" w:hAnsi="Calibri" w:cs="Calibri"/>
                <w:color w:val="0F6FC6" w:themeColor="accent1"/>
                <w:sz w:val="16"/>
                <w:szCs w:val="16"/>
                <w:lang w:val="en-US"/>
              </w:rPr>
              <w:t> </w:t>
            </w:r>
          </w:p>
        </w:tc>
        <w:tc>
          <w:tcPr>
            <w:tcW w:w="2040" w:type="dxa"/>
            <w:vMerge/>
            <w:tcBorders>
              <w:top w:val="single" w:sz="4" w:space="0" w:color="95B3D7"/>
              <w:left w:val="single" w:sz="4" w:space="0" w:color="FFFFFF"/>
              <w:bottom w:val="single" w:sz="4" w:space="0" w:color="95B3D7"/>
              <w:right w:val="single" w:sz="4" w:space="0" w:color="FFFFFF"/>
            </w:tcBorders>
            <w:vAlign w:val="center"/>
            <w:hideMark/>
          </w:tcPr>
          <w:p w14:paraId="154EC55B"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1019" w:type="dxa"/>
            <w:vMerge/>
            <w:tcBorders>
              <w:top w:val="single" w:sz="4" w:space="0" w:color="95B3D7"/>
              <w:left w:val="single" w:sz="4" w:space="0" w:color="FFFFFF"/>
              <w:bottom w:val="single" w:sz="4" w:space="0" w:color="95B3D7"/>
              <w:right w:val="single" w:sz="4" w:space="0" w:color="FFFFFF"/>
            </w:tcBorders>
            <w:vAlign w:val="center"/>
            <w:hideMark/>
          </w:tcPr>
          <w:p w14:paraId="09F5E61D" w14:textId="77777777" w:rsidR="00FD2CCB" w:rsidRPr="00FD2CCB" w:rsidRDefault="00FD2CCB" w:rsidP="00FD2CCB">
            <w:pPr>
              <w:spacing w:before="0" w:after="0" w:line="240" w:lineRule="auto"/>
              <w:rPr>
                <w:rFonts w:ascii="Calibri" w:eastAsia="Times New Roman" w:hAnsi="Calibri" w:cs="Calibri"/>
                <w:color w:val="0F6FC6" w:themeColor="accent1"/>
                <w:sz w:val="16"/>
                <w:szCs w:val="16"/>
                <w:lang w:val="en-US"/>
              </w:rPr>
            </w:pPr>
          </w:p>
        </w:tc>
        <w:tc>
          <w:tcPr>
            <w:tcW w:w="926" w:type="dxa"/>
            <w:tcBorders>
              <w:top w:val="nil"/>
              <w:left w:val="nil"/>
              <w:bottom w:val="single" w:sz="4" w:space="0" w:color="95B3D7"/>
              <w:right w:val="single" w:sz="4" w:space="0" w:color="FFFFFF"/>
            </w:tcBorders>
            <w:shd w:val="clear" w:color="4F81BD" w:fill="FFFFFF"/>
            <w:noWrap/>
            <w:hideMark/>
          </w:tcPr>
          <w:p w14:paraId="3989A6E6" w14:textId="77777777" w:rsidR="00FD2CCB" w:rsidRPr="00FD2CCB" w:rsidRDefault="00FD2CCB" w:rsidP="00FD2CCB">
            <w:pPr>
              <w:spacing w:before="0" w:after="0" w:line="240" w:lineRule="auto"/>
              <w:jc w:val="right"/>
              <w:rPr>
                <w:rFonts w:ascii="Calibri" w:eastAsia="Times New Roman" w:hAnsi="Calibri" w:cs="Calibri"/>
                <w:bCs/>
                <w:i/>
                <w:iCs/>
                <w:color w:val="0F6FC6" w:themeColor="accent1"/>
                <w:sz w:val="16"/>
                <w:szCs w:val="16"/>
                <w:lang w:val="en-US"/>
              </w:rPr>
            </w:pPr>
            <w:r w:rsidRPr="00FD2CCB">
              <w:rPr>
                <w:rFonts w:ascii="Calibri" w:eastAsia="Times New Roman" w:hAnsi="Calibri" w:cs="Calibri"/>
                <w:bCs/>
                <w:i/>
                <w:iCs/>
                <w:color w:val="0F6FC6" w:themeColor="accent1"/>
                <w:sz w:val="16"/>
                <w:szCs w:val="16"/>
                <w:lang w:val="en-US"/>
              </w:rPr>
              <w:t>1</w:t>
            </w:r>
          </w:p>
        </w:tc>
        <w:tc>
          <w:tcPr>
            <w:tcW w:w="926" w:type="dxa"/>
            <w:tcBorders>
              <w:top w:val="nil"/>
              <w:left w:val="nil"/>
              <w:bottom w:val="single" w:sz="4" w:space="0" w:color="95B3D7"/>
              <w:right w:val="single" w:sz="4" w:space="0" w:color="FFFFFF"/>
            </w:tcBorders>
            <w:shd w:val="clear" w:color="4F81BD" w:fill="FFFFFF"/>
            <w:noWrap/>
            <w:hideMark/>
          </w:tcPr>
          <w:p w14:paraId="70D4A084" w14:textId="77777777" w:rsidR="00FD2CCB" w:rsidRPr="00FD2CCB" w:rsidRDefault="00FD2CCB" w:rsidP="00FD2CCB">
            <w:pPr>
              <w:spacing w:before="0" w:after="0" w:line="240" w:lineRule="auto"/>
              <w:jc w:val="right"/>
              <w:rPr>
                <w:rFonts w:ascii="Calibri" w:eastAsia="Times New Roman" w:hAnsi="Calibri" w:cs="Calibri"/>
                <w:bCs/>
                <w:i/>
                <w:iCs/>
                <w:color w:val="0F6FC6" w:themeColor="accent1"/>
                <w:sz w:val="16"/>
                <w:szCs w:val="16"/>
                <w:lang w:val="en-US"/>
              </w:rPr>
            </w:pPr>
            <w:r w:rsidRPr="00FD2CCB">
              <w:rPr>
                <w:rFonts w:ascii="Calibri" w:eastAsia="Times New Roman" w:hAnsi="Calibri" w:cs="Calibri"/>
                <w:bCs/>
                <w:i/>
                <w:iCs/>
                <w:color w:val="0F6FC6" w:themeColor="accent1"/>
                <w:sz w:val="16"/>
                <w:szCs w:val="16"/>
                <w:lang w:val="en-US"/>
              </w:rPr>
              <w:t>2</w:t>
            </w:r>
          </w:p>
        </w:tc>
        <w:tc>
          <w:tcPr>
            <w:tcW w:w="927" w:type="dxa"/>
            <w:tcBorders>
              <w:top w:val="nil"/>
              <w:left w:val="nil"/>
              <w:bottom w:val="single" w:sz="4" w:space="0" w:color="95B3D7"/>
              <w:right w:val="single" w:sz="4" w:space="0" w:color="FFFFFF"/>
            </w:tcBorders>
            <w:shd w:val="clear" w:color="4F81BD" w:fill="FFFFFF"/>
            <w:noWrap/>
            <w:hideMark/>
          </w:tcPr>
          <w:p w14:paraId="281ED56D" w14:textId="77777777" w:rsidR="00FD2CCB" w:rsidRPr="00FD2CCB" w:rsidRDefault="00FD2CCB" w:rsidP="00FD2CCB">
            <w:pPr>
              <w:spacing w:before="0" w:after="0" w:line="240" w:lineRule="auto"/>
              <w:jc w:val="right"/>
              <w:rPr>
                <w:rFonts w:ascii="Calibri" w:eastAsia="Times New Roman" w:hAnsi="Calibri" w:cs="Calibri"/>
                <w:bCs/>
                <w:i/>
                <w:iCs/>
                <w:color w:val="0F6FC6" w:themeColor="accent1"/>
                <w:sz w:val="16"/>
                <w:szCs w:val="16"/>
                <w:lang w:val="en-US"/>
              </w:rPr>
            </w:pPr>
            <w:r w:rsidRPr="00FD2CCB">
              <w:rPr>
                <w:rFonts w:ascii="Calibri" w:eastAsia="Times New Roman" w:hAnsi="Calibri" w:cs="Calibri"/>
                <w:bCs/>
                <w:i/>
                <w:iCs/>
                <w:color w:val="0F6FC6" w:themeColor="accent1"/>
                <w:sz w:val="16"/>
                <w:szCs w:val="16"/>
                <w:lang w:val="en-US"/>
              </w:rPr>
              <w:t>3</w:t>
            </w:r>
          </w:p>
        </w:tc>
        <w:tc>
          <w:tcPr>
            <w:tcW w:w="946" w:type="dxa"/>
            <w:tcBorders>
              <w:top w:val="nil"/>
              <w:left w:val="nil"/>
              <w:bottom w:val="single" w:sz="4" w:space="0" w:color="95B3D7"/>
              <w:right w:val="single" w:sz="4" w:space="0" w:color="FFFFFF"/>
            </w:tcBorders>
            <w:shd w:val="clear" w:color="4F81BD" w:fill="FFFFFF"/>
            <w:noWrap/>
            <w:hideMark/>
          </w:tcPr>
          <w:p w14:paraId="41EE789C" w14:textId="77777777" w:rsidR="00FD2CCB" w:rsidRPr="00FD2CCB" w:rsidRDefault="00FD2CCB" w:rsidP="00FD2CCB">
            <w:pPr>
              <w:spacing w:before="0" w:after="0" w:line="240" w:lineRule="auto"/>
              <w:jc w:val="right"/>
              <w:rPr>
                <w:rFonts w:ascii="Calibri" w:eastAsia="Times New Roman" w:hAnsi="Calibri" w:cs="Calibri"/>
                <w:bCs/>
                <w:i/>
                <w:iCs/>
                <w:color w:val="0F6FC6" w:themeColor="accent1"/>
                <w:sz w:val="16"/>
                <w:szCs w:val="16"/>
                <w:lang w:val="en-US"/>
              </w:rPr>
            </w:pPr>
            <w:r w:rsidRPr="00FD2CCB">
              <w:rPr>
                <w:rFonts w:ascii="Calibri" w:eastAsia="Times New Roman" w:hAnsi="Calibri" w:cs="Calibri"/>
                <w:bCs/>
                <w:i/>
                <w:iCs/>
                <w:color w:val="0F6FC6" w:themeColor="accent1"/>
                <w:sz w:val="16"/>
                <w:szCs w:val="16"/>
                <w:lang w:val="en-US"/>
              </w:rPr>
              <w:t>4=3-2</w:t>
            </w:r>
          </w:p>
        </w:tc>
      </w:tr>
      <w:tr w:rsidR="00FD2CCB" w:rsidRPr="00FD2CCB" w14:paraId="71866C8A"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32DF1B95" w14:textId="77777777" w:rsidR="00FD2CCB" w:rsidRPr="00FD2CCB" w:rsidRDefault="00FD2CCB" w:rsidP="00FD2CCB">
            <w:pPr>
              <w:spacing w:before="0" w:after="0" w:line="240" w:lineRule="auto"/>
              <w:rPr>
                <w:rFonts w:ascii="Calibri" w:eastAsia="Times New Roman" w:hAnsi="Calibri" w:cs="Calibri"/>
                <w:bCs/>
                <w:lang w:val="en-US"/>
              </w:rPr>
            </w:pPr>
            <w:r w:rsidRPr="00FD2CCB">
              <w:rPr>
                <w:rFonts w:ascii="Calibri" w:eastAsia="Times New Roman" w:hAnsi="Calibri" w:cs="Calibri"/>
                <w:bCs/>
                <w:sz w:val="16"/>
                <w:lang w:val="en-US"/>
              </w:rPr>
              <w:t>Număr efectiv de ÎPL</w:t>
            </w:r>
          </w:p>
        </w:tc>
        <w:tc>
          <w:tcPr>
            <w:tcW w:w="2040" w:type="dxa"/>
            <w:tcBorders>
              <w:top w:val="nil"/>
              <w:left w:val="nil"/>
              <w:bottom w:val="single" w:sz="4" w:space="0" w:color="95B3D7"/>
              <w:right w:val="single" w:sz="4" w:space="0" w:color="FFFFFF"/>
            </w:tcBorders>
            <w:shd w:val="clear" w:color="000000" w:fill="FFFFFF"/>
            <w:hideMark/>
          </w:tcPr>
          <w:p w14:paraId="3431ED62" w14:textId="77777777" w:rsidR="00FD2CCB" w:rsidRPr="00FD2CCB" w:rsidRDefault="00FD2CCB" w:rsidP="00FD2CCB">
            <w:pPr>
              <w:spacing w:before="0" w:after="0" w:line="240" w:lineRule="auto"/>
              <w:rPr>
                <w:rFonts w:ascii="Calibri" w:eastAsia="Times New Roman" w:hAnsi="Calibri" w:cs="Calibri"/>
                <w:bCs/>
                <w:sz w:val="16"/>
                <w:szCs w:val="16"/>
                <w:lang w:val="en-US"/>
              </w:rPr>
            </w:pPr>
            <w:r w:rsidRPr="00FD2CCB">
              <w:rPr>
                <w:rFonts w:ascii="Calibri" w:eastAsia="Times New Roman" w:hAnsi="Calibri" w:cs="Calibri"/>
                <w:bCs/>
                <w:sz w:val="16"/>
                <w:szCs w:val="16"/>
                <w:lang w:val="en-US"/>
              </w:rPr>
              <w:t> </w:t>
            </w:r>
          </w:p>
        </w:tc>
        <w:tc>
          <w:tcPr>
            <w:tcW w:w="1019" w:type="dxa"/>
            <w:tcBorders>
              <w:top w:val="nil"/>
              <w:left w:val="nil"/>
              <w:bottom w:val="single" w:sz="4" w:space="0" w:color="95B3D7"/>
              <w:right w:val="single" w:sz="4" w:space="0" w:color="FFFFFF"/>
            </w:tcBorders>
            <w:shd w:val="clear" w:color="000000" w:fill="FFFFFF"/>
            <w:hideMark/>
          </w:tcPr>
          <w:p w14:paraId="7A6CA2AA" w14:textId="77777777" w:rsidR="00FD2CCB" w:rsidRPr="00FD2CCB" w:rsidRDefault="00FD2CCB" w:rsidP="00FD2CCB">
            <w:pPr>
              <w:spacing w:before="0" w:after="0" w:line="240" w:lineRule="auto"/>
              <w:jc w:val="right"/>
              <w:rPr>
                <w:rFonts w:ascii="Calibri" w:eastAsia="Times New Roman" w:hAnsi="Calibri" w:cs="Calibri"/>
                <w:bCs/>
                <w:sz w:val="16"/>
                <w:szCs w:val="16"/>
                <w:lang w:val="en-US"/>
              </w:rPr>
            </w:pPr>
            <w:r w:rsidRPr="00FD2CCB">
              <w:rPr>
                <w:rFonts w:ascii="Calibri" w:eastAsia="Times New Roman" w:hAnsi="Calibri" w:cs="Calibri"/>
                <w:bCs/>
                <w:sz w:val="16"/>
                <w:szCs w:val="16"/>
                <w:lang w:val="en-US"/>
              </w:rPr>
              <w:t>nr. ÎP</w:t>
            </w:r>
          </w:p>
        </w:tc>
        <w:tc>
          <w:tcPr>
            <w:tcW w:w="926" w:type="dxa"/>
            <w:tcBorders>
              <w:top w:val="nil"/>
              <w:left w:val="nil"/>
              <w:bottom w:val="single" w:sz="4" w:space="0" w:color="95B3D7"/>
              <w:right w:val="single" w:sz="4" w:space="0" w:color="FFFFFF"/>
            </w:tcBorders>
            <w:shd w:val="clear" w:color="4F81BD" w:fill="FFFFFF"/>
            <w:hideMark/>
          </w:tcPr>
          <w:p w14:paraId="34A93A56" w14:textId="77777777" w:rsidR="00FD2CCB" w:rsidRPr="00FD2CCB" w:rsidRDefault="00FD2CCB" w:rsidP="00FD2CCB">
            <w:pPr>
              <w:spacing w:before="0" w:after="0" w:line="240" w:lineRule="auto"/>
              <w:jc w:val="right"/>
              <w:rPr>
                <w:rFonts w:ascii="Calibri" w:eastAsia="Times New Roman" w:hAnsi="Calibri" w:cs="Calibri"/>
                <w:bCs/>
                <w:sz w:val="16"/>
                <w:szCs w:val="16"/>
                <w:lang w:val="en-US"/>
              </w:rPr>
            </w:pPr>
            <w:r w:rsidRPr="00FD2CCB">
              <w:rPr>
                <w:rFonts w:ascii="Calibri" w:eastAsia="Times New Roman" w:hAnsi="Calibri" w:cs="Calibri"/>
                <w:bCs/>
                <w:sz w:val="16"/>
                <w:szCs w:val="16"/>
                <w:lang w:val="en-US"/>
              </w:rPr>
              <w:t>1.134</w:t>
            </w:r>
          </w:p>
        </w:tc>
        <w:tc>
          <w:tcPr>
            <w:tcW w:w="926" w:type="dxa"/>
            <w:tcBorders>
              <w:top w:val="nil"/>
              <w:left w:val="nil"/>
              <w:bottom w:val="single" w:sz="4" w:space="0" w:color="95B3D7"/>
              <w:right w:val="single" w:sz="4" w:space="0" w:color="FFFFFF"/>
            </w:tcBorders>
            <w:shd w:val="clear" w:color="4F81BD" w:fill="FFFFFF"/>
            <w:hideMark/>
          </w:tcPr>
          <w:p w14:paraId="5B2FC258" w14:textId="77777777" w:rsidR="00FD2CCB" w:rsidRPr="00FD2CCB" w:rsidRDefault="00FD2CCB" w:rsidP="00FD2CCB">
            <w:pPr>
              <w:spacing w:before="0" w:after="0" w:line="240" w:lineRule="auto"/>
              <w:jc w:val="right"/>
              <w:rPr>
                <w:rFonts w:ascii="Calibri" w:eastAsia="Times New Roman" w:hAnsi="Calibri" w:cs="Calibri"/>
                <w:bCs/>
                <w:sz w:val="16"/>
                <w:szCs w:val="16"/>
                <w:lang w:val="en-US"/>
              </w:rPr>
            </w:pPr>
            <w:r w:rsidRPr="00FD2CCB">
              <w:rPr>
                <w:rFonts w:ascii="Calibri" w:eastAsia="Times New Roman" w:hAnsi="Calibri" w:cs="Calibri"/>
                <w:bCs/>
                <w:sz w:val="16"/>
                <w:szCs w:val="16"/>
                <w:lang w:val="en-US"/>
              </w:rPr>
              <w:t>1.134</w:t>
            </w:r>
          </w:p>
        </w:tc>
        <w:tc>
          <w:tcPr>
            <w:tcW w:w="927" w:type="dxa"/>
            <w:tcBorders>
              <w:top w:val="nil"/>
              <w:left w:val="nil"/>
              <w:bottom w:val="single" w:sz="4" w:space="0" w:color="95B3D7"/>
              <w:right w:val="single" w:sz="4" w:space="0" w:color="FFFFFF"/>
            </w:tcBorders>
            <w:shd w:val="clear" w:color="4F81BD" w:fill="FFFFFF"/>
            <w:hideMark/>
          </w:tcPr>
          <w:p w14:paraId="523F8049" w14:textId="77777777" w:rsidR="00FD2CCB" w:rsidRPr="00FD2CCB" w:rsidRDefault="00FD2CCB" w:rsidP="00FD2CCB">
            <w:pPr>
              <w:spacing w:before="0" w:after="0" w:line="240" w:lineRule="auto"/>
              <w:jc w:val="right"/>
              <w:rPr>
                <w:rFonts w:ascii="Calibri" w:eastAsia="Times New Roman" w:hAnsi="Calibri" w:cs="Calibri"/>
                <w:bCs/>
                <w:sz w:val="16"/>
                <w:szCs w:val="16"/>
                <w:lang w:val="en-US"/>
              </w:rPr>
            </w:pPr>
            <w:r w:rsidRPr="00FD2CCB">
              <w:rPr>
                <w:rFonts w:ascii="Calibri" w:eastAsia="Times New Roman" w:hAnsi="Calibri" w:cs="Calibri"/>
                <w:bCs/>
                <w:sz w:val="16"/>
                <w:szCs w:val="16"/>
                <w:lang w:val="en-US"/>
              </w:rPr>
              <w:t>1.134</w:t>
            </w:r>
          </w:p>
        </w:tc>
        <w:tc>
          <w:tcPr>
            <w:tcW w:w="946" w:type="dxa"/>
            <w:tcBorders>
              <w:top w:val="nil"/>
              <w:left w:val="nil"/>
              <w:bottom w:val="single" w:sz="4" w:space="0" w:color="95B3D7"/>
              <w:right w:val="single" w:sz="4" w:space="0" w:color="FFFFFF"/>
            </w:tcBorders>
            <w:shd w:val="clear" w:color="4F81BD" w:fill="FFFFFF"/>
            <w:hideMark/>
          </w:tcPr>
          <w:p w14:paraId="692953F2" w14:textId="77777777" w:rsidR="00FD2CCB" w:rsidRPr="00FD2CCB" w:rsidRDefault="00FD2CCB" w:rsidP="00FD2CCB">
            <w:pPr>
              <w:spacing w:before="0" w:after="0" w:line="240" w:lineRule="auto"/>
              <w:jc w:val="right"/>
              <w:rPr>
                <w:rFonts w:ascii="Calibri" w:eastAsia="Times New Roman" w:hAnsi="Calibri" w:cs="Calibri"/>
                <w:bCs/>
                <w:sz w:val="16"/>
                <w:szCs w:val="16"/>
                <w:lang w:val="en-US"/>
              </w:rPr>
            </w:pPr>
            <w:r w:rsidRPr="00FD2CCB">
              <w:rPr>
                <w:rFonts w:ascii="Calibri" w:eastAsia="Times New Roman" w:hAnsi="Calibri" w:cs="Calibri"/>
                <w:bCs/>
                <w:sz w:val="16"/>
                <w:szCs w:val="16"/>
                <w:lang w:val="en-US"/>
              </w:rPr>
              <w:t>0</w:t>
            </w:r>
          </w:p>
        </w:tc>
      </w:tr>
      <w:tr w:rsidR="00FD2CCB" w:rsidRPr="00FD2CCB" w14:paraId="660FA96D" w14:textId="77777777" w:rsidTr="00A92CC2">
        <w:trPr>
          <w:trHeight w:val="248"/>
        </w:trPr>
        <w:tc>
          <w:tcPr>
            <w:tcW w:w="9590" w:type="dxa"/>
            <w:gridSpan w:val="7"/>
            <w:tcBorders>
              <w:top w:val="single" w:sz="4" w:space="0" w:color="95B3D7"/>
              <w:left w:val="single" w:sz="4" w:space="0" w:color="FFFFFF"/>
              <w:bottom w:val="single" w:sz="4" w:space="0" w:color="95B3D7"/>
              <w:right w:val="single" w:sz="4" w:space="0" w:color="FFFFFF"/>
            </w:tcBorders>
            <w:shd w:val="clear" w:color="000000" w:fill="DCE6F1"/>
            <w:hideMark/>
          </w:tcPr>
          <w:p w14:paraId="4CFECD1D" w14:textId="77777777" w:rsidR="00FD2CCB" w:rsidRPr="00FD2CCB" w:rsidRDefault="00FD2CCB" w:rsidP="00FD2CCB">
            <w:pPr>
              <w:spacing w:before="0" w:after="0" w:line="240" w:lineRule="auto"/>
              <w:rPr>
                <w:rFonts w:eastAsia="Times New Roman" w:cstheme="minorHAnsi"/>
                <w:b/>
                <w:bCs/>
                <w:color w:val="4F81BD"/>
                <w:lang w:val="en-US"/>
              </w:rPr>
            </w:pPr>
            <w:r w:rsidRPr="00FD2CCB">
              <w:rPr>
                <w:rFonts w:eastAsia="Times New Roman" w:cstheme="minorHAnsi"/>
                <w:b/>
                <w:bCs/>
                <w:color w:val="0F6FC6" w:themeColor="accent1"/>
                <w:sz w:val="16"/>
                <w:lang w:val="en-US"/>
              </w:rPr>
              <w:t>Rentabilitate</w:t>
            </w:r>
          </w:p>
        </w:tc>
      </w:tr>
      <w:tr w:rsidR="00A92CC2" w:rsidRPr="00FD2CCB" w14:paraId="04517B57"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01E396EA"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Marja operațională (EBIT margin)</w:t>
            </w:r>
          </w:p>
        </w:tc>
        <w:tc>
          <w:tcPr>
            <w:tcW w:w="2040" w:type="dxa"/>
            <w:tcBorders>
              <w:top w:val="nil"/>
              <w:left w:val="nil"/>
              <w:bottom w:val="single" w:sz="4" w:space="0" w:color="95B3D7"/>
              <w:right w:val="single" w:sz="4" w:space="0" w:color="FFFFFF"/>
            </w:tcBorders>
            <w:shd w:val="clear" w:color="auto" w:fill="auto"/>
            <w:hideMark/>
          </w:tcPr>
          <w:p w14:paraId="13213A18"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EBIT / Cifra de afaceri</w:t>
            </w:r>
          </w:p>
        </w:tc>
        <w:tc>
          <w:tcPr>
            <w:tcW w:w="1019" w:type="dxa"/>
            <w:tcBorders>
              <w:top w:val="nil"/>
              <w:left w:val="nil"/>
              <w:bottom w:val="single" w:sz="4" w:space="0" w:color="95B3D7"/>
              <w:right w:val="single" w:sz="4" w:space="0" w:color="FFFFFF"/>
            </w:tcBorders>
            <w:shd w:val="clear" w:color="4F81BD" w:fill="FFFFFF"/>
            <w:hideMark/>
          </w:tcPr>
          <w:p w14:paraId="7CBE6F34"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30BD0F7C"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3,58%</w:t>
            </w:r>
          </w:p>
        </w:tc>
        <w:tc>
          <w:tcPr>
            <w:tcW w:w="926" w:type="dxa"/>
            <w:tcBorders>
              <w:top w:val="nil"/>
              <w:left w:val="nil"/>
              <w:bottom w:val="single" w:sz="4" w:space="0" w:color="95B3D7"/>
              <w:right w:val="single" w:sz="4" w:space="0" w:color="FFFFFF"/>
            </w:tcBorders>
            <w:shd w:val="clear" w:color="auto" w:fill="auto"/>
            <w:hideMark/>
          </w:tcPr>
          <w:p w14:paraId="6007C99C"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3,61%</w:t>
            </w:r>
          </w:p>
        </w:tc>
        <w:tc>
          <w:tcPr>
            <w:tcW w:w="927" w:type="dxa"/>
            <w:tcBorders>
              <w:top w:val="nil"/>
              <w:left w:val="nil"/>
              <w:bottom w:val="single" w:sz="4" w:space="0" w:color="95B3D7"/>
              <w:right w:val="single" w:sz="4" w:space="0" w:color="FFFFFF"/>
            </w:tcBorders>
            <w:shd w:val="clear" w:color="auto" w:fill="auto"/>
            <w:hideMark/>
          </w:tcPr>
          <w:p w14:paraId="25CE3D0A"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2,68%</w:t>
            </w:r>
          </w:p>
        </w:tc>
        <w:tc>
          <w:tcPr>
            <w:tcW w:w="946" w:type="dxa"/>
            <w:tcBorders>
              <w:top w:val="nil"/>
              <w:left w:val="nil"/>
              <w:bottom w:val="single" w:sz="4" w:space="0" w:color="95B3D7"/>
              <w:right w:val="single" w:sz="4" w:space="0" w:color="FFFFFF"/>
            </w:tcBorders>
            <w:shd w:val="clear" w:color="auto" w:fill="auto"/>
            <w:hideMark/>
          </w:tcPr>
          <w:p w14:paraId="74087A87"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-0,94%</w:t>
            </w:r>
          </w:p>
        </w:tc>
      </w:tr>
      <w:tr w:rsidR="00A92CC2" w:rsidRPr="00FD2CCB" w14:paraId="5FF4A141"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44F57A78"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Marja operațională (EBITDA margin)</w:t>
            </w:r>
          </w:p>
        </w:tc>
        <w:tc>
          <w:tcPr>
            <w:tcW w:w="2040" w:type="dxa"/>
            <w:tcBorders>
              <w:top w:val="nil"/>
              <w:left w:val="nil"/>
              <w:bottom w:val="single" w:sz="4" w:space="0" w:color="95B3D7"/>
              <w:right w:val="single" w:sz="4" w:space="0" w:color="FFFFFF"/>
            </w:tcBorders>
            <w:shd w:val="clear" w:color="auto" w:fill="auto"/>
            <w:hideMark/>
          </w:tcPr>
          <w:p w14:paraId="18681A79"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EBITDA / Cifra de afaceri</w:t>
            </w:r>
          </w:p>
        </w:tc>
        <w:tc>
          <w:tcPr>
            <w:tcW w:w="1019" w:type="dxa"/>
            <w:tcBorders>
              <w:top w:val="nil"/>
              <w:left w:val="nil"/>
              <w:bottom w:val="single" w:sz="4" w:space="0" w:color="95B3D7"/>
              <w:right w:val="single" w:sz="4" w:space="0" w:color="FFFFFF"/>
            </w:tcBorders>
            <w:shd w:val="clear" w:color="4F81BD" w:fill="FFFFFF"/>
            <w:hideMark/>
          </w:tcPr>
          <w:p w14:paraId="6CCC555E"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75F3E6F0"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9,45%</w:t>
            </w:r>
          </w:p>
        </w:tc>
        <w:tc>
          <w:tcPr>
            <w:tcW w:w="926" w:type="dxa"/>
            <w:tcBorders>
              <w:top w:val="nil"/>
              <w:left w:val="nil"/>
              <w:bottom w:val="single" w:sz="4" w:space="0" w:color="95B3D7"/>
              <w:right w:val="single" w:sz="4" w:space="0" w:color="FFFFFF"/>
            </w:tcBorders>
            <w:shd w:val="clear" w:color="auto" w:fill="auto"/>
            <w:hideMark/>
          </w:tcPr>
          <w:p w14:paraId="28EF85B1"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9,18%</w:t>
            </w:r>
          </w:p>
        </w:tc>
        <w:tc>
          <w:tcPr>
            <w:tcW w:w="927" w:type="dxa"/>
            <w:tcBorders>
              <w:top w:val="nil"/>
              <w:left w:val="nil"/>
              <w:bottom w:val="single" w:sz="4" w:space="0" w:color="95B3D7"/>
              <w:right w:val="single" w:sz="4" w:space="0" w:color="FFFFFF"/>
            </w:tcBorders>
            <w:shd w:val="clear" w:color="auto" w:fill="auto"/>
            <w:hideMark/>
          </w:tcPr>
          <w:p w14:paraId="07E89E90"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8,37%</w:t>
            </w:r>
          </w:p>
        </w:tc>
        <w:tc>
          <w:tcPr>
            <w:tcW w:w="946" w:type="dxa"/>
            <w:tcBorders>
              <w:top w:val="nil"/>
              <w:left w:val="nil"/>
              <w:bottom w:val="single" w:sz="4" w:space="0" w:color="95B3D7"/>
              <w:right w:val="single" w:sz="4" w:space="0" w:color="FFFFFF"/>
            </w:tcBorders>
            <w:shd w:val="clear" w:color="auto" w:fill="auto"/>
            <w:hideMark/>
          </w:tcPr>
          <w:p w14:paraId="0217A3D4"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-0,81%</w:t>
            </w:r>
          </w:p>
        </w:tc>
      </w:tr>
      <w:tr w:rsidR="00A92CC2" w:rsidRPr="00FD2CCB" w14:paraId="04BD5480"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46DB1F05"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EBITDA în capitaluri proprii</w:t>
            </w:r>
          </w:p>
        </w:tc>
        <w:tc>
          <w:tcPr>
            <w:tcW w:w="2040" w:type="dxa"/>
            <w:tcBorders>
              <w:top w:val="nil"/>
              <w:left w:val="nil"/>
              <w:bottom w:val="single" w:sz="4" w:space="0" w:color="95B3D7"/>
              <w:right w:val="single" w:sz="4" w:space="0" w:color="FFFFFF"/>
            </w:tcBorders>
            <w:shd w:val="clear" w:color="auto" w:fill="auto"/>
            <w:hideMark/>
          </w:tcPr>
          <w:p w14:paraId="5F41DC94"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EBITDA / Capitaluri proprii</w:t>
            </w:r>
          </w:p>
        </w:tc>
        <w:tc>
          <w:tcPr>
            <w:tcW w:w="1019" w:type="dxa"/>
            <w:tcBorders>
              <w:top w:val="nil"/>
              <w:left w:val="nil"/>
              <w:bottom w:val="single" w:sz="4" w:space="0" w:color="95B3D7"/>
              <w:right w:val="single" w:sz="4" w:space="0" w:color="FFFFFF"/>
            </w:tcBorders>
            <w:shd w:val="clear" w:color="4F81BD" w:fill="FFFFFF"/>
            <w:hideMark/>
          </w:tcPr>
          <w:p w14:paraId="7CB80AD4"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3B846AE4"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11,85%</w:t>
            </w:r>
          </w:p>
        </w:tc>
        <w:tc>
          <w:tcPr>
            <w:tcW w:w="926" w:type="dxa"/>
            <w:tcBorders>
              <w:top w:val="nil"/>
              <w:left w:val="nil"/>
              <w:bottom w:val="single" w:sz="4" w:space="0" w:color="95B3D7"/>
              <w:right w:val="single" w:sz="4" w:space="0" w:color="FFFFFF"/>
            </w:tcBorders>
            <w:shd w:val="clear" w:color="auto" w:fill="auto"/>
            <w:hideMark/>
          </w:tcPr>
          <w:p w14:paraId="62057AA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12,85%</w:t>
            </w:r>
          </w:p>
        </w:tc>
        <w:tc>
          <w:tcPr>
            <w:tcW w:w="927" w:type="dxa"/>
            <w:tcBorders>
              <w:top w:val="nil"/>
              <w:left w:val="nil"/>
              <w:bottom w:val="single" w:sz="4" w:space="0" w:color="95B3D7"/>
              <w:right w:val="single" w:sz="4" w:space="0" w:color="FFFFFF"/>
            </w:tcBorders>
            <w:shd w:val="clear" w:color="auto" w:fill="auto"/>
            <w:hideMark/>
          </w:tcPr>
          <w:p w14:paraId="0740347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11,27%</w:t>
            </w:r>
          </w:p>
        </w:tc>
        <w:tc>
          <w:tcPr>
            <w:tcW w:w="946" w:type="dxa"/>
            <w:tcBorders>
              <w:top w:val="nil"/>
              <w:left w:val="nil"/>
              <w:bottom w:val="single" w:sz="4" w:space="0" w:color="95B3D7"/>
              <w:right w:val="single" w:sz="4" w:space="0" w:color="FFFFFF"/>
            </w:tcBorders>
            <w:shd w:val="clear" w:color="auto" w:fill="auto"/>
            <w:hideMark/>
          </w:tcPr>
          <w:p w14:paraId="452A59A1"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-1,59%</w:t>
            </w:r>
          </w:p>
        </w:tc>
      </w:tr>
      <w:tr w:rsidR="00A92CC2" w:rsidRPr="00FD2CCB" w14:paraId="0612FE1F"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6E5F7243"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 xml:space="preserve">Rata rentabilităţii capitalului 1 </w:t>
            </w:r>
          </w:p>
        </w:tc>
        <w:tc>
          <w:tcPr>
            <w:tcW w:w="2040" w:type="dxa"/>
            <w:tcBorders>
              <w:top w:val="nil"/>
              <w:left w:val="nil"/>
              <w:bottom w:val="single" w:sz="4" w:space="0" w:color="95B3D7"/>
              <w:right w:val="single" w:sz="4" w:space="0" w:color="FFFFFF"/>
            </w:tcBorders>
            <w:shd w:val="clear" w:color="auto" w:fill="auto"/>
            <w:hideMark/>
          </w:tcPr>
          <w:p w14:paraId="5EAF6448"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Profit net / Capitaluri proprii</w:t>
            </w:r>
          </w:p>
        </w:tc>
        <w:tc>
          <w:tcPr>
            <w:tcW w:w="1019" w:type="dxa"/>
            <w:tcBorders>
              <w:top w:val="nil"/>
              <w:left w:val="nil"/>
              <w:bottom w:val="single" w:sz="4" w:space="0" w:color="95B3D7"/>
              <w:right w:val="single" w:sz="4" w:space="0" w:color="FFFFFF"/>
            </w:tcBorders>
            <w:shd w:val="clear" w:color="4F81BD" w:fill="FFFFFF"/>
            <w:hideMark/>
          </w:tcPr>
          <w:p w14:paraId="09A70663"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67ACAA7A"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5,93%</w:t>
            </w:r>
          </w:p>
        </w:tc>
        <w:tc>
          <w:tcPr>
            <w:tcW w:w="926" w:type="dxa"/>
            <w:tcBorders>
              <w:top w:val="nil"/>
              <w:left w:val="nil"/>
              <w:bottom w:val="single" w:sz="4" w:space="0" w:color="95B3D7"/>
              <w:right w:val="single" w:sz="4" w:space="0" w:color="FFFFFF"/>
            </w:tcBorders>
            <w:shd w:val="clear" w:color="auto" w:fill="auto"/>
            <w:hideMark/>
          </w:tcPr>
          <w:p w14:paraId="6614F218"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5,89%</w:t>
            </w:r>
          </w:p>
        </w:tc>
        <w:tc>
          <w:tcPr>
            <w:tcW w:w="927" w:type="dxa"/>
            <w:tcBorders>
              <w:top w:val="nil"/>
              <w:left w:val="nil"/>
              <w:bottom w:val="single" w:sz="4" w:space="0" w:color="95B3D7"/>
              <w:right w:val="single" w:sz="4" w:space="0" w:color="FFFFFF"/>
            </w:tcBorders>
            <w:shd w:val="clear" w:color="auto" w:fill="auto"/>
            <w:hideMark/>
          </w:tcPr>
          <w:p w14:paraId="4C987283"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5,31%</w:t>
            </w:r>
          </w:p>
        </w:tc>
        <w:tc>
          <w:tcPr>
            <w:tcW w:w="946" w:type="dxa"/>
            <w:tcBorders>
              <w:top w:val="nil"/>
              <w:left w:val="nil"/>
              <w:bottom w:val="single" w:sz="4" w:space="0" w:color="95B3D7"/>
              <w:right w:val="single" w:sz="4" w:space="0" w:color="FFFFFF"/>
            </w:tcBorders>
            <w:shd w:val="clear" w:color="auto" w:fill="auto"/>
            <w:hideMark/>
          </w:tcPr>
          <w:p w14:paraId="0F6DE5B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-0,58%</w:t>
            </w:r>
          </w:p>
        </w:tc>
      </w:tr>
      <w:tr w:rsidR="00A92CC2" w:rsidRPr="00FD2CCB" w14:paraId="72A9DD49" w14:textId="77777777" w:rsidTr="00A92CC2">
        <w:trPr>
          <w:trHeight w:val="372"/>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21AB8DCE"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Rata rentabilităţii capitalului 2</w:t>
            </w:r>
          </w:p>
        </w:tc>
        <w:tc>
          <w:tcPr>
            <w:tcW w:w="2040" w:type="dxa"/>
            <w:tcBorders>
              <w:top w:val="nil"/>
              <w:left w:val="nil"/>
              <w:bottom w:val="single" w:sz="4" w:space="0" w:color="95B3D7"/>
              <w:right w:val="single" w:sz="4" w:space="0" w:color="FFFFFF"/>
            </w:tcBorders>
            <w:shd w:val="clear" w:color="auto" w:fill="auto"/>
            <w:hideMark/>
          </w:tcPr>
          <w:p w14:paraId="4D6BE78F"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Rezultat net / Capitaluri proprii</w:t>
            </w:r>
          </w:p>
        </w:tc>
        <w:tc>
          <w:tcPr>
            <w:tcW w:w="1019" w:type="dxa"/>
            <w:tcBorders>
              <w:top w:val="nil"/>
              <w:left w:val="nil"/>
              <w:bottom w:val="single" w:sz="4" w:space="0" w:color="95B3D7"/>
              <w:right w:val="single" w:sz="4" w:space="0" w:color="FFFFFF"/>
            </w:tcBorders>
            <w:shd w:val="clear" w:color="4F81BD" w:fill="FFFFFF"/>
            <w:hideMark/>
          </w:tcPr>
          <w:p w14:paraId="3F9F3CF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5AF32F77"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2,73%</w:t>
            </w:r>
          </w:p>
        </w:tc>
        <w:tc>
          <w:tcPr>
            <w:tcW w:w="926" w:type="dxa"/>
            <w:tcBorders>
              <w:top w:val="nil"/>
              <w:left w:val="nil"/>
              <w:bottom w:val="single" w:sz="4" w:space="0" w:color="95B3D7"/>
              <w:right w:val="single" w:sz="4" w:space="0" w:color="FFFFFF"/>
            </w:tcBorders>
            <w:shd w:val="clear" w:color="auto" w:fill="auto"/>
            <w:hideMark/>
          </w:tcPr>
          <w:p w14:paraId="3E70D09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3,13%</w:t>
            </w:r>
          </w:p>
        </w:tc>
        <w:tc>
          <w:tcPr>
            <w:tcW w:w="927" w:type="dxa"/>
            <w:tcBorders>
              <w:top w:val="nil"/>
              <w:left w:val="nil"/>
              <w:bottom w:val="single" w:sz="4" w:space="0" w:color="95B3D7"/>
              <w:right w:val="single" w:sz="4" w:space="0" w:color="FFFFFF"/>
            </w:tcBorders>
            <w:shd w:val="clear" w:color="auto" w:fill="auto"/>
            <w:hideMark/>
          </w:tcPr>
          <w:p w14:paraId="08FFA520"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2,08%</w:t>
            </w:r>
          </w:p>
        </w:tc>
        <w:tc>
          <w:tcPr>
            <w:tcW w:w="946" w:type="dxa"/>
            <w:tcBorders>
              <w:top w:val="nil"/>
              <w:left w:val="nil"/>
              <w:bottom w:val="single" w:sz="4" w:space="0" w:color="95B3D7"/>
              <w:right w:val="single" w:sz="4" w:space="0" w:color="FFFFFF"/>
            </w:tcBorders>
            <w:shd w:val="clear" w:color="auto" w:fill="auto"/>
            <w:hideMark/>
          </w:tcPr>
          <w:p w14:paraId="526E75C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-1,05%</w:t>
            </w:r>
          </w:p>
        </w:tc>
      </w:tr>
      <w:tr w:rsidR="00A92CC2" w:rsidRPr="00FD2CCB" w14:paraId="1A1C1FBC" w14:textId="77777777" w:rsidTr="00A92CC2">
        <w:trPr>
          <w:trHeight w:val="557"/>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799B32FA"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Rentabilitatea capitalului angajat</w:t>
            </w:r>
          </w:p>
        </w:tc>
        <w:tc>
          <w:tcPr>
            <w:tcW w:w="2040" w:type="dxa"/>
            <w:tcBorders>
              <w:top w:val="nil"/>
              <w:left w:val="nil"/>
              <w:bottom w:val="single" w:sz="4" w:space="0" w:color="95B3D7"/>
              <w:right w:val="single" w:sz="4" w:space="0" w:color="FFFFFF"/>
            </w:tcBorders>
            <w:shd w:val="clear" w:color="auto" w:fill="auto"/>
            <w:hideMark/>
          </w:tcPr>
          <w:p w14:paraId="51FF8B98"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Profit brut din exploatare / (Datorii pe termen lung + Capital propriu)</w:t>
            </w:r>
          </w:p>
        </w:tc>
        <w:tc>
          <w:tcPr>
            <w:tcW w:w="1019" w:type="dxa"/>
            <w:tcBorders>
              <w:top w:val="nil"/>
              <w:left w:val="nil"/>
              <w:bottom w:val="single" w:sz="4" w:space="0" w:color="95B3D7"/>
              <w:right w:val="single" w:sz="4" w:space="0" w:color="FFFFFF"/>
            </w:tcBorders>
            <w:shd w:val="clear" w:color="4F81BD" w:fill="FFFFFF"/>
            <w:hideMark/>
          </w:tcPr>
          <w:p w14:paraId="539B19EA"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003DFBB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5,77%</w:t>
            </w:r>
          </w:p>
        </w:tc>
        <w:tc>
          <w:tcPr>
            <w:tcW w:w="926" w:type="dxa"/>
            <w:tcBorders>
              <w:top w:val="nil"/>
              <w:left w:val="nil"/>
              <w:bottom w:val="single" w:sz="4" w:space="0" w:color="95B3D7"/>
              <w:right w:val="single" w:sz="4" w:space="0" w:color="FFFFFF"/>
            </w:tcBorders>
            <w:shd w:val="clear" w:color="auto" w:fill="auto"/>
            <w:hideMark/>
          </w:tcPr>
          <w:p w14:paraId="64EEE09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5,79%</w:t>
            </w:r>
          </w:p>
        </w:tc>
        <w:tc>
          <w:tcPr>
            <w:tcW w:w="927" w:type="dxa"/>
            <w:tcBorders>
              <w:top w:val="nil"/>
              <w:left w:val="nil"/>
              <w:bottom w:val="single" w:sz="4" w:space="0" w:color="95B3D7"/>
              <w:right w:val="single" w:sz="4" w:space="0" w:color="FFFFFF"/>
            </w:tcBorders>
            <w:shd w:val="clear" w:color="auto" w:fill="auto"/>
            <w:hideMark/>
          </w:tcPr>
          <w:p w14:paraId="3B2BE345"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5,19%</w:t>
            </w:r>
          </w:p>
        </w:tc>
        <w:tc>
          <w:tcPr>
            <w:tcW w:w="946" w:type="dxa"/>
            <w:tcBorders>
              <w:top w:val="nil"/>
              <w:left w:val="nil"/>
              <w:bottom w:val="single" w:sz="4" w:space="0" w:color="95B3D7"/>
              <w:right w:val="single" w:sz="4" w:space="0" w:color="FFFFFF"/>
            </w:tcBorders>
            <w:shd w:val="clear" w:color="auto" w:fill="auto"/>
            <w:hideMark/>
          </w:tcPr>
          <w:p w14:paraId="1DBA9613"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-0,60%</w:t>
            </w:r>
          </w:p>
        </w:tc>
      </w:tr>
      <w:tr w:rsidR="00A92CC2" w:rsidRPr="00FD2CCB" w14:paraId="0334CF2F" w14:textId="77777777" w:rsidTr="00A92CC2">
        <w:trPr>
          <w:trHeight w:val="251"/>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43FA380D"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Rata profitului brut</w:t>
            </w:r>
          </w:p>
        </w:tc>
        <w:tc>
          <w:tcPr>
            <w:tcW w:w="2040" w:type="dxa"/>
            <w:tcBorders>
              <w:top w:val="nil"/>
              <w:left w:val="nil"/>
              <w:bottom w:val="single" w:sz="4" w:space="0" w:color="95B3D7"/>
              <w:right w:val="single" w:sz="4" w:space="0" w:color="FFFFFF"/>
            </w:tcBorders>
            <w:shd w:val="clear" w:color="auto" w:fill="auto"/>
            <w:hideMark/>
          </w:tcPr>
          <w:p w14:paraId="714532DF"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Profit brut/Venituri totale</w:t>
            </w:r>
          </w:p>
        </w:tc>
        <w:tc>
          <w:tcPr>
            <w:tcW w:w="1019" w:type="dxa"/>
            <w:tcBorders>
              <w:top w:val="nil"/>
              <w:left w:val="nil"/>
              <w:bottom w:val="single" w:sz="4" w:space="0" w:color="95B3D7"/>
              <w:right w:val="single" w:sz="4" w:space="0" w:color="FFFFFF"/>
            </w:tcBorders>
            <w:shd w:val="clear" w:color="4F81BD" w:fill="FFFFFF"/>
            <w:hideMark/>
          </w:tcPr>
          <w:p w14:paraId="06BD8149"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2F159321"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5,20%</w:t>
            </w:r>
          </w:p>
        </w:tc>
        <w:tc>
          <w:tcPr>
            <w:tcW w:w="926" w:type="dxa"/>
            <w:tcBorders>
              <w:top w:val="nil"/>
              <w:left w:val="nil"/>
              <w:bottom w:val="single" w:sz="4" w:space="0" w:color="95B3D7"/>
              <w:right w:val="single" w:sz="4" w:space="0" w:color="FFFFFF"/>
            </w:tcBorders>
            <w:shd w:val="clear" w:color="auto" w:fill="auto"/>
            <w:hideMark/>
          </w:tcPr>
          <w:p w14:paraId="69BA2902"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4,51%</w:t>
            </w:r>
          </w:p>
        </w:tc>
        <w:tc>
          <w:tcPr>
            <w:tcW w:w="927" w:type="dxa"/>
            <w:tcBorders>
              <w:top w:val="nil"/>
              <w:left w:val="nil"/>
              <w:bottom w:val="single" w:sz="4" w:space="0" w:color="95B3D7"/>
              <w:right w:val="single" w:sz="4" w:space="0" w:color="FFFFFF"/>
            </w:tcBorders>
            <w:shd w:val="clear" w:color="auto" w:fill="auto"/>
            <w:hideMark/>
          </w:tcPr>
          <w:p w14:paraId="25C431A2"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4,21%</w:t>
            </w:r>
          </w:p>
        </w:tc>
        <w:tc>
          <w:tcPr>
            <w:tcW w:w="946" w:type="dxa"/>
            <w:tcBorders>
              <w:top w:val="nil"/>
              <w:left w:val="nil"/>
              <w:bottom w:val="single" w:sz="4" w:space="0" w:color="95B3D7"/>
              <w:right w:val="single" w:sz="4" w:space="0" w:color="FFFFFF"/>
            </w:tcBorders>
            <w:shd w:val="clear" w:color="auto" w:fill="auto"/>
            <w:hideMark/>
          </w:tcPr>
          <w:p w14:paraId="72B0C9A6"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-0,30%</w:t>
            </w:r>
          </w:p>
        </w:tc>
      </w:tr>
      <w:tr w:rsidR="00A92CC2" w:rsidRPr="00FD2CCB" w14:paraId="5DB534A1"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1BFCE484"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Rata profitului brut în total vânzări 1</w:t>
            </w:r>
          </w:p>
        </w:tc>
        <w:tc>
          <w:tcPr>
            <w:tcW w:w="2040" w:type="dxa"/>
            <w:tcBorders>
              <w:top w:val="nil"/>
              <w:left w:val="nil"/>
              <w:bottom w:val="single" w:sz="4" w:space="0" w:color="95B3D7"/>
              <w:right w:val="single" w:sz="4" w:space="0" w:color="FFFFFF"/>
            </w:tcBorders>
            <w:shd w:val="clear" w:color="auto" w:fill="auto"/>
            <w:hideMark/>
          </w:tcPr>
          <w:p w14:paraId="4FD75666"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Profitul brut / Cifra de afaceri</w:t>
            </w:r>
          </w:p>
        </w:tc>
        <w:tc>
          <w:tcPr>
            <w:tcW w:w="1019" w:type="dxa"/>
            <w:tcBorders>
              <w:top w:val="nil"/>
              <w:left w:val="nil"/>
              <w:bottom w:val="single" w:sz="4" w:space="0" w:color="95B3D7"/>
              <w:right w:val="single" w:sz="4" w:space="0" w:color="FFFFFF"/>
            </w:tcBorders>
            <w:shd w:val="clear" w:color="4F81BD" w:fill="FFFFFF"/>
            <w:hideMark/>
          </w:tcPr>
          <w:p w14:paraId="131A6B9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779F105E"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5,73%</w:t>
            </w:r>
          </w:p>
        </w:tc>
        <w:tc>
          <w:tcPr>
            <w:tcW w:w="926" w:type="dxa"/>
            <w:tcBorders>
              <w:top w:val="nil"/>
              <w:left w:val="nil"/>
              <w:bottom w:val="single" w:sz="4" w:space="0" w:color="95B3D7"/>
              <w:right w:val="single" w:sz="4" w:space="0" w:color="FFFFFF"/>
            </w:tcBorders>
            <w:shd w:val="clear" w:color="auto" w:fill="auto"/>
            <w:hideMark/>
          </w:tcPr>
          <w:p w14:paraId="2C43D80A"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5,03%</w:t>
            </w:r>
          </w:p>
        </w:tc>
        <w:tc>
          <w:tcPr>
            <w:tcW w:w="927" w:type="dxa"/>
            <w:tcBorders>
              <w:top w:val="nil"/>
              <w:left w:val="nil"/>
              <w:bottom w:val="single" w:sz="4" w:space="0" w:color="95B3D7"/>
              <w:right w:val="single" w:sz="4" w:space="0" w:color="FFFFFF"/>
            </w:tcBorders>
            <w:shd w:val="clear" w:color="auto" w:fill="auto"/>
            <w:hideMark/>
          </w:tcPr>
          <w:p w14:paraId="41C3D512"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4,66%</w:t>
            </w:r>
          </w:p>
        </w:tc>
        <w:tc>
          <w:tcPr>
            <w:tcW w:w="946" w:type="dxa"/>
            <w:tcBorders>
              <w:top w:val="nil"/>
              <w:left w:val="nil"/>
              <w:bottom w:val="single" w:sz="4" w:space="0" w:color="95B3D7"/>
              <w:right w:val="single" w:sz="4" w:space="0" w:color="FFFFFF"/>
            </w:tcBorders>
            <w:shd w:val="clear" w:color="auto" w:fill="auto"/>
            <w:hideMark/>
          </w:tcPr>
          <w:p w14:paraId="10D1DA6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-0,37%</w:t>
            </w:r>
          </w:p>
        </w:tc>
      </w:tr>
      <w:tr w:rsidR="00A92CC2" w:rsidRPr="00FD2CCB" w14:paraId="6E42C0C2" w14:textId="77777777" w:rsidTr="00A92CC2">
        <w:trPr>
          <w:trHeight w:val="404"/>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0BB0E4B3"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Rata rezultatului brut în total vânzări 2</w:t>
            </w:r>
          </w:p>
        </w:tc>
        <w:tc>
          <w:tcPr>
            <w:tcW w:w="2040" w:type="dxa"/>
            <w:tcBorders>
              <w:top w:val="nil"/>
              <w:left w:val="nil"/>
              <w:bottom w:val="single" w:sz="4" w:space="0" w:color="95B3D7"/>
              <w:right w:val="single" w:sz="4" w:space="0" w:color="FFFFFF"/>
            </w:tcBorders>
            <w:shd w:val="clear" w:color="auto" w:fill="auto"/>
            <w:hideMark/>
          </w:tcPr>
          <w:p w14:paraId="1C426333"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Rezultat brut / Cifra de afaceri</w:t>
            </w:r>
          </w:p>
        </w:tc>
        <w:tc>
          <w:tcPr>
            <w:tcW w:w="1019" w:type="dxa"/>
            <w:tcBorders>
              <w:top w:val="nil"/>
              <w:left w:val="nil"/>
              <w:bottom w:val="single" w:sz="4" w:space="0" w:color="95B3D7"/>
              <w:right w:val="single" w:sz="4" w:space="0" w:color="FFFFFF"/>
            </w:tcBorders>
            <w:shd w:val="clear" w:color="4F81BD" w:fill="FFFFFF"/>
            <w:hideMark/>
          </w:tcPr>
          <w:p w14:paraId="39E44989"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05E5D47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3,18%</w:t>
            </w:r>
          </w:p>
        </w:tc>
        <w:tc>
          <w:tcPr>
            <w:tcW w:w="926" w:type="dxa"/>
            <w:tcBorders>
              <w:top w:val="nil"/>
              <w:left w:val="nil"/>
              <w:bottom w:val="single" w:sz="4" w:space="0" w:color="95B3D7"/>
              <w:right w:val="single" w:sz="4" w:space="0" w:color="FFFFFF"/>
            </w:tcBorders>
            <w:shd w:val="clear" w:color="auto" w:fill="auto"/>
            <w:hideMark/>
          </w:tcPr>
          <w:p w14:paraId="5D151FA4"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3,07%</w:t>
            </w:r>
          </w:p>
        </w:tc>
        <w:tc>
          <w:tcPr>
            <w:tcW w:w="927" w:type="dxa"/>
            <w:tcBorders>
              <w:top w:val="nil"/>
              <w:left w:val="nil"/>
              <w:bottom w:val="single" w:sz="4" w:space="0" w:color="95B3D7"/>
              <w:right w:val="single" w:sz="4" w:space="0" w:color="FFFFFF"/>
            </w:tcBorders>
            <w:shd w:val="clear" w:color="auto" w:fill="auto"/>
            <w:hideMark/>
          </w:tcPr>
          <w:p w14:paraId="0E6BAFD2"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2,27%</w:t>
            </w:r>
          </w:p>
        </w:tc>
        <w:tc>
          <w:tcPr>
            <w:tcW w:w="946" w:type="dxa"/>
            <w:tcBorders>
              <w:top w:val="nil"/>
              <w:left w:val="nil"/>
              <w:bottom w:val="single" w:sz="4" w:space="0" w:color="95B3D7"/>
              <w:right w:val="single" w:sz="4" w:space="0" w:color="FFFFFF"/>
            </w:tcBorders>
            <w:shd w:val="clear" w:color="auto" w:fill="auto"/>
            <w:hideMark/>
          </w:tcPr>
          <w:p w14:paraId="5444CB94"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-0,80%</w:t>
            </w:r>
          </w:p>
        </w:tc>
      </w:tr>
      <w:tr w:rsidR="00FD2CCB" w:rsidRPr="00FD2CCB" w14:paraId="5013A81A" w14:textId="77777777" w:rsidTr="00A92CC2">
        <w:trPr>
          <w:trHeight w:val="557"/>
        </w:trPr>
        <w:tc>
          <w:tcPr>
            <w:tcW w:w="9590" w:type="dxa"/>
            <w:gridSpan w:val="7"/>
            <w:tcBorders>
              <w:top w:val="single" w:sz="4" w:space="0" w:color="95B3D7"/>
              <w:left w:val="single" w:sz="4" w:space="0" w:color="FFFFFF"/>
              <w:bottom w:val="single" w:sz="4" w:space="0" w:color="95B3D7"/>
              <w:right w:val="single" w:sz="4" w:space="0" w:color="FFFFFF"/>
            </w:tcBorders>
            <w:shd w:val="clear" w:color="000000" w:fill="DCE6F1"/>
            <w:hideMark/>
          </w:tcPr>
          <w:p w14:paraId="11E9C412" w14:textId="77777777" w:rsidR="00FD2CCB" w:rsidRPr="00FD2CCB" w:rsidRDefault="00FD2CCB" w:rsidP="00FD2CCB">
            <w:pPr>
              <w:spacing w:before="0" w:after="0" w:line="240" w:lineRule="auto"/>
              <w:rPr>
                <w:rFonts w:eastAsia="Times New Roman" w:cstheme="minorHAnsi"/>
                <w:b/>
                <w:bCs/>
                <w:color w:val="4F81BD"/>
                <w:lang w:val="en-US"/>
              </w:rPr>
            </w:pPr>
            <w:r w:rsidRPr="00FD2CCB">
              <w:rPr>
                <w:rFonts w:eastAsia="Times New Roman" w:cstheme="minorHAnsi"/>
                <w:b/>
                <w:bCs/>
                <w:color w:val="0F6FC6" w:themeColor="accent1"/>
                <w:sz w:val="16"/>
                <w:lang w:val="en-US"/>
              </w:rPr>
              <w:t>Lichiditate</w:t>
            </w:r>
          </w:p>
        </w:tc>
      </w:tr>
      <w:tr w:rsidR="00A92CC2" w:rsidRPr="00FD2CCB" w14:paraId="3FEEC2EF" w14:textId="77777777" w:rsidTr="00A92CC2">
        <w:trPr>
          <w:trHeight w:val="372"/>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1D24C4D0"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Lichiditatea curentă</w:t>
            </w:r>
          </w:p>
        </w:tc>
        <w:tc>
          <w:tcPr>
            <w:tcW w:w="2040" w:type="dxa"/>
            <w:tcBorders>
              <w:top w:val="nil"/>
              <w:left w:val="nil"/>
              <w:bottom w:val="single" w:sz="4" w:space="0" w:color="95B3D7"/>
              <w:right w:val="single" w:sz="4" w:space="0" w:color="FFFFFF"/>
            </w:tcBorders>
            <w:shd w:val="clear" w:color="auto" w:fill="auto"/>
            <w:hideMark/>
          </w:tcPr>
          <w:p w14:paraId="269F3176"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Active circulante/Datorii pe termen scurt</w:t>
            </w:r>
          </w:p>
        </w:tc>
        <w:tc>
          <w:tcPr>
            <w:tcW w:w="1019" w:type="dxa"/>
            <w:tcBorders>
              <w:top w:val="nil"/>
              <w:left w:val="nil"/>
              <w:bottom w:val="single" w:sz="4" w:space="0" w:color="95B3D7"/>
              <w:right w:val="single" w:sz="4" w:space="0" w:color="FFFFFF"/>
            </w:tcBorders>
            <w:shd w:val="clear" w:color="4F81BD" w:fill="FFFFFF"/>
            <w:hideMark/>
          </w:tcPr>
          <w:p w14:paraId="443943CC"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63EAD155"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313,88%</w:t>
            </w:r>
          </w:p>
        </w:tc>
        <w:tc>
          <w:tcPr>
            <w:tcW w:w="926" w:type="dxa"/>
            <w:tcBorders>
              <w:top w:val="nil"/>
              <w:left w:val="nil"/>
              <w:bottom w:val="single" w:sz="4" w:space="0" w:color="95B3D7"/>
              <w:right w:val="single" w:sz="4" w:space="0" w:color="FFFFFF"/>
            </w:tcBorders>
            <w:shd w:val="clear" w:color="auto" w:fill="auto"/>
            <w:hideMark/>
          </w:tcPr>
          <w:p w14:paraId="426D9D1E"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249,16%</w:t>
            </w:r>
          </w:p>
        </w:tc>
        <w:tc>
          <w:tcPr>
            <w:tcW w:w="927" w:type="dxa"/>
            <w:tcBorders>
              <w:top w:val="nil"/>
              <w:left w:val="nil"/>
              <w:bottom w:val="single" w:sz="4" w:space="0" w:color="95B3D7"/>
              <w:right w:val="single" w:sz="4" w:space="0" w:color="FFFFFF"/>
            </w:tcBorders>
            <w:shd w:val="clear" w:color="auto" w:fill="auto"/>
            <w:hideMark/>
          </w:tcPr>
          <w:p w14:paraId="02316FAE"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239,98%</w:t>
            </w:r>
          </w:p>
        </w:tc>
        <w:tc>
          <w:tcPr>
            <w:tcW w:w="946" w:type="dxa"/>
            <w:tcBorders>
              <w:top w:val="nil"/>
              <w:left w:val="nil"/>
              <w:bottom w:val="single" w:sz="4" w:space="0" w:color="95B3D7"/>
              <w:right w:val="single" w:sz="4" w:space="0" w:color="FFFFFF"/>
            </w:tcBorders>
            <w:shd w:val="clear" w:color="auto" w:fill="auto"/>
            <w:hideMark/>
          </w:tcPr>
          <w:p w14:paraId="3D960947"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-9,18%</w:t>
            </w:r>
          </w:p>
        </w:tc>
      </w:tr>
      <w:tr w:rsidR="00A92CC2" w:rsidRPr="00FD2CCB" w14:paraId="4EEAFA76" w14:textId="77777777" w:rsidTr="00A92CC2">
        <w:trPr>
          <w:trHeight w:val="372"/>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45B92902"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Lichiditatea imediată</w:t>
            </w:r>
          </w:p>
        </w:tc>
        <w:tc>
          <w:tcPr>
            <w:tcW w:w="2040" w:type="dxa"/>
            <w:tcBorders>
              <w:top w:val="nil"/>
              <w:left w:val="nil"/>
              <w:bottom w:val="single" w:sz="4" w:space="0" w:color="95B3D7"/>
              <w:right w:val="single" w:sz="4" w:space="0" w:color="FFFFFF"/>
            </w:tcBorders>
            <w:shd w:val="clear" w:color="auto" w:fill="auto"/>
            <w:hideMark/>
          </w:tcPr>
          <w:p w14:paraId="6B6717ED"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(Active circulante-Stocuri)/Datorii curente</w:t>
            </w:r>
          </w:p>
        </w:tc>
        <w:tc>
          <w:tcPr>
            <w:tcW w:w="1019" w:type="dxa"/>
            <w:tcBorders>
              <w:top w:val="nil"/>
              <w:left w:val="nil"/>
              <w:bottom w:val="single" w:sz="4" w:space="0" w:color="95B3D7"/>
              <w:right w:val="single" w:sz="4" w:space="0" w:color="FFFFFF"/>
            </w:tcBorders>
            <w:shd w:val="clear" w:color="4F81BD" w:fill="FFFFFF"/>
            <w:hideMark/>
          </w:tcPr>
          <w:p w14:paraId="6D0DD602"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46D7EEC1"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291,90%</w:t>
            </w:r>
          </w:p>
        </w:tc>
        <w:tc>
          <w:tcPr>
            <w:tcW w:w="926" w:type="dxa"/>
            <w:tcBorders>
              <w:top w:val="nil"/>
              <w:left w:val="nil"/>
              <w:bottom w:val="single" w:sz="4" w:space="0" w:color="95B3D7"/>
              <w:right w:val="single" w:sz="4" w:space="0" w:color="FFFFFF"/>
            </w:tcBorders>
            <w:shd w:val="clear" w:color="auto" w:fill="auto"/>
            <w:hideMark/>
          </w:tcPr>
          <w:p w14:paraId="64EF4ED5"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233,25%</w:t>
            </w:r>
          </w:p>
        </w:tc>
        <w:tc>
          <w:tcPr>
            <w:tcW w:w="927" w:type="dxa"/>
            <w:tcBorders>
              <w:top w:val="nil"/>
              <w:left w:val="nil"/>
              <w:bottom w:val="single" w:sz="4" w:space="0" w:color="95B3D7"/>
              <w:right w:val="single" w:sz="4" w:space="0" w:color="FFFFFF"/>
            </w:tcBorders>
            <w:shd w:val="clear" w:color="auto" w:fill="auto"/>
            <w:hideMark/>
          </w:tcPr>
          <w:p w14:paraId="4BB030B9"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224,17%</w:t>
            </w:r>
          </w:p>
        </w:tc>
        <w:tc>
          <w:tcPr>
            <w:tcW w:w="946" w:type="dxa"/>
            <w:tcBorders>
              <w:top w:val="nil"/>
              <w:left w:val="nil"/>
              <w:bottom w:val="single" w:sz="4" w:space="0" w:color="95B3D7"/>
              <w:right w:val="single" w:sz="4" w:space="0" w:color="FFFFFF"/>
            </w:tcBorders>
            <w:shd w:val="clear" w:color="auto" w:fill="auto"/>
            <w:hideMark/>
          </w:tcPr>
          <w:p w14:paraId="4149FFE6"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-9,08%</w:t>
            </w:r>
          </w:p>
        </w:tc>
      </w:tr>
      <w:tr w:rsidR="00FD2CCB" w:rsidRPr="00FD2CCB" w14:paraId="775F8251" w14:textId="77777777" w:rsidTr="00A92CC2">
        <w:trPr>
          <w:trHeight w:val="248"/>
        </w:trPr>
        <w:tc>
          <w:tcPr>
            <w:tcW w:w="9590" w:type="dxa"/>
            <w:gridSpan w:val="7"/>
            <w:tcBorders>
              <w:top w:val="single" w:sz="4" w:space="0" w:color="95B3D7"/>
              <w:left w:val="single" w:sz="4" w:space="0" w:color="FFFFFF"/>
              <w:bottom w:val="single" w:sz="4" w:space="0" w:color="95B3D7"/>
              <w:right w:val="single" w:sz="4" w:space="0" w:color="FFFFFF"/>
            </w:tcBorders>
            <w:shd w:val="clear" w:color="000000" w:fill="DCE6F1"/>
            <w:hideMark/>
          </w:tcPr>
          <w:p w14:paraId="27976DE4" w14:textId="77777777" w:rsidR="00FD2CCB" w:rsidRPr="00FD2CCB" w:rsidRDefault="00FD2CCB" w:rsidP="00FD2CCB">
            <w:pPr>
              <w:spacing w:before="0" w:after="0" w:line="240" w:lineRule="auto"/>
              <w:rPr>
                <w:rFonts w:eastAsia="Times New Roman" w:cstheme="minorHAnsi"/>
                <w:b/>
                <w:bCs/>
                <w:color w:val="4F81BD"/>
                <w:lang w:val="en-US"/>
              </w:rPr>
            </w:pPr>
            <w:r w:rsidRPr="00FD2CCB">
              <w:rPr>
                <w:rFonts w:eastAsia="Times New Roman" w:cstheme="minorHAnsi"/>
                <w:b/>
                <w:bCs/>
                <w:color w:val="0F6FC6" w:themeColor="accent1"/>
                <w:sz w:val="16"/>
                <w:lang w:val="en-US"/>
              </w:rPr>
              <w:t>Risc</w:t>
            </w:r>
          </w:p>
        </w:tc>
      </w:tr>
      <w:tr w:rsidR="00A92CC2" w:rsidRPr="00FD2CCB" w14:paraId="724C30C8"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26174A00"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 xml:space="preserve">Rata de acoperire a dobânzii </w:t>
            </w:r>
          </w:p>
        </w:tc>
        <w:tc>
          <w:tcPr>
            <w:tcW w:w="2040" w:type="dxa"/>
            <w:tcBorders>
              <w:top w:val="nil"/>
              <w:left w:val="nil"/>
              <w:bottom w:val="single" w:sz="4" w:space="0" w:color="95B3D7"/>
              <w:right w:val="single" w:sz="4" w:space="0" w:color="FFFFFF"/>
            </w:tcBorders>
            <w:shd w:val="clear" w:color="auto" w:fill="auto"/>
            <w:hideMark/>
          </w:tcPr>
          <w:p w14:paraId="667E9D1E"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EBIT/Cheltuiala cu dobânda</w:t>
            </w:r>
          </w:p>
        </w:tc>
        <w:tc>
          <w:tcPr>
            <w:tcW w:w="1019" w:type="dxa"/>
            <w:tcBorders>
              <w:top w:val="nil"/>
              <w:left w:val="nil"/>
              <w:bottom w:val="single" w:sz="4" w:space="0" w:color="95B3D7"/>
              <w:right w:val="single" w:sz="4" w:space="0" w:color="FFFFFF"/>
            </w:tcBorders>
            <w:shd w:val="clear" w:color="4F81BD" w:fill="FFFFFF"/>
            <w:hideMark/>
          </w:tcPr>
          <w:p w14:paraId="225E6DCE"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1BA72C83"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508,81%</w:t>
            </w:r>
          </w:p>
        </w:tc>
        <w:tc>
          <w:tcPr>
            <w:tcW w:w="926" w:type="dxa"/>
            <w:tcBorders>
              <w:top w:val="nil"/>
              <w:left w:val="nil"/>
              <w:bottom w:val="single" w:sz="4" w:space="0" w:color="95B3D7"/>
              <w:right w:val="single" w:sz="4" w:space="0" w:color="FFFFFF"/>
            </w:tcBorders>
            <w:shd w:val="clear" w:color="auto" w:fill="auto"/>
            <w:hideMark/>
          </w:tcPr>
          <w:p w14:paraId="77636BA9"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521,78%</w:t>
            </w:r>
          </w:p>
        </w:tc>
        <w:tc>
          <w:tcPr>
            <w:tcW w:w="927" w:type="dxa"/>
            <w:tcBorders>
              <w:top w:val="nil"/>
              <w:left w:val="nil"/>
              <w:bottom w:val="single" w:sz="4" w:space="0" w:color="95B3D7"/>
              <w:right w:val="single" w:sz="4" w:space="0" w:color="FFFFFF"/>
            </w:tcBorders>
            <w:shd w:val="clear" w:color="auto" w:fill="auto"/>
            <w:hideMark/>
          </w:tcPr>
          <w:p w14:paraId="3C263CF0"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453,85%</w:t>
            </w:r>
          </w:p>
        </w:tc>
        <w:tc>
          <w:tcPr>
            <w:tcW w:w="946" w:type="dxa"/>
            <w:tcBorders>
              <w:top w:val="nil"/>
              <w:left w:val="nil"/>
              <w:bottom w:val="single" w:sz="4" w:space="0" w:color="95B3D7"/>
              <w:right w:val="single" w:sz="4" w:space="0" w:color="FFFFFF"/>
            </w:tcBorders>
            <w:shd w:val="clear" w:color="auto" w:fill="auto"/>
            <w:hideMark/>
          </w:tcPr>
          <w:p w14:paraId="21FC977C"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-67,93%</w:t>
            </w:r>
          </w:p>
        </w:tc>
      </w:tr>
      <w:tr w:rsidR="00A92CC2" w:rsidRPr="00FD2CCB" w14:paraId="3D3210FA"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000000" w:fill="FFFFFF"/>
            <w:hideMark/>
          </w:tcPr>
          <w:p w14:paraId="6FF86675"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Gradul de îndatorare</w:t>
            </w:r>
          </w:p>
        </w:tc>
        <w:tc>
          <w:tcPr>
            <w:tcW w:w="2040" w:type="dxa"/>
            <w:tcBorders>
              <w:top w:val="nil"/>
              <w:left w:val="nil"/>
              <w:bottom w:val="single" w:sz="4" w:space="0" w:color="95B3D7"/>
              <w:right w:val="single" w:sz="4" w:space="0" w:color="FFFFFF"/>
            </w:tcBorders>
            <w:shd w:val="clear" w:color="auto" w:fill="auto"/>
            <w:hideMark/>
          </w:tcPr>
          <w:p w14:paraId="277F95CF"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Datorii totale / Active totale</w:t>
            </w:r>
          </w:p>
        </w:tc>
        <w:tc>
          <w:tcPr>
            <w:tcW w:w="1019" w:type="dxa"/>
            <w:tcBorders>
              <w:top w:val="nil"/>
              <w:left w:val="nil"/>
              <w:bottom w:val="single" w:sz="4" w:space="0" w:color="95B3D7"/>
              <w:right w:val="single" w:sz="4" w:space="0" w:color="FFFFFF"/>
            </w:tcBorders>
            <w:shd w:val="clear" w:color="4F81BD" w:fill="FFFFFF"/>
            <w:hideMark/>
          </w:tcPr>
          <w:p w14:paraId="64A2F10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5A066B2B"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20,28%</w:t>
            </w:r>
          </w:p>
        </w:tc>
        <w:tc>
          <w:tcPr>
            <w:tcW w:w="926" w:type="dxa"/>
            <w:tcBorders>
              <w:top w:val="nil"/>
              <w:left w:val="nil"/>
              <w:bottom w:val="single" w:sz="4" w:space="0" w:color="95B3D7"/>
              <w:right w:val="single" w:sz="4" w:space="0" w:color="FFFFFF"/>
            </w:tcBorders>
            <w:shd w:val="clear" w:color="auto" w:fill="auto"/>
            <w:hideMark/>
          </w:tcPr>
          <w:p w14:paraId="434A3C98"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24,32%</w:t>
            </w:r>
          </w:p>
        </w:tc>
        <w:tc>
          <w:tcPr>
            <w:tcW w:w="927" w:type="dxa"/>
            <w:tcBorders>
              <w:top w:val="nil"/>
              <w:left w:val="nil"/>
              <w:bottom w:val="single" w:sz="4" w:space="0" w:color="95B3D7"/>
              <w:right w:val="single" w:sz="4" w:space="0" w:color="FFFFFF"/>
            </w:tcBorders>
            <w:shd w:val="clear" w:color="auto" w:fill="auto"/>
            <w:hideMark/>
          </w:tcPr>
          <w:p w14:paraId="1203633F"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25,28%</w:t>
            </w:r>
          </w:p>
        </w:tc>
        <w:tc>
          <w:tcPr>
            <w:tcW w:w="946" w:type="dxa"/>
            <w:tcBorders>
              <w:top w:val="nil"/>
              <w:left w:val="nil"/>
              <w:bottom w:val="single" w:sz="4" w:space="0" w:color="95B3D7"/>
              <w:right w:val="single" w:sz="4" w:space="0" w:color="FFFFFF"/>
            </w:tcBorders>
            <w:shd w:val="clear" w:color="auto" w:fill="auto"/>
            <w:hideMark/>
          </w:tcPr>
          <w:p w14:paraId="27031B11"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0,96%</w:t>
            </w:r>
          </w:p>
        </w:tc>
      </w:tr>
      <w:tr w:rsidR="00FD2CCB" w:rsidRPr="00FD2CCB" w14:paraId="63132B9B" w14:textId="77777777" w:rsidTr="00A92CC2">
        <w:trPr>
          <w:trHeight w:val="248"/>
        </w:trPr>
        <w:tc>
          <w:tcPr>
            <w:tcW w:w="9590" w:type="dxa"/>
            <w:gridSpan w:val="7"/>
            <w:tcBorders>
              <w:top w:val="single" w:sz="4" w:space="0" w:color="95B3D7"/>
              <w:left w:val="single" w:sz="4" w:space="0" w:color="FFFFFF"/>
              <w:bottom w:val="single" w:sz="4" w:space="0" w:color="95B3D7"/>
              <w:right w:val="single" w:sz="4" w:space="0" w:color="FFFFFF"/>
            </w:tcBorders>
            <w:shd w:val="clear" w:color="000000" w:fill="DCE6F1"/>
            <w:hideMark/>
          </w:tcPr>
          <w:p w14:paraId="44C20A55" w14:textId="77777777" w:rsidR="00FD2CCB" w:rsidRPr="00FD2CCB" w:rsidRDefault="00FD2CCB" w:rsidP="00FD2CCB">
            <w:pPr>
              <w:spacing w:before="0" w:after="0" w:line="240" w:lineRule="auto"/>
              <w:rPr>
                <w:rFonts w:eastAsia="Times New Roman" w:cstheme="minorHAnsi"/>
                <w:b/>
                <w:bCs/>
                <w:color w:val="4F81BD"/>
                <w:lang w:val="en-US"/>
              </w:rPr>
            </w:pPr>
            <w:r w:rsidRPr="00FD2CCB">
              <w:rPr>
                <w:rFonts w:eastAsia="Times New Roman" w:cstheme="minorHAnsi"/>
                <w:b/>
                <w:bCs/>
                <w:color w:val="0F6FC6" w:themeColor="accent1"/>
                <w:sz w:val="16"/>
                <w:lang w:val="en-US"/>
              </w:rPr>
              <w:t>Activitate (gestiune)</w:t>
            </w:r>
          </w:p>
        </w:tc>
      </w:tr>
      <w:tr w:rsidR="00A92CC2" w:rsidRPr="00FD2CCB" w14:paraId="5E401F69" w14:textId="77777777" w:rsidTr="00A92CC2">
        <w:trPr>
          <w:trHeight w:val="372"/>
        </w:trPr>
        <w:tc>
          <w:tcPr>
            <w:tcW w:w="2806" w:type="dxa"/>
            <w:tcBorders>
              <w:top w:val="single" w:sz="4" w:space="0" w:color="95B3D7"/>
              <w:left w:val="single" w:sz="4" w:space="0" w:color="FFFFFF"/>
              <w:bottom w:val="single" w:sz="4" w:space="0" w:color="95B3D7"/>
              <w:right w:val="single" w:sz="4" w:space="0" w:color="FFFFFF"/>
            </w:tcBorders>
            <w:shd w:val="clear" w:color="auto" w:fill="auto"/>
            <w:hideMark/>
          </w:tcPr>
          <w:p w14:paraId="717CB325"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Viteza rotație imobilizărilor</w:t>
            </w:r>
          </w:p>
        </w:tc>
        <w:tc>
          <w:tcPr>
            <w:tcW w:w="2040" w:type="dxa"/>
            <w:tcBorders>
              <w:top w:val="nil"/>
              <w:left w:val="nil"/>
              <w:bottom w:val="single" w:sz="4" w:space="0" w:color="95B3D7"/>
              <w:right w:val="single" w:sz="4" w:space="0" w:color="FFFFFF"/>
            </w:tcBorders>
            <w:shd w:val="clear" w:color="auto" w:fill="auto"/>
            <w:hideMark/>
          </w:tcPr>
          <w:p w14:paraId="57F18A7A"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Cifra de afaceri / Active imobilizate</w:t>
            </w:r>
          </w:p>
        </w:tc>
        <w:tc>
          <w:tcPr>
            <w:tcW w:w="1019" w:type="dxa"/>
            <w:tcBorders>
              <w:top w:val="nil"/>
              <w:left w:val="nil"/>
              <w:bottom w:val="single" w:sz="4" w:space="0" w:color="95B3D7"/>
              <w:right w:val="single" w:sz="4" w:space="0" w:color="FFFFFF"/>
            </w:tcBorders>
            <w:shd w:val="clear" w:color="4F81BD" w:fill="FFFFFF"/>
            <w:hideMark/>
          </w:tcPr>
          <w:p w14:paraId="685A43DC"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69EA2B15"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56,09%</w:t>
            </w:r>
          </w:p>
        </w:tc>
        <w:tc>
          <w:tcPr>
            <w:tcW w:w="926" w:type="dxa"/>
            <w:tcBorders>
              <w:top w:val="nil"/>
              <w:left w:val="nil"/>
              <w:bottom w:val="single" w:sz="4" w:space="0" w:color="95B3D7"/>
              <w:right w:val="single" w:sz="4" w:space="0" w:color="FFFFFF"/>
            </w:tcBorders>
            <w:shd w:val="clear" w:color="auto" w:fill="auto"/>
            <w:hideMark/>
          </w:tcPr>
          <w:p w14:paraId="5783AE80"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66,50%</w:t>
            </w:r>
          </w:p>
        </w:tc>
        <w:tc>
          <w:tcPr>
            <w:tcW w:w="927" w:type="dxa"/>
            <w:tcBorders>
              <w:top w:val="nil"/>
              <w:left w:val="nil"/>
              <w:bottom w:val="single" w:sz="4" w:space="0" w:color="95B3D7"/>
              <w:right w:val="single" w:sz="4" w:space="0" w:color="FFFFFF"/>
            </w:tcBorders>
            <w:shd w:val="clear" w:color="auto" w:fill="auto"/>
            <w:hideMark/>
          </w:tcPr>
          <w:p w14:paraId="71CA5796"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65,87%</w:t>
            </w:r>
          </w:p>
        </w:tc>
        <w:tc>
          <w:tcPr>
            <w:tcW w:w="946" w:type="dxa"/>
            <w:tcBorders>
              <w:top w:val="nil"/>
              <w:left w:val="nil"/>
              <w:bottom w:val="single" w:sz="4" w:space="0" w:color="95B3D7"/>
              <w:right w:val="single" w:sz="4" w:space="0" w:color="FFFFFF"/>
            </w:tcBorders>
            <w:shd w:val="clear" w:color="auto" w:fill="auto"/>
            <w:hideMark/>
          </w:tcPr>
          <w:p w14:paraId="7A8F15B1"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-0,63%</w:t>
            </w:r>
          </w:p>
        </w:tc>
      </w:tr>
      <w:tr w:rsidR="00A92CC2" w:rsidRPr="00FD2CCB" w14:paraId="34702F50" w14:textId="77777777" w:rsidTr="00A92CC2">
        <w:trPr>
          <w:trHeight w:val="248"/>
        </w:trPr>
        <w:tc>
          <w:tcPr>
            <w:tcW w:w="2806" w:type="dxa"/>
            <w:tcBorders>
              <w:top w:val="single" w:sz="4" w:space="0" w:color="95B3D7"/>
              <w:left w:val="single" w:sz="4" w:space="0" w:color="FFFFFF"/>
              <w:bottom w:val="single" w:sz="4" w:space="0" w:color="95B3D7"/>
              <w:right w:val="single" w:sz="4" w:space="0" w:color="FFFFFF"/>
            </w:tcBorders>
            <w:shd w:val="clear" w:color="auto" w:fill="auto"/>
            <w:hideMark/>
          </w:tcPr>
          <w:p w14:paraId="5D01DF93" w14:textId="77777777" w:rsidR="00FD2CCB" w:rsidRPr="00FD2CCB" w:rsidRDefault="00FD2CCB" w:rsidP="00FD2CCB">
            <w:pPr>
              <w:spacing w:before="0" w:after="0" w:line="240" w:lineRule="auto"/>
              <w:rPr>
                <w:rFonts w:ascii="Calibri Light" w:eastAsia="Times New Roman" w:hAnsi="Calibri Light" w:cs="Calibri Light"/>
                <w:bCs/>
                <w:sz w:val="16"/>
                <w:szCs w:val="16"/>
                <w:lang w:val="en-US"/>
              </w:rPr>
            </w:pPr>
            <w:r w:rsidRPr="00FD2CCB">
              <w:rPr>
                <w:rFonts w:ascii="Calibri Light" w:eastAsia="Times New Roman" w:hAnsi="Calibri Light" w:cs="Calibri Light"/>
                <w:bCs/>
                <w:sz w:val="16"/>
                <w:szCs w:val="16"/>
                <w:lang w:val="en-US"/>
              </w:rPr>
              <w:t>Viteza rotație active totale</w:t>
            </w:r>
          </w:p>
        </w:tc>
        <w:tc>
          <w:tcPr>
            <w:tcW w:w="2040" w:type="dxa"/>
            <w:tcBorders>
              <w:top w:val="nil"/>
              <w:left w:val="nil"/>
              <w:bottom w:val="single" w:sz="4" w:space="0" w:color="95B3D7"/>
              <w:right w:val="single" w:sz="4" w:space="0" w:color="FFFFFF"/>
            </w:tcBorders>
            <w:shd w:val="clear" w:color="auto" w:fill="auto"/>
            <w:hideMark/>
          </w:tcPr>
          <w:p w14:paraId="2BEB01D7" w14:textId="77777777" w:rsidR="00FD2CCB" w:rsidRPr="00FD2CCB" w:rsidRDefault="00FD2CCB" w:rsidP="00FD2CCB">
            <w:pPr>
              <w:spacing w:before="0" w:after="0" w:line="240" w:lineRule="auto"/>
              <w:rPr>
                <w:rFonts w:ascii="Calibri Light" w:eastAsia="Times New Roman" w:hAnsi="Calibri Light" w:cs="Calibri Light"/>
                <w:sz w:val="14"/>
                <w:szCs w:val="16"/>
                <w:lang w:val="en-US"/>
              </w:rPr>
            </w:pPr>
            <w:r w:rsidRPr="00FD2CCB">
              <w:rPr>
                <w:rFonts w:ascii="Calibri Light" w:eastAsia="Times New Roman" w:hAnsi="Calibri Light" w:cs="Calibri Light"/>
                <w:sz w:val="14"/>
                <w:szCs w:val="16"/>
                <w:lang w:val="en-US"/>
              </w:rPr>
              <w:t>Cifra de afaceri / Active totale</w:t>
            </w:r>
          </w:p>
        </w:tc>
        <w:tc>
          <w:tcPr>
            <w:tcW w:w="1019" w:type="dxa"/>
            <w:tcBorders>
              <w:top w:val="nil"/>
              <w:left w:val="nil"/>
              <w:bottom w:val="single" w:sz="4" w:space="0" w:color="95B3D7"/>
              <w:right w:val="single" w:sz="4" w:space="0" w:color="FFFFFF"/>
            </w:tcBorders>
            <w:shd w:val="clear" w:color="4F81BD" w:fill="FFFFFF"/>
            <w:hideMark/>
          </w:tcPr>
          <w:p w14:paraId="71B25D1C"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w:t>
            </w:r>
          </w:p>
        </w:tc>
        <w:tc>
          <w:tcPr>
            <w:tcW w:w="926" w:type="dxa"/>
            <w:tcBorders>
              <w:top w:val="nil"/>
              <w:left w:val="nil"/>
              <w:bottom w:val="single" w:sz="4" w:space="0" w:color="95B3D7"/>
              <w:right w:val="single" w:sz="4" w:space="0" w:color="FFFFFF"/>
            </w:tcBorders>
            <w:shd w:val="clear" w:color="auto" w:fill="auto"/>
            <w:hideMark/>
          </w:tcPr>
          <w:p w14:paraId="62AAEA5D"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37,62%</w:t>
            </w:r>
          </w:p>
        </w:tc>
        <w:tc>
          <w:tcPr>
            <w:tcW w:w="926" w:type="dxa"/>
            <w:tcBorders>
              <w:top w:val="nil"/>
              <w:left w:val="nil"/>
              <w:bottom w:val="single" w:sz="4" w:space="0" w:color="95B3D7"/>
              <w:right w:val="single" w:sz="4" w:space="0" w:color="FFFFFF"/>
            </w:tcBorders>
            <w:shd w:val="clear" w:color="auto" w:fill="auto"/>
            <w:hideMark/>
          </w:tcPr>
          <w:p w14:paraId="51EDE0E7"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43,81%</w:t>
            </w:r>
          </w:p>
        </w:tc>
        <w:tc>
          <w:tcPr>
            <w:tcW w:w="927" w:type="dxa"/>
            <w:tcBorders>
              <w:top w:val="nil"/>
              <w:left w:val="nil"/>
              <w:bottom w:val="single" w:sz="4" w:space="0" w:color="95B3D7"/>
              <w:right w:val="single" w:sz="4" w:space="0" w:color="FFFFFF"/>
            </w:tcBorders>
            <w:shd w:val="clear" w:color="auto" w:fill="auto"/>
            <w:hideMark/>
          </w:tcPr>
          <w:p w14:paraId="2DD9E612"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40,37%</w:t>
            </w:r>
          </w:p>
        </w:tc>
        <w:tc>
          <w:tcPr>
            <w:tcW w:w="946" w:type="dxa"/>
            <w:tcBorders>
              <w:top w:val="nil"/>
              <w:left w:val="nil"/>
              <w:bottom w:val="single" w:sz="4" w:space="0" w:color="95B3D7"/>
              <w:right w:val="single" w:sz="4" w:space="0" w:color="FFFFFF"/>
            </w:tcBorders>
            <w:shd w:val="clear" w:color="auto" w:fill="auto"/>
            <w:hideMark/>
          </w:tcPr>
          <w:p w14:paraId="1B5C0673" w14:textId="77777777" w:rsidR="00FD2CCB" w:rsidRPr="00FD2CCB" w:rsidRDefault="00FD2CCB" w:rsidP="00FD2CCB">
            <w:pPr>
              <w:spacing w:before="0" w:after="0" w:line="240" w:lineRule="auto"/>
              <w:jc w:val="right"/>
              <w:rPr>
                <w:rFonts w:ascii="Calibri Light" w:eastAsia="Times New Roman" w:hAnsi="Calibri Light" w:cs="Calibri Light"/>
                <w:sz w:val="16"/>
                <w:szCs w:val="16"/>
                <w:lang w:val="en-US"/>
              </w:rPr>
            </w:pPr>
            <w:r w:rsidRPr="00FD2CCB">
              <w:rPr>
                <w:rFonts w:ascii="Calibri Light" w:eastAsia="Times New Roman" w:hAnsi="Calibri Light" w:cs="Calibri Light"/>
                <w:sz w:val="16"/>
                <w:szCs w:val="16"/>
                <w:lang w:val="en-US"/>
              </w:rPr>
              <w:t>-3,45%</w:t>
            </w:r>
          </w:p>
        </w:tc>
      </w:tr>
    </w:tbl>
    <w:p w14:paraId="4ED3D91E" w14:textId="77777777" w:rsidR="00FD2CCB" w:rsidRDefault="00FD2CCB" w:rsidP="00CE797E">
      <w:pPr>
        <w:spacing w:before="0" w:after="0"/>
        <w:contextualSpacing/>
        <w:jc w:val="both"/>
        <w:rPr>
          <w:rFonts w:asciiTheme="majorHAnsi" w:hAnsiTheme="majorHAnsi" w:cstheme="majorHAnsi"/>
        </w:rPr>
      </w:pPr>
      <w:r>
        <w:rPr>
          <w:rFonts w:asciiTheme="majorHAnsi" w:hAnsiTheme="majorHAnsi" w:cstheme="majorHAnsi"/>
          <w:noProof/>
          <w:lang w:val="en-US"/>
        </w:rPr>
        <w:drawing>
          <wp:inline distT="0" distB="0" distL="0" distR="0" wp14:anchorId="32D49E35" wp14:editId="21C6184B">
            <wp:extent cx="2847340" cy="2853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340" cy="2853055"/>
                    </a:xfrm>
                    <a:prstGeom prst="rect">
                      <a:avLst/>
                    </a:prstGeom>
                    <a:noFill/>
                  </pic:spPr>
                </pic:pic>
              </a:graphicData>
            </a:graphic>
          </wp:inline>
        </w:drawing>
      </w:r>
      <w:r>
        <w:rPr>
          <w:rFonts w:asciiTheme="majorHAnsi" w:hAnsiTheme="majorHAnsi" w:cstheme="majorHAnsi"/>
          <w:noProof/>
          <w:lang w:val="en-US"/>
        </w:rPr>
        <w:drawing>
          <wp:inline distT="0" distB="0" distL="0" distR="0" wp14:anchorId="479EC233" wp14:editId="308CE6E9">
            <wp:extent cx="2847340" cy="2853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340" cy="2853055"/>
                    </a:xfrm>
                    <a:prstGeom prst="rect">
                      <a:avLst/>
                    </a:prstGeom>
                    <a:noFill/>
                  </pic:spPr>
                </pic:pic>
              </a:graphicData>
            </a:graphic>
          </wp:inline>
        </w:drawing>
      </w:r>
    </w:p>
    <w:p w14:paraId="303D318F" w14:textId="77777777" w:rsidR="006A0E1B" w:rsidRPr="007F7058" w:rsidRDefault="006A0E1B" w:rsidP="006A0E1B">
      <w:pPr>
        <w:jc w:val="both"/>
        <w:rPr>
          <w:rFonts w:ascii="Calibri Light" w:hAnsi="Calibri Light" w:cs="Arial"/>
        </w:rPr>
      </w:pPr>
      <w:r w:rsidRPr="007F7058">
        <w:rPr>
          <w:rFonts w:ascii="Calibri Light" w:hAnsi="Calibri Light" w:cs="Arial"/>
        </w:rPr>
        <w:t>Cifra de afaceri net</w:t>
      </w:r>
      <w:r w:rsidR="00E91195">
        <w:rPr>
          <w:rFonts w:ascii="Calibri Light" w:hAnsi="Calibri Light" w:cs="Arial"/>
        </w:rPr>
        <w:t>ă</w:t>
      </w:r>
      <w:r w:rsidRPr="007F7058">
        <w:rPr>
          <w:rFonts w:ascii="Calibri Light" w:hAnsi="Calibri Light" w:cs="Arial"/>
        </w:rPr>
        <w:t xml:space="preserve"> la nivelul ÎPL a crescut în anul 2020 faț</w:t>
      </w:r>
      <w:r w:rsidR="00E91195">
        <w:rPr>
          <w:rFonts w:ascii="Calibri Light" w:hAnsi="Calibri Light" w:cs="Arial"/>
        </w:rPr>
        <w:t>ă</w:t>
      </w:r>
      <w:r w:rsidRPr="007F7058">
        <w:rPr>
          <w:rFonts w:ascii="Calibri Light" w:hAnsi="Calibri Light" w:cs="Arial"/>
        </w:rPr>
        <w:t xml:space="preserve"> de 2019 determinând scăderea indicatorilor de rentabilitate a capitalului angajat și a ratei rentabilit</w:t>
      </w:r>
      <w:r w:rsidR="00E91195">
        <w:rPr>
          <w:rFonts w:ascii="Calibri Light" w:hAnsi="Calibri Light" w:cs="Arial"/>
        </w:rPr>
        <w:t>ă</w:t>
      </w:r>
      <w:r w:rsidRPr="007F7058">
        <w:rPr>
          <w:rFonts w:ascii="Calibri Light" w:hAnsi="Calibri Light" w:cs="Arial"/>
        </w:rPr>
        <w:t xml:space="preserve">ții capitalului determinate pe baza capitalului propriu cu circa </w:t>
      </w:r>
      <w:r w:rsidR="007F7058" w:rsidRPr="007F7058">
        <w:rPr>
          <w:rFonts w:ascii="Calibri Light" w:hAnsi="Calibri Light" w:cs="Arial"/>
        </w:rPr>
        <w:t>0</w:t>
      </w:r>
      <w:r w:rsidRPr="007F7058">
        <w:rPr>
          <w:rFonts w:ascii="Calibri Light" w:hAnsi="Calibri Light" w:cs="Arial"/>
        </w:rPr>
        <w:t>,</w:t>
      </w:r>
      <w:r w:rsidR="007F7058" w:rsidRPr="007F7058">
        <w:rPr>
          <w:rFonts w:ascii="Calibri Light" w:hAnsi="Calibri Light" w:cs="Arial"/>
        </w:rPr>
        <w:t>94</w:t>
      </w:r>
      <w:r w:rsidRPr="007F7058">
        <w:rPr>
          <w:rFonts w:ascii="Calibri Light" w:hAnsi="Calibri Light" w:cs="Arial"/>
        </w:rPr>
        <w:t xml:space="preserve"> pân</w:t>
      </w:r>
      <w:r w:rsidR="00E91195">
        <w:rPr>
          <w:rFonts w:ascii="Calibri Light" w:hAnsi="Calibri Light" w:cs="Arial"/>
        </w:rPr>
        <w:t>ă</w:t>
      </w:r>
      <w:r w:rsidRPr="007F7058">
        <w:rPr>
          <w:rFonts w:ascii="Calibri Light" w:hAnsi="Calibri Light" w:cs="Arial"/>
        </w:rPr>
        <w:t xml:space="preserve"> la </w:t>
      </w:r>
      <w:r w:rsidR="007F7058" w:rsidRPr="007F7058">
        <w:rPr>
          <w:rFonts w:ascii="Calibri Light" w:hAnsi="Calibri Light" w:cs="Arial"/>
        </w:rPr>
        <w:t>1</w:t>
      </w:r>
      <w:r w:rsidRPr="007F7058">
        <w:rPr>
          <w:rFonts w:ascii="Calibri Light" w:hAnsi="Calibri Light" w:cs="Arial"/>
        </w:rPr>
        <w:t>,</w:t>
      </w:r>
      <w:r w:rsidR="007F7058" w:rsidRPr="007F7058">
        <w:rPr>
          <w:rFonts w:ascii="Calibri Light" w:hAnsi="Calibri Light" w:cs="Arial"/>
        </w:rPr>
        <w:t>5</w:t>
      </w:r>
      <w:r w:rsidRPr="007F7058">
        <w:rPr>
          <w:rFonts w:ascii="Calibri Light" w:hAnsi="Calibri Light" w:cs="Arial"/>
        </w:rPr>
        <w:t>9 puncte procentuale. Indicatorii privind ratele profitului brut și a rezultatului brut au sc</w:t>
      </w:r>
      <w:r w:rsidR="00E91195">
        <w:rPr>
          <w:rFonts w:ascii="Calibri Light" w:hAnsi="Calibri Light" w:cs="Arial"/>
        </w:rPr>
        <w:t>ă</w:t>
      </w:r>
      <w:r w:rsidRPr="007F7058">
        <w:rPr>
          <w:rFonts w:ascii="Calibri Light" w:hAnsi="Calibri Light" w:cs="Arial"/>
        </w:rPr>
        <w:t xml:space="preserve">zut deterimate de </w:t>
      </w:r>
      <w:r w:rsidR="007F7058" w:rsidRPr="007F7058">
        <w:rPr>
          <w:rFonts w:ascii="Calibri Light" w:hAnsi="Calibri Light" w:cs="Arial"/>
        </w:rPr>
        <w:t>crește</w:t>
      </w:r>
      <w:r w:rsidRPr="007F7058">
        <w:rPr>
          <w:rFonts w:ascii="Calibri Light" w:hAnsi="Calibri Light" w:cs="Arial"/>
        </w:rPr>
        <w:t>rea cifrei de afaceri într-un ritm mai mare decât a profitului în anul 2020 raportat la anul 2019.</w:t>
      </w:r>
    </w:p>
    <w:p w14:paraId="36A316BD" w14:textId="77777777" w:rsidR="006A0E1B" w:rsidRPr="007F7058" w:rsidRDefault="006A0E1B" w:rsidP="006A0E1B">
      <w:pPr>
        <w:jc w:val="both"/>
        <w:rPr>
          <w:rFonts w:ascii="Calibri Light" w:hAnsi="Calibri Light" w:cs="Arial"/>
        </w:rPr>
      </w:pPr>
      <w:r w:rsidRPr="007F7058">
        <w:rPr>
          <w:rFonts w:ascii="Calibri Light" w:hAnsi="Calibri Light" w:cs="Arial"/>
        </w:rPr>
        <w:t>În ceea ce privește indicatorii de lichiditate se constat</w:t>
      </w:r>
      <w:r w:rsidR="00E91195">
        <w:rPr>
          <w:rFonts w:ascii="Calibri Light" w:hAnsi="Calibri Light" w:cs="Arial"/>
        </w:rPr>
        <w:t>ă</w:t>
      </w:r>
      <w:r w:rsidRPr="007F7058">
        <w:rPr>
          <w:rFonts w:ascii="Calibri Light" w:hAnsi="Calibri Light" w:cs="Arial"/>
        </w:rPr>
        <w:t xml:space="preserve"> c</w:t>
      </w:r>
      <w:r w:rsidR="00E91195">
        <w:rPr>
          <w:rFonts w:ascii="Calibri Light" w:hAnsi="Calibri Light" w:cs="Arial"/>
        </w:rPr>
        <w:t>ă</w:t>
      </w:r>
      <w:r w:rsidRPr="007F7058">
        <w:rPr>
          <w:rFonts w:ascii="Calibri Light" w:hAnsi="Calibri Light" w:cs="Arial"/>
        </w:rPr>
        <w:t xml:space="preserve"> ÎPL își mențin indicatorii de lichiditate, atât de lichiditate curent</w:t>
      </w:r>
      <w:r w:rsidR="00E91195">
        <w:rPr>
          <w:rFonts w:ascii="Calibri Light" w:hAnsi="Calibri Light" w:cs="Arial"/>
        </w:rPr>
        <w:t>ă</w:t>
      </w:r>
      <w:r w:rsidRPr="007F7058">
        <w:rPr>
          <w:rFonts w:ascii="Calibri Light" w:hAnsi="Calibri Light" w:cs="Arial"/>
        </w:rPr>
        <w:t xml:space="preserve"> cât și lichiditate imediat</w:t>
      </w:r>
      <w:r w:rsidR="00E91195">
        <w:rPr>
          <w:rFonts w:ascii="Calibri Light" w:hAnsi="Calibri Light" w:cs="Arial"/>
        </w:rPr>
        <w:t>ă</w:t>
      </w:r>
      <w:r w:rsidRPr="007F7058">
        <w:rPr>
          <w:rFonts w:ascii="Calibri Light" w:hAnsi="Calibri Light" w:cs="Arial"/>
        </w:rPr>
        <w:t xml:space="preserve"> la un nivel ridicat (peste 200%) situându-se la un nivel potrivit în aceast</w:t>
      </w:r>
      <w:r w:rsidR="00E91195">
        <w:rPr>
          <w:rFonts w:ascii="Calibri Light" w:hAnsi="Calibri Light" w:cs="Arial"/>
        </w:rPr>
        <w:t>ă</w:t>
      </w:r>
      <w:r w:rsidRPr="007F7058">
        <w:rPr>
          <w:rFonts w:ascii="Calibri Light" w:hAnsi="Calibri Light" w:cs="Arial"/>
        </w:rPr>
        <w:t xml:space="preserve"> proporție, întrucât asigur</w:t>
      </w:r>
      <w:r w:rsidR="00E91195">
        <w:rPr>
          <w:rFonts w:ascii="Calibri Light" w:hAnsi="Calibri Light" w:cs="Arial"/>
        </w:rPr>
        <w:t>ă</w:t>
      </w:r>
      <w:r w:rsidRPr="007F7058">
        <w:rPr>
          <w:rFonts w:ascii="Calibri Light" w:hAnsi="Calibri Light" w:cs="Arial"/>
        </w:rPr>
        <w:t xml:space="preserve"> acoperirea tuturor datoriilor curente prin rotația activelor circulante. Deși acești indicatori s-au redus în anul 2020 faț</w:t>
      </w:r>
      <w:r w:rsidR="00E91195">
        <w:rPr>
          <w:rFonts w:ascii="Calibri Light" w:hAnsi="Calibri Light" w:cs="Arial"/>
        </w:rPr>
        <w:t>ă</w:t>
      </w:r>
      <w:r w:rsidRPr="007F7058">
        <w:rPr>
          <w:rFonts w:ascii="Calibri Light" w:hAnsi="Calibri Light" w:cs="Arial"/>
        </w:rPr>
        <w:t xml:space="preserve"> de anul 2019 cu 9,</w:t>
      </w:r>
      <w:r w:rsidR="007F7058" w:rsidRPr="007F7058">
        <w:rPr>
          <w:rFonts w:ascii="Calibri Light" w:hAnsi="Calibri Light" w:cs="Arial"/>
        </w:rPr>
        <w:t>18</w:t>
      </w:r>
      <w:r w:rsidRPr="007F7058">
        <w:rPr>
          <w:rFonts w:ascii="Calibri Light" w:hAnsi="Calibri Light" w:cs="Arial"/>
        </w:rPr>
        <w:t>% în cazul lichidit</w:t>
      </w:r>
      <w:r w:rsidR="00E91195">
        <w:rPr>
          <w:rFonts w:ascii="Calibri Light" w:hAnsi="Calibri Light" w:cs="Arial"/>
        </w:rPr>
        <w:t>ă</w:t>
      </w:r>
      <w:r w:rsidRPr="007F7058">
        <w:rPr>
          <w:rFonts w:ascii="Calibri Light" w:hAnsi="Calibri Light" w:cs="Arial"/>
        </w:rPr>
        <w:t>ții curente și cu 9,0</w:t>
      </w:r>
      <w:r w:rsidR="007F7058" w:rsidRPr="007F7058">
        <w:rPr>
          <w:rFonts w:ascii="Calibri Light" w:hAnsi="Calibri Light" w:cs="Arial"/>
        </w:rPr>
        <w:t>8</w:t>
      </w:r>
      <w:r w:rsidRPr="007F7058">
        <w:rPr>
          <w:rFonts w:ascii="Calibri Light" w:hAnsi="Calibri Light" w:cs="Arial"/>
        </w:rPr>
        <w:t>% în cazul lichidit</w:t>
      </w:r>
      <w:r w:rsidR="00E91195">
        <w:rPr>
          <w:rFonts w:ascii="Calibri Light" w:hAnsi="Calibri Light" w:cs="Arial"/>
        </w:rPr>
        <w:t>ă</w:t>
      </w:r>
      <w:r w:rsidRPr="007F7058">
        <w:rPr>
          <w:rFonts w:ascii="Calibri Light" w:hAnsi="Calibri Light" w:cs="Arial"/>
        </w:rPr>
        <w:t>ții imediate, acest fapt poate semnala c</w:t>
      </w:r>
      <w:r w:rsidR="00E91195">
        <w:rPr>
          <w:rFonts w:ascii="Calibri Light" w:hAnsi="Calibri Light" w:cs="Arial"/>
        </w:rPr>
        <w:t>ă</w:t>
      </w:r>
      <w:r w:rsidRPr="007F7058">
        <w:rPr>
          <w:rFonts w:ascii="Calibri Light" w:hAnsi="Calibri Light" w:cs="Arial"/>
        </w:rPr>
        <w:t xml:space="preserve"> stocurile nu sunt supradimensionate iar nivelul numerarului este potrivit.</w:t>
      </w:r>
    </w:p>
    <w:p w14:paraId="29AC17B2" w14:textId="77777777" w:rsidR="006A0E1B" w:rsidRPr="007F7058" w:rsidRDefault="006A0E1B" w:rsidP="006A0E1B">
      <w:pPr>
        <w:jc w:val="both"/>
        <w:rPr>
          <w:rFonts w:ascii="Calibri Light" w:hAnsi="Calibri Light" w:cs="Arial"/>
        </w:rPr>
      </w:pPr>
      <w:r w:rsidRPr="007F7058">
        <w:rPr>
          <w:rFonts w:ascii="Calibri Light" w:hAnsi="Calibri Light" w:cs="Arial"/>
        </w:rPr>
        <w:t>Rata de acoperire a dobânzilor se situeaz</w:t>
      </w:r>
      <w:r w:rsidR="00E91195">
        <w:rPr>
          <w:rFonts w:ascii="Calibri Light" w:hAnsi="Calibri Light" w:cs="Arial"/>
        </w:rPr>
        <w:t>ă</w:t>
      </w:r>
      <w:r w:rsidRPr="007F7058">
        <w:rPr>
          <w:rFonts w:ascii="Calibri Light" w:hAnsi="Calibri Light" w:cs="Arial"/>
        </w:rPr>
        <w:t xml:space="preserve"> înc</w:t>
      </w:r>
      <w:r w:rsidR="00E91195">
        <w:rPr>
          <w:rFonts w:ascii="Calibri Light" w:hAnsi="Calibri Light" w:cs="Arial"/>
        </w:rPr>
        <w:t>ă</w:t>
      </w:r>
      <w:r w:rsidRPr="007F7058">
        <w:rPr>
          <w:rFonts w:ascii="Calibri Light" w:hAnsi="Calibri Light" w:cs="Arial"/>
        </w:rPr>
        <w:t xml:space="preserve"> la un nivel sc</w:t>
      </w:r>
      <w:r w:rsidR="007F7058" w:rsidRPr="007F7058">
        <w:rPr>
          <w:rFonts w:ascii="Calibri Light" w:hAnsi="Calibri Light" w:cs="Arial"/>
        </w:rPr>
        <w:t>ă</w:t>
      </w:r>
      <w:r w:rsidRPr="007F7058">
        <w:rPr>
          <w:rFonts w:ascii="Calibri Light" w:hAnsi="Calibri Light" w:cs="Arial"/>
        </w:rPr>
        <w:t xml:space="preserve">zut </w:t>
      </w:r>
      <w:r w:rsidR="007F7058" w:rsidRPr="007F7058">
        <w:rPr>
          <w:rFonts w:ascii="Calibri Light" w:hAnsi="Calibri Light" w:cs="Arial"/>
        </w:rPr>
        <w:t>453</w:t>
      </w:r>
      <w:r w:rsidRPr="007F7058">
        <w:rPr>
          <w:rFonts w:ascii="Calibri Light" w:hAnsi="Calibri Light" w:cs="Arial"/>
        </w:rPr>
        <w:t>,</w:t>
      </w:r>
      <w:r w:rsidR="007F7058" w:rsidRPr="007F7058">
        <w:rPr>
          <w:rFonts w:ascii="Calibri Light" w:hAnsi="Calibri Light" w:cs="Arial"/>
        </w:rPr>
        <w:t>85</w:t>
      </w:r>
      <w:r w:rsidRPr="007F7058">
        <w:rPr>
          <w:rFonts w:ascii="Calibri Light" w:hAnsi="Calibri Light" w:cs="Arial"/>
        </w:rPr>
        <w:t>% confirmând astfel sc</w:t>
      </w:r>
      <w:r w:rsidR="007F7058" w:rsidRPr="007F7058">
        <w:rPr>
          <w:rFonts w:ascii="Calibri Light" w:hAnsi="Calibri Light" w:cs="Arial"/>
        </w:rPr>
        <w:t>ă</w:t>
      </w:r>
      <w:r w:rsidRPr="007F7058">
        <w:rPr>
          <w:rFonts w:ascii="Calibri Light" w:hAnsi="Calibri Light" w:cs="Arial"/>
        </w:rPr>
        <w:t>derea profiturilor și distribuirea de dividende mai mici acționarilor urmare pl</w:t>
      </w:r>
      <w:r w:rsidR="00E91195">
        <w:rPr>
          <w:rFonts w:ascii="Calibri Light" w:hAnsi="Calibri Light" w:cs="Arial"/>
        </w:rPr>
        <w:t>ă</w:t>
      </w:r>
      <w:r w:rsidRPr="007F7058">
        <w:rPr>
          <w:rFonts w:ascii="Calibri Light" w:hAnsi="Calibri Light" w:cs="Arial"/>
        </w:rPr>
        <w:t>ții dobânzilor anuale. Gradul de îndatorare a crescut de la 2</w:t>
      </w:r>
      <w:r w:rsidR="007F7058" w:rsidRPr="007F7058">
        <w:rPr>
          <w:rFonts w:ascii="Calibri Light" w:hAnsi="Calibri Light" w:cs="Arial"/>
        </w:rPr>
        <w:t>4</w:t>
      </w:r>
      <w:r w:rsidRPr="007F7058">
        <w:rPr>
          <w:rFonts w:ascii="Calibri Light" w:hAnsi="Calibri Light" w:cs="Arial"/>
        </w:rPr>
        <w:t>,</w:t>
      </w:r>
      <w:r w:rsidR="007F7058" w:rsidRPr="007F7058">
        <w:rPr>
          <w:rFonts w:ascii="Calibri Light" w:hAnsi="Calibri Light" w:cs="Arial"/>
        </w:rPr>
        <w:t>32</w:t>
      </w:r>
      <w:r w:rsidRPr="007F7058">
        <w:rPr>
          <w:rFonts w:ascii="Calibri Light" w:hAnsi="Calibri Light" w:cs="Arial"/>
        </w:rPr>
        <w:t>% în 2019 la 2</w:t>
      </w:r>
      <w:r w:rsidR="007F7058" w:rsidRPr="007F7058">
        <w:rPr>
          <w:rFonts w:ascii="Calibri Light" w:hAnsi="Calibri Light" w:cs="Arial"/>
        </w:rPr>
        <w:t>5</w:t>
      </w:r>
      <w:r w:rsidRPr="007F7058">
        <w:rPr>
          <w:rFonts w:ascii="Calibri Light" w:hAnsi="Calibri Light" w:cs="Arial"/>
        </w:rPr>
        <w:t>,</w:t>
      </w:r>
      <w:r w:rsidR="007F7058" w:rsidRPr="007F7058">
        <w:rPr>
          <w:rFonts w:ascii="Calibri Light" w:hAnsi="Calibri Light" w:cs="Arial"/>
        </w:rPr>
        <w:t>28</w:t>
      </w:r>
      <w:r w:rsidRPr="007F7058">
        <w:rPr>
          <w:rFonts w:ascii="Calibri Light" w:hAnsi="Calibri Light" w:cs="Arial"/>
        </w:rPr>
        <w:t>% în 2020 și se menține la un nivel bun. Deși în anul 2020 ÎPL au apelat la împrumuturi mai mari cu toate acestea nivelul gradului de îndatorare este mic fapt care poate evidenția o reținere a ÎPL în apelarea la împrumuturi.</w:t>
      </w:r>
    </w:p>
    <w:p w14:paraId="4A15C2A2" w14:textId="77777777" w:rsidR="006A0E1B" w:rsidRPr="007F7058" w:rsidRDefault="006A0E1B" w:rsidP="006A0E1B">
      <w:pPr>
        <w:jc w:val="both"/>
        <w:rPr>
          <w:rFonts w:ascii="Calibri Light" w:hAnsi="Calibri Light" w:cs="Arial"/>
        </w:rPr>
      </w:pPr>
      <w:r w:rsidRPr="007F7058">
        <w:rPr>
          <w:rFonts w:ascii="Calibri Light" w:hAnsi="Calibri Light" w:cs="Arial"/>
        </w:rPr>
        <w:t>Viteza de rotație a activelor imobilizate și cea a activelor totale înregistreaz</w:t>
      </w:r>
      <w:r w:rsidR="00E91195">
        <w:rPr>
          <w:rFonts w:ascii="Calibri Light" w:hAnsi="Calibri Light" w:cs="Arial"/>
        </w:rPr>
        <w:t>ă</w:t>
      </w:r>
      <w:r w:rsidRPr="007F7058">
        <w:rPr>
          <w:rFonts w:ascii="Calibri Light" w:hAnsi="Calibri Light" w:cs="Arial"/>
        </w:rPr>
        <w:t xml:space="preserve"> o </w:t>
      </w:r>
      <w:r w:rsidR="007F7058" w:rsidRPr="007F7058">
        <w:rPr>
          <w:rFonts w:ascii="Calibri Light" w:hAnsi="Calibri Light" w:cs="Arial"/>
        </w:rPr>
        <w:t>scăde</w:t>
      </w:r>
      <w:r w:rsidRPr="007F7058">
        <w:rPr>
          <w:rFonts w:ascii="Calibri Light" w:hAnsi="Calibri Light" w:cs="Arial"/>
        </w:rPr>
        <w:t>re în 2020 fapt care confirm</w:t>
      </w:r>
      <w:r w:rsidR="00E91195">
        <w:rPr>
          <w:rFonts w:ascii="Calibri Light" w:hAnsi="Calibri Light" w:cs="Arial"/>
        </w:rPr>
        <w:t>ă</w:t>
      </w:r>
      <w:r w:rsidRPr="007F7058">
        <w:rPr>
          <w:rFonts w:ascii="Calibri Light" w:hAnsi="Calibri Light" w:cs="Arial"/>
        </w:rPr>
        <w:t xml:space="preserve"> creșterea eficienței în administrarea activelor la nivelul ÎPL.</w:t>
      </w:r>
    </w:p>
    <w:p w14:paraId="3FD898D1" w14:textId="77777777" w:rsidR="00642BB3" w:rsidRDefault="00642BB3" w:rsidP="00F83DE8">
      <w:pPr>
        <w:jc w:val="both"/>
        <w:rPr>
          <w:rFonts w:ascii="Calibri Light" w:hAnsi="Calibri Light" w:cs="Arial"/>
        </w:rPr>
      </w:pPr>
    </w:p>
    <w:p w14:paraId="736B6D34" w14:textId="77777777" w:rsidR="00642BB3" w:rsidRPr="00D95C57" w:rsidRDefault="00642BB3" w:rsidP="00F83DE8">
      <w:pPr>
        <w:jc w:val="both"/>
        <w:rPr>
          <w:rFonts w:ascii="Calibri Light" w:hAnsi="Calibri Light" w:cs="Arial"/>
        </w:rPr>
      </w:pPr>
    </w:p>
    <w:p w14:paraId="7B495794" w14:textId="77777777" w:rsidR="00F83DE8" w:rsidRPr="00522CC8" w:rsidRDefault="00BC6288" w:rsidP="00F83DE8">
      <w:pPr>
        <w:pStyle w:val="ListParagraph"/>
        <w:ind w:left="0" w:right="-286"/>
        <w:jc w:val="both"/>
        <w:outlineLvl w:val="2"/>
        <w:rPr>
          <w:rFonts w:asciiTheme="majorHAnsi" w:hAnsiTheme="majorHAnsi"/>
          <w:b/>
          <w:bCs/>
          <w:color w:val="0F6FC6" w:themeColor="accent1"/>
          <w:sz w:val="28"/>
          <w:szCs w:val="28"/>
        </w:rPr>
      </w:pPr>
      <w:bookmarkStart w:id="109" w:name="_Toc519186410"/>
      <w:bookmarkStart w:id="110" w:name="_Toc87875965"/>
      <w:r>
        <w:rPr>
          <w:rFonts w:asciiTheme="majorHAnsi" w:hAnsiTheme="majorHAnsi"/>
          <w:b/>
          <w:bCs/>
          <w:color w:val="0F6FC6" w:themeColor="accent1"/>
          <w:sz w:val="28"/>
          <w:szCs w:val="28"/>
        </w:rPr>
        <w:t>3</w:t>
      </w:r>
      <w:r w:rsidR="00F83DE8" w:rsidRPr="00522CC8">
        <w:rPr>
          <w:rFonts w:asciiTheme="majorHAnsi" w:hAnsiTheme="majorHAnsi"/>
          <w:b/>
          <w:bCs/>
          <w:color w:val="0F6FC6" w:themeColor="accent1"/>
          <w:sz w:val="28"/>
          <w:szCs w:val="28"/>
        </w:rPr>
        <w:t>.2 – Situația principalilor indicatori economico-financiari ai întreprinderilor publice locale active grupați pe sectoare de activitate</w:t>
      </w:r>
      <w:bookmarkEnd w:id="109"/>
      <w:bookmarkEnd w:id="110"/>
    </w:p>
    <w:p w14:paraId="47B1B3FD" w14:textId="77777777" w:rsidR="00F83DE8" w:rsidRDefault="00F83DE8" w:rsidP="00F83DE8">
      <w:pPr>
        <w:pStyle w:val="ListParagraph"/>
        <w:ind w:left="0" w:right="-286"/>
        <w:jc w:val="both"/>
        <w:rPr>
          <w:rFonts w:asciiTheme="majorHAnsi" w:hAnsiTheme="majorHAnsi"/>
          <w:noProof/>
          <w:lang w:val="en-US"/>
        </w:rPr>
      </w:pPr>
    </w:p>
    <w:p w14:paraId="0752C80E" w14:textId="77777777" w:rsidR="00A92CC2" w:rsidRDefault="00A92CC2" w:rsidP="00F83DE8">
      <w:pPr>
        <w:pStyle w:val="ListParagraph"/>
        <w:ind w:left="0" w:right="-286"/>
        <w:jc w:val="both"/>
        <w:rPr>
          <w:rFonts w:asciiTheme="majorHAnsi" w:hAnsiTheme="majorHAnsi"/>
          <w:noProof/>
          <w:lang w:val="en-US"/>
        </w:rPr>
      </w:pPr>
      <w:r w:rsidRPr="00A92CC2">
        <w:rPr>
          <w:rFonts w:asciiTheme="majorHAnsi" w:hAnsiTheme="majorHAnsi"/>
          <w:noProof/>
          <w:lang w:val="en-US"/>
        </w:rPr>
        <w:t>TABEL –  Situația unor indicatori economico-financiari realizați de cele 1.238 de ÎPL active la 31.12.2020, grupate pe</w:t>
      </w:r>
      <w:r w:rsidR="0000289C">
        <w:rPr>
          <w:rFonts w:asciiTheme="majorHAnsi" w:hAnsiTheme="majorHAnsi"/>
          <w:noProof/>
          <w:lang w:val="en-US"/>
        </w:rPr>
        <w:t xml:space="preserve"> </w:t>
      </w:r>
      <w:r w:rsidRPr="00A92CC2">
        <w:rPr>
          <w:rFonts w:asciiTheme="majorHAnsi" w:hAnsiTheme="majorHAnsi"/>
          <w:noProof/>
          <w:lang w:val="en-US"/>
        </w:rPr>
        <w:t>principalele activități desfășurate de acestea și ordonate descrescător după cifra de afaceri netă</w:t>
      </w:r>
    </w:p>
    <w:tbl>
      <w:tblPr>
        <w:tblW w:w="9195" w:type="dxa"/>
        <w:tblInd w:w="93" w:type="dxa"/>
        <w:tblLayout w:type="fixed"/>
        <w:tblLook w:val="04A0" w:firstRow="1" w:lastRow="0" w:firstColumn="1" w:lastColumn="0" w:noHBand="0" w:noVBand="1"/>
      </w:tblPr>
      <w:tblGrid>
        <w:gridCol w:w="465"/>
        <w:gridCol w:w="1980"/>
        <w:gridCol w:w="581"/>
        <w:gridCol w:w="946"/>
        <w:gridCol w:w="780"/>
        <w:gridCol w:w="843"/>
        <w:gridCol w:w="946"/>
        <w:gridCol w:w="865"/>
        <w:gridCol w:w="865"/>
        <w:gridCol w:w="924"/>
      </w:tblGrid>
      <w:tr w:rsidR="00A92CC2" w:rsidRPr="00A92CC2" w14:paraId="7129F1AD" w14:textId="77777777" w:rsidTr="0000289C">
        <w:trPr>
          <w:trHeight w:val="597"/>
        </w:trPr>
        <w:tc>
          <w:tcPr>
            <w:tcW w:w="465" w:type="dxa"/>
            <w:vMerge w:val="restart"/>
            <w:tcBorders>
              <w:top w:val="single" w:sz="4" w:space="0" w:color="9CC2E5"/>
              <w:left w:val="single" w:sz="4" w:space="0" w:color="FFFFFF"/>
              <w:bottom w:val="single" w:sz="4" w:space="0" w:color="9CC2E5"/>
              <w:right w:val="single" w:sz="4" w:space="0" w:color="FFFFFF"/>
            </w:tcBorders>
            <w:shd w:val="clear" w:color="000000" w:fill="FFFFFF"/>
            <w:hideMark/>
          </w:tcPr>
          <w:p w14:paraId="0DD17E15" w14:textId="77777777" w:rsidR="00A92CC2" w:rsidRPr="00A92CC2" w:rsidRDefault="00A92CC2" w:rsidP="00A92CC2">
            <w:pPr>
              <w:spacing w:before="0" w:after="0" w:line="240" w:lineRule="auto"/>
              <w:jc w:val="center"/>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Nr Crt</w:t>
            </w:r>
          </w:p>
        </w:tc>
        <w:tc>
          <w:tcPr>
            <w:tcW w:w="1980" w:type="dxa"/>
            <w:vMerge w:val="restart"/>
            <w:tcBorders>
              <w:top w:val="single" w:sz="4" w:space="0" w:color="9CC2E5"/>
              <w:left w:val="single" w:sz="4" w:space="0" w:color="FFFFFF"/>
              <w:bottom w:val="single" w:sz="4" w:space="0" w:color="9CC2E5"/>
              <w:right w:val="single" w:sz="4" w:space="0" w:color="FFFFFF"/>
            </w:tcBorders>
            <w:shd w:val="clear" w:color="000000" w:fill="FFFFFF"/>
            <w:hideMark/>
          </w:tcPr>
          <w:p w14:paraId="38DE9990" w14:textId="77777777" w:rsidR="00A92CC2" w:rsidRPr="00A92CC2" w:rsidRDefault="00A92CC2" w:rsidP="00A92CC2">
            <w:pPr>
              <w:spacing w:before="0" w:after="0" w:line="240" w:lineRule="auto"/>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Activități în care se încadrează ÎP active conform diviziunii principale a clasificării activităților din economia națională</w:t>
            </w:r>
          </w:p>
        </w:tc>
        <w:tc>
          <w:tcPr>
            <w:tcW w:w="581" w:type="dxa"/>
            <w:tcBorders>
              <w:top w:val="single" w:sz="4" w:space="0" w:color="9CC2E5"/>
              <w:left w:val="nil"/>
              <w:bottom w:val="single" w:sz="4" w:space="0" w:color="9CC2E5"/>
              <w:right w:val="single" w:sz="4" w:space="0" w:color="FFFFFF"/>
            </w:tcBorders>
            <w:shd w:val="clear" w:color="000000" w:fill="FFFFFF"/>
            <w:hideMark/>
          </w:tcPr>
          <w:p w14:paraId="4EB5EA0D"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Nr ÎPL</w:t>
            </w:r>
          </w:p>
        </w:tc>
        <w:tc>
          <w:tcPr>
            <w:tcW w:w="946" w:type="dxa"/>
            <w:tcBorders>
              <w:top w:val="single" w:sz="4" w:space="0" w:color="9CC2E5"/>
              <w:left w:val="nil"/>
              <w:bottom w:val="single" w:sz="4" w:space="0" w:color="9CC2E5"/>
              <w:right w:val="single" w:sz="4" w:space="0" w:color="FFFFFF"/>
            </w:tcBorders>
            <w:shd w:val="clear" w:color="000000" w:fill="FFFFFF"/>
            <w:hideMark/>
          </w:tcPr>
          <w:p w14:paraId="33E0CC2A"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Cifra de afaceri netă</w:t>
            </w:r>
          </w:p>
        </w:tc>
        <w:tc>
          <w:tcPr>
            <w:tcW w:w="780" w:type="dxa"/>
            <w:tcBorders>
              <w:top w:val="single" w:sz="4" w:space="0" w:color="9CC2E5"/>
              <w:left w:val="nil"/>
              <w:bottom w:val="single" w:sz="4" w:space="0" w:color="9CC2E5"/>
              <w:right w:val="single" w:sz="4" w:space="0" w:color="FFFFFF"/>
            </w:tcBorders>
            <w:shd w:val="clear" w:color="000000" w:fill="FFFFFF"/>
            <w:hideMark/>
          </w:tcPr>
          <w:p w14:paraId="5205401F"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Număr efectiv de personal</w:t>
            </w:r>
          </w:p>
        </w:tc>
        <w:tc>
          <w:tcPr>
            <w:tcW w:w="843" w:type="dxa"/>
            <w:tcBorders>
              <w:top w:val="single" w:sz="4" w:space="0" w:color="9CC2E5"/>
              <w:left w:val="nil"/>
              <w:bottom w:val="single" w:sz="4" w:space="0" w:color="9CC2E5"/>
              <w:right w:val="single" w:sz="4" w:space="0" w:color="FFFFFF"/>
            </w:tcBorders>
            <w:shd w:val="clear" w:color="000000" w:fill="FFFFFF"/>
            <w:hideMark/>
          </w:tcPr>
          <w:p w14:paraId="2E79CF70"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Rezultat Brut (EBT)</w:t>
            </w:r>
          </w:p>
        </w:tc>
        <w:tc>
          <w:tcPr>
            <w:tcW w:w="946" w:type="dxa"/>
            <w:tcBorders>
              <w:top w:val="single" w:sz="4" w:space="0" w:color="9CC2E5"/>
              <w:left w:val="nil"/>
              <w:bottom w:val="single" w:sz="4" w:space="0" w:color="9CC2E5"/>
              <w:right w:val="single" w:sz="4" w:space="0" w:color="FFFFFF"/>
            </w:tcBorders>
            <w:shd w:val="clear" w:color="000000" w:fill="FFFFFF"/>
            <w:hideMark/>
          </w:tcPr>
          <w:p w14:paraId="1217BDED"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Total active</w:t>
            </w:r>
          </w:p>
        </w:tc>
        <w:tc>
          <w:tcPr>
            <w:tcW w:w="865" w:type="dxa"/>
            <w:tcBorders>
              <w:top w:val="single" w:sz="4" w:space="0" w:color="9CC2E5"/>
              <w:left w:val="nil"/>
              <w:bottom w:val="single" w:sz="4" w:space="0" w:color="9CC2E5"/>
              <w:right w:val="single" w:sz="4" w:space="0" w:color="FFFFFF"/>
            </w:tcBorders>
            <w:shd w:val="clear" w:color="000000" w:fill="FFFFFF"/>
            <w:hideMark/>
          </w:tcPr>
          <w:p w14:paraId="33DDF674"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Capitaluri proprii</w:t>
            </w:r>
          </w:p>
        </w:tc>
        <w:tc>
          <w:tcPr>
            <w:tcW w:w="865" w:type="dxa"/>
            <w:tcBorders>
              <w:top w:val="single" w:sz="4" w:space="0" w:color="9CC2E5"/>
              <w:left w:val="nil"/>
              <w:bottom w:val="single" w:sz="4" w:space="0" w:color="9CC2E5"/>
              <w:right w:val="single" w:sz="4" w:space="0" w:color="FFFFFF"/>
            </w:tcBorders>
            <w:shd w:val="clear" w:color="000000" w:fill="FFFFFF"/>
            <w:hideMark/>
          </w:tcPr>
          <w:p w14:paraId="6544934F"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Datorii totale</w:t>
            </w:r>
          </w:p>
        </w:tc>
        <w:tc>
          <w:tcPr>
            <w:tcW w:w="924" w:type="dxa"/>
            <w:tcBorders>
              <w:top w:val="single" w:sz="4" w:space="0" w:color="9CC2E5"/>
              <w:left w:val="nil"/>
              <w:bottom w:val="single" w:sz="4" w:space="0" w:color="9CC2E5"/>
              <w:right w:val="single" w:sz="4" w:space="0" w:color="FFFFFF"/>
            </w:tcBorders>
            <w:shd w:val="clear" w:color="000000" w:fill="FFFFFF"/>
            <w:hideMark/>
          </w:tcPr>
          <w:p w14:paraId="12D42F5E"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Plăți restante</w:t>
            </w:r>
          </w:p>
        </w:tc>
      </w:tr>
      <w:tr w:rsidR="00A92CC2" w:rsidRPr="00A92CC2" w14:paraId="7336CD8C" w14:textId="77777777" w:rsidTr="0000289C">
        <w:trPr>
          <w:trHeight w:val="239"/>
        </w:trPr>
        <w:tc>
          <w:tcPr>
            <w:tcW w:w="465" w:type="dxa"/>
            <w:vMerge/>
            <w:tcBorders>
              <w:top w:val="single" w:sz="4" w:space="0" w:color="9CC2E5"/>
              <w:left w:val="single" w:sz="4" w:space="0" w:color="FFFFFF"/>
              <w:bottom w:val="single" w:sz="4" w:space="0" w:color="9CC2E5"/>
              <w:right w:val="single" w:sz="4" w:space="0" w:color="FFFFFF"/>
            </w:tcBorders>
            <w:vAlign w:val="center"/>
            <w:hideMark/>
          </w:tcPr>
          <w:p w14:paraId="71297374" w14:textId="77777777" w:rsidR="00A92CC2" w:rsidRPr="00A92CC2" w:rsidRDefault="00A92CC2" w:rsidP="00A92CC2">
            <w:pPr>
              <w:spacing w:before="0" w:after="0" w:line="240" w:lineRule="auto"/>
              <w:rPr>
                <w:rFonts w:ascii="Calibri" w:eastAsia="Times New Roman" w:hAnsi="Calibri" w:cs="Calibri"/>
                <w:bCs/>
                <w:color w:val="0F6FC6" w:themeColor="accent1"/>
                <w:sz w:val="13"/>
                <w:szCs w:val="13"/>
                <w:lang w:val="en-US"/>
              </w:rPr>
            </w:pPr>
          </w:p>
        </w:tc>
        <w:tc>
          <w:tcPr>
            <w:tcW w:w="1980" w:type="dxa"/>
            <w:vMerge/>
            <w:tcBorders>
              <w:top w:val="single" w:sz="4" w:space="0" w:color="9CC2E5"/>
              <w:left w:val="single" w:sz="4" w:space="0" w:color="FFFFFF"/>
              <w:bottom w:val="single" w:sz="4" w:space="0" w:color="9CC2E5"/>
              <w:right w:val="single" w:sz="4" w:space="0" w:color="FFFFFF"/>
            </w:tcBorders>
            <w:vAlign w:val="center"/>
            <w:hideMark/>
          </w:tcPr>
          <w:p w14:paraId="5E3F21D9" w14:textId="77777777" w:rsidR="00A92CC2" w:rsidRPr="00A92CC2" w:rsidRDefault="00A92CC2" w:rsidP="00A92CC2">
            <w:pPr>
              <w:spacing w:before="0" w:after="0" w:line="240" w:lineRule="auto"/>
              <w:rPr>
                <w:rFonts w:ascii="Calibri" w:eastAsia="Times New Roman" w:hAnsi="Calibri" w:cs="Calibri"/>
                <w:b/>
                <w:bCs/>
                <w:color w:val="0F6FC6" w:themeColor="accent1"/>
                <w:sz w:val="13"/>
                <w:szCs w:val="13"/>
                <w:lang w:val="en-US"/>
              </w:rPr>
            </w:pPr>
          </w:p>
        </w:tc>
        <w:tc>
          <w:tcPr>
            <w:tcW w:w="581" w:type="dxa"/>
            <w:tcBorders>
              <w:top w:val="nil"/>
              <w:left w:val="nil"/>
              <w:bottom w:val="single" w:sz="4" w:space="0" w:color="9CC2E5"/>
              <w:right w:val="single" w:sz="4" w:space="0" w:color="FFFFFF"/>
            </w:tcBorders>
            <w:shd w:val="clear" w:color="000000" w:fill="FFFFFF"/>
            <w:hideMark/>
          </w:tcPr>
          <w:p w14:paraId="370273A6"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1</w:t>
            </w:r>
          </w:p>
        </w:tc>
        <w:tc>
          <w:tcPr>
            <w:tcW w:w="946" w:type="dxa"/>
            <w:tcBorders>
              <w:top w:val="nil"/>
              <w:left w:val="nil"/>
              <w:bottom w:val="single" w:sz="4" w:space="0" w:color="9CC2E5"/>
              <w:right w:val="single" w:sz="4" w:space="0" w:color="FFFFFF"/>
            </w:tcBorders>
            <w:shd w:val="clear" w:color="000000" w:fill="FFFFFF"/>
            <w:hideMark/>
          </w:tcPr>
          <w:p w14:paraId="741B7DC5"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2</w:t>
            </w:r>
          </w:p>
        </w:tc>
        <w:tc>
          <w:tcPr>
            <w:tcW w:w="780" w:type="dxa"/>
            <w:tcBorders>
              <w:top w:val="nil"/>
              <w:left w:val="nil"/>
              <w:bottom w:val="single" w:sz="4" w:space="0" w:color="9CC2E5"/>
              <w:right w:val="single" w:sz="4" w:space="0" w:color="FFFFFF"/>
            </w:tcBorders>
            <w:shd w:val="clear" w:color="000000" w:fill="FFFFFF"/>
            <w:hideMark/>
          </w:tcPr>
          <w:p w14:paraId="5DB4DFEE"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4</w:t>
            </w:r>
          </w:p>
        </w:tc>
        <w:tc>
          <w:tcPr>
            <w:tcW w:w="843" w:type="dxa"/>
            <w:tcBorders>
              <w:top w:val="nil"/>
              <w:left w:val="nil"/>
              <w:bottom w:val="single" w:sz="4" w:space="0" w:color="9CC2E5"/>
              <w:right w:val="single" w:sz="4" w:space="0" w:color="FFFFFF"/>
            </w:tcBorders>
            <w:shd w:val="clear" w:color="000000" w:fill="FFFFFF"/>
            <w:hideMark/>
          </w:tcPr>
          <w:p w14:paraId="7EFFA6EB"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9</w:t>
            </w:r>
          </w:p>
        </w:tc>
        <w:tc>
          <w:tcPr>
            <w:tcW w:w="946" w:type="dxa"/>
            <w:tcBorders>
              <w:top w:val="nil"/>
              <w:left w:val="nil"/>
              <w:bottom w:val="single" w:sz="4" w:space="0" w:color="9CC2E5"/>
              <w:right w:val="single" w:sz="4" w:space="0" w:color="FFFFFF"/>
            </w:tcBorders>
            <w:shd w:val="clear" w:color="000000" w:fill="FFFFFF"/>
            <w:hideMark/>
          </w:tcPr>
          <w:p w14:paraId="30B37012"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4</w:t>
            </w:r>
          </w:p>
        </w:tc>
        <w:tc>
          <w:tcPr>
            <w:tcW w:w="865" w:type="dxa"/>
            <w:tcBorders>
              <w:top w:val="nil"/>
              <w:left w:val="nil"/>
              <w:bottom w:val="single" w:sz="4" w:space="0" w:color="9CC2E5"/>
              <w:right w:val="single" w:sz="4" w:space="0" w:color="FFFFFF"/>
            </w:tcBorders>
            <w:shd w:val="clear" w:color="000000" w:fill="FFFFFF"/>
            <w:hideMark/>
          </w:tcPr>
          <w:p w14:paraId="6EDF2F30"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5</w:t>
            </w:r>
          </w:p>
        </w:tc>
        <w:tc>
          <w:tcPr>
            <w:tcW w:w="865" w:type="dxa"/>
            <w:tcBorders>
              <w:top w:val="nil"/>
              <w:left w:val="nil"/>
              <w:bottom w:val="single" w:sz="4" w:space="0" w:color="9CC2E5"/>
              <w:right w:val="single" w:sz="4" w:space="0" w:color="FFFFFF"/>
            </w:tcBorders>
            <w:shd w:val="clear" w:color="000000" w:fill="FFFFFF"/>
            <w:hideMark/>
          </w:tcPr>
          <w:p w14:paraId="03223DAD"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6</w:t>
            </w:r>
          </w:p>
        </w:tc>
        <w:tc>
          <w:tcPr>
            <w:tcW w:w="924" w:type="dxa"/>
            <w:tcBorders>
              <w:top w:val="nil"/>
              <w:left w:val="nil"/>
              <w:bottom w:val="single" w:sz="4" w:space="0" w:color="9CC2E5"/>
              <w:right w:val="single" w:sz="4" w:space="0" w:color="FFFFFF"/>
            </w:tcBorders>
            <w:shd w:val="clear" w:color="000000" w:fill="FFFFFF"/>
            <w:hideMark/>
          </w:tcPr>
          <w:p w14:paraId="53A4C56D"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7</w:t>
            </w:r>
          </w:p>
        </w:tc>
      </w:tr>
      <w:tr w:rsidR="00A92CC2" w:rsidRPr="00A92CC2" w14:paraId="369006F2" w14:textId="77777777" w:rsidTr="0000289C">
        <w:trPr>
          <w:trHeight w:val="239"/>
        </w:trPr>
        <w:tc>
          <w:tcPr>
            <w:tcW w:w="465" w:type="dxa"/>
            <w:vMerge/>
            <w:tcBorders>
              <w:top w:val="single" w:sz="4" w:space="0" w:color="9CC2E5"/>
              <w:left w:val="single" w:sz="4" w:space="0" w:color="FFFFFF"/>
              <w:bottom w:val="single" w:sz="4" w:space="0" w:color="9CC2E5"/>
              <w:right w:val="single" w:sz="4" w:space="0" w:color="FFFFFF"/>
            </w:tcBorders>
            <w:vAlign w:val="center"/>
            <w:hideMark/>
          </w:tcPr>
          <w:p w14:paraId="18787ABC" w14:textId="77777777" w:rsidR="00A92CC2" w:rsidRPr="00A92CC2" w:rsidRDefault="00A92CC2" w:rsidP="00A92CC2">
            <w:pPr>
              <w:spacing w:before="0" w:after="0" w:line="240" w:lineRule="auto"/>
              <w:rPr>
                <w:rFonts w:ascii="Calibri" w:eastAsia="Times New Roman" w:hAnsi="Calibri" w:cs="Calibri"/>
                <w:bCs/>
                <w:color w:val="0F6FC6" w:themeColor="accent1"/>
                <w:sz w:val="13"/>
                <w:szCs w:val="13"/>
                <w:lang w:val="en-US"/>
              </w:rPr>
            </w:pPr>
          </w:p>
        </w:tc>
        <w:tc>
          <w:tcPr>
            <w:tcW w:w="1980" w:type="dxa"/>
            <w:vMerge/>
            <w:tcBorders>
              <w:top w:val="single" w:sz="4" w:space="0" w:color="9CC2E5"/>
              <w:left w:val="single" w:sz="4" w:space="0" w:color="FFFFFF"/>
              <w:bottom w:val="single" w:sz="4" w:space="0" w:color="9CC2E5"/>
              <w:right w:val="single" w:sz="4" w:space="0" w:color="FFFFFF"/>
            </w:tcBorders>
            <w:vAlign w:val="center"/>
            <w:hideMark/>
          </w:tcPr>
          <w:p w14:paraId="61092FF9" w14:textId="77777777" w:rsidR="00A92CC2" w:rsidRPr="00A92CC2" w:rsidRDefault="00A92CC2" w:rsidP="00A92CC2">
            <w:pPr>
              <w:spacing w:before="0" w:after="0" w:line="240" w:lineRule="auto"/>
              <w:rPr>
                <w:rFonts w:ascii="Calibri" w:eastAsia="Times New Roman" w:hAnsi="Calibri" w:cs="Calibri"/>
                <w:b/>
                <w:bCs/>
                <w:color w:val="0F6FC6" w:themeColor="accent1"/>
                <w:sz w:val="13"/>
                <w:szCs w:val="13"/>
                <w:lang w:val="en-US"/>
              </w:rPr>
            </w:pPr>
          </w:p>
        </w:tc>
        <w:tc>
          <w:tcPr>
            <w:tcW w:w="581" w:type="dxa"/>
            <w:tcBorders>
              <w:top w:val="nil"/>
              <w:left w:val="nil"/>
              <w:bottom w:val="single" w:sz="4" w:space="0" w:color="9CC2E5"/>
              <w:right w:val="single" w:sz="4" w:space="0" w:color="FFFFFF"/>
            </w:tcBorders>
            <w:shd w:val="clear" w:color="000000" w:fill="FFFFFF"/>
            <w:hideMark/>
          </w:tcPr>
          <w:p w14:paraId="38824DB5"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 xml:space="preserve">nr. </w:t>
            </w:r>
          </w:p>
        </w:tc>
        <w:tc>
          <w:tcPr>
            <w:tcW w:w="946" w:type="dxa"/>
            <w:tcBorders>
              <w:top w:val="nil"/>
              <w:left w:val="nil"/>
              <w:bottom w:val="single" w:sz="4" w:space="0" w:color="9CC2E5"/>
              <w:right w:val="single" w:sz="4" w:space="0" w:color="FFFFFF"/>
            </w:tcBorders>
            <w:shd w:val="clear" w:color="000000" w:fill="FFFFFF"/>
            <w:hideMark/>
          </w:tcPr>
          <w:p w14:paraId="79EBE1F5"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mii lei</w:t>
            </w:r>
          </w:p>
        </w:tc>
        <w:tc>
          <w:tcPr>
            <w:tcW w:w="780" w:type="dxa"/>
            <w:tcBorders>
              <w:top w:val="nil"/>
              <w:left w:val="nil"/>
              <w:bottom w:val="single" w:sz="4" w:space="0" w:color="9CC2E5"/>
              <w:right w:val="single" w:sz="4" w:space="0" w:color="FFFFFF"/>
            </w:tcBorders>
            <w:shd w:val="clear" w:color="000000" w:fill="FFFFFF"/>
            <w:hideMark/>
          </w:tcPr>
          <w:p w14:paraId="69485F99"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nr. pers.</w:t>
            </w:r>
          </w:p>
        </w:tc>
        <w:tc>
          <w:tcPr>
            <w:tcW w:w="843" w:type="dxa"/>
            <w:tcBorders>
              <w:top w:val="nil"/>
              <w:left w:val="nil"/>
              <w:bottom w:val="single" w:sz="4" w:space="0" w:color="9CC2E5"/>
              <w:right w:val="single" w:sz="4" w:space="0" w:color="FFFFFF"/>
            </w:tcBorders>
            <w:shd w:val="clear" w:color="000000" w:fill="FFFFFF"/>
            <w:hideMark/>
          </w:tcPr>
          <w:p w14:paraId="18886A7E"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mii lei</w:t>
            </w:r>
          </w:p>
        </w:tc>
        <w:tc>
          <w:tcPr>
            <w:tcW w:w="946" w:type="dxa"/>
            <w:tcBorders>
              <w:top w:val="nil"/>
              <w:left w:val="nil"/>
              <w:bottom w:val="single" w:sz="4" w:space="0" w:color="9CC2E5"/>
              <w:right w:val="single" w:sz="4" w:space="0" w:color="FFFFFF"/>
            </w:tcBorders>
            <w:shd w:val="clear" w:color="000000" w:fill="FFFFFF"/>
            <w:hideMark/>
          </w:tcPr>
          <w:p w14:paraId="446A2B8E"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mii lei</w:t>
            </w:r>
          </w:p>
        </w:tc>
        <w:tc>
          <w:tcPr>
            <w:tcW w:w="865" w:type="dxa"/>
            <w:tcBorders>
              <w:top w:val="nil"/>
              <w:left w:val="nil"/>
              <w:bottom w:val="single" w:sz="4" w:space="0" w:color="9CC2E5"/>
              <w:right w:val="single" w:sz="4" w:space="0" w:color="FFFFFF"/>
            </w:tcBorders>
            <w:shd w:val="clear" w:color="000000" w:fill="FFFFFF"/>
            <w:hideMark/>
          </w:tcPr>
          <w:p w14:paraId="3815C0E0"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mii lei</w:t>
            </w:r>
          </w:p>
        </w:tc>
        <w:tc>
          <w:tcPr>
            <w:tcW w:w="865" w:type="dxa"/>
            <w:tcBorders>
              <w:top w:val="nil"/>
              <w:left w:val="nil"/>
              <w:bottom w:val="single" w:sz="4" w:space="0" w:color="9CC2E5"/>
              <w:right w:val="single" w:sz="4" w:space="0" w:color="FFFFFF"/>
            </w:tcBorders>
            <w:shd w:val="clear" w:color="000000" w:fill="FFFFFF"/>
            <w:hideMark/>
          </w:tcPr>
          <w:p w14:paraId="3595267F"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mii lei</w:t>
            </w:r>
          </w:p>
        </w:tc>
        <w:tc>
          <w:tcPr>
            <w:tcW w:w="924" w:type="dxa"/>
            <w:tcBorders>
              <w:top w:val="nil"/>
              <w:left w:val="nil"/>
              <w:bottom w:val="single" w:sz="4" w:space="0" w:color="9CC2E5"/>
              <w:right w:val="single" w:sz="4" w:space="0" w:color="FFFFFF"/>
            </w:tcBorders>
            <w:shd w:val="clear" w:color="000000" w:fill="FFFFFF"/>
            <w:hideMark/>
          </w:tcPr>
          <w:p w14:paraId="35F296CD" w14:textId="77777777" w:rsidR="00A92CC2" w:rsidRPr="00A92CC2" w:rsidRDefault="00A92CC2" w:rsidP="00A92CC2">
            <w:pPr>
              <w:spacing w:before="0" w:after="0" w:line="240" w:lineRule="auto"/>
              <w:jc w:val="right"/>
              <w:rPr>
                <w:rFonts w:ascii="Calibri" w:eastAsia="Times New Roman" w:hAnsi="Calibri" w:cs="Calibri"/>
                <w:i/>
                <w:iCs/>
                <w:color w:val="0F6FC6" w:themeColor="accent1"/>
                <w:sz w:val="14"/>
                <w:szCs w:val="14"/>
                <w:lang w:val="en-US"/>
              </w:rPr>
            </w:pPr>
            <w:r w:rsidRPr="00A92CC2">
              <w:rPr>
                <w:rFonts w:ascii="Calibri" w:eastAsia="Times New Roman" w:hAnsi="Calibri" w:cs="Calibri"/>
                <w:i/>
                <w:iCs/>
                <w:color w:val="0F6FC6" w:themeColor="accent1"/>
                <w:sz w:val="14"/>
                <w:szCs w:val="14"/>
                <w:lang w:val="en-US"/>
              </w:rPr>
              <w:t>mii lei</w:t>
            </w:r>
          </w:p>
        </w:tc>
      </w:tr>
      <w:tr w:rsidR="00A92CC2" w:rsidRPr="00A92CC2" w14:paraId="3CFDD72E" w14:textId="77777777" w:rsidTr="0000289C">
        <w:trPr>
          <w:trHeight w:val="239"/>
        </w:trPr>
        <w:tc>
          <w:tcPr>
            <w:tcW w:w="465" w:type="dxa"/>
            <w:tcBorders>
              <w:top w:val="nil"/>
              <w:left w:val="single" w:sz="4" w:space="0" w:color="FFFFFF"/>
              <w:bottom w:val="single" w:sz="4" w:space="0" w:color="9CC2E5"/>
              <w:right w:val="single" w:sz="4" w:space="0" w:color="FFFFFF"/>
            </w:tcBorders>
            <w:shd w:val="clear" w:color="auto" w:fill="auto"/>
            <w:noWrap/>
            <w:hideMark/>
          </w:tcPr>
          <w:p w14:paraId="4E674EE6"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1</w:t>
            </w:r>
          </w:p>
        </w:tc>
        <w:tc>
          <w:tcPr>
            <w:tcW w:w="1980" w:type="dxa"/>
            <w:tcBorders>
              <w:top w:val="nil"/>
              <w:left w:val="nil"/>
              <w:bottom w:val="single" w:sz="4" w:space="0" w:color="9CC2E5"/>
              <w:right w:val="single" w:sz="4" w:space="0" w:color="FFFFFF"/>
            </w:tcBorders>
            <w:shd w:val="clear" w:color="auto" w:fill="auto"/>
            <w:hideMark/>
          </w:tcPr>
          <w:p w14:paraId="6C4AB75A"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Captarea, tratarea si distributia apei</w:t>
            </w:r>
          </w:p>
        </w:tc>
        <w:tc>
          <w:tcPr>
            <w:tcW w:w="581" w:type="dxa"/>
            <w:tcBorders>
              <w:top w:val="nil"/>
              <w:left w:val="nil"/>
              <w:bottom w:val="single" w:sz="4" w:space="0" w:color="9CC2E5"/>
              <w:right w:val="single" w:sz="4" w:space="0" w:color="FFFFFF"/>
            </w:tcBorders>
            <w:shd w:val="clear" w:color="auto" w:fill="auto"/>
            <w:hideMark/>
          </w:tcPr>
          <w:p w14:paraId="0968E3D2"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329</w:t>
            </w:r>
          </w:p>
        </w:tc>
        <w:tc>
          <w:tcPr>
            <w:tcW w:w="946" w:type="dxa"/>
            <w:tcBorders>
              <w:top w:val="nil"/>
              <w:left w:val="nil"/>
              <w:bottom w:val="single" w:sz="4" w:space="0" w:color="9CC2E5"/>
              <w:right w:val="single" w:sz="4" w:space="0" w:color="FFFFFF"/>
            </w:tcBorders>
            <w:shd w:val="clear" w:color="auto" w:fill="auto"/>
            <w:hideMark/>
          </w:tcPr>
          <w:p w14:paraId="17F8A6F7"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3.404.695</w:t>
            </w:r>
          </w:p>
        </w:tc>
        <w:tc>
          <w:tcPr>
            <w:tcW w:w="780" w:type="dxa"/>
            <w:tcBorders>
              <w:top w:val="nil"/>
              <w:left w:val="nil"/>
              <w:bottom w:val="single" w:sz="4" w:space="0" w:color="9CC2E5"/>
              <w:right w:val="single" w:sz="4" w:space="0" w:color="FFFFFF"/>
            </w:tcBorders>
            <w:shd w:val="clear" w:color="auto" w:fill="auto"/>
            <w:hideMark/>
          </w:tcPr>
          <w:p w14:paraId="392A03A2"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31.151</w:t>
            </w:r>
          </w:p>
        </w:tc>
        <w:tc>
          <w:tcPr>
            <w:tcW w:w="843" w:type="dxa"/>
            <w:tcBorders>
              <w:top w:val="nil"/>
              <w:left w:val="nil"/>
              <w:bottom w:val="single" w:sz="4" w:space="0" w:color="9CC2E5"/>
              <w:right w:val="single" w:sz="4" w:space="0" w:color="FFFFFF"/>
            </w:tcBorders>
            <w:shd w:val="clear" w:color="auto" w:fill="auto"/>
            <w:hideMark/>
          </w:tcPr>
          <w:p w14:paraId="1BDA36A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220.876</w:t>
            </w:r>
          </w:p>
        </w:tc>
        <w:tc>
          <w:tcPr>
            <w:tcW w:w="946" w:type="dxa"/>
            <w:tcBorders>
              <w:top w:val="nil"/>
              <w:left w:val="nil"/>
              <w:bottom w:val="single" w:sz="4" w:space="0" w:color="9CC2E5"/>
              <w:right w:val="single" w:sz="4" w:space="0" w:color="FFFFFF"/>
            </w:tcBorders>
            <w:shd w:val="clear" w:color="auto" w:fill="auto"/>
            <w:hideMark/>
          </w:tcPr>
          <w:p w14:paraId="1D6F14C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15.774.350</w:t>
            </w:r>
          </w:p>
        </w:tc>
        <w:tc>
          <w:tcPr>
            <w:tcW w:w="865" w:type="dxa"/>
            <w:tcBorders>
              <w:top w:val="nil"/>
              <w:left w:val="nil"/>
              <w:bottom w:val="single" w:sz="4" w:space="0" w:color="9CC2E5"/>
              <w:right w:val="single" w:sz="4" w:space="0" w:color="FFFFFF"/>
            </w:tcBorders>
            <w:shd w:val="clear" w:color="auto" w:fill="auto"/>
            <w:hideMark/>
          </w:tcPr>
          <w:p w14:paraId="497D296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2.921.354</w:t>
            </w:r>
          </w:p>
        </w:tc>
        <w:tc>
          <w:tcPr>
            <w:tcW w:w="865" w:type="dxa"/>
            <w:tcBorders>
              <w:top w:val="nil"/>
              <w:left w:val="nil"/>
              <w:bottom w:val="single" w:sz="4" w:space="0" w:color="9CC2E5"/>
              <w:right w:val="single" w:sz="4" w:space="0" w:color="FFFFFF"/>
            </w:tcBorders>
            <w:shd w:val="clear" w:color="auto" w:fill="auto"/>
            <w:hideMark/>
          </w:tcPr>
          <w:p w14:paraId="61A93737"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2.710.793</w:t>
            </w:r>
          </w:p>
        </w:tc>
        <w:tc>
          <w:tcPr>
            <w:tcW w:w="924" w:type="dxa"/>
            <w:tcBorders>
              <w:top w:val="nil"/>
              <w:left w:val="nil"/>
              <w:bottom w:val="single" w:sz="4" w:space="0" w:color="9CC2E5"/>
              <w:right w:val="single" w:sz="4" w:space="0" w:color="FFFFFF"/>
            </w:tcBorders>
            <w:shd w:val="clear" w:color="auto" w:fill="auto"/>
            <w:hideMark/>
          </w:tcPr>
          <w:p w14:paraId="33B8360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63.993</w:t>
            </w:r>
          </w:p>
        </w:tc>
      </w:tr>
      <w:tr w:rsidR="00A92CC2" w:rsidRPr="00A92CC2" w14:paraId="32506999" w14:textId="77777777" w:rsidTr="0000289C">
        <w:trPr>
          <w:trHeight w:val="287"/>
        </w:trPr>
        <w:tc>
          <w:tcPr>
            <w:tcW w:w="465" w:type="dxa"/>
            <w:tcBorders>
              <w:top w:val="nil"/>
              <w:left w:val="single" w:sz="4" w:space="0" w:color="FFFFFF"/>
              <w:bottom w:val="single" w:sz="4" w:space="0" w:color="9CC2E5"/>
              <w:right w:val="single" w:sz="4" w:space="0" w:color="FFFFFF"/>
            </w:tcBorders>
            <w:shd w:val="clear" w:color="auto" w:fill="auto"/>
            <w:noWrap/>
            <w:hideMark/>
          </w:tcPr>
          <w:p w14:paraId="7134C65E"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2</w:t>
            </w:r>
          </w:p>
        </w:tc>
        <w:tc>
          <w:tcPr>
            <w:tcW w:w="1980" w:type="dxa"/>
            <w:tcBorders>
              <w:top w:val="nil"/>
              <w:left w:val="nil"/>
              <w:bottom w:val="single" w:sz="4" w:space="0" w:color="9CC2E5"/>
              <w:right w:val="single" w:sz="4" w:space="0" w:color="FFFFFF"/>
            </w:tcBorders>
            <w:shd w:val="clear" w:color="auto" w:fill="auto"/>
            <w:hideMark/>
          </w:tcPr>
          <w:p w14:paraId="10AAE901"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Transporturi terestre si transporturi prin conducte</w:t>
            </w:r>
          </w:p>
        </w:tc>
        <w:tc>
          <w:tcPr>
            <w:tcW w:w="581" w:type="dxa"/>
            <w:tcBorders>
              <w:top w:val="nil"/>
              <w:left w:val="nil"/>
              <w:bottom w:val="single" w:sz="4" w:space="0" w:color="9CC2E5"/>
              <w:right w:val="single" w:sz="4" w:space="0" w:color="FFFFFF"/>
            </w:tcBorders>
            <w:shd w:val="clear" w:color="auto" w:fill="auto"/>
            <w:hideMark/>
          </w:tcPr>
          <w:p w14:paraId="07B991BA"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68</w:t>
            </w:r>
          </w:p>
        </w:tc>
        <w:tc>
          <w:tcPr>
            <w:tcW w:w="946" w:type="dxa"/>
            <w:tcBorders>
              <w:top w:val="nil"/>
              <w:left w:val="nil"/>
              <w:bottom w:val="single" w:sz="4" w:space="0" w:color="9CC2E5"/>
              <w:right w:val="single" w:sz="4" w:space="0" w:color="FFFFFF"/>
            </w:tcBorders>
            <w:shd w:val="clear" w:color="auto" w:fill="auto"/>
            <w:hideMark/>
          </w:tcPr>
          <w:p w14:paraId="75182F2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2.580.096</w:t>
            </w:r>
          </w:p>
        </w:tc>
        <w:tc>
          <w:tcPr>
            <w:tcW w:w="780" w:type="dxa"/>
            <w:tcBorders>
              <w:top w:val="nil"/>
              <w:left w:val="nil"/>
              <w:bottom w:val="single" w:sz="4" w:space="0" w:color="9CC2E5"/>
              <w:right w:val="single" w:sz="4" w:space="0" w:color="FFFFFF"/>
            </w:tcBorders>
            <w:shd w:val="clear" w:color="auto" w:fill="auto"/>
            <w:hideMark/>
          </w:tcPr>
          <w:p w14:paraId="3BD71B21"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24.556</w:t>
            </w:r>
          </w:p>
        </w:tc>
        <w:tc>
          <w:tcPr>
            <w:tcW w:w="843" w:type="dxa"/>
            <w:tcBorders>
              <w:top w:val="nil"/>
              <w:left w:val="nil"/>
              <w:bottom w:val="single" w:sz="4" w:space="0" w:color="9CC2E5"/>
              <w:right w:val="single" w:sz="4" w:space="0" w:color="FFFFFF"/>
            </w:tcBorders>
            <w:shd w:val="clear" w:color="auto" w:fill="auto"/>
            <w:hideMark/>
          </w:tcPr>
          <w:p w14:paraId="4638A0F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43.682</w:t>
            </w:r>
          </w:p>
        </w:tc>
        <w:tc>
          <w:tcPr>
            <w:tcW w:w="946" w:type="dxa"/>
            <w:tcBorders>
              <w:top w:val="nil"/>
              <w:left w:val="nil"/>
              <w:bottom w:val="single" w:sz="4" w:space="0" w:color="9CC2E5"/>
              <w:right w:val="single" w:sz="4" w:space="0" w:color="FFFFFF"/>
            </w:tcBorders>
            <w:shd w:val="clear" w:color="auto" w:fill="auto"/>
            <w:hideMark/>
          </w:tcPr>
          <w:p w14:paraId="05843E16"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2.759.645</w:t>
            </w:r>
          </w:p>
        </w:tc>
        <w:tc>
          <w:tcPr>
            <w:tcW w:w="865" w:type="dxa"/>
            <w:tcBorders>
              <w:top w:val="nil"/>
              <w:left w:val="nil"/>
              <w:bottom w:val="single" w:sz="4" w:space="0" w:color="9CC2E5"/>
              <w:right w:val="single" w:sz="4" w:space="0" w:color="FFFFFF"/>
            </w:tcBorders>
            <w:shd w:val="clear" w:color="auto" w:fill="auto"/>
            <w:hideMark/>
          </w:tcPr>
          <w:p w14:paraId="3D4E8C5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644.242</w:t>
            </w:r>
          </w:p>
        </w:tc>
        <w:tc>
          <w:tcPr>
            <w:tcW w:w="865" w:type="dxa"/>
            <w:tcBorders>
              <w:top w:val="nil"/>
              <w:left w:val="nil"/>
              <w:bottom w:val="single" w:sz="4" w:space="0" w:color="9CC2E5"/>
              <w:right w:val="single" w:sz="4" w:space="0" w:color="FFFFFF"/>
            </w:tcBorders>
            <w:shd w:val="clear" w:color="auto" w:fill="auto"/>
            <w:hideMark/>
          </w:tcPr>
          <w:p w14:paraId="096B925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1.829.493</w:t>
            </w:r>
          </w:p>
        </w:tc>
        <w:tc>
          <w:tcPr>
            <w:tcW w:w="924" w:type="dxa"/>
            <w:tcBorders>
              <w:top w:val="nil"/>
              <w:left w:val="nil"/>
              <w:bottom w:val="single" w:sz="4" w:space="0" w:color="9CC2E5"/>
              <w:right w:val="single" w:sz="4" w:space="0" w:color="FFFFFF"/>
            </w:tcBorders>
            <w:shd w:val="clear" w:color="auto" w:fill="auto"/>
            <w:hideMark/>
          </w:tcPr>
          <w:p w14:paraId="7EDAFE0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1.085.950</w:t>
            </w:r>
          </w:p>
        </w:tc>
      </w:tr>
      <w:tr w:rsidR="00A92CC2" w:rsidRPr="00A92CC2" w14:paraId="4E87AC04" w14:textId="77777777" w:rsidTr="0000289C">
        <w:trPr>
          <w:trHeight w:val="430"/>
        </w:trPr>
        <w:tc>
          <w:tcPr>
            <w:tcW w:w="465" w:type="dxa"/>
            <w:tcBorders>
              <w:top w:val="nil"/>
              <w:left w:val="single" w:sz="4" w:space="0" w:color="FFFFFF"/>
              <w:bottom w:val="single" w:sz="4" w:space="0" w:color="9CC2E5"/>
              <w:right w:val="single" w:sz="4" w:space="0" w:color="FFFFFF"/>
            </w:tcBorders>
            <w:shd w:val="clear" w:color="auto" w:fill="auto"/>
            <w:noWrap/>
            <w:hideMark/>
          </w:tcPr>
          <w:p w14:paraId="51EFF39D"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3</w:t>
            </w:r>
          </w:p>
        </w:tc>
        <w:tc>
          <w:tcPr>
            <w:tcW w:w="1980" w:type="dxa"/>
            <w:tcBorders>
              <w:top w:val="nil"/>
              <w:left w:val="nil"/>
              <w:bottom w:val="single" w:sz="4" w:space="0" w:color="9CC2E5"/>
              <w:right w:val="single" w:sz="4" w:space="0" w:color="FFFFFF"/>
            </w:tcBorders>
            <w:shd w:val="clear" w:color="auto" w:fill="auto"/>
            <w:hideMark/>
          </w:tcPr>
          <w:p w14:paraId="7D61B07D"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Productia si furnizarea de energie electrica si termica, gaze, apa calda si aer conditionat</w:t>
            </w:r>
          </w:p>
        </w:tc>
        <w:tc>
          <w:tcPr>
            <w:tcW w:w="581" w:type="dxa"/>
            <w:tcBorders>
              <w:top w:val="nil"/>
              <w:left w:val="nil"/>
              <w:bottom w:val="single" w:sz="4" w:space="0" w:color="9CC2E5"/>
              <w:right w:val="single" w:sz="4" w:space="0" w:color="FFFFFF"/>
            </w:tcBorders>
            <w:shd w:val="clear" w:color="auto" w:fill="auto"/>
            <w:hideMark/>
          </w:tcPr>
          <w:p w14:paraId="27BC9F2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34</w:t>
            </w:r>
          </w:p>
        </w:tc>
        <w:tc>
          <w:tcPr>
            <w:tcW w:w="946" w:type="dxa"/>
            <w:tcBorders>
              <w:top w:val="nil"/>
              <w:left w:val="nil"/>
              <w:bottom w:val="single" w:sz="4" w:space="0" w:color="9CC2E5"/>
              <w:right w:val="single" w:sz="4" w:space="0" w:color="FFFFFF"/>
            </w:tcBorders>
            <w:shd w:val="clear" w:color="auto" w:fill="auto"/>
            <w:hideMark/>
          </w:tcPr>
          <w:p w14:paraId="0A334D41"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2.168.310</w:t>
            </w:r>
          </w:p>
        </w:tc>
        <w:tc>
          <w:tcPr>
            <w:tcW w:w="780" w:type="dxa"/>
            <w:tcBorders>
              <w:top w:val="nil"/>
              <w:left w:val="nil"/>
              <w:bottom w:val="single" w:sz="4" w:space="0" w:color="9CC2E5"/>
              <w:right w:val="single" w:sz="4" w:space="0" w:color="FFFFFF"/>
            </w:tcBorders>
            <w:shd w:val="clear" w:color="auto" w:fill="auto"/>
            <w:hideMark/>
          </w:tcPr>
          <w:p w14:paraId="6D276A2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6.800</w:t>
            </w:r>
          </w:p>
        </w:tc>
        <w:tc>
          <w:tcPr>
            <w:tcW w:w="843" w:type="dxa"/>
            <w:tcBorders>
              <w:top w:val="nil"/>
              <w:left w:val="nil"/>
              <w:bottom w:val="single" w:sz="4" w:space="0" w:color="9CC2E5"/>
              <w:right w:val="single" w:sz="4" w:space="0" w:color="FFFFFF"/>
            </w:tcBorders>
            <w:shd w:val="clear" w:color="auto" w:fill="auto"/>
            <w:hideMark/>
          </w:tcPr>
          <w:p w14:paraId="1C20A5E7"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-164.437</w:t>
            </w:r>
          </w:p>
        </w:tc>
        <w:tc>
          <w:tcPr>
            <w:tcW w:w="946" w:type="dxa"/>
            <w:tcBorders>
              <w:top w:val="nil"/>
              <w:left w:val="nil"/>
              <w:bottom w:val="single" w:sz="4" w:space="0" w:color="9CC2E5"/>
              <w:right w:val="single" w:sz="4" w:space="0" w:color="FFFFFF"/>
            </w:tcBorders>
            <w:shd w:val="clear" w:color="auto" w:fill="auto"/>
            <w:hideMark/>
          </w:tcPr>
          <w:p w14:paraId="2B893DE6"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1.699.638</w:t>
            </w:r>
          </w:p>
        </w:tc>
        <w:tc>
          <w:tcPr>
            <w:tcW w:w="865" w:type="dxa"/>
            <w:tcBorders>
              <w:top w:val="nil"/>
              <w:left w:val="nil"/>
              <w:bottom w:val="single" w:sz="4" w:space="0" w:color="9CC2E5"/>
              <w:right w:val="single" w:sz="4" w:space="0" w:color="FFFFFF"/>
            </w:tcBorders>
            <w:shd w:val="clear" w:color="auto" w:fill="auto"/>
            <w:hideMark/>
          </w:tcPr>
          <w:p w14:paraId="4B18761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309.549</w:t>
            </w:r>
          </w:p>
        </w:tc>
        <w:tc>
          <w:tcPr>
            <w:tcW w:w="865" w:type="dxa"/>
            <w:tcBorders>
              <w:top w:val="nil"/>
              <w:left w:val="nil"/>
              <w:bottom w:val="single" w:sz="4" w:space="0" w:color="9CC2E5"/>
              <w:right w:val="single" w:sz="4" w:space="0" w:color="FFFFFF"/>
            </w:tcBorders>
            <w:shd w:val="clear" w:color="auto" w:fill="auto"/>
            <w:hideMark/>
          </w:tcPr>
          <w:p w14:paraId="04786DB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1.217.905</w:t>
            </w:r>
          </w:p>
        </w:tc>
        <w:tc>
          <w:tcPr>
            <w:tcW w:w="924" w:type="dxa"/>
            <w:tcBorders>
              <w:top w:val="nil"/>
              <w:left w:val="nil"/>
              <w:bottom w:val="single" w:sz="4" w:space="0" w:color="9CC2E5"/>
              <w:right w:val="single" w:sz="4" w:space="0" w:color="FFFFFF"/>
            </w:tcBorders>
            <w:shd w:val="clear" w:color="auto" w:fill="auto"/>
            <w:hideMark/>
          </w:tcPr>
          <w:p w14:paraId="1B16A36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340.626</w:t>
            </w:r>
          </w:p>
        </w:tc>
      </w:tr>
      <w:tr w:rsidR="00A92CC2" w:rsidRPr="00A92CC2" w14:paraId="42E8A42D" w14:textId="77777777" w:rsidTr="0000289C">
        <w:trPr>
          <w:trHeight w:val="239"/>
        </w:trPr>
        <w:tc>
          <w:tcPr>
            <w:tcW w:w="465" w:type="dxa"/>
            <w:tcBorders>
              <w:top w:val="nil"/>
              <w:left w:val="single" w:sz="4" w:space="0" w:color="FFFFFF"/>
              <w:bottom w:val="single" w:sz="4" w:space="0" w:color="9CC2E5"/>
              <w:right w:val="single" w:sz="4" w:space="0" w:color="FFFFFF"/>
            </w:tcBorders>
            <w:shd w:val="clear" w:color="auto" w:fill="auto"/>
            <w:noWrap/>
            <w:hideMark/>
          </w:tcPr>
          <w:p w14:paraId="45DEEA1F"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4</w:t>
            </w:r>
          </w:p>
        </w:tc>
        <w:tc>
          <w:tcPr>
            <w:tcW w:w="1980" w:type="dxa"/>
            <w:tcBorders>
              <w:top w:val="nil"/>
              <w:left w:val="nil"/>
              <w:bottom w:val="single" w:sz="4" w:space="0" w:color="9CC2E5"/>
              <w:right w:val="single" w:sz="4" w:space="0" w:color="FFFFFF"/>
            </w:tcBorders>
            <w:shd w:val="clear" w:color="auto" w:fill="auto"/>
            <w:hideMark/>
          </w:tcPr>
          <w:p w14:paraId="13C88AD8"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Lucrari de geniu civil</w:t>
            </w:r>
          </w:p>
        </w:tc>
        <w:tc>
          <w:tcPr>
            <w:tcW w:w="581" w:type="dxa"/>
            <w:tcBorders>
              <w:top w:val="nil"/>
              <w:left w:val="nil"/>
              <w:bottom w:val="single" w:sz="4" w:space="0" w:color="9CC2E5"/>
              <w:right w:val="single" w:sz="4" w:space="0" w:color="FFFFFF"/>
            </w:tcBorders>
            <w:shd w:val="clear" w:color="auto" w:fill="auto"/>
            <w:hideMark/>
          </w:tcPr>
          <w:p w14:paraId="0F83434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62</w:t>
            </w:r>
          </w:p>
        </w:tc>
        <w:tc>
          <w:tcPr>
            <w:tcW w:w="946" w:type="dxa"/>
            <w:tcBorders>
              <w:top w:val="nil"/>
              <w:left w:val="nil"/>
              <w:bottom w:val="single" w:sz="4" w:space="0" w:color="9CC2E5"/>
              <w:right w:val="single" w:sz="4" w:space="0" w:color="FFFFFF"/>
            </w:tcBorders>
            <w:shd w:val="clear" w:color="auto" w:fill="auto"/>
            <w:hideMark/>
          </w:tcPr>
          <w:p w14:paraId="39B9E213"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834.298</w:t>
            </w:r>
          </w:p>
        </w:tc>
        <w:tc>
          <w:tcPr>
            <w:tcW w:w="780" w:type="dxa"/>
            <w:tcBorders>
              <w:top w:val="nil"/>
              <w:left w:val="nil"/>
              <w:bottom w:val="single" w:sz="4" w:space="0" w:color="9CC2E5"/>
              <w:right w:val="single" w:sz="4" w:space="0" w:color="FFFFFF"/>
            </w:tcBorders>
            <w:shd w:val="clear" w:color="auto" w:fill="auto"/>
            <w:hideMark/>
          </w:tcPr>
          <w:p w14:paraId="2B22CB7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5.034</w:t>
            </w:r>
          </w:p>
        </w:tc>
        <w:tc>
          <w:tcPr>
            <w:tcW w:w="843" w:type="dxa"/>
            <w:tcBorders>
              <w:top w:val="nil"/>
              <w:left w:val="nil"/>
              <w:bottom w:val="single" w:sz="4" w:space="0" w:color="9CC2E5"/>
              <w:right w:val="single" w:sz="4" w:space="0" w:color="FFFFFF"/>
            </w:tcBorders>
            <w:shd w:val="clear" w:color="auto" w:fill="auto"/>
            <w:hideMark/>
          </w:tcPr>
          <w:p w14:paraId="70E488E4"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12.603</w:t>
            </w:r>
          </w:p>
        </w:tc>
        <w:tc>
          <w:tcPr>
            <w:tcW w:w="946" w:type="dxa"/>
            <w:tcBorders>
              <w:top w:val="nil"/>
              <w:left w:val="nil"/>
              <w:bottom w:val="single" w:sz="4" w:space="0" w:color="9CC2E5"/>
              <w:right w:val="single" w:sz="4" w:space="0" w:color="FFFFFF"/>
            </w:tcBorders>
            <w:shd w:val="clear" w:color="auto" w:fill="auto"/>
            <w:hideMark/>
          </w:tcPr>
          <w:p w14:paraId="0A648BEA"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938.290</w:t>
            </w:r>
          </w:p>
        </w:tc>
        <w:tc>
          <w:tcPr>
            <w:tcW w:w="865" w:type="dxa"/>
            <w:tcBorders>
              <w:top w:val="nil"/>
              <w:left w:val="nil"/>
              <w:bottom w:val="single" w:sz="4" w:space="0" w:color="9CC2E5"/>
              <w:right w:val="single" w:sz="4" w:space="0" w:color="FFFFFF"/>
            </w:tcBorders>
            <w:shd w:val="clear" w:color="auto" w:fill="auto"/>
            <w:hideMark/>
          </w:tcPr>
          <w:p w14:paraId="4E5857D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587.612</w:t>
            </w:r>
          </w:p>
        </w:tc>
        <w:tc>
          <w:tcPr>
            <w:tcW w:w="865" w:type="dxa"/>
            <w:tcBorders>
              <w:top w:val="nil"/>
              <w:left w:val="nil"/>
              <w:bottom w:val="single" w:sz="4" w:space="0" w:color="9CC2E5"/>
              <w:right w:val="single" w:sz="4" w:space="0" w:color="FFFFFF"/>
            </w:tcBorders>
            <w:shd w:val="clear" w:color="auto" w:fill="auto"/>
            <w:hideMark/>
          </w:tcPr>
          <w:p w14:paraId="2E2F9A8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330.521</w:t>
            </w:r>
          </w:p>
        </w:tc>
        <w:tc>
          <w:tcPr>
            <w:tcW w:w="924" w:type="dxa"/>
            <w:tcBorders>
              <w:top w:val="nil"/>
              <w:left w:val="nil"/>
              <w:bottom w:val="single" w:sz="4" w:space="0" w:color="9CC2E5"/>
              <w:right w:val="single" w:sz="4" w:space="0" w:color="FFFFFF"/>
            </w:tcBorders>
            <w:shd w:val="clear" w:color="auto" w:fill="auto"/>
            <w:hideMark/>
          </w:tcPr>
          <w:p w14:paraId="7348977E"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60.142</w:t>
            </w:r>
          </w:p>
        </w:tc>
      </w:tr>
      <w:tr w:rsidR="00A92CC2" w:rsidRPr="00A92CC2" w14:paraId="507D65CD" w14:textId="77777777" w:rsidTr="0000289C">
        <w:trPr>
          <w:trHeight w:val="430"/>
        </w:trPr>
        <w:tc>
          <w:tcPr>
            <w:tcW w:w="465" w:type="dxa"/>
            <w:tcBorders>
              <w:top w:val="nil"/>
              <w:left w:val="single" w:sz="4" w:space="0" w:color="FFFFFF"/>
              <w:bottom w:val="single" w:sz="4" w:space="0" w:color="9CC2E5"/>
              <w:right w:val="single" w:sz="4" w:space="0" w:color="FFFFFF"/>
            </w:tcBorders>
            <w:shd w:val="clear" w:color="auto" w:fill="auto"/>
            <w:noWrap/>
            <w:hideMark/>
          </w:tcPr>
          <w:p w14:paraId="71EF1F4C"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5</w:t>
            </w:r>
          </w:p>
        </w:tc>
        <w:tc>
          <w:tcPr>
            <w:tcW w:w="1980" w:type="dxa"/>
            <w:tcBorders>
              <w:top w:val="nil"/>
              <w:left w:val="nil"/>
              <w:bottom w:val="single" w:sz="4" w:space="0" w:color="9CC2E5"/>
              <w:right w:val="single" w:sz="4" w:space="0" w:color="FFFFFF"/>
            </w:tcBorders>
            <w:shd w:val="clear" w:color="auto" w:fill="auto"/>
            <w:hideMark/>
          </w:tcPr>
          <w:p w14:paraId="7D90955A"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Colectarea, tratarea si eliminarea deseurilor; activitati de recuperare a materialelor reciclabile</w:t>
            </w:r>
          </w:p>
        </w:tc>
        <w:tc>
          <w:tcPr>
            <w:tcW w:w="581" w:type="dxa"/>
            <w:tcBorders>
              <w:top w:val="nil"/>
              <w:left w:val="nil"/>
              <w:bottom w:val="single" w:sz="4" w:space="0" w:color="9CC2E5"/>
              <w:right w:val="single" w:sz="4" w:space="0" w:color="FFFFFF"/>
            </w:tcBorders>
            <w:shd w:val="clear" w:color="auto" w:fill="auto"/>
            <w:hideMark/>
          </w:tcPr>
          <w:p w14:paraId="2EBE898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175</w:t>
            </w:r>
          </w:p>
        </w:tc>
        <w:tc>
          <w:tcPr>
            <w:tcW w:w="946" w:type="dxa"/>
            <w:tcBorders>
              <w:top w:val="nil"/>
              <w:left w:val="nil"/>
              <w:bottom w:val="single" w:sz="4" w:space="0" w:color="9CC2E5"/>
              <w:right w:val="single" w:sz="4" w:space="0" w:color="FFFFFF"/>
            </w:tcBorders>
            <w:shd w:val="clear" w:color="auto" w:fill="auto"/>
            <w:hideMark/>
          </w:tcPr>
          <w:p w14:paraId="5EAE757A"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774.140</w:t>
            </w:r>
          </w:p>
        </w:tc>
        <w:tc>
          <w:tcPr>
            <w:tcW w:w="780" w:type="dxa"/>
            <w:tcBorders>
              <w:top w:val="nil"/>
              <w:left w:val="nil"/>
              <w:bottom w:val="single" w:sz="4" w:space="0" w:color="9CC2E5"/>
              <w:right w:val="single" w:sz="4" w:space="0" w:color="FFFFFF"/>
            </w:tcBorders>
            <w:shd w:val="clear" w:color="auto" w:fill="auto"/>
            <w:hideMark/>
          </w:tcPr>
          <w:p w14:paraId="65DDB211"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9.314</w:t>
            </w:r>
          </w:p>
        </w:tc>
        <w:tc>
          <w:tcPr>
            <w:tcW w:w="843" w:type="dxa"/>
            <w:tcBorders>
              <w:top w:val="nil"/>
              <w:left w:val="nil"/>
              <w:bottom w:val="single" w:sz="4" w:space="0" w:color="9CC2E5"/>
              <w:right w:val="single" w:sz="4" w:space="0" w:color="FFFFFF"/>
            </w:tcBorders>
            <w:shd w:val="clear" w:color="auto" w:fill="auto"/>
            <w:hideMark/>
          </w:tcPr>
          <w:p w14:paraId="050533D6"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5</w:t>
            </w:r>
          </w:p>
        </w:tc>
        <w:tc>
          <w:tcPr>
            <w:tcW w:w="946" w:type="dxa"/>
            <w:tcBorders>
              <w:top w:val="nil"/>
              <w:left w:val="nil"/>
              <w:bottom w:val="single" w:sz="4" w:space="0" w:color="9CC2E5"/>
              <w:right w:val="single" w:sz="4" w:space="0" w:color="FFFFFF"/>
            </w:tcBorders>
            <w:shd w:val="clear" w:color="auto" w:fill="auto"/>
            <w:hideMark/>
          </w:tcPr>
          <w:p w14:paraId="33A23D4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1.024.119</w:t>
            </w:r>
          </w:p>
        </w:tc>
        <w:tc>
          <w:tcPr>
            <w:tcW w:w="865" w:type="dxa"/>
            <w:tcBorders>
              <w:top w:val="nil"/>
              <w:left w:val="nil"/>
              <w:bottom w:val="single" w:sz="4" w:space="0" w:color="9CC2E5"/>
              <w:right w:val="single" w:sz="4" w:space="0" w:color="FFFFFF"/>
            </w:tcBorders>
            <w:shd w:val="clear" w:color="auto" w:fill="auto"/>
            <w:hideMark/>
          </w:tcPr>
          <w:p w14:paraId="7216CBC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644.847</w:t>
            </w:r>
          </w:p>
        </w:tc>
        <w:tc>
          <w:tcPr>
            <w:tcW w:w="865" w:type="dxa"/>
            <w:tcBorders>
              <w:top w:val="nil"/>
              <w:left w:val="nil"/>
              <w:bottom w:val="single" w:sz="4" w:space="0" w:color="9CC2E5"/>
              <w:right w:val="single" w:sz="4" w:space="0" w:color="FFFFFF"/>
            </w:tcBorders>
            <w:shd w:val="clear" w:color="auto" w:fill="auto"/>
            <w:hideMark/>
          </w:tcPr>
          <w:p w14:paraId="6F936C9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333.844</w:t>
            </w:r>
          </w:p>
        </w:tc>
        <w:tc>
          <w:tcPr>
            <w:tcW w:w="924" w:type="dxa"/>
            <w:tcBorders>
              <w:top w:val="nil"/>
              <w:left w:val="nil"/>
              <w:bottom w:val="single" w:sz="4" w:space="0" w:color="9CC2E5"/>
              <w:right w:val="single" w:sz="4" w:space="0" w:color="FFFFFF"/>
            </w:tcBorders>
            <w:shd w:val="clear" w:color="auto" w:fill="auto"/>
            <w:hideMark/>
          </w:tcPr>
          <w:p w14:paraId="05BA207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131.477</w:t>
            </w:r>
          </w:p>
        </w:tc>
      </w:tr>
      <w:tr w:rsidR="00A92CC2" w:rsidRPr="00A92CC2" w14:paraId="47BC69D2" w14:textId="77777777" w:rsidTr="0000289C">
        <w:trPr>
          <w:trHeight w:val="287"/>
        </w:trPr>
        <w:tc>
          <w:tcPr>
            <w:tcW w:w="465" w:type="dxa"/>
            <w:tcBorders>
              <w:top w:val="nil"/>
              <w:left w:val="single" w:sz="4" w:space="0" w:color="FFFFFF"/>
              <w:bottom w:val="single" w:sz="4" w:space="0" w:color="9CC2E5"/>
              <w:right w:val="single" w:sz="4" w:space="0" w:color="FFFFFF"/>
            </w:tcBorders>
            <w:shd w:val="clear" w:color="auto" w:fill="auto"/>
            <w:noWrap/>
            <w:hideMark/>
          </w:tcPr>
          <w:p w14:paraId="75B7561E"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6</w:t>
            </w:r>
          </w:p>
        </w:tc>
        <w:tc>
          <w:tcPr>
            <w:tcW w:w="1980" w:type="dxa"/>
            <w:tcBorders>
              <w:top w:val="nil"/>
              <w:left w:val="nil"/>
              <w:bottom w:val="single" w:sz="4" w:space="0" w:color="9CC2E5"/>
              <w:right w:val="single" w:sz="4" w:space="0" w:color="FFFFFF"/>
            </w:tcBorders>
            <w:shd w:val="clear" w:color="auto" w:fill="auto"/>
            <w:hideMark/>
          </w:tcPr>
          <w:p w14:paraId="156FA547"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Activitati de peisagistica si servicii pentru cladiri</w:t>
            </w:r>
          </w:p>
        </w:tc>
        <w:tc>
          <w:tcPr>
            <w:tcW w:w="581" w:type="dxa"/>
            <w:tcBorders>
              <w:top w:val="nil"/>
              <w:left w:val="nil"/>
              <w:bottom w:val="single" w:sz="4" w:space="0" w:color="9CC2E5"/>
              <w:right w:val="single" w:sz="4" w:space="0" w:color="FFFFFF"/>
            </w:tcBorders>
            <w:shd w:val="clear" w:color="auto" w:fill="auto"/>
            <w:hideMark/>
          </w:tcPr>
          <w:p w14:paraId="77244951"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131</w:t>
            </w:r>
          </w:p>
        </w:tc>
        <w:tc>
          <w:tcPr>
            <w:tcW w:w="946" w:type="dxa"/>
            <w:tcBorders>
              <w:top w:val="nil"/>
              <w:left w:val="nil"/>
              <w:bottom w:val="single" w:sz="4" w:space="0" w:color="9CC2E5"/>
              <w:right w:val="single" w:sz="4" w:space="0" w:color="FFFFFF"/>
            </w:tcBorders>
            <w:shd w:val="clear" w:color="auto" w:fill="auto"/>
            <w:hideMark/>
          </w:tcPr>
          <w:p w14:paraId="461D8EE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572.281</w:t>
            </w:r>
          </w:p>
        </w:tc>
        <w:tc>
          <w:tcPr>
            <w:tcW w:w="780" w:type="dxa"/>
            <w:tcBorders>
              <w:top w:val="nil"/>
              <w:left w:val="nil"/>
              <w:bottom w:val="single" w:sz="4" w:space="0" w:color="9CC2E5"/>
              <w:right w:val="single" w:sz="4" w:space="0" w:color="FFFFFF"/>
            </w:tcBorders>
            <w:shd w:val="clear" w:color="auto" w:fill="auto"/>
            <w:hideMark/>
          </w:tcPr>
          <w:p w14:paraId="77010684"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7.113</w:t>
            </w:r>
          </w:p>
        </w:tc>
        <w:tc>
          <w:tcPr>
            <w:tcW w:w="843" w:type="dxa"/>
            <w:tcBorders>
              <w:top w:val="nil"/>
              <w:left w:val="nil"/>
              <w:bottom w:val="single" w:sz="4" w:space="0" w:color="9CC2E5"/>
              <w:right w:val="single" w:sz="4" w:space="0" w:color="FFFFFF"/>
            </w:tcBorders>
            <w:shd w:val="clear" w:color="auto" w:fill="auto"/>
            <w:hideMark/>
          </w:tcPr>
          <w:p w14:paraId="7D63EFC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26.641</w:t>
            </w:r>
          </w:p>
        </w:tc>
        <w:tc>
          <w:tcPr>
            <w:tcW w:w="946" w:type="dxa"/>
            <w:tcBorders>
              <w:top w:val="nil"/>
              <w:left w:val="nil"/>
              <w:bottom w:val="single" w:sz="4" w:space="0" w:color="9CC2E5"/>
              <w:right w:val="single" w:sz="4" w:space="0" w:color="FFFFFF"/>
            </w:tcBorders>
            <w:shd w:val="clear" w:color="auto" w:fill="auto"/>
            <w:hideMark/>
          </w:tcPr>
          <w:p w14:paraId="7DF2D95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407.358</w:t>
            </w:r>
          </w:p>
        </w:tc>
        <w:tc>
          <w:tcPr>
            <w:tcW w:w="865" w:type="dxa"/>
            <w:tcBorders>
              <w:top w:val="nil"/>
              <w:left w:val="nil"/>
              <w:bottom w:val="single" w:sz="4" w:space="0" w:color="9CC2E5"/>
              <w:right w:val="single" w:sz="4" w:space="0" w:color="FFFFFF"/>
            </w:tcBorders>
            <w:shd w:val="clear" w:color="auto" w:fill="auto"/>
            <w:hideMark/>
          </w:tcPr>
          <w:p w14:paraId="6888F163"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252.557</w:t>
            </w:r>
          </w:p>
        </w:tc>
        <w:tc>
          <w:tcPr>
            <w:tcW w:w="865" w:type="dxa"/>
            <w:tcBorders>
              <w:top w:val="nil"/>
              <w:left w:val="nil"/>
              <w:bottom w:val="single" w:sz="4" w:space="0" w:color="9CC2E5"/>
              <w:right w:val="single" w:sz="4" w:space="0" w:color="FFFFFF"/>
            </w:tcBorders>
            <w:shd w:val="clear" w:color="auto" w:fill="auto"/>
            <w:hideMark/>
          </w:tcPr>
          <w:p w14:paraId="68A15CD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143.016</w:t>
            </w:r>
          </w:p>
        </w:tc>
        <w:tc>
          <w:tcPr>
            <w:tcW w:w="924" w:type="dxa"/>
            <w:tcBorders>
              <w:top w:val="nil"/>
              <w:left w:val="nil"/>
              <w:bottom w:val="single" w:sz="4" w:space="0" w:color="9CC2E5"/>
              <w:right w:val="single" w:sz="4" w:space="0" w:color="FFFFFF"/>
            </w:tcBorders>
            <w:shd w:val="clear" w:color="auto" w:fill="auto"/>
            <w:hideMark/>
          </w:tcPr>
          <w:p w14:paraId="1174C52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48.027</w:t>
            </w:r>
          </w:p>
        </w:tc>
      </w:tr>
      <w:tr w:rsidR="00A92CC2" w:rsidRPr="00A92CC2" w14:paraId="5E3192FC" w14:textId="77777777" w:rsidTr="0000289C">
        <w:trPr>
          <w:trHeight w:val="239"/>
        </w:trPr>
        <w:tc>
          <w:tcPr>
            <w:tcW w:w="465" w:type="dxa"/>
            <w:tcBorders>
              <w:top w:val="nil"/>
              <w:left w:val="single" w:sz="4" w:space="0" w:color="FFFFFF"/>
              <w:bottom w:val="single" w:sz="4" w:space="0" w:color="9CC2E5"/>
              <w:right w:val="single" w:sz="4" w:space="0" w:color="FFFFFF"/>
            </w:tcBorders>
            <w:shd w:val="clear" w:color="auto" w:fill="auto"/>
            <w:noWrap/>
            <w:hideMark/>
          </w:tcPr>
          <w:p w14:paraId="22347269"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7</w:t>
            </w:r>
          </w:p>
        </w:tc>
        <w:tc>
          <w:tcPr>
            <w:tcW w:w="1980" w:type="dxa"/>
            <w:tcBorders>
              <w:top w:val="nil"/>
              <w:left w:val="nil"/>
              <w:bottom w:val="single" w:sz="4" w:space="0" w:color="9CC2E5"/>
              <w:right w:val="single" w:sz="4" w:space="0" w:color="FFFFFF"/>
            </w:tcBorders>
            <w:shd w:val="clear" w:color="auto" w:fill="auto"/>
            <w:hideMark/>
          </w:tcPr>
          <w:p w14:paraId="5115E6CF"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Tranzactii imobiliare</w:t>
            </w:r>
          </w:p>
        </w:tc>
        <w:tc>
          <w:tcPr>
            <w:tcW w:w="581" w:type="dxa"/>
            <w:tcBorders>
              <w:top w:val="nil"/>
              <w:left w:val="nil"/>
              <w:bottom w:val="single" w:sz="4" w:space="0" w:color="9CC2E5"/>
              <w:right w:val="single" w:sz="4" w:space="0" w:color="FFFFFF"/>
            </w:tcBorders>
            <w:shd w:val="clear" w:color="auto" w:fill="auto"/>
            <w:hideMark/>
          </w:tcPr>
          <w:p w14:paraId="504463AC"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85</w:t>
            </w:r>
          </w:p>
        </w:tc>
        <w:tc>
          <w:tcPr>
            <w:tcW w:w="946" w:type="dxa"/>
            <w:tcBorders>
              <w:top w:val="nil"/>
              <w:left w:val="nil"/>
              <w:bottom w:val="single" w:sz="4" w:space="0" w:color="9CC2E5"/>
              <w:right w:val="single" w:sz="4" w:space="0" w:color="FFFFFF"/>
            </w:tcBorders>
            <w:shd w:val="clear" w:color="auto" w:fill="auto"/>
            <w:hideMark/>
          </w:tcPr>
          <w:p w14:paraId="6AB09A7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331.040</w:t>
            </w:r>
          </w:p>
        </w:tc>
        <w:tc>
          <w:tcPr>
            <w:tcW w:w="780" w:type="dxa"/>
            <w:tcBorders>
              <w:top w:val="nil"/>
              <w:left w:val="nil"/>
              <w:bottom w:val="single" w:sz="4" w:space="0" w:color="9CC2E5"/>
              <w:right w:val="single" w:sz="4" w:space="0" w:color="FFFFFF"/>
            </w:tcBorders>
            <w:shd w:val="clear" w:color="auto" w:fill="auto"/>
            <w:hideMark/>
          </w:tcPr>
          <w:p w14:paraId="1422D76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2.998</w:t>
            </w:r>
          </w:p>
        </w:tc>
        <w:tc>
          <w:tcPr>
            <w:tcW w:w="843" w:type="dxa"/>
            <w:tcBorders>
              <w:top w:val="nil"/>
              <w:left w:val="nil"/>
              <w:bottom w:val="single" w:sz="4" w:space="0" w:color="9CC2E5"/>
              <w:right w:val="single" w:sz="4" w:space="0" w:color="FFFFFF"/>
            </w:tcBorders>
            <w:shd w:val="clear" w:color="auto" w:fill="auto"/>
            <w:hideMark/>
          </w:tcPr>
          <w:p w14:paraId="17AE0374"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10.236</w:t>
            </w:r>
          </w:p>
        </w:tc>
        <w:tc>
          <w:tcPr>
            <w:tcW w:w="946" w:type="dxa"/>
            <w:tcBorders>
              <w:top w:val="nil"/>
              <w:left w:val="nil"/>
              <w:bottom w:val="single" w:sz="4" w:space="0" w:color="9CC2E5"/>
              <w:right w:val="single" w:sz="4" w:space="0" w:color="FFFFFF"/>
            </w:tcBorders>
            <w:shd w:val="clear" w:color="auto" w:fill="auto"/>
            <w:hideMark/>
          </w:tcPr>
          <w:p w14:paraId="09C730BE"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797.336</w:t>
            </w:r>
          </w:p>
        </w:tc>
        <w:tc>
          <w:tcPr>
            <w:tcW w:w="865" w:type="dxa"/>
            <w:tcBorders>
              <w:top w:val="nil"/>
              <w:left w:val="nil"/>
              <w:bottom w:val="single" w:sz="4" w:space="0" w:color="9CC2E5"/>
              <w:right w:val="single" w:sz="4" w:space="0" w:color="FFFFFF"/>
            </w:tcBorders>
            <w:shd w:val="clear" w:color="auto" w:fill="auto"/>
            <w:hideMark/>
          </w:tcPr>
          <w:p w14:paraId="39A593F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567.194</w:t>
            </w:r>
          </w:p>
        </w:tc>
        <w:tc>
          <w:tcPr>
            <w:tcW w:w="865" w:type="dxa"/>
            <w:tcBorders>
              <w:top w:val="nil"/>
              <w:left w:val="nil"/>
              <w:bottom w:val="single" w:sz="4" w:space="0" w:color="9CC2E5"/>
              <w:right w:val="single" w:sz="4" w:space="0" w:color="FFFFFF"/>
            </w:tcBorders>
            <w:shd w:val="clear" w:color="auto" w:fill="auto"/>
            <w:hideMark/>
          </w:tcPr>
          <w:p w14:paraId="2029FAE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156.210</w:t>
            </w:r>
          </w:p>
        </w:tc>
        <w:tc>
          <w:tcPr>
            <w:tcW w:w="924" w:type="dxa"/>
            <w:tcBorders>
              <w:top w:val="nil"/>
              <w:left w:val="nil"/>
              <w:bottom w:val="single" w:sz="4" w:space="0" w:color="9CC2E5"/>
              <w:right w:val="single" w:sz="4" w:space="0" w:color="FFFFFF"/>
            </w:tcBorders>
            <w:shd w:val="clear" w:color="auto" w:fill="auto"/>
            <w:hideMark/>
          </w:tcPr>
          <w:p w14:paraId="058BC5D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9.310</w:t>
            </w:r>
          </w:p>
        </w:tc>
      </w:tr>
      <w:tr w:rsidR="00A92CC2" w:rsidRPr="00A92CC2" w14:paraId="636C40F4" w14:textId="77777777" w:rsidTr="0000289C">
        <w:trPr>
          <w:trHeight w:val="239"/>
        </w:trPr>
        <w:tc>
          <w:tcPr>
            <w:tcW w:w="465" w:type="dxa"/>
            <w:tcBorders>
              <w:top w:val="nil"/>
              <w:left w:val="single" w:sz="4" w:space="0" w:color="FFFFFF"/>
              <w:bottom w:val="single" w:sz="4" w:space="0" w:color="9CC2E5"/>
              <w:right w:val="single" w:sz="4" w:space="0" w:color="FFFFFF"/>
            </w:tcBorders>
            <w:shd w:val="clear" w:color="auto" w:fill="auto"/>
            <w:noWrap/>
            <w:hideMark/>
          </w:tcPr>
          <w:p w14:paraId="2EE0AB22"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8</w:t>
            </w:r>
          </w:p>
        </w:tc>
        <w:tc>
          <w:tcPr>
            <w:tcW w:w="1980" w:type="dxa"/>
            <w:tcBorders>
              <w:top w:val="nil"/>
              <w:left w:val="nil"/>
              <w:bottom w:val="single" w:sz="4" w:space="0" w:color="9CC2E5"/>
              <w:right w:val="single" w:sz="4" w:space="0" w:color="FFFFFF"/>
            </w:tcBorders>
            <w:shd w:val="clear" w:color="auto" w:fill="auto"/>
            <w:hideMark/>
          </w:tcPr>
          <w:p w14:paraId="7C120C2B"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Silvicultura si exploatare forestiera</w:t>
            </w:r>
          </w:p>
        </w:tc>
        <w:tc>
          <w:tcPr>
            <w:tcW w:w="581" w:type="dxa"/>
            <w:tcBorders>
              <w:top w:val="nil"/>
              <w:left w:val="nil"/>
              <w:bottom w:val="single" w:sz="4" w:space="0" w:color="9CC2E5"/>
              <w:right w:val="single" w:sz="4" w:space="0" w:color="FFFFFF"/>
            </w:tcBorders>
            <w:shd w:val="clear" w:color="auto" w:fill="auto"/>
            <w:hideMark/>
          </w:tcPr>
          <w:p w14:paraId="5B69BF23"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65</w:t>
            </w:r>
          </w:p>
        </w:tc>
        <w:tc>
          <w:tcPr>
            <w:tcW w:w="946" w:type="dxa"/>
            <w:tcBorders>
              <w:top w:val="nil"/>
              <w:left w:val="nil"/>
              <w:bottom w:val="single" w:sz="4" w:space="0" w:color="9CC2E5"/>
              <w:right w:val="single" w:sz="4" w:space="0" w:color="FFFFFF"/>
            </w:tcBorders>
            <w:shd w:val="clear" w:color="auto" w:fill="auto"/>
            <w:hideMark/>
          </w:tcPr>
          <w:p w14:paraId="02D682C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251.635</w:t>
            </w:r>
          </w:p>
        </w:tc>
        <w:tc>
          <w:tcPr>
            <w:tcW w:w="780" w:type="dxa"/>
            <w:tcBorders>
              <w:top w:val="nil"/>
              <w:left w:val="nil"/>
              <w:bottom w:val="single" w:sz="4" w:space="0" w:color="9CC2E5"/>
              <w:right w:val="single" w:sz="4" w:space="0" w:color="FFFFFF"/>
            </w:tcBorders>
            <w:shd w:val="clear" w:color="auto" w:fill="auto"/>
            <w:hideMark/>
          </w:tcPr>
          <w:p w14:paraId="7A62BBD7"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1.947</w:t>
            </w:r>
          </w:p>
        </w:tc>
        <w:tc>
          <w:tcPr>
            <w:tcW w:w="843" w:type="dxa"/>
            <w:tcBorders>
              <w:top w:val="nil"/>
              <w:left w:val="nil"/>
              <w:bottom w:val="single" w:sz="4" w:space="0" w:color="9CC2E5"/>
              <w:right w:val="single" w:sz="4" w:space="0" w:color="FFFFFF"/>
            </w:tcBorders>
            <w:shd w:val="clear" w:color="auto" w:fill="auto"/>
            <w:hideMark/>
          </w:tcPr>
          <w:p w14:paraId="38CD1AD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26.136</w:t>
            </w:r>
          </w:p>
        </w:tc>
        <w:tc>
          <w:tcPr>
            <w:tcW w:w="946" w:type="dxa"/>
            <w:tcBorders>
              <w:top w:val="nil"/>
              <w:left w:val="nil"/>
              <w:bottom w:val="single" w:sz="4" w:space="0" w:color="9CC2E5"/>
              <w:right w:val="single" w:sz="4" w:space="0" w:color="FFFFFF"/>
            </w:tcBorders>
            <w:shd w:val="clear" w:color="auto" w:fill="auto"/>
            <w:hideMark/>
          </w:tcPr>
          <w:p w14:paraId="2F8CBFD8"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234.997</w:t>
            </w:r>
          </w:p>
        </w:tc>
        <w:tc>
          <w:tcPr>
            <w:tcW w:w="865" w:type="dxa"/>
            <w:tcBorders>
              <w:top w:val="nil"/>
              <w:left w:val="nil"/>
              <w:bottom w:val="single" w:sz="4" w:space="0" w:color="9CC2E5"/>
              <w:right w:val="single" w:sz="4" w:space="0" w:color="FFFFFF"/>
            </w:tcBorders>
            <w:shd w:val="clear" w:color="auto" w:fill="auto"/>
            <w:hideMark/>
          </w:tcPr>
          <w:p w14:paraId="45A88B5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93.237</w:t>
            </w:r>
          </w:p>
        </w:tc>
        <w:tc>
          <w:tcPr>
            <w:tcW w:w="865" w:type="dxa"/>
            <w:tcBorders>
              <w:top w:val="nil"/>
              <w:left w:val="nil"/>
              <w:bottom w:val="single" w:sz="4" w:space="0" w:color="9CC2E5"/>
              <w:right w:val="single" w:sz="4" w:space="0" w:color="FFFFFF"/>
            </w:tcBorders>
            <w:shd w:val="clear" w:color="auto" w:fill="auto"/>
            <w:hideMark/>
          </w:tcPr>
          <w:p w14:paraId="6DF6B2EA"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69.021</w:t>
            </w:r>
          </w:p>
        </w:tc>
        <w:tc>
          <w:tcPr>
            <w:tcW w:w="924" w:type="dxa"/>
            <w:tcBorders>
              <w:top w:val="nil"/>
              <w:left w:val="nil"/>
              <w:bottom w:val="single" w:sz="4" w:space="0" w:color="9CC2E5"/>
              <w:right w:val="single" w:sz="4" w:space="0" w:color="FFFFFF"/>
            </w:tcBorders>
            <w:shd w:val="clear" w:color="auto" w:fill="auto"/>
            <w:hideMark/>
          </w:tcPr>
          <w:p w14:paraId="2C3AB631"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8.794</w:t>
            </w:r>
          </w:p>
        </w:tc>
      </w:tr>
      <w:tr w:rsidR="00A92CC2" w:rsidRPr="00A92CC2" w14:paraId="524285AE" w14:textId="77777777" w:rsidTr="0000289C">
        <w:trPr>
          <w:trHeight w:val="287"/>
        </w:trPr>
        <w:tc>
          <w:tcPr>
            <w:tcW w:w="465" w:type="dxa"/>
            <w:tcBorders>
              <w:top w:val="nil"/>
              <w:left w:val="single" w:sz="4" w:space="0" w:color="FFFFFF"/>
              <w:bottom w:val="single" w:sz="4" w:space="0" w:color="9CC2E5"/>
              <w:right w:val="single" w:sz="4" w:space="0" w:color="FFFFFF"/>
            </w:tcBorders>
            <w:shd w:val="clear" w:color="auto" w:fill="auto"/>
            <w:noWrap/>
            <w:hideMark/>
          </w:tcPr>
          <w:p w14:paraId="4B04B199"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9</w:t>
            </w:r>
          </w:p>
        </w:tc>
        <w:tc>
          <w:tcPr>
            <w:tcW w:w="1980" w:type="dxa"/>
            <w:tcBorders>
              <w:top w:val="nil"/>
              <w:left w:val="nil"/>
              <w:bottom w:val="single" w:sz="4" w:space="0" w:color="9CC2E5"/>
              <w:right w:val="single" w:sz="4" w:space="0" w:color="FFFFFF"/>
            </w:tcBorders>
            <w:shd w:val="clear" w:color="auto" w:fill="auto"/>
            <w:hideMark/>
          </w:tcPr>
          <w:p w14:paraId="0E1E1613"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Constructii de cladiri</w:t>
            </w:r>
          </w:p>
        </w:tc>
        <w:tc>
          <w:tcPr>
            <w:tcW w:w="581" w:type="dxa"/>
            <w:tcBorders>
              <w:top w:val="nil"/>
              <w:left w:val="nil"/>
              <w:bottom w:val="single" w:sz="4" w:space="0" w:color="9CC2E5"/>
              <w:right w:val="single" w:sz="4" w:space="0" w:color="FFFFFF"/>
            </w:tcBorders>
            <w:shd w:val="clear" w:color="auto" w:fill="auto"/>
            <w:hideMark/>
          </w:tcPr>
          <w:p w14:paraId="3341821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63</w:t>
            </w:r>
          </w:p>
        </w:tc>
        <w:tc>
          <w:tcPr>
            <w:tcW w:w="946" w:type="dxa"/>
            <w:tcBorders>
              <w:top w:val="nil"/>
              <w:left w:val="nil"/>
              <w:bottom w:val="single" w:sz="4" w:space="0" w:color="9CC2E5"/>
              <w:right w:val="single" w:sz="4" w:space="0" w:color="FFFFFF"/>
            </w:tcBorders>
            <w:shd w:val="clear" w:color="auto" w:fill="auto"/>
            <w:hideMark/>
          </w:tcPr>
          <w:p w14:paraId="73276B43"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193.776</w:t>
            </w:r>
          </w:p>
        </w:tc>
        <w:tc>
          <w:tcPr>
            <w:tcW w:w="780" w:type="dxa"/>
            <w:tcBorders>
              <w:top w:val="nil"/>
              <w:left w:val="nil"/>
              <w:bottom w:val="single" w:sz="4" w:space="0" w:color="9CC2E5"/>
              <w:right w:val="single" w:sz="4" w:space="0" w:color="FFFFFF"/>
            </w:tcBorders>
            <w:shd w:val="clear" w:color="auto" w:fill="auto"/>
            <w:hideMark/>
          </w:tcPr>
          <w:p w14:paraId="4A4AE62C"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1.441</w:t>
            </w:r>
          </w:p>
        </w:tc>
        <w:tc>
          <w:tcPr>
            <w:tcW w:w="843" w:type="dxa"/>
            <w:tcBorders>
              <w:top w:val="nil"/>
              <w:left w:val="nil"/>
              <w:bottom w:val="single" w:sz="4" w:space="0" w:color="9CC2E5"/>
              <w:right w:val="single" w:sz="4" w:space="0" w:color="FFFFFF"/>
            </w:tcBorders>
            <w:shd w:val="clear" w:color="auto" w:fill="auto"/>
            <w:hideMark/>
          </w:tcPr>
          <w:p w14:paraId="366CF123"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-9.933</w:t>
            </w:r>
          </w:p>
        </w:tc>
        <w:tc>
          <w:tcPr>
            <w:tcW w:w="946" w:type="dxa"/>
            <w:tcBorders>
              <w:top w:val="nil"/>
              <w:left w:val="nil"/>
              <w:bottom w:val="single" w:sz="4" w:space="0" w:color="9CC2E5"/>
              <w:right w:val="single" w:sz="4" w:space="0" w:color="FFFFFF"/>
            </w:tcBorders>
            <w:shd w:val="clear" w:color="auto" w:fill="auto"/>
            <w:hideMark/>
          </w:tcPr>
          <w:p w14:paraId="0C6BACA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967.267</w:t>
            </w:r>
          </w:p>
        </w:tc>
        <w:tc>
          <w:tcPr>
            <w:tcW w:w="865" w:type="dxa"/>
            <w:tcBorders>
              <w:top w:val="nil"/>
              <w:left w:val="nil"/>
              <w:bottom w:val="single" w:sz="4" w:space="0" w:color="9CC2E5"/>
              <w:right w:val="single" w:sz="4" w:space="0" w:color="FFFFFF"/>
            </w:tcBorders>
            <w:shd w:val="clear" w:color="auto" w:fill="auto"/>
            <w:hideMark/>
          </w:tcPr>
          <w:p w14:paraId="19CC1DF9"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856.967</w:t>
            </w:r>
          </w:p>
        </w:tc>
        <w:tc>
          <w:tcPr>
            <w:tcW w:w="865" w:type="dxa"/>
            <w:tcBorders>
              <w:top w:val="nil"/>
              <w:left w:val="nil"/>
              <w:bottom w:val="single" w:sz="4" w:space="0" w:color="9CC2E5"/>
              <w:right w:val="single" w:sz="4" w:space="0" w:color="FFFFFF"/>
            </w:tcBorders>
            <w:shd w:val="clear" w:color="auto" w:fill="auto"/>
            <w:hideMark/>
          </w:tcPr>
          <w:p w14:paraId="46A6AAF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97.704</w:t>
            </w:r>
          </w:p>
        </w:tc>
        <w:tc>
          <w:tcPr>
            <w:tcW w:w="924" w:type="dxa"/>
            <w:tcBorders>
              <w:top w:val="nil"/>
              <w:left w:val="nil"/>
              <w:bottom w:val="single" w:sz="4" w:space="0" w:color="9CC2E5"/>
              <w:right w:val="single" w:sz="4" w:space="0" w:color="FFFFFF"/>
            </w:tcBorders>
            <w:shd w:val="clear" w:color="auto" w:fill="auto"/>
            <w:hideMark/>
          </w:tcPr>
          <w:p w14:paraId="02FA2AA4"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28.851</w:t>
            </w:r>
          </w:p>
        </w:tc>
      </w:tr>
      <w:tr w:rsidR="00A92CC2" w:rsidRPr="00A92CC2" w14:paraId="24BDD12B" w14:textId="77777777" w:rsidTr="0000289C">
        <w:trPr>
          <w:trHeight w:val="287"/>
        </w:trPr>
        <w:tc>
          <w:tcPr>
            <w:tcW w:w="465" w:type="dxa"/>
            <w:tcBorders>
              <w:top w:val="nil"/>
              <w:left w:val="single" w:sz="4" w:space="0" w:color="FFFFFF"/>
              <w:bottom w:val="single" w:sz="4" w:space="0" w:color="9CC2E5"/>
              <w:right w:val="single" w:sz="4" w:space="0" w:color="FFFFFF"/>
            </w:tcBorders>
            <w:shd w:val="clear" w:color="auto" w:fill="auto"/>
            <w:noWrap/>
            <w:hideMark/>
          </w:tcPr>
          <w:p w14:paraId="5D0F5594"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10</w:t>
            </w:r>
          </w:p>
        </w:tc>
        <w:tc>
          <w:tcPr>
            <w:tcW w:w="1980" w:type="dxa"/>
            <w:tcBorders>
              <w:top w:val="nil"/>
              <w:left w:val="nil"/>
              <w:bottom w:val="single" w:sz="4" w:space="0" w:color="9CC2E5"/>
              <w:right w:val="single" w:sz="4" w:space="0" w:color="FFFFFF"/>
            </w:tcBorders>
            <w:shd w:val="clear" w:color="auto" w:fill="auto"/>
            <w:hideMark/>
          </w:tcPr>
          <w:p w14:paraId="3052F8CA"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Comert cu amanuntul, cu exceptia autovehiculelor si motocicletelor</w:t>
            </w:r>
          </w:p>
        </w:tc>
        <w:tc>
          <w:tcPr>
            <w:tcW w:w="581" w:type="dxa"/>
            <w:tcBorders>
              <w:top w:val="nil"/>
              <w:left w:val="nil"/>
              <w:bottom w:val="single" w:sz="4" w:space="0" w:color="9CC2E5"/>
              <w:right w:val="single" w:sz="4" w:space="0" w:color="FFFFFF"/>
            </w:tcBorders>
            <w:shd w:val="clear" w:color="auto" w:fill="auto"/>
            <w:hideMark/>
          </w:tcPr>
          <w:p w14:paraId="7A1F380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4</w:t>
            </w:r>
          </w:p>
        </w:tc>
        <w:tc>
          <w:tcPr>
            <w:tcW w:w="946" w:type="dxa"/>
            <w:tcBorders>
              <w:top w:val="nil"/>
              <w:left w:val="nil"/>
              <w:bottom w:val="single" w:sz="4" w:space="0" w:color="9CC2E5"/>
              <w:right w:val="single" w:sz="4" w:space="0" w:color="FFFFFF"/>
            </w:tcBorders>
            <w:shd w:val="clear" w:color="auto" w:fill="auto"/>
            <w:hideMark/>
          </w:tcPr>
          <w:p w14:paraId="1AB5F5F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183.843</w:t>
            </w:r>
          </w:p>
        </w:tc>
        <w:tc>
          <w:tcPr>
            <w:tcW w:w="780" w:type="dxa"/>
            <w:tcBorders>
              <w:top w:val="nil"/>
              <w:left w:val="nil"/>
              <w:bottom w:val="single" w:sz="4" w:space="0" w:color="9CC2E5"/>
              <w:right w:val="single" w:sz="4" w:space="0" w:color="FFFFFF"/>
            </w:tcBorders>
            <w:shd w:val="clear" w:color="auto" w:fill="auto"/>
            <w:hideMark/>
          </w:tcPr>
          <w:p w14:paraId="51A98A8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190</w:t>
            </w:r>
          </w:p>
        </w:tc>
        <w:tc>
          <w:tcPr>
            <w:tcW w:w="843" w:type="dxa"/>
            <w:tcBorders>
              <w:top w:val="nil"/>
              <w:left w:val="nil"/>
              <w:bottom w:val="single" w:sz="4" w:space="0" w:color="9CC2E5"/>
              <w:right w:val="single" w:sz="4" w:space="0" w:color="FFFFFF"/>
            </w:tcBorders>
            <w:shd w:val="clear" w:color="auto" w:fill="auto"/>
            <w:hideMark/>
          </w:tcPr>
          <w:p w14:paraId="703329D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-26.499</w:t>
            </w:r>
          </w:p>
        </w:tc>
        <w:tc>
          <w:tcPr>
            <w:tcW w:w="946" w:type="dxa"/>
            <w:tcBorders>
              <w:top w:val="nil"/>
              <w:left w:val="nil"/>
              <w:bottom w:val="single" w:sz="4" w:space="0" w:color="9CC2E5"/>
              <w:right w:val="single" w:sz="4" w:space="0" w:color="FFFFFF"/>
            </w:tcBorders>
            <w:shd w:val="clear" w:color="auto" w:fill="auto"/>
            <w:hideMark/>
          </w:tcPr>
          <w:p w14:paraId="75D7FE2E"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330.051</w:t>
            </w:r>
          </w:p>
        </w:tc>
        <w:tc>
          <w:tcPr>
            <w:tcW w:w="865" w:type="dxa"/>
            <w:tcBorders>
              <w:top w:val="nil"/>
              <w:left w:val="nil"/>
              <w:bottom w:val="single" w:sz="4" w:space="0" w:color="9CC2E5"/>
              <w:right w:val="single" w:sz="4" w:space="0" w:color="FFFFFF"/>
            </w:tcBorders>
            <w:shd w:val="clear" w:color="auto" w:fill="auto"/>
            <w:hideMark/>
          </w:tcPr>
          <w:p w14:paraId="7A3F210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289.282</w:t>
            </w:r>
          </w:p>
        </w:tc>
        <w:tc>
          <w:tcPr>
            <w:tcW w:w="865" w:type="dxa"/>
            <w:tcBorders>
              <w:top w:val="nil"/>
              <w:left w:val="nil"/>
              <w:bottom w:val="single" w:sz="4" w:space="0" w:color="9CC2E5"/>
              <w:right w:val="single" w:sz="4" w:space="0" w:color="FFFFFF"/>
            </w:tcBorders>
            <w:shd w:val="clear" w:color="auto" w:fill="auto"/>
            <w:hideMark/>
          </w:tcPr>
          <w:p w14:paraId="62E2B5D3"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40.770</w:t>
            </w:r>
          </w:p>
        </w:tc>
        <w:tc>
          <w:tcPr>
            <w:tcW w:w="924" w:type="dxa"/>
            <w:tcBorders>
              <w:top w:val="nil"/>
              <w:left w:val="nil"/>
              <w:bottom w:val="single" w:sz="4" w:space="0" w:color="9CC2E5"/>
              <w:right w:val="single" w:sz="4" w:space="0" w:color="FFFFFF"/>
            </w:tcBorders>
            <w:shd w:val="clear" w:color="auto" w:fill="auto"/>
            <w:hideMark/>
          </w:tcPr>
          <w:p w14:paraId="2E6646F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0</w:t>
            </w:r>
          </w:p>
        </w:tc>
      </w:tr>
      <w:tr w:rsidR="00A92CC2" w:rsidRPr="00A92CC2" w14:paraId="096C9225" w14:textId="77777777" w:rsidTr="0000289C">
        <w:trPr>
          <w:trHeight w:val="239"/>
        </w:trPr>
        <w:tc>
          <w:tcPr>
            <w:tcW w:w="465" w:type="dxa"/>
            <w:tcBorders>
              <w:top w:val="nil"/>
              <w:left w:val="single" w:sz="4" w:space="0" w:color="FFFFFF"/>
              <w:bottom w:val="single" w:sz="4" w:space="0" w:color="9CC2E5"/>
              <w:right w:val="single" w:sz="4" w:space="0" w:color="FFFFFF"/>
            </w:tcBorders>
            <w:shd w:val="clear" w:color="auto" w:fill="auto"/>
            <w:noWrap/>
            <w:hideMark/>
          </w:tcPr>
          <w:p w14:paraId="210E2B20" w14:textId="77777777" w:rsidR="00A92CC2" w:rsidRPr="00A92CC2" w:rsidRDefault="00A92CC2" w:rsidP="00A92CC2">
            <w:pPr>
              <w:spacing w:before="0" w:after="0" w:line="240" w:lineRule="auto"/>
              <w:jc w:val="center"/>
              <w:rPr>
                <w:rFonts w:ascii="Calibri" w:eastAsia="Times New Roman" w:hAnsi="Calibri" w:cs="Calibri"/>
                <w:bCs/>
                <w:sz w:val="16"/>
                <w:szCs w:val="16"/>
                <w:lang w:val="en-US"/>
              </w:rPr>
            </w:pPr>
            <w:r w:rsidRPr="00A92CC2">
              <w:rPr>
                <w:rFonts w:ascii="Calibri" w:eastAsia="Times New Roman" w:hAnsi="Calibri" w:cs="Calibri"/>
                <w:bCs/>
                <w:sz w:val="16"/>
                <w:szCs w:val="16"/>
                <w:lang w:val="en-US"/>
              </w:rPr>
              <w:t>11</w:t>
            </w:r>
          </w:p>
        </w:tc>
        <w:tc>
          <w:tcPr>
            <w:tcW w:w="1980" w:type="dxa"/>
            <w:tcBorders>
              <w:top w:val="nil"/>
              <w:left w:val="nil"/>
              <w:bottom w:val="single" w:sz="4" w:space="0" w:color="9CC2E5"/>
              <w:right w:val="single" w:sz="4" w:space="0" w:color="FFFFFF"/>
            </w:tcBorders>
            <w:shd w:val="clear" w:color="auto" w:fill="auto"/>
            <w:hideMark/>
          </w:tcPr>
          <w:p w14:paraId="37992F8F" w14:textId="77777777" w:rsidR="00A92CC2" w:rsidRPr="00A92CC2" w:rsidRDefault="00A92CC2" w:rsidP="00A92CC2">
            <w:pPr>
              <w:spacing w:before="0" w:after="0" w:line="240" w:lineRule="auto"/>
              <w:rPr>
                <w:rFonts w:ascii="Calibri" w:eastAsia="Times New Roman" w:hAnsi="Calibri" w:cs="Calibri"/>
                <w:sz w:val="14"/>
                <w:szCs w:val="16"/>
                <w:lang w:val="en-US"/>
              </w:rPr>
            </w:pPr>
            <w:r w:rsidRPr="00A92CC2">
              <w:rPr>
                <w:rFonts w:ascii="Calibri" w:eastAsia="Times New Roman" w:hAnsi="Calibri" w:cs="Calibri"/>
                <w:sz w:val="14"/>
                <w:szCs w:val="16"/>
                <w:lang w:val="en-US"/>
              </w:rPr>
              <w:t>Alte activități</w:t>
            </w:r>
          </w:p>
        </w:tc>
        <w:tc>
          <w:tcPr>
            <w:tcW w:w="581" w:type="dxa"/>
            <w:tcBorders>
              <w:top w:val="nil"/>
              <w:left w:val="nil"/>
              <w:bottom w:val="single" w:sz="4" w:space="0" w:color="9CC2E5"/>
              <w:right w:val="single" w:sz="4" w:space="0" w:color="FFFFFF"/>
            </w:tcBorders>
            <w:shd w:val="clear" w:color="auto" w:fill="auto"/>
            <w:noWrap/>
            <w:hideMark/>
          </w:tcPr>
          <w:p w14:paraId="0AC25EFD"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222</w:t>
            </w:r>
          </w:p>
        </w:tc>
        <w:tc>
          <w:tcPr>
            <w:tcW w:w="946" w:type="dxa"/>
            <w:tcBorders>
              <w:top w:val="nil"/>
              <w:left w:val="nil"/>
              <w:bottom w:val="single" w:sz="4" w:space="0" w:color="9CC2E5"/>
              <w:right w:val="single" w:sz="4" w:space="0" w:color="FFFFFF"/>
            </w:tcBorders>
            <w:shd w:val="clear" w:color="auto" w:fill="auto"/>
            <w:noWrap/>
            <w:hideMark/>
          </w:tcPr>
          <w:p w14:paraId="5DC2C1D0"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913.388</w:t>
            </w:r>
          </w:p>
        </w:tc>
        <w:tc>
          <w:tcPr>
            <w:tcW w:w="780" w:type="dxa"/>
            <w:tcBorders>
              <w:top w:val="nil"/>
              <w:left w:val="nil"/>
              <w:bottom w:val="single" w:sz="4" w:space="0" w:color="9CC2E5"/>
              <w:right w:val="single" w:sz="4" w:space="0" w:color="FFFFFF"/>
            </w:tcBorders>
            <w:shd w:val="clear" w:color="auto" w:fill="auto"/>
            <w:noWrap/>
            <w:hideMark/>
          </w:tcPr>
          <w:p w14:paraId="1392215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10.903</w:t>
            </w:r>
          </w:p>
        </w:tc>
        <w:tc>
          <w:tcPr>
            <w:tcW w:w="843" w:type="dxa"/>
            <w:tcBorders>
              <w:top w:val="nil"/>
              <w:left w:val="nil"/>
              <w:bottom w:val="single" w:sz="4" w:space="0" w:color="9CC2E5"/>
              <w:right w:val="single" w:sz="4" w:space="0" w:color="FFFFFF"/>
            </w:tcBorders>
            <w:shd w:val="clear" w:color="auto" w:fill="auto"/>
            <w:noWrap/>
            <w:hideMark/>
          </w:tcPr>
          <w:p w14:paraId="68165CE6"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-27.166</w:t>
            </w:r>
          </w:p>
        </w:tc>
        <w:tc>
          <w:tcPr>
            <w:tcW w:w="946" w:type="dxa"/>
            <w:tcBorders>
              <w:top w:val="nil"/>
              <w:left w:val="nil"/>
              <w:bottom w:val="single" w:sz="4" w:space="0" w:color="9CC2E5"/>
              <w:right w:val="single" w:sz="4" w:space="0" w:color="FFFFFF"/>
            </w:tcBorders>
            <w:shd w:val="clear" w:color="auto" w:fill="auto"/>
            <w:noWrap/>
            <w:hideMark/>
          </w:tcPr>
          <w:p w14:paraId="3CF6D047"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2.707.063</w:t>
            </w:r>
          </w:p>
        </w:tc>
        <w:tc>
          <w:tcPr>
            <w:tcW w:w="865" w:type="dxa"/>
            <w:tcBorders>
              <w:top w:val="nil"/>
              <w:left w:val="nil"/>
              <w:bottom w:val="single" w:sz="4" w:space="0" w:color="9CC2E5"/>
              <w:right w:val="single" w:sz="4" w:space="0" w:color="FFFFFF"/>
            </w:tcBorders>
            <w:shd w:val="clear" w:color="auto" w:fill="auto"/>
            <w:noWrap/>
            <w:hideMark/>
          </w:tcPr>
          <w:p w14:paraId="63A0FCC5"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940.748</w:t>
            </w:r>
          </w:p>
        </w:tc>
        <w:tc>
          <w:tcPr>
            <w:tcW w:w="865" w:type="dxa"/>
            <w:tcBorders>
              <w:top w:val="nil"/>
              <w:left w:val="nil"/>
              <w:bottom w:val="single" w:sz="4" w:space="0" w:color="9CC2E5"/>
              <w:right w:val="single" w:sz="4" w:space="0" w:color="FFFFFF"/>
            </w:tcBorders>
            <w:shd w:val="clear" w:color="auto" w:fill="auto"/>
            <w:noWrap/>
            <w:hideMark/>
          </w:tcPr>
          <w:p w14:paraId="320E0E9F"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544.842</w:t>
            </w:r>
          </w:p>
        </w:tc>
        <w:tc>
          <w:tcPr>
            <w:tcW w:w="924" w:type="dxa"/>
            <w:tcBorders>
              <w:top w:val="nil"/>
              <w:left w:val="nil"/>
              <w:bottom w:val="single" w:sz="4" w:space="0" w:color="9CC2E5"/>
              <w:right w:val="single" w:sz="4" w:space="0" w:color="FFFFFF"/>
            </w:tcBorders>
            <w:shd w:val="clear" w:color="auto" w:fill="auto"/>
            <w:noWrap/>
            <w:hideMark/>
          </w:tcPr>
          <w:p w14:paraId="6053C9AB" w14:textId="77777777" w:rsidR="00A92CC2" w:rsidRPr="00A92CC2" w:rsidRDefault="00A92CC2" w:rsidP="00A92CC2">
            <w:pPr>
              <w:spacing w:before="0" w:after="0" w:line="240" w:lineRule="auto"/>
              <w:jc w:val="right"/>
              <w:rPr>
                <w:rFonts w:ascii="Calibri" w:eastAsia="Times New Roman" w:hAnsi="Calibri" w:cs="Calibri"/>
                <w:sz w:val="16"/>
                <w:szCs w:val="16"/>
                <w:lang w:val="en-US"/>
              </w:rPr>
            </w:pPr>
            <w:r w:rsidRPr="00A92CC2">
              <w:rPr>
                <w:rFonts w:ascii="Calibri" w:eastAsia="Times New Roman" w:hAnsi="Calibri" w:cs="Calibri"/>
                <w:sz w:val="16"/>
                <w:szCs w:val="16"/>
                <w:lang w:val="en-US"/>
              </w:rPr>
              <w:t>180.049</w:t>
            </w:r>
          </w:p>
        </w:tc>
      </w:tr>
      <w:tr w:rsidR="00A92CC2" w:rsidRPr="00A92CC2" w14:paraId="295C3183" w14:textId="77777777" w:rsidTr="0000289C">
        <w:trPr>
          <w:trHeight w:val="239"/>
        </w:trPr>
        <w:tc>
          <w:tcPr>
            <w:tcW w:w="2445" w:type="dxa"/>
            <w:gridSpan w:val="2"/>
            <w:tcBorders>
              <w:top w:val="single" w:sz="4" w:space="0" w:color="9CC2E5"/>
              <w:left w:val="single" w:sz="4" w:space="0" w:color="FFFFFF"/>
              <w:bottom w:val="single" w:sz="4" w:space="0" w:color="9CC2E5"/>
              <w:right w:val="single" w:sz="4" w:space="0" w:color="FFFFFF"/>
            </w:tcBorders>
            <w:shd w:val="clear" w:color="auto" w:fill="auto"/>
            <w:noWrap/>
            <w:hideMark/>
          </w:tcPr>
          <w:p w14:paraId="252F53EF" w14:textId="77777777" w:rsidR="00A92CC2" w:rsidRPr="00A92CC2" w:rsidRDefault="00A92CC2" w:rsidP="00A92CC2">
            <w:pPr>
              <w:spacing w:before="0" w:after="0" w:line="240" w:lineRule="auto"/>
              <w:jc w:val="center"/>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TOTAL GENERAL 2020</w:t>
            </w:r>
          </w:p>
        </w:tc>
        <w:tc>
          <w:tcPr>
            <w:tcW w:w="581" w:type="dxa"/>
            <w:tcBorders>
              <w:top w:val="nil"/>
              <w:left w:val="nil"/>
              <w:bottom w:val="single" w:sz="4" w:space="0" w:color="9CC2E5"/>
              <w:right w:val="single" w:sz="4" w:space="0" w:color="FFFFFF"/>
            </w:tcBorders>
            <w:shd w:val="clear" w:color="auto" w:fill="auto"/>
            <w:noWrap/>
            <w:hideMark/>
          </w:tcPr>
          <w:p w14:paraId="23B3BE09"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1.238</w:t>
            </w:r>
          </w:p>
        </w:tc>
        <w:tc>
          <w:tcPr>
            <w:tcW w:w="946" w:type="dxa"/>
            <w:tcBorders>
              <w:top w:val="nil"/>
              <w:left w:val="nil"/>
              <w:bottom w:val="single" w:sz="4" w:space="0" w:color="9CC2E5"/>
              <w:right w:val="single" w:sz="4" w:space="0" w:color="FFFFFF"/>
            </w:tcBorders>
            <w:shd w:val="clear" w:color="auto" w:fill="auto"/>
            <w:noWrap/>
            <w:hideMark/>
          </w:tcPr>
          <w:p w14:paraId="418E1A50"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12.207.501</w:t>
            </w:r>
          </w:p>
        </w:tc>
        <w:tc>
          <w:tcPr>
            <w:tcW w:w="780" w:type="dxa"/>
            <w:tcBorders>
              <w:top w:val="nil"/>
              <w:left w:val="nil"/>
              <w:bottom w:val="single" w:sz="4" w:space="0" w:color="9CC2E5"/>
              <w:right w:val="single" w:sz="4" w:space="0" w:color="FFFFFF"/>
            </w:tcBorders>
            <w:shd w:val="clear" w:color="auto" w:fill="auto"/>
            <w:noWrap/>
            <w:hideMark/>
          </w:tcPr>
          <w:p w14:paraId="03944E00"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101.447</w:t>
            </w:r>
          </w:p>
        </w:tc>
        <w:tc>
          <w:tcPr>
            <w:tcW w:w="843" w:type="dxa"/>
            <w:tcBorders>
              <w:top w:val="nil"/>
              <w:left w:val="nil"/>
              <w:bottom w:val="single" w:sz="4" w:space="0" w:color="9CC2E5"/>
              <w:right w:val="single" w:sz="4" w:space="0" w:color="FFFFFF"/>
            </w:tcBorders>
            <w:shd w:val="clear" w:color="auto" w:fill="auto"/>
            <w:noWrap/>
            <w:hideMark/>
          </w:tcPr>
          <w:p w14:paraId="6B810ECB"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112.144</w:t>
            </w:r>
          </w:p>
        </w:tc>
        <w:tc>
          <w:tcPr>
            <w:tcW w:w="946" w:type="dxa"/>
            <w:tcBorders>
              <w:top w:val="nil"/>
              <w:left w:val="nil"/>
              <w:bottom w:val="single" w:sz="4" w:space="0" w:color="9CC2E5"/>
              <w:right w:val="single" w:sz="4" w:space="0" w:color="FFFFFF"/>
            </w:tcBorders>
            <w:shd w:val="clear" w:color="auto" w:fill="auto"/>
            <w:noWrap/>
            <w:hideMark/>
          </w:tcPr>
          <w:p w14:paraId="512175CF"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27.640.115</w:t>
            </w:r>
          </w:p>
        </w:tc>
        <w:tc>
          <w:tcPr>
            <w:tcW w:w="865" w:type="dxa"/>
            <w:tcBorders>
              <w:top w:val="nil"/>
              <w:left w:val="nil"/>
              <w:bottom w:val="single" w:sz="4" w:space="0" w:color="9CC2E5"/>
              <w:right w:val="single" w:sz="4" w:space="0" w:color="FFFFFF"/>
            </w:tcBorders>
            <w:shd w:val="clear" w:color="auto" w:fill="auto"/>
            <w:noWrap/>
            <w:hideMark/>
          </w:tcPr>
          <w:p w14:paraId="0BB16DFA"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8.107.589</w:t>
            </w:r>
          </w:p>
        </w:tc>
        <w:tc>
          <w:tcPr>
            <w:tcW w:w="865" w:type="dxa"/>
            <w:tcBorders>
              <w:top w:val="nil"/>
              <w:left w:val="nil"/>
              <w:bottom w:val="single" w:sz="4" w:space="0" w:color="9CC2E5"/>
              <w:right w:val="single" w:sz="4" w:space="0" w:color="FFFFFF"/>
            </w:tcBorders>
            <w:shd w:val="clear" w:color="auto" w:fill="auto"/>
            <w:noWrap/>
            <w:hideMark/>
          </w:tcPr>
          <w:p w14:paraId="30D4D940"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7.474.119</w:t>
            </w:r>
          </w:p>
        </w:tc>
        <w:tc>
          <w:tcPr>
            <w:tcW w:w="924" w:type="dxa"/>
            <w:tcBorders>
              <w:top w:val="nil"/>
              <w:left w:val="nil"/>
              <w:bottom w:val="single" w:sz="4" w:space="0" w:color="9CC2E5"/>
              <w:right w:val="single" w:sz="4" w:space="0" w:color="FFFFFF"/>
            </w:tcBorders>
            <w:shd w:val="clear" w:color="auto" w:fill="auto"/>
            <w:noWrap/>
            <w:hideMark/>
          </w:tcPr>
          <w:p w14:paraId="709F4663" w14:textId="77777777" w:rsidR="00A92CC2" w:rsidRPr="00A92CC2" w:rsidRDefault="00A92CC2" w:rsidP="00A92CC2">
            <w:pPr>
              <w:spacing w:before="0" w:after="0" w:line="240" w:lineRule="auto"/>
              <w:jc w:val="right"/>
              <w:rPr>
                <w:rFonts w:ascii="Calibri" w:eastAsia="Times New Roman" w:hAnsi="Calibri" w:cs="Calibri"/>
                <w:bCs/>
                <w:color w:val="0F6FC6" w:themeColor="accent1"/>
                <w:sz w:val="16"/>
                <w:szCs w:val="16"/>
                <w:lang w:val="en-US"/>
              </w:rPr>
            </w:pPr>
            <w:r w:rsidRPr="00A92CC2">
              <w:rPr>
                <w:rFonts w:ascii="Calibri" w:eastAsia="Times New Roman" w:hAnsi="Calibri" w:cs="Calibri"/>
                <w:bCs/>
                <w:color w:val="0F6FC6" w:themeColor="accent1"/>
                <w:sz w:val="16"/>
                <w:szCs w:val="16"/>
                <w:lang w:val="en-US"/>
              </w:rPr>
              <w:t>1.957.219</w:t>
            </w:r>
          </w:p>
        </w:tc>
      </w:tr>
    </w:tbl>
    <w:p w14:paraId="50E437A5" w14:textId="77777777" w:rsidR="00A92CC2" w:rsidRPr="00D95C57" w:rsidRDefault="002B75EF" w:rsidP="00F83DE8">
      <w:pPr>
        <w:pStyle w:val="ListParagraph"/>
        <w:ind w:left="0" w:right="-286"/>
        <w:jc w:val="both"/>
        <w:rPr>
          <w:rFonts w:asciiTheme="majorHAnsi" w:hAnsiTheme="majorHAnsi"/>
        </w:rPr>
      </w:pPr>
      <w:r>
        <w:rPr>
          <w:rFonts w:asciiTheme="majorHAnsi" w:hAnsiTheme="majorHAnsi"/>
          <w:noProof/>
          <w:lang w:val="en-US"/>
        </w:rPr>
        <w:drawing>
          <wp:inline distT="0" distB="0" distL="0" distR="0" wp14:anchorId="28833DF4" wp14:editId="4DEC9427">
            <wp:extent cx="5757062" cy="43159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5768" cy="4314998"/>
                    </a:xfrm>
                    <a:prstGeom prst="rect">
                      <a:avLst/>
                    </a:prstGeom>
                    <a:noFill/>
                  </pic:spPr>
                </pic:pic>
              </a:graphicData>
            </a:graphic>
          </wp:inline>
        </w:drawing>
      </w:r>
    </w:p>
    <w:p w14:paraId="5E37929A" w14:textId="77777777" w:rsidR="00F83DE8" w:rsidRPr="00D95C57" w:rsidRDefault="00F83DE8" w:rsidP="00F83DE8">
      <w:pPr>
        <w:jc w:val="both"/>
        <w:rPr>
          <w:rFonts w:ascii="Calibri Light" w:hAnsi="Calibri Light" w:cs="Arial"/>
        </w:rPr>
      </w:pPr>
      <w:r w:rsidRPr="00D95C57">
        <w:rPr>
          <w:rFonts w:ascii="Calibri Light" w:hAnsi="Calibri Light" w:cs="Arial"/>
        </w:rPr>
        <w:t>La gruparea ÎPL pe domenii de activitate s-a avut în vedere legislația privind clasificarea activităților din economia națională – CAEN și indicatorul economico-financiar cifră de afaceri netă realizată de ÎPL, care reprezintă un indicator important în măsurarea activității unei firme.</w:t>
      </w:r>
    </w:p>
    <w:p w14:paraId="14FFF9BC" w14:textId="77777777" w:rsidR="00F83DE8" w:rsidRPr="00D95C57" w:rsidRDefault="00F83DE8" w:rsidP="00F83DE8">
      <w:pPr>
        <w:jc w:val="both"/>
        <w:rPr>
          <w:rFonts w:ascii="Calibri Light" w:hAnsi="Calibri Light" w:cs="Arial"/>
        </w:rPr>
      </w:pPr>
      <w:r w:rsidRPr="00D95C57">
        <w:rPr>
          <w:rFonts w:ascii="Calibri Light" w:hAnsi="Calibri Light" w:cs="Arial"/>
        </w:rPr>
        <w:t xml:space="preserve">Urmare acestei clasificări pe diviziuni se poate observa </w:t>
      </w:r>
      <w:r w:rsidR="00096FE9" w:rsidRPr="00D95C57">
        <w:rPr>
          <w:rFonts w:ascii="Calibri Light" w:hAnsi="Calibri Light" w:cs="Arial"/>
        </w:rPr>
        <w:t>c</w:t>
      </w:r>
      <w:r w:rsidR="00096FE9">
        <w:rPr>
          <w:rFonts w:ascii="Calibri Light" w:hAnsi="Calibri Light" w:cs="Arial"/>
        </w:rPr>
        <w:t>ă</w:t>
      </w:r>
      <w:r w:rsidR="00096FE9" w:rsidRPr="00D95C57">
        <w:rPr>
          <w:rFonts w:ascii="Calibri Light" w:hAnsi="Calibri Light" w:cs="Arial"/>
        </w:rPr>
        <w:t xml:space="preserve"> </w:t>
      </w:r>
      <w:r w:rsidRPr="00D95C57">
        <w:rPr>
          <w:rFonts w:ascii="Calibri Light" w:hAnsi="Calibri Light" w:cs="Arial"/>
        </w:rPr>
        <w:t>ponderea cea mai mare a indicatorului cifră de afaceri netă în totalul cifrei de afaceri nete realizate de cele 1.2</w:t>
      </w:r>
      <w:r w:rsidR="005567D7">
        <w:rPr>
          <w:rFonts w:ascii="Calibri Light" w:hAnsi="Calibri Light" w:cs="Arial"/>
        </w:rPr>
        <w:t>3</w:t>
      </w:r>
      <w:r w:rsidR="00A92CC2">
        <w:rPr>
          <w:rFonts w:ascii="Calibri Light" w:hAnsi="Calibri Light" w:cs="Arial"/>
        </w:rPr>
        <w:t>8</w:t>
      </w:r>
      <w:r w:rsidRPr="00D95C57">
        <w:rPr>
          <w:rFonts w:ascii="Calibri Light" w:hAnsi="Calibri Light" w:cs="Arial"/>
        </w:rPr>
        <w:t xml:space="preserve"> ÎPL active, este deținută de cele 3</w:t>
      </w:r>
      <w:r w:rsidR="005567D7">
        <w:rPr>
          <w:rFonts w:ascii="Calibri Light" w:hAnsi="Calibri Light" w:cs="Arial"/>
        </w:rPr>
        <w:t>2</w:t>
      </w:r>
      <w:r w:rsidR="00A92CC2">
        <w:rPr>
          <w:rFonts w:ascii="Calibri Light" w:hAnsi="Calibri Light" w:cs="Arial"/>
        </w:rPr>
        <w:t>9</w:t>
      </w:r>
      <w:r w:rsidRPr="00D95C57">
        <w:rPr>
          <w:rFonts w:ascii="Calibri Light" w:hAnsi="Calibri Light" w:cs="Arial"/>
        </w:rPr>
        <w:t xml:space="preserve"> ÎPL care desfășoară activități de „captare, tratare și distribuție a apei”. </w:t>
      </w:r>
    </w:p>
    <w:p w14:paraId="3B1C6854" w14:textId="77777777" w:rsidR="00F83DE8" w:rsidRPr="00D95C57" w:rsidRDefault="00F83DE8" w:rsidP="00F83DE8">
      <w:pPr>
        <w:jc w:val="both"/>
        <w:rPr>
          <w:rFonts w:ascii="Calibri Light" w:hAnsi="Calibri Light" w:cs="Arial"/>
        </w:rPr>
      </w:pPr>
      <w:r w:rsidRPr="00D95C57">
        <w:rPr>
          <w:rFonts w:ascii="Calibri Light" w:hAnsi="Calibri Light" w:cs="Arial"/>
        </w:rPr>
        <w:t>O pondere însemnată în totalul cifrei de afaceri nete realizate de cele 1.2</w:t>
      </w:r>
      <w:r w:rsidR="005567D7">
        <w:rPr>
          <w:rFonts w:ascii="Calibri Light" w:hAnsi="Calibri Light" w:cs="Arial"/>
        </w:rPr>
        <w:t>3</w:t>
      </w:r>
      <w:r w:rsidR="00A92CC2">
        <w:rPr>
          <w:rFonts w:ascii="Calibri Light" w:hAnsi="Calibri Light" w:cs="Arial"/>
        </w:rPr>
        <w:t>8</w:t>
      </w:r>
      <w:r w:rsidRPr="00D95C57">
        <w:rPr>
          <w:rFonts w:ascii="Calibri Light" w:hAnsi="Calibri Light" w:cs="Arial"/>
        </w:rPr>
        <w:t xml:space="preserve"> ÎPL active este deținută de ÎPL care își desfășoară activitatea în diviziunea „transporturi terestre și transporturi prin conducte”.</w:t>
      </w:r>
    </w:p>
    <w:p w14:paraId="4BDB3FD9" w14:textId="77777777" w:rsidR="00F83DE8" w:rsidRPr="00D95C57" w:rsidRDefault="00F83DE8" w:rsidP="00F83DE8">
      <w:pPr>
        <w:jc w:val="both"/>
        <w:rPr>
          <w:rFonts w:ascii="Calibri Light" w:hAnsi="Calibri Light" w:cs="Arial"/>
        </w:rPr>
      </w:pPr>
      <w:r w:rsidRPr="00D95C57">
        <w:rPr>
          <w:rFonts w:ascii="Calibri Light" w:hAnsi="Calibri Light" w:cs="Arial"/>
        </w:rPr>
        <w:t>În diviziunea „producția și furnizarea de energie electrică și termică, gaze, apă caldă și aer condiționat”, care ocupă locul trei în acest clasament, activează ÎPL care asigură furnizarea agentului termic către comunitățile locale pentru care indicatorul rezultat brut este negativ în anul 20</w:t>
      </w:r>
      <w:r w:rsidR="0000289C">
        <w:rPr>
          <w:rFonts w:ascii="Calibri Light" w:hAnsi="Calibri Light" w:cs="Arial"/>
        </w:rPr>
        <w:t>20</w:t>
      </w:r>
      <w:r w:rsidRPr="00D95C57">
        <w:rPr>
          <w:rFonts w:ascii="Calibri Light" w:hAnsi="Calibri Light" w:cs="Arial"/>
        </w:rPr>
        <w:t xml:space="preserve"> iar plățile restante reprezintă o pondere de 3</w:t>
      </w:r>
      <w:r w:rsidR="005567D7">
        <w:rPr>
          <w:rFonts w:ascii="Calibri Light" w:hAnsi="Calibri Light" w:cs="Arial"/>
        </w:rPr>
        <w:t>0</w:t>
      </w:r>
      <w:r w:rsidRPr="00D95C57">
        <w:rPr>
          <w:rFonts w:ascii="Calibri Light" w:hAnsi="Calibri Light" w:cs="Arial"/>
        </w:rPr>
        <w:t>,</w:t>
      </w:r>
      <w:r w:rsidR="005567D7">
        <w:rPr>
          <w:rFonts w:ascii="Calibri Light" w:hAnsi="Calibri Light" w:cs="Arial"/>
        </w:rPr>
        <w:t>28</w:t>
      </w:r>
      <w:r w:rsidRPr="00D95C57">
        <w:rPr>
          <w:rFonts w:ascii="Calibri Light" w:hAnsi="Calibri Light" w:cs="Arial"/>
        </w:rPr>
        <w:t xml:space="preserve">% din totalul plăților </w:t>
      </w:r>
      <w:r w:rsidR="004541D3">
        <w:rPr>
          <w:rFonts w:ascii="Calibri Light" w:hAnsi="Calibri Light" w:cs="Arial"/>
        </w:rPr>
        <w:t xml:space="preserve">restante </w:t>
      </w:r>
      <w:r w:rsidRPr="00D95C57">
        <w:rPr>
          <w:rFonts w:ascii="Calibri Light" w:hAnsi="Calibri Light" w:cs="Arial"/>
        </w:rPr>
        <w:t>înregistrate de toate ÎPL active.</w:t>
      </w:r>
    </w:p>
    <w:p w14:paraId="352D3FCD" w14:textId="77777777" w:rsidR="00F83DE8" w:rsidRPr="00D95C57" w:rsidRDefault="00F83DE8" w:rsidP="00F83DE8">
      <w:pPr>
        <w:jc w:val="both"/>
        <w:rPr>
          <w:rFonts w:ascii="Calibri Light" w:hAnsi="Calibri Light" w:cs="Arial"/>
        </w:rPr>
      </w:pPr>
      <w:r w:rsidRPr="00D95C57">
        <w:rPr>
          <w:rFonts w:ascii="Calibri Light" w:hAnsi="Calibri Light" w:cs="Arial"/>
        </w:rPr>
        <w:t>În cazul celor trei domenii prezentate mai sus indicatorul cifră de afaceri netă în anul 20</w:t>
      </w:r>
      <w:r w:rsidR="0000289C">
        <w:rPr>
          <w:rFonts w:ascii="Calibri Light" w:hAnsi="Calibri Light" w:cs="Arial"/>
        </w:rPr>
        <w:t>20</w:t>
      </w:r>
      <w:r w:rsidRPr="00D95C57">
        <w:rPr>
          <w:rFonts w:ascii="Calibri Light" w:hAnsi="Calibri Light" w:cs="Arial"/>
        </w:rPr>
        <w:t xml:space="preserve"> reprezintă o pondere de 6</w:t>
      </w:r>
      <w:r w:rsidR="0000289C">
        <w:rPr>
          <w:rFonts w:ascii="Calibri Light" w:hAnsi="Calibri Light" w:cs="Arial"/>
        </w:rPr>
        <w:t>6</w:t>
      </w:r>
      <w:r w:rsidRPr="00D95C57">
        <w:rPr>
          <w:rFonts w:ascii="Calibri Light" w:hAnsi="Calibri Light" w:cs="Arial"/>
        </w:rPr>
        <w:t>,</w:t>
      </w:r>
      <w:r w:rsidR="0000289C">
        <w:rPr>
          <w:rFonts w:ascii="Calibri Light" w:hAnsi="Calibri Light" w:cs="Arial"/>
        </w:rPr>
        <w:t>7</w:t>
      </w:r>
      <w:r w:rsidR="005567D7">
        <w:rPr>
          <w:rFonts w:ascii="Calibri Light" w:hAnsi="Calibri Light" w:cs="Arial"/>
        </w:rPr>
        <w:t>9</w:t>
      </w:r>
      <w:r w:rsidRPr="00D95C57">
        <w:rPr>
          <w:rFonts w:ascii="Calibri Light" w:hAnsi="Calibri Light" w:cs="Arial"/>
        </w:rPr>
        <w:t>% din totalul cifrei de afaceri nete realizate de cele 1.2</w:t>
      </w:r>
      <w:r w:rsidR="005567D7">
        <w:rPr>
          <w:rFonts w:ascii="Calibri Light" w:hAnsi="Calibri Light" w:cs="Arial"/>
        </w:rPr>
        <w:t>3</w:t>
      </w:r>
      <w:r w:rsidR="0000289C">
        <w:rPr>
          <w:rFonts w:ascii="Calibri Light" w:hAnsi="Calibri Light" w:cs="Arial"/>
        </w:rPr>
        <w:t>8</w:t>
      </w:r>
      <w:r w:rsidRPr="00D95C57">
        <w:rPr>
          <w:rFonts w:ascii="Calibri Light" w:hAnsi="Calibri Light" w:cs="Arial"/>
        </w:rPr>
        <w:t xml:space="preserve"> ÎPL active. </w:t>
      </w:r>
    </w:p>
    <w:p w14:paraId="23F55864" w14:textId="77777777" w:rsidR="00F83DE8" w:rsidRDefault="00F83DE8" w:rsidP="00F83DE8">
      <w:pPr>
        <w:jc w:val="both"/>
        <w:rPr>
          <w:rFonts w:ascii="Calibri Light" w:hAnsi="Calibri Light" w:cs="Arial"/>
        </w:rPr>
      </w:pPr>
      <w:r w:rsidRPr="00D95C57">
        <w:rPr>
          <w:rFonts w:ascii="Calibri Light" w:hAnsi="Calibri Light" w:cs="Arial"/>
        </w:rPr>
        <w:t>Cele prezentate mai sus reflectă faptul că principalele domenii de activitate în care ÎPL activează sunt cele de captare, tratare și distribuție a apei, de transporturi terestre de călători, de furnizare a energiei termice și de colectare, tratare și eliminare a deșeurilor acestea având în special un rol de serviciu public pentru comunitățile locale.</w:t>
      </w:r>
    </w:p>
    <w:p w14:paraId="164CC1A8" w14:textId="77777777" w:rsidR="005E4009" w:rsidRDefault="005E4009" w:rsidP="00F83DE8">
      <w:pPr>
        <w:spacing w:beforeAutospacing="1" w:after="100" w:afterAutospacing="1"/>
        <w:jc w:val="both"/>
        <w:rPr>
          <w:rFonts w:asciiTheme="majorHAnsi" w:hAnsiTheme="majorHAnsi" w:cs="Times New Roman"/>
          <w:b/>
          <w:bCs/>
          <w:noProof/>
          <w:lang w:eastAsia="es-ES"/>
        </w:rPr>
      </w:pPr>
    </w:p>
    <w:p w14:paraId="19AE0EE5" w14:textId="77777777" w:rsidR="00F83DE8" w:rsidRPr="00D95C57" w:rsidRDefault="00F83DE8" w:rsidP="00F83DE8">
      <w:pPr>
        <w:spacing w:beforeAutospacing="1" w:after="100" w:afterAutospacing="1"/>
        <w:jc w:val="both"/>
        <w:rPr>
          <w:rFonts w:asciiTheme="majorHAnsi" w:hAnsiTheme="majorHAnsi" w:cs="Times New Roman"/>
          <w:b/>
          <w:bCs/>
          <w:noProof/>
          <w:lang w:val="en-US" w:eastAsia="es-ES"/>
        </w:rPr>
      </w:pPr>
      <w:r w:rsidRPr="00D95C57">
        <w:rPr>
          <w:rFonts w:asciiTheme="majorHAnsi" w:hAnsiTheme="majorHAnsi" w:cs="Times New Roman"/>
          <w:b/>
          <w:bCs/>
          <w:noProof/>
          <w:lang w:eastAsia="es-ES"/>
        </w:rPr>
        <w:t xml:space="preserve">Din datele prezentate în tabelul </w:t>
      </w:r>
      <w:r w:rsidR="00DC3F61">
        <w:rPr>
          <w:rFonts w:asciiTheme="majorHAnsi" w:hAnsiTheme="majorHAnsi" w:cs="Times New Roman"/>
          <w:b/>
          <w:bCs/>
          <w:noProof/>
          <w:lang w:eastAsia="es-ES"/>
        </w:rPr>
        <w:t>de mai sus</w:t>
      </w:r>
      <w:r w:rsidRPr="00D95C57">
        <w:rPr>
          <w:rFonts w:asciiTheme="majorHAnsi" w:hAnsiTheme="majorHAnsi" w:cs="Times New Roman"/>
          <w:b/>
          <w:bCs/>
          <w:noProof/>
          <w:lang w:eastAsia="es-ES"/>
        </w:rPr>
        <w:t xml:space="preserve"> privind cele mai importante sectoare de activitate în care își desfășoară activitatea ÎPL, ordonate descrescător în funcție de indicatorul economico-financiar cifră de afaceri netă, se observă următoarele</w:t>
      </w:r>
      <w:r w:rsidRPr="00D95C57">
        <w:rPr>
          <w:rFonts w:asciiTheme="majorHAnsi" w:hAnsiTheme="majorHAnsi" w:cs="Times New Roman"/>
          <w:b/>
          <w:bCs/>
          <w:noProof/>
          <w:lang w:val="en-US" w:eastAsia="es-ES"/>
        </w:rPr>
        <w:t>:</w:t>
      </w:r>
    </w:p>
    <w:p w14:paraId="457E17E5" w14:textId="77777777" w:rsidR="00F83DE8" w:rsidRPr="00D95C57" w:rsidRDefault="00F83DE8" w:rsidP="002B75EF">
      <w:pPr>
        <w:numPr>
          <w:ilvl w:val="2"/>
          <w:numId w:val="12"/>
        </w:numPr>
        <w:spacing w:beforeAutospacing="1" w:after="100" w:afterAutospacing="1"/>
        <w:ind w:left="270" w:hanging="270"/>
        <w:contextualSpacing/>
        <w:jc w:val="both"/>
        <w:rPr>
          <w:rFonts w:asciiTheme="majorHAnsi" w:hAnsiTheme="majorHAnsi" w:cs="Times New Roman"/>
          <w:b/>
        </w:rPr>
      </w:pPr>
      <w:r w:rsidRPr="00D95C57">
        <w:rPr>
          <w:rFonts w:asciiTheme="majorHAnsi" w:hAnsiTheme="majorHAnsi" w:cs="Times New Roman"/>
          <w:noProof/>
          <w:lang w:eastAsia="es-ES"/>
        </w:rPr>
        <w:t>Cele mai multe ÎPL, respectiv un</w:t>
      </w:r>
      <w:r w:rsidRPr="00D95C57">
        <w:rPr>
          <w:rFonts w:asciiTheme="majorHAnsi" w:hAnsiTheme="majorHAnsi" w:cs="Times New Roman"/>
          <w:b/>
          <w:bCs/>
          <w:noProof/>
          <w:lang w:eastAsia="es-ES"/>
        </w:rPr>
        <w:t xml:space="preserve"> număr de 3</w:t>
      </w:r>
      <w:r w:rsidR="004541D3">
        <w:rPr>
          <w:rFonts w:asciiTheme="majorHAnsi" w:hAnsiTheme="majorHAnsi" w:cs="Times New Roman"/>
          <w:b/>
          <w:bCs/>
          <w:noProof/>
          <w:lang w:eastAsia="es-ES"/>
        </w:rPr>
        <w:t>2</w:t>
      </w:r>
      <w:r w:rsidR="0000289C">
        <w:rPr>
          <w:rFonts w:asciiTheme="majorHAnsi" w:hAnsiTheme="majorHAnsi" w:cs="Times New Roman"/>
          <w:b/>
          <w:bCs/>
          <w:noProof/>
          <w:lang w:eastAsia="es-ES"/>
        </w:rPr>
        <w:t>9</w:t>
      </w:r>
      <w:r w:rsidRPr="00D95C57">
        <w:rPr>
          <w:rFonts w:asciiTheme="majorHAnsi" w:hAnsiTheme="majorHAnsi" w:cs="Times New Roman"/>
          <w:b/>
          <w:bCs/>
          <w:noProof/>
          <w:lang w:eastAsia="es-ES"/>
        </w:rPr>
        <w:t xml:space="preserve"> ÎPL </w:t>
      </w:r>
      <w:r w:rsidRPr="00D95C57">
        <w:rPr>
          <w:rFonts w:asciiTheme="majorHAnsi" w:hAnsiTheme="majorHAnsi" w:cs="Times New Roman"/>
          <w:noProof/>
          <w:lang w:eastAsia="es-ES"/>
        </w:rPr>
        <w:t>active</w:t>
      </w:r>
      <w:r w:rsidRPr="00D95C57">
        <w:rPr>
          <w:rFonts w:asciiTheme="majorHAnsi" w:hAnsiTheme="majorHAnsi" w:cs="Times New Roman"/>
          <w:bCs/>
        </w:rPr>
        <w:t>,</w:t>
      </w:r>
      <w:r w:rsidRPr="00D95C57">
        <w:rPr>
          <w:rFonts w:asciiTheme="majorHAnsi" w:hAnsiTheme="majorHAnsi" w:cs="Times New Roman"/>
          <w:noProof/>
          <w:lang w:eastAsia="es-ES"/>
        </w:rPr>
        <w:t xml:space="preserve"> </w:t>
      </w:r>
      <w:r w:rsidRPr="00D95C57">
        <w:rPr>
          <w:rFonts w:asciiTheme="majorHAnsi" w:hAnsiTheme="majorHAnsi" w:cs="Times New Roman"/>
          <w:b/>
          <w:bCs/>
          <w:noProof/>
          <w:lang w:eastAsia="es-ES"/>
        </w:rPr>
        <w:t xml:space="preserve">desfășoară activități de </w:t>
      </w:r>
      <w:r w:rsidRPr="00D95C57">
        <w:rPr>
          <w:rFonts w:asciiTheme="majorHAnsi" w:hAnsiTheme="majorHAnsi" w:cs="Times New Roman"/>
          <w:b/>
          <w:bCs/>
          <w:u w:val="single"/>
        </w:rPr>
        <w:t>captare, tratare și distribuție a apei</w:t>
      </w:r>
      <w:r w:rsidRPr="00D95C57">
        <w:rPr>
          <w:rFonts w:asciiTheme="majorHAnsi" w:hAnsiTheme="majorHAnsi" w:cs="Times New Roman"/>
          <w:bCs/>
        </w:rPr>
        <w:t xml:space="preserve">, număr care reprezintă o pondere de </w:t>
      </w:r>
      <w:r w:rsidR="004541D3" w:rsidRPr="004541D3">
        <w:rPr>
          <w:rFonts w:asciiTheme="majorHAnsi" w:hAnsiTheme="majorHAnsi" w:cs="Times New Roman"/>
          <w:bCs/>
        </w:rPr>
        <w:t>2</w:t>
      </w:r>
      <w:r w:rsidR="0000289C">
        <w:rPr>
          <w:rFonts w:asciiTheme="majorHAnsi" w:hAnsiTheme="majorHAnsi" w:cs="Times New Roman"/>
          <w:bCs/>
        </w:rPr>
        <w:t>6</w:t>
      </w:r>
      <w:r w:rsidR="004541D3" w:rsidRPr="004541D3">
        <w:rPr>
          <w:rFonts w:asciiTheme="majorHAnsi" w:hAnsiTheme="majorHAnsi" w:cs="Times New Roman"/>
          <w:bCs/>
        </w:rPr>
        <w:t>,</w:t>
      </w:r>
      <w:r w:rsidR="0000289C">
        <w:rPr>
          <w:rFonts w:asciiTheme="majorHAnsi" w:hAnsiTheme="majorHAnsi" w:cs="Times New Roman"/>
          <w:bCs/>
        </w:rPr>
        <w:t>58</w:t>
      </w:r>
      <w:r w:rsidR="006619D9">
        <w:rPr>
          <w:rFonts w:asciiTheme="majorHAnsi" w:hAnsiTheme="majorHAnsi" w:cs="Times New Roman"/>
          <w:bCs/>
        </w:rPr>
        <w:t>%</w:t>
      </w:r>
      <w:r w:rsidR="004541D3">
        <w:rPr>
          <w:rFonts w:asciiTheme="majorHAnsi" w:hAnsiTheme="majorHAnsi" w:cs="Times New Roman"/>
          <w:bCs/>
        </w:rPr>
        <w:t xml:space="preserve"> </w:t>
      </w:r>
      <w:r w:rsidRPr="00D95C57">
        <w:rPr>
          <w:rFonts w:asciiTheme="majorHAnsi" w:hAnsiTheme="majorHAnsi" w:cs="Times New Roman"/>
          <w:bCs/>
        </w:rPr>
        <w:t>din numărul total de 1.2</w:t>
      </w:r>
      <w:r w:rsidR="004541D3">
        <w:rPr>
          <w:rFonts w:asciiTheme="majorHAnsi" w:hAnsiTheme="majorHAnsi" w:cs="Times New Roman"/>
          <w:bCs/>
        </w:rPr>
        <w:t>3</w:t>
      </w:r>
      <w:r w:rsidR="0000289C">
        <w:rPr>
          <w:rFonts w:asciiTheme="majorHAnsi" w:hAnsiTheme="majorHAnsi" w:cs="Times New Roman"/>
          <w:bCs/>
        </w:rPr>
        <w:t>8</w:t>
      </w:r>
      <w:r w:rsidRPr="00D95C57">
        <w:rPr>
          <w:rFonts w:asciiTheme="majorHAnsi" w:hAnsiTheme="majorHAnsi" w:cs="Times New Roman"/>
          <w:bCs/>
        </w:rPr>
        <w:t xml:space="preserve"> ÎPL active și care înregistrează</w:t>
      </w:r>
      <w:r w:rsidRPr="00D95C57">
        <w:rPr>
          <w:rFonts w:asciiTheme="majorHAnsi" w:hAnsiTheme="majorHAnsi" w:cs="Times New Roman"/>
          <w:b/>
        </w:rPr>
        <w:t xml:space="preserve"> o pondere de</w:t>
      </w:r>
      <w:r w:rsidR="004541D3">
        <w:rPr>
          <w:rFonts w:asciiTheme="majorHAnsi" w:hAnsiTheme="majorHAnsi" w:cs="Times New Roman"/>
          <w:b/>
        </w:rPr>
        <w:t xml:space="preserve"> </w:t>
      </w:r>
      <w:r w:rsidR="0000289C">
        <w:rPr>
          <w:rFonts w:asciiTheme="majorHAnsi" w:hAnsiTheme="majorHAnsi" w:cs="Times New Roman"/>
          <w:b/>
        </w:rPr>
        <w:t>27</w:t>
      </w:r>
      <w:r w:rsidR="004541D3" w:rsidRPr="004541D3">
        <w:rPr>
          <w:rFonts w:asciiTheme="majorHAnsi" w:hAnsiTheme="majorHAnsi" w:cs="Times New Roman"/>
          <w:b/>
        </w:rPr>
        <w:t>,</w:t>
      </w:r>
      <w:r w:rsidR="0000289C">
        <w:rPr>
          <w:rFonts w:asciiTheme="majorHAnsi" w:hAnsiTheme="majorHAnsi" w:cs="Times New Roman"/>
          <w:b/>
        </w:rPr>
        <w:t>89</w:t>
      </w:r>
      <w:r w:rsidRPr="00D95C57">
        <w:rPr>
          <w:rFonts w:asciiTheme="majorHAnsi" w:hAnsiTheme="majorHAnsi" w:cs="Times New Roman"/>
          <w:b/>
        </w:rPr>
        <w:t xml:space="preserve">% </w:t>
      </w:r>
      <w:r w:rsidRPr="00D95C57">
        <w:rPr>
          <w:rFonts w:asciiTheme="majorHAnsi" w:hAnsiTheme="majorHAnsi" w:cs="Times New Roman"/>
          <w:bCs/>
        </w:rPr>
        <w:t>din totalul indicatorului cifră de afaceri netă înregistrată de cele 1.2</w:t>
      </w:r>
      <w:r w:rsidR="004541D3">
        <w:rPr>
          <w:rFonts w:asciiTheme="majorHAnsi" w:hAnsiTheme="majorHAnsi" w:cs="Times New Roman"/>
          <w:bCs/>
        </w:rPr>
        <w:t>3</w:t>
      </w:r>
      <w:r w:rsidR="0000289C">
        <w:rPr>
          <w:rFonts w:asciiTheme="majorHAnsi" w:hAnsiTheme="majorHAnsi" w:cs="Times New Roman"/>
          <w:bCs/>
        </w:rPr>
        <w:t>8</w:t>
      </w:r>
      <w:r w:rsidRPr="00D95C57">
        <w:rPr>
          <w:rFonts w:asciiTheme="majorHAnsi" w:hAnsiTheme="majorHAnsi" w:cs="Times New Roman"/>
          <w:bCs/>
        </w:rPr>
        <w:t xml:space="preserve"> ÎPL active </w:t>
      </w:r>
      <w:r w:rsidRPr="00D95C57">
        <w:rPr>
          <w:rFonts w:asciiTheme="majorHAnsi" w:hAnsiTheme="majorHAnsi" w:cs="Times New Roman"/>
          <w:b/>
        </w:rPr>
        <w:t xml:space="preserve">și o pondere de </w:t>
      </w:r>
      <w:r w:rsidR="004541D3" w:rsidRPr="004541D3">
        <w:rPr>
          <w:rFonts w:asciiTheme="majorHAnsi" w:hAnsiTheme="majorHAnsi" w:cs="Times New Roman"/>
          <w:b/>
        </w:rPr>
        <w:t>3</w:t>
      </w:r>
      <w:r w:rsidR="0000289C">
        <w:rPr>
          <w:rFonts w:asciiTheme="majorHAnsi" w:hAnsiTheme="majorHAnsi" w:cs="Times New Roman"/>
          <w:b/>
        </w:rPr>
        <w:t>0</w:t>
      </w:r>
      <w:r w:rsidR="004541D3" w:rsidRPr="004541D3">
        <w:rPr>
          <w:rFonts w:asciiTheme="majorHAnsi" w:hAnsiTheme="majorHAnsi" w:cs="Times New Roman"/>
          <w:b/>
        </w:rPr>
        <w:t>,</w:t>
      </w:r>
      <w:r w:rsidR="0000289C">
        <w:rPr>
          <w:rFonts w:asciiTheme="majorHAnsi" w:hAnsiTheme="majorHAnsi" w:cs="Times New Roman"/>
          <w:b/>
        </w:rPr>
        <w:t>71</w:t>
      </w:r>
      <w:r w:rsidR="006619D9">
        <w:rPr>
          <w:rFonts w:asciiTheme="majorHAnsi" w:hAnsiTheme="majorHAnsi" w:cs="Times New Roman"/>
          <w:b/>
        </w:rPr>
        <w:t>%</w:t>
      </w:r>
      <w:r w:rsidR="004541D3">
        <w:rPr>
          <w:rFonts w:asciiTheme="majorHAnsi" w:hAnsiTheme="majorHAnsi" w:cs="Times New Roman"/>
          <w:b/>
        </w:rPr>
        <w:t xml:space="preserve"> </w:t>
      </w:r>
      <w:r w:rsidRPr="00D95C57">
        <w:rPr>
          <w:rFonts w:asciiTheme="majorHAnsi" w:hAnsiTheme="majorHAnsi" w:cs="Times New Roman"/>
          <w:bCs/>
        </w:rPr>
        <w:t>din totalul indicatorului număr efectiv de personal angajat de cele 1.2</w:t>
      </w:r>
      <w:r w:rsidR="004541D3">
        <w:rPr>
          <w:rFonts w:asciiTheme="majorHAnsi" w:hAnsiTheme="majorHAnsi" w:cs="Times New Roman"/>
          <w:bCs/>
        </w:rPr>
        <w:t>3</w:t>
      </w:r>
      <w:r w:rsidR="0000289C">
        <w:rPr>
          <w:rFonts w:asciiTheme="majorHAnsi" w:hAnsiTheme="majorHAnsi" w:cs="Times New Roman"/>
          <w:bCs/>
        </w:rPr>
        <w:t>8</w:t>
      </w:r>
      <w:r w:rsidRPr="00D95C57">
        <w:rPr>
          <w:rFonts w:asciiTheme="majorHAnsi" w:hAnsiTheme="majorHAnsi" w:cs="Times New Roman"/>
          <w:bCs/>
        </w:rPr>
        <w:t xml:space="preserve"> ÎPL active;</w:t>
      </w:r>
    </w:p>
    <w:p w14:paraId="11678895" w14:textId="77777777" w:rsidR="00F83DE8" w:rsidRPr="00D95C57" w:rsidRDefault="00F83DE8" w:rsidP="002B75EF">
      <w:pPr>
        <w:numPr>
          <w:ilvl w:val="0"/>
          <w:numId w:val="12"/>
        </w:numPr>
        <w:spacing w:beforeAutospacing="1" w:after="100" w:afterAutospacing="1"/>
        <w:ind w:left="270" w:hanging="270"/>
        <w:contextualSpacing/>
        <w:jc w:val="both"/>
        <w:rPr>
          <w:rFonts w:asciiTheme="majorHAnsi" w:eastAsia="Andale Sans UI" w:hAnsiTheme="majorHAnsi" w:cs="Times New Roman"/>
          <w:noProof/>
          <w:kern w:val="3"/>
          <w:lang w:eastAsia="es-ES" w:bidi="en-US"/>
        </w:rPr>
      </w:pPr>
      <w:r w:rsidRPr="00D95C57">
        <w:rPr>
          <w:rFonts w:asciiTheme="majorHAnsi" w:eastAsia="Andale Sans UI" w:hAnsiTheme="majorHAnsi" w:cs="Times New Roman"/>
          <w:noProof/>
          <w:kern w:val="3"/>
          <w:lang w:eastAsia="es-ES" w:bidi="en-US"/>
        </w:rPr>
        <w:t xml:space="preserve">Un număr de </w:t>
      </w:r>
      <w:r w:rsidRPr="00D95C57">
        <w:rPr>
          <w:rFonts w:asciiTheme="majorHAnsi" w:eastAsia="Andale Sans UI" w:hAnsiTheme="majorHAnsi" w:cs="Times New Roman"/>
          <w:b/>
          <w:bCs/>
          <w:noProof/>
          <w:kern w:val="3"/>
          <w:lang w:eastAsia="es-ES" w:bidi="en-US"/>
        </w:rPr>
        <w:t>6</w:t>
      </w:r>
      <w:r w:rsidR="0000289C">
        <w:rPr>
          <w:rFonts w:asciiTheme="majorHAnsi" w:eastAsia="Andale Sans UI" w:hAnsiTheme="majorHAnsi" w:cs="Times New Roman"/>
          <w:b/>
          <w:bCs/>
          <w:noProof/>
          <w:kern w:val="3"/>
          <w:lang w:eastAsia="es-ES" w:bidi="en-US"/>
        </w:rPr>
        <w:t>8</w:t>
      </w:r>
      <w:r w:rsidRPr="00D95C57">
        <w:rPr>
          <w:rFonts w:asciiTheme="majorHAnsi" w:eastAsia="Andale Sans UI" w:hAnsiTheme="majorHAnsi" w:cs="Times New Roman"/>
          <w:noProof/>
          <w:kern w:val="3"/>
          <w:lang w:eastAsia="es-ES" w:bidi="en-US"/>
        </w:rPr>
        <w:t xml:space="preserve"> </w:t>
      </w:r>
      <w:r w:rsidRPr="00D95C57">
        <w:rPr>
          <w:rFonts w:asciiTheme="majorHAnsi" w:eastAsia="Andale Sans UI" w:hAnsiTheme="majorHAnsi" w:cs="Times New Roman"/>
          <w:b/>
          <w:bCs/>
          <w:noProof/>
          <w:kern w:val="3"/>
          <w:lang w:eastAsia="es-ES" w:bidi="en-US"/>
        </w:rPr>
        <w:t xml:space="preserve">ÎPL </w:t>
      </w:r>
      <w:r w:rsidRPr="00D95C57">
        <w:rPr>
          <w:rFonts w:asciiTheme="majorHAnsi" w:eastAsia="Andale Sans UI" w:hAnsiTheme="majorHAnsi" w:cs="Times New Roman"/>
          <w:noProof/>
          <w:kern w:val="3"/>
          <w:lang w:eastAsia="es-ES" w:bidi="en-US"/>
        </w:rPr>
        <w:t xml:space="preserve">active desfășoară activități de </w:t>
      </w:r>
      <w:r w:rsidRPr="00D95C57">
        <w:rPr>
          <w:rFonts w:asciiTheme="majorHAnsi" w:eastAsia="Andale Sans UI" w:hAnsiTheme="majorHAnsi" w:cs="Times New Roman"/>
          <w:b/>
          <w:bCs/>
          <w:noProof/>
          <w:kern w:val="3"/>
          <w:u w:val="single"/>
          <w:lang w:eastAsia="es-ES" w:bidi="en-US"/>
        </w:rPr>
        <w:t>transporturi terestre și transporturi prin conducte,</w:t>
      </w:r>
      <w:r w:rsidRPr="00D95C57">
        <w:rPr>
          <w:rFonts w:asciiTheme="majorHAnsi" w:eastAsia="Andale Sans UI" w:hAnsiTheme="majorHAnsi" w:cs="Times New Roman"/>
          <w:noProof/>
          <w:kern w:val="3"/>
          <w:lang w:eastAsia="es-ES" w:bidi="en-US"/>
        </w:rPr>
        <w:t xml:space="preserve"> </w:t>
      </w:r>
      <w:r w:rsidRPr="00D95C57">
        <w:rPr>
          <w:rFonts w:asciiTheme="majorHAnsi" w:hAnsiTheme="majorHAnsi" w:cs="Times New Roman"/>
          <w:bCs/>
        </w:rPr>
        <w:t xml:space="preserve">număr care reprezintă o pondere de </w:t>
      </w:r>
      <w:r w:rsidR="004541D3" w:rsidRPr="004541D3">
        <w:rPr>
          <w:rFonts w:asciiTheme="majorHAnsi" w:hAnsiTheme="majorHAnsi" w:cs="Times New Roman"/>
          <w:bCs/>
        </w:rPr>
        <w:t>5,4</w:t>
      </w:r>
      <w:r w:rsidR="0000289C">
        <w:rPr>
          <w:rFonts w:asciiTheme="majorHAnsi" w:hAnsiTheme="majorHAnsi" w:cs="Times New Roman"/>
          <w:bCs/>
        </w:rPr>
        <w:t>9</w:t>
      </w:r>
      <w:r w:rsidRPr="00D95C57">
        <w:rPr>
          <w:rFonts w:asciiTheme="majorHAnsi" w:hAnsiTheme="majorHAnsi" w:cs="Times New Roman"/>
          <w:bCs/>
        </w:rPr>
        <w:t>% din numărul total de 1.2</w:t>
      </w:r>
      <w:r w:rsidR="004541D3">
        <w:rPr>
          <w:rFonts w:asciiTheme="majorHAnsi" w:hAnsiTheme="majorHAnsi" w:cs="Times New Roman"/>
          <w:bCs/>
        </w:rPr>
        <w:t>3</w:t>
      </w:r>
      <w:r w:rsidR="0000289C">
        <w:rPr>
          <w:rFonts w:asciiTheme="majorHAnsi" w:hAnsiTheme="majorHAnsi" w:cs="Times New Roman"/>
          <w:bCs/>
        </w:rPr>
        <w:t>8</w:t>
      </w:r>
      <w:r w:rsidRPr="00D95C57">
        <w:rPr>
          <w:rFonts w:asciiTheme="majorHAnsi" w:hAnsiTheme="majorHAnsi" w:cs="Times New Roman"/>
          <w:bCs/>
        </w:rPr>
        <w:t xml:space="preserve"> ÎPL active și care</w:t>
      </w:r>
      <w:r w:rsidRPr="00D95C57">
        <w:rPr>
          <w:rFonts w:asciiTheme="majorHAnsi" w:eastAsia="Andale Sans UI" w:hAnsiTheme="majorHAnsi" w:cs="Times New Roman"/>
          <w:noProof/>
          <w:kern w:val="3"/>
          <w:lang w:eastAsia="es-ES" w:bidi="en-US"/>
        </w:rPr>
        <w:t xml:space="preserve"> înregistrează o pondere de</w:t>
      </w:r>
      <w:r w:rsidRPr="00D95C57">
        <w:rPr>
          <w:rFonts w:asciiTheme="majorHAnsi" w:eastAsia="Andale Sans UI" w:hAnsiTheme="majorHAnsi" w:cs="Times New Roman"/>
          <w:b/>
          <w:bCs/>
          <w:noProof/>
          <w:kern w:val="3"/>
          <w:lang w:eastAsia="es-ES" w:bidi="en-US"/>
        </w:rPr>
        <w:t xml:space="preserve"> </w:t>
      </w:r>
      <w:r w:rsidR="004541D3" w:rsidRPr="004541D3">
        <w:rPr>
          <w:rFonts w:asciiTheme="majorHAnsi" w:eastAsia="Andale Sans UI" w:hAnsiTheme="majorHAnsi" w:cs="Times New Roman"/>
          <w:b/>
          <w:bCs/>
          <w:noProof/>
          <w:kern w:val="3"/>
          <w:lang w:eastAsia="es-ES" w:bidi="en-US"/>
        </w:rPr>
        <w:t>2</w:t>
      </w:r>
      <w:r w:rsidR="0000289C">
        <w:rPr>
          <w:rFonts w:asciiTheme="majorHAnsi" w:eastAsia="Andale Sans UI" w:hAnsiTheme="majorHAnsi" w:cs="Times New Roman"/>
          <w:b/>
          <w:bCs/>
          <w:noProof/>
          <w:kern w:val="3"/>
          <w:lang w:eastAsia="es-ES" w:bidi="en-US"/>
        </w:rPr>
        <w:t>1</w:t>
      </w:r>
      <w:r w:rsidR="004541D3" w:rsidRPr="004541D3">
        <w:rPr>
          <w:rFonts w:asciiTheme="majorHAnsi" w:eastAsia="Andale Sans UI" w:hAnsiTheme="majorHAnsi" w:cs="Times New Roman"/>
          <w:b/>
          <w:bCs/>
          <w:noProof/>
          <w:kern w:val="3"/>
          <w:lang w:eastAsia="es-ES" w:bidi="en-US"/>
        </w:rPr>
        <w:t>,</w:t>
      </w:r>
      <w:r w:rsidR="0000289C">
        <w:rPr>
          <w:rFonts w:asciiTheme="majorHAnsi" w:eastAsia="Andale Sans UI" w:hAnsiTheme="majorHAnsi" w:cs="Times New Roman"/>
          <w:b/>
          <w:bCs/>
          <w:noProof/>
          <w:kern w:val="3"/>
          <w:lang w:eastAsia="es-ES" w:bidi="en-US"/>
        </w:rPr>
        <w:t>14</w:t>
      </w:r>
      <w:r w:rsidRPr="00D95C57">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indicatorul cifră de afaceri netă înregistrată de cele 1.2</w:t>
      </w:r>
      <w:r w:rsidR="004541D3">
        <w:rPr>
          <w:rFonts w:asciiTheme="majorHAnsi" w:eastAsia="Andale Sans UI" w:hAnsiTheme="majorHAnsi" w:cs="Times New Roman"/>
          <w:noProof/>
          <w:kern w:val="3"/>
          <w:lang w:eastAsia="es-ES" w:bidi="en-US"/>
        </w:rPr>
        <w:t>3</w:t>
      </w:r>
      <w:r w:rsidR="0000289C">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o pondere de </w:t>
      </w:r>
      <w:r w:rsidR="004541D3" w:rsidRPr="004541D3">
        <w:rPr>
          <w:rFonts w:asciiTheme="majorHAnsi" w:eastAsia="Andale Sans UI" w:hAnsiTheme="majorHAnsi" w:cs="Times New Roman"/>
          <w:b/>
          <w:bCs/>
          <w:noProof/>
          <w:kern w:val="3"/>
          <w:lang w:eastAsia="es-ES" w:bidi="en-US"/>
        </w:rPr>
        <w:t>24,</w:t>
      </w:r>
      <w:r w:rsidR="0000289C">
        <w:rPr>
          <w:rFonts w:asciiTheme="majorHAnsi" w:eastAsia="Andale Sans UI" w:hAnsiTheme="majorHAnsi" w:cs="Times New Roman"/>
          <w:b/>
          <w:bCs/>
          <w:noProof/>
          <w:kern w:val="3"/>
          <w:lang w:eastAsia="es-ES" w:bidi="en-US"/>
        </w:rPr>
        <w:t>2</w:t>
      </w:r>
      <w:r w:rsidR="004541D3" w:rsidRPr="004541D3">
        <w:rPr>
          <w:rFonts w:asciiTheme="majorHAnsi" w:eastAsia="Andale Sans UI" w:hAnsiTheme="majorHAnsi" w:cs="Times New Roman"/>
          <w:b/>
          <w:bCs/>
          <w:noProof/>
          <w:kern w:val="3"/>
          <w:lang w:eastAsia="es-ES" w:bidi="en-US"/>
        </w:rPr>
        <w:t>1</w:t>
      </w:r>
      <w:r w:rsidRPr="00D95C57">
        <w:rPr>
          <w:rFonts w:asciiTheme="majorHAnsi" w:eastAsia="Andale Sans UI" w:hAnsiTheme="majorHAnsi" w:cs="Times New Roman"/>
          <w:b/>
          <w:bCs/>
          <w:noProof/>
          <w:kern w:val="3"/>
          <w:lang w:eastAsia="es-ES" w:bidi="en-US"/>
        </w:rPr>
        <w:t xml:space="preserve">% </w:t>
      </w:r>
      <w:r w:rsidRPr="00D95C57">
        <w:rPr>
          <w:rFonts w:asciiTheme="majorHAnsi" w:eastAsia="Andale Sans UI" w:hAnsiTheme="majorHAnsi" w:cs="Times New Roman"/>
          <w:noProof/>
          <w:kern w:val="3"/>
          <w:lang w:eastAsia="es-ES" w:bidi="en-US"/>
        </w:rPr>
        <w:t>din indicatorul număr efectiv de personal angajat de cele 1.2</w:t>
      </w:r>
      <w:r w:rsidR="004541D3">
        <w:rPr>
          <w:rFonts w:asciiTheme="majorHAnsi" w:eastAsia="Andale Sans UI" w:hAnsiTheme="majorHAnsi" w:cs="Times New Roman"/>
          <w:noProof/>
          <w:kern w:val="3"/>
          <w:lang w:eastAsia="es-ES" w:bidi="en-US"/>
        </w:rPr>
        <w:t>3</w:t>
      </w:r>
      <w:r w:rsidR="0000289C">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w:t>
      </w:r>
      <w:r w:rsidR="0000289C">
        <w:rPr>
          <w:rFonts w:asciiTheme="majorHAnsi" w:eastAsia="Andale Sans UI" w:hAnsiTheme="majorHAnsi" w:cs="Times New Roman"/>
          <w:noProof/>
          <w:kern w:val="3"/>
          <w:lang w:eastAsia="es-ES" w:bidi="en-US"/>
        </w:rPr>
        <w:t xml:space="preserve">. </w:t>
      </w:r>
      <w:r w:rsidR="0000289C" w:rsidRPr="0000289C">
        <w:rPr>
          <w:rFonts w:asciiTheme="majorHAnsi" w:eastAsia="Andale Sans UI" w:hAnsiTheme="majorHAnsi" w:cs="Times New Roman"/>
          <w:noProof/>
          <w:kern w:val="3"/>
          <w:lang w:eastAsia="es-ES" w:bidi="en-US"/>
        </w:rPr>
        <w:t xml:space="preserve">Cele 34 ÎPL care activează în acest sector înregistrează împreună o pondere de </w:t>
      </w:r>
      <w:r w:rsidR="0000289C" w:rsidRPr="0000289C">
        <w:rPr>
          <w:rFonts w:asciiTheme="majorHAnsi" w:eastAsia="Andale Sans UI" w:hAnsiTheme="majorHAnsi" w:cs="Times New Roman"/>
          <w:b/>
          <w:noProof/>
          <w:kern w:val="3"/>
          <w:lang w:eastAsia="es-ES" w:bidi="en-US"/>
        </w:rPr>
        <w:t>55,48% din indicatorul plăți restante</w:t>
      </w:r>
      <w:r w:rsidR="0000289C" w:rsidRPr="0000289C">
        <w:rPr>
          <w:rFonts w:asciiTheme="majorHAnsi" w:eastAsia="Andale Sans UI" w:hAnsiTheme="majorHAnsi" w:cs="Times New Roman"/>
          <w:noProof/>
          <w:kern w:val="3"/>
          <w:lang w:eastAsia="es-ES" w:bidi="en-US"/>
        </w:rPr>
        <w:t xml:space="preserve"> înregistrate de cele 1.238 de ÎPL active</w:t>
      </w:r>
      <w:r w:rsidRPr="00D95C57">
        <w:rPr>
          <w:rFonts w:asciiTheme="majorHAnsi" w:eastAsia="Andale Sans UI" w:hAnsiTheme="majorHAnsi" w:cs="Times New Roman"/>
          <w:noProof/>
          <w:kern w:val="3"/>
          <w:lang w:val="en-US" w:eastAsia="es-ES" w:bidi="en-US"/>
        </w:rPr>
        <w:t>;</w:t>
      </w:r>
      <w:r w:rsidRPr="00D95C57">
        <w:rPr>
          <w:rFonts w:asciiTheme="majorHAnsi" w:eastAsia="Andale Sans UI" w:hAnsiTheme="majorHAnsi" w:cs="Times New Roman"/>
          <w:noProof/>
          <w:kern w:val="3"/>
          <w:lang w:eastAsia="es-ES" w:bidi="en-US"/>
        </w:rPr>
        <w:t xml:space="preserve"> </w:t>
      </w:r>
    </w:p>
    <w:p w14:paraId="4BEF6E2E" w14:textId="77777777" w:rsidR="002B75EF" w:rsidRPr="002B75EF" w:rsidRDefault="00F83DE8" w:rsidP="002B75EF">
      <w:pPr>
        <w:numPr>
          <w:ilvl w:val="0"/>
          <w:numId w:val="12"/>
        </w:numPr>
        <w:spacing w:beforeAutospacing="1" w:after="100" w:afterAutospacing="1"/>
        <w:ind w:left="270" w:hanging="270"/>
        <w:contextualSpacing/>
        <w:jc w:val="both"/>
        <w:rPr>
          <w:rFonts w:asciiTheme="majorHAnsi" w:hAnsiTheme="majorHAnsi" w:cs="Times New Roman"/>
          <w:bCs/>
          <w:lang w:val="en-US"/>
        </w:rPr>
      </w:pPr>
      <w:r w:rsidRPr="002B75EF">
        <w:rPr>
          <w:rFonts w:asciiTheme="majorHAnsi" w:hAnsiTheme="majorHAnsi" w:cs="Times New Roman"/>
          <w:bCs/>
        </w:rPr>
        <w:t xml:space="preserve">Un număr de </w:t>
      </w:r>
      <w:r w:rsidRPr="002B75EF">
        <w:rPr>
          <w:rFonts w:asciiTheme="majorHAnsi" w:hAnsiTheme="majorHAnsi" w:cs="Times New Roman"/>
          <w:b/>
        </w:rPr>
        <w:t>3</w:t>
      </w:r>
      <w:r w:rsidR="0000289C" w:rsidRPr="002B75EF">
        <w:rPr>
          <w:rFonts w:asciiTheme="majorHAnsi" w:hAnsiTheme="majorHAnsi" w:cs="Times New Roman"/>
          <w:b/>
        </w:rPr>
        <w:t>4</w:t>
      </w:r>
      <w:r w:rsidRPr="002B75EF">
        <w:rPr>
          <w:rFonts w:asciiTheme="majorHAnsi" w:hAnsiTheme="majorHAnsi" w:cs="Times New Roman"/>
          <w:b/>
        </w:rPr>
        <w:t xml:space="preserve"> ÎPL </w:t>
      </w:r>
      <w:r w:rsidRPr="002B75EF">
        <w:rPr>
          <w:rFonts w:asciiTheme="majorHAnsi" w:hAnsiTheme="majorHAnsi" w:cs="Times New Roman"/>
          <w:bCs/>
        </w:rPr>
        <w:t xml:space="preserve">active, desfășoară activități de </w:t>
      </w:r>
      <w:r w:rsidRPr="002B75EF">
        <w:rPr>
          <w:rFonts w:asciiTheme="majorHAnsi" w:hAnsiTheme="majorHAnsi" w:cs="Times New Roman"/>
          <w:b/>
          <w:u w:val="single"/>
        </w:rPr>
        <w:t>producție și furnizare de energie electrică și termică, gaze, apă caldă și aer condiționat</w:t>
      </w:r>
      <w:r w:rsidRPr="002B75EF">
        <w:rPr>
          <w:rFonts w:asciiTheme="majorHAnsi" w:hAnsiTheme="majorHAnsi" w:cs="Times New Roman"/>
          <w:bCs/>
        </w:rPr>
        <w:t xml:space="preserve">, număr care reprezintă o pondere de </w:t>
      </w:r>
      <w:r w:rsidR="0000289C" w:rsidRPr="002B75EF">
        <w:rPr>
          <w:rFonts w:asciiTheme="majorHAnsi" w:hAnsiTheme="majorHAnsi" w:cs="Times New Roman"/>
          <w:bCs/>
        </w:rPr>
        <w:t>2</w:t>
      </w:r>
      <w:r w:rsidR="004541D3" w:rsidRPr="002B75EF">
        <w:rPr>
          <w:rFonts w:asciiTheme="majorHAnsi" w:hAnsiTheme="majorHAnsi" w:cs="Times New Roman"/>
          <w:bCs/>
        </w:rPr>
        <w:t>,7</w:t>
      </w:r>
      <w:r w:rsidR="0000289C" w:rsidRPr="002B75EF">
        <w:rPr>
          <w:rFonts w:asciiTheme="majorHAnsi" w:hAnsiTheme="majorHAnsi" w:cs="Times New Roman"/>
          <w:bCs/>
        </w:rPr>
        <w:t>5</w:t>
      </w:r>
      <w:r w:rsidRPr="002B75EF">
        <w:rPr>
          <w:rFonts w:asciiTheme="majorHAnsi" w:hAnsiTheme="majorHAnsi" w:cs="Times New Roman"/>
          <w:bCs/>
        </w:rPr>
        <w:t>% din numărul total de 1.2</w:t>
      </w:r>
      <w:r w:rsidR="004541D3" w:rsidRPr="002B75EF">
        <w:rPr>
          <w:rFonts w:asciiTheme="majorHAnsi" w:hAnsiTheme="majorHAnsi" w:cs="Times New Roman"/>
          <w:bCs/>
        </w:rPr>
        <w:t>3</w:t>
      </w:r>
      <w:r w:rsidR="0000289C" w:rsidRPr="002B75EF">
        <w:rPr>
          <w:rFonts w:asciiTheme="majorHAnsi" w:hAnsiTheme="majorHAnsi" w:cs="Times New Roman"/>
          <w:bCs/>
        </w:rPr>
        <w:t>8</w:t>
      </w:r>
      <w:r w:rsidRPr="002B75EF">
        <w:rPr>
          <w:rFonts w:asciiTheme="majorHAnsi" w:hAnsiTheme="majorHAnsi" w:cs="Times New Roman"/>
          <w:bCs/>
        </w:rPr>
        <w:t xml:space="preserve"> ÎPL active și care înregistrează </w:t>
      </w:r>
      <w:r w:rsidRPr="002B75EF">
        <w:rPr>
          <w:rFonts w:asciiTheme="majorHAnsi" w:hAnsiTheme="majorHAnsi" w:cs="Times New Roman"/>
          <w:b/>
        </w:rPr>
        <w:t xml:space="preserve">o pondere de </w:t>
      </w:r>
      <w:r w:rsidR="004541D3" w:rsidRPr="002B75EF">
        <w:rPr>
          <w:rFonts w:asciiTheme="majorHAnsi" w:hAnsiTheme="majorHAnsi" w:cs="Times New Roman"/>
          <w:b/>
        </w:rPr>
        <w:t>1</w:t>
      </w:r>
      <w:r w:rsidR="0000289C" w:rsidRPr="002B75EF">
        <w:rPr>
          <w:rFonts w:asciiTheme="majorHAnsi" w:hAnsiTheme="majorHAnsi" w:cs="Times New Roman"/>
          <w:b/>
        </w:rPr>
        <w:t>7</w:t>
      </w:r>
      <w:r w:rsidR="004541D3" w:rsidRPr="002B75EF">
        <w:rPr>
          <w:rFonts w:asciiTheme="majorHAnsi" w:hAnsiTheme="majorHAnsi" w:cs="Times New Roman"/>
          <w:b/>
        </w:rPr>
        <w:t>,</w:t>
      </w:r>
      <w:r w:rsidR="0000289C" w:rsidRPr="002B75EF">
        <w:rPr>
          <w:rFonts w:asciiTheme="majorHAnsi" w:hAnsiTheme="majorHAnsi" w:cs="Times New Roman"/>
          <w:b/>
        </w:rPr>
        <w:t>7</w:t>
      </w:r>
      <w:r w:rsidR="004541D3" w:rsidRPr="002B75EF">
        <w:rPr>
          <w:rFonts w:asciiTheme="majorHAnsi" w:hAnsiTheme="majorHAnsi" w:cs="Times New Roman"/>
          <w:b/>
        </w:rPr>
        <w:t>6</w:t>
      </w:r>
      <w:r w:rsidRPr="002B75EF">
        <w:rPr>
          <w:rFonts w:asciiTheme="majorHAnsi" w:hAnsiTheme="majorHAnsi" w:cs="Times New Roman"/>
          <w:b/>
        </w:rPr>
        <w:t>%</w:t>
      </w:r>
      <w:r w:rsidRPr="002B75EF">
        <w:rPr>
          <w:rFonts w:asciiTheme="majorHAnsi" w:hAnsiTheme="majorHAnsi" w:cs="Times New Roman"/>
          <w:bCs/>
        </w:rPr>
        <w:t xml:space="preserve">  din totalul indicatorului cifră de afaceri netă înregistrată de cele 1.2</w:t>
      </w:r>
      <w:r w:rsidR="004541D3" w:rsidRPr="002B75EF">
        <w:rPr>
          <w:rFonts w:asciiTheme="majorHAnsi" w:hAnsiTheme="majorHAnsi" w:cs="Times New Roman"/>
          <w:bCs/>
        </w:rPr>
        <w:t>3</w:t>
      </w:r>
      <w:r w:rsidR="0000289C" w:rsidRPr="002B75EF">
        <w:rPr>
          <w:rFonts w:asciiTheme="majorHAnsi" w:hAnsiTheme="majorHAnsi" w:cs="Times New Roman"/>
          <w:bCs/>
        </w:rPr>
        <w:t>8</w:t>
      </w:r>
      <w:r w:rsidRPr="002B75EF">
        <w:rPr>
          <w:rFonts w:asciiTheme="majorHAnsi" w:hAnsiTheme="majorHAnsi" w:cs="Times New Roman"/>
          <w:bCs/>
        </w:rPr>
        <w:t xml:space="preserve"> ÎPL active </w:t>
      </w:r>
      <w:r w:rsidRPr="002B75EF">
        <w:rPr>
          <w:rFonts w:asciiTheme="majorHAnsi" w:hAnsiTheme="majorHAnsi" w:cs="Times New Roman"/>
          <w:b/>
        </w:rPr>
        <w:t xml:space="preserve">și o pondere de </w:t>
      </w:r>
      <w:r w:rsidR="0000289C" w:rsidRPr="002B75EF">
        <w:rPr>
          <w:rFonts w:asciiTheme="majorHAnsi" w:hAnsiTheme="majorHAnsi" w:cs="Times New Roman"/>
          <w:b/>
        </w:rPr>
        <w:t>6</w:t>
      </w:r>
      <w:r w:rsidR="004541D3" w:rsidRPr="002B75EF">
        <w:rPr>
          <w:rFonts w:asciiTheme="majorHAnsi" w:hAnsiTheme="majorHAnsi" w:cs="Times New Roman"/>
          <w:b/>
        </w:rPr>
        <w:t>,</w:t>
      </w:r>
      <w:r w:rsidR="0000289C" w:rsidRPr="002B75EF">
        <w:rPr>
          <w:rFonts w:asciiTheme="majorHAnsi" w:hAnsiTheme="majorHAnsi" w:cs="Times New Roman"/>
          <w:b/>
        </w:rPr>
        <w:t>7</w:t>
      </w:r>
      <w:r w:rsidR="004541D3" w:rsidRPr="002B75EF">
        <w:rPr>
          <w:rFonts w:asciiTheme="majorHAnsi" w:hAnsiTheme="majorHAnsi" w:cs="Times New Roman"/>
          <w:b/>
        </w:rPr>
        <w:t>0</w:t>
      </w:r>
      <w:r w:rsidRPr="002B75EF">
        <w:rPr>
          <w:rFonts w:asciiTheme="majorHAnsi" w:hAnsiTheme="majorHAnsi" w:cs="Times New Roman"/>
          <w:b/>
        </w:rPr>
        <w:t>%</w:t>
      </w:r>
      <w:r w:rsidRPr="002B75EF">
        <w:rPr>
          <w:rFonts w:asciiTheme="majorHAnsi" w:hAnsiTheme="majorHAnsi" w:cs="Times New Roman"/>
          <w:bCs/>
        </w:rPr>
        <w:t xml:space="preserve"> din totalul indicatorului număr efectiv de personal angajat de cele 1.2</w:t>
      </w:r>
      <w:r w:rsidR="004541D3" w:rsidRPr="002B75EF">
        <w:rPr>
          <w:rFonts w:asciiTheme="majorHAnsi" w:hAnsiTheme="majorHAnsi" w:cs="Times New Roman"/>
          <w:bCs/>
        </w:rPr>
        <w:t>3</w:t>
      </w:r>
      <w:r w:rsidR="0000289C" w:rsidRPr="002B75EF">
        <w:rPr>
          <w:rFonts w:asciiTheme="majorHAnsi" w:hAnsiTheme="majorHAnsi" w:cs="Times New Roman"/>
          <w:bCs/>
        </w:rPr>
        <w:t>8</w:t>
      </w:r>
      <w:r w:rsidRPr="002B75EF">
        <w:rPr>
          <w:rFonts w:asciiTheme="majorHAnsi" w:hAnsiTheme="majorHAnsi" w:cs="Times New Roman"/>
          <w:bCs/>
        </w:rPr>
        <w:t xml:space="preserve"> ÎPL active. Cele 3</w:t>
      </w:r>
      <w:r w:rsidR="0000289C" w:rsidRPr="002B75EF">
        <w:rPr>
          <w:rFonts w:asciiTheme="majorHAnsi" w:hAnsiTheme="majorHAnsi" w:cs="Times New Roman"/>
          <w:bCs/>
        </w:rPr>
        <w:t>4</w:t>
      </w:r>
      <w:r w:rsidRPr="002B75EF">
        <w:rPr>
          <w:rFonts w:asciiTheme="majorHAnsi" w:hAnsiTheme="majorHAnsi" w:cs="Times New Roman"/>
          <w:bCs/>
        </w:rPr>
        <w:t xml:space="preserve"> ÎPL care activează în acest sector înregistrează împreună o pondere de</w:t>
      </w:r>
      <w:r w:rsidRPr="002B75EF">
        <w:rPr>
          <w:rFonts w:asciiTheme="majorHAnsi" w:hAnsiTheme="majorHAnsi" w:cs="Times New Roman"/>
          <w:bCs/>
          <w:lang w:val="en-US"/>
        </w:rPr>
        <w:t xml:space="preserve"> </w:t>
      </w:r>
      <w:r w:rsidR="0000289C" w:rsidRPr="002B75EF">
        <w:rPr>
          <w:rFonts w:asciiTheme="majorHAnsi" w:hAnsiTheme="majorHAnsi" w:cs="Times New Roman"/>
          <w:b/>
          <w:bCs/>
          <w:lang w:val="en-US"/>
        </w:rPr>
        <w:t>17</w:t>
      </w:r>
      <w:r w:rsidR="004541D3" w:rsidRPr="002B75EF">
        <w:rPr>
          <w:rFonts w:asciiTheme="majorHAnsi" w:hAnsiTheme="majorHAnsi" w:cs="Times New Roman"/>
          <w:b/>
          <w:lang w:val="en-US"/>
        </w:rPr>
        <w:t>,</w:t>
      </w:r>
      <w:r w:rsidR="0000289C" w:rsidRPr="002B75EF">
        <w:rPr>
          <w:rFonts w:asciiTheme="majorHAnsi" w:hAnsiTheme="majorHAnsi" w:cs="Times New Roman"/>
          <w:b/>
          <w:lang w:val="en-US"/>
        </w:rPr>
        <w:t>40</w:t>
      </w:r>
      <w:r w:rsidR="004541D3" w:rsidRPr="002B75EF">
        <w:rPr>
          <w:rFonts w:asciiTheme="majorHAnsi" w:hAnsiTheme="majorHAnsi" w:cs="Times New Roman"/>
          <w:b/>
          <w:lang w:val="en-US"/>
        </w:rPr>
        <w:t xml:space="preserve">% </w:t>
      </w:r>
      <w:r w:rsidRPr="002B75EF">
        <w:rPr>
          <w:rFonts w:asciiTheme="majorHAnsi" w:hAnsiTheme="majorHAnsi" w:cs="Times New Roman"/>
          <w:b/>
        </w:rPr>
        <w:t xml:space="preserve">din indicatorul plăți restante </w:t>
      </w:r>
      <w:r w:rsidRPr="002B75EF">
        <w:rPr>
          <w:rFonts w:asciiTheme="majorHAnsi" w:hAnsiTheme="majorHAnsi" w:cs="Times New Roman"/>
          <w:bCs/>
        </w:rPr>
        <w:t>înregistrate de cele 1.2</w:t>
      </w:r>
      <w:r w:rsidR="004541D3" w:rsidRPr="002B75EF">
        <w:rPr>
          <w:rFonts w:asciiTheme="majorHAnsi" w:hAnsiTheme="majorHAnsi" w:cs="Times New Roman"/>
          <w:bCs/>
        </w:rPr>
        <w:t>3</w:t>
      </w:r>
      <w:r w:rsidR="0000289C" w:rsidRPr="002B75EF">
        <w:rPr>
          <w:rFonts w:asciiTheme="majorHAnsi" w:hAnsiTheme="majorHAnsi" w:cs="Times New Roman"/>
          <w:bCs/>
        </w:rPr>
        <w:t>8</w:t>
      </w:r>
      <w:r w:rsidRPr="002B75EF">
        <w:rPr>
          <w:rFonts w:asciiTheme="majorHAnsi" w:hAnsiTheme="majorHAnsi" w:cs="Times New Roman"/>
          <w:bCs/>
        </w:rPr>
        <w:t xml:space="preserve"> de ÎPL active. </w:t>
      </w:r>
    </w:p>
    <w:p w14:paraId="3B62C170" w14:textId="77777777" w:rsidR="00F83DE8" w:rsidRPr="002B75EF" w:rsidRDefault="00F83DE8" w:rsidP="002B75EF">
      <w:pPr>
        <w:spacing w:beforeAutospacing="1" w:after="100" w:afterAutospacing="1"/>
        <w:ind w:left="270"/>
        <w:contextualSpacing/>
        <w:jc w:val="both"/>
        <w:rPr>
          <w:rFonts w:asciiTheme="majorHAnsi" w:hAnsiTheme="majorHAnsi" w:cs="Times New Roman"/>
          <w:bCs/>
          <w:lang w:val="en-US"/>
        </w:rPr>
      </w:pPr>
      <w:r w:rsidRPr="002B75EF">
        <w:rPr>
          <w:rFonts w:asciiTheme="majorHAnsi" w:hAnsiTheme="majorHAnsi" w:cs="Times New Roman"/>
          <w:bCs/>
        </w:rPr>
        <w:t>Sectorul de furnizare de energie termică reprezintă o povară pentru autoritățile publice tutelare locale prin presiunea pe care o pun pe bugetele locale datorită funcționării ineficiente a acestora în contextul în care asigurarea furnizării energiei termice către comunitățile locale reprezintă una dintre cele mai mari provocări ale autorităților publice locale</w:t>
      </w:r>
      <w:r w:rsidR="00642BB3">
        <w:rPr>
          <w:rFonts w:asciiTheme="majorHAnsi" w:hAnsiTheme="majorHAnsi" w:cs="Times New Roman"/>
          <w:bCs/>
        </w:rPr>
        <w:t>.</w:t>
      </w:r>
      <w:r w:rsidRPr="002B75EF">
        <w:rPr>
          <w:rFonts w:asciiTheme="majorHAnsi" w:hAnsiTheme="majorHAnsi" w:cs="Times New Roman"/>
          <w:bCs/>
        </w:rPr>
        <w:t xml:space="preserve"> </w:t>
      </w:r>
      <w:r w:rsidR="00642BB3">
        <w:rPr>
          <w:rFonts w:asciiTheme="majorHAnsi" w:hAnsiTheme="majorHAnsi" w:cs="Times New Roman"/>
          <w:bCs/>
        </w:rPr>
        <w:t>A</w:t>
      </w:r>
      <w:r w:rsidRPr="002B75EF">
        <w:rPr>
          <w:rFonts w:asciiTheme="majorHAnsi" w:hAnsiTheme="majorHAnsi" w:cs="Times New Roman"/>
          <w:bCs/>
        </w:rPr>
        <w:t>sigurarea unui plan de investiții pentru înlocuirea activelor fixe învechite poate conduce la eficientizarea activității acestora precum și la asigurarea unor servicii optime pentru comunit</w:t>
      </w:r>
      <w:r w:rsidR="0000289C" w:rsidRPr="002B75EF">
        <w:rPr>
          <w:rFonts w:asciiTheme="majorHAnsi" w:hAnsiTheme="majorHAnsi" w:cs="Times New Roman"/>
          <w:bCs/>
        </w:rPr>
        <w:t>ățile locale în care activează</w:t>
      </w:r>
      <w:r w:rsidR="0000289C" w:rsidRPr="002B75EF">
        <w:rPr>
          <w:rFonts w:asciiTheme="majorHAnsi" w:hAnsiTheme="majorHAnsi" w:cs="Times New Roman"/>
          <w:bCs/>
          <w:lang w:val="en-US"/>
        </w:rPr>
        <w:t>;</w:t>
      </w:r>
    </w:p>
    <w:p w14:paraId="56A3C0A6" w14:textId="77777777" w:rsidR="006619D9" w:rsidRPr="00D95C57" w:rsidRDefault="006619D9" w:rsidP="002B75EF">
      <w:pPr>
        <w:widowControl w:val="0"/>
        <w:numPr>
          <w:ilvl w:val="0"/>
          <w:numId w:val="12"/>
        </w:numPr>
        <w:suppressAutoHyphens/>
        <w:autoSpaceDN w:val="0"/>
        <w:spacing w:beforeAutospacing="1" w:after="100" w:afterAutospacing="1"/>
        <w:ind w:left="270" w:hanging="270"/>
        <w:contextualSpacing/>
        <w:jc w:val="both"/>
        <w:textAlignment w:val="baseline"/>
        <w:rPr>
          <w:rFonts w:asciiTheme="majorHAnsi" w:eastAsia="Andale Sans UI" w:hAnsiTheme="majorHAnsi" w:cs="Times New Roman"/>
          <w:noProof/>
          <w:kern w:val="3"/>
          <w:lang w:eastAsia="es-ES" w:bidi="en-US"/>
        </w:rPr>
      </w:pPr>
      <w:r w:rsidRPr="00D95C57">
        <w:rPr>
          <w:rFonts w:asciiTheme="majorHAnsi" w:eastAsia="Andale Sans UI" w:hAnsiTheme="majorHAnsi" w:cs="Times New Roman"/>
          <w:noProof/>
          <w:kern w:val="3"/>
          <w:lang w:eastAsia="es-ES" w:bidi="en-US"/>
        </w:rPr>
        <w:t xml:space="preserve">Un număr de </w:t>
      </w:r>
      <w:r w:rsidRPr="00D95C57">
        <w:rPr>
          <w:rFonts w:asciiTheme="majorHAnsi" w:eastAsia="Andale Sans UI" w:hAnsiTheme="majorHAnsi" w:cs="Times New Roman"/>
          <w:b/>
          <w:bCs/>
          <w:noProof/>
          <w:kern w:val="3"/>
          <w:lang w:eastAsia="es-ES" w:bidi="en-US"/>
        </w:rPr>
        <w:t>6</w:t>
      </w:r>
      <w:r>
        <w:rPr>
          <w:rFonts w:asciiTheme="majorHAnsi" w:eastAsia="Andale Sans UI" w:hAnsiTheme="majorHAnsi" w:cs="Times New Roman"/>
          <w:b/>
          <w:bCs/>
          <w:noProof/>
          <w:kern w:val="3"/>
          <w:lang w:eastAsia="es-ES" w:bidi="en-US"/>
        </w:rPr>
        <w:t>2</w:t>
      </w:r>
      <w:r w:rsidRPr="00D95C57">
        <w:rPr>
          <w:rFonts w:asciiTheme="majorHAnsi" w:eastAsia="Andale Sans UI" w:hAnsiTheme="majorHAnsi" w:cs="Times New Roman"/>
          <w:b/>
          <w:bCs/>
          <w:noProof/>
          <w:kern w:val="3"/>
          <w:lang w:eastAsia="es-ES" w:bidi="en-US"/>
        </w:rPr>
        <w:t xml:space="preserve"> ÎPL</w:t>
      </w:r>
      <w:r w:rsidRPr="00D95C57">
        <w:rPr>
          <w:rFonts w:asciiTheme="majorHAnsi" w:eastAsia="Andale Sans UI" w:hAnsiTheme="majorHAnsi" w:cs="Times New Roman"/>
          <w:noProof/>
          <w:kern w:val="3"/>
          <w:lang w:eastAsia="es-ES" w:bidi="en-US"/>
        </w:rPr>
        <w:t xml:space="preserve"> active desfășoară activități de </w:t>
      </w:r>
      <w:r w:rsidRPr="00D95C57">
        <w:rPr>
          <w:rFonts w:asciiTheme="majorHAnsi" w:eastAsia="Andale Sans UI" w:hAnsiTheme="majorHAnsi" w:cs="Times New Roman"/>
          <w:b/>
          <w:bCs/>
          <w:noProof/>
          <w:kern w:val="3"/>
          <w:u w:val="single"/>
          <w:lang w:eastAsia="es-ES" w:bidi="en-US"/>
        </w:rPr>
        <w:t>lucrări de geniu civil (autostrăzi, drumuri, infrastructură)</w:t>
      </w:r>
      <w:r w:rsidRPr="00D95C57">
        <w:rPr>
          <w:rFonts w:asciiTheme="majorHAnsi" w:eastAsia="Andale Sans UI" w:hAnsiTheme="majorHAnsi" w:cs="Times New Roman"/>
          <w:noProof/>
          <w:kern w:val="3"/>
          <w:lang w:eastAsia="es-ES" w:bidi="en-US"/>
        </w:rPr>
        <w:t xml:space="preserve"> număr care reprezintă o pondere de </w:t>
      </w:r>
      <w:r w:rsidRPr="006619D9">
        <w:rPr>
          <w:rFonts w:asciiTheme="majorHAnsi" w:eastAsia="Andale Sans UI" w:hAnsiTheme="majorHAnsi" w:cs="Times New Roman"/>
          <w:noProof/>
          <w:kern w:val="3"/>
          <w:lang w:eastAsia="es-ES" w:bidi="en-US"/>
        </w:rPr>
        <w:t>5,01</w:t>
      </w:r>
      <w:r>
        <w:rPr>
          <w:rFonts w:asciiTheme="majorHAnsi" w:eastAsia="Andale Sans UI" w:hAnsiTheme="majorHAnsi" w:cs="Times New Roman"/>
          <w:noProof/>
          <w:kern w:val="3"/>
          <w:lang w:eastAsia="es-ES" w:bidi="en-US"/>
        </w:rPr>
        <w:t xml:space="preserve">% </w:t>
      </w:r>
      <w:r w:rsidRPr="00D95C57">
        <w:rPr>
          <w:rFonts w:asciiTheme="majorHAnsi" w:eastAsia="Andale Sans UI" w:hAnsiTheme="majorHAnsi" w:cs="Times New Roman"/>
          <w:noProof/>
          <w:kern w:val="3"/>
          <w:lang w:eastAsia="es-ES" w:bidi="en-US"/>
        </w:rPr>
        <w:t>din numărul total de 1.2</w:t>
      </w:r>
      <w:r>
        <w:rPr>
          <w:rFonts w:asciiTheme="majorHAnsi" w:eastAsia="Andale Sans UI" w:hAnsiTheme="majorHAnsi" w:cs="Times New Roman"/>
          <w:noProof/>
          <w:kern w:val="3"/>
          <w:lang w:eastAsia="es-ES" w:bidi="en-US"/>
        </w:rPr>
        <w:t>3</w:t>
      </w:r>
      <w:r w:rsidR="003F592E">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care înregistrează o pondere de</w:t>
      </w:r>
      <w:r w:rsidRPr="00D95C57">
        <w:rPr>
          <w:rFonts w:asciiTheme="majorHAnsi" w:eastAsia="Andale Sans UI" w:hAnsiTheme="majorHAnsi" w:cs="Times New Roman"/>
          <w:b/>
          <w:bCs/>
          <w:noProof/>
          <w:kern w:val="3"/>
          <w:lang w:eastAsia="es-ES" w:bidi="en-US"/>
        </w:rPr>
        <w:t xml:space="preserve"> </w:t>
      </w:r>
      <w:r w:rsidR="003F592E">
        <w:rPr>
          <w:rFonts w:asciiTheme="majorHAnsi" w:eastAsia="Andale Sans UI" w:hAnsiTheme="majorHAnsi" w:cs="Times New Roman"/>
          <w:b/>
          <w:bCs/>
          <w:noProof/>
          <w:kern w:val="3"/>
          <w:lang w:eastAsia="es-ES" w:bidi="en-US"/>
        </w:rPr>
        <w:t>6</w:t>
      </w:r>
      <w:r w:rsidRPr="006619D9">
        <w:rPr>
          <w:rFonts w:asciiTheme="majorHAnsi" w:eastAsia="Andale Sans UI" w:hAnsiTheme="majorHAnsi" w:cs="Times New Roman"/>
          <w:b/>
          <w:bCs/>
          <w:noProof/>
          <w:kern w:val="3"/>
          <w:lang w:eastAsia="es-ES" w:bidi="en-US"/>
        </w:rPr>
        <w:t>,</w:t>
      </w:r>
      <w:r w:rsidR="003F592E">
        <w:rPr>
          <w:rFonts w:asciiTheme="majorHAnsi" w:eastAsia="Andale Sans UI" w:hAnsiTheme="majorHAnsi" w:cs="Times New Roman"/>
          <w:b/>
          <w:bCs/>
          <w:noProof/>
          <w:kern w:val="3"/>
          <w:lang w:eastAsia="es-ES" w:bidi="en-US"/>
        </w:rPr>
        <w:t>83</w:t>
      </w:r>
      <w:r w:rsidRPr="00D95C57">
        <w:rPr>
          <w:rFonts w:asciiTheme="majorHAnsi" w:eastAsia="Andale Sans UI" w:hAnsiTheme="majorHAnsi" w:cs="Times New Roman"/>
          <w:b/>
          <w:bCs/>
          <w:noProof/>
          <w:kern w:val="3"/>
          <w:lang w:eastAsia="es-ES" w:bidi="en-US"/>
        </w:rPr>
        <w:t xml:space="preserve">% </w:t>
      </w:r>
      <w:r w:rsidRPr="00D95C57">
        <w:rPr>
          <w:rFonts w:asciiTheme="majorHAnsi" w:eastAsia="Andale Sans UI" w:hAnsiTheme="majorHAnsi" w:cs="Times New Roman"/>
          <w:noProof/>
          <w:kern w:val="3"/>
          <w:lang w:eastAsia="es-ES" w:bidi="en-US"/>
        </w:rPr>
        <w:t>din indicatorul cifră de afaceri netă înregistrată de cele 1.2</w:t>
      </w:r>
      <w:r>
        <w:rPr>
          <w:rFonts w:asciiTheme="majorHAnsi" w:eastAsia="Andale Sans UI" w:hAnsiTheme="majorHAnsi" w:cs="Times New Roman"/>
          <w:noProof/>
          <w:kern w:val="3"/>
          <w:lang w:eastAsia="es-ES" w:bidi="en-US"/>
        </w:rPr>
        <w:t>3</w:t>
      </w:r>
      <w:r w:rsidR="003F592E">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o pondere de </w:t>
      </w:r>
      <w:r w:rsidRPr="006619D9">
        <w:rPr>
          <w:rFonts w:asciiTheme="majorHAnsi" w:eastAsia="Andale Sans UI" w:hAnsiTheme="majorHAnsi" w:cs="Times New Roman"/>
          <w:b/>
          <w:noProof/>
          <w:kern w:val="3"/>
          <w:lang w:eastAsia="es-ES" w:bidi="en-US"/>
        </w:rPr>
        <w:t>4,</w:t>
      </w:r>
      <w:r w:rsidR="003F592E">
        <w:rPr>
          <w:rFonts w:asciiTheme="majorHAnsi" w:eastAsia="Andale Sans UI" w:hAnsiTheme="majorHAnsi" w:cs="Times New Roman"/>
          <w:b/>
          <w:noProof/>
          <w:kern w:val="3"/>
          <w:lang w:eastAsia="es-ES" w:bidi="en-US"/>
        </w:rPr>
        <w:t>96</w:t>
      </w:r>
      <w:r w:rsidRPr="006619D9">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indicatorul număr efectiv de personal angajat de cele 1.2</w:t>
      </w:r>
      <w:r>
        <w:rPr>
          <w:rFonts w:asciiTheme="majorHAnsi" w:eastAsia="Andale Sans UI" w:hAnsiTheme="majorHAnsi" w:cs="Times New Roman"/>
          <w:noProof/>
          <w:kern w:val="3"/>
          <w:lang w:eastAsia="es-ES" w:bidi="en-US"/>
        </w:rPr>
        <w:t>3</w:t>
      </w:r>
      <w:r w:rsidR="003F592E">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w:t>
      </w:r>
      <w:r w:rsidRPr="00D95C57">
        <w:rPr>
          <w:rFonts w:asciiTheme="majorHAnsi" w:eastAsia="Andale Sans UI" w:hAnsiTheme="majorHAnsi" w:cs="Times New Roman"/>
          <w:noProof/>
          <w:kern w:val="3"/>
          <w:lang w:val="en-US" w:eastAsia="es-ES" w:bidi="en-US"/>
        </w:rPr>
        <w:t>;</w:t>
      </w:r>
    </w:p>
    <w:p w14:paraId="63228DC6" w14:textId="77777777" w:rsidR="00F83DE8" w:rsidRPr="00D95C57" w:rsidRDefault="00F83DE8" w:rsidP="002B75EF">
      <w:pPr>
        <w:widowControl w:val="0"/>
        <w:numPr>
          <w:ilvl w:val="0"/>
          <w:numId w:val="12"/>
        </w:numPr>
        <w:suppressAutoHyphens/>
        <w:autoSpaceDN w:val="0"/>
        <w:spacing w:beforeAutospacing="1" w:after="100" w:afterAutospacing="1"/>
        <w:ind w:left="270" w:hanging="270"/>
        <w:contextualSpacing/>
        <w:jc w:val="both"/>
        <w:textAlignment w:val="baseline"/>
        <w:rPr>
          <w:rFonts w:asciiTheme="majorHAnsi" w:eastAsia="Andale Sans UI" w:hAnsiTheme="majorHAnsi" w:cs="Times New Roman"/>
          <w:noProof/>
          <w:kern w:val="3"/>
          <w:lang w:eastAsia="es-ES" w:bidi="en-US"/>
        </w:rPr>
      </w:pPr>
      <w:r w:rsidRPr="00D95C57">
        <w:rPr>
          <w:rFonts w:asciiTheme="majorHAnsi" w:hAnsiTheme="majorHAnsi" w:cs="Times New Roman"/>
          <w:bCs/>
        </w:rPr>
        <w:t xml:space="preserve">Un număr de </w:t>
      </w:r>
      <w:r w:rsidRPr="00FA0976">
        <w:rPr>
          <w:rFonts w:asciiTheme="majorHAnsi" w:hAnsiTheme="majorHAnsi" w:cs="Times New Roman"/>
          <w:b/>
          <w:bCs/>
        </w:rPr>
        <w:t>1</w:t>
      </w:r>
      <w:r w:rsidR="006619D9" w:rsidRPr="00FA0976">
        <w:rPr>
          <w:rFonts w:asciiTheme="majorHAnsi" w:hAnsiTheme="majorHAnsi" w:cs="Times New Roman"/>
          <w:b/>
          <w:bCs/>
        </w:rPr>
        <w:t>7</w:t>
      </w:r>
      <w:r w:rsidR="003F592E" w:rsidRPr="00FA0976">
        <w:rPr>
          <w:rFonts w:asciiTheme="majorHAnsi" w:hAnsiTheme="majorHAnsi" w:cs="Times New Roman"/>
          <w:b/>
          <w:bCs/>
        </w:rPr>
        <w:t>5</w:t>
      </w:r>
      <w:r w:rsidRPr="00FA0976">
        <w:rPr>
          <w:rFonts w:asciiTheme="majorHAnsi" w:hAnsiTheme="majorHAnsi" w:cs="Times New Roman"/>
          <w:b/>
          <w:bCs/>
        </w:rPr>
        <w:t xml:space="preserve"> ÎPL</w:t>
      </w:r>
      <w:r w:rsidRPr="00D95C57">
        <w:rPr>
          <w:rFonts w:asciiTheme="majorHAnsi" w:hAnsiTheme="majorHAnsi" w:cs="Times New Roman"/>
          <w:bCs/>
        </w:rPr>
        <w:t xml:space="preserve"> active desfășoară activități de colectare, tratare și eliminare a deșeurilo</w:t>
      </w:r>
      <w:r w:rsidRPr="003A78D3">
        <w:rPr>
          <w:rFonts w:asciiTheme="majorHAnsi" w:hAnsiTheme="majorHAnsi" w:cs="Times New Roman"/>
          <w:bCs/>
        </w:rPr>
        <w:t>r</w:t>
      </w:r>
      <w:r w:rsidRPr="003A78D3">
        <w:rPr>
          <w:rFonts w:asciiTheme="majorHAnsi" w:eastAsia="Andale Sans UI" w:hAnsiTheme="majorHAnsi" w:cs="Times New Roman"/>
          <w:bCs/>
          <w:noProof/>
          <w:kern w:val="3"/>
          <w:lang w:eastAsia="es-ES" w:bidi="en-US"/>
        </w:rPr>
        <w:t>;</w:t>
      </w:r>
      <w:r w:rsidRPr="00D95C57">
        <w:rPr>
          <w:rFonts w:asciiTheme="majorHAnsi" w:eastAsia="Andale Sans UI" w:hAnsiTheme="majorHAnsi" w:cs="Times New Roman"/>
          <w:b/>
          <w:bCs/>
          <w:noProof/>
          <w:kern w:val="3"/>
          <w:u w:val="single"/>
          <w:lang w:eastAsia="es-ES" w:bidi="en-US"/>
        </w:rPr>
        <w:t xml:space="preserve"> activități de recuperare a materialelor reciclabile</w:t>
      </w:r>
      <w:r w:rsidRPr="00D95C57">
        <w:rPr>
          <w:rFonts w:asciiTheme="majorHAnsi" w:eastAsia="Andale Sans UI" w:hAnsiTheme="majorHAnsi" w:cs="Times New Roman"/>
          <w:b/>
          <w:bCs/>
          <w:noProof/>
          <w:kern w:val="3"/>
          <w:lang w:eastAsia="es-ES" w:bidi="en-US"/>
        </w:rPr>
        <w:t xml:space="preserve">, </w:t>
      </w:r>
      <w:r w:rsidRPr="00D95C57">
        <w:rPr>
          <w:rFonts w:asciiTheme="majorHAnsi" w:eastAsia="Andale Sans UI" w:hAnsiTheme="majorHAnsi" w:cs="Times New Roman"/>
          <w:noProof/>
          <w:kern w:val="3"/>
          <w:lang w:eastAsia="es-ES" w:bidi="en-US"/>
        </w:rPr>
        <w:t xml:space="preserve">număr care reprezintă o pondere de </w:t>
      </w:r>
      <w:r w:rsidR="006619D9" w:rsidRPr="006619D9">
        <w:rPr>
          <w:rFonts w:asciiTheme="majorHAnsi" w:eastAsia="Andale Sans UI" w:hAnsiTheme="majorHAnsi" w:cs="Times New Roman"/>
          <w:noProof/>
          <w:kern w:val="3"/>
          <w:lang w:eastAsia="es-ES" w:bidi="en-US"/>
        </w:rPr>
        <w:t>14,</w:t>
      </w:r>
      <w:r w:rsidR="00FA0976">
        <w:rPr>
          <w:rFonts w:asciiTheme="majorHAnsi" w:eastAsia="Andale Sans UI" w:hAnsiTheme="majorHAnsi" w:cs="Times New Roman"/>
          <w:noProof/>
          <w:kern w:val="3"/>
          <w:lang w:eastAsia="es-ES" w:bidi="en-US"/>
        </w:rPr>
        <w:t>14</w:t>
      </w:r>
      <w:r w:rsidR="006619D9">
        <w:rPr>
          <w:rFonts w:asciiTheme="majorHAnsi" w:eastAsia="Andale Sans UI" w:hAnsiTheme="majorHAnsi" w:cs="Times New Roman"/>
          <w:noProof/>
          <w:kern w:val="3"/>
          <w:lang w:eastAsia="es-ES" w:bidi="en-US"/>
        </w:rPr>
        <w:t xml:space="preserve">% </w:t>
      </w:r>
      <w:r w:rsidRPr="00D95C57">
        <w:rPr>
          <w:rFonts w:asciiTheme="majorHAnsi" w:eastAsia="Andale Sans UI" w:hAnsiTheme="majorHAnsi" w:cs="Times New Roman"/>
          <w:noProof/>
          <w:kern w:val="3"/>
          <w:lang w:eastAsia="es-ES" w:bidi="en-US"/>
        </w:rPr>
        <w:t>din numărul total de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și care înregistrează o pondere de</w:t>
      </w:r>
      <w:r w:rsidR="006619D9">
        <w:rPr>
          <w:rFonts w:asciiTheme="majorHAnsi" w:eastAsia="Andale Sans UI" w:hAnsiTheme="majorHAnsi" w:cs="Times New Roman"/>
          <w:b/>
          <w:bCs/>
          <w:noProof/>
          <w:kern w:val="3"/>
          <w:lang w:eastAsia="es-ES" w:bidi="en-US"/>
        </w:rPr>
        <w:t xml:space="preserve"> </w:t>
      </w:r>
      <w:r w:rsidR="006619D9" w:rsidRPr="006619D9">
        <w:rPr>
          <w:rFonts w:asciiTheme="majorHAnsi" w:eastAsia="Andale Sans UI" w:hAnsiTheme="majorHAnsi" w:cs="Times New Roman"/>
          <w:b/>
          <w:bCs/>
          <w:noProof/>
          <w:kern w:val="3"/>
          <w:lang w:eastAsia="es-ES" w:bidi="en-US"/>
        </w:rPr>
        <w:t>6,</w:t>
      </w:r>
      <w:r w:rsidR="00FA0976">
        <w:rPr>
          <w:rFonts w:asciiTheme="majorHAnsi" w:eastAsia="Andale Sans UI" w:hAnsiTheme="majorHAnsi" w:cs="Times New Roman"/>
          <w:b/>
          <w:bCs/>
          <w:noProof/>
          <w:kern w:val="3"/>
          <w:lang w:eastAsia="es-ES" w:bidi="en-US"/>
        </w:rPr>
        <w:t>3</w:t>
      </w:r>
      <w:r w:rsidR="006619D9" w:rsidRPr="006619D9">
        <w:rPr>
          <w:rFonts w:asciiTheme="majorHAnsi" w:eastAsia="Andale Sans UI" w:hAnsiTheme="majorHAnsi" w:cs="Times New Roman"/>
          <w:b/>
          <w:bCs/>
          <w:noProof/>
          <w:kern w:val="3"/>
          <w:lang w:eastAsia="es-ES" w:bidi="en-US"/>
        </w:rPr>
        <w:t>4</w:t>
      </w:r>
      <w:r w:rsidRPr="00D95C57">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totalul indicatorului cifră de afaceri netă înregistrată de cele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o pondere de</w:t>
      </w:r>
      <w:r w:rsidRPr="00D95C57">
        <w:rPr>
          <w:rFonts w:asciiTheme="majorHAnsi" w:eastAsia="Andale Sans UI" w:hAnsiTheme="majorHAnsi" w:cs="Times New Roman"/>
          <w:b/>
          <w:bCs/>
          <w:noProof/>
          <w:kern w:val="3"/>
          <w:lang w:eastAsia="es-ES" w:bidi="en-US"/>
        </w:rPr>
        <w:t xml:space="preserve"> </w:t>
      </w:r>
      <w:r w:rsidR="006619D9" w:rsidRPr="006619D9">
        <w:rPr>
          <w:rFonts w:asciiTheme="majorHAnsi" w:eastAsia="Andale Sans UI" w:hAnsiTheme="majorHAnsi" w:cs="Times New Roman"/>
          <w:b/>
          <w:bCs/>
          <w:noProof/>
          <w:kern w:val="3"/>
          <w:lang w:eastAsia="es-ES" w:bidi="en-US"/>
        </w:rPr>
        <w:t>9,</w:t>
      </w:r>
      <w:r w:rsidR="00FA0976">
        <w:rPr>
          <w:rFonts w:asciiTheme="majorHAnsi" w:eastAsia="Andale Sans UI" w:hAnsiTheme="majorHAnsi" w:cs="Times New Roman"/>
          <w:b/>
          <w:bCs/>
          <w:noProof/>
          <w:kern w:val="3"/>
          <w:lang w:eastAsia="es-ES" w:bidi="en-US"/>
        </w:rPr>
        <w:t>18</w:t>
      </w:r>
      <w:r w:rsidRPr="00D95C57">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indicatorul număr efectiv de personal angajat de cele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w:t>
      </w:r>
    </w:p>
    <w:p w14:paraId="3FA5CD3B" w14:textId="77777777" w:rsidR="00F83DE8" w:rsidRPr="00D95C57" w:rsidRDefault="00F83DE8" w:rsidP="002B75EF">
      <w:pPr>
        <w:widowControl w:val="0"/>
        <w:numPr>
          <w:ilvl w:val="0"/>
          <w:numId w:val="12"/>
        </w:numPr>
        <w:suppressAutoHyphens/>
        <w:autoSpaceDN w:val="0"/>
        <w:spacing w:beforeAutospacing="1" w:after="100" w:afterAutospacing="1"/>
        <w:ind w:left="270" w:hanging="270"/>
        <w:contextualSpacing/>
        <w:jc w:val="both"/>
        <w:textAlignment w:val="baseline"/>
        <w:rPr>
          <w:rFonts w:asciiTheme="majorHAnsi" w:eastAsia="Andale Sans UI" w:hAnsiTheme="majorHAnsi" w:cs="Times New Roman"/>
          <w:noProof/>
          <w:kern w:val="3"/>
          <w:lang w:eastAsia="es-ES" w:bidi="en-US"/>
        </w:rPr>
      </w:pPr>
      <w:r w:rsidRPr="00D95C57">
        <w:rPr>
          <w:rFonts w:asciiTheme="majorHAnsi" w:eastAsia="Andale Sans UI" w:hAnsiTheme="majorHAnsi" w:cs="Times New Roman"/>
          <w:noProof/>
          <w:kern w:val="3"/>
          <w:lang w:eastAsia="es-ES" w:bidi="en-US"/>
        </w:rPr>
        <w:t xml:space="preserve">Un număr de </w:t>
      </w:r>
      <w:r w:rsidR="006619D9">
        <w:rPr>
          <w:rFonts w:asciiTheme="majorHAnsi" w:eastAsia="Andale Sans UI" w:hAnsiTheme="majorHAnsi" w:cs="Times New Roman"/>
          <w:b/>
          <w:bCs/>
          <w:noProof/>
          <w:kern w:val="3"/>
          <w:lang w:eastAsia="es-ES" w:bidi="en-US"/>
        </w:rPr>
        <w:t>1</w:t>
      </w:r>
      <w:r w:rsidR="00FA0976">
        <w:rPr>
          <w:rFonts w:asciiTheme="majorHAnsi" w:eastAsia="Andale Sans UI" w:hAnsiTheme="majorHAnsi" w:cs="Times New Roman"/>
          <w:b/>
          <w:bCs/>
          <w:noProof/>
          <w:kern w:val="3"/>
          <w:lang w:eastAsia="es-ES" w:bidi="en-US"/>
        </w:rPr>
        <w:t>31</w:t>
      </w:r>
      <w:r w:rsidRPr="00D95C57">
        <w:rPr>
          <w:rFonts w:asciiTheme="majorHAnsi" w:eastAsia="Andale Sans UI" w:hAnsiTheme="majorHAnsi" w:cs="Times New Roman"/>
          <w:b/>
          <w:bCs/>
          <w:noProof/>
          <w:kern w:val="3"/>
          <w:lang w:eastAsia="es-ES" w:bidi="en-US"/>
        </w:rPr>
        <w:t xml:space="preserve"> ÎPL</w:t>
      </w:r>
      <w:r w:rsidRPr="00D95C57">
        <w:rPr>
          <w:rFonts w:asciiTheme="majorHAnsi" w:eastAsia="Andale Sans UI" w:hAnsiTheme="majorHAnsi" w:cs="Times New Roman"/>
          <w:noProof/>
          <w:kern w:val="3"/>
          <w:lang w:eastAsia="es-ES" w:bidi="en-US"/>
        </w:rPr>
        <w:t xml:space="preserve"> active desfășoară activități </w:t>
      </w:r>
      <w:r w:rsidRPr="00D95C57">
        <w:rPr>
          <w:rFonts w:asciiTheme="majorHAnsi" w:eastAsia="Andale Sans UI" w:hAnsiTheme="majorHAnsi" w:cs="Times New Roman"/>
          <w:b/>
          <w:bCs/>
          <w:noProof/>
          <w:kern w:val="3"/>
          <w:u w:val="single"/>
          <w:lang w:eastAsia="es-ES" w:bidi="en-US"/>
        </w:rPr>
        <w:t xml:space="preserve">de peisagistică și servicii pentru clădiri </w:t>
      </w:r>
      <w:r w:rsidRPr="00D95C57">
        <w:rPr>
          <w:rFonts w:asciiTheme="majorHAnsi" w:eastAsia="Andale Sans UI" w:hAnsiTheme="majorHAnsi" w:cs="Times New Roman"/>
          <w:noProof/>
          <w:kern w:val="3"/>
          <w:lang w:eastAsia="es-ES" w:bidi="en-US"/>
        </w:rPr>
        <w:t xml:space="preserve">număr care reprezintă o pondere de </w:t>
      </w:r>
      <w:r w:rsidR="00FA0976">
        <w:rPr>
          <w:rFonts w:asciiTheme="majorHAnsi" w:eastAsia="Andale Sans UI" w:hAnsiTheme="majorHAnsi" w:cs="Times New Roman"/>
          <w:noProof/>
          <w:kern w:val="3"/>
          <w:lang w:eastAsia="es-ES" w:bidi="en-US"/>
        </w:rPr>
        <w:t>10</w:t>
      </w:r>
      <w:r w:rsidR="006619D9" w:rsidRPr="006619D9">
        <w:rPr>
          <w:rFonts w:asciiTheme="majorHAnsi" w:eastAsia="Andale Sans UI" w:hAnsiTheme="majorHAnsi" w:cs="Times New Roman"/>
          <w:noProof/>
          <w:kern w:val="3"/>
          <w:lang w:eastAsia="es-ES" w:bidi="en-US"/>
        </w:rPr>
        <w:t>,</w:t>
      </w:r>
      <w:r w:rsidR="00FA0976">
        <w:rPr>
          <w:rFonts w:asciiTheme="majorHAnsi" w:eastAsia="Andale Sans UI" w:hAnsiTheme="majorHAnsi" w:cs="Times New Roman"/>
          <w:noProof/>
          <w:kern w:val="3"/>
          <w:lang w:eastAsia="es-ES" w:bidi="en-US"/>
        </w:rPr>
        <w:t>58</w:t>
      </w:r>
      <w:r w:rsidRPr="00D95C57">
        <w:rPr>
          <w:rFonts w:asciiTheme="majorHAnsi" w:eastAsia="Andale Sans UI" w:hAnsiTheme="majorHAnsi" w:cs="Times New Roman"/>
          <w:noProof/>
          <w:kern w:val="3"/>
          <w:lang w:eastAsia="es-ES" w:bidi="en-US"/>
        </w:rPr>
        <w:t>% din numărul total de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care înregistrează o pondere de</w:t>
      </w:r>
      <w:r w:rsidRPr="00D95C57">
        <w:rPr>
          <w:rFonts w:asciiTheme="majorHAnsi" w:eastAsia="Andale Sans UI" w:hAnsiTheme="majorHAnsi" w:cs="Times New Roman"/>
          <w:b/>
          <w:bCs/>
          <w:noProof/>
          <w:kern w:val="3"/>
          <w:lang w:eastAsia="es-ES" w:bidi="en-US"/>
        </w:rPr>
        <w:t xml:space="preserve"> </w:t>
      </w:r>
      <w:r w:rsidR="00FA0976">
        <w:rPr>
          <w:rFonts w:asciiTheme="majorHAnsi" w:eastAsia="Andale Sans UI" w:hAnsiTheme="majorHAnsi" w:cs="Times New Roman"/>
          <w:b/>
          <w:bCs/>
          <w:noProof/>
          <w:kern w:val="3"/>
          <w:lang w:eastAsia="es-ES" w:bidi="en-US"/>
        </w:rPr>
        <w:t>4</w:t>
      </w:r>
      <w:r w:rsidR="006619D9" w:rsidRPr="006619D9">
        <w:rPr>
          <w:rFonts w:asciiTheme="majorHAnsi" w:eastAsia="Andale Sans UI" w:hAnsiTheme="majorHAnsi" w:cs="Times New Roman"/>
          <w:b/>
          <w:bCs/>
          <w:noProof/>
          <w:kern w:val="3"/>
          <w:lang w:eastAsia="es-ES" w:bidi="en-US"/>
        </w:rPr>
        <w:t>,6</w:t>
      </w:r>
      <w:r w:rsidR="00FA0976">
        <w:rPr>
          <w:rFonts w:asciiTheme="majorHAnsi" w:eastAsia="Andale Sans UI" w:hAnsiTheme="majorHAnsi" w:cs="Times New Roman"/>
          <w:b/>
          <w:bCs/>
          <w:noProof/>
          <w:kern w:val="3"/>
          <w:lang w:eastAsia="es-ES" w:bidi="en-US"/>
        </w:rPr>
        <w:t>9</w:t>
      </w:r>
      <w:r w:rsidRPr="00D95C57">
        <w:rPr>
          <w:rFonts w:asciiTheme="majorHAnsi" w:eastAsia="Andale Sans UI" w:hAnsiTheme="majorHAnsi" w:cs="Times New Roman"/>
          <w:b/>
          <w:bCs/>
          <w:noProof/>
          <w:kern w:val="3"/>
          <w:lang w:eastAsia="es-ES" w:bidi="en-US"/>
        </w:rPr>
        <w:t xml:space="preserve">% </w:t>
      </w:r>
      <w:r w:rsidRPr="00D95C57">
        <w:rPr>
          <w:rFonts w:asciiTheme="majorHAnsi" w:eastAsia="Andale Sans UI" w:hAnsiTheme="majorHAnsi" w:cs="Times New Roman"/>
          <w:noProof/>
          <w:kern w:val="3"/>
          <w:lang w:eastAsia="es-ES" w:bidi="en-US"/>
        </w:rPr>
        <w:t>din indicatorul cifră de afacer</w:t>
      </w:r>
      <w:r w:rsidR="006619D9">
        <w:rPr>
          <w:rFonts w:asciiTheme="majorHAnsi" w:eastAsia="Andale Sans UI" w:hAnsiTheme="majorHAnsi" w:cs="Times New Roman"/>
          <w:noProof/>
          <w:kern w:val="3"/>
          <w:lang w:eastAsia="es-ES" w:bidi="en-US"/>
        </w:rPr>
        <w:t>i netă înregistrată de cele 1.23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o pondere de </w:t>
      </w:r>
      <w:r w:rsidR="00FA0976">
        <w:rPr>
          <w:rFonts w:asciiTheme="majorHAnsi" w:eastAsia="Andale Sans UI" w:hAnsiTheme="majorHAnsi" w:cs="Times New Roman"/>
          <w:b/>
          <w:noProof/>
          <w:kern w:val="3"/>
          <w:lang w:eastAsia="es-ES" w:bidi="en-US"/>
        </w:rPr>
        <w:t>7</w:t>
      </w:r>
      <w:r w:rsidR="006619D9" w:rsidRPr="006619D9">
        <w:rPr>
          <w:rFonts w:asciiTheme="majorHAnsi" w:eastAsia="Andale Sans UI" w:hAnsiTheme="majorHAnsi" w:cs="Times New Roman"/>
          <w:b/>
          <w:noProof/>
          <w:kern w:val="3"/>
          <w:lang w:eastAsia="es-ES" w:bidi="en-US"/>
        </w:rPr>
        <w:t>,</w:t>
      </w:r>
      <w:r w:rsidR="00FA0976">
        <w:rPr>
          <w:rFonts w:asciiTheme="majorHAnsi" w:eastAsia="Andale Sans UI" w:hAnsiTheme="majorHAnsi" w:cs="Times New Roman"/>
          <w:b/>
          <w:noProof/>
          <w:kern w:val="3"/>
          <w:lang w:eastAsia="es-ES" w:bidi="en-US"/>
        </w:rPr>
        <w:t>01</w:t>
      </w:r>
      <w:r w:rsidRPr="00D95C57">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indicatorul număr efectiv de personal angajat de cele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w:t>
      </w:r>
      <w:r w:rsidRPr="00D95C57">
        <w:rPr>
          <w:rFonts w:asciiTheme="majorHAnsi" w:eastAsia="Andale Sans UI" w:hAnsiTheme="majorHAnsi" w:cs="Times New Roman"/>
          <w:noProof/>
          <w:kern w:val="3"/>
          <w:lang w:val="en-US" w:eastAsia="es-ES" w:bidi="en-US"/>
        </w:rPr>
        <w:t>;</w:t>
      </w:r>
    </w:p>
    <w:p w14:paraId="56BF2447" w14:textId="77777777" w:rsidR="00DC3F61" w:rsidRPr="002B75EF" w:rsidRDefault="00F83DE8" w:rsidP="00DC3F61">
      <w:pPr>
        <w:widowControl w:val="0"/>
        <w:numPr>
          <w:ilvl w:val="0"/>
          <w:numId w:val="12"/>
        </w:numPr>
        <w:suppressAutoHyphens/>
        <w:autoSpaceDN w:val="0"/>
        <w:spacing w:beforeAutospacing="1" w:after="100" w:afterAutospacing="1"/>
        <w:ind w:left="270" w:hanging="270"/>
        <w:contextualSpacing/>
        <w:jc w:val="both"/>
        <w:textAlignment w:val="baseline"/>
        <w:rPr>
          <w:rFonts w:asciiTheme="majorHAnsi" w:hAnsiTheme="majorHAnsi"/>
        </w:rPr>
      </w:pPr>
      <w:r w:rsidRPr="00D95C57">
        <w:rPr>
          <w:rFonts w:asciiTheme="majorHAnsi" w:eastAsia="Andale Sans UI" w:hAnsiTheme="majorHAnsi" w:cs="Times New Roman"/>
          <w:b/>
          <w:bCs/>
          <w:noProof/>
          <w:kern w:val="3"/>
          <w:lang w:eastAsia="es-ES" w:bidi="en-US"/>
        </w:rPr>
        <w:t>Alte sectoare de activitate</w:t>
      </w:r>
      <w:r w:rsidRPr="00D95C57">
        <w:rPr>
          <w:rFonts w:asciiTheme="majorHAnsi" w:eastAsia="Andale Sans UI" w:hAnsiTheme="majorHAnsi" w:cs="Times New Roman"/>
          <w:noProof/>
          <w:kern w:val="3"/>
          <w:lang w:eastAsia="es-ES" w:bidi="en-US"/>
        </w:rPr>
        <w:t xml:space="preserve"> în care activează ÎPL active sunt cele </w:t>
      </w:r>
      <w:r w:rsidRPr="00D95C57">
        <w:rPr>
          <w:rFonts w:asciiTheme="majorHAnsi" w:eastAsia="Andale Sans UI" w:hAnsiTheme="majorHAnsi" w:cs="Times New Roman"/>
          <w:b/>
          <w:bCs/>
          <w:noProof/>
          <w:kern w:val="3"/>
          <w:u w:val="single"/>
          <w:lang w:eastAsia="es-ES" w:bidi="en-US"/>
        </w:rPr>
        <w:t>de servicii publice administrative, asigurări sociale, apărare, ordine publică, sănătate și asistență socială,</w:t>
      </w:r>
      <w:r w:rsidRPr="00D95C57">
        <w:rPr>
          <w:rFonts w:asciiTheme="majorHAnsi" w:hAnsiTheme="majorHAnsi"/>
          <w:b/>
          <w:bCs/>
          <w:u w:val="single"/>
        </w:rPr>
        <w:t xml:space="preserve"> a</w:t>
      </w:r>
      <w:r w:rsidRPr="00D95C57">
        <w:rPr>
          <w:rFonts w:asciiTheme="majorHAnsi" w:eastAsia="Andale Sans UI" w:hAnsiTheme="majorHAnsi" w:cs="Times New Roman"/>
          <w:b/>
          <w:bCs/>
          <w:noProof/>
          <w:kern w:val="3"/>
          <w:u w:val="single"/>
          <w:lang w:eastAsia="es-ES" w:bidi="en-US"/>
        </w:rPr>
        <w:t>lte servicii (hoteluri, restaurante, tranzacții imobiliare, intermedieri financiare, evenimente culturale, spectacole), silvicultură și exploatare forestieră, producția de energie electrică, transporturi aeriene, etc</w:t>
      </w:r>
      <w:r w:rsidRPr="00D95C57">
        <w:rPr>
          <w:rFonts w:asciiTheme="majorHAnsi" w:eastAsia="Andale Sans UI" w:hAnsiTheme="majorHAnsi" w:cs="Times New Roman"/>
          <w:noProof/>
          <w:kern w:val="3"/>
          <w:lang w:eastAsia="es-ES" w:bidi="en-US"/>
        </w:rPr>
        <w:t xml:space="preserve">. În restul sectoarelor de activitate își desfășoară activitatea un număr total de </w:t>
      </w:r>
      <w:r w:rsidR="002B75EF">
        <w:rPr>
          <w:rFonts w:asciiTheme="majorHAnsi" w:eastAsia="Andale Sans UI" w:hAnsiTheme="majorHAnsi" w:cs="Times New Roman"/>
          <w:noProof/>
          <w:kern w:val="3"/>
          <w:lang w:eastAsia="es-ES" w:bidi="en-US"/>
        </w:rPr>
        <w:t>439</w:t>
      </w:r>
      <w:r w:rsidRPr="00D95C57">
        <w:rPr>
          <w:rFonts w:asciiTheme="majorHAnsi" w:eastAsia="Andale Sans UI" w:hAnsiTheme="majorHAnsi" w:cs="Times New Roman"/>
          <w:noProof/>
          <w:kern w:val="3"/>
          <w:lang w:eastAsia="es-ES" w:bidi="en-US"/>
        </w:rPr>
        <w:t xml:space="preserve"> ÎPL, număr care reprezintă o pondere de </w:t>
      </w:r>
      <w:r w:rsidR="002B75EF">
        <w:rPr>
          <w:rFonts w:asciiTheme="majorHAnsi" w:eastAsia="Andale Sans UI" w:hAnsiTheme="majorHAnsi" w:cs="Times New Roman"/>
          <w:noProof/>
          <w:kern w:val="3"/>
          <w:lang w:eastAsia="es-ES" w:bidi="en-US"/>
        </w:rPr>
        <w:t>35</w:t>
      </w:r>
      <w:r w:rsidR="006619D9">
        <w:rPr>
          <w:rFonts w:asciiTheme="majorHAnsi" w:eastAsia="Andale Sans UI" w:hAnsiTheme="majorHAnsi" w:cs="Times New Roman"/>
          <w:noProof/>
          <w:kern w:val="3"/>
          <w:lang w:eastAsia="es-ES" w:bidi="en-US"/>
        </w:rPr>
        <w:t>,</w:t>
      </w:r>
      <w:r w:rsidR="002B75EF">
        <w:rPr>
          <w:rFonts w:asciiTheme="majorHAnsi" w:eastAsia="Andale Sans UI" w:hAnsiTheme="majorHAnsi" w:cs="Times New Roman"/>
          <w:noProof/>
          <w:kern w:val="3"/>
          <w:lang w:eastAsia="es-ES" w:bidi="en-US"/>
        </w:rPr>
        <w:t>46</w:t>
      </w:r>
      <w:r w:rsidRPr="00D95C57">
        <w:rPr>
          <w:rFonts w:asciiTheme="majorHAnsi" w:eastAsia="Andale Sans UI" w:hAnsiTheme="majorHAnsi" w:cs="Times New Roman"/>
          <w:noProof/>
          <w:kern w:val="3"/>
          <w:lang w:eastAsia="es-ES" w:bidi="en-US"/>
        </w:rPr>
        <w:t>% din numărul total de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care înregistrează o pondere de </w:t>
      </w:r>
      <w:r w:rsidR="006619D9">
        <w:rPr>
          <w:rFonts w:asciiTheme="majorHAnsi" w:eastAsia="Andale Sans UI" w:hAnsiTheme="majorHAnsi" w:cs="Times New Roman"/>
          <w:b/>
          <w:bCs/>
          <w:noProof/>
          <w:kern w:val="3"/>
          <w:lang w:eastAsia="es-ES" w:bidi="en-US"/>
        </w:rPr>
        <w:t>1</w:t>
      </w:r>
      <w:r w:rsidR="002B75EF">
        <w:rPr>
          <w:rFonts w:asciiTheme="majorHAnsi" w:eastAsia="Andale Sans UI" w:hAnsiTheme="majorHAnsi" w:cs="Times New Roman"/>
          <w:b/>
          <w:bCs/>
          <w:noProof/>
          <w:kern w:val="3"/>
          <w:lang w:eastAsia="es-ES" w:bidi="en-US"/>
        </w:rPr>
        <w:t>5</w:t>
      </w:r>
      <w:r w:rsidR="006619D9">
        <w:rPr>
          <w:rFonts w:asciiTheme="majorHAnsi" w:eastAsia="Andale Sans UI" w:hAnsiTheme="majorHAnsi" w:cs="Times New Roman"/>
          <w:b/>
          <w:bCs/>
          <w:noProof/>
          <w:kern w:val="3"/>
          <w:lang w:eastAsia="es-ES" w:bidi="en-US"/>
        </w:rPr>
        <w:t>,</w:t>
      </w:r>
      <w:r w:rsidR="002B75EF">
        <w:rPr>
          <w:rFonts w:asciiTheme="majorHAnsi" w:eastAsia="Andale Sans UI" w:hAnsiTheme="majorHAnsi" w:cs="Times New Roman"/>
          <w:b/>
          <w:bCs/>
          <w:noProof/>
          <w:kern w:val="3"/>
          <w:lang w:eastAsia="es-ES" w:bidi="en-US"/>
        </w:rPr>
        <w:t>35</w:t>
      </w:r>
      <w:r w:rsidRPr="00D95C57">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indicatorul cifră de afaceri netă înregistrată de cele 1.2</w:t>
      </w:r>
      <w:r w:rsidR="006619D9">
        <w:rPr>
          <w:rFonts w:asciiTheme="majorHAnsi" w:eastAsia="Andale Sans UI" w:hAnsiTheme="majorHAnsi" w:cs="Times New Roman"/>
          <w:noProof/>
          <w:kern w:val="3"/>
          <w:lang w:eastAsia="es-ES" w:bidi="en-US"/>
        </w:rPr>
        <w:t>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 și o pondere de </w:t>
      </w:r>
      <w:r w:rsidR="006619D9">
        <w:rPr>
          <w:rFonts w:asciiTheme="majorHAnsi" w:eastAsia="Andale Sans UI" w:hAnsiTheme="majorHAnsi" w:cs="Times New Roman"/>
          <w:b/>
          <w:bCs/>
          <w:noProof/>
          <w:kern w:val="3"/>
          <w:lang w:eastAsia="es-ES" w:bidi="en-US"/>
        </w:rPr>
        <w:t>1</w:t>
      </w:r>
      <w:r w:rsidR="002B75EF">
        <w:rPr>
          <w:rFonts w:asciiTheme="majorHAnsi" w:eastAsia="Andale Sans UI" w:hAnsiTheme="majorHAnsi" w:cs="Times New Roman"/>
          <w:b/>
          <w:bCs/>
          <w:noProof/>
          <w:kern w:val="3"/>
          <w:lang w:eastAsia="es-ES" w:bidi="en-US"/>
        </w:rPr>
        <w:t>7</w:t>
      </w:r>
      <w:r w:rsidR="006619D9">
        <w:rPr>
          <w:rFonts w:asciiTheme="majorHAnsi" w:eastAsia="Andale Sans UI" w:hAnsiTheme="majorHAnsi" w:cs="Times New Roman"/>
          <w:b/>
          <w:bCs/>
          <w:noProof/>
          <w:kern w:val="3"/>
          <w:lang w:eastAsia="es-ES" w:bidi="en-US"/>
        </w:rPr>
        <w:t>,</w:t>
      </w:r>
      <w:r w:rsidR="002B75EF">
        <w:rPr>
          <w:rFonts w:asciiTheme="majorHAnsi" w:eastAsia="Andale Sans UI" w:hAnsiTheme="majorHAnsi" w:cs="Times New Roman"/>
          <w:b/>
          <w:bCs/>
          <w:noProof/>
          <w:kern w:val="3"/>
          <w:lang w:eastAsia="es-ES" w:bidi="en-US"/>
        </w:rPr>
        <w:t>23</w:t>
      </w:r>
      <w:r w:rsidRPr="00D95C57">
        <w:rPr>
          <w:rFonts w:asciiTheme="majorHAnsi" w:eastAsia="Andale Sans UI" w:hAnsiTheme="majorHAnsi" w:cs="Times New Roman"/>
          <w:b/>
          <w:bCs/>
          <w:noProof/>
          <w:kern w:val="3"/>
          <w:lang w:eastAsia="es-ES" w:bidi="en-US"/>
        </w:rPr>
        <w:t>%</w:t>
      </w:r>
      <w:r w:rsidRPr="00D95C57">
        <w:rPr>
          <w:rFonts w:asciiTheme="majorHAnsi" w:eastAsia="Andale Sans UI" w:hAnsiTheme="majorHAnsi" w:cs="Times New Roman"/>
          <w:noProof/>
          <w:kern w:val="3"/>
          <w:lang w:eastAsia="es-ES" w:bidi="en-US"/>
        </w:rPr>
        <w:t xml:space="preserve"> din indicatorul număr efectiv d</w:t>
      </w:r>
      <w:r w:rsidR="006619D9">
        <w:rPr>
          <w:rFonts w:asciiTheme="majorHAnsi" w:eastAsia="Andale Sans UI" w:hAnsiTheme="majorHAnsi" w:cs="Times New Roman"/>
          <w:noProof/>
          <w:kern w:val="3"/>
          <w:lang w:eastAsia="es-ES" w:bidi="en-US"/>
        </w:rPr>
        <w:t>e personal angajat de cele 1.23</w:t>
      </w:r>
      <w:r w:rsidR="00FA0976">
        <w:rPr>
          <w:rFonts w:asciiTheme="majorHAnsi" w:eastAsia="Andale Sans UI" w:hAnsiTheme="majorHAnsi" w:cs="Times New Roman"/>
          <w:noProof/>
          <w:kern w:val="3"/>
          <w:lang w:eastAsia="es-ES" w:bidi="en-US"/>
        </w:rPr>
        <w:t>8</w:t>
      </w:r>
      <w:r w:rsidRPr="00D95C57">
        <w:rPr>
          <w:rFonts w:asciiTheme="majorHAnsi" w:eastAsia="Andale Sans UI" w:hAnsiTheme="majorHAnsi" w:cs="Times New Roman"/>
          <w:noProof/>
          <w:kern w:val="3"/>
          <w:lang w:eastAsia="es-ES" w:bidi="en-US"/>
        </w:rPr>
        <w:t xml:space="preserve"> ÎPL active.</w:t>
      </w:r>
    </w:p>
    <w:p w14:paraId="7DDF9B72" w14:textId="77777777" w:rsidR="0095406E" w:rsidRDefault="0095406E" w:rsidP="0095406E">
      <w:pPr>
        <w:widowControl w:val="0"/>
        <w:suppressAutoHyphens/>
        <w:autoSpaceDN w:val="0"/>
        <w:spacing w:beforeAutospacing="1" w:after="100" w:afterAutospacing="1"/>
        <w:ind w:left="284"/>
        <w:contextualSpacing/>
        <w:jc w:val="both"/>
        <w:textAlignment w:val="baseline"/>
        <w:rPr>
          <w:rFonts w:asciiTheme="majorHAnsi" w:hAnsiTheme="majorHAnsi"/>
        </w:rPr>
      </w:pPr>
    </w:p>
    <w:p w14:paraId="065B5496" w14:textId="77777777" w:rsidR="002B75EF" w:rsidRDefault="002B75EF" w:rsidP="0095406E">
      <w:pPr>
        <w:widowControl w:val="0"/>
        <w:suppressAutoHyphens/>
        <w:autoSpaceDN w:val="0"/>
        <w:spacing w:beforeAutospacing="1" w:after="100" w:afterAutospacing="1"/>
        <w:ind w:left="284"/>
        <w:contextualSpacing/>
        <w:jc w:val="both"/>
        <w:textAlignment w:val="baseline"/>
        <w:rPr>
          <w:rFonts w:asciiTheme="majorHAnsi" w:hAnsiTheme="majorHAnsi"/>
        </w:rPr>
      </w:pPr>
    </w:p>
    <w:p w14:paraId="78C8AED1" w14:textId="77777777" w:rsidR="005E4009" w:rsidRDefault="005E4009" w:rsidP="0095406E">
      <w:pPr>
        <w:widowControl w:val="0"/>
        <w:suppressAutoHyphens/>
        <w:autoSpaceDN w:val="0"/>
        <w:spacing w:beforeAutospacing="1" w:after="100" w:afterAutospacing="1"/>
        <w:ind w:left="284"/>
        <w:contextualSpacing/>
        <w:jc w:val="both"/>
        <w:textAlignment w:val="baseline"/>
        <w:rPr>
          <w:rFonts w:asciiTheme="majorHAnsi" w:hAnsiTheme="majorHAnsi"/>
        </w:rPr>
      </w:pPr>
    </w:p>
    <w:p w14:paraId="45E78E32" w14:textId="77777777" w:rsidR="00284926" w:rsidRPr="00D95C57" w:rsidRDefault="00284926" w:rsidP="0095406E">
      <w:pPr>
        <w:widowControl w:val="0"/>
        <w:suppressAutoHyphens/>
        <w:autoSpaceDN w:val="0"/>
        <w:spacing w:beforeAutospacing="1" w:after="100" w:afterAutospacing="1"/>
        <w:ind w:left="284"/>
        <w:contextualSpacing/>
        <w:jc w:val="both"/>
        <w:textAlignment w:val="baseline"/>
        <w:rPr>
          <w:rFonts w:asciiTheme="majorHAnsi" w:hAnsiTheme="majorHAnsi"/>
        </w:rPr>
      </w:pPr>
    </w:p>
    <w:p w14:paraId="5F47012F" w14:textId="77777777" w:rsidR="00F83DE8" w:rsidRPr="00522CC8" w:rsidRDefault="00DC3F61" w:rsidP="00F83DE8">
      <w:pPr>
        <w:pStyle w:val="ListParagraph"/>
        <w:ind w:left="0"/>
        <w:outlineLvl w:val="2"/>
        <w:rPr>
          <w:rFonts w:asciiTheme="majorHAnsi" w:hAnsiTheme="majorHAnsi"/>
          <w:b/>
          <w:bCs/>
          <w:color w:val="0F6FC6" w:themeColor="accent1"/>
          <w:sz w:val="28"/>
          <w:szCs w:val="28"/>
        </w:rPr>
      </w:pPr>
      <w:bookmarkStart w:id="111" w:name="_Toc519186411"/>
      <w:bookmarkStart w:id="112" w:name="_Toc87875966"/>
      <w:r>
        <w:rPr>
          <w:rFonts w:asciiTheme="majorHAnsi" w:hAnsiTheme="majorHAnsi"/>
          <w:b/>
          <w:bCs/>
          <w:color w:val="0F6FC6" w:themeColor="accent1"/>
          <w:sz w:val="28"/>
          <w:szCs w:val="28"/>
        </w:rPr>
        <w:t>3</w:t>
      </w:r>
      <w:r w:rsidR="00F83DE8" w:rsidRPr="00522CC8">
        <w:rPr>
          <w:rFonts w:asciiTheme="majorHAnsi" w:hAnsiTheme="majorHAnsi"/>
          <w:b/>
          <w:bCs/>
          <w:color w:val="0F6FC6" w:themeColor="accent1"/>
          <w:sz w:val="28"/>
          <w:szCs w:val="28"/>
        </w:rPr>
        <w:t>.3 – Evoluția plăților restante înregistrate de întreprinderile publice locale</w:t>
      </w:r>
      <w:bookmarkEnd w:id="111"/>
      <w:bookmarkEnd w:id="112"/>
    </w:p>
    <w:p w14:paraId="42054CEE" w14:textId="77777777" w:rsidR="002B75EF" w:rsidRDefault="002B75EF" w:rsidP="002B75EF">
      <w:pPr>
        <w:widowControl w:val="0"/>
        <w:suppressAutoHyphens/>
        <w:autoSpaceDN w:val="0"/>
        <w:spacing w:beforeAutospacing="1" w:after="100" w:afterAutospacing="1"/>
        <w:contextualSpacing/>
        <w:jc w:val="both"/>
        <w:textAlignment w:val="baseline"/>
        <w:rPr>
          <w:rFonts w:asciiTheme="majorHAnsi" w:hAnsiTheme="majorHAnsi"/>
        </w:rPr>
      </w:pPr>
    </w:p>
    <w:p w14:paraId="60650CAB" w14:textId="77777777" w:rsidR="002B75EF" w:rsidRDefault="002B75EF" w:rsidP="002B75EF">
      <w:pPr>
        <w:widowControl w:val="0"/>
        <w:suppressAutoHyphens/>
        <w:autoSpaceDN w:val="0"/>
        <w:spacing w:beforeAutospacing="1" w:after="100" w:afterAutospacing="1"/>
        <w:contextualSpacing/>
        <w:jc w:val="both"/>
        <w:textAlignment w:val="baseline"/>
        <w:rPr>
          <w:rFonts w:asciiTheme="majorHAnsi" w:hAnsiTheme="majorHAnsi"/>
        </w:rPr>
      </w:pPr>
      <w:r w:rsidRPr="002B75EF">
        <w:rPr>
          <w:rFonts w:asciiTheme="majorHAnsi" w:hAnsiTheme="majorHAnsi"/>
        </w:rPr>
        <w:t>TABEL - Situația plăților restante înregistrate de ÎPL în perioada 2018-2020</w:t>
      </w:r>
    </w:p>
    <w:p w14:paraId="1FA3DD88" w14:textId="77777777" w:rsidR="002B75EF" w:rsidRDefault="002B75EF" w:rsidP="002B75EF">
      <w:pPr>
        <w:widowControl w:val="0"/>
        <w:suppressAutoHyphens/>
        <w:autoSpaceDN w:val="0"/>
        <w:spacing w:beforeAutospacing="1" w:after="100" w:afterAutospacing="1"/>
        <w:contextualSpacing/>
        <w:jc w:val="both"/>
        <w:textAlignment w:val="baseline"/>
        <w:rPr>
          <w:rFonts w:asciiTheme="majorHAnsi" w:hAnsiTheme="majorHAnsi"/>
        </w:rPr>
      </w:pPr>
    </w:p>
    <w:tbl>
      <w:tblPr>
        <w:tblW w:w="9093" w:type="dxa"/>
        <w:tblInd w:w="108" w:type="dxa"/>
        <w:tblLook w:val="04A0" w:firstRow="1" w:lastRow="0" w:firstColumn="1" w:lastColumn="0" w:noHBand="0" w:noVBand="1"/>
      </w:tblPr>
      <w:tblGrid>
        <w:gridCol w:w="2484"/>
        <w:gridCol w:w="2376"/>
        <w:gridCol w:w="1411"/>
        <w:gridCol w:w="1411"/>
        <w:gridCol w:w="1411"/>
      </w:tblGrid>
      <w:tr w:rsidR="002B75EF" w:rsidRPr="002B75EF" w14:paraId="27413D47" w14:textId="77777777" w:rsidTr="002B75EF">
        <w:trPr>
          <w:trHeight w:val="255"/>
        </w:trPr>
        <w:tc>
          <w:tcPr>
            <w:tcW w:w="2484" w:type="dxa"/>
            <w:tcBorders>
              <w:top w:val="single" w:sz="4" w:space="0" w:color="95B3D7"/>
              <w:left w:val="single" w:sz="4" w:space="0" w:color="FFFFFF"/>
              <w:bottom w:val="single" w:sz="4" w:space="0" w:color="95B3D7"/>
              <w:right w:val="single" w:sz="4" w:space="0" w:color="FFFFFF"/>
            </w:tcBorders>
            <w:shd w:val="clear" w:color="404040" w:fill="FFFFFF"/>
            <w:hideMark/>
          </w:tcPr>
          <w:p w14:paraId="6C7662FA" w14:textId="77777777" w:rsidR="002B75EF" w:rsidRPr="002B75EF" w:rsidRDefault="002B75EF" w:rsidP="002B75EF">
            <w:pPr>
              <w:spacing w:before="0" w:after="0" w:line="240" w:lineRule="auto"/>
              <w:rPr>
                <w:rFonts w:ascii="Calibri" w:eastAsia="Times New Roman" w:hAnsi="Calibri" w:cs="Calibri"/>
                <w:bCs/>
                <w:color w:val="0F6FC6" w:themeColor="accent1"/>
                <w:sz w:val="16"/>
                <w:szCs w:val="16"/>
                <w:lang w:val="en-US"/>
              </w:rPr>
            </w:pPr>
            <w:r w:rsidRPr="002B75EF">
              <w:rPr>
                <w:rFonts w:ascii="Calibri" w:eastAsia="Times New Roman" w:hAnsi="Calibri" w:cs="Calibri"/>
                <w:bCs/>
                <w:color w:val="0F6FC6" w:themeColor="accent1"/>
                <w:sz w:val="16"/>
                <w:szCs w:val="16"/>
                <w:lang w:val="en-US"/>
              </w:rPr>
              <w:t>Anul</w:t>
            </w:r>
          </w:p>
        </w:tc>
        <w:tc>
          <w:tcPr>
            <w:tcW w:w="2376" w:type="dxa"/>
            <w:tcBorders>
              <w:top w:val="single" w:sz="4" w:space="0" w:color="95B3D7"/>
              <w:left w:val="nil"/>
              <w:bottom w:val="single" w:sz="4" w:space="0" w:color="95B3D7"/>
              <w:right w:val="single" w:sz="4" w:space="0" w:color="FFFFFF"/>
            </w:tcBorders>
            <w:shd w:val="clear" w:color="404040" w:fill="FFFFFF"/>
            <w:hideMark/>
          </w:tcPr>
          <w:p w14:paraId="14BFEFFB" w14:textId="77777777" w:rsidR="002B75EF" w:rsidRPr="002B75EF" w:rsidRDefault="002B75EF" w:rsidP="002B75EF">
            <w:pPr>
              <w:spacing w:before="0" w:after="0" w:line="240" w:lineRule="auto"/>
              <w:jc w:val="center"/>
              <w:rPr>
                <w:rFonts w:ascii="Calibri" w:eastAsia="Times New Roman" w:hAnsi="Calibri" w:cs="Calibri"/>
                <w:bCs/>
                <w:color w:val="0F6FC6" w:themeColor="accent1"/>
                <w:sz w:val="16"/>
                <w:szCs w:val="16"/>
                <w:lang w:val="en-US"/>
              </w:rPr>
            </w:pPr>
            <w:r w:rsidRPr="002B75EF">
              <w:rPr>
                <w:rFonts w:ascii="Calibri" w:eastAsia="Times New Roman" w:hAnsi="Calibri" w:cs="Calibri"/>
                <w:bCs/>
                <w:color w:val="0F6FC6" w:themeColor="accent1"/>
                <w:sz w:val="16"/>
                <w:szCs w:val="16"/>
                <w:lang w:val="en-US"/>
              </w:rPr>
              <w:t> </w:t>
            </w:r>
          </w:p>
        </w:tc>
        <w:tc>
          <w:tcPr>
            <w:tcW w:w="1411" w:type="dxa"/>
            <w:tcBorders>
              <w:top w:val="single" w:sz="4" w:space="0" w:color="95B3D7"/>
              <w:left w:val="nil"/>
              <w:bottom w:val="single" w:sz="4" w:space="0" w:color="95B3D7"/>
              <w:right w:val="single" w:sz="4" w:space="0" w:color="FFFFFF"/>
            </w:tcBorders>
            <w:shd w:val="clear" w:color="404040" w:fill="FFFFFF"/>
            <w:hideMark/>
          </w:tcPr>
          <w:p w14:paraId="22663E09" w14:textId="77777777" w:rsidR="002B75EF" w:rsidRPr="002B75EF" w:rsidRDefault="002B75EF" w:rsidP="002B75EF">
            <w:pPr>
              <w:spacing w:before="0" w:after="0" w:line="240" w:lineRule="auto"/>
              <w:jc w:val="right"/>
              <w:rPr>
                <w:rFonts w:ascii="Calibri" w:eastAsia="Times New Roman" w:hAnsi="Calibri" w:cs="Calibri"/>
                <w:bCs/>
                <w:color w:val="0F6FC6" w:themeColor="accent1"/>
                <w:sz w:val="16"/>
                <w:szCs w:val="16"/>
                <w:lang w:val="en-US"/>
              </w:rPr>
            </w:pPr>
            <w:r w:rsidRPr="002B75EF">
              <w:rPr>
                <w:rFonts w:ascii="Calibri" w:eastAsia="Times New Roman" w:hAnsi="Calibri" w:cs="Calibri"/>
                <w:bCs/>
                <w:color w:val="0F6FC6" w:themeColor="accent1"/>
                <w:sz w:val="16"/>
                <w:szCs w:val="16"/>
                <w:lang w:val="en-US"/>
              </w:rPr>
              <w:t>2018</w:t>
            </w:r>
          </w:p>
        </w:tc>
        <w:tc>
          <w:tcPr>
            <w:tcW w:w="1411" w:type="dxa"/>
            <w:tcBorders>
              <w:top w:val="single" w:sz="4" w:space="0" w:color="95B3D7"/>
              <w:left w:val="nil"/>
              <w:bottom w:val="single" w:sz="4" w:space="0" w:color="95B3D7"/>
              <w:right w:val="single" w:sz="4" w:space="0" w:color="FFFFFF"/>
            </w:tcBorders>
            <w:shd w:val="clear" w:color="404040" w:fill="FFFFFF"/>
            <w:hideMark/>
          </w:tcPr>
          <w:p w14:paraId="4766AE8B" w14:textId="77777777" w:rsidR="002B75EF" w:rsidRPr="002B75EF" w:rsidRDefault="002B75EF" w:rsidP="002B75EF">
            <w:pPr>
              <w:spacing w:before="0" w:after="0" w:line="240" w:lineRule="auto"/>
              <w:jc w:val="right"/>
              <w:rPr>
                <w:rFonts w:ascii="Calibri" w:eastAsia="Times New Roman" w:hAnsi="Calibri" w:cs="Calibri"/>
                <w:bCs/>
                <w:color w:val="0F6FC6" w:themeColor="accent1"/>
                <w:sz w:val="16"/>
                <w:szCs w:val="16"/>
                <w:lang w:val="en-US"/>
              </w:rPr>
            </w:pPr>
            <w:r w:rsidRPr="002B75EF">
              <w:rPr>
                <w:rFonts w:ascii="Calibri" w:eastAsia="Times New Roman" w:hAnsi="Calibri" w:cs="Calibri"/>
                <w:bCs/>
                <w:color w:val="0F6FC6" w:themeColor="accent1"/>
                <w:sz w:val="16"/>
                <w:szCs w:val="16"/>
                <w:lang w:val="en-US"/>
              </w:rPr>
              <w:t>2019</w:t>
            </w:r>
          </w:p>
        </w:tc>
        <w:tc>
          <w:tcPr>
            <w:tcW w:w="1411" w:type="dxa"/>
            <w:tcBorders>
              <w:top w:val="single" w:sz="4" w:space="0" w:color="95B3D7"/>
              <w:left w:val="nil"/>
              <w:bottom w:val="single" w:sz="4" w:space="0" w:color="95B3D7"/>
              <w:right w:val="single" w:sz="4" w:space="0" w:color="FFFFFF"/>
            </w:tcBorders>
            <w:shd w:val="clear" w:color="404040" w:fill="FFFFFF"/>
            <w:hideMark/>
          </w:tcPr>
          <w:p w14:paraId="4942EB14" w14:textId="77777777" w:rsidR="002B75EF" w:rsidRPr="002B75EF" w:rsidRDefault="002B75EF" w:rsidP="002B75EF">
            <w:pPr>
              <w:spacing w:before="0" w:after="0" w:line="240" w:lineRule="auto"/>
              <w:jc w:val="right"/>
              <w:rPr>
                <w:rFonts w:ascii="Calibri" w:eastAsia="Times New Roman" w:hAnsi="Calibri" w:cs="Calibri"/>
                <w:bCs/>
                <w:color w:val="0F6FC6" w:themeColor="accent1"/>
                <w:sz w:val="16"/>
                <w:szCs w:val="16"/>
                <w:lang w:val="en-US"/>
              </w:rPr>
            </w:pPr>
            <w:r w:rsidRPr="002B75EF">
              <w:rPr>
                <w:rFonts w:ascii="Calibri" w:eastAsia="Times New Roman" w:hAnsi="Calibri" w:cs="Calibri"/>
                <w:bCs/>
                <w:color w:val="0F6FC6" w:themeColor="accent1"/>
                <w:sz w:val="16"/>
                <w:szCs w:val="16"/>
                <w:lang w:val="en-US"/>
              </w:rPr>
              <w:t>2020</w:t>
            </w:r>
          </w:p>
        </w:tc>
      </w:tr>
      <w:tr w:rsidR="002B75EF" w:rsidRPr="002B75EF" w14:paraId="55663D8A" w14:textId="77777777" w:rsidTr="002B75EF">
        <w:trPr>
          <w:trHeight w:val="255"/>
        </w:trPr>
        <w:tc>
          <w:tcPr>
            <w:tcW w:w="2484" w:type="dxa"/>
            <w:tcBorders>
              <w:top w:val="nil"/>
              <w:left w:val="single" w:sz="4" w:space="0" w:color="FFFFFF"/>
              <w:bottom w:val="single" w:sz="4" w:space="0" w:color="95B3D7"/>
              <w:right w:val="single" w:sz="4" w:space="0" w:color="FFFFFF"/>
            </w:tcBorders>
            <w:shd w:val="clear" w:color="404040" w:fill="FFFFFF"/>
            <w:hideMark/>
          </w:tcPr>
          <w:p w14:paraId="0CD88C8F" w14:textId="77777777" w:rsidR="002B75EF" w:rsidRPr="002B75EF" w:rsidRDefault="002B75EF" w:rsidP="002B75EF">
            <w:pPr>
              <w:spacing w:before="0" w:after="0" w:line="240" w:lineRule="auto"/>
              <w:rPr>
                <w:rFonts w:ascii="Calibri" w:eastAsia="Times New Roman" w:hAnsi="Calibri" w:cs="Calibri"/>
                <w:color w:val="0F6FC6" w:themeColor="accent1"/>
                <w:sz w:val="16"/>
                <w:szCs w:val="16"/>
                <w:lang w:val="en-US"/>
              </w:rPr>
            </w:pPr>
            <w:r w:rsidRPr="002B75EF">
              <w:rPr>
                <w:rFonts w:ascii="Calibri" w:eastAsia="Times New Roman" w:hAnsi="Calibri" w:cs="Calibri"/>
                <w:color w:val="0F6FC6" w:themeColor="accent1"/>
                <w:sz w:val="16"/>
                <w:szCs w:val="16"/>
                <w:lang w:val="en-US"/>
              </w:rPr>
              <w:t> </w:t>
            </w:r>
          </w:p>
        </w:tc>
        <w:tc>
          <w:tcPr>
            <w:tcW w:w="2376" w:type="dxa"/>
            <w:tcBorders>
              <w:top w:val="nil"/>
              <w:left w:val="nil"/>
              <w:bottom w:val="single" w:sz="4" w:space="0" w:color="95B3D7"/>
              <w:right w:val="single" w:sz="4" w:space="0" w:color="FFFFFF"/>
            </w:tcBorders>
            <w:shd w:val="clear" w:color="404040" w:fill="FFFFFF"/>
            <w:hideMark/>
          </w:tcPr>
          <w:p w14:paraId="6A951387" w14:textId="77777777" w:rsidR="002B75EF" w:rsidRPr="002B75EF" w:rsidRDefault="002B75EF" w:rsidP="002B75EF">
            <w:pPr>
              <w:spacing w:before="0" w:after="0" w:line="240" w:lineRule="auto"/>
              <w:jc w:val="center"/>
              <w:rPr>
                <w:rFonts w:ascii="Calibri" w:eastAsia="Times New Roman" w:hAnsi="Calibri" w:cs="Calibri"/>
                <w:color w:val="0F6FC6" w:themeColor="accent1"/>
                <w:sz w:val="16"/>
                <w:szCs w:val="16"/>
                <w:lang w:val="en-US"/>
              </w:rPr>
            </w:pPr>
            <w:r w:rsidRPr="002B75EF">
              <w:rPr>
                <w:rFonts w:ascii="Calibri" w:eastAsia="Times New Roman" w:hAnsi="Calibri" w:cs="Calibri"/>
                <w:color w:val="0F6FC6" w:themeColor="accent1"/>
                <w:sz w:val="16"/>
                <w:szCs w:val="16"/>
                <w:lang w:val="en-US"/>
              </w:rPr>
              <w:t> </w:t>
            </w:r>
          </w:p>
        </w:tc>
        <w:tc>
          <w:tcPr>
            <w:tcW w:w="1411" w:type="dxa"/>
            <w:tcBorders>
              <w:top w:val="nil"/>
              <w:left w:val="nil"/>
              <w:bottom w:val="single" w:sz="4" w:space="0" w:color="95B3D7"/>
              <w:right w:val="single" w:sz="4" w:space="0" w:color="FFFFFF"/>
            </w:tcBorders>
            <w:shd w:val="clear" w:color="404040" w:fill="FFFFFF"/>
            <w:hideMark/>
          </w:tcPr>
          <w:p w14:paraId="741B0A1E" w14:textId="77777777" w:rsidR="002B75EF" w:rsidRPr="002B75EF" w:rsidRDefault="002B75EF" w:rsidP="002B75EF">
            <w:pPr>
              <w:spacing w:before="0" w:after="0" w:line="240" w:lineRule="auto"/>
              <w:jc w:val="right"/>
              <w:rPr>
                <w:rFonts w:ascii="Calibri" w:eastAsia="Times New Roman" w:hAnsi="Calibri" w:cs="Calibri"/>
                <w:i/>
                <w:color w:val="0F6FC6" w:themeColor="accent1"/>
                <w:sz w:val="14"/>
                <w:szCs w:val="14"/>
                <w:lang w:val="en-US"/>
              </w:rPr>
            </w:pPr>
            <w:r w:rsidRPr="002B75EF">
              <w:rPr>
                <w:rFonts w:ascii="Calibri" w:eastAsia="Times New Roman" w:hAnsi="Calibri" w:cs="Calibri"/>
                <w:i/>
                <w:color w:val="0F6FC6" w:themeColor="accent1"/>
                <w:sz w:val="14"/>
                <w:szCs w:val="14"/>
                <w:lang w:val="en-US"/>
              </w:rPr>
              <w:t>1</w:t>
            </w:r>
          </w:p>
        </w:tc>
        <w:tc>
          <w:tcPr>
            <w:tcW w:w="1411" w:type="dxa"/>
            <w:tcBorders>
              <w:top w:val="nil"/>
              <w:left w:val="nil"/>
              <w:bottom w:val="single" w:sz="4" w:space="0" w:color="95B3D7"/>
              <w:right w:val="single" w:sz="4" w:space="0" w:color="FFFFFF"/>
            </w:tcBorders>
            <w:shd w:val="clear" w:color="404040" w:fill="FFFFFF"/>
            <w:hideMark/>
          </w:tcPr>
          <w:p w14:paraId="4C600633" w14:textId="77777777" w:rsidR="002B75EF" w:rsidRPr="002B75EF" w:rsidRDefault="002B75EF" w:rsidP="002B75EF">
            <w:pPr>
              <w:spacing w:before="0" w:after="0" w:line="240" w:lineRule="auto"/>
              <w:jc w:val="right"/>
              <w:rPr>
                <w:rFonts w:ascii="Calibri" w:eastAsia="Times New Roman" w:hAnsi="Calibri" w:cs="Calibri"/>
                <w:i/>
                <w:color w:val="0F6FC6" w:themeColor="accent1"/>
                <w:sz w:val="14"/>
                <w:szCs w:val="14"/>
                <w:lang w:val="en-US"/>
              </w:rPr>
            </w:pPr>
            <w:r w:rsidRPr="002B75EF">
              <w:rPr>
                <w:rFonts w:ascii="Calibri" w:eastAsia="Times New Roman" w:hAnsi="Calibri" w:cs="Calibri"/>
                <w:i/>
                <w:color w:val="0F6FC6" w:themeColor="accent1"/>
                <w:sz w:val="14"/>
                <w:szCs w:val="14"/>
                <w:lang w:val="en-US"/>
              </w:rPr>
              <w:t>2</w:t>
            </w:r>
          </w:p>
        </w:tc>
        <w:tc>
          <w:tcPr>
            <w:tcW w:w="1411" w:type="dxa"/>
            <w:tcBorders>
              <w:top w:val="nil"/>
              <w:left w:val="nil"/>
              <w:bottom w:val="single" w:sz="4" w:space="0" w:color="95B3D7"/>
              <w:right w:val="single" w:sz="4" w:space="0" w:color="FFFFFF"/>
            </w:tcBorders>
            <w:shd w:val="clear" w:color="404040" w:fill="FFFFFF"/>
            <w:hideMark/>
          </w:tcPr>
          <w:p w14:paraId="1ADAC28C" w14:textId="77777777" w:rsidR="002B75EF" w:rsidRPr="002B75EF" w:rsidRDefault="002B75EF" w:rsidP="002B75EF">
            <w:pPr>
              <w:spacing w:before="0" w:after="0" w:line="240" w:lineRule="auto"/>
              <w:jc w:val="right"/>
              <w:rPr>
                <w:rFonts w:ascii="Calibri" w:eastAsia="Times New Roman" w:hAnsi="Calibri" w:cs="Calibri"/>
                <w:i/>
                <w:color w:val="0F6FC6" w:themeColor="accent1"/>
                <w:sz w:val="14"/>
                <w:szCs w:val="14"/>
                <w:lang w:val="en-US"/>
              </w:rPr>
            </w:pPr>
            <w:r w:rsidRPr="002B75EF">
              <w:rPr>
                <w:rFonts w:ascii="Calibri" w:eastAsia="Times New Roman" w:hAnsi="Calibri" w:cs="Calibri"/>
                <w:i/>
                <w:color w:val="0F6FC6" w:themeColor="accent1"/>
                <w:sz w:val="14"/>
                <w:szCs w:val="14"/>
                <w:lang w:val="en-US"/>
              </w:rPr>
              <w:t>3</w:t>
            </w:r>
          </w:p>
        </w:tc>
      </w:tr>
      <w:tr w:rsidR="002B75EF" w:rsidRPr="002B75EF" w14:paraId="7E77AE3E" w14:textId="77777777" w:rsidTr="002B75EF">
        <w:trPr>
          <w:trHeight w:val="255"/>
        </w:trPr>
        <w:tc>
          <w:tcPr>
            <w:tcW w:w="2484" w:type="dxa"/>
            <w:tcBorders>
              <w:top w:val="nil"/>
              <w:left w:val="single" w:sz="4" w:space="0" w:color="FFFFFF"/>
              <w:bottom w:val="nil"/>
              <w:right w:val="single" w:sz="4" w:space="0" w:color="FFFFFF"/>
            </w:tcBorders>
            <w:shd w:val="clear" w:color="404040" w:fill="FFFFFF"/>
            <w:hideMark/>
          </w:tcPr>
          <w:p w14:paraId="4E53B850" w14:textId="77777777" w:rsidR="002B75EF" w:rsidRPr="002B75EF" w:rsidRDefault="002B75EF" w:rsidP="002B75EF">
            <w:pPr>
              <w:spacing w:before="0" w:after="0" w:line="240" w:lineRule="auto"/>
              <w:rPr>
                <w:rFonts w:ascii="Calibri" w:eastAsia="Times New Roman" w:hAnsi="Calibri" w:cs="Calibri"/>
                <w:color w:val="0F6FC6" w:themeColor="accent1"/>
                <w:sz w:val="16"/>
                <w:szCs w:val="16"/>
                <w:lang w:val="en-US"/>
              </w:rPr>
            </w:pPr>
            <w:r w:rsidRPr="002B75EF">
              <w:rPr>
                <w:rFonts w:ascii="Calibri" w:eastAsia="Times New Roman" w:hAnsi="Calibri" w:cs="Calibri"/>
                <w:color w:val="0F6FC6" w:themeColor="accent1"/>
                <w:sz w:val="16"/>
                <w:szCs w:val="16"/>
                <w:lang w:val="en-US"/>
              </w:rPr>
              <w:t>U.M.</w:t>
            </w:r>
          </w:p>
        </w:tc>
        <w:tc>
          <w:tcPr>
            <w:tcW w:w="2376" w:type="dxa"/>
            <w:tcBorders>
              <w:top w:val="nil"/>
              <w:left w:val="nil"/>
              <w:bottom w:val="nil"/>
              <w:right w:val="single" w:sz="4" w:space="0" w:color="FFFFFF"/>
            </w:tcBorders>
            <w:shd w:val="clear" w:color="404040" w:fill="FFFFFF"/>
            <w:hideMark/>
          </w:tcPr>
          <w:p w14:paraId="7CD2C574" w14:textId="77777777" w:rsidR="002B75EF" w:rsidRPr="002B75EF" w:rsidRDefault="002B75EF" w:rsidP="002B75EF">
            <w:pPr>
              <w:spacing w:before="0" w:after="0" w:line="240" w:lineRule="auto"/>
              <w:jc w:val="center"/>
              <w:rPr>
                <w:rFonts w:ascii="Calibri" w:eastAsia="Times New Roman" w:hAnsi="Calibri" w:cs="Calibri"/>
                <w:color w:val="0F6FC6" w:themeColor="accent1"/>
                <w:sz w:val="16"/>
                <w:szCs w:val="16"/>
                <w:lang w:val="en-US"/>
              </w:rPr>
            </w:pPr>
            <w:r w:rsidRPr="002B75EF">
              <w:rPr>
                <w:rFonts w:ascii="Calibri" w:eastAsia="Times New Roman" w:hAnsi="Calibri" w:cs="Calibri"/>
                <w:color w:val="0F6FC6" w:themeColor="accent1"/>
                <w:sz w:val="16"/>
                <w:szCs w:val="16"/>
                <w:lang w:val="en-US"/>
              </w:rPr>
              <w:t> </w:t>
            </w:r>
          </w:p>
        </w:tc>
        <w:tc>
          <w:tcPr>
            <w:tcW w:w="1411" w:type="dxa"/>
            <w:tcBorders>
              <w:top w:val="nil"/>
              <w:left w:val="nil"/>
              <w:bottom w:val="nil"/>
              <w:right w:val="single" w:sz="4" w:space="0" w:color="FFFFFF"/>
            </w:tcBorders>
            <w:shd w:val="clear" w:color="404040" w:fill="FFFFFF"/>
            <w:hideMark/>
          </w:tcPr>
          <w:p w14:paraId="3CEDDEAA" w14:textId="77777777" w:rsidR="002B75EF" w:rsidRPr="002B75EF" w:rsidRDefault="002B75EF" w:rsidP="002B75EF">
            <w:pPr>
              <w:spacing w:before="0" w:after="0" w:line="240" w:lineRule="auto"/>
              <w:jc w:val="right"/>
              <w:rPr>
                <w:rFonts w:ascii="Calibri" w:eastAsia="Times New Roman" w:hAnsi="Calibri" w:cs="Calibri"/>
                <w:i/>
                <w:color w:val="0F6FC6" w:themeColor="accent1"/>
                <w:sz w:val="14"/>
                <w:szCs w:val="14"/>
                <w:lang w:val="en-US"/>
              </w:rPr>
            </w:pPr>
            <w:r w:rsidRPr="002B75EF">
              <w:rPr>
                <w:rFonts w:ascii="Calibri" w:eastAsia="Times New Roman" w:hAnsi="Calibri" w:cs="Calibri"/>
                <w:i/>
                <w:color w:val="0F6FC6" w:themeColor="accent1"/>
                <w:sz w:val="14"/>
                <w:szCs w:val="14"/>
                <w:lang w:val="en-US"/>
              </w:rPr>
              <w:t>mii lei</w:t>
            </w:r>
          </w:p>
        </w:tc>
        <w:tc>
          <w:tcPr>
            <w:tcW w:w="1411" w:type="dxa"/>
            <w:tcBorders>
              <w:top w:val="nil"/>
              <w:left w:val="nil"/>
              <w:bottom w:val="nil"/>
              <w:right w:val="single" w:sz="4" w:space="0" w:color="FFFFFF"/>
            </w:tcBorders>
            <w:shd w:val="clear" w:color="404040" w:fill="FFFFFF"/>
            <w:hideMark/>
          </w:tcPr>
          <w:p w14:paraId="0C83EC6A" w14:textId="77777777" w:rsidR="002B75EF" w:rsidRPr="002B75EF" w:rsidRDefault="002B75EF" w:rsidP="002B75EF">
            <w:pPr>
              <w:spacing w:before="0" w:after="0" w:line="240" w:lineRule="auto"/>
              <w:jc w:val="right"/>
              <w:rPr>
                <w:rFonts w:ascii="Calibri" w:eastAsia="Times New Roman" w:hAnsi="Calibri" w:cs="Calibri"/>
                <w:i/>
                <w:color w:val="0F6FC6" w:themeColor="accent1"/>
                <w:sz w:val="14"/>
                <w:szCs w:val="14"/>
                <w:lang w:val="en-US"/>
              </w:rPr>
            </w:pPr>
            <w:r w:rsidRPr="002B75EF">
              <w:rPr>
                <w:rFonts w:ascii="Calibri" w:eastAsia="Times New Roman" w:hAnsi="Calibri" w:cs="Calibri"/>
                <w:i/>
                <w:color w:val="0F6FC6" w:themeColor="accent1"/>
                <w:sz w:val="14"/>
                <w:szCs w:val="14"/>
                <w:lang w:val="en-US"/>
              </w:rPr>
              <w:t>mii lei</w:t>
            </w:r>
          </w:p>
        </w:tc>
        <w:tc>
          <w:tcPr>
            <w:tcW w:w="1411" w:type="dxa"/>
            <w:tcBorders>
              <w:top w:val="nil"/>
              <w:left w:val="nil"/>
              <w:bottom w:val="nil"/>
              <w:right w:val="single" w:sz="4" w:space="0" w:color="FFFFFF"/>
            </w:tcBorders>
            <w:shd w:val="clear" w:color="404040" w:fill="FFFFFF"/>
            <w:hideMark/>
          </w:tcPr>
          <w:p w14:paraId="3C114B04" w14:textId="77777777" w:rsidR="002B75EF" w:rsidRPr="002B75EF" w:rsidRDefault="002B75EF" w:rsidP="002B75EF">
            <w:pPr>
              <w:spacing w:before="0" w:after="0" w:line="240" w:lineRule="auto"/>
              <w:jc w:val="right"/>
              <w:rPr>
                <w:rFonts w:ascii="Calibri" w:eastAsia="Times New Roman" w:hAnsi="Calibri" w:cs="Calibri"/>
                <w:i/>
                <w:color w:val="0F6FC6" w:themeColor="accent1"/>
                <w:sz w:val="14"/>
                <w:szCs w:val="14"/>
                <w:lang w:val="en-US"/>
              </w:rPr>
            </w:pPr>
            <w:r w:rsidRPr="002B75EF">
              <w:rPr>
                <w:rFonts w:ascii="Calibri" w:eastAsia="Times New Roman" w:hAnsi="Calibri" w:cs="Calibri"/>
                <w:i/>
                <w:color w:val="0F6FC6" w:themeColor="accent1"/>
                <w:sz w:val="14"/>
                <w:szCs w:val="14"/>
                <w:lang w:val="en-US"/>
              </w:rPr>
              <w:t>mii lei</w:t>
            </w:r>
          </w:p>
        </w:tc>
      </w:tr>
      <w:tr w:rsidR="002B75EF" w:rsidRPr="002B75EF" w14:paraId="4D82FB7D" w14:textId="77777777" w:rsidTr="002B75EF">
        <w:trPr>
          <w:trHeight w:val="255"/>
        </w:trPr>
        <w:tc>
          <w:tcPr>
            <w:tcW w:w="4860" w:type="dxa"/>
            <w:gridSpan w:val="2"/>
            <w:tcBorders>
              <w:top w:val="single" w:sz="4" w:space="0" w:color="95B3D7"/>
              <w:left w:val="single" w:sz="4" w:space="0" w:color="FFFFFF"/>
              <w:bottom w:val="single" w:sz="4" w:space="0" w:color="95B3D7"/>
              <w:right w:val="single" w:sz="4" w:space="0" w:color="FFFFFF"/>
            </w:tcBorders>
            <w:shd w:val="clear" w:color="auto" w:fill="auto"/>
            <w:hideMark/>
          </w:tcPr>
          <w:p w14:paraId="50647FE7" w14:textId="77777777" w:rsidR="002B75EF" w:rsidRPr="002B75EF" w:rsidRDefault="002B75EF" w:rsidP="002B75EF">
            <w:pPr>
              <w:spacing w:before="0" w:after="0" w:line="240" w:lineRule="auto"/>
              <w:rPr>
                <w:rFonts w:ascii="Calibri" w:eastAsia="Times New Roman" w:hAnsi="Calibri" w:cs="Calibri"/>
                <w:bCs/>
                <w:sz w:val="16"/>
                <w:szCs w:val="16"/>
                <w:lang w:val="en-US"/>
              </w:rPr>
            </w:pPr>
            <w:r w:rsidRPr="002B75EF">
              <w:rPr>
                <w:rFonts w:ascii="Calibri" w:eastAsia="Times New Roman" w:hAnsi="Calibri" w:cs="Calibri"/>
                <w:bCs/>
                <w:sz w:val="16"/>
                <w:szCs w:val="16"/>
                <w:lang w:val="en-US"/>
              </w:rPr>
              <w:t xml:space="preserve">TOTAL Plăți restante ÎPL </w:t>
            </w:r>
            <w:r w:rsidRPr="002B75EF">
              <w:rPr>
                <w:rFonts w:ascii="Calibri" w:eastAsia="Times New Roman" w:hAnsi="Calibri" w:cs="Calibri"/>
                <w:bCs/>
                <w:sz w:val="16"/>
                <w:szCs w:val="16"/>
                <w:u w:val="single"/>
                <w:lang w:val="en-US"/>
              </w:rPr>
              <w:t>ACTIVE</w:t>
            </w:r>
            <w:r w:rsidRPr="002B75EF">
              <w:rPr>
                <w:rFonts w:ascii="Calibri" w:eastAsia="Times New Roman" w:hAnsi="Calibri" w:cs="Calibri"/>
                <w:bCs/>
                <w:sz w:val="16"/>
                <w:szCs w:val="16"/>
                <w:lang w:val="en-US"/>
              </w:rPr>
              <w:t>, din care:</w:t>
            </w:r>
          </w:p>
        </w:tc>
        <w:tc>
          <w:tcPr>
            <w:tcW w:w="1411" w:type="dxa"/>
            <w:tcBorders>
              <w:top w:val="single" w:sz="4" w:space="0" w:color="95B3D7"/>
              <w:left w:val="nil"/>
              <w:bottom w:val="single" w:sz="4" w:space="0" w:color="95B3D7"/>
              <w:right w:val="single" w:sz="4" w:space="0" w:color="FFFFFF"/>
            </w:tcBorders>
            <w:shd w:val="clear" w:color="auto" w:fill="auto"/>
            <w:noWrap/>
            <w:hideMark/>
          </w:tcPr>
          <w:p w14:paraId="3A8B92AA" w14:textId="77777777" w:rsidR="002B75EF" w:rsidRPr="002B75EF" w:rsidRDefault="002B75EF" w:rsidP="002B75EF">
            <w:pPr>
              <w:spacing w:before="0" w:after="0" w:line="240" w:lineRule="auto"/>
              <w:jc w:val="right"/>
              <w:rPr>
                <w:rFonts w:ascii="Calibri" w:eastAsia="Times New Roman" w:hAnsi="Calibri" w:cs="Calibri"/>
                <w:bCs/>
                <w:sz w:val="16"/>
                <w:szCs w:val="16"/>
                <w:lang w:val="en-US"/>
              </w:rPr>
            </w:pPr>
            <w:r w:rsidRPr="002B75EF">
              <w:rPr>
                <w:rFonts w:ascii="Calibri" w:eastAsia="Times New Roman" w:hAnsi="Calibri" w:cs="Calibri"/>
                <w:bCs/>
                <w:sz w:val="16"/>
                <w:szCs w:val="16"/>
                <w:lang w:val="en-US"/>
              </w:rPr>
              <w:t>2.852.939</w:t>
            </w:r>
          </w:p>
        </w:tc>
        <w:tc>
          <w:tcPr>
            <w:tcW w:w="1411" w:type="dxa"/>
            <w:tcBorders>
              <w:top w:val="single" w:sz="4" w:space="0" w:color="95B3D7"/>
              <w:left w:val="nil"/>
              <w:bottom w:val="single" w:sz="4" w:space="0" w:color="95B3D7"/>
              <w:right w:val="single" w:sz="4" w:space="0" w:color="FFFFFF"/>
            </w:tcBorders>
            <w:shd w:val="clear" w:color="auto" w:fill="auto"/>
            <w:noWrap/>
            <w:hideMark/>
          </w:tcPr>
          <w:p w14:paraId="1786641E" w14:textId="77777777" w:rsidR="002B75EF" w:rsidRPr="002B75EF" w:rsidRDefault="002B75EF" w:rsidP="002B75EF">
            <w:pPr>
              <w:spacing w:before="0" w:after="0" w:line="240" w:lineRule="auto"/>
              <w:jc w:val="right"/>
              <w:rPr>
                <w:rFonts w:ascii="Calibri" w:eastAsia="Times New Roman" w:hAnsi="Calibri" w:cs="Calibri"/>
                <w:bCs/>
                <w:sz w:val="16"/>
                <w:szCs w:val="16"/>
                <w:lang w:val="en-US"/>
              </w:rPr>
            </w:pPr>
            <w:r w:rsidRPr="002B75EF">
              <w:rPr>
                <w:rFonts w:ascii="Calibri" w:eastAsia="Times New Roman" w:hAnsi="Calibri" w:cs="Calibri"/>
                <w:bCs/>
                <w:sz w:val="16"/>
                <w:szCs w:val="16"/>
                <w:lang w:val="en-US"/>
              </w:rPr>
              <w:t>1.075.382</w:t>
            </w:r>
          </w:p>
        </w:tc>
        <w:tc>
          <w:tcPr>
            <w:tcW w:w="1411" w:type="dxa"/>
            <w:tcBorders>
              <w:top w:val="single" w:sz="4" w:space="0" w:color="95B3D7"/>
              <w:left w:val="nil"/>
              <w:bottom w:val="single" w:sz="4" w:space="0" w:color="95B3D7"/>
              <w:right w:val="single" w:sz="4" w:space="0" w:color="FFFFFF"/>
            </w:tcBorders>
            <w:shd w:val="clear" w:color="auto" w:fill="auto"/>
            <w:noWrap/>
            <w:hideMark/>
          </w:tcPr>
          <w:p w14:paraId="19BB9D01" w14:textId="77777777" w:rsidR="002B75EF" w:rsidRPr="002B75EF" w:rsidRDefault="002B75EF" w:rsidP="002B75EF">
            <w:pPr>
              <w:spacing w:before="0" w:after="0" w:line="240" w:lineRule="auto"/>
              <w:jc w:val="right"/>
              <w:rPr>
                <w:rFonts w:ascii="Calibri" w:eastAsia="Times New Roman" w:hAnsi="Calibri" w:cs="Calibri"/>
                <w:bCs/>
                <w:sz w:val="16"/>
                <w:szCs w:val="16"/>
                <w:lang w:val="en-US"/>
              </w:rPr>
            </w:pPr>
            <w:r w:rsidRPr="002B75EF">
              <w:rPr>
                <w:rFonts w:ascii="Calibri" w:eastAsia="Times New Roman" w:hAnsi="Calibri" w:cs="Calibri"/>
                <w:bCs/>
                <w:sz w:val="16"/>
                <w:szCs w:val="16"/>
                <w:lang w:val="en-US"/>
              </w:rPr>
              <w:t>1.957.217</w:t>
            </w:r>
          </w:p>
        </w:tc>
      </w:tr>
      <w:tr w:rsidR="002B75EF" w:rsidRPr="002B75EF" w14:paraId="0EAEB624" w14:textId="77777777" w:rsidTr="002B75EF">
        <w:trPr>
          <w:trHeight w:val="255"/>
        </w:trPr>
        <w:tc>
          <w:tcPr>
            <w:tcW w:w="4860" w:type="dxa"/>
            <w:gridSpan w:val="2"/>
            <w:tcBorders>
              <w:top w:val="single" w:sz="4" w:space="0" w:color="95B3D7"/>
              <w:left w:val="single" w:sz="4" w:space="0" w:color="FFFFFF"/>
              <w:bottom w:val="single" w:sz="4" w:space="0" w:color="95B3D7"/>
              <w:right w:val="single" w:sz="4" w:space="0" w:color="FFFFFF"/>
            </w:tcBorders>
            <w:shd w:val="clear" w:color="auto" w:fill="auto"/>
            <w:hideMark/>
          </w:tcPr>
          <w:p w14:paraId="34F6D93B"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Plăți restante Bugetul General Consolidat</w:t>
            </w:r>
          </w:p>
        </w:tc>
        <w:tc>
          <w:tcPr>
            <w:tcW w:w="1411" w:type="dxa"/>
            <w:tcBorders>
              <w:top w:val="nil"/>
              <w:left w:val="nil"/>
              <w:bottom w:val="single" w:sz="4" w:space="0" w:color="95B3D7"/>
              <w:right w:val="single" w:sz="4" w:space="0" w:color="FFFFFF"/>
            </w:tcBorders>
            <w:shd w:val="clear" w:color="auto" w:fill="auto"/>
            <w:noWrap/>
            <w:hideMark/>
          </w:tcPr>
          <w:p w14:paraId="7CF878B5"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594.196</w:t>
            </w:r>
          </w:p>
        </w:tc>
        <w:tc>
          <w:tcPr>
            <w:tcW w:w="1411" w:type="dxa"/>
            <w:tcBorders>
              <w:top w:val="nil"/>
              <w:left w:val="nil"/>
              <w:bottom w:val="single" w:sz="4" w:space="0" w:color="95B3D7"/>
              <w:right w:val="single" w:sz="4" w:space="0" w:color="FFFFFF"/>
            </w:tcBorders>
            <w:shd w:val="clear" w:color="auto" w:fill="auto"/>
            <w:noWrap/>
            <w:hideMark/>
          </w:tcPr>
          <w:p w14:paraId="633BB482"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575.634</w:t>
            </w:r>
          </w:p>
        </w:tc>
        <w:tc>
          <w:tcPr>
            <w:tcW w:w="1411" w:type="dxa"/>
            <w:tcBorders>
              <w:top w:val="nil"/>
              <w:left w:val="nil"/>
              <w:bottom w:val="single" w:sz="4" w:space="0" w:color="95B3D7"/>
              <w:right w:val="single" w:sz="4" w:space="0" w:color="FFFFFF"/>
            </w:tcBorders>
            <w:shd w:val="clear" w:color="auto" w:fill="auto"/>
            <w:noWrap/>
            <w:hideMark/>
          </w:tcPr>
          <w:p w14:paraId="0488C9B4"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1.324.067</w:t>
            </w:r>
          </w:p>
        </w:tc>
      </w:tr>
      <w:tr w:rsidR="002B75EF" w:rsidRPr="002B75EF" w14:paraId="21616D11" w14:textId="77777777" w:rsidTr="002B75EF">
        <w:trPr>
          <w:trHeight w:val="255"/>
        </w:trPr>
        <w:tc>
          <w:tcPr>
            <w:tcW w:w="4860" w:type="dxa"/>
            <w:gridSpan w:val="2"/>
            <w:tcBorders>
              <w:top w:val="single" w:sz="4" w:space="0" w:color="95B3D7"/>
              <w:left w:val="single" w:sz="4" w:space="0" w:color="FFFFFF"/>
              <w:bottom w:val="single" w:sz="4" w:space="0" w:color="95B3D7"/>
              <w:right w:val="single" w:sz="4" w:space="0" w:color="FFFFFF"/>
            </w:tcBorders>
            <w:shd w:val="clear" w:color="auto" w:fill="auto"/>
            <w:hideMark/>
          </w:tcPr>
          <w:p w14:paraId="5F8E3BF2"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Plăți restante alți creditori</w:t>
            </w:r>
          </w:p>
        </w:tc>
        <w:tc>
          <w:tcPr>
            <w:tcW w:w="1411" w:type="dxa"/>
            <w:tcBorders>
              <w:top w:val="nil"/>
              <w:left w:val="nil"/>
              <w:bottom w:val="single" w:sz="4" w:space="0" w:color="95B3D7"/>
              <w:right w:val="single" w:sz="4" w:space="0" w:color="FFFFFF"/>
            </w:tcBorders>
            <w:shd w:val="clear" w:color="auto" w:fill="auto"/>
            <w:noWrap/>
            <w:hideMark/>
          </w:tcPr>
          <w:p w14:paraId="6E9EADF2"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2.258.743</w:t>
            </w:r>
          </w:p>
        </w:tc>
        <w:tc>
          <w:tcPr>
            <w:tcW w:w="1411" w:type="dxa"/>
            <w:tcBorders>
              <w:top w:val="nil"/>
              <w:left w:val="nil"/>
              <w:bottom w:val="single" w:sz="4" w:space="0" w:color="95B3D7"/>
              <w:right w:val="single" w:sz="4" w:space="0" w:color="FFFFFF"/>
            </w:tcBorders>
            <w:shd w:val="clear" w:color="auto" w:fill="auto"/>
            <w:noWrap/>
            <w:hideMark/>
          </w:tcPr>
          <w:p w14:paraId="5884007E"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499.748</w:t>
            </w:r>
          </w:p>
        </w:tc>
        <w:tc>
          <w:tcPr>
            <w:tcW w:w="1411" w:type="dxa"/>
            <w:tcBorders>
              <w:top w:val="nil"/>
              <w:left w:val="nil"/>
              <w:bottom w:val="single" w:sz="4" w:space="0" w:color="95B3D7"/>
              <w:right w:val="single" w:sz="4" w:space="0" w:color="FFFFFF"/>
            </w:tcBorders>
            <w:shd w:val="clear" w:color="auto" w:fill="auto"/>
            <w:noWrap/>
            <w:hideMark/>
          </w:tcPr>
          <w:p w14:paraId="5B13CB0C" w14:textId="77777777" w:rsidR="002B75EF" w:rsidRPr="002B75EF" w:rsidRDefault="002B75EF" w:rsidP="002B75EF">
            <w:pPr>
              <w:spacing w:before="0" w:after="0" w:line="240" w:lineRule="auto"/>
              <w:jc w:val="right"/>
              <w:rPr>
                <w:rFonts w:ascii="Calibri" w:eastAsia="Times New Roman" w:hAnsi="Calibri" w:cs="Calibri"/>
                <w:sz w:val="16"/>
                <w:szCs w:val="16"/>
                <w:lang w:val="en-US"/>
              </w:rPr>
            </w:pPr>
            <w:r w:rsidRPr="002B75EF">
              <w:rPr>
                <w:rFonts w:ascii="Calibri" w:eastAsia="Times New Roman" w:hAnsi="Calibri" w:cs="Calibri"/>
                <w:sz w:val="16"/>
                <w:szCs w:val="16"/>
                <w:lang w:val="en-US"/>
              </w:rPr>
              <w:t>633.150</w:t>
            </w:r>
          </w:p>
        </w:tc>
      </w:tr>
    </w:tbl>
    <w:p w14:paraId="31A1F99F" w14:textId="77777777" w:rsidR="002B75EF" w:rsidRDefault="002B75EF" w:rsidP="002B75EF">
      <w:pPr>
        <w:widowControl w:val="0"/>
        <w:suppressAutoHyphens/>
        <w:autoSpaceDN w:val="0"/>
        <w:spacing w:beforeAutospacing="1" w:after="100" w:afterAutospacing="1"/>
        <w:contextualSpacing/>
        <w:jc w:val="both"/>
        <w:textAlignment w:val="baseline"/>
        <w:rPr>
          <w:rFonts w:asciiTheme="majorHAnsi" w:hAnsiTheme="majorHAnsi"/>
        </w:rPr>
      </w:pPr>
    </w:p>
    <w:p w14:paraId="2DF21770" w14:textId="77777777" w:rsidR="00284926" w:rsidRDefault="00284926" w:rsidP="002B75EF">
      <w:pPr>
        <w:widowControl w:val="0"/>
        <w:suppressAutoHyphens/>
        <w:autoSpaceDN w:val="0"/>
        <w:spacing w:beforeAutospacing="1" w:after="100" w:afterAutospacing="1"/>
        <w:contextualSpacing/>
        <w:jc w:val="both"/>
        <w:textAlignment w:val="baseline"/>
        <w:rPr>
          <w:rFonts w:asciiTheme="majorHAnsi" w:hAnsiTheme="majorHAnsi"/>
        </w:rPr>
      </w:pPr>
    </w:p>
    <w:p w14:paraId="3B79F2E3" w14:textId="77777777" w:rsidR="002B75EF" w:rsidRDefault="006515B1" w:rsidP="002B75EF">
      <w:pPr>
        <w:widowControl w:val="0"/>
        <w:suppressAutoHyphens/>
        <w:autoSpaceDN w:val="0"/>
        <w:spacing w:beforeAutospacing="1" w:after="100" w:afterAutospacing="1"/>
        <w:contextualSpacing/>
        <w:jc w:val="both"/>
        <w:textAlignment w:val="baseline"/>
        <w:rPr>
          <w:rFonts w:asciiTheme="majorHAnsi" w:hAnsiTheme="majorHAnsi"/>
        </w:rPr>
      </w:pPr>
      <w:r>
        <w:rPr>
          <w:rFonts w:asciiTheme="majorHAnsi" w:hAnsiTheme="majorHAnsi"/>
          <w:noProof/>
          <w:lang w:val="en-US"/>
        </w:rPr>
        <w:drawing>
          <wp:inline distT="0" distB="0" distL="0" distR="0" wp14:anchorId="07FC8632" wp14:editId="7DB4E076">
            <wp:extent cx="2847340" cy="28346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7340" cy="2834640"/>
                    </a:xfrm>
                    <a:prstGeom prst="rect">
                      <a:avLst/>
                    </a:prstGeom>
                    <a:noFill/>
                  </pic:spPr>
                </pic:pic>
              </a:graphicData>
            </a:graphic>
          </wp:inline>
        </w:drawing>
      </w:r>
      <w:r w:rsidR="002B75EF">
        <w:rPr>
          <w:rFonts w:asciiTheme="majorHAnsi" w:hAnsiTheme="majorHAnsi"/>
          <w:noProof/>
          <w:lang w:val="en-US"/>
        </w:rPr>
        <w:drawing>
          <wp:inline distT="0" distB="0" distL="0" distR="0" wp14:anchorId="1F1406D4" wp14:editId="5E56C583">
            <wp:extent cx="2847340" cy="2834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7340" cy="2834640"/>
                    </a:xfrm>
                    <a:prstGeom prst="rect">
                      <a:avLst/>
                    </a:prstGeom>
                    <a:noFill/>
                  </pic:spPr>
                </pic:pic>
              </a:graphicData>
            </a:graphic>
          </wp:inline>
        </w:drawing>
      </w:r>
    </w:p>
    <w:p w14:paraId="5067C814" w14:textId="77777777" w:rsidR="002B75EF" w:rsidRDefault="002B75EF" w:rsidP="002B75EF">
      <w:pPr>
        <w:widowControl w:val="0"/>
        <w:suppressAutoHyphens/>
        <w:autoSpaceDN w:val="0"/>
        <w:spacing w:beforeAutospacing="1" w:after="100" w:afterAutospacing="1"/>
        <w:contextualSpacing/>
        <w:jc w:val="both"/>
        <w:textAlignment w:val="baseline"/>
        <w:rPr>
          <w:rFonts w:asciiTheme="majorHAnsi" w:hAnsiTheme="majorHAnsi"/>
        </w:rPr>
      </w:pPr>
    </w:p>
    <w:p w14:paraId="38738A66" w14:textId="77777777" w:rsidR="00F83DE8" w:rsidRDefault="00F83DE8"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r w:rsidRPr="003C2FD2">
        <w:rPr>
          <w:rFonts w:asciiTheme="majorHAnsi" w:eastAsia="Andale Sans UI" w:hAnsiTheme="majorHAnsi" w:cs="Times New Roman"/>
          <w:noProof/>
          <w:kern w:val="3"/>
          <w:lang w:eastAsia="es-ES" w:bidi="en-US"/>
        </w:rPr>
        <w:t>La finalul anului 20</w:t>
      </w:r>
      <w:r w:rsidR="003C2FD2" w:rsidRPr="003C2FD2">
        <w:rPr>
          <w:rFonts w:asciiTheme="majorHAnsi" w:eastAsia="Andale Sans UI" w:hAnsiTheme="majorHAnsi" w:cs="Times New Roman"/>
          <w:noProof/>
          <w:kern w:val="3"/>
          <w:lang w:eastAsia="es-ES" w:bidi="en-US"/>
        </w:rPr>
        <w:t>20</w:t>
      </w:r>
      <w:r w:rsidR="00867CAD" w:rsidRPr="003C2FD2">
        <w:rPr>
          <w:rFonts w:asciiTheme="majorHAnsi" w:eastAsia="Andale Sans UI" w:hAnsiTheme="majorHAnsi" w:cs="Times New Roman"/>
          <w:noProof/>
          <w:kern w:val="3"/>
          <w:lang w:eastAsia="es-ES" w:bidi="en-US"/>
        </w:rPr>
        <w:t xml:space="preserve"> un număr total de 4</w:t>
      </w:r>
      <w:r w:rsidR="003C2FD2" w:rsidRPr="003C2FD2">
        <w:rPr>
          <w:rFonts w:asciiTheme="majorHAnsi" w:eastAsia="Andale Sans UI" w:hAnsiTheme="majorHAnsi" w:cs="Times New Roman"/>
          <w:noProof/>
          <w:kern w:val="3"/>
          <w:lang w:eastAsia="es-ES" w:bidi="en-US"/>
        </w:rPr>
        <w:t>39</w:t>
      </w:r>
      <w:r w:rsidRPr="003C2FD2">
        <w:rPr>
          <w:rFonts w:asciiTheme="majorHAnsi" w:eastAsia="Andale Sans UI" w:hAnsiTheme="majorHAnsi" w:cs="Times New Roman"/>
          <w:noProof/>
          <w:kern w:val="3"/>
          <w:lang w:eastAsia="es-ES" w:bidi="en-US"/>
        </w:rPr>
        <w:t xml:space="preserve"> ÎPL active înregistrau plăți restante în sumă totală de </w:t>
      </w:r>
      <w:r w:rsidR="00C049B0" w:rsidRPr="003C2FD2">
        <w:rPr>
          <w:rFonts w:asciiTheme="majorHAnsi" w:eastAsia="Andale Sans UI" w:hAnsiTheme="majorHAnsi" w:cs="Times New Roman"/>
          <w:noProof/>
          <w:kern w:val="3"/>
          <w:lang w:eastAsia="es-ES" w:bidi="en-US"/>
        </w:rPr>
        <w:t>1.</w:t>
      </w:r>
      <w:r w:rsidR="003C2FD2" w:rsidRPr="003C2FD2">
        <w:rPr>
          <w:rFonts w:asciiTheme="majorHAnsi" w:eastAsia="Andale Sans UI" w:hAnsiTheme="majorHAnsi" w:cs="Times New Roman"/>
          <w:noProof/>
          <w:kern w:val="3"/>
          <w:lang w:eastAsia="es-ES" w:bidi="en-US"/>
        </w:rPr>
        <w:t>9</w:t>
      </w:r>
      <w:r w:rsidR="00C049B0" w:rsidRPr="003C2FD2">
        <w:rPr>
          <w:rFonts w:asciiTheme="majorHAnsi" w:eastAsia="Andale Sans UI" w:hAnsiTheme="majorHAnsi" w:cs="Times New Roman"/>
          <w:noProof/>
          <w:kern w:val="3"/>
          <w:lang w:eastAsia="es-ES" w:bidi="en-US"/>
        </w:rPr>
        <w:t>5</w:t>
      </w:r>
      <w:r w:rsidR="003C2FD2" w:rsidRPr="003C2FD2">
        <w:rPr>
          <w:rFonts w:asciiTheme="majorHAnsi" w:eastAsia="Andale Sans UI" w:hAnsiTheme="majorHAnsi" w:cs="Times New Roman"/>
          <w:noProof/>
          <w:kern w:val="3"/>
          <w:lang w:eastAsia="es-ES" w:bidi="en-US"/>
        </w:rPr>
        <w:t>7</w:t>
      </w:r>
      <w:r w:rsidR="00C049B0" w:rsidRPr="003C2FD2">
        <w:rPr>
          <w:rFonts w:asciiTheme="majorHAnsi" w:eastAsia="Andale Sans UI" w:hAnsiTheme="majorHAnsi" w:cs="Times New Roman"/>
          <w:noProof/>
          <w:kern w:val="3"/>
          <w:lang w:eastAsia="es-ES" w:bidi="en-US"/>
        </w:rPr>
        <w:t>.2</w:t>
      </w:r>
      <w:r w:rsidR="003C2FD2" w:rsidRPr="003C2FD2">
        <w:rPr>
          <w:rFonts w:asciiTheme="majorHAnsi" w:eastAsia="Andale Sans UI" w:hAnsiTheme="majorHAnsi" w:cs="Times New Roman"/>
          <w:noProof/>
          <w:kern w:val="3"/>
          <w:lang w:eastAsia="es-ES" w:bidi="en-US"/>
        </w:rPr>
        <w:t>17</w:t>
      </w:r>
      <w:r w:rsidR="00C049B0" w:rsidRPr="003C2FD2">
        <w:rPr>
          <w:rFonts w:asciiTheme="majorHAnsi" w:eastAsia="Andale Sans UI" w:hAnsiTheme="majorHAnsi" w:cs="Times New Roman"/>
          <w:noProof/>
          <w:kern w:val="3"/>
          <w:lang w:eastAsia="es-ES" w:bidi="en-US"/>
        </w:rPr>
        <w:t xml:space="preserve"> </w:t>
      </w:r>
      <w:r w:rsidR="00867CAD" w:rsidRPr="003C2FD2">
        <w:rPr>
          <w:rFonts w:asciiTheme="majorHAnsi" w:eastAsia="Andale Sans UI" w:hAnsiTheme="majorHAnsi" w:cs="Times New Roman"/>
          <w:noProof/>
          <w:kern w:val="3"/>
          <w:lang w:eastAsia="es-ES" w:bidi="en-US"/>
        </w:rPr>
        <w:t xml:space="preserve">mii lei în </w:t>
      </w:r>
      <w:r w:rsidR="003C2FD2" w:rsidRPr="003C2FD2">
        <w:rPr>
          <w:rFonts w:asciiTheme="majorHAnsi" w:eastAsia="Andale Sans UI" w:hAnsiTheme="majorHAnsi" w:cs="Times New Roman"/>
          <w:b/>
          <w:noProof/>
          <w:kern w:val="3"/>
          <w:lang w:eastAsia="es-ES" w:bidi="en-US"/>
        </w:rPr>
        <w:t>creștere</w:t>
      </w:r>
      <w:r w:rsidR="00867CAD" w:rsidRPr="003C2FD2">
        <w:rPr>
          <w:rFonts w:asciiTheme="majorHAnsi" w:eastAsia="Andale Sans UI" w:hAnsiTheme="majorHAnsi" w:cs="Times New Roman"/>
          <w:noProof/>
          <w:kern w:val="3"/>
          <w:lang w:eastAsia="es-ES" w:bidi="en-US"/>
        </w:rPr>
        <w:t xml:space="preserve"> față de anul 201</w:t>
      </w:r>
      <w:r w:rsidR="003C2FD2" w:rsidRPr="003C2FD2">
        <w:rPr>
          <w:rFonts w:asciiTheme="majorHAnsi" w:eastAsia="Andale Sans UI" w:hAnsiTheme="majorHAnsi" w:cs="Times New Roman"/>
          <w:noProof/>
          <w:kern w:val="3"/>
          <w:lang w:eastAsia="es-ES" w:bidi="en-US"/>
        </w:rPr>
        <w:t>9</w:t>
      </w:r>
      <w:r w:rsidR="00867CAD" w:rsidRPr="003C2FD2">
        <w:rPr>
          <w:rFonts w:asciiTheme="majorHAnsi" w:eastAsia="Andale Sans UI" w:hAnsiTheme="majorHAnsi" w:cs="Times New Roman"/>
          <w:noProof/>
          <w:kern w:val="3"/>
          <w:lang w:eastAsia="es-ES" w:bidi="en-US"/>
        </w:rPr>
        <w:t xml:space="preserve"> cu suma de </w:t>
      </w:r>
      <w:r w:rsidR="003C2FD2" w:rsidRPr="003C2FD2">
        <w:rPr>
          <w:rFonts w:asciiTheme="majorHAnsi" w:eastAsia="Andale Sans UI" w:hAnsiTheme="majorHAnsi" w:cs="Times New Roman"/>
          <w:noProof/>
          <w:kern w:val="3"/>
          <w:lang w:eastAsia="es-ES" w:bidi="en-US"/>
        </w:rPr>
        <w:t>881</w:t>
      </w:r>
      <w:r w:rsidR="00867CAD" w:rsidRPr="003C2FD2">
        <w:rPr>
          <w:rFonts w:asciiTheme="majorHAnsi" w:eastAsia="Andale Sans UI" w:hAnsiTheme="majorHAnsi" w:cs="Times New Roman"/>
          <w:noProof/>
          <w:kern w:val="3"/>
          <w:lang w:eastAsia="es-ES" w:bidi="en-US"/>
        </w:rPr>
        <w:t>.</w:t>
      </w:r>
      <w:r w:rsidR="003C2FD2" w:rsidRPr="003C2FD2">
        <w:rPr>
          <w:rFonts w:asciiTheme="majorHAnsi" w:eastAsia="Andale Sans UI" w:hAnsiTheme="majorHAnsi" w:cs="Times New Roman"/>
          <w:noProof/>
          <w:kern w:val="3"/>
          <w:lang w:eastAsia="es-ES" w:bidi="en-US"/>
        </w:rPr>
        <w:t>835</w:t>
      </w:r>
      <w:r w:rsidR="00867CAD" w:rsidRPr="003C2FD2">
        <w:rPr>
          <w:rFonts w:asciiTheme="majorHAnsi" w:eastAsia="Andale Sans UI" w:hAnsiTheme="majorHAnsi" w:cs="Times New Roman"/>
          <w:noProof/>
          <w:kern w:val="3"/>
          <w:lang w:eastAsia="es-ES" w:bidi="en-US"/>
        </w:rPr>
        <w:t xml:space="preserve"> mii lei.</w:t>
      </w:r>
    </w:p>
    <w:p w14:paraId="43912A72" w14:textId="77777777" w:rsidR="003C2FD2" w:rsidRPr="003C2FD2" w:rsidRDefault="003C2FD2"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33162484" w14:textId="77777777" w:rsidR="00F83DE8" w:rsidRPr="003C2FD2" w:rsidRDefault="00F83DE8"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r w:rsidRPr="003C2FD2">
        <w:rPr>
          <w:rFonts w:asciiTheme="majorHAnsi" w:eastAsia="Andale Sans UI" w:hAnsiTheme="majorHAnsi" w:cs="Times New Roman"/>
          <w:noProof/>
          <w:kern w:val="3"/>
          <w:lang w:eastAsia="es-ES" w:bidi="en-US"/>
        </w:rPr>
        <w:t>Față de nivelul plăților restante înregistrat la finalul anului 20</w:t>
      </w:r>
      <w:r w:rsidR="003C2FD2" w:rsidRPr="003C2FD2">
        <w:rPr>
          <w:rFonts w:asciiTheme="majorHAnsi" w:eastAsia="Andale Sans UI" w:hAnsiTheme="majorHAnsi" w:cs="Times New Roman"/>
          <w:noProof/>
          <w:kern w:val="3"/>
          <w:lang w:eastAsia="es-ES" w:bidi="en-US"/>
        </w:rPr>
        <w:t>19</w:t>
      </w:r>
      <w:r w:rsidRPr="003C2FD2">
        <w:rPr>
          <w:rFonts w:asciiTheme="majorHAnsi" w:eastAsia="Andale Sans UI" w:hAnsiTheme="majorHAnsi" w:cs="Times New Roman"/>
          <w:noProof/>
          <w:kern w:val="3"/>
          <w:lang w:eastAsia="es-ES" w:bidi="en-US"/>
        </w:rPr>
        <w:t>, la finalul anului 20</w:t>
      </w:r>
      <w:r w:rsidR="003C2FD2" w:rsidRPr="003C2FD2">
        <w:rPr>
          <w:rFonts w:asciiTheme="majorHAnsi" w:eastAsia="Andale Sans UI" w:hAnsiTheme="majorHAnsi" w:cs="Times New Roman"/>
          <w:noProof/>
          <w:kern w:val="3"/>
          <w:lang w:eastAsia="es-ES" w:bidi="en-US"/>
        </w:rPr>
        <w:t>20</w:t>
      </w:r>
      <w:r w:rsidRPr="003C2FD2">
        <w:rPr>
          <w:rFonts w:asciiTheme="majorHAnsi" w:eastAsia="Andale Sans UI" w:hAnsiTheme="majorHAnsi" w:cs="Times New Roman"/>
          <w:noProof/>
          <w:kern w:val="3"/>
          <w:lang w:eastAsia="es-ES" w:bidi="en-US"/>
        </w:rPr>
        <w:t xml:space="preserve"> la un număr de:</w:t>
      </w:r>
    </w:p>
    <w:p w14:paraId="7383B245" w14:textId="77777777" w:rsidR="00F83DE8" w:rsidRPr="003C2FD2" w:rsidRDefault="003C2FD2" w:rsidP="00F17378">
      <w:pPr>
        <w:pStyle w:val="ListParagraph"/>
        <w:numPr>
          <w:ilvl w:val="1"/>
          <w:numId w:val="28"/>
        </w:numPr>
        <w:autoSpaceDE w:val="0"/>
        <w:autoSpaceDN w:val="0"/>
        <w:adjustRightInd w:val="0"/>
        <w:spacing w:before="0" w:after="0"/>
        <w:ind w:left="270" w:hanging="270"/>
        <w:jc w:val="both"/>
        <w:rPr>
          <w:rFonts w:asciiTheme="majorHAnsi" w:eastAsia="Andale Sans UI" w:hAnsiTheme="majorHAnsi" w:cs="Times New Roman"/>
          <w:noProof/>
          <w:kern w:val="3"/>
          <w:lang w:eastAsia="es-ES" w:bidi="en-US"/>
        </w:rPr>
      </w:pPr>
      <w:r w:rsidRPr="003C2FD2">
        <w:rPr>
          <w:rFonts w:asciiTheme="majorHAnsi" w:eastAsia="Andale Sans UI" w:hAnsiTheme="majorHAnsi" w:cs="Times New Roman"/>
          <w:noProof/>
          <w:kern w:val="3"/>
          <w:lang w:eastAsia="es-ES" w:bidi="en-US"/>
        </w:rPr>
        <w:t>176</w:t>
      </w:r>
      <w:r w:rsidR="00F83DE8" w:rsidRPr="003C2FD2">
        <w:rPr>
          <w:rFonts w:asciiTheme="majorHAnsi" w:eastAsia="Andale Sans UI" w:hAnsiTheme="majorHAnsi" w:cs="Times New Roman"/>
          <w:noProof/>
          <w:kern w:val="3"/>
          <w:lang w:eastAsia="es-ES" w:bidi="en-US"/>
        </w:rPr>
        <w:t xml:space="preserve"> ÎPL active</w:t>
      </w:r>
      <w:r w:rsidR="009164B8">
        <w:rPr>
          <w:rFonts w:asciiTheme="majorHAnsi" w:eastAsia="Andale Sans UI" w:hAnsiTheme="majorHAnsi" w:cs="Times New Roman"/>
          <w:noProof/>
          <w:kern w:val="3"/>
          <w:lang w:eastAsia="es-ES" w:bidi="en-US"/>
        </w:rPr>
        <w:t>,</w:t>
      </w:r>
      <w:r w:rsidR="00F83DE8" w:rsidRPr="003C2FD2">
        <w:rPr>
          <w:rFonts w:asciiTheme="majorHAnsi" w:eastAsia="Andale Sans UI" w:hAnsiTheme="majorHAnsi" w:cs="Times New Roman"/>
          <w:noProof/>
          <w:kern w:val="3"/>
          <w:lang w:eastAsia="es-ES" w:bidi="en-US"/>
        </w:rPr>
        <w:t xml:space="preserve"> nivelul plăților restante înregistrate </w:t>
      </w:r>
      <w:r w:rsidR="00867CAD" w:rsidRPr="003C2FD2">
        <w:rPr>
          <w:rFonts w:asciiTheme="majorHAnsi" w:eastAsia="Andale Sans UI" w:hAnsiTheme="majorHAnsi" w:cs="Times New Roman"/>
          <w:noProof/>
          <w:kern w:val="3"/>
          <w:lang w:eastAsia="es-ES" w:bidi="en-US"/>
        </w:rPr>
        <w:t>s-</w:t>
      </w:r>
      <w:r w:rsidR="00F83DE8" w:rsidRPr="003C2FD2">
        <w:rPr>
          <w:rFonts w:asciiTheme="majorHAnsi" w:eastAsia="Andale Sans UI" w:hAnsiTheme="majorHAnsi" w:cs="Times New Roman"/>
          <w:noProof/>
          <w:kern w:val="3"/>
          <w:lang w:eastAsia="es-ES" w:bidi="en-US"/>
        </w:rPr>
        <w:t xml:space="preserve">a </w:t>
      </w:r>
      <w:r w:rsidR="00867CAD" w:rsidRPr="003C2FD2">
        <w:rPr>
          <w:rFonts w:asciiTheme="majorHAnsi" w:eastAsia="Andale Sans UI" w:hAnsiTheme="majorHAnsi" w:cs="Times New Roman"/>
          <w:noProof/>
          <w:kern w:val="3"/>
          <w:lang w:eastAsia="es-ES" w:bidi="en-US"/>
        </w:rPr>
        <w:t>redus</w:t>
      </w:r>
      <w:r w:rsidR="00F83DE8" w:rsidRPr="003C2FD2">
        <w:rPr>
          <w:rFonts w:asciiTheme="majorHAnsi" w:eastAsia="Andale Sans UI" w:hAnsiTheme="majorHAnsi" w:cs="Times New Roman"/>
          <w:noProof/>
          <w:kern w:val="3"/>
          <w:lang w:eastAsia="es-ES" w:bidi="en-US"/>
        </w:rPr>
        <w:t xml:space="preserve"> cu suma totală de </w:t>
      </w:r>
      <w:r w:rsidRPr="003C2FD2">
        <w:rPr>
          <w:rFonts w:asciiTheme="majorHAnsi" w:eastAsia="Andale Sans UI" w:hAnsiTheme="majorHAnsi" w:cs="Times New Roman"/>
          <w:noProof/>
          <w:kern w:val="3"/>
          <w:lang w:eastAsia="es-ES" w:bidi="en-US"/>
        </w:rPr>
        <w:t>137</w:t>
      </w:r>
      <w:r w:rsidR="00867CAD" w:rsidRPr="003C2FD2">
        <w:rPr>
          <w:rFonts w:asciiTheme="majorHAnsi" w:eastAsia="Andale Sans UI" w:hAnsiTheme="majorHAnsi" w:cs="Times New Roman"/>
          <w:noProof/>
          <w:kern w:val="3"/>
          <w:lang w:eastAsia="es-ES" w:bidi="en-US"/>
        </w:rPr>
        <w:t>.</w:t>
      </w:r>
      <w:r w:rsidRPr="003C2FD2">
        <w:rPr>
          <w:rFonts w:asciiTheme="majorHAnsi" w:eastAsia="Andale Sans UI" w:hAnsiTheme="majorHAnsi" w:cs="Times New Roman"/>
          <w:noProof/>
          <w:kern w:val="3"/>
          <w:lang w:eastAsia="es-ES" w:bidi="en-US"/>
        </w:rPr>
        <w:t>052</w:t>
      </w:r>
      <w:r w:rsidR="00F83DE8" w:rsidRPr="003C2FD2">
        <w:rPr>
          <w:rFonts w:asciiTheme="majorHAnsi" w:eastAsia="Andale Sans UI" w:hAnsiTheme="majorHAnsi" w:cs="Times New Roman"/>
          <w:noProof/>
          <w:kern w:val="3"/>
          <w:lang w:eastAsia="es-ES" w:bidi="en-US"/>
        </w:rPr>
        <w:t xml:space="preserve"> mii lei;</w:t>
      </w:r>
    </w:p>
    <w:p w14:paraId="1E5AE480" w14:textId="77777777" w:rsidR="00F83DE8" w:rsidRPr="003C2FD2" w:rsidRDefault="003C2FD2" w:rsidP="00F17378">
      <w:pPr>
        <w:pStyle w:val="ListParagraph"/>
        <w:numPr>
          <w:ilvl w:val="1"/>
          <w:numId w:val="28"/>
        </w:numPr>
        <w:autoSpaceDE w:val="0"/>
        <w:autoSpaceDN w:val="0"/>
        <w:adjustRightInd w:val="0"/>
        <w:spacing w:before="0" w:after="0"/>
        <w:ind w:left="270" w:hanging="270"/>
        <w:jc w:val="both"/>
        <w:rPr>
          <w:rFonts w:asciiTheme="majorHAnsi" w:eastAsia="Andale Sans UI" w:hAnsiTheme="majorHAnsi" w:cs="Times New Roman"/>
          <w:noProof/>
          <w:kern w:val="3"/>
          <w:lang w:eastAsia="es-ES" w:bidi="en-US"/>
        </w:rPr>
      </w:pPr>
      <w:r w:rsidRPr="003C2FD2">
        <w:rPr>
          <w:rFonts w:asciiTheme="majorHAnsi" w:eastAsia="Andale Sans UI" w:hAnsiTheme="majorHAnsi" w:cs="Times New Roman"/>
          <w:noProof/>
          <w:kern w:val="3"/>
          <w:lang w:eastAsia="es-ES" w:bidi="en-US"/>
        </w:rPr>
        <w:t>308</w:t>
      </w:r>
      <w:r w:rsidR="00F83DE8" w:rsidRPr="003C2FD2">
        <w:rPr>
          <w:rFonts w:asciiTheme="majorHAnsi" w:eastAsia="Andale Sans UI" w:hAnsiTheme="majorHAnsi" w:cs="Times New Roman"/>
          <w:noProof/>
          <w:kern w:val="3"/>
          <w:lang w:eastAsia="es-ES" w:bidi="en-US"/>
        </w:rPr>
        <w:t xml:space="preserve"> ÎPL active</w:t>
      </w:r>
      <w:r w:rsidR="009164B8">
        <w:rPr>
          <w:rFonts w:asciiTheme="majorHAnsi" w:eastAsia="Andale Sans UI" w:hAnsiTheme="majorHAnsi" w:cs="Times New Roman"/>
          <w:noProof/>
          <w:kern w:val="3"/>
          <w:lang w:eastAsia="es-ES" w:bidi="en-US"/>
        </w:rPr>
        <w:t>,</w:t>
      </w:r>
      <w:r w:rsidR="00F83DE8" w:rsidRPr="003C2FD2">
        <w:rPr>
          <w:rFonts w:asciiTheme="majorHAnsi" w:eastAsia="Andale Sans UI" w:hAnsiTheme="majorHAnsi" w:cs="Times New Roman"/>
          <w:noProof/>
          <w:kern w:val="3"/>
          <w:lang w:eastAsia="es-ES" w:bidi="en-US"/>
        </w:rPr>
        <w:t xml:space="preserve"> nivelul p</w:t>
      </w:r>
      <w:r w:rsidR="00867CAD" w:rsidRPr="003C2FD2">
        <w:rPr>
          <w:rFonts w:asciiTheme="majorHAnsi" w:eastAsia="Andale Sans UI" w:hAnsiTheme="majorHAnsi" w:cs="Times New Roman"/>
          <w:noProof/>
          <w:kern w:val="3"/>
          <w:lang w:eastAsia="es-ES" w:bidi="en-US"/>
        </w:rPr>
        <w:t xml:space="preserve">lăților restante înregistrate </w:t>
      </w:r>
      <w:r w:rsidR="00F83DE8" w:rsidRPr="003C2FD2">
        <w:rPr>
          <w:rFonts w:asciiTheme="majorHAnsi" w:eastAsia="Andale Sans UI" w:hAnsiTheme="majorHAnsi" w:cs="Times New Roman"/>
          <w:noProof/>
          <w:kern w:val="3"/>
          <w:lang w:eastAsia="es-ES" w:bidi="en-US"/>
        </w:rPr>
        <w:t xml:space="preserve">a </w:t>
      </w:r>
      <w:r w:rsidR="00867CAD" w:rsidRPr="003C2FD2">
        <w:rPr>
          <w:rFonts w:asciiTheme="majorHAnsi" w:eastAsia="Andale Sans UI" w:hAnsiTheme="majorHAnsi" w:cs="Times New Roman"/>
          <w:noProof/>
          <w:kern w:val="3"/>
          <w:lang w:eastAsia="es-ES" w:bidi="en-US"/>
        </w:rPr>
        <w:t>crescut</w:t>
      </w:r>
      <w:r w:rsidR="00F83DE8" w:rsidRPr="003C2FD2">
        <w:rPr>
          <w:rFonts w:asciiTheme="majorHAnsi" w:eastAsia="Andale Sans UI" w:hAnsiTheme="majorHAnsi" w:cs="Times New Roman"/>
          <w:noProof/>
          <w:kern w:val="3"/>
          <w:lang w:eastAsia="es-ES" w:bidi="en-US"/>
        </w:rPr>
        <w:t xml:space="preserve"> cu suma totală de </w:t>
      </w:r>
      <w:r w:rsidRPr="003C2FD2">
        <w:rPr>
          <w:rFonts w:asciiTheme="majorHAnsi" w:eastAsia="Andale Sans UI" w:hAnsiTheme="majorHAnsi" w:cs="Times New Roman"/>
          <w:noProof/>
          <w:kern w:val="3"/>
          <w:lang w:eastAsia="es-ES" w:bidi="en-US"/>
        </w:rPr>
        <w:t>1.018</w:t>
      </w:r>
      <w:r w:rsidR="00867CAD" w:rsidRPr="003C2FD2">
        <w:rPr>
          <w:rFonts w:asciiTheme="majorHAnsi" w:eastAsia="Andale Sans UI" w:hAnsiTheme="majorHAnsi" w:cs="Times New Roman"/>
          <w:noProof/>
          <w:kern w:val="3"/>
          <w:lang w:eastAsia="es-ES" w:bidi="en-US"/>
        </w:rPr>
        <w:t>.</w:t>
      </w:r>
      <w:r w:rsidRPr="003C2FD2">
        <w:rPr>
          <w:rFonts w:asciiTheme="majorHAnsi" w:eastAsia="Andale Sans UI" w:hAnsiTheme="majorHAnsi" w:cs="Times New Roman"/>
          <w:noProof/>
          <w:kern w:val="3"/>
          <w:lang w:eastAsia="es-ES" w:bidi="en-US"/>
        </w:rPr>
        <w:t>889</w:t>
      </w:r>
      <w:r w:rsidR="00F83DE8" w:rsidRPr="003C2FD2">
        <w:rPr>
          <w:rFonts w:asciiTheme="majorHAnsi" w:eastAsia="Andale Sans UI" w:hAnsiTheme="majorHAnsi" w:cs="Times New Roman"/>
          <w:noProof/>
          <w:kern w:val="3"/>
          <w:lang w:eastAsia="es-ES" w:bidi="en-US"/>
        </w:rPr>
        <w:t xml:space="preserve"> mii lei</w:t>
      </w:r>
      <w:r w:rsidR="00867CAD" w:rsidRPr="003C2FD2">
        <w:rPr>
          <w:rFonts w:asciiTheme="majorHAnsi" w:eastAsia="Andale Sans UI" w:hAnsiTheme="majorHAnsi" w:cs="Times New Roman"/>
          <w:noProof/>
          <w:kern w:val="3"/>
          <w:lang w:eastAsia="es-ES" w:bidi="en-US"/>
        </w:rPr>
        <w:t>.</w:t>
      </w:r>
    </w:p>
    <w:p w14:paraId="1FFCB77A" w14:textId="77777777" w:rsidR="003C2FD2" w:rsidRDefault="003C2FD2" w:rsidP="003C2FD2">
      <w:pPr>
        <w:autoSpaceDE w:val="0"/>
        <w:autoSpaceDN w:val="0"/>
        <w:adjustRightInd w:val="0"/>
        <w:spacing w:before="0" w:after="0"/>
        <w:jc w:val="both"/>
        <w:rPr>
          <w:rFonts w:asciiTheme="majorHAnsi" w:eastAsia="Andale Sans UI" w:hAnsiTheme="majorHAnsi" w:cs="Times New Roman"/>
          <w:noProof/>
          <w:kern w:val="3"/>
          <w:lang w:eastAsia="es-ES" w:bidi="en-US"/>
        </w:rPr>
      </w:pPr>
    </w:p>
    <w:p w14:paraId="3D1786E8" w14:textId="77777777" w:rsidR="00F83DE8" w:rsidRPr="003C2FD2" w:rsidRDefault="00F83DE8" w:rsidP="003C2FD2">
      <w:pPr>
        <w:autoSpaceDE w:val="0"/>
        <w:autoSpaceDN w:val="0"/>
        <w:adjustRightInd w:val="0"/>
        <w:spacing w:before="0" w:after="0"/>
        <w:jc w:val="both"/>
        <w:rPr>
          <w:rFonts w:asciiTheme="majorHAnsi" w:eastAsia="Andale Sans UI" w:hAnsiTheme="majorHAnsi" w:cs="Times New Roman"/>
          <w:noProof/>
          <w:kern w:val="3"/>
          <w:lang w:eastAsia="es-ES" w:bidi="en-US"/>
        </w:rPr>
      </w:pPr>
      <w:r w:rsidRPr="003C2FD2">
        <w:rPr>
          <w:rFonts w:asciiTheme="majorHAnsi" w:eastAsia="Andale Sans UI" w:hAnsiTheme="majorHAnsi" w:cs="Times New Roman"/>
          <w:noProof/>
          <w:kern w:val="3"/>
          <w:lang w:eastAsia="es-ES" w:bidi="en-US"/>
        </w:rPr>
        <w:t xml:space="preserve">De menționat că, în cazul ÎPL active, </w:t>
      </w:r>
      <w:r w:rsidR="001E6E3A">
        <w:rPr>
          <w:rFonts w:asciiTheme="majorHAnsi" w:eastAsia="Andale Sans UI" w:hAnsiTheme="majorHAnsi" w:cs="Times New Roman"/>
          <w:noProof/>
          <w:kern w:val="3"/>
          <w:lang w:eastAsia="es-ES" w:bidi="en-US"/>
        </w:rPr>
        <w:t xml:space="preserve">ponderea plăților restante către </w:t>
      </w:r>
      <w:r w:rsidRPr="003C2FD2">
        <w:rPr>
          <w:rFonts w:asciiTheme="majorHAnsi" w:eastAsia="Andale Sans UI" w:hAnsiTheme="majorHAnsi" w:cs="Times New Roman"/>
          <w:noProof/>
          <w:kern w:val="3"/>
          <w:lang w:eastAsia="es-ES" w:bidi="en-US"/>
        </w:rPr>
        <w:t xml:space="preserve">alți creditori </w:t>
      </w:r>
      <w:r w:rsidR="001E6E3A">
        <w:rPr>
          <w:rFonts w:asciiTheme="majorHAnsi" w:eastAsia="Andale Sans UI" w:hAnsiTheme="majorHAnsi" w:cs="Times New Roman"/>
          <w:noProof/>
          <w:kern w:val="3"/>
          <w:lang w:eastAsia="es-ES" w:bidi="en-US"/>
        </w:rPr>
        <w:t>în total plăți restante</w:t>
      </w:r>
      <w:r w:rsidR="009164B8">
        <w:rPr>
          <w:rFonts w:asciiTheme="majorHAnsi" w:eastAsia="Andale Sans UI" w:hAnsiTheme="majorHAnsi" w:cs="Times New Roman"/>
          <w:noProof/>
          <w:kern w:val="3"/>
          <w:lang w:eastAsia="es-ES" w:bidi="en-US"/>
        </w:rPr>
        <w:t>,</w:t>
      </w:r>
      <w:r w:rsidR="001E6E3A">
        <w:rPr>
          <w:rFonts w:asciiTheme="majorHAnsi" w:eastAsia="Andale Sans UI" w:hAnsiTheme="majorHAnsi" w:cs="Times New Roman"/>
          <w:noProof/>
          <w:kern w:val="3"/>
          <w:lang w:eastAsia="es-ES" w:bidi="en-US"/>
        </w:rPr>
        <w:t xml:space="preserve"> </w:t>
      </w:r>
      <w:r w:rsidRPr="003C2FD2">
        <w:rPr>
          <w:rFonts w:asciiTheme="majorHAnsi" w:eastAsia="Andale Sans UI" w:hAnsiTheme="majorHAnsi" w:cs="Times New Roman"/>
          <w:noProof/>
          <w:kern w:val="3"/>
          <w:lang w:eastAsia="es-ES" w:bidi="en-US"/>
        </w:rPr>
        <w:t>în</w:t>
      </w:r>
      <w:r w:rsidR="001E6E3A">
        <w:rPr>
          <w:rFonts w:asciiTheme="majorHAnsi" w:eastAsia="Andale Sans UI" w:hAnsiTheme="majorHAnsi" w:cs="Times New Roman"/>
          <w:noProof/>
          <w:kern w:val="3"/>
          <w:lang w:eastAsia="es-ES" w:bidi="en-US"/>
        </w:rPr>
        <w:t>registrează un trend descendent pe întreaga perioadă analizată și a scăzut de la 79,17% în anul 2018 la 46,47% în anul 2019 și la 32,35% în anul 2020</w:t>
      </w:r>
      <w:r w:rsidRPr="003C2FD2">
        <w:rPr>
          <w:rFonts w:asciiTheme="majorHAnsi" w:eastAsia="Andale Sans UI" w:hAnsiTheme="majorHAnsi" w:cs="Times New Roman"/>
          <w:noProof/>
          <w:kern w:val="3"/>
          <w:lang w:eastAsia="es-ES" w:bidi="en-US"/>
        </w:rPr>
        <w:t>.</w:t>
      </w:r>
      <w:r w:rsidR="00867CAD" w:rsidRPr="003C2FD2">
        <w:rPr>
          <w:rFonts w:asciiTheme="majorHAnsi" w:eastAsia="Andale Sans UI" w:hAnsiTheme="majorHAnsi" w:cs="Times New Roman"/>
          <w:noProof/>
          <w:kern w:val="3"/>
          <w:lang w:eastAsia="es-ES" w:bidi="en-US"/>
        </w:rPr>
        <w:t xml:space="preserve"> </w:t>
      </w:r>
      <w:r w:rsidR="001E6E3A">
        <w:rPr>
          <w:rFonts w:asciiTheme="majorHAnsi" w:eastAsia="Andale Sans UI" w:hAnsiTheme="majorHAnsi" w:cs="Times New Roman"/>
          <w:noProof/>
          <w:kern w:val="3"/>
          <w:lang w:eastAsia="es-ES" w:bidi="en-US"/>
        </w:rPr>
        <w:t xml:space="preserve"> În anul 2020 ponderea cea mai mare a plăților restante înregistrate de ÎPL este către Bugetul general consolidat și reprezintă 67,65% din totalul plăților restante înregistrate de ÎPL.</w:t>
      </w:r>
    </w:p>
    <w:p w14:paraId="4A9F45FA" w14:textId="77777777" w:rsidR="00F83DE8" w:rsidRDefault="00F83DE8"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r w:rsidRPr="003C2FD2">
        <w:rPr>
          <w:rFonts w:asciiTheme="majorHAnsi" w:eastAsia="Andale Sans UI" w:hAnsiTheme="majorHAnsi" w:cs="Times New Roman"/>
          <w:noProof/>
          <w:kern w:val="3"/>
          <w:lang w:eastAsia="es-ES" w:bidi="en-US"/>
        </w:rPr>
        <w:t>Ponderea plăților restante totale înregistrate de ÎPL active în datoriile totale ale acestora</w:t>
      </w:r>
      <w:r w:rsidR="009164B8">
        <w:rPr>
          <w:rFonts w:asciiTheme="majorHAnsi" w:eastAsia="Andale Sans UI" w:hAnsiTheme="majorHAnsi" w:cs="Times New Roman"/>
          <w:noProof/>
          <w:kern w:val="3"/>
          <w:lang w:eastAsia="es-ES" w:bidi="en-US"/>
        </w:rPr>
        <w:t>,</w:t>
      </w:r>
      <w:r w:rsidRPr="003C2FD2">
        <w:rPr>
          <w:rFonts w:asciiTheme="majorHAnsi" w:eastAsia="Andale Sans UI" w:hAnsiTheme="majorHAnsi" w:cs="Times New Roman"/>
          <w:noProof/>
          <w:kern w:val="3"/>
          <w:lang w:eastAsia="es-ES" w:bidi="en-US"/>
        </w:rPr>
        <w:t xml:space="preserve"> a </w:t>
      </w:r>
      <w:r w:rsidR="001E6E3A">
        <w:rPr>
          <w:rFonts w:asciiTheme="majorHAnsi" w:eastAsia="Andale Sans UI" w:hAnsiTheme="majorHAnsi" w:cs="Times New Roman"/>
          <w:noProof/>
          <w:kern w:val="3"/>
          <w:lang w:eastAsia="es-ES" w:bidi="en-US"/>
        </w:rPr>
        <w:t>crescut în anul 2020 după o reducere în anul 2019</w:t>
      </w:r>
      <w:r w:rsidR="009164B8">
        <w:rPr>
          <w:rFonts w:asciiTheme="majorHAnsi" w:eastAsia="Andale Sans UI" w:hAnsiTheme="majorHAnsi" w:cs="Times New Roman"/>
          <w:noProof/>
          <w:kern w:val="3"/>
          <w:lang w:eastAsia="es-ES" w:bidi="en-US"/>
        </w:rPr>
        <w:t>,</w:t>
      </w:r>
      <w:r w:rsidR="001E6E3A">
        <w:rPr>
          <w:rFonts w:asciiTheme="majorHAnsi" w:eastAsia="Andale Sans UI" w:hAnsiTheme="majorHAnsi" w:cs="Times New Roman"/>
          <w:noProof/>
          <w:kern w:val="3"/>
          <w:lang w:eastAsia="es-ES" w:bidi="en-US"/>
        </w:rPr>
        <w:t xml:space="preserve"> </w:t>
      </w:r>
      <w:r w:rsidR="00502707" w:rsidRPr="003C2FD2">
        <w:rPr>
          <w:rFonts w:asciiTheme="majorHAnsi" w:eastAsia="Andale Sans UI" w:hAnsiTheme="majorHAnsi" w:cs="Times New Roman"/>
          <w:noProof/>
          <w:kern w:val="3"/>
          <w:lang w:eastAsia="es-ES" w:bidi="en-US"/>
        </w:rPr>
        <w:t>iar la finalul anului 20</w:t>
      </w:r>
      <w:r w:rsidR="001E6E3A">
        <w:rPr>
          <w:rFonts w:asciiTheme="majorHAnsi" w:eastAsia="Andale Sans UI" w:hAnsiTheme="majorHAnsi" w:cs="Times New Roman"/>
          <w:noProof/>
          <w:kern w:val="3"/>
          <w:lang w:eastAsia="es-ES" w:bidi="en-US"/>
        </w:rPr>
        <w:t>20</w:t>
      </w:r>
      <w:r w:rsidR="00502707" w:rsidRPr="003C2FD2">
        <w:rPr>
          <w:rFonts w:asciiTheme="majorHAnsi" w:eastAsia="Andale Sans UI" w:hAnsiTheme="majorHAnsi" w:cs="Times New Roman"/>
          <w:noProof/>
          <w:kern w:val="3"/>
          <w:lang w:eastAsia="es-ES" w:bidi="en-US"/>
        </w:rPr>
        <w:t xml:space="preserve"> </w:t>
      </w:r>
      <w:r w:rsidR="001E6E3A">
        <w:rPr>
          <w:rFonts w:asciiTheme="majorHAnsi" w:eastAsia="Andale Sans UI" w:hAnsiTheme="majorHAnsi" w:cs="Times New Roman"/>
          <w:noProof/>
          <w:kern w:val="3"/>
          <w:lang w:eastAsia="es-ES" w:bidi="en-US"/>
        </w:rPr>
        <w:t>ponderea este</w:t>
      </w:r>
      <w:r w:rsidR="00502707" w:rsidRPr="003C2FD2">
        <w:rPr>
          <w:rFonts w:asciiTheme="majorHAnsi" w:eastAsia="Andale Sans UI" w:hAnsiTheme="majorHAnsi" w:cs="Times New Roman"/>
          <w:noProof/>
          <w:kern w:val="3"/>
          <w:lang w:eastAsia="es-ES" w:bidi="en-US"/>
        </w:rPr>
        <w:t xml:space="preserve"> de </w:t>
      </w:r>
      <w:r w:rsidR="001E6E3A">
        <w:rPr>
          <w:rFonts w:asciiTheme="majorHAnsi" w:eastAsia="Andale Sans UI" w:hAnsiTheme="majorHAnsi" w:cs="Times New Roman"/>
          <w:noProof/>
          <w:kern w:val="3"/>
          <w:lang w:eastAsia="es-ES" w:bidi="en-US"/>
        </w:rPr>
        <w:t>26</w:t>
      </w:r>
      <w:r w:rsidR="00502707" w:rsidRPr="003C2FD2">
        <w:rPr>
          <w:rFonts w:asciiTheme="majorHAnsi" w:eastAsia="Andale Sans UI" w:hAnsiTheme="majorHAnsi" w:cs="Times New Roman"/>
          <w:noProof/>
          <w:kern w:val="3"/>
          <w:lang w:eastAsia="es-ES" w:bidi="en-US"/>
        </w:rPr>
        <w:t>,</w:t>
      </w:r>
      <w:r w:rsidR="001E6E3A">
        <w:rPr>
          <w:rFonts w:asciiTheme="majorHAnsi" w:eastAsia="Andale Sans UI" w:hAnsiTheme="majorHAnsi" w:cs="Times New Roman"/>
          <w:noProof/>
          <w:kern w:val="3"/>
          <w:lang w:eastAsia="es-ES" w:bidi="en-US"/>
        </w:rPr>
        <w:t>19</w:t>
      </w:r>
      <w:r w:rsidR="00502707" w:rsidRPr="003C2FD2">
        <w:rPr>
          <w:rFonts w:asciiTheme="majorHAnsi" w:eastAsia="Andale Sans UI" w:hAnsiTheme="majorHAnsi" w:cs="Times New Roman"/>
          <w:noProof/>
          <w:kern w:val="3"/>
          <w:lang w:eastAsia="es-ES" w:bidi="en-US"/>
        </w:rPr>
        <w:t>%</w:t>
      </w:r>
      <w:r w:rsidRPr="003C2FD2">
        <w:rPr>
          <w:rFonts w:asciiTheme="majorHAnsi" w:eastAsia="Andale Sans UI" w:hAnsiTheme="majorHAnsi" w:cs="Times New Roman"/>
          <w:noProof/>
          <w:kern w:val="3"/>
          <w:lang w:eastAsia="es-ES" w:bidi="en-US"/>
        </w:rPr>
        <w:t xml:space="preserve">. </w:t>
      </w:r>
    </w:p>
    <w:p w14:paraId="5B4C5D89"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1BAD492F"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61DD3F94"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7FDCF0BF"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5A0CC360"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36B01A9C"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1CF99942"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2E793080" w14:textId="77777777" w:rsidR="005E4009" w:rsidRDefault="005E4009"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7A4668D3" w14:textId="77777777" w:rsidR="00284926" w:rsidRDefault="00284926"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p>
    <w:p w14:paraId="7A306E0B" w14:textId="77777777" w:rsidR="001E6E3A" w:rsidRDefault="001E6E3A" w:rsidP="003C2FD2">
      <w:pPr>
        <w:tabs>
          <w:tab w:val="left" w:pos="2895"/>
        </w:tabs>
        <w:autoSpaceDE w:val="0"/>
        <w:autoSpaceDN w:val="0"/>
        <w:adjustRightInd w:val="0"/>
        <w:spacing w:before="0" w:after="0"/>
        <w:jc w:val="both"/>
        <w:rPr>
          <w:rFonts w:asciiTheme="majorHAnsi" w:eastAsia="Andale Sans UI" w:hAnsiTheme="majorHAnsi" w:cs="Times New Roman"/>
          <w:noProof/>
          <w:kern w:val="3"/>
          <w:lang w:eastAsia="es-ES" w:bidi="en-US"/>
        </w:rPr>
      </w:pPr>
      <w:r w:rsidRPr="001E6E3A">
        <w:rPr>
          <w:rFonts w:asciiTheme="majorHAnsi" w:eastAsia="Andale Sans UI" w:hAnsiTheme="majorHAnsi" w:cs="Times New Roman"/>
          <w:noProof/>
          <w:kern w:val="3"/>
          <w:lang w:eastAsia="es-ES" w:bidi="en-US"/>
        </w:rPr>
        <w:t>TABEL – Primele zece ÎPL active care înregistrează cele mai mari plăți restante în anul 2020</w:t>
      </w:r>
    </w:p>
    <w:p w14:paraId="2EFAA4E4" w14:textId="77777777" w:rsidR="001E6E3A" w:rsidRPr="005E4009" w:rsidRDefault="001E6E3A" w:rsidP="003C2FD2">
      <w:pPr>
        <w:tabs>
          <w:tab w:val="left" w:pos="2895"/>
        </w:tabs>
        <w:autoSpaceDE w:val="0"/>
        <w:autoSpaceDN w:val="0"/>
        <w:adjustRightInd w:val="0"/>
        <w:spacing w:before="0" w:after="0"/>
        <w:jc w:val="both"/>
        <w:rPr>
          <w:rFonts w:asciiTheme="majorHAnsi" w:eastAsia="Andale Sans UI" w:hAnsiTheme="majorHAnsi" w:cs="Times New Roman"/>
          <w:noProof/>
          <w:kern w:val="3"/>
          <w:sz w:val="18"/>
          <w:lang w:eastAsia="es-ES" w:bidi="en-US"/>
        </w:rPr>
      </w:pPr>
    </w:p>
    <w:tbl>
      <w:tblPr>
        <w:tblW w:w="9056" w:type="dxa"/>
        <w:tblInd w:w="93" w:type="dxa"/>
        <w:tblLook w:val="04A0" w:firstRow="1" w:lastRow="0" w:firstColumn="1" w:lastColumn="0" w:noHBand="0" w:noVBand="1"/>
      </w:tblPr>
      <w:tblGrid>
        <w:gridCol w:w="434"/>
        <w:gridCol w:w="3039"/>
        <w:gridCol w:w="569"/>
        <w:gridCol w:w="2338"/>
        <w:gridCol w:w="976"/>
        <w:gridCol w:w="905"/>
        <w:gridCol w:w="795"/>
      </w:tblGrid>
      <w:tr w:rsidR="001E6E3A" w:rsidRPr="001E6E3A" w14:paraId="3D54D5F8" w14:textId="77777777" w:rsidTr="005E4009">
        <w:trPr>
          <w:trHeight w:val="487"/>
        </w:trPr>
        <w:tc>
          <w:tcPr>
            <w:tcW w:w="434"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60949345" w14:textId="77777777" w:rsidR="001E6E3A" w:rsidRPr="001E6E3A" w:rsidRDefault="001E6E3A" w:rsidP="001E6E3A">
            <w:pPr>
              <w:spacing w:before="0" w:after="0" w:line="240" w:lineRule="auto"/>
              <w:jc w:val="center"/>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Nr. crt.</w:t>
            </w:r>
          </w:p>
        </w:tc>
        <w:tc>
          <w:tcPr>
            <w:tcW w:w="3039"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3EE2B31B"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Denumire întreprindere publică</w:t>
            </w:r>
          </w:p>
        </w:tc>
        <w:tc>
          <w:tcPr>
            <w:tcW w:w="569"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19FDE203" w14:textId="77777777" w:rsidR="001E6E3A" w:rsidRPr="001E6E3A" w:rsidRDefault="001E6E3A" w:rsidP="001E6E3A">
            <w:pPr>
              <w:spacing w:before="0" w:after="0" w:line="240" w:lineRule="auto"/>
              <w:jc w:val="right"/>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Județ</w:t>
            </w:r>
          </w:p>
        </w:tc>
        <w:tc>
          <w:tcPr>
            <w:tcW w:w="2338"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3BD44057"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Domeniu de activitate CAEN</w:t>
            </w:r>
          </w:p>
        </w:tc>
        <w:tc>
          <w:tcPr>
            <w:tcW w:w="976" w:type="dxa"/>
            <w:tcBorders>
              <w:top w:val="single" w:sz="4" w:space="0" w:color="95B3D7"/>
              <w:left w:val="nil"/>
              <w:bottom w:val="single" w:sz="4" w:space="0" w:color="95B3D7"/>
              <w:right w:val="single" w:sz="4" w:space="0" w:color="FFFFFF"/>
            </w:tcBorders>
            <w:shd w:val="clear" w:color="000000" w:fill="FFFFFF"/>
            <w:hideMark/>
          </w:tcPr>
          <w:p w14:paraId="58B52CBC" w14:textId="77777777" w:rsidR="001E6E3A" w:rsidRPr="001E6E3A" w:rsidRDefault="001E6E3A" w:rsidP="001E6E3A">
            <w:pPr>
              <w:spacing w:before="0" w:after="0" w:line="240" w:lineRule="auto"/>
              <w:jc w:val="right"/>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TOTAL Plăți restante</w:t>
            </w:r>
          </w:p>
        </w:tc>
        <w:tc>
          <w:tcPr>
            <w:tcW w:w="905" w:type="dxa"/>
            <w:tcBorders>
              <w:top w:val="single" w:sz="4" w:space="0" w:color="95B3D7"/>
              <w:left w:val="nil"/>
              <w:bottom w:val="single" w:sz="4" w:space="0" w:color="95B3D7"/>
              <w:right w:val="single" w:sz="4" w:space="0" w:color="FFFFFF"/>
            </w:tcBorders>
            <w:shd w:val="clear" w:color="000000" w:fill="FFFFFF"/>
            <w:hideMark/>
          </w:tcPr>
          <w:p w14:paraId="39820E0D" w14:textId="77777777" w:rsidR="001E6E3A" w:rsidRPr="001E6E3A" w:rsidRDefault="001E6E3A" w:rsidP="001E6E3A">
            <w:pPr>
              <w:spacing w:before="0" w:after="0" w:line="240" w:lineRule="auto"/>
              <w:jc w:val="right"/>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Plăți restante Bugetul General Consolidat</w:t>
            </w:r>
          </w:p>
        </w:tc>
        <w:tc>
          <w:tcPr>
            <w:tcW w:w="795" w:type="dxa"/>
            <w:tcBorders>
              <w:top w:val="single" w:sz="4" w:space="0" w:color="95B3D7"/>
              <w:left w:val="nil"/>
              <w:bottom w:val="single" w:sz="4" w:space="0" w:color="95B3D7"/>
              <w:right w:val="single" w:sz="4" w:space="0" w:color="FFFFFF"/>
            </w:tcBorders>
            <w:shd w:val="clear" w:color="000000" w:fill="FFFFFF"/>
            <w:hideMark/>
          </w:tcPr>
          <w:p w14:paraId="4D61D5D3" w14:textId="77777777" w:rsidR="001E6E3A" w:rsidRPr="001E6E3A" w:rsidRDefault="001E6E3A" w:rsidP="001E6E3A">
            <w:pPr>
              <w:spacing w:before="0" w:after="0" w:line="240" w:lineRule="auto"/>
              <w:jc w:val="right"/>
              <w:rPr>
                <w:rFonts w:ascii="Calibri" w:eastAsia="Times New Roman" w:hAnsi="Calibri" w:cs="Calibri"/>
                <w:color w:val="0F6FC6" w:themeColor="accent1"/>
                <w:sz w:val="16"/>
                <w:szCs w:val="16"/>
                <w:lang w:val="en-US"/>
              </w:rPr>
            </w:pPr>
            <w:r w:rsidRPr="001E6E3A">
              <w:rPr>
                <w:rFonts w:ascii="Calibri" w:eastAsia="Times New Roman" w:hAnsi="Calibri" w:cs="Calibri"/>
                <w:color w:val="0F6FC6" w:themeColor="accent1"/>
                <w:sz w:val="16"/>
                <w:szCs w:val="16"/>
                <w:lang w:val="en-US"/>
              </w:rPr>
              <w:t>Plăți restante alți creditori</w:t>
            </w:r>
          </w:p>
        </w:tc>
      </w:tr>
      <w:tr w:rsidR="001E6E3A" w:rsidRPr="001E6E3A" w14:paraId="0E76320F" w14:textId="77777777" w:rsidTr="005E4009">
        <w:trPr>
          <w:trHeight w:val="129"/>
        </w:trPr>
        <w:tc>
          <w:tcPr>
            <w:tcW w:w="434" w:type="dxa"/>
            <w:vMerge/>
            <w:tcBorders>
              <w:top w:val="single" w:sz="4" w:space="0" w:color="95B3D7"/>
              <w:left w:val="single" w:sz="4" w:space="0" w:color="FFFFFF"/>
              <w:bottom w:val="single" w:sz="4" w:space="0" w:color="95B3D7"/>
              <w:right w:val="single" w:sz="4" w:space="0" w:color="FFFFFF"/>
            </w:tcBorders>
            <w:vAlign w:val="center"/>
            <w:hideMark/>
          </w:tcPr>
          <w:p w14:paraId="7AA16E85"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3039" w:type="dxa"/>
            <w:vMerge/>
            <w:tcBorders>
              <w:top w:val="single" w:sz="4" w:space="0" w:color="95B3D7"/>
              <w:left w:val="single" w:sz="4" w:space="0" w:color="FFFFFF"/>
              <w:bottom w:val="single" w:sz="4" w:space="0" w:color="95B3D7"/>
              <w:right w:val="single" w:sz="4" w:space="0" w:color="FFFFFF"/>
            </w:tcBorders>
            <w:vAlign w:val="center"/>
            <w:hideMark/>
          </w:tcPr>
          <w:p w14:paraId="1E19E5F2"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569" w:type="dxa"/>
            <w:vMerge/>
            <w:tcBorders>
              <w:top w:val="single" w:sz="4" w:space="0" w:color="95B3D7"/>
              <w:left w:val="single" w:sz="4" w:space="0" w:color="FFFFFF"/>
              <w:bottom w:val="single" w:sz="4" w:space="0" w:color="95B3D7"/>
              <w:right w:val="single" w:sz="4" w:space="0" w:color="FFFFFF"/>
            </w:tcBorders>
            <w:vAlign w:val="center"/>
            <w:hideMark/>
          </w:tcPr>
          <w:p w14:paraId="629731AE"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2338" w:type="dxa"/>
            <w:vMerge/>
            <w:tcBorders>
              <w:top w:val="single" w:sz="4" w:space="0" w:color="95B3D7"/>
              <w:left w:val="single" w:sz="4" w:space="0" w:color="FFFFFF"/>
              <w:bottom w:val="single" w:sz="4" w:space="0" w:color="95B3D7"/>
              <w:right w:val="single" w:sz="4" w:space="0" w:color="FFFFFF"/>
            </w:tcBorders>
            <w:vAlign w:val="center"/>
            <w:hideMark/>
          </w:tcPr>
          <w:p w14:paraId="5D59C5F6"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976" w:type="dxa"/>
            <w:tcBorders>
              <w:top w:val="nil"/>
              <w:left w:val="nil"/>
              <w:bottom w:val="single" w:sz="4" w:space="0" w:color="95B3D7"/>
              <w:right w:val="single" w:sz="4" w:space="0" w:color="FFFFFF"/>
            </w:tcBorders>
            <w:shd w:val="clear" w:color="000000" w:fill="FFFFFF"/>
            <w:vAlign w:val="center"/>
            <w:hideMark/>
          </w:tcPr>
          <w:p w14:paraId="580C61D5" w14:textId="77777777" w:rsidR="001E6E3A" w:rsidRPr="001E6E3A" w:rsidRDefault="001E6E3A" w:rsidP="001E6E3A">
            <w:pPr>
              <w:spacing w:before="0" w:after="0" w:line="240" w:lineRule="auto"/>
              <w:jc w:val="right"/>
              <w:rPr>
                <w:rFonts w:ascii="Calibri" w:eastAsia="Times New Roman" w:hAnsi="Calibri" w:cs="Calibri"/>
                <w:color w:val="0F6FC6" w:themeColor="accent1"/>
                <w:sz w:val="14"/>
                <w:szCs w:val="14"/>
                <w:lang w:val="en-US"/>
              </w:rPr>
            </w:pPr>
            <w:r w:rsidRPr="001E6E3A">
              <w:rPr>
                <w:rFonts w:ascii="Calibri" w:eastAsia="Times New Roman" w:hAnsi="Calibri" w:cs="Calibri"/>
                <w:color w:val="0F6FC6" w:themeColor="accent1"/>
                <w:sz w:val="14"/>
                <w:szCs w:val="14"/>
                <w:lang w:val="en-US"/>
              </w:rPr>
              <w:t>1=2+3</w:t>
            </w:r>
          </w:p>
        </w:tc>
        <w:tc>
          <w:tcPr>
            <w:tcW w:w="905" w:type="dxa"/>
            <w:tcBorders>
              <w:top w:val="nil"/>
              <w:left w:val="nil"/>
              <w:bottom w:val="single" w:sz="4" w:space="0" w:color="95B3D7"/>
              <w:right w:val="single" w:sz="4" w:space="0" w:color="FFFFFF"/>
            </w:tcBorders>
            <w:shd w:val="clear" w:color="000000" w:fill="FFFFFF"/>
            <w:vAlign w:val="center"/>
            <w:hideMark/>
          </w:tcPr>
          <w:p w14:paraId="6E11FEB2" w14:textId="77777777" w:rsidR="001E6E3A" w:rsidRPr="001E6E3A" w:rsidRDefault="001E6E3A" w:rsidP="001E6E3A">
            <w:pPr>
              <w:spacing w:before="0" w:after="0" w:line="240" w:lineRule="auto"/>
              <w:jc w:val="right"/>
              <w:rPr>
                <w:rFonts w:ascii="Calibri" w:eastAsia="Times New Roman" w:hAnsi="Calibri" w:cs="Calibri"/>
                <w:color w:val="0F6FC6" w:themeColor="accent1"/>
                <w:sz w:val="14"/>
                <w:szCs w:val="14"/>
                <w:lang w:val="en-US"/>
              </w:rPr>
            </w:pPr>
            <w:r w:rsidRPr="001E6E3A">
              <w:rPr>
                <w:rFonts w:ascii="Calibri" w:eastAsia="Times New Roman" w:hAnsi="Calibri" w:cs="Calibri"/>
                <w:color w:val="0F6FC6" w:themeColor="accent1"/>
                <w:sz w:val="14"/>
                <w:szCs w:val="14"/>
                <w:lang w:val="en-US"/>
              </w:rPr>
              <w:t>2</w:t>
            </w:r>
          </w:p>
        </w:tc>
        <w:tc>
          <w:tcPr>
            <w:tcW w:w="795" w:type="dxa"/>
            <w:tcBorders>
              <w:top w:val="nil"/>
              <w:left w:val="nil"/>
              <w:bottom w:val="single" w:sz="4" w:space="0" w:color="95B3D7"/>
              <w:right w:val="single" w:sz="4" w:space="0" w:color="FFFFFF"/>
            </w:tcBorders>
            <w:shd w:val="clear" w:color="000000" w:fill="FFFFFF"/>
            <w:vAlign w:val="center"/>
            <w:hideMark/>
          </w:tcPr>
          <w:p w14:paraId="4364D618" w14:textId="77777777" w:rsidR="001E6E3A" w:rsidRPr="001E6E3A" w:rsidRDefault="001E6E3A" w:rsidP="001E6E3A">
            <w:pPr>
              <w:spacing w:before="0" w:after="0" w:line="240" w:lineRule="auto"/>
              <w:jc w:val="right"/>
              <w:rPr>
                <w:rFonts w:ascii="Calibri" w:eastAsia="Times New Roman" w:hAnsi="Calibri" w:cs="Calibri"/>
                <w:color w:val="0F6FC6" w:themeColor="accent1"/>
                <w:sz w:val="14"/>
                <w:szCs w:val="14"/>
                <w:lang w:val="en-US"/>
              </w:rPr>
            </w:pPr>
            <w:r w:rsidRPr="001E6E3A">
              <w:rPr>
                <w:rFonts w:ascii="Calibri" w:eastAsia="Times New Roman" w:hAnsi="Calibri" w:cs="Calibri"/>
                <w:color w:val="0F6FC6" w:themeColor="accent1"/>
                <w:sz w:val="14"/>
                <w:szCs w:val="14"/>
                <w:lang w:val="en-US"/>
              </w:rPr>
              <w:t>3</w:t>
            </w:r>
          </w:p>
        </w:tc>
      </w:tr>
      <w:tr w:rsidR="001E6E3A" w:rsidRPr="001E6E3A" w14:paraId="5C9D3A84" w14:textId="77777777" w:rsidTr="005E4009">
        <w:trPr>
          <w:trHeight w:val="129"/>
        </w:trPr>
        <w:tc>
          <w:tcPr>
            <w:tcW w:w="434" w:type="dxa"/>
            <w:vMerge/>
            <w:tcBorders>
              <w:top w:val="single" w:sz="4" w:space="0" w:color="95B3D7"/>
              <w:left w:val="single" w:sz="4" w:space="0" w:color="FFFFFF"/>
              <w:bottom w:val="single" w:sz="4" w:space="0" w:color="95B3D7"/>
              <w:right w:val="single" w:sz="4" w:space="0" w:color="FFFFFF"/>
            </w:tcBorders>
            <w:vAlign w:val="center"/>
            <w:hideMark/>
          </w:tcPr>
          <w:p w14:paraId="676B2D08"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3039" w:type="dxa"/>
            <w:vMerge/>
            <w:tcBorders>
              <w:top w:val="single" w:sz="4" w:space="0" w:color="95B3D7"/>
              <w:left w:val="single" w:sz="4" w:space="0" w:color="FFFFFF"/>
              <w:bottom w:val="single" w:sz="4" w:space="0" w:color="95B3D7"/>
              <w:right w:val="single" w:sz="4" w:space="0" w:color="FFFFFF"/>
            </w:tcBorders>
            <w:vAlign w:val="center"/>
            <w:hideMark/>
          </w:tcPr>
          <w:p w14:paraId="15AB85F8"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569" w:type="dxa"/>
            <w:vMerge/>
            <w:tcBorders>
              <w:top w:val="single" w:sz="4" w:space="0" w:color="95B3D7"/>
              <w:left w:val="single" w:sz="4" w:space="0" w:color="FFFFFF"/>
              <w:bottom w:val="single" w:sz="4" w:space="0" w:color="95B3D7"/>
              <w:right w:val="single" w:sz="4" w:space="0" w:color="FFFFFF"/>
            </w:tcBorders>
            <w:vAlign w:val="center"/>
            <w:hideMark/>
          </w:tcPr>
          <w:p w14:paraId="703F2A72"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2338" w:type="dxa"/>
            <w:vMerge/>
            <w:tcBorders>
              <w:top w:val="single" w:sz="4" w:space="0" w:color="95B3D7"/>
              <w:left w:val="single" w:sz="4" w:space="0" w:color="FFFFFF"/>
              <w:bottom w:val="single" w:sz="4" w:space="0" w:color="95B3D7"/>
              <w:right w:val="single" w:sz="4" w:space="0" w:color="FFFFFF"/>
            </w:tcBorders>
            <w:vAlign w:val="center"/>
            <w:hideMark/>
          </w:tcPr>
          <w:p w14:paraId="424C4FD3" w14:textId="77777777" w:rsidR="001E6E3A" w:rsidRPr="001E6E3A" w:rsidRDefault="001E6E3A" w:rsidP="001E6E3A">
            <w:pPr>
              <w:spacing w:before="0" w:after="0" w:line="240" w:lineRule="auto"/>
              <w:rPr>
                <w:rFonts w:ascii="Calibri" w:eastAsia="Times New Roman" w:hAnsi="Calibri" w:cs="Calibri"/>
                <w:color w:val="0F6FC6" w:themeColor="accent1"/>
                <w:sz w:val="16"/>
                <w:szCs w:val="16"/>
                <w:lang w:val="en-US"/>
              </w:rPr>
            </w:pPr>
          </w:p>
        </w:tc>
        <w:tc>
          <w:tcPr>
            <w:tcW w:w="976" w:type="dxa"/>
            <w:tcBorders>
              <w:top w:val="nil"/>
              <w:left w:val="nil"/>
              <w:bottom w:val="single" w:sz="4" w:space="0" w:color="95B3D7"/>
              <w:right w:val="single" w:sz="4" w:space="0" w:color="FFFFFF"/>
            </w:tcBorders>
            <w:shd w:val="clear" w:color="000000" w:fill="FFFFFF"/>
            <w:vAlign w:val="center"/>
            <w:hideMark/>
          </w:tcPr>
          <w:p w14:paraId="049F2799" w14:textId="77777777" w:rsidR="001E6E3A" w:rsidRPr="001E6E3A" w:rsidRDefault="001E6E3A" w:rsidP="001E6E3A">
            <w:pPr>
              <w:spacing w:before="0" w:after="0" w:line="240" w:lineRule="auto"/>
              <w:jc w:val="right"/>
              <w:rPr>
                <w:rFonts w:ascii="Calibri" w:eastAsia="Times New Roman" w:hAnsi="Calibri" w:cs="Calibri"/>
                <w:color w:val="0F6FC6" w:themeColor="accent1"/>
                <w:sz w:val="14"/>
                <w:szCs w:val="14"/>
                <w:lang w:val="en-US"/>
              </w:rPr>
            </w:pPr>
            <w:r w:rsidRPr="001E6E3A">
              <w:rPr>
                <w:rFonts w:ascii="Calibri" w:eastAsia="Times New Roman" w:hAnsi="Calibri" w:cs="Calibri"/>
                <w:color w:val="0F6FC6" w:themeColor="accent1"/>
                <w:sz w:val="14"/>
                <w:szCs w:val="14"/>
                <w:lang w:val="en-US"/>
              </w:rPr>
              <w:t>mii lei</w:t>
            </w:r>
          </w:p>
        </w:tc>
        <w:tc>
          <w:tcPr>
            <w:tcW w:w="905" w:type="dxa"/>
            <w:tcBorders>
              <w:top w:val="nil"/>
              <w:left w:val="nil"/>
              <w:bottom w:val="single" w:sz="4" w:space="0" w:color="95B3D7"/>
              <w:right w:val="single" w:sz="4" w:space="0" w:color="FFFFFF"/>
            </w:tcBorders>
            <w:shd w:val="clear" w:color="000000" w:fill="FFFFFF"/>
            <w:vAlign w:val="center"/>
            <w:hideMark/>
          </w:tcPr>
          <w:p w14:paraId="68BED92B" w14:textId="77777777" w:rsidR="001E6E3A" w:rsidRPr="001E6E3A" w:rsidRDefault="001E6E3A" w:rsidP="001E6E3A">
            <w:pPr>
              <w:spacing w:before="0" w:after="0" w:line="240" w:lineRule="auto"/>
              <w:jc w:val="right"/>
              <w:rPr>
                <w:rFonts w:ascii="Calibri" w:eastAsia="Times New Roman" w:hAnsi="Calibri" w:cs="Calibri"/>
                <w:color w:val="0F6FC6" w:themeColor="accent1"/>
                <w:sz w:val="14"/>
                <w:szCs w:val="14"/>
                <w:lang w:val="en-US"/>
              </w:rPr>
            </w:pPr>
            <w:r w:rsidRPr="001E6E3A">
              <w:rPr>
                <w:rFonts w:ascii="Calibri" w:eastAsia="Times New Roman" w:hAnsi="Calibri" w:cs="Calibri"/>
                <w:color w:val="0F6FC6" w:themeColor="accent1"/>
                <w:sz w:val="14"/>
                <w:szCs w:val="14"/>
                <w:lang w:val="en-US"/>
              </w:rPr>
              <w:t>mii lei</w:t>
            </w:r>
          </w:p>
        </w:tc>
        <w:tc>
          <w:tcPr>
            <w:tcW w:w="795" w:type="dxa"/>
            <w:tcBorders>
              <w:top w:val="nil"/>
              <w:left w:val="nil"/>
              <w:bottom w:val="single" w:sz="4" w:space="0" w:color="95B3D7"/>
              <w:right w:val="single" w:sz="4" w:space="0" w:color="FFFFFF"/>
            </w:tcBorders>
            <w:shd w:val="clear" w:color="000000" w:fill="FFFFFF"/>
            <w:vAlign w:val="center"/>
            <w:hideMark/>
          </w:tcPr>
          <w:p w14:paraId="7C9E367C" w14:textId="77777777" w:rsidR="001E6E3A" w:rsidRPr="001E6E3A" w:rsidRDefault="001E6E3A" w:rsidP="001E6E3A">
            <w:pPr>
              <w:spacing w:before="0" w:after="0" w:line="240" w:lineRule="auto"/>
              <w:jc w:val="right"/>
              <w:rPr>
                <w:rFonts w:ascii="Calibri" w:eastAsia="Times New Roman" w:hAnsi="Calibri" w:cs="Calibri"/>
                <w:color w:val="0F6FC6" w:themeColor="accent1"/>
                <w:sz w:val="14"/>
                <w:szCs w:val="14"/>
                <w:lang w:val="en-US"/>
              </w:rPr>
            </w:pPr>
            <w:r w:rsidRPr="001E6E3A">
              <w:rPr>
                <w:rFonts w:ascii="Calibri" w:eastAsia="Times New Roman" w:hAnsi="Calibri" w:cs="Calibri"/>
                <w:color w:val="0F6FC6" w:themeColor="accent1"/>
                <w:sz w:val="14"/>
                <w:szCs w:val="14"/>
                <w:lang w:val="en-US"/>
              </w:rPr>
              <w:t>mii lei</w:t>
            </w:r>
          </w:p>
        </w:tc>
      </w:tr>
      <w:tr w:rsidR="005E4009" w:rsidRPr="001E6E3A" w14:paraId="1C991211" w14:textId="77777777" w:rsidTr="005E4009">
        <w:trPr>
          <w:trHeight w:val="201"/>
        </w:trPr>
        <w:tc>
          <w:tcPr>
            <w:tcW w:w="434" w:type="dxa"/>
            <w:tcBorders>
              <w:top w:val="nil"/>
              <w:left w:val="single" w:sz="4" w:space="0" w:color="FFFFFF"/>
              <w:bottom w:val="single" w:sz="8" w:space="0" w:color="FFFFFF"/>
              <w:right w:val="single" w:sz="4" w:space="0" w:color="FFFFFF"/>
            </w:tcBorders>
            <w:shd w:val="clear" w:color="000000" w:fill="FFFFFF"/>
          </w:tcPr>
          <w:p w14:paraId="16DAC361" w14:textId="77777777" w:rsidR="005E4009" w:rsidRPr="001E6E3A" w:rsidRDefault="005E4009"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1</w:t>
            </w:r>
          </w:p>
        </w:tc>
        <w:tc>
          <w:tcPr>
            <w:tcW w:w="3039" w:type="dxa"/>
            <w:tcBorders>
              <w:top w:val="single" w:sz="4" w:space="0" w:color="95B3D7"/>
              <w:left w:val="nil"/>
              <w:bottom w:val="single" w:sz="8" w:space="0" w:color="FFFFFF"/>
              <w:right w:val="single" w:sz="4" w:space="0" w:color="FFFFFF"/>
            </w:tcBorders>
            <w:shd w:val="clear" w:color="000000" w:fill="FFFFFF"/>
          </w:tcPr>
          <w:p w14:paraId="61862984" w14:textId="77777777" w:rsidR="005E4009" w:rsidRPr="001E6E3A" w:rsidRDefault="005E4009" w:rsidP="001E6E3A">
            <w:pPr>
              <w:spacing w:before="0" w:after="0" w:line="240" w:lineRule="auto"/>
              <w:rPr>
                <w:rFonts w:ascii="Calibri" w:eastAsia="Times New Roman" w:hAnsi="Calibri" w:cs="Calibri"/>
                <w:sz w:val="16"/>
                <w:szCs w:val="16"/>
                <w:lang w:val="en-US"/>
              </w:rPr>
            </w:pPr>
            <w:r w:rsidRPr="005E4009">
              <w:rPr>
                <w:rFonts w:ascii="Calibri" w:eastAsia="Times New Roman" w:hAnsi="Calibri" w:cs="Calibri"/>
                <w:sz w:val="16"/>
                <w:szCs w:val="16"/>
                <w:lang w:val="en-US"/>
              </w:rPr>
              <w:t>SOCIETATEA DE TRANSPORT BUCUREȘTI STB S.A</w:t>
            </w:r>
          </w:p>
        </w:tc>
        <w:tc>
          <w:tcPr>
            <w:tcW w:w="569" w:type="dxa"/>
            <w:tcBorders>
              <w:top w:val="single" w:sz="4" w:space="0" w:color="95B3D7"/>
              <w:left w:val="nil"/>
              <w:bottom w:val="single" w:sz="8" w:space="0" w:color="FFFFFF"/>
              <w:right w:val="single" w:sz="4" w:space="0" w:color="FFFFFF"/>
            </w:tcBorders>
            <w:shd w:val="clear" w:color="000000" w:fill="FFFFFF"/>
          </w:tcPr>
          <w:p w14:paraId="72F39F84" w14:textId="77777777" w:rsidR="005E4009" w:rsidRPr="001E6E3A" w:rsidRDefault="005E4009" w:rsidP="001E6E3A">
            <w:pPr>
              <w:spacing w:before="0" w:after="0" w:line="240" w:lineRule="auto"/>
              <w:rPr>
                <w:rFonts w:ascii="Calibri" w:eastAsia="Times New Roman" w:hAnsi="Calibri" w:cs="Calibri"/>
                <w:sz w:val="16"/>
                <w:szCs w:val="16"/>
                <w:lang w:val="en-US"/>
              </w:rPr>
            </w:pPr>
            <w:r>
              <w:rPr>
                <w:rFonts w:ascii="Calibri" w:eastAsia="Times New Roman" w:hAnsi="Calibri" w:cs="Calibri"/>
                <w:sz w:val="16"/>
                <w:szCs w:val="16"/>
                <w:lang w:val="en-US"/>
              </w:rPr>
              <w:t>B</w:t>
            </w:r>
          </w:p>
        </w:tc>
        <w:tc>
          <w:tcPr>
            <w:tcW w:w="2338" w:type="dxa"/>
            <w:tcBorders>
              <w:top w:val="single" w:sz="4" w:space="0" w:color="95B3D7"/>
              <w:left w:val="nil"/>
              <w:bottom w:val="single" w:sz="8" w:space="0" w:color="FFFFFF"/>
              <w:right w:val="single" w:sz="4" w:space="0" w:color="FFFFFF"/>
            </w:tcBorders>
            <w:shd w:val="clear" w:color="000000" w:fill="FFFFFF"/>
          </w:tcPr>
          <w:p w14:paraId="073B80BF" w14:textId="77777777" w:rsidR="005E4009" w:rsidRPr="001E6E3A" w:rsidRDefault="005E4009"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Transport si depozitare</w:t>
            </w:r>
          </w:p>
        </w:tc>
        <w:tc>
          <w:tcPr>
            <w:tcW w:w="976" w:type="dxa"/>
            <w:tcBorders>
              <w:top w:val="single" w:sz="4" w:space="0" w:color="95B3D7"/>
              <w:left w:val="nil"/>
              <w:bottom w:val="single" w:sz="8" w:space="0" w:color="FFFFFF"/>
              <w:right w:val="single" w:sz="4" w:space="0" w:color="FFFFFF"/>
            </w:tcBorders>
            <w:shd w:val="clear" w:color="000000" w:fill="FFFFFF"/>
            <w:noWrap/>
          </w:tcPr>
          <w:p w14:paraId="10C6C12F" w14:textId="77777777" w:rsidR="005E4009" w:rsidRPr="001E6E3A" w:rsidRDefault="005E4009"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955.214</w:t>
            </w:r>
          </w:p>
        </w:tc>
        <w:tc>
          <w:tcPr>
            <w:tcW w:w="905" w:type="dxa"/>
            <w:tcBorders>
              <w:top w:val="single" w:sz="4" w:space="0" w:color="95B3D7"/>
              <w:left w:val="nil"/>
              <w:bottom w:val="single" w:sz="8" w:space="0" w:color="FFFFFF"/>
              <w:right w:val="single" w:sz="4" w:space="0" w:color="FFFFFF"/>
            </w:tcBorders>
            <w:shd w:val="clear" w:color="000000" w:fill="FFFFFF"/>
            <w:noWrap/>
          </w:tcPr>
          <w:p w14:paraId="33EDD87B" w14:textId="77777777" w:rsidR="005E4009" w:rsidRPr="001E6E3A" w:rsidRDefault="005E4009"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875.196</w:t>
            </w:r>
          </w:p>
        </w:tc>
        <w:tc>
          <w:tcPr>
            <w:tcW w:w="795" w:type="dxa"/>
            <w:tcBorders>
              <w:top w:val="single" w:sz="4" w:space="0" w:color="95B3D7"/>
              <w:left w:val="nil"/>
              <w:bottom w:val="single" w:sz="8" w:space="0" w:color="FFFFFF"/>
              <w:right w:val="single" w:sz="4" w:space="0" w:color="FFFFFF"/>
            </w:tcBorders>
            <w:shd w:val="clear" w:color="000000" w:fill="FFFFFF"/>
            <w:noWrap/>
          </w:tcPr>
          <w:p w14:paraId="4696A732" w14:textId="77777777" w:rsidR="005E4009" w:rsidRPr="001E6E3A" w:rsidRDefault="005E4009"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80.017</w:t>
            </w:r>
          </w:p>
        </w:tc>
      </w:tr>
      <w:tr w:rsidR="001E6E3A" w:rsidRPr="001E6E3A" w14:paraId="5017ED6B" w14:textId="77777777" w:rsidTr="005E4009">
        <w:trPr>
          <w:trHeight w:val="201"/>
        </w:trPr>
        <w:tc>
          <w:tcPr>
            <w:tcW w:w="434" w:type="dxa"/>
            <w:tcBorders>
              <w:top w:val="nil"/>
              <w:left w:val="single" w:sz="4" w:space="0" w:color="FFFFFF"/>
              <w:bottom w:val="single" w:sz="8" w:space="0" w:color="FFFFFF"/>
              <w:right w:val="single" w:sz="4" w:space="0" w:color="FFFFFF"/>
            </w:tcBorders>
            <w:shd w:val="clear" w:color="000000" w:fill="FFFFFF"/>
            <w:hideMark/>
          </w:tcPr>
          <w:p w14:paraId="3756D50B"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2</w:t>
            </w:r>
          </w:p>
        </w:tc>
        <w:tc>
          <w:tcPr>
            <w:tcW w:w="3039" w:type="dxa"/>
            <w:tcBorders>
              <w:top w:val="single" w:sz="4" w:space="0" w:color="95B3D7"/>
              <w:left w:val="nil"/>
              <w:bottom w:val="single" w:sz="8" w:space="0" w:color="FFFFFF"/>
              <w:right w:val="single" w:sz="4" w:space="0" w:color="FFFFFF"/>
            </w:tcBorders>
            <w:shd w:val="clear" w:color="000000" w:fill="FFFFFF"/>
            <w:hideMark/>
          </w:tcPr>
          <w:p w14:paraId="1937C9AF"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COMPANIA LOCALA DE TERMOFICARE COLTERM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0C410B61"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TM</w:t>
            </w:r>
          </w:p>
        </w:tc>
        <w:tc>
          <w:tcPr>
            <w:tcW w:w="2338" w:type="dxa"/>
            <w:tcBorders>
              <w:top w:val="single" w:sz="4" w:space="0" w:color="95B3D7"/>
              <w:left w:val="nil"/>
              <w:bottom w:val="single" w:sz="8" w:space="0" w:color="FFFFFF"/>
              <w:right w:val="single" w:sz="4" w:space="0" w:color="FFFFFF"/>
            </w:tcBorders>
            <w:shd w:val="clear" w:color="000000" w:fill="FFFFFF"/>
            <w:hideMark/>
          </w:tcPr>
          <w:p w14:paraId="365E42AF"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Productia si furnizarea de energie electrica si termica, gaze, apa calda si aer conditionat</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59310120"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236.692</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48050264"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108.429</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03398109"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128.263</w:t>
            </w:r>
          </w:p>
        </w:tc>
      </w:tr>
      <w:tr w:rsidR="001E6E3A" w:rsidRPr="001E6E3A" w14:paraId="225F590F" w14:textId="77777777" w:rsidTr="005E4009">
        <w:trPr>
          <w:trHeight w:val="201"/>
        </w:trPr>
        <w:tc>
          <w:tcPr>
            <w:tcW w:w="434" w:type="dxa"/>
            <w:tcBorders>
              <w:top w:val="nil"/>
              <w:left w:val="single" w:sz="4" w:space="0" w:color="FFFFFF"/>
              <w:bottom w:val="single" w:sz="8" w:space="0" w:color="FFFFFF"/>
              <w:right w:val="single" w:sz="4" w:space="0" w:color="FFFFFF"/>
            </w:tcBorders>
            <w:shd w:val="clear" w:color="000000" w:fill="FFFFFF"/>
            <w:hideMark/>
          </w:tcPr>
          <w:p w14:paraId="40FBEFB9"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3</w:t>
            </w:r>
          </w:p>
        </w:tc>
        <w:tc>
          <w:tcPr>
            <w:tcW w:w="3039" w:type="dxa"/>
            <w:tcBorders>
              <w:top w:val="single" w:sz="4" w:space="0" w:color="95B3D7"/>
              <w:left w:val="nil"/>
              <w:bottom w:val="single" w:sz="8" w:space="0" w:color="FFFFFF"/>
              <w:right w:val="single" w:sz="4" w:space="0" w:color="FFFFFF"/>
            </w:tcBorders>
            <w:shd w:val="clear" w:color="000000" w:fill="FFFFFF"/>
            <w:hideMark/>
          </w:tcPr>
          <w:p w14:paraId="1C28727D"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AMENAJARE EDILITARĂ ŞI SALUBRIZARE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56BCD690"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B</w:t>
            </w:r>
          </w:p>
        </w:tc>
        <w:tc>
          <w:tcPr>
            <w:tcW w:w="2338" w:type="dxa"/>
            <w:tcBorders>
              <w:top w:val="single" w:sz="4" w:space="0" w:color="95B3D7"/>
              <w:left w:val="nil"/>
              <w:bottom w:val="single" w:sz="8" w:space="0" w:color="FFFFFF"/>
              <w:right w:val="single" w:sz="4" w:space="0" w:color="FFFFFF"/>
            </w:tcBorders>
            <w:shd w:val="clear" w:color="000000" w:fill="FFFFFF"/>
            <w:hideMark/>
          </w:tcPr>
          <w:p w14:paraId="25803226"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Distributia apei; salubritate, gestionarea deseurilor, activitati de decontaminare</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42109B7E"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71.944</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122A19C0"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2.884</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742AA095"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69.060</w:t>
            </w:r>
          </w:p>
        </w:tc>
      </w:tr>
      <w:tr w:rsidR="001E6E3A" w:rsidRPr="001E6E3A" w14:paraId="00616BEB" w14:textId="77777777" w:rsidTr="005E4009">
        <w:trPr>
          <w:trHeight w:val="240"/>
        </w:trPr>
        <w:tc>
          <w:tcPr>
            <w:tcW w:w="434" w:type="dxa"/>
            <w:tcBorders>
              <w:top w:val="nil"/>
              <w:left w:val="single" w:sz="4" w:space="0" w:color="FFFFFF"/>
              <w:bottom w:val="single" w:sz="8" w:space="0" w:color="FFFFFF"/>
              <w:right w:val="single" w:sz="4" w:space="0" w:color="FFFFFF"/>
            </w:tcBorders>
            <w:shd w:val="clear" w:color="000000" w:fill="FFFFFF"/>
            <w:hideMark/>
          </w:tcPr>
          <w:p w14:paraId="3EE861B3"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4</w:t>
            </w:r>
          </w:p>
        </w:tc>
        <w:tc>
          <w:tcPr>
            <w:tcW w:w="3039" w:type="dxa"/>
            <w:tcBorders>
              <w:top w:val="single" w:sz="4" w:space="0" w:color="95B3D7"/>
              <w:left w:val="nil"/>
              <w:bottom w:val="single" w:sz="8" w:space="0" w:color="FFFFFF"/>
              <w:right w:val="single" w:sz="4" w:space="0" w:color="FFFFFF"/>
            </w:tcBorders>
            <w:shd w:val="clear" w:color="000000" w:fill="FFFFFF"/>
            <w:hideMark/>
          </w:tcPr>
          <w:p w14:paraId="73F8F447"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COMPANIA MUNICIPALĂ TERMOENERGETICA BUCUREŞTI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30C04958"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B</w:t>
            </w:r>
          </w:p>
        </w:tc>
        <w:tc>
          <w:tcPr>
            <w:tcW w:w="2338" w:type="dxa"/>
            <w:tcBorders>
              <w:top w:val="single" w:sz="4" w:space="0" w:color="95B3D7"/>
              <w:left w:val="nil"/>
              <w:bottom w:val="single" w:sz="8" w:space="0" w:color="FFFFFF"/>
              <w:right w:val="single" w:sz="4" w:space="0" w:color="FFFFFF"/>
            </w:tcBorders>
            <w:shd w:val="clear" w:color="000000" w:fill="FFFFFF"/>
            <w:hideMark/>
          </w:tcPr>
          <w:p w14:paraId="5BCA910E"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Productia si furnizarea de energie electrica si termica, gaze, apa calda si aer conditionat</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052BA8FF"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64.785</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76FEE91E"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45.515</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2C4223BA"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19.269</w:t>
            </w:r>
          </w:p>
        </w:tc>
      </w:tr>
      <w:tr w:rsidR="001E6E3A" w:rsidRPr="001E6E3A" w14:paraId="449860A0" w14:textId="77777777" w:rsidTr="005E4009">
        <w:trPr>
          <w:trHeight w:val="137"/>
        </w:trPr>
        <w:tc>
          <w:tcPr>
            <w:tcW w:w="434" w:type="dxa"/>
            <w:tcBorders>
              <w:top w:val="nil"/>
              <w:left w:val="single" w:sz="4" w:space="0" w:color="FFFFFF"/>
              <w:bottom w:val="single" w:sz="8" w:space="0" w:color="FFFFFF"/>
              <w:right w:val="single" w:sz="4" w:space="0" w:color="FFFFFF"/>
            </w:tcBorders>
            <w:shd w:val="clear" w:color="000000" w:fill="FFFFFF"/>
            <w:hideMark/>
          </w:tcPr>
          <w:p w14:paraId="3475C594"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5</w:t>
            </w:r>
          </w:p>
        </w:tc>
        <w:tc>
          <w:tcPr>
            <w:tcW w:w="3039" w:type="dxa"/>
            <w:tcBorders>
              <w:top w:val="single" w:sz="4" w:space="0" w:color="95B3D7"/>
              <w:left w:val="nil"/>
              <w:bottom w:val="single" w:sz="8" w:space="0" w:color="FFFFFF"/>
              <w:right w:val="single" w:sz="4" w:space="0" w:color="FFFFFF"/>
            </w:tcBorders>
            <w:shd w:val="clear" w:color="000000" w:fill="FFFFFF"/>
            <w:hideMark/>
          </w:tcPr>
          <w:p w14:paraId="252982E1"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TRUSTUL DE CLADIRI METROPOLITANE BUCURESTI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448EB7DF"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B</w:t>
            </w:r>
          </w:p>
        </w:tc>
        <w:tc>
          <w:tcPr>
            <w:tcW w:w="2338" w:type="dxa"/>
            <w:tcBorders>
              <w:top w:val="single" w:sz="4" w:space="0" w:color="95B3D7"/>
              <w:left w:val="nil"/>
              <w:bottom w:val="single" w:sz="8" w:space="0" w:color="FFFFFF"/>
              <w:right w:val="single" w:sz="4" w:space="0" w:color="FFFFFF"/>
            </w:tcBorders>
            <w:shd w:val="clear" w:color="000000" w:fill="FFFFFF"/>
            <w:hideMark/>
          </w:tcPr>
          <w:p w14:paraId="3230C074"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Activitati profesionale, stiintifice si tehnice</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1353DED6"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48.212</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1398702B"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6.680</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5A13CC7B"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41.532</w:t>
            </w:r>
          </w:p>
        </w:tc>
      </w:tr>
      <w:tr w:rsidR="001E6E3A" w:rsidRPr="001E6E3A" w14:paraId="3CFA12DD" w14:textId="77777777" w:rsidTr="005E4009">
        <w:trPr>
          <w:trHeight w:val="201"/>
        </w:trPr>
        <w:tc>
          <w:tcPr>
            <w:tcW w:w="434" w:type="dxa"/>
            <w:tcBorders>
              <w:top w:val="nil"/>
              <w:left w:val="single" w:sz="4" w:space="0" w:color="FFFFFF"/>
              <w:bottom w:val="single" w:sz="8" w:space="0" w:color="FFFFFF"/>
              <w:right w:val="single" w:sz="4" w:space="0" w:color="FFFFFF"/>
            </w:tcBorders>
            <w:shd w:val="clear" w:color="000000" w:fill="FFFFFF"/>
            <w:hideMark/>
          </w:tcPr>
          <w:p w14:paraId="24BFC114"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6</w:t>
            </w:r>
          </w:p>
        </w:tc>
        <w:tc>
          <w:tcPr>
            <w:tcW w:w="3039" w:type="dxa"/>
            <w:tcBorders>
              <w:top w:val="single" w:sz="4" w:space="0" w:color="95B3D7"/>
              <w:left w:val="nil"/>
              <w:bottom w:val="single" w:sz="8" w:space="0" w:color="FFFFFF"/>
              <w:right w:val="single" w:sz="4" w:space="0" w:color="FFFFFF"/>
            </w:tcBorders>
            <w:shd w:val="clear" w:color="000000" w:fill="FFFFFF"/>
            <w:hideMark/>
          </w:tcPr>
          <w:p w14:paraId="6B5EE5C5"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TRANSURB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32A197AD"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GL</w:t>
            </w:r>
          </w:p>
        </w:tc>
        <w:tc>
          <w:tcPr>
            <w:tcW w:w="2338" w:type="dxa"/>
            <w:tcBorders>
              <w:top w:val="single" w:sz="4" w:space="0" w:color="95B3D7"/>
              <w:left w:val="nil"/>
              <w:bottom w:val="single" w:sz="8" w:space="0" w:color="FFFFFF"/>
              <w:right w:val="single" w:sz="4" w:space="0" w:color="FFFFFF"/>
            </w:tcBorders>
            <w:shd w:val="clear" w:color="000000" w:fill="FFFFFF"/>
            <w:hideMark/>
          </w:tcPr>
          <w:p w14:paraId="7C448AE8"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Transport si depozitare</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6C91D5EC"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45.534</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31C8B173"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40.753</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7B4C6636"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4.782</w:t>
            </w:r>
          </w:p>
        </w:tc>
      </w:tr>
      <w:tr w:rsidR="001E6E3A" w:rsidRPr="001E6E3A" w14:paraId="6D97FC7D" w14:textId="77777777" w:rsidTr="005E4009">
        <w:trPr>
          <w:trHeight w:val="137"/>
        </w:trPr>
        <w:tc>
          <w:tcPr>
            <w:tcW w:w="434" w:type="dxa"/>
            <w:tcBorders>
              <w:top w:val="nil"/>
              <w:left w:val="single" w:sz="4" w:space="0" w:color="FFFFFF"/>
              <w:bottom w:val="single" w:sz="8" w:space="0" w:color="FFFFFF"/>
              <w:right w:val="single" w:sz="4" w:space="0" w:color="FFFFFF"/>
            </w:tcBorders>
            <w:shd w:val="clear" w:color="000000" w:fill="FFFFFF"/>
            <w:hideMark/>
          </w:tcPr>
          <w:p w14:paraId="60B27BD4"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7</w:t>
            </w:r>
          </w:p>
        </w:tc>
        <w:tc>
          <w:tcPr>
            <w:tcW w:w="3039" w:type="dxa"/>
            <w:tcBorders>
              <w:top w:val="single" w:sz="4" w:space="0" w:color="95B3D7"/>
              <w:left w:val="nil"/>
              <w:bottom w:val="single" w:sz="8" w:space="0" w:color="FFFFFF"/>
              <w:right w:val="single" w:sz="4" w:space="0" w:color="FFFFFF"/>
            </w:tcBorders>
            <w:shd w:val="clear" w:color="000000" w:fill="FFFFFF"/>
            <w:hideMark/>
          </w:tcPr>
          <w:p w14:paraId="3A456229"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COMPANIA MUNICIPALĂ CONSOLIDĂRI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12D39930"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B</w:t>
            </w:r>
          </w:p>
        </w:tc>
        <w:tc>
          <w:tcPr>
            <w:tcW w:w="2338" w:type="dxa"/>
            <w:tcBorders>
              <w:top w:val="single" w:sz="4" w:space="0" w:color="95B3D7"/>
              <w:left w:val="nil"/>
              <w:bottom w:val="single" w:sz="8" w:space="0" w:color="FFFFFF"/>
              <w:right w:val="single" w:sz="4" w:space="0" w:color="FFFFFF"/>
            </w:tcBorders>
            <w:shd w:val="clear" w:color="000000" w:fill="FFFFFF"/>
            <w:hideMark/>
          </w:tcPr>
          <w:p w14:paraId="5AA87531"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Constructii</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0BA4BFD5"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42.811</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4A5FF87D"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28.449</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5ECCB065"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14.361</w:t>
            </w:r>
          </w:p>
        </w:tc>
      </w:tr>
      <w:tr w:rsidR="001E6E3A" w:rsidRPr="001E6E3A" w14:paraId="4CD85353" w14:textId="77777777" w:rsidTr="005E4009">
        <w:trPr>
          <w:trHeight w:val="137"/>
        </w:trPr>
        <w:tc>
          <w:tcPr>
            <w:tcW w:w="434" w:type="dxa"/>
            <w:tcBorders>
              <w:top w:val="nil"/>
              <w:left w:val="single" w:sz="4" w:space="0" w:color="FFFFFF"/>
              <w:bottom w:val="single" w:sz="8" w:space="0" w:color="FFFFFF"/>
              <w:right w:val="single" w:sz="4" w:space="0" w:color="FFFFFF"/>
            </w:tcBorders>
            <w:shd w:val="clear" w:color="000000" w:fill="FFFFFF"/>
            <w:hideMark/>
          </w:tcPr>
          <w:p w14:paraId="7ABE3387"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8</w:t>
            </w:r>
          </w:p>
        </w:tc>
        <w:tc>
          <w:tcPr>
            <w:tcW w:w="3039" w:type="dxa"/>
            <w:tcBorders>
              <w:top w:val="single" w:sz="4" w:space="0" w:color="95B3D7"/>
              <w:left w:val="nil"/>
              <w:bottom w:val="single" w:sz="8" w:space="0" w:color="FFFFFF"/>
              <w:right w:val="single" w:sz="4" w:space="0" w:color="FFFFFF"/>
            </w:tcBorders>
            <w:shd w:val="clear" w:color="000000" w:fill="FFFFFF"/>
            <w:hideMark/>
          </w:tcPr>
          <w:p w14:paraId="6DCBC670"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SOCIETATEA DE TRANSPORT PUBLIC TIMISOARA S.A.</w:t>
            </w:r>
          </w:p>
        </w:tc>
        <w:tc>
          <w:tcPr>
            <w:tcW w:w="569" w:type="dxa"/>
            <w:tcBorders>
              <w:top w:val="single" w:sz="4" w:space="0" w:color="95B3D7"/>
              <w:left w:val="nil"/>
              <w:bottom w:val="single" w:sz="8" w:space="0" w:color="FFFFFF"/>
              <w:right w:val="single" w:sz="4" w:space="0" w:color="FFFFFF"/>
            </w:tcBorders>
            <w:shd w:val="clear" w:color="000000" w:fill="FFFFFF"/>
            <w:hideMark/>
          </w:tcPr>
          <w:p w14:paraId="3D88B564"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TM</w:t>
            </w:r>
          </w:p>
        </w:tc>
        <w:tc>
          <w:tcPr>
            <w:tcW w:w="2338" w:type="dxa"/>
            <w:tcBorders>
              <w:top w:val="single" w:sz="4" w:space="0" w:color="95B3D7"/>
              <w:left w:val="nil"/>
              <w:bottom w:val="single" w:sz="8" w:space="0" w:color="FFFFFF"/>
              <w:right w:val="single" w:sz="4" w:space="0" w:color="FFFFFF"/>
            </w:tcBorders>
            <w:shd w:val="clear" w:color="000000" w:fill="FFFFFF"/>
            <w:hideMark/>
          </w:tcPr>
          <w:p w14:paraId="40A39D29"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Transport si depozitare</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5FD113F2"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33.357</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72F713E3"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26.145</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0BC2D7AA"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7.212</w:t>
            </w:r>
          </w:p>
        </w:tc>
      </w:tr>
      <w:tr w:rsidR="001E6E3A" w:rsidRPr="001E6E3A" w14:paraId="12208006" w14:textId="77777777" w:rsidTr="005E4009">
        <w:trPr>
          <w:trHeight w:val="137"/>
        </w:trPr>
        <w:tc>
          <w:tcPr>
            <w:tcW w:w="434" w:type="dxa"/>
            <w:tcBorders>
              <w:top w:val="nil"/>
              <w:left w:val="single" w:sz="4" w:space="0" w:color="FFFFFF"/>
              <w:bottom w:val="single" w:sz="8" w:space="0" w:color="FFFFFF"/>
              <w:right w:val="single" w:sz="4" w:space="0" w:color="FFFFFF"/>
            </w:tcBorders>
            <w:shd w:val="clear" w:color="000000" w:fill="FFFFFF"/>
            <w:hideMark/>
          </w:tcPr>
          <w:p w14:paraId="22016455"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9</w:t>
            </w:r>
          </w:p>
        </w:tc>
        <w:tc>
          <w:tcPr>
            <w:tcW w:w="3039" w:type="dxa"/>
            <w:tcBorders>
              <w:top w:val="single" w:sz="4" w:space="0" w:color="95B3D7"/>
              <w:left w:val="nil"/>
              <w:bottom w:val="single" w:sz="8" w:space="0" w:color="FFFFFF"/>
              <w:right w:val="single" w:sz="4" w:space="0" w:color="FFFFFF"/>
            </w:tcBorders>
            <w:shd w:val="clear" w:color="000000" w:fill="FFFFFF"/>
            <w:hideMark/>
          </w:tcPr>
          <w:p w14:paraId="2A72C7CE"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AS3 - ADMINISTRARE STRAZI S3 SRL</w:t>
            </w:r>
          </w:p>
        </w:tc>
        <w:tc>
          <w:tcPr>
            <w:tcW w:w="569" w:type="dxa"/>
            <w:tcBorders>
              <w:top w:val="single" w:sz="4" w:space="0" w:color="95B3D7"/>
              <w:left w:val="nil"/>
              <w:bottom w:val="single" w:sz="8" w:space="0" w:color="FFFFFF"/>
              <w:right w:val="single" w:sz="4" w:space="0" w:color="FFFFFF"/>
            </w:tcBorders>
            <w:shd w:val="clear" w:color="000000" w:fill="FFFFFF"/>
            <w:hideMark/>
          </w:tcPr>
          <w:p w14:paraId="1067E2C9"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B</w:t>
            </w:r>
          </w:p>
        </w:tc>
        <w:tc>
          <w:tcPr>
            <w:tcW w:w="2338" w:type="dxa"/>
            <w:tcBorders>
              <w:top w:val="single" w:sz="4" w:space="0" w:color="95B3D7"/>
              <w:left w:val="nil"/>
              <w:bottom w:val="single" w:sz="8" w:space="0" w:color="FFFFFF"/>
              <w:right w:val="single" w:sz="4" w:space="0" w:color="FFFFFF"/>
            </w:tcBorders>
            <w:shd w:val="clear" w:color="000000" w:fill="FFFFFF"/>
            <w:hideMark/>
          </w:tcPr>
          <w:p w14:paraId="7C73EE4A"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Constructii</w:t>
            </w:r>
          </w:p>
        </w:tc>
        <w:tc>
          <w:tcPr>
            <w:tcW w:w="976" w:type="dxa"/>
            <w:tcBorders>
              <w:top w:val="single" w:sz="4" w:space="0" w:color="95B3D7"/>
              <w:left w:val="nil"/>
              <w:bottom w:val="single" w:sz="8" w:space="0" w:color="FFFFFF"/>
              <w:right w:val="single" w:sz="4" w:space="0" w:color="FFFFFF"/>
            </w:tcBorders>
            <w:shd w:val="clear" w:color="000000" w:fill="FFFFFF"/>
            <w:noWrap/>
            <w:hideMark/>
          </w:tcPr>
          <w:p w14:paraId="068992B5"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26.479</w:t>
            </w:r>
          </w:p>
        </w:tc>
        <w:tc>
          <w:tcPr>
            <w:tcW w:w="905" w:type="dxa"/>
            <w:tcBorders>
              <w:top w:val="single" w:sz="4" w:space="0" w:color="95B3D7"/>
              <w:left w:val="nil"/>
              <w:bottom w:val="single" w:sz="8" w:space="0" w:color="FFFFFF"/>
              <w:right w:val="single" w:sz="4" w:space="0" w:color="FFFFFF"/>
            </w:tcBorders>
            <w:shd w:val="clear" w:color="000000" w:fill="FFFFFF"/>
            <w:noWrap/>
            <w:hideMark/>
          </w:tcPr>
          <w:p w14:paraId="66CDED1D"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w:t>
            </w:r>
          </w:p>
        </w:tc>
        <w:tc>
          <w:tcPr>
            <w:tcW w:w="795" w:type="dxa"/>
            <w:tcBorders>
              <w:top w:val="single" w:sz="4" w:space="0" w:color="95B3D7"/>
              <w:left w:val="nil"/>
              <w:bottom w:val="single" w:sz="8" w:space="0" w:color="FFFFFF"/>
              <w:right w:val="single" w:sz="4" w:space="0" w:color="FFFFFF"/>
            </w:tcBorders>
            <w:shd w:val="clear" w:color="000000" w:fill="FFFFFF"/>
            <w:noWrap/>
            <w:hideMark/>
          </w:tcPr>
          <w:p w14:paraId="050E56B1"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26.478</w:t>
            </w:r>
          </w:p>
        </w:tc>
      </w:tr>
      <w:tr w:rsidR="001E6E3A" w:rsidRPr="001E6E3A" w14:paraId="6E9FBE56" w14:textId="77777777" w:rsidTr="005E4009">
        <w:trPr>
          <w:trHeight w:val="253"/>
        </w:trPr>
        <w:tc>
          <w:tcPr>
            <w:tcW w:w="434" w:type="dxa"/>
            <w:tcBorders>
              <w:top w:val="nil"/>
              <w:left w:val="single" w:sz="4" w:space="0" w:color="FFFFFF"/>
              <w:bottom w:val="nil"/>
              <w:right w:val="single" w:sz="4" w:space="0" w:color="FFFFFF"/>
            </w:tcBorders>
            <w:shd w:val="clear" w:color="000000" w:fill="FFFFFF"/>
            <w:hideMark/>
          </w:tcPr>
          <w:p w14:paraId="03DC10BE" w14:textId="77777777" w:rsidR="001E6E3A" w:rsidRPr="001E6E3A" w:rsidRDefault="001E6E3A" w:rsidP="001E6E3A">
            <w:pPr>
              <w:spacing w:before="0" w:after="0" w:line="240" w:lineRule="auto"/>
              <w:jc w:val="center"/>
              <w:rPr>
                <w:rFonts w:ascii="Calibri" w:eastAsia="Times New Roman" w:hAnsi="Calibri" w:cs="Calibri"/>
                <w:sz w:val="16"/>
                <w:szCs w:val="16"/>
                <w:lang w:val="en-US"/>
              </w:rPr>
            </w:pPr>
            <w:r w:rsidRPr="001E6E3A">
              <w:rPr>
                <w:rFonts w:ascii="Calibri" w:eastAsia="Times New Roman" w:hAnsi="Calibri" w:cs="Calibri"/>
                <w:sz w:val="16"/>
                <w:szCs w:val="16"/>
                <w:lang w:val="en-US"/>
              </w:rPr>
              <w:t>10</w:t>
            </w:r>
          </w:p>
        </w:tc>
        <w:tc>
          <w:tcPr>
            <w:tcW w:w="3039" w:type="dxa"/>
            <w:tcBorders>
              <w:top w:val="single" w:sz="4" w:space="0" w:color="95B3D7"/>
              <w:left w:val="nil"/>
              <w:bottom w:val="nil"/>
              <w:right w:val="single" w:sz="4" w:space="0" w:color="FFFFFF"/>
            </w:tcBorders>
            <w:shd w:val="clear" w:color="000000" w:fill="FFFFFF"/>
            <w:hideMark/>
          </w:tcPr>
          <w:p w14:paraId="2C7B0318"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AMENAJAREA DOMENIULUI PUBLIC 4 (A.D.P. 4) S.A.</w:t>
            </w:r>
          </w:p>
        </w:tc>
        <w:tc>
          <w:tcPr>
            <w:tcW w:w="569" w:type="dxa"/>
            <w:tcBorders>
              <w:top w:val="single" w:sz="4" w:space="0" w:color="95B3D7"/>
              <w:left w:val="nil"/>
              <w:bottom w:val="nil"/>
              <w:right w:val="single" w:sz="4" w:space="0" w:color="FFFFFF"/>
            </w:tcBorders>
            <w:shd w:val="clear" w:color="000000" w:fill="FFFFFF"/>
            <w:hideMark/>
          </w:tcPr>
          <w:p w14:paraId="063280CC"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B</w:t>
            </w:r>
          </w:p>
        </w:tc>
        <w:tc>
          <w:tcPr>
            <w:tcW w:w="2338" w:type="dxa"/>
            <w:tcBorders>
              <w:top w:val="single" w:sz="4" w:space="0" w:color="95B3D7"/>
              <w:left w:val="nil"/>
              <w:bottom w:val="nil"/>
              <w:right w:val="single" w:sz="4" w:space="0" w:color="FFFFFF"/>
            </w:tcBorders>
            <w:shd w:val="clear" w:color="000000" w:fill="FFFFFF"/>
            <w:hideMark/>
          </w:tcPr>
          <w:p w14:paraId="5A83B3C0" w14:textId="77777777" w:rsidR="001E6E3A" w:rsidRPr="001E6E3A" w:rsidRDefault="001E6E3A" w:rsidP="001E6E3A">
            <w:pPr>
              <w:spacing w:before="0" w:after="0" w:line="240" w:lineRule="auto"/>
              <w:rPr>
                <w:rFonts w:ascii="Calibri" w:eastAsia="Times New Roman" w:hAnsi="Calibri" w:cs="Calibri"/>
                <w:sz w:val="14"/>
                <w:szCs w:val="16"/>
                <w:lang w:val="en-US"/>
              </w:rPr>
            </w:pPr>
            <w:r w:rsidRPr="001E6E3A">
              <w:rPr>
                <w:rFonts w:ascii="Calibri" w:eastAsia="Times New Roman" w:hAnsi="Calibri" w:cs="Calibri"/>
                <w:sz w:val="14"/>
                <w:szCs w:val="16"/>
                <w:lang w:val="en-US"/>
              </w:rPr>
              <w:t>Activitati de servicii administrative si activitati de servicii suport</w:t>
            </w:r>
          </w:p>
        </w:tc>
        <w:tc>
          <w:tcPr>
            <w:tcW w:w="976" w:type="dxa"/>
            <w:tcBorders>
              <w:top w:val="single" w:sz="4" w:space="0" w:color="95B3D7"/>
              <w:left w:val="nil"/>
              <w:bottom w:val="nil"/>
              <w:right w:val="single" w:sz="4" w:space="0" w:color="FFFFFF"/>
            </w:tcBorders>
            <w:shd w:val="clear" w:color="000000" w:fill="FFFFFF"/>
            <w:noWrap/>
            <w:hideMark/>
          </w:tcPr>
          <w:p w14:paraId="0993BBF2"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21.622</w:t>
            </w:r>
          </w:p>
        </w:tc>
        <w:tc>
          <w:tcPr>
            <w:tcW w:w="905" w:type="dxa"/>
            <w:tcBorders>
              <w:top w:val="single" w:sz="4" w:space="0" w:color="95B3D7"/>
              <w:left w:val="nil"/>
              <w:bottom w:val="nil"/>
              <w:right w:val="single" w:sz="4" w:space="0" w:color="FFFFFF"/>
            </w:tcBorders>
            <w:shd w:val="clear" w:color="000000" w:fill="FFFFFF"/>
            <w:noWrap/>
            <w:hideMark/>
          </w:tcPr>
          <w:p w14:paraId="039DFBAC"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6.301</w:t>
            </w:r>
          </w:p>
        </w:tc>
        <w:tc>
          <w:tcPr>
            <w:tcW w:w="795" w:type="dxa"/>
            <w:tcBorders>
              <w:top w:val="single" w:sz="4" w:space="0" w:color="95B3D7"/>
              <w:left w:val="nil"/>
              <w:bottom w:val="nil"/>
              <w:right w:val="single" w:sz="4" w:space="0" w:color="FFFFFF"/>
            </w:tcBorders>
            <w:shd w:val="clear" w:color="000000" w:fill="FFFFFF"/>
            <w:noWrap/>
            <w:hideMark/>
          </w:tcPr>
          <w:p w14:paraId="5ECCB745"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15.321</w:t>
            </w:r>
          </w:p>
        </w:tc>
      </w:tr>
      <w:tr w:rsidR="001E6E3A" w:rsidRPr="001E6E3A" w14:paraId="5D189222" w14:textId="77777777" w:rsidTr="005E4009">
        <w:trPr>
          <w:trHeight w:val="129"/>
        </w:trPr>
        <w:tc>
          <w:tcPr>
            <w:tcW w:w="6380" w:type="dxa"/>
            <w:gridSpan w:val="4"/>
            <w:tcBorders>
              <w:top w:val="single" w:sz="4" w:space="0" w:color="95B3D7"/>
              <w:left w:val="single" w:sz="4" w:space="0" w:color="FFFFFF"/>
              <w:bottom w:val="single" w:sz="4" w:space="0" w:color="95B3D7"/>
              <w:right w:val="single" w:sz="4" w:space="0" w:color="FFFFFF"/>
            </w:tcBorders>
            <w:shd w:val="clear" w:color="000000" w:fill="FFFFFF"/>
            <w:hideMark/>
          </w:tcPr>
          <w:p w14:paraId="0155D525"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Total primele zece ÎPL care înregistrează plăți restante în anul 2020</w:t>
            </w:r>
          </w:p>
        </w:tc>
        <w:tc>
          <w:tcPr>
            <w:tcW w:w="976" w:type="dxa"/>
            <w:tcBorders>
              <w:top w:val="single" w:sz="4" w:space="0" w:color="95B3D7"/>
              <w:left w:val="nil"/>
              <w:bottom w:val="single" w:sz="4" w:space="0" w:color="95B3D7"/>
              <w:right w:val="single" w:sz="4" w:space="0" w:color="FFFFFF"/>
            </w:tcBorders>
            <w:shd w:val="clear" w:color="000000" w:fill="FFFFFF"/>
            <w:noWrap/>
            <w:hideMark/>
          </w:tcPr>
          <w:p w14:paraId="54DE8F22"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1.546.650</w:t>
            </w:r>
          </w:p>
        </w:tc>
        <w:tc>
          <w:tcPr>
            <w:tcW w:w="905" w:type="dxa"/>
            <w:tcBorders>
              <w:top w:val="single" w:sz="4" w:space="0" w:color="95B3D7"/>
              <w:left w:val="nil"/>
              <w:bottom w:val="single" w:sz="4" w:space="0" w:color="95B3D7"/>
              <w:right w:val="single" w:sz="4" w:space="0" w:color="FFFFFF"/>
            </w:tcBorders>
            <w:shd w:val="clear" w:color="000000" w:fill="FFFFFF"/>
            <w:noWrap/>
            <w:hideMark/>
          </w:tcPr>
          <w:p w14:paraId="7925E903"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1.140.353</w:t>
            </w:r>
          </w:p>
        </w:tc>
        <w:tc>
          <w:tcPr>
            <w:tcW w:w="795" w:type="dxa"/>
            <w:tcBorders>
              <w:top w:val="single" w:sz="4" w:space="0" w:color="95B3D7"/>
              <w:left w:val="nil"/>
              <w:bottom w:val="single" w:sz="4" w:space="0" w:color="95B3D7"/>
              <w:right w:val="single" w:sz="4" w:space="0" w:color="FFFFFF"/>
            </w:tcBorders>
            <w:shd w:val="clear" w:color="000000" w:fill="FFFFFF"/>
            <w:noWrap/>
            <w:hideMark/>
          </w:tcPr>
          <w:p w14:paraId="3E68FF57"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406.295</w:t>
            </w:r>
          </w:p>
        </w:tc>
      </w:tr>
      <w:tr w:rsidR="001E6E3A" w:rsidRPr="001E6E3A" w14:paraId="0198EA07" w14:textId="77777777" w:rsidTr="005E4009">
        <w:trPr>
          <w:trHeight w:val="129"/>
        </w:trPr>
        <w:tc>
          <w:tcPr>
            <w:tcW w:w="6380" w:type="dxa"/>
            <w:gridSpan w:val="4"/>
            <w:tcBorders>
              <w:top w:val="single" w:sz="4" w:space="0" w:color="95B3D7"/>
              <w:left w:val="single" w:sz="4" w:space="0" w:color="FFFFFF"/>
              <w:bottom w:val="single" w:sz="4" w:space="0" w:color="95B3D7"/>
              <w:right w:val="single" w:sz="4" w:space="0" w:color="FFFFFF"/>
            </w:tcBorders>
            <w:shd w:val="clear" w:color="000000" w:fill="FFFFFF"/>
            <w:hideMark/>
          </w:tcPr>
          <w:p w14:paraId="12AB00EA" w14:textId="77777777" w:rsidR="001E6E3A" w:rsidRPr="001E6E3A" w:rsidRDefault="001E6E3A" w:rsidP="001E6E3A">
            <w:pPr>
              <w:spacing w:before="0" w:after="0" w:line="240" w:lineRule="auto"/>
              <w:rPr>
                <w:rFonts w:ascii="Calibri" w:eastAsia="Times New Roman" w:hAnsi="Calibri" w:cs="Calibri"/>
                <w:sz w:val="16"/>
                <w:szCs w:val="16"/>
                <w:lang w:val="en-US"/>
              </w:rPr>
            </w:pPr>
            <w:r w:rsidRPr="001E6E3A">
              <w:rPr>
                <w:rFonts w:ascii="Calibri" w:eastAsia="Times New Roman" w:hAnsi="Calibri" w:cs="Calibri"/>
                <w:sz w:val="16"/>
                <w:szCs w:val="16"/>
                <w:lang w:val="en-US"/>
              </w:rPr>
              <w:t>Total general plăți restante înregistrate de 1.238 ÎPL active în anul 2020</w:t>
            </w:r>
          </w:p>
        </w:tc>
        <w:tc>
          <w:tcPr>
            <w:tcW w:w="976" w:type="dxa"/>
            <w:tcBorders>
              <w:top w:val="nil"/>
              <w:left w:val="nil"/>
              <w:bottom w:val="single" w:sz="4" w:space="0" w:color="95B3D7"/>
              <w:right w:val="single" w:sz="4" w:space="0" w:color="FFFFFF"/>
            </w:tcBorders>
            <w:shd w:val="clear" w:color="000000" w:fill="FFFFFF"/>
            <w:noWrap/>
            <w:hideMark/>
          </w:tcPr>
          <w:p w14:paraId="454ECD53"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1.957.217</w:t>
            </w:r>
          </w:p>
        </w:tc>
        <w:tc>
          <w:tcPr>
            <w:tcW w:w="905" w:type="dxa"/>
            <w:tcBorders>
              <w:top w:val="nil"/>
              <w:left w:val="nil"/>
              <w:bottom w:val="single" w:sz="4" w:space="0" w:color="95B3D7"/>
              <w:right w:val="single" w:sz="4" w:space="0" w:color="FFFFFF"/>
            </w:tcBorders>
            <w:shd w:val="clear" w:color="000000" w:fill="FFFFFF"/>
            <w:noWrap/>
            <w:hideMark/>
          </w:tcPr>
          <w:p w14:paraId="7B27CB74"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1.324.067</w:t>
            </w:r>
          </w:p>
        </w:tc>
        <w:tc>
          <w:tcPr>
            <w:tcW w:w="795" w:type="dxa"/>
            <w:tcBorders>
              <w:top w:val="nil"/>
              <w:left w:val="nil"/>
              <w:bottom w:val="single" w:sz="4" w:space="0" w:color="95B3D7"/>
              <w:right w:val="single" w:sz="4" w:space="0" w:color="FFFFFF"/>
            </w:tcBorders>
            <w:shd w:val="clear" w:color="000000" w:fill="FFFFFF"/>
            <w:noWrap/>
            <w:hideMark/>
          </w:tcPr>
          <w:p w14:paraId="40B52D55" w14:textId="77777777" w:rsidR="001E6E3A" w:rsidRPr="001E6E3A" w:rsidRDefault="001E6E3A" w:rsidP="001E6E3A">
            <w:pPr>
              <w:spacing w:before="0" w:after="0" w:line="240" w:lineRule="auto"/>
              <w:jc w:val="right"/>
              <w:rPr>
                <w:rFonts w:ascii="Calibri" w:eastAsia="Times New Roman" w:hAnsi="Calibri" w:cs="Calibri"/>
                <w:sz w:val="16"/>
                <w:szCs w:val="16"/>
                <w:lang w:val="en-US"/>
              </w:rPr>
            </w:pPr>
            <w:r w:rsidRPr="001E6E3A">
              <w:rPr>
                <w:rFonts w:ascii="Calibri" w:eastAsia="Times New Roman" w:hAnsi="Calibri" w:cs="Calibri"/>
                <w:sz w:val="16"/>
                <w:szCs w:val="16"/>
                <w:lang w:val="en-US"/>
              </w:rPr>
              <w:t>633.150</w:t>
            </w:r>
          </w:p>
        </w:tc>
      </w:tr>
      <w:tr w:rsidR="001E6E3A" w:rsidRPr="001E6E3A" w14:paraId="38C66EBB" w14:textId="77777777" w:rsidTr="005E4009">
        <w:trPr>
          <w:trHeight w:val="221"/>
        </w:trPr>
        <w:tc>
          <w:tcPr>
            <w:tcW w:w="6380" w:type="dxa"/>
            <w:gridSpan w:val="4"/>
            <w:tcBorders>
              <w:top w:val="single" w:sz="4" w:space="0" w:color="95B3D7"/>
              <w:left w:val="single" w:sz="4" w:space="0" w:color="FFFFFF"/>
              <w:bottom w:val="single" w:sz="4" w:space="0" w:color="95B3D7"/>
              <w:right w:val="single" w:sz="4" w:space="0" w:color="FFFFFF"/>
            </w:tcBorders>
            <w:shd w:val="clear" w:color="000000" w:fill="FFFFFF"/>
            <w:hideMark/>
          </w:tcPr>
          <w:p w14:paraId="6256C158" w14:textId="77777777" w:rsidR="001E6E3A" w:rsidRPr="001E6E3A" w:rsidRDefault="001E6E3A" w:rsidP="001E6E3A">
            <w:pPr>
              <w:spacing w:before="0" w:after="0" w:line="240" w:lineRule="auto"/>
              <w:rPr>
                <w:rFonts w:ascii="Calibri" w:eastAsia="Times New Roman" w:hAnsi="Calibri" w:cs="Calibri"/>
                <w:bCs/>
                <w:color w:val="0F6FC6" w:themeColor="accent1"/>
                <w:sz w:val="16"/>
                <w:szCs w:val="16"/>
                <w:lang w:val="en-US"/>
              </w:rPr>
            </w:pPr>
            <w:r w:rsidRPr="001E6E3A">
              <w:rPr>
                <w:rFonts w:ascii="Calibri" w:eastAsia="Times New Roman" w:hAnsi="Calibri" w:cs="Calibri"/>
                <w:bCs/>
                <w:color w:val="0F6FC6" w:themeColor="accent1"/>
                <w:sz w:val="16"/>
                <w:szCs w:val="16"/>
                <w:lang w:val="en-US"/>
              </w:rPr>
              <w:t>Pondere primele zece ÎPL care înregistrează plăți restante în total general ÎPL active</w:t>
            </w:r>
          </w:p>
        </w:tc>
        <w:tc>
          <w:tcPr>
            <w:tcW w:w="976" w:type="dxa"/>
            <w:tcBorders>
              <w:top w:val="nil"/>
              <w:left w:val="nil"/>
              <w:bottom w:val="single" w:sz="4" w:space="0" w:color="95B3D7"/>
              <w:right w:val="single" w:sz="4" w:space="0" w:color="FFFFFF"/>
            </w:tcBorders>
            <w:shd w:val="clear" w:color="auto" w:fill="auto"/>
            <w:noWrap/>
            <w:hideMark/>
          </w:tcPr>
          <w:p w14:paraId="35442CA8" w14:textId="77777777" w:rsidR="001E6E3A" w:rsidRPr="001E6E3A" w:rsidRDefault="001E6E3A" w:rsidP="001E6E3A">
            <w:pPr>
              <w:spacing w:before="0" w:after="0" w:line="240" w:lineRule="auto"/>
              <w:jc w:val="right"/>
              <w:rPr>
                <w:rFonts w:ascii="Calibri" w:eastAsia="Times New Roman" w:hAnsi="Calibri" w:cs="Calibri"/>
                <w:bCs/>
                <w:color w:val="0F6FC6" w:themeColor="accent1"/>
                <w:sz w:val="16"/>
                <w:szCs w:val="16"/>
                <w:lang w:val="en-US"/>
              </w:rPr>
            </w:pPr>
            <w:r w:rsidRPr="001E6E3A">
              <w:rPr>
                <w:rFonts w:ascii="Calibri" w:eastAsia="Times New Roman" w:hAnsi="Calibri" w:cs="Calibri"/>
                <w:bCs/>
                <w:color w:val="0F6FC6" w:themeColor="accent1"/>
                <w:sz w:val="16"/>
                <w:szCs w:val="16"/>
                <w:lang w:val="en-US"/>
              </w:rPr>
              <w:t>79,02%</w:t>
            </w:r>
          </w:p>
        </w:tc>
        <w:tc>
          <w:tcPr>
            <w:tcW w:w="905" w:type="dxa"/>
            <w:tcBorders>
              <w:top w:val="nil"/>
              <w:left w:val="nil"/>
              <w:bottom w:val="single" w:sz="4" w:space="0" w:color="95B3D7"/>
              <w:right w:val="single" w:sz="4" w:space="0" w:color="FFFFFF"/>
            </w:tcBorders>
            <w:shd w:val="clear" w:color="auto" w:fill="auto"/>
            <w:noWrap/>
            <w:hideMark/>
          </w:tcPr>
          <w:p w14:paraId="1371E640" w14:textId="77777777" w:rsidR="001E6E3A" w:rsidRPr="001E6E3A" w:rsidRDefault="001E6E3A" w:rsidP="001E6E3A">
            <w:pPr>
              <w:spacing w:before="0" w:after="0" w:line="240" w:lineRule="auto"/>
              <w:jc w:val="right"/>
              <w:rPr>
                <w:rFonts w:ascii="Calibri" w:eastAsia="Times New Roman" w:hAnsi="Calibri" w:cs="Calibri"/>
                <w:bCs/>
                <w:color w:val="0F6FC6" w:themeColor="accent1"/>
                <w:sz w:val="16"/>
                <w:szCs w:val="16"/>
                <w:lang w:val="en-US"/>
              </w:rPr>
            </w:pPr>
            <w:r w:rsidRPr="001E6E3A">
              <w:rPr>
                <w:rFonts w:ascii="Calibri" w:eastAsia="Times New Roman" w:hAnsi="Calibri" w:cs="Calibri"/>
                <w:bCs/>
                <w:color w:val="0F6FC6" w:themeColor="accent1"/>
                <w:sz w:val="16"/>
                <w:szCs w:val="16"/>
                <w:lang w:val="en-US"/>
              </w:rPr>
              <w:t>86,13%</w:t>
            </w:r>
          </w:p>
        </w:tc>
        <w:tc>
          <w:tcPr>
            <w:tcW w:w="795" w:type="dxa"/>
            <w:tcBorders>
              <w:top w:val="nil"/>
              <w:left w:val="nil"/>
              <w:bottom w:val="single" w:sz="4" w:space="0" w:color="95B3D7"/>
              <w:right w:val="single" w:sz="4" w:space="0" w:color="FFFFFF"/>
            </w:tcBorders>
            <w:shd w:val="clear" w:color="auto" w:fill="auto"/>
            <w:noWrap/>
            <w:hideMark/>
          </w:tcPr>
          <w:p w14:paraId="139AE817" w14:textId="77777777" w:rsidR="001E6E3A" w:rsidRPr="001E6E3A" w:rsidRDefault="001E6E3A" w:rsidP="001E6E3A">
            <w:pPr>
              <w:spacing w:before="0" w:after="0" w:line="240" w:lineRule="auto"/>
              <w:jc w:val="right"/>
              <w:rPr>
                <w:rFonts w:ascii="Calibri" w:eastAsia="Times New Roman" w:hAnsi="Calibri" w:cs="Calibri"/>
                <w:bCs/>
                <w:color w:val="0F6FC6" w:themeColor="accent1"/>
                <w:sz w:val="16"/>
                <w:szCs w:val="16"/>
                <w:lang w:val="en-US"/>
              </w:rPr>
            </w:pPr>
            <w:r w:rsidRPr="001E6E3A">
              <w:rPr>
                <w:rFonts w:ascii="Calibri" w:eastAsia="Times New Roman" w:hAnsi="Calibri" w:cs="Calibri"/>
                <w:bCs/>
                <w:color w:val="0F6FC6" w:themeColor="accent1"/>
                <w:sz w:val="16"/>
                <w:szCs w:val="16"/>
                <w:lang w:val="en-US"/>
              </w:rPr>
              <w:t>64,17%</w:t>
            </w:r>
          </w:p>
        </w:tc>
      </w:tr>
    </w:tbl>
    <w:p w14:paraId="2F92D480" w14:textId="77777777" w:rsidR="00F83DE8" w:rsidRPr="00D95C57" w:rsidRDefault="00F83DE8" w:rsidP="00F83DE8">
      <w:pPr>
        <w:jc w:val="both"/>
        <w:rPr>
          <w:rFonts w:asciiTheme="majorHAnsi" w:eastAsia="Andale Sans UI" w:hAnsiTheme="majorHAnsi" w:cs="Times New Roman"/>
          <w:noProof/>
          <w:kern w:val="3"/>
          <w:lang w:eastAsia="es-ES" w:bidi="en-US"/>
        </w:rPr>
      </w:pPr>
      <w:r w:rsidRPr="00D95C57">
        <w:rPr>
          <w:rFonts w:asciiTheme="majorHAnsi" w:eastAsia="Andale Sans UI" w:hAnsiTheme="majorHAnsi" w:cs="Times New Roman"/>
          <w:noProof/>
          <w:kern w:val="3"/>
          <w:lang w:eastAsia="es-ES" w:bidi="en-US"/>
        </w:rPr>
        <w:t>Din primele 10 ÎPL active car</w:t>
      </w:r>
      <w:r w:rsidR="008D0240">
        <w:rPr>
          <w:rFonts w:asciiTheme="majorHAnsi" w:eastAsia="Andale Sans UI" w:hAnsiTheme="majorHAnsi" w:cs="Times New Roman"/>
          <w:noProof/>
          <w:kern w:val="3"/>
          <w:lang w:eastAsia="es-ES" w:bidi="en-US"/>
        </w:rPr>
        <w:t xml:space="preserve">e înregistrează plăți restante </w:t>
      </w:r>
      <w:r w:rsidR="001E6E3A">
        <w:rPr>
          <w:rFonts w:asciiTheme="majorHAnsi" w:eastAsia="Andale Sans UI" w:hAnsiTheme="majorHAnsi" w:cs="Times New Roman"/>
          <w:noProof/>
          <w:kern w:val="3"/>
          <w:lang w:eastAsia="es-ES" w:bidi="en-US"/>
        </w:rPr>
        <w:t>3</w:t>
      </w:r>
      <w:r w:rsidRPr="00D95C57">
        <w:rPr>
          <w:rFonts w:asciiTheme="majorHAnsi" w:eastAsia="Andale Sans UI" w:hAnsiTheme="majorHAnsi" w:cs="Times New Roman"/>
          <w:noProof/>
          <w:kern w:val="3"/>
          <w:lang w:eastAsia="es-ES" w:bidi="en-US"/>
        </w:rPr>
        <w:t xml:space="preserve"> ÎPL activează în domeniul „</w:t>
      </w:r>
      <w:r w:rsidR="00502707" w:rsidRPr="00502707">
        <w:rPr>
          <w:rFonts w:asciiTheme="majorHAnsi" w:eastAsia="Andale Sans UI" w:hAnsiTheme="majorHAnsi" w:cs="Times New Roman"/>
          <w:noProof/>
          <w:kern w:val="3"/>
          <w:lang w:eastAsia="es-ES" w:bidi="en-US"/>
        </w:rPr>
        <w:t>Transport si depozitare</w:t>
      </w:r>
      <w:r w:rsidR="00502707">
        <w:rPr>
          <w:rFonts w:asciiTheme="majorHAnsi" w:eastAsia="Andale Sans UI" w:hAnsiTheme="majorHAnsi" w:cs="Times New Roman"/>
          <w:noProof/>
          <w:kern w:val="3"/>
          <w:lang w:eastAsia="es-ES" w:bidi="en-US"/>
        </w:rPr>
        <w:t>” și 2</w:t>
      </w:r>
      <w:r w:rsidR="003A78D3">
        <w:rPr>
          <w:rFonts w:asciiTheme="majorHAnsi" w:eastAsia="Andale Sans UI" w:hAnsiTheme="majorHAnsi" w:cs="Times New Roman"/>
          <w:noProof/>
          <w:kern w:val="3"/>
          <w:lang w:eastAsia="es-ES" w:bidi="en-US"/>
        </w:rPr>
        <w:t xml:space="preserve"> în domeniul „</w:t>
      </w:r>
      <w:r w:rsidR="00502707" w:rsidRPr="00502707">
        <w:rPr>
          <w:rFonts w:asciiTheme="majorHAnsi" w:eastAsia="Andale Sans UI" w:hAnsiTheme="majorHAnsi" w:cs="Times New Roman"/>
          <w:noProof/>
          <w:kern w:val="3"/>
          <w:lang w:eastAsia="es-ES" w:bidi="en-US"/>
        </w:rPr>
        <w:t>Produc</w:t>
      </w:r>
      <w:r w:rsidR="00502707">
        <w:rPr>
          <w:rFonts w:asciiTheme="majorHAnsi" w:eastAsia="Andale Sans UI" w:hAnsiTheme="majorHAnsi" w:cs="Times New Roman"/>
          <w:noProof/>
          <w:kern w:val="3"/>
          <w:lang w:eastAsia="es-ES" w:bidi="en-US"/>
        </w:rPr>
        <w:t>ț</w:t>
      </w:r>
      <w:r w:rsidR="00502707" w:rsidRPr="00502707">
        <w:rPr>
          <w:rFonts w:asciiTheme="majorHAnsi" w:eastAsia="Andale Sans UI" w:hAnsiTheme="majorHAnsi" w:cs="Times New Roman"/>
          <w:noProof/>
          <w:kern w:val="3"/>
          <w:lang w:eastAsia="es-ES" w:bidi="en-US"/>
        </w:rPr>
        <w:t>i</w:t>
      </w:r>
      <w:r w:rsidR="00502707">
        <w:rPr>
          <w:rFonts w:asciiTheme="majorHAnsi" w:eastAsia="Andale Sans UI" w:hAnsiTheme="majorHAnsi" w:cs="Times New Roman"/>
          <w:noProof/>
          <w:kern w:val="3"/>
          <w:lang w:eastAsia="es-ES" w:bidi="en-US"/>
        </w:rPr>
        <w:t>ei</w:t>
      </w:r>
      <w:r w:rsidR="00502707" w:rsidRPr="00502707">
        <w:rPr>
          <w:rFonts w:asciiTheme="majorHAnsi" w:eastAsia="Andale Sans UI" w:hAnsiTheme="majorHAnsi" w:cs="Times New Roman"/>
          <w:noProof/>
          <w:kern w:val="3"/>
          <w:lang w:eastAsia="es-ES" w:bidi="en-US"/>
        </w:rPr>
        <w:t xml:space="preserve"> </w:t>
      </w:r>
      <w:r w:rsidR="00502707">
        <w:rPr>
          <w:rFonts w:asciiTheme="majorHAnsi" w:eastAsia="Andale Sans UI" w:hAnsiTheme="majorHAnsi" w:cs="Times New Roman"/>
          <w:noProof/>
          <w:kern w:val="3"/>
          <w:lang w:eastAsia="es-ES" w:bidi="en-US"/>
        </w:rPr>
        <w:t>ș</w:t>
      </w:r>
      <w:r w:rsidR="00502707" w:rsidRPr="00502707">
        <w:rPr>
          <w:rFonts w:asciiTheme="majorHAnsi" w:eastAsia="Andale Sans UI" w:hAnsiTheme="majorHAnsi" w:cs="Times New Roman"/>
          <w:noProof/>
          <w:kern w:val="3"/>
          <w:lang w:eastAsia="es-ES" w:bidi="en-US"/>
        </w:rPr>
        <w:t>i furniz</w:t>
      </w:r>
      <w:r w:rsidR="00502707">
        <w:rPr>
          <w:rFonts w:asciiTheme="majorHAnsi" w:eastAsia="Andale Sans UI" w:hAnsiTheme="majorHAnsi" w:cs="Times New Roman"/>
          <w:noProof/>
          <w:kern w:val="3"/>
          <w:lang w:eastAsia="es-ES" w:bidi="en-US"/>
        </w:rPr>
        <w:t>ă</w:t>
      </w:r>
      <w:r w:rsidR="00502707" w:rsidRPr="00502707">
        <w:rPr>
          <w:rFonts w:asciiTheme="majorHAnsi" w:eastAsia="Andale Sans UI" w:hAnsiTheme="majorHAnsi" w:cs="Times New Roman"/>
          <w:noProof/>
          <w:kern w:val="3"/>
          <w:lang w:eastAsia="es-ES" w:bidi="en-US"/>
        </w:rPr>
        <w:t>r</w:t>
      </w:r>
      <w:r w:rsidR="00502707">
        <w:rPr>
          <w:rFonts w:asciiTheme="majorHAnsi" w:eastAsia="Andale Sans UI" w:hAnsiTheme="majorHAnsi" w:cs="Times New Roman"/>
          <w:noProof/>
          <w:kern w:val="3"/>
          <w:lang w:eastAsia="es-ES" w:bidi="en-US"/>
        </w:rPr>
        <w:t>ii</w:t>
      </w:r>
      <w:r w:rsidR="00502707" w:rsidRPr="00502707">
        <w:rPr>
          <w:rFonts w:asciiTheme="majorHAnsi" w:eastAsia="Andale Sans UI" w:hAnsiTheme="majorHAnsi" w:cs="Times New Roman"/>
          <w:noProof/>
          <w:kern w:val="3"/>
          <w:lang w:eastAsia="es-ES" w:bidi="en-US"/>
        </w:rPr>
        <w:t xml:space="preserve"> de energie electric</w:t>
      </w:r>
      <w:r w:rsidR="00502707">
        <w:rPr>
          <w:rFonts w:asciiTheme="majorHAnsi" w:eastAsia="Andale Sans UI" w:hAnsiTheme="majorHAnsi" w:cs="Times New Roman"/>
          <w:noProof/>
          <w:kern w:val="3"/>
          <w:lang w:eastAsia="es-ES" w:bidi="en-US"/>
        </w:rPr>
        <w:t>ă</w:t>
      </w:r>
      <w:r w:rsidR="00502707" w:rsidRPr="00502707">
        <w:rPr>
          <w:rFonts w:asciiTheme="majorHAnsi" w:eastAsia="Andale Sans UI" w:hAnsiTheme="majorHAnsi" w:cs="Times New Roman"/>
          <w:noProof/>
          <w:kern w:val="3"/>
          <w:lang w:eastAsia="es-ES" w:bidi="en-US"/>
        </w:rPr>
        <w:t xml:space="preserve"> </w:t>
      </w:r>
      <w:r w:rsidR="00502707">
        <w:rPr>
          <w:rFonts w:asciiTheme="majorHAnsi" w:eastAsia="Andale Sans UI" w:hAnsiTheme="majorHAnsi" w:cs="Times New Roman"/>
          <w:noProof/>
          <w:kern w:val="3"/>
          <w:lang w:eastAsia="es-ES" w:bidi="en-US"/>
        </w:rPr>
        <w:t>ș</w:t>
      </w:r>
      <w:r w:rsidR="00502707" w:rsidRPr="00502707">
        <w:rPr>
          <w:rFonts w:asciiTheme="majorHAnsi" w:eastAsia="Andale Sans UI" w:hAnsiTheme="majorHAnsi" w:cs="Times New Roman"/>
          <w:noProof/>
          <w:kern w:val="3"/>
          <w:lang w:eastAsia="es-ES" w:bidi="en-US"/>
        </w:rPr>
        <w:t>i termic</w:t>
      </w:r>
      <w:r w:rsidR="00502707">
        <w:rPr>
          <w:rFonts w:asciiTheme="majorHAnsi" w:eastAsia="Andale Sans UI" w:hAnsiTheme="majorHAnsi" w:cs="Times New Roman"/>
          <w:noProof/>
          <w:kern w:val="3"/>
          <w:lang w:eastAsia="es-ES" w:bidi="en-US"/>
        </w:rPr>
        <w:t>ă</w:t>
      </w:r>
      <w:r w:rsidR="00502707" w:rsidRPr="00502707">
        <w:rPr>
          <w:rFonts w:asciiTheme="majorHAnsi" w:eastAsia="Andale Sans UI" w:hAnsiTheme="majorHAnsi" w:cs="Times New Roman"/>
          <w:noProof/>
          <w:kern w:val="3"/>
          <w:lang w:eastAsia="es-ES" w:bidi="en-US"/>
        </w:rPr>
        <w:t>, gaze, ap</w:t>
      </w:r>
      <w:r w:rsidR="00502707">
        <w:rPr>
          <w:rFonts w:asciiTheme="majorHAnsi" w:eastAsia="Andale Sans UI" w:hAnsiTheme="majorHAnsi" w:cs="Times New Roman"/>
          <w:noProof/>
          <w:kern w:val="3"/>
          <w:lang w:eastAsia="es-ES" w:bidi="en-US"/>
        </w:rPr>
        <w:t>ă</w:t>
      </w:r>
      <w:r w:rsidR="00502707" w:rsidRPr="00502707">
        <w:rPr>
          <w:rFonts w:asciiTheme="majorHAnsi" w:eastAsia="Andale Sans UI" w:hAnsiTheme="majorHAnsi" w:cs="Times New Roman"/>
          <w:noProof/>
          <w:kern w:val="3"/>
          <w:lang w:eastAsia="es-ES" w:bidi="en-US"/>
        </w:rPr>
        <w:t xml:space="preserve"> cald</w:t>
      </w:r>
      <w:r w:rsidR="00502707">
        <w:rPr>
          <w:rFonts w:asciiTheme="majorHAnsi" w:eastAsia="Andale Sans UI" w:hAnsiTheme="majorHAnsi" w:cs="Times New Roman"/>
          <w:noProof/>
          <w:kern w:val="3"/>
          <w:lang w:eastAsia="es-ES" w:bidi="en-US"/>
        </w:rPr>
        <w:t>ă</w:t>
      </w:r>
      <w:r w:rsidR="00502707" w:rsidRPr="00502707">
        <w:rPr>
          <w:rFonts w:asciiTheme="majorHAnsi" w:eastAsia="Andale Sans UI" w:hAnsiTheme="majorHAnsi" w:cs="Times New Roman"/>
          <w:noProof/>
          <w:kern w:val="3"/>
          <w:lang w:eastAsia="es-ES" w:bidi="en-US"/>
        </w:rPr>
        <w:t xml:space="preserve"> </w:t>
      </w:r>
      <w:r w:rsidR="00502707">
        <w:rPr>
          <w:rFonts w:asciiTheme="majorHAnsi" w:eastAsia="Andale Sans UI" w:hAnsiTheme="majorHAnsi" w:cs="Times New Roman"/>
          <w:noProof/>
          <w:kern w:val="3"/>
          <w:lang w:eastAsia="es-ES" w:bidi="en-US"/>
        </w:rPr>
        <w:t>ș</w:t>
      </w:r>
      <w:r w:rsidR="00502707" w:rsidRPr="00502707">
        <w:rPr>
          <w:rFonts w:asciiTheme="majorHAnsi" w:eastAsia="Andale Sans UI" w:hAnsiTheme="majorHAnsi" w:cs="Times New Roman"/>
          <w:noProof/>
          <w:kern w:val="3"/>
          <w:lang w:eastAsia="es-ES" w:bidi="en-US"/>
        </w:rPr>
        <w:t>i aer condi</w:t>
      </w:r>
      <w:r w:rsidR="00502707">
        <w:rPr>
          <w:rFonts w:asciiTheme="majorHAnsi" w:eastAsia="Andale Sans UI" w:hAnsiTheme="majorHAnsi" w:cs="Times New Roman"/>
          <w:noProof/>
          <w:kern w:val="3"/>
          <w:lang w:eastAsia="es-ES" w:bidi="en-US"/>
        </w:rPr>
        <w:t>ț</w:t>
      </w:r>
      <w:r w:rsidR="00502707" w:rsidRPr="00502707">
        <w:rPr>
          <w:rFonts w:asciiTheme="majorHAnsi" w:eastAsia="Andale Sans UI" w:hAnsiTheme="majorHAnsi" w:cs="Times New Roman"/>
          <w:noProof/>
          <w:kern w:val="3"/>
          <w:lang w:eastAsia="es-ES" w:bidi="en-US"/>
        </w:rPr>
        <w:t>ionat</w:t>
      </w:r>
      <w:r w:rsidR="003A78D3">
        <w:rPr>
          <w:rFonts w:asciiTheme="majorHAnsi" w:eastAsia="Andale Sans UI" w:hAnsiTheme="majorHAnsi" w:cs="Times New Roman"/>
          <w:noProof/>
          <w:kern w:val="3"/>
          <w:lang w:eastAsia="es-ES" w:bidi="en-US"/>
        </w:rPr>
        <w:t>”</w:t>
      </w:r>
      <w:r w:rsidR="00306A0C">
        <w:rPr>
          <w:rFonts w:asciiTheme="majorHAnsi" w:eastAsia="Andale Sans UI" w:hAnsiTheme="majorHAnsi" w:cs="Times New Roman"/>
          <w:noProof/>
          <w:kern w:val="3"/>
          <w:lang w:eastAsia="es-ES" w:bidi="en-US"/>
        </w:rPr>
        <w:t>,</w:t>
      </w:r>
      <w:r w:rsidR="008D0240">
        <w:rPr>
          <w:rFonts w:asciiTheme="majorHAnsi" w:eastAsia="Andale Sans UI" w:hAnsiTheme="majorHAnsi" w:cs="Times New Roman"/>
          <w:noProof/>
          <w:kern w:val="3"/>
          <w:lang w:eastAsia="es-ES" w:bidi="en-US"/>
        </w:rPr>
        <w:t xml:space="preserve"> </w:t>
      </w:r>
      <w:r w:rsidR="001E6E3A">
        <w:rPr>
          <w:rFonts w:asciiTheme="majorHAnsi" w:eastAsia="Andale Sans UI" w:hAnsiTheme="majorHAnsi" w:cs="Times New Roman"/>
          <w:noProof/>
          <w:kern w:val="3"/>
          <w:lang w:eastAsia="es-ES" w:bidi="en-US"/>
        </w:rPr>
        <w:t>2</w:t>
      </w:r>
      <w:r w:rsidR="003A78D3">
        <w:rPr>
          <w:rFonts w:asciiTheme="majorHAnsi" w:eastAsia="Andale Sans UI" w:hAnsiTheme="majorHAnsi" w:cs="Times New Roman"/>
          <w:noProof/>
          <w:kern w:val="3"/>
          <w:lang w:eastAsia="es-ES" w:bidi="en-US"/>
        </w:rPr>
        <w:t xml:space="preserve"> în domeniul </w:t>
      </w:r>
      <w:r w:rsidR="008D0240" w:rsidRPr="008D0240">
        <w:rPr>
          <w:rFonts w:asciiTheme="majorHAnsi" w:eastAsia="Andale Sans UI" w:hAnsiTheme="majorHAnsi" w:cs="Times New Roman"/>
          <w:noProof/>
          <w:kern w:val="3"/>
          <w:lang w:eastAsia="es-ES" w:bidi="en-US"/>
        </w:rPr>
        <w:t>„</w:t>
      </w:r>
      <w:r w:rsidR="008D0240">
        <w:rPr>
          <w:rFonts w:asciiTheme="majorHAnsi" w:eastAsia="Andale Sans UI" w:hAnsiTheme="majorHAnsi" w:cs="Times New Roman"/>
          <w:noProof/>
          <w:kern w:val="3"/>
          <w:lang w:eastAsia="es-ES" w:bidi="en-US"/>
        </w:rPr>
        <w:t>Construcții</w:t>
      </w:r>
      <w:r w:rsidR="008D0240" w:rsidRPr="008D0240">
        <w:rPr>
          <w:rFonts w:asciiTheme="majorHAnsi" w:eastAsia="Andale Sans UI" w:hAnsiTheme="majorHAnsi" w:cs="Times New Roman"/>
          <w:noProof/>
          <w:kern w:val="3"/>
          <w:lang w:eastAsia="es-ES" w:bidi="en-US"/>
        </w:rPr>
        <w:t>”</w:t>
      </w:r>
      <w:r w:rsidR="00306A0C">
        <w:rPr>
          <w:rFonts w:asciiTheme="majorHAnsi" w:eastAsia="Andale Sans UI" w:hAnsiTheme="majorHAnsi" w:cs="Times New Roman"/>
          <w:noProof/>
          <w:kern w:val="3"/>
          <w:lang w:eastAsia="es-ES" w:bidi="en-US"/>
        </w:rPr>
        <w:t xml:space="preserve"> și câte 1 în domeniile „d</w:t>
      </w:r>
      <w:r w:rsidR="00306A0C" w:rsidRPr="00306A0C">
        <w:rPr>
          <w:rFonts w:asciiTheme="majorHAnsi" w:eastAsia="Andale Sans UI" w:hAnsiTheme="majorHAnsi" w:cs="Times New Roman"/>
          <w:noProof/>
          <w:kern w:val="3"/>
          <w:lang w:eastAsia="es-ES" w:bidi="en-US"/>
        </w:rPr>
        <w:t>istribu</w:t>
      </w:r>
      <w:r w:rsidR="00306A0C">
        <w:rPr>
          <w:rFonts w:asciiTheme="majorHAnsi" w:eastAsia="Andale Sans UI" w:hAnsiTheme="majorHAnsi" w:cs="Times New Roman"/>
          <w:noProof/>
          <w:kern w:val="3"/>
          <w:lang w:eastAsia="es-ES" w:bidi="en-US"/>
        </w:rPr>
        <w:t>ț</w:t>
      </w:r>
      <w:r w:rsidR="00306A0C" w:rsidRPr="00306A0C">
        <w:rPr>
          <w:rFonts w:asciiTheme="majorHAnsi" w:eastAsia="Andale Sans UI" w:hAnsiTheme="majorHAnsi" w:cs="Times New Roman"/>
          <w:noProof/>
          <w:kern w:val="3"/>
          <w:lang w:eastAsia="es-ES" w:bidi="en-US"/>
        </w:rPr>
        <w:t xml:space="preserve">ia apei; salubritate, gestionarea </w:t>
      </w:r>
      <w:r w:rsidR="00DE3E72" w:rsidRPr="00306A0C">
        <w:rPr>
          <w:rFonts w:asciiTheme="majorHAnsi" w:eastAsia="Andale Sans UI" w:hAnsiTheme="majorHAnsi" w:cs="Times New Roman"/>
          <w:noProof/>
          <w:kern w:val="3"/>
          <w:lang w:eastAsia="es-ES" w:bidi="en-US"/>
        </w:rPr>
        <w:t>de</w:t>
      </w:r>
      <w:r w:rsidR="00DE3E72">
        <w:rPr>
          <w:rFonts w:asciiTheme="majorHAnsi" w:eastAsia="Andale Sans UI" w:hAnsiTheme="majorHAnsi" w:cs="Times New Roman"/>
          <w:noProof/>
          <w:kern w:val="3"/>
          <w:lang w:eastAsia="es-ES" w:bidi="en-US"/>
        </w:rPr>
        <w:t>ș</w:t>
      </w:r>
      <w:r w:rsidR="00DE3E72" w:rsidRPr="00306A0C">
        <w:rPr>
          <w:rFonts w:asciiTheme="majorHAnsi" w:eastAsia="Andale Sans UI" w:hAnsiTheme="majorHAnsi" w:cs="Times New Roman"/>
          <w:noProof/>
          <w:kern w:val="3"/>
          <w:lang w:eastAsia="es-ES" w:bidi="en-US"/>
        </w:rPr>
        <w:t>eurilor</w:t>
      </w:r>
      <w:r w:rsidR="00306A0C" w:rsidRPr="00306A0C">
        <w:rPr>
          <w:rFonts w:asciiTheme="majorHAnsi" w:eastAsia="Andale Sans UI" w:hAnsiTheme="majorHAnsi" w:cs="Times New Roman"/>
          <w:noProof/>
          <w:kern w:val="3"/>
          <w:lang w:eastAsia="es-ES" w:bidi="en-US"/>
        </w:rPr>
        <w:t xml:space="preserve">, </w:t>
      </w:r>
      <w:r w:rsidR="00DE3E72" w:rsidRPr="00306A0C">
        <w:rPr>
          <w:rFonts w:asciiTheme="majorHAnsi" w:eastAsia="Andale Sans UI" w:hAnsiTheme="majorHAnsi" w:cs="Times New Roman"/>
          <w:noProof/>
          <w:kern w:val="3"/>
          <w:lang w:eastAsia="es-ES" w:bidi="en-US"/>
        </w:rPr>
        <w:t>activit</w:t>
      </w:r>
      <w:r w:rsidR="00DE3E72">
        <w:rPr>
          <w:rFonts w:asciiTheme="majorHAnsi" w:eastAsia="Andale Sans UI" w:hAnsiTheme="majorHAnsi" w:cs="Times New Roman"/>
          <w:noProof/>
          <w:kern w:val="3"/>
          <w:lang w:eastAsia="es-ES" w:bidi="en-US"/>
        </w:rPr>
        <w:t>ăț</w:t>
      </w:r>
      <w:r w:rsidR="00DE3E72" w:rsidRPr="00306A0C">
        <w:rPr>
          <w:rFonts w:asciiTheme="majorHAnsi" w:eastAsia="Andale Sans UI" w:hAnsiTheme="majorHAnsi" w:cs="Times New Roman"/>
          <w:noProof/>
          <w:kern w:val="3"/>
          <w:lang w:eastAsia="es-ES" w:bidi="en-US"/>
        </w:rPr>
        <w:t xml:space="preserve">i </w:t>
      </w:r>
      <w:r w:rsidR="00306A0C" w:rsidRPr="00306A0C">
        <w:rPr>
          <w:rFonts w:asciiTheme="majorHAnsi" w:eastAsia="Andale Sans UI" w:hAnsiTheme="majorHAnsi" w:cs="Times New Roman"/>
          <w:noProof/>
          <w:kern w:val="3"/>
          <w:lang w:eastAsia="es-ES" w:bidi="en-US"/>
        </w:rPr>
        <w:t>de decontaminare</w:t>
      </w:r>
      <w:r w:rsidR="00306A0C">
        <w:rPr>
          <w:rFonts w:asciiTheme="majorHAnsi" w:eastAsia="Andale Sans UI" w:hAnsiTheme="majorHAnsi" w:cs="Times New Roman"/>
          <w:noProof/>
          <w:kern w:val="3"/>
          <w:lang w:eastAsia="es-ES" w:bidi="en-US"/>
        </w:rPr>
        <w:t>”, „a</w:t>
      </w:r>
      <w:r w:rsidR="00306A0C" w:rsidRPr="00306A0C">
        <w:rPr>
          <w:rFonts w:asciiTheme="majorHAnsi" w:eastAsia="Andale Sans UI" w:hAnsiTheme="majorHAnsi" w:cs="Times New Roman"/>
          <w:noProof/>
          <w:kern w:val="3"/>
          <w:lang w:eastAsia="es-ES" w:bidi="en-US"/>
        </w:rPr>
        <w:t>ctivit</w:t>
      </w:r>
      <w:r w:rsidR="00306A0C">
        <w:rPr>
          <w:rFonts w:asciiTheme="majorHAnsi" w:eastAsia="Andale Sans UI" w:hAnsiTheme="majorHAnsi" w:cs="Times New Roman"/>
          <w:noProof/>
          <w:kern w:val="3"/>
          <w:lang w:eastAsia="es-ES" w:bidi="en-US"/>
        </w:rPr>
        <w:t>ăți</w:t>
      </w:r>
      <w:r w:rsidR="00306A0C" w:rsidRPr="00306A0C">
        <w:rPr>
          <w:rFonts w:asciiTheme="majorHAnsi" w:eastAsia="Andale Sans UI" w:hAnsiTheme="majorHAnsi" w:cs="Times New Roman"/>
          <w:noProof/>
          <w:kern w:val="3"/>
          <w:lang w:eastAsia="es-ES" w:bidi="en-US"/>
        </w:rPr>
        <w:t xml:space="preserve">i profesionale, </w:t>
      </w:r>
      <w:r w:rsidR="00306A0C">
        <w:rPr>
          <w:rFonts w:asciiTheme="majorHAnsi" w:eastAsia="Andale Sans UI" w:hAnsiTheme="majorHAnsi" w:cs="Times New Roman"/>
          <w:noProof/>
          <w:kern w:val="3"/>
          <w:lang w:eastAsia="es-ES" w:bidi="en-US"/>
        </w:rPr>
        <w:t>ș</w:t>
      </w:r>
      <w:r w:rsidR="00306A0C" w:rsidRPr="00306A0C">
        <w:rPr>
          <w:rFonts w:asciiTheme="majorHAnsi" w:eastAsia="Andale Sans UI" w:hAnsiTheme="majorHAnsi" w:cs="Times New Roman"/>
          <w:noProof/>
          <w:kern w:val="3"/>
          <w:lang w:eastAsia="es-ES" w:bidi="en-US"/>
        </w:rPr>
        <w:t>tiin</w:t>
      </w:r>
      <w:r w:rsidR="00306A0C">
        <w:rPr>
          <w:rFonts w:asciiTheme="majorHAnsi" w:eastAsia="Andale Sans UI" w:hAnsiTheme="majorHAnsi" w:cs="Times New Roman"/>
          <w:noProof/>
          <w:kern w:val="3"/>
          <w:lang w:eastAsia="es-ES" w:bidi="en-US"/>
        </w:rPr>
        <w:t>ț</w:t>
      </w:r>
      <w:r w:rsidR="00306A0C" w:rsidRPr="00306A0C">
        <w:rPr>
          <w:rFonts w:asciiTheme="majorHAnsi" w:eastAsia="Andale Sans UI" w:hAnsiTheme="majorHAnsi" w:cs="Times New Roman"/>
          <w:noProof/>
          <w:kern w:val="3"/>
          <w:lang w:eastAsia="es-ES" w:bidi="en-US"/>
        </w:rPr>
        <w:t xml:space="preserve">ifice </w:t>
      </w:r>
      <w:r w:rsidR="00306A0C">
        <w:rPr>
          <w:rFonts w:asciiTheme="majorHAnsi" w:eastAsia="Andale Sans UI" w:hAnsiTheme="majorHAnsi" w:cs="Times New Roman"/>
          <w:noProof/>
          <w:kern w:val="3"/>
          <w:lang w:eastAsia="es-ES" w:bidi="en-US"/>
        </w:rPr>
        <w:t>ș</w:t>
      </w:r>
      <w:r w:rsidR="00306A0C" w:rsidRPr="00306A0C">
        <w:rPr>
          <w:rFonts w:asciiTheme="majorHAnsi" w:eastAsia="Andale Sans UI" w:hAnsiTheme="majorHAnsi" w:cs="Times New Roman"/>
          <w:noProof/>
          <w:kern w:val="3"/>
          <w:lang w:eastAsia="es-ES" w:bidi="en-US"/>
        </w:rPr>
        <w:t>i tehnice</w:t>
      </w:r>
      <w:r w:rsidR="00306A0C">
        <w:rPr>
          <w:rFonts w:asciiTheme="majorHAnsi" w:eastAsia="Andale Sans UI" w:hAnsiTheme="majorHAnsi" w:cs="Times New Roman"/>
          <w:noProof/>
          <w:kern w:val="3"/>
          <w:lang w:val="en-US" w:eastAsia="es-ES" w:bidi="en-US"/>
        </w:rPr>
        <w:t>”,</w:t>
      </w:r>
      <w:r w:rsidR="00306A0C">
        <w:rPr>
          <w:rFonts w:asciiTheme="majorHAnsi" w:eastAsia="Andale Sans UI" w:hAnsiTheme="majorHAnsi" w:cs="Times New Roman"/>
          <w:noProof/>
          <w:kern w:val="3"/>
          <w:lang w:eastAsia="es-ES" w:bidi="en-US"/>
        </w:rPr>
        <w:t xml:space="preserve"> „a</w:t>
      </w:r>
      <w:r w:rsidR="00306A0C" w:rsidRPr="00306A0C">
        <w:rPr>
          <w:rFonts w:asciiTheme="majorHAnsi" w:eastAsia="Andale Sans UI" w:hAnsiTheme="majorHAnsi" w:cs="Times New Roman"/>
          <w:noProof/>
          <w:kern w:val="3"/>
          <w:lang w:eastAsia="es-ES" w:bidi="en-US"/>
        </w:rPr>
        <w:t>ctivit</w:t>
      </w:r>
      <w:r w:rsidR="00306A0C">
        <w:rPr>
          <w:rFonts w:asciiTheme="majorHAnsi" w:eastAsia="Andale Sans UI" w:hAnsiTheme="majorHAnsi" w:cs="Times New Roman"/>
          <w:noProof/>
          <w:kern w:val="3"/>
          <w:lang w:eastAsia="es-ES" w:bidi="en-US"/>
        </w:rPr>
        <w:t>ăț</w:t>
      </w:r>
      <w:r w:rsidR="00306A0C" w:rsidRPr="00306A0C">
        <w:rPr>
          <w:rFonts w:asciiTheme="majorHAnsi" w:eastAsia="Andale Sans UI" w:hAnsiTheme="majorHAnsi" w:cs="Times New Roman"/>
          <w:noProof/>
          <w:kern w:val="3"/>
          <w:lang w:eastAsia="es-ES" w:bidi="en-US"/>
        </w:rPr>
        <w:t xml:space="preserve">i de servicii administrative </w:t>
      </w:r>
      <w:r w:rsidR="00306A0C">
        <w:rPr>
          <w:rFonts w:asciiTheme="majorHAnsi" w:eastAsia="Andale Sans UI" w:hAnsiTheme="majorHAnsi" w:cs="Times New Roman"/>
          <w:noProof/>
          <w:kern w:val="3"/>
          <w:lang w:eastAsia="es-ES" w:bidi="en-US"/>
        </w:rPr>
        <w:t>ș</w:t>
      </w:r>
      <w:r w:rsidR="00306A0C" w:rsidRPr="00306A0C">
        <w:rPr>
          <w:rFonts w:asciiTheme="majorHAnsi" w:eastAsia="Andale Sans UI" w:hAnsiTheme="majorHAnsi" w:cs="Times New Roman"/>
          <w:noProof/>
          <w:kern w:val="3"/>
          <w:lang w:eastAsia="es-ES" w:bidi="en-US"/>
        </w:rPr>
        <w:t>i activit</w:t>
      </w:r>
      <w:r w:rsidR="00306A0C">
        <w:rPr>
          <w:rFonts w:asciiTheme="majorHAnsi" w:eastAsia="Andale Sans UI" w:hAnsiTheme="majorHAnsi" w:cs="Times New Roman"/>
          <w:noProof/>
          <w:kern w:val="3"/>
          <w:lang w:eastAsia="es-ES" w:bidi="en-US"/>
        </w:rPr>
        <w:t>ăț</w:t>
      </w:r>
      <w:r w:rsidR="00306A0C" w:rsidRPr="00306A0C">
        <w:rPr>
          <w:rFonts w:asciiTheme="majorHAnsi" w:eastAsia="Andale Sans UI" w:hAnsiTheme="majorHAnsi" w:cs="Times New Roman"/>
          <w:noProof/>
          <w:kern w:val="3"/>
          <w:lang w:eastAsia="es-ES" w:bidi="en-US"/>
        </w:rPr>
        <w:t>i de servicii suport</w:t>
      </w:r>
      <w:r w:rsidR="00306A0C">
        <w:rPr>
          <w:rFonts w:asciiTheme="majorHAnsi" w:eastAsia="Andale Sans UI" w:hAnsiTheme="majorHAnsi" w:cs="Times New Roman"/>
          <w:noProof/>
          <w:kern w:val="3"/>
          <w:lang w:val="en-US" w:eastAsia="es-ES" w:bidi="en-US"/>
        </w:rPr>
        <w:t>”</w:t>
      </w:r>
      <w:r w:rsidRPr="00D95C57">
        <w:rPr>
          <w:rFonts w:asciiTheme="majorHAnsi" w:eastAsia="Andale Sans UI" w:hAnsiTheme="majorHAnsi" w:cs="Times New Roman"/>
          <w:noProof/>
          <w:kern w:val="3"/>
          <w:lang w:eastAsia="es-ES" w:bidi="en-US"/>
        </w:rPr>
        <w:t>.</w:t>
      </w:r>
    </w:p>
    <w:p w14:paraId="2EEF00CD" w14:textId="77777777" w:rsidR="00D34E60" w:rsidRDefault="00F83DE8" w:rsidP="00F83DE8">
      <w:pPr>
        <w:jc w:val="both"/>
        <w:rPr>
          <w:rFonts w:asciiTheme="majorHAnsi" w:hAnsiTheme="majorHAnsi"/>
        </w:rPr>
      </w:pPr>
      <w:r w:rsidRPr="00D95C57">
        <w:rPr>
          <w:rFonts w:asciiTheme="majorHAnsi" w:eastAsia="Andale Sans UI" w:hAnsiTheme="majorHAnsi" w:cs="Times New Roman"/>
          <w:noProof/>
          <w:kern w:val="3"/>
          <w:lang w:eastAsia="es-ES" w:bidi="en-US"/>
        </w:rPr>
        <w:t>ÎPL din domeniul</w:t>
      </w:r>
      <w:r w:rsidR="00306A0C">
        <w:rPr>
          <w:rFonts w:asciiTheme="majorHAnsi" w:eastAsia="Andale Sans UI" w:hAnsiTheme="majorHAnsi" w:cs="Times New Roman"/>
          <w:noProof/>
          <w:kern w:val="3"/>
          <w:lang w:eastAsia="es-ES" w:bidi="en-US"/>
        </w:rPr>
        <w:t xml:space="preserve"> „</w:t>
      </w:r>
      <w:r w:rsidR="00306A0C" w:rsidRPr="00306A0C">
        <w:rPr>
          <w:rFonts w:asciiTheme="majorHAnsi" w:eastAsia="Andale Sans UI" w:hAnsiTheme="majorHAnsi" w:cs="Times New Roman"/>
          <w:noProof/>
          <w:kern w:val="3"/>
          <w:lang w:eastAsia="es-ES" w:bidi="en-US"/>
        </w:rPr>
        <w:t>Transport</w:t>
      </w:r>
      <w:r w:rsidR="00306A0C">
        <w:rPr>
          <w:rFonts w:asciiTheme="majorHAnsi" w:eastAsia="Andale Sans UI" w:hAnsiTheme="majorHAnsi" w:cs="Times New Roman"/>
          <w:noProof/>
          <w:kern w:val="3"/>
          <w:lang w:eastAsia="es-ES" w:bidi="en-US"/>
        </w:rPr>
        <w:t>urilor</w:t>
      </w:r>
      <w:r w:rsidR="00306A0C">
        <w:rPr>
          <w:rFonts w:asciiTheme="majorHAnsi" w:eastAsia="Andale Sans UI" w:hAnsiTheme="majorHAnsi" w:cs="Times New Roman"/>
          <w:noProof/>
          <w:kern w:val="3"/>
          <w:lang w:val="en-US" w:eastAsia="es-ES" w:bidi="en-US"/>
        </w:rPr>
        <w:t xml:space="preserve">” </w:t>
      </w:r>
      <w:r w:rsidR="00306A0C">
        <w:rPr>
          <w:rFonts w:asciiTheme="majorHAnsi" w:eastAsia="Andale Sans UI" w:hAnsiTheme="majorHAnsi" w:cs="Times New Roman"/>
          <w:noProof/>
          <w:kern w:val="3"/>
          <w:lang w:eastAsia="es-ES" w:bidi="en-US"/>
        </w:rPr>
        <w:t>și</w:t>
      </w:r>
      <w:r w:rsidR="00306A0C" w:rsidRPr="00306A0C">
        <w:rPr>
          <w:rFonts w:asciiTheme="majorHAnsi" w:eastAsia="Andale Sans UI" w:hAnsiTheme="majorHAnsi" w:cs="Times New Roman"/>
          <w:noProof/>
          <w:kern w:val="3"/>
          <w:lang w:eastAsia="es-ES" w:bidi="en-US"/>
        </w:rPr>
        <w:t xml:space="preserve"> </w:t>
      </w:r>
      <w:r w:rsidRPr="00D95C57">
        <w:rPr>
          <w:rFonts w:asciiTheme="majorHAnsi" w:eastAsia="Andale Sans UI" w:hAnsiTheme="majorHAnsi" w:cs="Times New Roman"/>
          <w:noProof/>
          <w:kern w:val="3"/>
          <w:lang w:eastAsia="es-ES" w:bidi="en-US"/>
        </w:rPr>
        <w:t>„</w:t>
      </w:r>
      <w:r w:rsidR="008D0240" w:rsidRPr="008D0240">
        <w:rPr>
          <w:rFonts w:asciiTheme="majorHAnsi" w:eastAsia="Andale Sans UI" w:hAnsiTheme="majorHAnsi" w:cs="Times New Roman"/>
          <w:noProof/>
          <w:kern w:val="3"/>
          <w:lang w:eastAsia="es-ES" w:bidi="en-US"/>
        </w:rPr>
        <w:t>Producției și furnizării de energie electrică și termică, gaze, apă caldă și aer condiționat</w:t>
      </w:r>
      <w:r w:rsidRPr="00D95C57">
        <w:rPr>
          <w:rFonts w:asciiTheme="majorHAnsi" w:eastAsia="Andale Sans UI" w:hAnsiTheme="majorHAnsi" w:cs="Times New Roman"/>
          <w:noProof/>
          <w:kern w:val="3"/>
          <w:lang w:eastAsia="es-ES" w:bidi="en-US"/>
        </w:rPr>
        <w:t>” se confruntă cu cele mai mari probleme datorită pierderilor mari acumulate în ultimii ani, lipsei de rentabilitate, investițiilor mici în rețelele de distribuție a agentului termic cât și datorită diferenței dintre costurile reale de producere a gigacaloriei și prețul de vânzare către populație</w:t>
      </w:r>
      <w:r w:rsidRPr="00D95C57">
        <w:rPr>
          <w:rFonts w:asciiTheme="majorHAnsi" w:hAnsiTheme="majorHAnsi"/>
        </w:rPr>
        <w:t>.</w:t>
      </w:r>
      <w:r w:rsidR="00305132">
        <w:rPr>
          <w:rFonts w:asciiTheme="majorHAnsi" w:hAnsiTheme="majorHAnsi"/>
        </w:rPr>
        <w:t xml:space="preserve"> Ponderea primelor 10 ÎPL care înregistrează cele mai mari plăți restante în total general plăți restante</w:t>
      </w:r>
      <w:r w:rsidR="00726118">
        <w:rPr>
          <w:rFonts w:asciiTheme="majorHAnsi" w:hAnsiTheme="majorHAnsi"/>
        </w:rPr>
        <w:t xml:space="preserve"> înregistrate de ÎPL active</w:t>
      </w:r>
      <w:r w:rsidR="00305132">
        <w:rPr>
          <w:rFonts w:asciiTheme="majorHAnsi" w:hAnsiTheme="majorHAnsi"/>
        </w:rPr>
        <w:t xml:space="preserve"> </w:t>
      </w:r>
      <w:r w:rsidR="00726118">
        <w:rPr>
          <w:rFonts w:asciiTheme="majorHAnsi" w:hAnsiTheme="majorHAnsi"/>
        </w:rPr>
        <w:t>la 31.12.2020 este de 79,02%.</w:t>
      </w:r>
    </w:p>
    <w:p w14:paraId="21FE8B32" w14:textId="77777777" w:rsidR="009C67C8" w:rsidRDefault="009C67C8" w:rsidP="00F83DE8">
      <w:pPr>
        <w:jc w:val="both"/>
        <w:rPr>
          <w:rFonts w:asciiTheme="majorHAnsi" w:hAnsiTheme="majorHAnsi"/>
        </w:rPr>
      </w:pPr>
    </w:p>
    <w:p w14:paraId="3D2EC505" w14:textId="77777777" w:rsidR="005E4009" w:rsidRPr="00D95C57" w:rsidRDefault="005E4009" w:rsidP="00F83DE8">
      <w:pPr>
        <w:jc w:val="both"/>
        <w:rPr>
          <w:rFonts w:asciiTheme="majorHAnsi" w:hAnsiTheme="majorHAnsi"/>
        </w:rPr>
      </w:pPr>
    </w:p>
    <w:p w14:paraId="46493213" w14:textId="77777777" w:rsidR="00F83DE8" w:rsidRPr="00522CC8" w:rsidRDefault="00DC3F61" w:rsidP="00F83DE8">
      <w:pPr>
        <w:pStyle w:val="ListParagraph"/>
        <w:ind w:left="0"/>
        <w:jc w:val="both"/>
        <w:outlineLvl w:val="2"/>
        <w:rPr>
          <w:rFonts w:asciiTheme="majorHAnsi" w:hAnsiTheme="majorHAnsi"/>
          <w:b/>
          <w:bCs/>
          <w:color w:val="0F6FC6" w:themeColor="accent1"/>
          <w:sz w:val="28"/>
          <w:szCs w:val="28"/>
        </w:rPr>
      </w:pPr>
      <w:bookmarkStart w:id="113" w:name="_Toc519186412"/>
      <w:bookmarkStart w:id="114" w:name="_Toc87875967"/>
      <w:r>
        <w:rPr>
          <w:rFonts w:asciiTheme="majorHAnsi" w:hAnsiTheme="majorHAnsi"/>
          <w:b/>
          <w:bCs/>
          <w:color w:val="0F6FC6" w:themeColor="accent1"/>
          <w:sz w:val="28"/>
          <w:szCs w:val="28"/>
        </w:rPr>
        <w:t>3</w:t>
      </w:r>
      <w:r w:rsidR="00F83DE8" w:rsidRPr="00522CC8">
        <w:rPr>
          <w:rFonts w:asciiTheme="majorHAnsi" w:hAnsiTheme="majorHAnsi"/>
          <w:b/>
          <w:bCs/>
          <w:color w:val="0F6FC6" w:themeColor="accent1"/>
          <w:sz w:val="28"/>
          <w:szCs w:val="28"/>
        </w:rPr>
        <w:t>.4 – Evoluția personalului și a cheltuielilor cu personalul la întreprinderile publice locale</w:t>
      </w:r>
      <w:bookmarkEnd w:id="113"/>
      <w:bookmarkEnd w:id="114"/>
    </w:p>
    <w:p w14:paraId="0112D3E7" w14:textId="77777777" w:rsidR="00F83DE8" w:rsidRDefault="00F83DE8" w:rsidP="00C14854">
      <w:pPr>
        <w:pStyle w:val="ListParagraph"/>
        <w:ind w:left="0"/>
        <w:rPr>
          <w:rFonts w:asciiTheme="majorHAnsi" w:hAnsiTheme="majorHAnsi"/>
        </w:rPr>
      </w:pPr>
    </w:p>
    <w:p w14:paraId="4A5805F5" w14:textId="77777777" w:rsidR="00222229" w:rsidRPr="00222229" w:rsidRDefault="00222229" w:rsidP="00C14854">
      <w:pPr>
        <w:pStyle w:val="ListParagraph"/>
        <w:ind w:left="0"/>
        <w:rPr>
          <w:rFonts w:asciiTheme="majorHAnsi" w:hAnsiTheme="majorHAnsi"/>
        </w:rPr>
      </w:pPr>
      <w:r w:rsidRPr="00222229">
        <w:rPr>
          <w:rFonts w:asciiTheme="majorHAnsi" w:hAnsiTheme="majorHAnsi"/>
        </w:rPr>
        <w:t>TABEL – Situația numărului de personal și a cheltuielilor cu personalul 2018-2020</w:t>
      </w:r>
    </w:p>
    <w:tbl>
      <w:tblPr>
        <w:tblW w:w="9105" w:type="dxa"/>
        <w:tblInd w:w="93" w:type="dxa"/>
        <w:tblLook w:val="04A0" w:firstRow="1" w:lastRow="0" w:firstColumn="1" w:lastColumn="0" w:noHBand="0" w:noVBand="1"/>
      </w:tblPr>
      <w:tblGrid>
        <w:gridCol w:w="2985"/>
        <w:gridCol w:w="1110"/>
        <w:gridCol w:w="1110"/>
        <w:gridCol w:w="1110"/>
        <w:gridCol w:w="1110"/>
        <w:gridCol w:w="1680"/>
      </w:tblGrid>
      <w:tr w:rsidR="00222229" w:rsidRPr="00222229" w14:paraId="561A98F0" w14:textId="77777777" w:rsidTr="00222229">
        <w:trPr>
          <w:trHeight w:val="489"/>
        </w:trPr>
        <w:tc>
          <w:tcPr>
            <w:tcW w:w="2985" w:type="dxa"/>
            <w:vMerge w:val="restart"/>
            <w:tcBorders>
              <w:top w:val="single" w:sz="4" w:space="0" w:color="8DB4E2"/>
              <w:left w:val="nil"/>
              <w:bottom w:val="single" w:sz="4" w:space="0" w:color="8DB4E2"/>
              <w:right w:val="nil"/>
            </w:tcBorders>
            <w:shd w:val="clear" w:color="000000" w:fill="FFFFFF"/>
            <w:hideMark/>
          </w:tcPr>
          <w:p w14:paraId="2DE954F5" w14:textId="77777777" w:rsidR="00222229" w:rsidRPr="00222229" w:rsidRDefault="00222229" w:rsidP="00222229">
            <w:pPr>
              <w:spacing w:before="0" w:after="0" w:line="240" w:lineRule="auto"/>
              <w:rPr>
                <w:rFonts w:ascii="Calibri" w:eastAsia="Times New Roman" w:hAnsi="Calibri" w:cs="Calibri"/>
                <w:color w:val="0F6FC6" w:themeColor="accent1"/>
                <w:sz w:val="16"/>
                <w:szCs w:val="16"/>
                <w:lang w:val="en-US"/>
              </w:rPr>
            </w:pPr>
            <w:r w:rsidRPr="00222229">
              <w:rPr>
                <w:rFonts w:ascii="Calibri" w:eastAsia="Times New Roman" w:hAnsi="Calibri" w:cs="Calibri"/>
                <w:color w:val="0F6FC6" w:themeColor="accent1"/>
                <w:sz w:val="16"/>
                <w:szCs w:val="16"/>
                <w:lang w:val="en-US"/>
              </w:rPr>
              <w:t>Anul</w:t>
            </w:r>
          </w:p>
        </w:tc>
        <w:tc>
          <w:tcPr>
            <w:tcW w:w="1110" w:type="dxa"/>
            <w:tcBorders>
              <w:top w:val="single" w:sz="4" w:space="0" w:color="8DB4E2"/>
              <w:left w:val="nil"/>
              <w:bottom w:val="single" w:sz="4" w:space="0" w:color="8DB4E2"/>
              <w:right w:val="nil"/>
            </w:tcBorders>
            <w:shd w:val="clear" w:color="000000" w:fill="FFFFFF"/>
            <w:hideMark/>
          </w:tcPr>
          <w:p w14:paraId="6B6D0ED9" w14:textId="77777777" w:rsidR="00222229" w:rsidRPr="00222229" w:rsidRDefault="00222229" w:rsidP="00222229">
            <w:pPr>
              <w:spacing w:before="0" w:after="0" w:line="240" w:lineRule="auto"/>
              <w:jc w:val="right"/>
              <w:rPr>
                <w:rFonts w:ascii="Calibri" w:eastAsia="Times New Roman" w:hAnsi="Calibri" w:cs="Calibri"/>
                <w:color w:val="0F6FC6" w:themeColor="accent1"/>
                <w:sz w:val="16"/>
                <w:szCs w:val="16"/>
                <w:lang w:val="en-US"/>
              </w:rPr>
            </w:pPr>
            <w:r w:rsidRPr="00222229">
              <w:rPr>
                <w:rFonts w:ascii="Calibri" w:eastAsia="Times New Roman" w:hAnsi="Calibri" w:cs="Calibri"/>
                <w:color w:val="0F6FC6" w:themeColor="accent1"/>
                <w:sz w:val="16"/>
                <w:szCs w:val="16"/>
                <w:lang w:val="en-US"/>
              </w:rPr>
              <w:t>Nr. ÎPL</w:t>
            </w:r>
          </w:p>
        </w:tc>
        <w:tc>
          <w:tcPr>
            <w:tcW w:w="1110" w:type="dxa"/>
            <w:tcBorders>
              <w:top w:val="single" w:sz="4" w:space="0" w:color="8DB4E2"/>
              <w:left w:val="nil"/>
              <w:bottom w:val="single" w:sz="4" w:space="0" w:color="8DB4E2"/>
              <w:right w:val="nil"/>
            </w:tcBorders>
            <w:shd w:val="clear" w:color="000000" w:fill="FFFFFF"/>
            <w:hideMark/>
          </w:tcPr>
          <w:p w14:paraId="51DF7E7C" w14:textId="77777777" w:rsidR="00222229" w:rsidRPr="00222229" w:rsidRDefault="00222229" w:rsidP="00222229">
            <w:pPr>
              <w:spacing w:before="0" w:after="0" w:line="240" w:lineRule="auto"/>
              <w:jc w:val="right"/>
              <w:rPr>
                <w:rFonts w:ascii="Calibri" w:eastAsia="Times New Roman" w:hAnsi="Calibri" w:cs="Calibri"/>
                <w:color w:val="0F6FC6" w:themeColor="accent1"/>
                <w:sz w:val="16"/>
                <w:szCs w:val="16"/>
                <w:lang w:val="en-US"/>
              </w:rPr>
            </w:pPr>
            <w:r w:rsidRPr="00222229">
              <w:rPr>
                <w:rFonts w:ascii="Calibri" w:eastAsia="Times New Roman" w:hAnsi="Calibri" w:cs="Calibri"/>
                <w:color w:val="0F6FC6" w:themeColor="accent1"/>
                <w:sz w:val="16"/>
                <w:szCs w:val="16"/>
                <w:lang w:val="en-US"/>
              </w:rPr>
              <w:t>Număr efectiv de personal</w:t>
            </w:r>
          </w:p>
        </w:tc>
        <w:tc>
          <w:tcPr>
            <w:tcW w:w="1110" w:type="dxa"/>
            <w:tcBorders>
              <w:top w:val="single" w:sz="4" w:space="0" w:color="8DB4E2"/>
              <w:left w:val="nil"/>
              <w:bottom w:val="single" w:sz="4" w:space="0" w:color="8DB4E2"/>
              <w:right w:val="nil"/>
            </w:tcBorders>
            <w:shd w:val="clear" w:color="000000" w:fill="FFFFFF"/>
            <w:hideMark/>
          </w:tcPr>
          <w:p w14:paraId="06044B5E" w14:textId="77777777" w:rsidR="00222229" w:rsidRPr="00222229" w:rsidRDefault="00222229" w:rsidP="00222229">
            <w:pPr>
              <w:spacing w:before="0" w:after="0" w:line="240" w:lineRule="auto"/>
              <w:jc w:val="right"/>
              <w:rPr>
                <w:rFonts w:ascii="Calibri" w:eastAsia="Times New Roman" w:hAnsi="Calibri" w:cs="Calibri"/>
                <w:color w:val="0F6FC6" w:themeColor="accent1"/>
                <w:sz w:val="16"/>
                <w:szCs w:val="16"/>
                <w:lang w:val="en-US"/>
              </w:rPr>
            </w:pPr>
            <w:r w:rsidRPr="00222229">
              <w:rPr>
                <w:rFonts w:ascii="Calibri" w:eastAsia="Times New Roman" w:hAnsi="Calibri" w:cs="Calibri"/>
                <w:color w:val="0F6FC6" w:themeColor="accent1"/>
                <w:sz w:val="16"/>
                <w:szCs w:val="16"/>
                <w:lang w:val="en-US"/>
              </w:rPr>
              <w:t xml:space="preserve">Cheltuieli de natură salarială </w:t>
            </w:r>
          </w:p>
        </w:tc>
        <w:tc>
          <w:tcPr>
            <w:tcW w:w="1110" w:type="dxa"/>
            <w:tcBorders>
              <w:top w:val="single" w:sz="4" w:space="0" w:color="8DB4E2"/>
              <w:left w:val="nil"/>
              <w:bottom w:val="single" w:sz="4" w:space="0" w:color="8DB4E2"/>
              <w:right w:val="nil"/>
            </w:tcBorders>
            <w:shd w:val="clear" w:color="000000" w:fill="FFFFFF"/>
            <w:hideMark/>
          </w:tcPr>
          <w:p w14:paraId="6DCC1356" w14:textId="77777777" w:rsidR="00222229" w:rsidRPr="00222229" w:rsidRDefault="00222229" w:rsidP="00222229">
            <w:pPr>
              <w:spacing w:before="0" w:after="0" w:line="240" w:lineRule="auto"/>
              <w:jc w:val="center"/>
              <w:rPr>
                <w:rFonts w:ascii="Calibri" w:eastAsia="Times New Roman" w:hAnsi="Calibri" w:cs="Calibri"/>
                <w:color w:val="0F6FC6" w:themeColor="accent1"/>
                <w:sz w:val="16"/>
                <w:szCs w:val="16"/>
                <w:lang w:val="en-US"/>
              </w:rPr>
            </w:pPr>
            <w:r w:rsidRPr="00222229">
              <w:rPr>
                <w:rFonts w:ascii="Calibri" w:eastAsia="Times New Roman" w:hAnsi="Calibri" w:cs="Calibri"/>
                <w:color w:val="0F6FC6" w:themeColor="accent1"/>
                <w:sz w:val="16"/>
                <w:szCs w:val="16"/>
                <w:lang w:val="en-US"/>
              </w:rPr>
              <w:t>Cheltuieli cu salariile</w:t>
            </w:r>
          </w:p>
        </w:tc>
        <w:tc>
          <w:tcPr>
            <w:tcW w:w="1680" w:type="dxa"/>
            <w:tcBorders>
              <w:top w:val="single" w:sz="4" w:space="0" w:color="8DB4E2"/>
              <w:left w:val="nil"/>
              <w:bottom w:val="single" w:sz="4" w:space="0" w:color="8DB4E2"/>
              <w:right w:val="nil"/>
            </w:tcBorders>
            <w:shd w:val="clear" w:color="000000" w:fill="FFFFFF"/>
            <w:hideMark/>
          </w:tcPr>
          <w:p w14:paraId="490EC14E" w14:textId="77777777" w:rsidR="00222229" w:rsidRPr="00222229" w:rsidRDefault="00222229" w:rsidP="00222229">
            <w:pPr>
              <w:spacing w:before="0" w:after="0" w:line="240" w:lineRule="auto"/>
              <w:jc w:val="right"/>
              <w:rPr>
                <w:rFonts w:ascii="Calibri" w:eastAsia="Times New Roman" w:hAnsi="Calibri" w:cs="Calibri"/>
                <w:color w:val="0F6FC6" w:themeColor="accent1"/>
                <w:sz w:val="16"/>
                <w:szCs w:val="16"/>
                <w:lang w:val="en-US"/>
              </w:rPr>
            </w:pPr>
            <w:r w:rsidRPr="00222229">
              <w:rPr>
                <w:rFonts w:ascii="Calibri" w:eastAsia="Times New Roman" w:hAnsi="Calibri" w:cs="Calibri"/>
                <w:color w:val="0F6FC6" w:themeColor="accent1"/>
                <w:sz w:val="16"/>
                <w:szCs w:val="16"/>
                <w:lang w:val="en-US"/>
              </w:rPr>
              <w:t>Câștig salarial mediu brut lunar pe persoană</w:t>
            </w:r>
          </w:p>
        </w:tc>
      </w:tr>
      <w:tr w:rsidR="00222229" w:rsidRPr="00222229" w14:paraId="39946FC9" w14:textId="77777777" w:rsidTr="00222229">
        <w:trPr>
          <w:trHeight w:val="196"/>
        </w:trPr>
        <w:tc>
          <w:tcPr>
            <w:tcW w:w="2985" w:type="dxa"/>
            <w:vMerge/>
            <w:tcBorders>
              <w:top w:val="single" w:sz="4" w:space="0" w:color="8DB4E2"/>
              <w:left w:val="nil"/>
              <w:bottom w:val="single" w:sz="4" w:space="0" w:color="8DB4E2"/>
              <w:right w:val="nil"/>
            </w:tcBorders>
            <w:vAlign w:val="center"/>
            <w:hideMark/>
          </w:tcPr>
          <w:p w14:paraId="556A1397" w14:textId="77777777" w:rsidR="00222229" w:rsidRPr="00222229" w:rsidRDefault="00222229" w:rsidP="00222229">
            <w:pPr>
              <w:spacing w:before="0" w:after="0" w:line="240" w:lineRule="auto"/>
              <w:rPr>
                <w:rFonts w:ascii="Calibri" w:eastAsia="Times New Roman" w:hAnsi="Calibri" w:cs="Calibri"/>
                <w:color w:val="0F6FC6" w:themeColor="accent1"/>
                <w:sz w:val="16"/>
                <w:szCs w:val="16"/>
                <w:lang w:val="en-US"/>
              </w:rPr>
            </w:pPr>
          </w:p>
        </w:tc>
        <w:tc>
          <w:tcPr>
            <w:tcW w:w="1110" w:type="dxa"/>
            <w:tcBorders>
              <w:top w:val="nil"/>
              <w:left w:val="nil"/>
              <w:bottom w:val="single" w:sz="4" w:space="0" w:color="8DB4E2"/>
              <w:right w:val="nil"/>
            </w:tcBorders>
            <w:shd w:val="clear" w:color="000000" w:fill="FFFFFF"/>
            <w:vAlign w:val="center"/>
            <w:hideMark/>
          </w:tcPr>
          <w:p w14:paraId="617E70FA"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1</w:t>
            </w:r>
          </w:p>
        </w:tc>
        <w:tc>
          <w:tcPr>
            <w:tcW w:w="1110" w:type="dxa"/>
            <w:tcBorders>
              <w:top w:val="nil"/>
              <w:left w:val="nil"/>
              <w:bottom w:val="single" w:sz="4" w:space="0" w:color="8DB4E2"/>
              <w:right w:val="nil"/>
            </w:tcBorders>
            <w:shd w:val="clear" w:color="000000" w:fill="FFFFFF"/>
            <w:vAlign w:val="center"/>
            <w:hideMark/>
          </w:tcPr>
          <w:p w14:paraId="4AC120F4"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2</w:t>
            </w:r>
          </w:p>
        </w:tc>
        <w:tc>
          <w:tcPr>
            <w:tcW w:w="1110" w:type="dxa"/>
            <w:tcBorders>
              <w:top w:val="nil"/>
              <w:left w:val="nil"/>
              <w:bottom w:val="single" w:sz="4" w:space="0" w:color="8DB4E2"/>
              <w:right w:val="nil"/>
            </w:tcBorders>
            <w:shd w:val="clear" w:color="000000" w:fill="FFFFFF"/>
            <w:vAlign w:val="center"/>
            <w:hideMark/>
          </w:tcPr>
          <w:p w14:paraId="6E1A0D53"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3</w:t>
            </w:r>
          </w:p>
        </w:tc>
        <w:tc>
          <w:tcPr>
            <w:tcW w:w="1110" w:type="dxa"/>
            <w:tcBorders>
              <w:top w:val="nil"/>
              <w:left w:val="nil"/>
              <w:bottom w:val="single" w:sz="4" w:space="0" w:color="8DB4E2"/>
              <w:right w:val="nil"/>
            </w:tcBorders>
            <w:shd w:val="clear" w:color="000000" w:fill="FFFFFF"/>
            <w:vAlign w:val="center"/>
            <w:hideMark/>
          </w:tcPr>
          <w:p w14:paraId="787E1D70"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4</w:t>
            </w:r>
          </w:p>
        </w:tc>
        <w:tc>
          <w:tcPr>
            <w:tcW w:w="1680" w:type="dxa"/>
            <w:tcBorders>
              <w:top w:val="nil"/>
              <w:left w:val="nil"/>
              <w:bottom w:val="single" w:sz="4" w:space="0" w:color="8DB4E2"/>
              <w:right w:val="nil"/>
            </w:tcBorders>
            <w:shd w:val="clear" w:color="000000" w:fill="FFFFFF"/>
            <w:vAlign w:val="center"/>
            <w:hideMark/>
          </w:tcPr>
          <w:p w14:paraId="193C4E4C" w14:textId="77777777" w:rsidR="00222229" w:rsidRPr="00222229" w:rsidRDefault="00222229" w:rsidP="00222229">
            <w:pPr>
              <w:spacing w:before="0" w:after="0" w:line="240" w:lineRule="auto"/>
              <w:jc w:val="right"/>
              <w:rPr>
                <w:rFonts w:ascii="Calibri" w:eastAsia="Times New Roman" w:hAnsi="Calibri" w:cs="Calibri"/>
                <w:color w:val="0F6FC6" w:themeColor="accent1"/>
                <w:sz w:val="14"/>
                <w:szCs w:val="14"/>
                <w:lang w:val="en-US"/>
              </w:rPr>
            </w:pPr>
            <w:r w:rsidRPr="00222229">
              <w:rPr>
                <w:rFonts w:ascii="Calibri" w:eastAsia="Times New Roman" w:hAnsi="Calibri" w:cs="Calibri"/>
                <w:color w:val="0F6FC6" w:themeColor="accent1"/>
                <w:sz w:val="14"/>
                <w:szCs w:val="14"/>
                <w:lang w:val="en-US"/>
              </w:rPr>
              <w:t>5=((col 3*1000)/col 2)/12</w:t>
            </w:r>
          </w:p>
        </w:tc>
      </w:tr>
      <w:tr w:rsidR="00222229" w:rsidRPr="00222229" w14:paraId="7FFB3B70" w14:textId="77777777" w:rsidTr="00222229">
        <w:trPr>
          <w:trHeight w:val="163"/>
        </w:trPr>
        <w:tc>
          <w:tcPr>
            <w:tcW w:w="2985" w:type="dxa"/>
            <w:vMerge/>
            <w:tcBorders>
              <w:top w:val="single" w:sz="4" w:space="0" w:color="8DB4E2"/>
              <w:left w:val="nil"/>
              <w:bottom w:val="single" w:sz="4" w:space="0" w:color="8DB4E2"/>
              <w:right w:val="nil"/>
            </w:tcBorders>
            <w:vAlign w:val="center"/>
            <w:hideMark/>
          </w:tcPr>
          <w:p w14:paraId="0E913203" w14:textId="77777777" w:rsidR="00222229" w:rsidRPr="00222229" w:rsidRDefault="00222229" w:rsidP="00222229">
            <w:pPr>
              <w:spacing w:before="0" w:after="0" w:line="240" w:lineRule="auto"/>
              <w:rPr>
                <w:rFonts w:ascii="Calibri" w:eastAsia="Times New Roman" w:hAnsi="Calibri" w:cs="Calibri"/>
                <w:color w:val="0F6FC6" w:themeColor="accent1"/>
                <w:sz w:val="16"/>
                <w:szCs w:val="16"/>
                <w:lang w:val="en-US"/>
              </w:rPr>
            </w:pPr>
          </w:p>
        </w:tc>
        <w:tc>
          <w:tcPr>
            <w:tcW w:w="1110" w:type="dxa"/>
            <w:tcBorders>
              <w:top w:val="nil"/>
              <w:left w:val="nil"/>
              <w:bottom w:val="single" w:sz="4" w:space="0" w:color="8DB4E2"/>
              <w:right w:val="nil"/>
            </w:tcBorders>
            <w:shd w:val="clear" w:color="000000" w:fill="FFFFFF"/>
            <w:vAlign w:val="center"/>
            <w:hideMark/>
          </w:tcPr>
          <w:p w14:paraId="73385535"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nr.</w:t>
            </w:r>
          </w:p>
        </w:tc>
        <w:tc>
          <w:tcPr>
            <w:tcW w:w="1110" w:type="dxa"/>
            <w:tcBorders>
              <w:top w:val="nil"/>
              <w:left w:val="nil"/>
              <w:bottom w:val="single" w:sz="4" w:space="0" w:color="8DB4E2"/>
              <w:right w:val="nil"/>
            </w:tcBorders>
            <w:shd w:val="clear" w:color="000000" w:fill="FFFFFF"/>
            <w:vAlign w:val="center"/>
            <w:hideMark/>
          </w:tcPr>
          <w:p w14:paraId="5329D454"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nr pers</w:t>
            </w:r>
          </w:p>
        </w:tc>
        <w:tc>
          <w:tcPr>
            <w:tcW w:w="1110" w:type="dxa"/>
            <w:tcBorders>
              <w:top w:val="nil"/>
              <w:left w:val="nil"/>
              <w:bottom w:val="single" w:sz="4" w:space="0" w:color="8DB4E2"/>
              <w:right w:val="nil"/>
            </w:tcBorders>
            <w:shd w:val="clear" w:color="000000" w:fill="FFFFFF"/>
            <w:vAlign w:val="center"/>
            <w:hideMark/>
          </w:tcPr>
          <w:p w14:paraId="06C380F2"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mii lei</w:t>
            </w:r>
          </w:p>
        </w:tc>
        <w:tc>
          <w:tcPr>
            <w:tcW w:w="1110" w:type="dxa"/>
            <w:tcBorders>
              <w:top w:val="nil"/>
              <w:left w:val="nil"/>
              <w:bottom w:val="single" w:sz="4" w:space="0" w:color="8DB4E2"/>
              <w:right w:val="nil"/>
            </w:tcBorders>
            <w:shd w:val="clear" w:color="000000" w:fill="FFFFFF"/>
            <w:vAlign w:val="center"/>
            <w:hideMark/>
          </w:tcPr>
          <w:p w14:paraId="15368302" w14:textId="77777777" w:rsidR="00222229" w:rsidRPr="00222229" w:rsidRDefault="00222229" w:rsidP="00222229">
            <w:pPr>
              <w:spacing w:before="0" w:after="0" w:line="240" w:lineRule="auto"/>
              <w:jc w:val="right"/>
              <w:rPr>
                <w:rFonts w:ascii="Calibri" w:eastAsia="Times New Roman" w:hAnsi="Calibri" w:cs="Calibri"/>
                <w:i/>
                <w:iCs/>
                <w:color w:val="0F6FC6" w:themeColor="accent1"/>
                <w:sz w:val="14"/>
                <w:szCs w:val="14"/>
                <w:lang w:val="en-US"/>
              </w:rPr>
            </w:pPr>
            <w:r w:rsidRPr="00222229">
              <w:rPr>
                <w:rFonts w:ascii="Calibri" w:eastAsia="Times New Roman" w:hAnsi="Calibri" w:cs="Calibri"/>
                <w:i/>
                <w:iCs/>
                <w:color w:val="0F6FC6" w:themeColor="accent1"/>
                <w:sz w:val="14"/>
                <w:szCs w:val="14"/>
                <w:lang w:val="en-US"/>
              </w:rPr>
              <w:t>mii lei</w:t>
            </w:r>
          </w:p>
        </w:tc>
        <w:tc>
          <w:tcPr>
            <w:tcW w:w="1680" w:type="dxa"/>
            <w:tcBorders>
              <w:top w:val="nil"/>
              <w:left w:val="nil"/>
              <w:bottom w:val="single" w:sz="4" w:space="0" w:color="8DB4E2"/>
              <w:right w:val="nil"/>
            </w:tcBorders>
            <w:shd w:val="clear" w:color="000000" w:fill="FFFFFF"/>
            <w:vAlign w:val="center"/>
            <w:hideMark/>
          </w:tcPr>
          <w:p w14:paraId="674C94F4" w14:textId="77777777" w:rsidR="00222229" w:rsidRPr="00222229" w:rsidRDefault="00222229" w:rsidP="00222229">
            <w:pPr>
              <w:spacing w:before="0" w:after="0" w:line="240" w:lineRule="auto"/>
              <w:jc w:val="right"/>
              <w:rPr>
                <w:rFonts w:ascii="Calibri" w:eastAsia="Times New Roman" w:hAnsi="Calibri" w:cs="Calibri"/>
                <w:color w:val="0F6FC6" w:themeColor="accent1"/>
                <w:sz w:val="14"/>
                <w:szCs w:val="14"/>
                <w:lang w:val="en-US"/>
              </w:rPr>
            </w:pPr>
            <w:r w:rsidRPr="00222229">
              <w:rPr>
                <w:rFonts w:ascii="Calibri" w:eastAsia="Times New Roman" w:hAnsi="Calibri" w:cs="Calibri"/>
                <w:color w:val="0F6FC6" w:themeColor="accent1"/>
                <w:sz w:val="14"/>
                <w:szCs w:val="14"/>
                <w:lang w:val="en-US"/>
              </w:rPr>
              <w:t>lei/pers.</w:t>
            </w:r>
          </w:p>
        </w:tc>
      </w:tr>
      <w:tr w:rsidR="00222229" w:rsidRPr="00222229" w14:paraId="4F611119" w14:textId="77777777" w:rsidTr="00222229">
        <w:trPr>
          <w:trHeight w:val="163"/>
        </w:trPr>
        <w:tc>
          <w:tcPr>
            <w:tcW w:w="2985" w:type="dxa"/>
            <w:tcBorders>
              <w:top w:val="nil"/>
              <w:left w:val="nil"/>
              <w:bottom w:val="nil"/>
              <w:right w:val="nil"/>
            </w:tcBorders>
            <w:shd w:val="clear" w:color="000000" w:fill="FFFFFF"/>
            <w:noWrap/>
            <w:hideMark/>
          </w:tcPr>
          <w:p w14:paraId="64243FFB" w14:textId="77777777" w:rsidR="00222229" w:rsidRPr="00222229" w:rsidRDefault="00222229" w:rsidP="00222229">
            <w:pPr>
              <w:spacing w:before="0" w:after="0" w:line="240" w:lineRule="auto"/>
              <w:rPr>
                <w:rFonts w:ascii="Calibri" w:eastAsia="Times New Roman" w:hAnsi="Calibri" w:cs="Calibri"/>
                <w:sz w:val="16"/>
                <w:szCs w:val="16"/>
                <w:lang w:val="en-US"/>
              </w:rPr>
            </w:pPr>
            <w:r w:rsidRPr="00222229">
              <w:rPr>
                <w:rFonts w:ascii="Calibri" w:eastAsia="Times New Roman" w:hAnsi="Calibri" w:cs="Calibri"/>
                <w:sz w:val="16"/>
                <w:szCs w:val="16"/>
                <w:lang w:val="en-US"/>
              </w:rPr>
              <w:t>2018</w:t>
            </w:r>
          </w:p>
        </w:tc>
        <w:tc>
          <w:tcPr>
            <w:tcW w:w="1110" w:type="dxa"/>
            <w:tcBorders>
              <w:top w:val="nil"/>
              <w:left w:val="nil"/>
              <w:bottom w:val="nil"/>
              <w:right w:val="nil"/>
            </w:tcBorders>
            <w:shd w:val="clear" w:color="000000" w:fill="FFFFFF"/>
            <w:noWrap/>
            <w:hideMark/>
          </w:tcPr>
          <w:p w14:paraId="5DB7699B"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1.250</w:t>
            </w:r>
          </w:p>
        </w:tc>
        <w:tc>
          <w:tcPr>
            <w:tcW w:w="1110" w:type="dxa"/>
            <w:tcBorders>
              <w:top w:val="nil"/>
              <w:left w:val="nil"/>
              <w:bottom w:val="nil"/>
              <w:right w:val="nil"/>
            </w:tcBorders>
            <w:shd w:val="clear" w:color="000000" w:fill="FFFFFF"/>
            <w:noWrap/>
            <w:hideMark/>
          </w:tcPr>
          <w:p w14:paraId="605B4EF3"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98.245</w:t>
            </w:r>
          </w:p>
        </w:tc>
        <w:tc>
          <w:tcPr>
            <w:tcW w:w="1110" w:type="dxa"/>
            <w:tcBorders>
              <w:top w:val="nil"/>
              <w:left w:val="nil"/>
              <w:bottom w:val="nil"/>
              <w:right w:val="nil"/>
            </w:tcBorders>
            <w:shd w:val="clear" w:color="000000" w:fill="FFFFFF"/>
            <w:noWrap/>
            <w:hideMark/>
          </w:tcPr>
          <w:p w14:paraId="29F0B2D8"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4.080.133</w:t>
            </w:r>
          </w:p>
        </w:tc>
        <w:tc>
          <w:tcPr>
            <w:tcW w:w="1110" w:type="dxa"/>
            <w:tcBorders>
              <w:top w:val="nil"/>
              <w:left w:val="nil"/>
              <w:bottom w:val="nil"/>
              <w:right w:val="nil"/>
            </w:tcBorders>
            <w:shd w:val="clear" w:color="000000" w:fill="FFFFFF"/>
            <w:noWrap/>
            <w:hideMark/>
          </w:tcPr>
          <w:p w14:paraId="1209D7E5"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3.804.936</w:t>
            </w:r>
          </w:p>
        </w:tc>
        <w:tc>
          <w:tcPr>
            <w:tcW w:w="1680" w:type="dxa"/>
            <w:tcBorders>
              <w:top w:val="nil"/>
              <w:left w:val="nil"/>
              <w:bottom w:val="nil"/>
              <w:right w:val="nil"/>
            </w:tcBorders>
            <w:shd w:val="clear" w:color="000000" w:fill="FFFFFF"/>
            <w:noWrap/>
            <w:hideMark/>
          </w:tcPr>
          <w:p w14:paraId="1EAC345A"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3.461</w:t>
            </w:r>
          </w:p>
        </w:tc>
      </w:tr>
      <w:tr w:rsidR="00222229" w:rsidRPr="00222229" w14:paraId="6E9DB72A" w14:textId="77777777" w:rsidTr="00222229">
        <w:trPr>
          <w:trHeight w:val="163"/>
        </w:trPr>
        <w:tc>
          <w:tcPr>
            <w:tcW w:w="2985" w:type="dxa"/>
            <w:tcBorders>
              <w:top w:val="nil"/>
              <w:left w:val="nil"/>
              <w:bottom w:val="nil"/>
              <w:right w:val="nil"/>
            </w:tcBorders>
            <w:shd w:val="clear" w:color="000000" w:fill="FFFFFF"/>
            <w:noWrap/>
            <w:hideMark/>
          </w:tcPr>
          <w:p w14:paraId="59D9D2F5" w14:textId="77777777" w:rsidR="00222229" w:rsidRPr="00222229" w:rsidRDefault="00222229" w:rsidP="00222229">
            <w:pPr>
              <w:spacing w:before="0" w:after="0" w:line="240" w:lineRule="auto"/>
              <w:rPr>
                <w:rFonts w:ascii="Calibri" w:eastAsia="Times New Roman" w:hAnsi="Calibri" w:cs="Calibri"/>
                <w:sz w:val="16"/>
                <w:szCs w:val="16"/>
                <w:lang w:val="en-US"/>
              </w:rPr>
            </w:pPr>
            <w:r w:rsidRPr="00222229">
              <w:rPr>
                <w:rFonts w:ascii="Calibri" w:eastAsia="Times New Roman" w:hAnsi="Calibri" w:cs="Calibri"/>
                <w:sz w:val="16"/>
                <w:szCs w:val="16"/>
                <w:lang w:val="en-US"/>
              </w:rPr>
              <w:t>2019</w:t>
            </w:r>
          </w:p>
        </w:tc>
        <w:tc>
          <w:tcPr>
            <w:tcW w:w="1110" w:type="dxa"/>
            <w:tcBorders>
              <w:top w:val="nil"/>
              <w:left w:val="nil"/>
              <w:bottom w:val="nil"/>
              <w:right w:val="nil"/>
            </w:tcBorders>
            <w:shd w:val="clear" w:color="000000" w:fill="FFFFFF"/>
            <w:noWrap/>
            <w:hideMark/>
          </w:tcPr>
          <w:p w14:paraId="147EE9E8"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1.237</w:t>
            </w:r>
          </w:p>
        </w:tc>
        <w:tc>
          <w:tcPr>
            <w:tcW w:w="1110" w:type="dxa"/>
            <w:tcBorders>
              <w:top w:val="nil"/>
              <w:left w:val="nil"/>
              <w:bottom w:val="nil"/>
              <w:right w:val="nil"/>
            </w:tcBorders>
            <w:shd w:val="clear" w:color="000000" w:fill="FFFFFF"/>
            <w:noWrap/>
            <w:hideMark/>
          </w:tcPr>
          <w:p w14:paraId="63E02825"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97.718</w:t>
            </w:r>
          </w:p>
        </w:tc>
        <w:tc>
          <w:tcPr>
            <w:tcW w:w="1110" w:type="dxa"/>
            <w:tcBorders>
              <w:top w:val="nil"/>
              <w:left w:val="nil"/>
              <w:bottom w:val="nil"/>
              <w:right w:val="nil"/>
            </w:tcBorders>
            <w:shd w:val="clear" w:color="000000" w:fill="FFFFFF"/>
            <w:noWrap/>
            <w:hideMark/>
          </w:tcPr>
          <w:p w14:paraId="2970FC7E"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4.955.823</w:t>
            </w:r>
          </w:p>
        </w:tc>
        <w:tc>
          <w:tcPr>
            <w:tcW w:w="1110" w:type="dxa"/>
            <w:tcBorders>
              <w:top w:val="nil"/>
              <w:left w:val="nil"/>
              <w:bottom w:val="nil"/>
              <w:right w:val="nil"/>
            </w:tcBorders>
            <w:shd w:val="clear" w:color="000000" w:fill="FFFFFF"/>
            <w:noWrap/>
            <w:hideMark/>
          </w:tcPr>
          <w:p w14:paraId="6E933A93"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4.617.723</w:t>
            </w:r>
          </w:p>
        </w:tc>
        <w:tc>
          <w:tcPr>
            <w:tcW w:w="1680" w:type="dxa"/>
            <w:tcBorders>
              <w:top w:val="nil"/>
              <w:left w:val="nil"/>
              <w:bottom w:val="nil"/>
              <w:right w:val="nil"/>
            </w:tcBorders>
            <w:shd w:val="clear" w:color="000000" w:fill="FFFFFF"/>
            <w:noWrap/>
            <w:hideMark/>
          </w:tcPr>
          <w:p w14:paraId="213AFA36"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4.226</w:t>
            </w:r>
          </w:p>
        </w:tc>
      </w:tr>
      <w:tr w:rsidR="00222229" w:rsidRPr="00222229" w14:paraId="0E740F6E" w14:textId="77777777" w:rsidTr="00222229">
        <w:trPr>
          <w:trHeight w:val="163"/>
        </w:trPr>
        <w:tc>
          <w:tcPr>
            <w:tcW w:w="2985" w:type="dxa"/>
            <w:tcBorders>
              <w:top w:val="nil"/>
              <w:left w:val="nil"/>
              <w:bottom w:val="nil"/>
              <w:right w:val="nil"/>
            </w:tcBorders>
            <w:shd w:val="clear" w:color="000000" w:fill="FFFFFF"/>
            <w:noWrap/>
            <w:hideMark/>
          </w:tcPr>
          <w:p w14:paraId="3388C663" w14:textId="77777777" w:rsidR="00222229" w:rsidRPr="00222229" w:rsidRDefault="00222229" w:rsidP="00222229">
            <w:pPr>
              <w:spacing w:before="0" w:after="0" w:line="240" w:lineRule="auto"/>
              <w:rPr>
                <w:rFonts w:ascii="Calibri" w:eastAsia="Times New Roman" w:hAnsi="Calibri" w:cs="Calibri"/>
                <w:sz w:val="16"/>
                <w:szCs w:val="16"/>
                <w:lang w:val="en-US"/>
              </w:rPr>
            </w:pPr>
            <w:r w:rsidRPr="00222229">
              <w:rPr>
                <w:rFonts w:ascii="Calibri" w:eastAsia="Times New Roman" w:hAnsi="Calibri" w:cs="Calibri"/>
                <w:sz w:val="16"/>
                <w:szCs w:val="16"/>
                <w:lang w:val="en-US"/>
              </w:rPr>
              <w:t>2020</w:t>
            </w:r>
          </w:p>
        </w:tc>
        <w:tc>
          <w:tcPr>
            <w:tcW w:w="1110" w:type="dxa"/>
            <w:tcBorders>
              <w:top w:val="nil"/>
              <w:left w:val="nil"/>
              <w:bottom w:val="nil"/>
              <w:right w:val="nil"/>
            </w:tcBorders>
            <w:shd w:val="clear" w:color="000000" w:fill="FFFFFF"/>
            <w:noWrap/>
            <w:hideMark/>
          </w:tcPr>
          <w:p w14:paraId="212F8ED2"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1.238</w:t>
            </w:r>
          </w:p>
        </w:tc>
        <w:tc>
          <w:tcPr>
            <w:tcW w:w="1110" w:type="dxa"/>
            <w:tcBorders>
              <w:top w:val="nil"/>
              <w:left w:val="nil"/>
              <w:bottom w:val="nil"/>
              <w:right w:val="nil"/>
            </w:tcBorders>
            <w:shd w:val="clear" w:color="000000" w:fill="FFFFFF"/>
            <w:noWrap/>
            <w:hideMark/>
          </w:tcPr>
          <w:p w14:paraId="3886D360"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101.447</w:t>
            </w:r>
          </w:p>
        </w:tc>
        <w:tc>
          <w:tcPr>
            <w:tcW w:w="1110" w:type="dxa"/>
            <w:tcBorders>
              <w:top w:val="nil"/>
              <w:left w:val="nil"/>
              <w:bottom w:val="nil"/>
              <w:right w:val="nil"/>
            </w:tcBorders>
            <w:shd w:val="clear" w:color="000000" w:fill="FFFFFF"/>
            <w:noWrap/>
            <w:hideMark/>
          </w:tcPr>
          <w:p w14:paraId="2767CF7C"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5.596.098</w:t>
            </w:r>
          </w:p>
        </w:tc>
        <w:tc>
          <w:tcPr>
            <w:tcW w:w="1110" w:type="dxa"/>
            <w:tcBorders>
              <w:top w:val="nil"/>
              <w:left w:val="nil"/>
              <w:bottom w:val="nil"/>
              <w:right w:val="nil"/>
            </w:tcBorders>
            <w:shd w:val="clear" w:color="000000" w:fill="FFFFFF"/>
            <w:noWrap/>
            <w:hideMark/>
          </w:tcPr>
          <w:p w14:paraId="548F9812"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5.209.005</w:t>
            </w:r>
          </w:p>
        </w:tc>
        <w:tc>
          <w:tcPr>
            <w:tcW w:w="1680" w:type="dxa"/>
            <w:tcBorders>
              <w:top w:val="nil"/>
              <w:left w:val="nil"/>
              <w:bottom w:val="nil"/>
              <w:right w:val="nil"/>
            </w:tcBorders>
            <w:shd w:val="clear" w:color="000000" w:fill="FFFFFF"/>
            <w:noWrap/>
            <w:hideMark/>
          </w:tcPr>
          <w:p w14:paraId="23C9C415"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4.597</w:t>
            </w:r>
          </w:p>
        </w:tc>
      </w:tr>
      <w:tr w:rsidR="00222229" w:rsidRPr="00222229" w14:paraId="50E6863D" w14:textId="77777777" w:rsidTr="00222229">
        <w:trPr>
          <w:trHeight w:val="244"/>
        </w:trPr>
        <w:tc>
          <w:tcPr>
            <w:tcW w:w="2985" w:type="dxa"/>
            <w:tcBorders>
              <w:top w:val="single" w:sz="4" w:space="0" w:color="8DB4E2"/>
              <w:left w:val="nil"/>
              <w:bottom w:val="single" w:sz="4" w:space="0" w:color="8DB4E2"/>
              <w:right w:val="nil"/>
            </w:tcBorders>
            <w:shd w:val="clear" w:color="000000" w:fill="FFFFFF"/>
            <w:hideMark/>
          </w:tcPr>
          <w:p w14:paraId="1580B279" w14:textId="77777777" w:rsidR="00222229" w:rsidRPr="00222229" w:rsidRDefault="00222229" w:rsidP="00222229">
            <w:pPr>
              <w:spacing w:before="0" w:after="0" w:line="240" w:lineRule="auto"/>
              <w:rPr>
                <w:rFonts w:ascii="Calibri" w:eastAsia="Times New Roman" w:hAnsi="Calibri" w:cs="Calibri"/>
                <w:sz w:val="16"/>
                <w:szCs w:val="16"/>
                <w:lang w:val="en-US"/>
              </w:rPr>
            </w:pPr>
            <w:r w:rsidRPr="00222229">
              <w:rPr>
                <w:rFonts w:ascii="Calibri" w:eastAsia="Times New Roman" w:hAnsi="Calibri" w:cs="Calibri"/>
                <w:sz w:val="16"/>
                <w:szCs w:val="16"/>
                <w:lang w:val="en-US"/>
              </w:rPr>
              <w:t>Coeficient creștere 2020 raportat la 2019</w:t>
            </w:r>
          </w:p>
        </w:tc>
        <w:tc>
          <w:tcPr>
            <w:tcW w:w="1110" w:type="dxa"/>
            <w:tcBorders>
              <w:top w:val="single" w:sz="4" w:space="0" w:color="8DB4E2"/>
              <w:left w:val="nil"/>
              <w:bottom w:val="single" w:sz="4" w:space="0" w:color="8DB4E2"/>
              <w:right w:val="nil"/>
            </w:tcBorders>
            <w:shd w:val="clear" w:color="000000" w:fill="FFFFFF"/>
            <w:noWrap/>
            <w:hideMark/>
          </w:tcPr>
          <w:p w14:paraId="054B98B0"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 </w:t>
            </w:r>
          </w:p>
        </w:tc>
        <w:tc>
          <w:tcPr>
            <w:tcW w:w="1110" w:type="dxa"/>
            <w:tcBorders>
              <w:top w:val="single" w:sz="4" w:space="0" w:color="8DB4E2"/>
              <w:left w:val="nil"/>
              <w:bottom w:val="single" w:sz="4" w:space="0" w:color="8DB4E2"/>
              <w:right w:val="nil"/>
            </w:tcBorders>
            <w:shd w:val="clear" w:color="000000" w:fill="FFFFFF"/>
            <w:noWrap/>
            <w:hideMark/>
          </w:tcPr>
          <w:p w14:paraId="402D4B6A"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103,82%</w:t>
            </w:r>
          </w:p>
        </w:tc>
        <w:tc>
          <w:tcPr>
            <w:tcW w:w="1110" w:type="dxa"/>
            <w:tcBorders>
              <w:top w:val="single" w:sz="4" w:space="0" w:color="8DB4E2"/>
              <w:left w:val="nil"/>
              <w:bottom w:val="single" w:sz="4" w:space="0" w:color="8DB4E2"/>
              <w:right w:val="nil"/>
            </w:tcBorders>
            <w:shd w:val="clear" w:color="000000" w:fill="FFFFFF"/>
            <w:noWrap/>
            <w:hideMark/>
          </w:tcPr>
          <w:p w14:paraId="24B2F32F"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112,92%</w:t>
            </w:r>
          </w:p>
        </w:tc>
        <w:tc>
          <w:tcPr>
            <w:tcW w:w="1110" w:type="dxa"/>
            <w:tcBorders>
              <w:top w:val="single" w:sz="4" w:space="0" w:color="8DB4E2"/>
              <w:left w:val="nil"/>
              <w:bottom w:val="single" w:sz="4" w:space="0" w:color="8DB4E2"/>
              <w:right w:val="nil"/>
            </w:tcBorders>
            <w:shd w:val="clear" w:color="000000" w:fill="FFFFFF"/>
            <w:noWrap/>
            <w:hideMark/>
          </w:tcPr>
          <w:p w14:paraId="0028051B"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112,80%</w:t>
            </w:r>
          </w:p>
        </w:tc>
        <w:tc>
          <w:tcPr>
            <w:tcW w:w="1680" w:type="dxa"/>
            <w:tcBorders>
              <w:top w:val="single" w:sz="4" w:space="0" w:color="8DB4E2"/>
              <w:left w:val="nil"/>
              <w:bottom w:val="single" w:sz="4" w:space="0" w:color="8DB4E2"/>
              <w:right w:val="nil"/>
            </w:tcBorders>
            <w:shd w:val="clear" w:color="000000" w:fill="FFFFFF"/>
            <w:noWrap/>
            <w:hideMark/>
          </w:tcPr>
          <w:p w14:paraId="1A5884AC" w14:textId="77777777" w:rsidR="00222229" w:rsidRPr="00222229" w:rsidRDefault="00222229" w:rsidP="00222229">
            <w:pPr>
              <w:spacing w:before="0" w:after="0" w:line="240" w:lineRule="auto"/>
              <w:jc w:val="right"/>
              <w:rPr>
                <w:rFonts w:ascii="Calibri" w:eastAsia="Times New Roman" w:hAnsi="Calibri" w:cs="Calibri"/>
                <w:sz w:val="16"/>
                <w:szCs w:val="16"/>
                <w:lang w:val="en-US"/>
              </w:rPr>
            </w:pPr>
            <w:r w:rsidRPr="00222229">
              <w:rPr>
                <w:rFonts w:ascii="Calibri" w:eastAsia="Times New Roman" w:hAnsi="Calibri" w:cs="Calibri"/>
                <w:sz w:val="16"/>
                <w:szCs w:val="16"/>
                <w:lang w:val="en-US"/>
              </w:rPr>
              <w:t>108,77%</w:t>
            </w:r>
          </w:p>
        </w:tc>
      </w:tr>
    </w:tbl>
    <w:p w14:paraId="36B8AC81" w14:textId="77777777" w:rsidR="00222229" w:rsidRDefault="00222229" w:rsidP="00C14854">
      <w:pPr>
        <w:pStyle w:val="ListParagraph"/>
        <w:ind w:left="0"/>
        <w:rPr>
          <w:rFonts w:asciiTheme="majorHAnsi" w:hAnsiTheme="majorHAnsi"/>
        </w:rPr>
      </w:pPr>
      <w:r>
        <w:rPr>
          <w:rFonts w:asciiTheme="majorHAnsi" w:hAnsiTheme="majorHAnsi"/>
          <w:noProof/>
          <w:lang w:val="en-US"/>
        </w:rPr>
        <w:drawing>
          <wp:inline distT="0" distB="0" distL="0" distR="0" wp14:anchorId="41E40BE8" wp14:editId="64A98A89">
            <wp:extent cx="2847340" cy="2853055"/>
            <wp:effectExtent l="0" t="0" r="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7340" cy="2853055"/>
                    </a:xfrm>
                    <a:prstGeom prst="rect">
                      <a:avLst/>
                    </a:prstGeom>
                    <a:noFill/>
                  </pic:spPr>
                </pic:pic>
              </a:graphicData>
            </a:graphic>
          </wp:inline>
        </w:drawing>
      </w:r>
      <w:r>
        <w:rPr>
          <w:rFonts w:asciiTheme="majorHAnsi" w:hAnsiTheme="majorHAnsi"/>
          <w:noProof/>
          <w:lang w:val="en-US"/>
        </w:rPr>
        <w:drawing>
          <wp:inline distT="0" distB="0" distL="0" distR="0" wp14:anchorId="5734A001" wp14:editId="18EB3855">
            <wp:extent cx="2840990" cy="2853055"/>
            <wp:effectExtent l="0" t="0" r="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0990" cy="2853055"/>
                    </a:xfrm>
                    <a:prstGeom prst="rect">
                      <a:avLst/>
                    </a:prstGeom>
                    <a:noFill/>
                  </pic:spPr>
                </pic:pic>
              </a:graphicData>
            </a:graphic>
          </wp:inline>
        </w:drawing>
      </w:r>
    </w:p>
    <w:p w14:paraId="65BEB4D1" w14:textId="77777777" w:rsidR="002E23E5" w:rsidRPr="002E23E5" w:rsidRDefault="002E23E5" w:rsidP="002E23E5">
      <w:pPr>
        <w:spacing w:before="0" w:after="160"/>
        <w:jc w:val="both"/>
        <w:rPr>
          <w:rFonts w:asciiTheme="majorHAnsi" w:hAnsiTheme="majorHAnsi" w:cstheme="majorBidi"/>
        </w:rPr>
      </w:pPr>
      <w:r w:rsidRPr="002E23E5">
        <w:rPr>
          <w:rFonts w:asciiTheme="majorHAnsi" w:hAnsiTheme="majorHAnsi" w:cstheme="majorBidi"/>
        </w:rPr>
        <w:t>În ceea ce privește num</w:t>
      </w:r>
      <w:r w:rsidR="00E91195">
        <w:rPr>
          <w:rFonts w:asciiTheme="majorHAnsi" w:hAnsiTheme="majorHAnsi" w:cstheme="majorBidi"/>
        </w:rPr>
        <w:t>ă</w:t>
      </w:r>
      <w:r w:rsidRPr="002E23E5">
        <w:rPr>
          <w:rFonts w:asciiTheme="majorHAnsi" w:hAnsiTheme="majorHAnsi" w:cstheme="majorBidi"/>
        </w:rPr>
        <w:t>rul de personal efectiv angajat în cadrul ÎPL active acesta a crescut  cu 3,82% în anul 2020 faț</w:t>
      </w:r>
      <w:r w:rsidR="00E91195">
        <w:rPr>
          <w:rFonts w:asciiTheme="majorHAnsi" w:hAnsiTheme="majorHAnsi" w:cstheme="majorBidi"/>
        </w:rPr>
        <w:t>ă</w:t>
      </w:r>
      <w:r w:rsidRPr="002E23E5">
        <w:rPr>
          <w:rFonts w:asciiTheme="majorHAnsi" w:hAnsiTheme="majorHAnsi" w:cstheme="majorBidi"/>
        </w:rPr>
        <w:t xml:space="preserve"> de anul 2019, ajungând la un num</w:t>
      </w:r>
      <w:r w:rsidR="00E91195">
        <w:rPr>
          <w:rFonts w:asciiTheme="majorHAnsi" w:hAnsiTheme="majorHAnsi" w:cstheme="majorBidi"/>
        </w:rPr>
        <w:t>ă</w:t>
      </w:r>
      <w:r w:rsidRPr="002E23E5">
        <w:rPr>
          <w:rFonts w:asciiTheme="majorHAnsi" w:hAnsiTheme="majorHAnsi" w:cstheme="majorBidi"/>
        </w:rPr>
        <w:t>r total de 101.447 persoane iar câștigul salarial mediu brut lunar pe persoan</w:t>
      </w:r>
      <w:r w:rsidR="00E91195">
        <w:rPr>
          <w:rFonts w:asciiTheme="majorHAnsi" w:hAnsiTheme="majorHAnsi" w:cstheme="majorBidi"/>
        </w:rPr>
        <w:t>ă</w:t>
      </w:r>
      <w:r w:rsidRPr="002E23E5">
        <w:rPr>
          <w:rFonts w:asciiTheme="majorHAnsi" w:hAnsiTheme="majorHAnsi" w:cstheme="majorBidi"/>
        </w:rPr>
        <w:t xml:space="preserve"> a crescut în anul 2019 cu 8,77%, ajungând la nivelul mediu de 4.597 lei / persoan</w:t>
      </w:r>
      <w:r w:rsidR="00E91195">
        <w:rPr>
          <w:rFonts w:asciiTheme="majorHAnsi" w:hAnsiTheme="majorHAnsi" w:cstheme="majorBidi"/>
        </w:rPr>
        <w:t>ă</w:t>
      </w:r>
      <w:r w:rsidRPr="002E23E5">
        <w:rPr>
          <w:rFonts w:asciiTheme="majorHAnsi" w:hAnsiTheme="majorHAnsi" w:cstheme="majorBidi"/>
        </w:rPr>
        <w:t>.</w:t>
      </w:r>
      <w:r w:rsidRPr="002E23E5">
        <w:rPr>
          <w:rFonts w:asciiTheme="majorHAnsi" w:hAnsiTheme="majorHAnsi" w:cstheme="majorBidi"/>
        </w:rPr>
        <w:tab/>
      </w:r>
    </w:p>
    <w:p w14:paraId="602B9B9A" w14:textId="77777777" w:rsidR="002E23E5" w:rsidRPr="002E23E5" w:rsidRDefault="002E23E5" w:rsidP="002E23E5">
      <w:pPr>
        <w:spacing w:before="0" w:after="160"/>
        <w:jc w:val="both"/>
        <w:rPr>
          <w:rFonts w:asciiTheme="majorHAnsi" w:hAnsiTheme="majorHAnsi" w:cstheme="majorBidi"/>
        </w:rPr>
      </w:pPr>
      <w:r w:rsidRPr="002E23E5">
        <w:rPr>
          <w:rFonts w:asciiTheme="majorHAnsi" w:hAnsiTheme="majorHAnsi" w:cstheme="majorBidi"/>
        </w:rPr>
        <w:t>Ponderea cheltuielilor de natur</w:t>
      </w:r>
      <w:r w:rsidR="00E91195">
        <w:rPr>
          <w:rFonts w:asciiTheme="majorHAnsi" w:hAnsiTheme="majorHAnsi" w:cstheme="majorBidi"/>
        </w:rPr>
        <w:t>ă</w:t>
      </w:r>
      <w:r w:rsidRPr="002E23E5">
        <w:rPr>
          <w:rFonts w:asciiTheme="majorHAnsi" w:hAnsiTheme="majorHAnsi" w:cstheme="majorBidi"/>
        </w:rPr>
        <w:t xml:space="preserve"> salarial</w:t>
      </w:r>
      <w:r w:rsidR="00E91195">
        <w:rPr>
          <w:rFonts w:asciiTheme="majorHAnsi" w:hAnsiTheme="majorHAnsi" w:cstheme="majorBidi"/>
        </w:rPr>
        <w:t>ă</w:t>
      </w:r>
      <w:r w:rsidRPr="002E23E5">
        <w:rPr>
          <w:rFonts w:asciiTheme="majorHAnsi" w:hAnsiTheme="majorHAnsi" w:cstheme="majorBidi"/>
        </w:rPr>
        <w:t xml:space="preserve"> în total cheltuieli de exploatare înregistrate de ÎPL are un trend cresc</w:t>
      </w:r>
      <w:r w:rsidR="00E91195">
        <w:rPr>
          <w:rFonts w:asciiTheme="majorHAnsi" w:hAnsiTheme="majorHAnsi" w:cstheme="majorBidi"/>
        </w:rPr>
        <w:t>ă</w:t>
      </w:r>
      <w:r w:rsidRPr="002E23E5">
        <w:rPr>
          <w:rFonts w:asciiTheme="majorHAnsi" w:hAnsiTheme="majorHAnsi" w:cstheme="majorBidi"/>
        </w:rPr>
        <w:t>tor în perioada 2018-2020 aceasta înregistrând în anul 2020 o creștere cu 12,92% faț</w:t>
      </w:r>
      <w:r w:rsidR="00E91195">
        <w:rPr>
          <w:rFonts w:asciiTheme="majorHAnsi" w:hAnsiTheme="majorHAnsi" w:cstheme="majorBidi"/>
        </w:rPr>
        <w:t>ă</w:t>
      </w:r>
      <w:r w:rsidRPr="002E23E5">
        <w:rPr>
          <w:rFonts w:asciiTheme="majorHAnsi" w:hAnsiTheme="majorHAnsi" w:cstheme="majorBidi"/>
        </w:rPr>
        <w:t xml:space="preserve"> de valoarea  înregistrat</w:t>
      </w:r>
      <w:r w:rsidR="00E91195">
        <w:rPr>
          <w:rFonts w:asciiTheme="majorHAnsi" w:hAnsiTheme="majorHAnsi" w:cstheme="majorBidi"/>
        </w:rPr>
        <w:t>ă</w:t>
      </w:r>
      <w:r w:rsidRPr="002E23E5">
        <w:rPr>
          <w:rFonts w:asciiTheme="majorHAnsi" w:hAnsiTheme="majorHAnsi" w:cstheme="majorBidi"/>
        </w:rPr>
        <w:t xml:space="preserve"> în anul 2019. Deși cheltuielile de natur</w:t>
      </w:r>
      <w:r w:rsidR="00E91195">
        <w:rPr>
          <w:rFonts w:asciiTheme="majorHAnsi" w:hAnsiTheme="majorHAnsi" w:cstheme="majorBidi"/>
        </w:rPr>
        <w:t>ă</w:t>
      </w:r>
      <w:r w:rsidRPr="002E23E5">
        <w:rPr>
          <w:rFonts w:asciiTheme="majorHAnsi" w:hAnsiTheme="majorHAnsi" w:cstheme="majorBidi"/>
        </w:rPr>
        <w:t xml:space="preserve"> salarial</w:t>
      </w:r>
      <w:r w:rsidR="00E91195">
        <w:rPr>
          <w:rFonts w:asciiTheme="majorHAnsi" w:hAnsiTheme="majorHAnsi" w:cstheme="majorBidi"/>
        </w:rPr>
        <w:t>ă</w:t>
      </w:r>
      <w:r w:rsidRPr="002E23E5">
        <w:rPr>
          <w:rFonts w:asciiTheme="majorHAnsi" w:hAnsiTheme="majorHAnsi" w:cstheme="majorBidi"/>
        </w:rPr>
        <w:t xml:space="preserve"> înregistrate în cadrul ÎPL active au crescut</w:t>
      </w:r>
      <w:r w:rsidR="0087608D">
        <w:rPr>
          <w:rFonts w:asciiTheme="majorHAnsi" w:hAnsiTheme="majorHAnsi" w:cstheme="majorBidi"/>
        </w:rPr>
        <w:t>,</w:t>
      </w:r>
      <w:r w:rsidRPr="002E23E5">
        <w:rPr>
          <w:rFonts w:asciiTheme="majorHAnsi" w:hAnsiTheme="majorHAnsi" w:cstheme="majorBidi"/>
        </w:rPr>
        <w:t xml:space="preserve"> totuși câștigul salarial mediu brut lunar înregistrat în cadrul ÎPL nu ține pasul cu creșterea câștigului salarial mediu brut înregistrat pe economie.</w:t>
      </w:r>
    </w:p>
    <w:p w14:paraId="03FD4F72" w14:textId="77777777" w:rsidR="002E23E5" w:rsidRPr="002E23E5" w:rsidRDefault="002E23E5" w:rsidP="002E23E5">
      <w:pPr>
        <w:spacing w:before="0" w:after="160"/>
        <w:jc w:val="both"/>
        <w:rPr>
          <w:rFonts w:asciiTheme="majorHAnsi" w:hAnsiTheme="majorHAnsi" w:cstheme="majorBidi"/>
        </w:rPr>
      </w:pPr>
      <w:r w:rsidRPr="002E23E5">
        <w:rPr>
          <w:rFonts w:asciiTheme="majorHAnsi" w:hAnsiTheme="majorHAnsi" w:cstheme="majorBidi"/>
        </w:rPr>
        <w:t>Ponderea cheltuielilor de natur</w:t>
      </w:r>
      <w:r w:rsidR="00E91195">
        <w:rPr>
          <w:rFonts w:asciiTheme="majorHAnsi" w:hAnsiTheme="majorHAnsi" w:cstheme="majorBidi"/>
        </w:rPr>
        <w:t>ă</w:t>
      </w:r>
      <w:r w:rsidRPr="002E23E5">
        <w:rPr>
          <w:rFonts w:asciiTheme="majorHAnsi" w:hAnsiTheme="majorHAnsi" w:cstheme="majorBidi"/>
        </w:rPr>
        <w:t xml:space="preserve"> salarial</w:t>
      </w:r>
      <w:r w:rsidR="00E91195">
        <w:rPr>
          <w:rFonts w:asciiTheme="majorHAnsi" w:hAnsiTheme="majorHAnsi" w:cstheme="majorBidi"/>
        </w:rPr>
        <w:t>ă</w:t>
      </w:r>
      <w:r w:rsidRPr="002E23E5">
        <w:rPr>
          <w:rFonts w:asciiTheme="majorHAnsi" w:hAnsiTheme="majorHAnsi" w:cstheme="majorBidi"/>
        </w:rPr>
        <w:t xml:space="preserve"> în total cheltuieli de exploatare a crescut cu 7,00% în perioada 2018-2020 ajungând la valoarea 42,44 % în anul 2020 de  la valoarea 40,54% înregistrat</w:t>
      </w:r>
      <w:r w:rsidR="00E91195">
        <w:rPr>
          <w:rFonts w:asciiTheme="majorHAnsi" w:hAnsiTheme="majorHAnsi" w:cstheme="majorBidi"/>
        </w:rPr>
        <w:t>ă</w:t>
      </w:r>
      <w:r w:rsidRPr="002E23E5">
        <w:rPr>
          <w:rFonts w:asciiTheme="majorHAnsi" w:hAnsiTheme="majorHAnsi" w:cstheme="majorBidi"/>
        </w:rPr>
        <w:t xml:space="preserve"> în anul 2018.</w:t>
      </w:r>
    </w:p>
    <w:p w14:paraId="27DD7C7E" w14:textId="77777777" w:rsidR="00083504" w:rsidRDefault="002E23E5" w:rsidP="00F83DE8">
      <w:pPr>
        <w:spacing w:before="0" w:after="160"/>
        <w:jc w:val="both"/>
        <w:rPr>
          <w:rFonts w:asciiTheme="majorHAnsi" w:hAnsiTheme="majorHAnsi" w:cstheme="majorBidi"/>
        </w:rPr>
      </w:pPr>
      <w:r w:rsidRPr="002E23E5">
        <w:rPr>
          <w:rFonts w:asciiTheme="majorHAnsi" w:hAnsiTheme="majorHAnsi" w:cstheme="majorBidi"/>
        </w:rPr>
        <w:t>Productivitatea muncii exprimat</w:t>
      </w:r>
      <w:r w:rsidR="00E91195">
        <w:rPr>
          <w:rFonts w:asciiTheme="majorHAnsi" w:hAnsiTheme="majorHAnsi" w:cstheme="majorBidi"/>
        </w:rPr>
        <w:t>ă</w:t>
      </w:r>
      <w:r w:rsidRPr="002E23E5">
        <w:rPr>
          <w:rFonts w:asciiTheme="majorHAnsi" w:hAnsiTheme="majorHAnsi" w:cstheme="majorBidi"/>
        </w:rPr>
        <w:t xml:space="preserve"> în unit</w:t>
      </w:r>
      <w:r w:rsidR="00E91195">
        <w:rPr>
          <w:rFonts w:asciiTheme="majorHAnsi" w:hAnsiTheme="majorHAnsi" w:cstheme="majorBidi"/>
        </w:rPr>
        <w:t>ă</w:t>
      </w:r>
      <w:r w:rsidRPr="002E23E5">
        <w:rPr>
          <w:rFonts w:asciiTheme="majorHAnsi" w:hAnsiTheme="majorHAnsi" w:cstheme="majorBidi"/>
        </w:rPr>
        <w:t>ți valorice</w:t>
      </w:r>
      <w:r w:rsidR="0087608D">
        <w:rPr>
          <w:rFonts w:asciiTheme="majorHAnsi" w:hAnsiTheme="majorHAnsi" w:cstheme="majorBidi"/>
        </w:rPr>
        <w:t>,</w:t>
      </w:r>
      <w:r w:rsidRPr="002E23E5">
        <w:rPr>
          <w:rFonts w:asciiTheme="majorHAnsi" w:hAnsiTheme="majorHAnsi" w:cstheme="majorBidi"/>
        </w:rPr>
        <w:t xml:space="preserve"> calculat</w:t>
      </w:r>
      <w:r w:rsidR="00E91195">
        <w:rPr>
          <w:rFonts w:asciiTheme="majorHAnsi" w:hAnsiTheme="majorHAnsi" w:cstheme="majorBidi"/>
        </w:rPr>
        <w:t>ă</w:t>
      </w:r>
      <w:r w:rsidRPr="002E23E5">
        <w:rPr>
          <w:rFonts w:asciiTheme="majorHAnsi" w:hAnsiTheme="majorHAnsi" w:cstheme="majorBidi"/>
        </w:rPr>
        <w:t xml:space="preserve"> prin raportarea veniturilor din exploatare la num</w:t>
      </w:r>
      <w:r w:rsidR="00E91195">
        <w:rPr>
          <w:rFonts w:asciiTheme="majorHAnsi" w:hAnsiTheme="majorHAnsi" w:cstheme="majorBidi"/>
        </w:rPr>
        <w:t>ă</w:t>
      </w:r>
      <w:r w:rsidRPr="002E23E5">
        <w:rPr>
          <w:rFonts w:asciiTheme="majorHAnsi" w:hAnsiTheme="majorHAnsi" w:cstheme="majorBidi"/>
        </w:rPr>
        <w:t>rul de personal și productivitatea muncii în unit</w:t>
      </w:r>
      <w:r w:rsidR="00E91195">
        <w:rPr>
          <w:rFonts w:asciiTheme="majorHAnsi" w:hAnsiTheme="majorHAnsi" w:cstheme="majorBidi"/>
        </w:rPr>
        <w:t>ă</w:t>
      </w:r>
      <w:r w:rsidRPr="002E23E5">
        <w:rPr>
          <w:rFonts w:asciiTheme="majorHAnsi" w:hAnsiTheme="majorHAnsi" w:cstheme="majorBidi"/>
        </w:rPr>
        <w:t>ți valorice</w:t>
      </w:r>
      <w:r w:rsidR="0087608D">
        <w:rPr>
          <w:rFonts w:asciiTheme="majorHAnsi" w:hAnsiTheme="majorHAnsi" w:cstheme="majorBidi"/>
        </w:rPr>
        <w:t>,</w:t>
      </w:r>
      <w:r w:rsidRPr="002E23E5">
        <w:rPr>
          <w:rFonts w:asciiTheme="majorHAnsi" w:hAnsiTheme="majorHAnsi" w:cstheme="majorBidi"/>
        </w:rPr>
        <w:t xml:space="preserve"> calculat</w:t>
      </w:r>
      <w:r w:rsidR="00E91195">
        <w:rPr>
          <w:rFonts w:asciiTheme="majorHAnsi" w:hAnsiTheme="majorHAnsi" w:cstheme="majorBidi"/>
        </w:rPr>
        <w:t>ă</w:t>
      </w:r>
      <w:r w:rsidRPr="002E23E5">
        <w:rPr>
          <w:rFonts w:asciiTheme="majorHAnsi" w:hAnsiTheme="majorHAnsi" w:cstheme="majorBidi"/>
        </w:rPr>
        <w:t xml:space="preserve"> prin raportarea cifrei de afaceri nete la num</w:t>
      </w:r>
      <w:r w:rsidR="00E91195">
        <w:rPr>
          <w:rFonts w:asciiTheme="majorHAnsi" w:hAnsiTheme="majorHAnsi" w:cstheme="majorBidi"/>
        </w:rPr>
        <w:t>ă</w:t>
      </w:r>
      <w:r w:rsidRPr="002E23E5">
        <w:rPr>
          <w:rFonts w:asciiTheme="majorHAnsi" w:hAnsiTheme="majorHAnsi" w:cstheme="majorBidi"/>
        </w:rPr>
        <w:t>rul de personal</w:t>
      </w:r>
      <w:r w:rsidR="0087608D">
        <w:rPr>
          <w:rFonts w:asciiTheme="majorHAnsi" w:hAnsiTheme="majorHAnsi" w:cstheme="majorBidi"/>
        </w:rPr>
        <w:t>,</w:t>
      </w:r>
      <w:r w:rsidRPr="002E23E5">
        <w:rPr>
          <w:rFonts w:asciiTheme="majorHAnsi" w:hAnsiTheme="majorHAnsi" w:cstheme="majorBidi"/>
        </w:rPr>
        <w:t xml:space="preserve"> înregistreaz</w:t>
      </w:r>
      <w:r w:rsidR="00E91195">
        <w:rPr>
          <w:rFonts w:asciiTheme="majorHAnsi" w:hAnsiTheme="majorHAnsi" w:cstheme="majorBidi"/>
        </w:rPr>
        <w:t>ă</w:t>
      </w:r>
      <w:r w:rsidRPr="002E23E5">
        <w:rPr>
          <w:rFonts w:asciiTheme="majorHAnsi" w:hAnsiTheme="majorHAnsi" w:cstheme="majorBidi"/>
        </w:rPr>
        <w:t xml:space="preserve"> un trend ascendent în perioada analizat</w:t>
      </w:r>
      <w:r w:rsidR="00E91195">
        <w:rPr>
          <w:rFonts w:asciiTheme="majorHAnsi" w:hAnsiTheme="majorHAnsi" w:cstheme="majorBidi"/>
        </w:rPr>
        <w:t>ă</w:t>
      </w:r>
      <w:r w:rsidRPr="002E23E5">
        <w:rPr>
          <w:rFonts w:asciiTheme="majorHAnsi" w:hAnsiTheme="majorHAnsi" w:cstheme="majorBidi"/>
        </w:rPr>
        <w:t xml:space="preserve"> crescând cu o pondere de 24,95% respectiv 25,07%.</w:t>
      </w:r>
    </w:p>
    <w:p w14:paraId="76FDAA76" w14:textId="77777777" w:rsidR="006C3ECB" w:rsidRDefault="00F83DE8" w:rsidP="00F83DE8">
      <w:pPr>
        <w:spacing w:before="0" w:after="160"/>
        <w:jc w:val="both"/>
        <w:rPr>
          <w:rFonts w:asciiTheme="majorHAnsi" w:hAnsiTheme="majorHAnsi" w:cstheme="majorBidi"/>
        </w:rPr>
      </w:pPr>
      <w:r w:rsidRPr="00D95C57">
        <w:rPr>
          <w:rFonts w:asciiTheme="majorHAnsi" w:hAnsiTheme="majorHAnsi" w:cstheme="majorBidi"/>
        </w:rPr>
        <w:t xml:space="preserve"> </w:t>
      </w:r>
      <w:r w:rsidR="00083504" w:rsidRPr="00083504">
        <w:rPr>
          <w:rFonts w:asciiTheme="majorHAnsi" w:hAnsiTheme="majorHAnsi" w:cstheme="majorBidi"/>
        </w:rPr>
        <w:t>TABEL – Situația cheltuielilor cu salariile pentru anul 2020 pe regiuni de dezvoltare</w:t>
      </w:r>
    </w:p>
    <w:tbl>
      <w:tblPr>
        <w:tblW w:w="9271" w:type="dxa"/>
        <w:tblInd w:w="93" w:type="dxa"/>
        <w:tblLook w:val="04A0" w:firstRow="1" w:lastRow="0" w:firstColumn="1" w:lastColumn="0" w:noHBand="0" w:noVBand="1"/>
      </w:tblPr>
      <w:tblGrid>
        <w:gridCol w:w="3441"/>
        <w:gridCol w:w="1124"/>
        <w:gridCol w:w="1124"/>
        <w:gridCol w:w="1124"/>
        <w:gridCol w:w="1124"/>
        <w:gridCol w:w="1334"/>
      </w:tblGrid>
      <w:tr w:rsidR="00D018DD" w:rsidRPr="00D018DD" w14:paraId="2110577A" w14:textId="77777777" w:rsidTr="00083504">
        <w:trPr>
          <w:trHeight w:val="594"/>
        </w:trPr>
        <w:tc>
          <w:tcPr>
            <w:tcW w:w="3441" w:type="dxa"/>
            <w:vMerge w:val="restart"/>
            <w:tcBorders>
              <w:top w:val="single" w:sz="4" w:space="0" w:color="8DB4E2"/>
              <w:left w:val="single" w:sz="4" w:space="0" w:color="FFFFFF"/>
              <w:bottom w:val="single" w:sz="4" w:space="0" w:color="8DB4E2"/>
              <w:right w:val="single" w:sz="4" w:space="0" w:color="FFFFFF"/>
            </w:tcBorders>
            <w:shd w:val="clear" w:color="000000" w:fill="FFFFFF"/>
            <w:hideMark/>
          </w:tcPr>
          <w:p w14:paraId="7C817603" w14:textId="77777777" w:rsidR="00D018DD" w:rsidRPr="00083504" w:rsidRDefault="00D018DD" w:rsidP="00D018DD">
            <w:pPr>
              <w:spacing w:before="0" w:after="0" w:line="240" w:lineRule="auto"/>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Regiune dezvoltare</w:t>
            </w:r>
          </w:p>
        </w:tc>
        <w:tc>
          <w:tcPr>
            <w:tcW w:w="1124" w:type="dxa"/>
            <w:tcBorders>
              <w:top w:val="single" w:sz="4" w:space="0" w:color="8DB4E2"/>
              <w:left w:val="nil"/>
              <w:bottom w:val="single" w:sz="4" w:space="0" w:color="8DB4E2"/>
              <w:right w:val="single" w:sz="4" w:space="0" w:color="FFFFFF"/>
            </w:tcBorders>
            <w:shd w:val="clear" w:color="000000" w:fill="FFFFFF"/>
            <w:hideMark/>
          </w:tcPr>
          <w:p w14:paraId="0D9948C1" w14:textId="77777777" w:rsidR="00D018DD" w:rsidRPr="00083504" w:rsidRDefault="00D018DD" w:rsidP="00D018DD">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Nr. ÎPL</w:t>
            </w:r>
          </w:p>
        </w:tc>
        <w:tc>
          <w:tcPr>
            <w:tcW w:w="1124" w:type="dxa"/>
            <w:tcBorders>
              <w:top w:val="single" w:sz="4" w:space="0" w:color="8DB4E2"/>
              <w:left w:val="nil"/>
              <w:bottom w:val="single" w:sz="4" w:space="0" w:color="8DB4E2"/>
              <w:right w:val="single" w:sz="4" w:space="0" w:color="FFFFFF"/>
            </w:tcBorders>
            <w:shd w:val="clear" w:color="000000" w:fill="FFFFFF"/>
            <w:hideMark/>
          </w:tcPr>
          <w:p w14:paraId="4C88CABC" w14:textId="77777777" w:rsidR="00D018DD" w:rsidRPr="00083504" w:rsidRDefault="00D018DD" w:rsidP="00D018DD">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Număr efectiv de personal</w:t>
            </w:r>
          </w:p>
        </w:tc>
        <w:tc>
          <w:tcPr>
            <w:tcW w:w="1124" w:type="dxa"/>
            <w:tcBorders>
              <w:top w:val="single" w:sz="4" w:space="0" w:color="8DB4E2"/>
              <w:left w:val="nil"/>
              <w:bottom w:val="single" w:sz="4" w:space="0" w:color="8DB4E2"/>
              <w:right w:val="single" w:sz="4" w:space="0" w:color="FFFFFF"/>
            </w:tcBorders>
            <w:shd w:val="clear" w:color="000000" w:fill="FFFFFF"/>
            <w:hideMark/>
          </w:tcPr>
          <w:p w14:paraId="36D67819" w14:textId="77777777" w:rsidR="00D018DD" w:rsidRPr="00083504" w:rsidRDefault="00D018DD" w:rsidP="00D018DD">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 xml:space="preserve">Cheltuieli de natură salarială </w:t>
            </w:r>
          </w:p>
        </w:tc>
        <w:tc>
          <w:tcPr>
            <w:tcW w:w="1124" w:type="dxa"/>
            <w:tcBorders>
              <w:top w:val="single" w:sz="4" w:space="0" w:color="8DB4E2"/>
              <w:left w:val="nil"/>
              <w:bottom w:val="single" w:sz="4" w:space="0" w:color="8DB4E2"/>
              <w:right w:val="single" w:sz="4" w:space="0" w:color="FFFFFF"/>
            </w:tcBorders>
            <w:shd w:val="clear" w:color="000000" w:fill="FFFFFF"/>
            <w:hideMark/>
          </w:tcPr>
          <w:p w14:paraId="5CCA1CD7" w14:textId="77777777" w:rsidR="00D018DD" w:rsidRPr="00083504" w:rsidRDefault="00D018DD" w:rsidP="00D018DD">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Cheltuieli cu salariile</w:t>
            </w:r>
          </w:p>
        </w:tc>
        <w:tc>
          <w:tcPr>
            <w:tcW w:w="1334" w:type="dxa"/>
            <w:tcBorders>
              <w:top w:val="single" w:sz="4" w:space="0" w:color="8DB4E2"/>
              <w:left w:val="nil"/>
              <w:bottom w:val="single" w:sz="4" w:space="0" w:color="8DB4E2"/>
              <w:right w:val="single" w:sz="4" w:space="0" w:color="FFFFFF"/>
            </w:tcBorders>
            <w:shd w:val="clear" w:color="000000" w:fill="FFFFFF"/>
            <w:hideMark/>
          </w:tcPr>
          <w:p w14:paraId="50C14211" w14:textId="77777777" w:rsidR="00D018DD" w:rsidRPr="00083504" w:rsidRDefault="00D018DD" w:rsidP="00D018DD">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Câștig salarial mediu brut lunar pe persoană</w:t>
            </w:r>
          </w:p>
        </w:tc>
      </w:tr>
      <w:tr w:rsidR="00D018DD" w:rsidRPr="00D018DD" w14:paraId="5D86E8E7" w14:textId="77777777" w:rsidTr="00083504">
        <w:trPr>
          <w:trHeight w:val="237"/>
        </w:trPr>
        <w:tc>
          <w:tcPr>
            <w:tcW w:w="3441" w:type="dxa"/>
            <w:vMerge/>
            <w:tcBorders>
              <w:top w:val="single" w:sz="4" w:space="0" w:color="8DB4E2"/>
              <w:left w:val="single" w:sz="4" w:space="0" w:color="FFFFFF"/>
              <w:bottom w:val="single" w:sz="4" w:space="0" w:color="8DB4E2"/>
              <w:right w:val="single" w:sz="4" w:space="0" w:color="FFFFFF"/>
            </w:tcBorders>
            <w:vAlign w:val="center"/>
            <w:hideMark/>
          </w:tcPr>
          <w:p w14:paraId="0AF899DF" w14:textId="77777777" w:rsidR="00D018DD" w:rsidRPr="00083504" w:rsidRDefault="00D018DD" w:rsidP="00D018DD">
            <w:pPr>
              <w:spacing w:before="0" w:after="0" w:line="240" w:lineRule="auto"/>
              <w:rPr>
                <w:rFonts w:ascii="Calibri" w:eastAsia="Times New Roman" w:hAnsi="Calibri" w:cs="Calibri"/>
                <w:color w:val="0F6FC6" w:themeColor="accent1"/>
                <w:sz w:val="16"/>
                <w:szCs w:val="16"/>
                <w:lang w:val="en-US"/>
              </w:rPr>
            </w:pPr>
          </w:p>
        </w:tc>
        <w:tc>
          <w:tcPr>
            <w:tcW w:w="1124" w:type="dxa"/>
            <w:tcBorders>
              <w:top w:val="nil"/>
              <w:left w:val="nil"/>
              <w:bottom w:val="single" w:sz="4" w:space="0" w:color="8DB4E2"/>
              <w:right w:val="single" w:sz="4" w:space="0" w:color="FFFFFF"/>
            </w:tcBorders>
            <w:shd w:val="clear" w:color="000000" w:fill="FFFFFF"/>
            <w:hideMark/>
          </w:tcPr>
          <w:p w14:paraId="7E33BC7A"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1</w:t>
            </w:r>
          </w:p>
        </w:tc>
        <w:tc>
          <w:tcPr>
            <w:tcW w:w="1124" w:type="dxa"/>
            <w:tcBorders>
              <w:top w:val="nil"/>
              <w:left w:val="nil"/>
              <w:bottom w:val="single" w:sz="4" w:space="0" w:color="8DB4E2"/>
              <w:right w:val="single" w:sz="4" w:space="0" w:color="FFFFFF"/>
            </w:tcBorders>
            <w:shd w:val="clear" w:color="000000" w:fill="FFFFFF"/>
            <w:hideMark/>
          </w:tcPr>
          <w:p w14:paraId="21D28491"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2</w:t>
            </w:r>
          </w:p>
        </w:tc>
        <w:tc>
          <w:tcPr>
            <w:tcW w:w="1124" w:type="dxa"/>
            <w:tcBorders>
              <w:top w:val="nil"/>
              <w:left w:val="nil"/>
              <w:bottom w:val="single" w:sz="4" w:space="0" w:color="8DB4E2"/>
              <w:right w:val="single" w:sz="4" w:space="0" w:color="FFFFFF"/>
            </w:tcBorders>
            <w:shd w:val="clear" w:color="000000" w:fill="FFFFFF"/>
            <w:hideMark/>
          </w:tcPr>
          <w:p w14:paraId="2434660D"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3</w:t>
            </w:r>
          </w:p>
        </w:tc>
        <w:tc>
          <w:tcPr>
            <w:tcW w:w="1124" w:type="dxa"/>
            <w:tcBorders>
              <w:top w:val="nil"/>
              <w:left w:val="nil"/>
              <w:bottom w:val="single" w:sz="4" w:space="0" w:color="8DB4E2"/>
              <w:right w:val="single" w:sz="4" w:space="0" w:color="FFFFFF"/>
            </w:tcBorders>
            <w:shd w:val="clear" w:color="000000" w:fill="FFFFFF"/>
            <w:hideMark/>
          </w:tcPr>
          <w:p w14:paraId="093BBD1E"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4</w:t>
            </w:r>
          </w:p>
        </w:tc>
        <w:tc>
          <w:tcPr>
            <w:tcW w:w="1334" w:type="dxa"/>
            <w:tcBorders>
              <w:top w:val="nil"/>
              <w:left w:val="nil"/>
              <w:bottom w:val="single" w:sz="4" w:space="0" w:color="8DB4E2"/>
              <w:right w:val="single" w:sz="4" w:space="0" w:color="FFFFFF"/>
            </w:tcBorders>
            <w:shd w:val="clear" w:color="000000" w:fill="FFFFFF"/>
            <w:hideMark/>
          </w:tcPr>
          <w:p w14:paraId="53D2EACF" w14:textId="77777777" w:rsidR="00D018DD" w:rsidRPr="00083504" w:rsidRDefault="00D018DD" w:rsidP="00D018DD">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5=((col 3*1000)/col 2)/12</w:t>
            </w:r>
          </w:p>
        </w:tc>
      </w:tr>
      <w:tr w:rsidR="00D018DD" w:rsidRPr="00D018DD" w14:paraId="0DE0A628" w14:textId="77777777" w:rsidTr="00083504">
        <w:trPr>
          <w:trHeight w:val="198"/>
        </w:trPr>
        <w:tc>
          <w:tcPr>
            <w:tcW w:w="3441" w:type="dxa"/>
            <w:vMerge/>
            <w:tcBorders>
              <w:top w:val="single" w:sz="4" w:space="0" w:color="8DB4E2"/>
              <w:left w:val="single" w:sz="4" w:space="0" w:color="FFFFFF"/>
              <w:bottom w:val="single" w:sz="4" w:space="0" w:color="8DB4E2"/>
              <w:right w:val="single" w:sz="4" w:space="0" w:color="FFFFFF"/>
            </w:tcBorders>
            <w:vAlign w:val="center"/>
            <w:hideMark/>
          </w:tcPr>
          <w:p w14:paraId="1BA1E0BA" w14:textId="77777777" w:rsidR="00D018DD" w:rsidRPr="00083504" w:rsidRDefault="00D018DD" w:rsidP="00D018DD">
            <w:pPr>
              <w:spacing w:before="0" w:after="0" w:line="240" w:lineRule="auto"/>
              <w:rPr>
                <w:rFonts w:ascii="Calibri" w:eastAsia="Times New Roman" w:hAnsi="Calibri" w:cs="Calibri"/>
                <w:color w:val="0F6FC6" w:themeColor="accent1"/>
                <w:sz w:val="16"/>
                <w:szCs w:val="16"/>
                <w:lang w:val="en-US"/>
              </w:rPr>
            </w:pPr>
          </w:p>
        </w:tc>
        <w:tc>
          <w:tcPr>
            <w:tcW w:w="1124" w:type="dxa"/>
            <w:tcBorders>
              <w:top w:val="nil"/>
              <w:left w:val="nil"/>
              <w:bottom w:val="single" w:sz="4" w:space="0" w:color="8DB4E2"/>
              <w:right w:val="single" w:sz="4" w:space="0" w:color="FFFFFF"/>
            </w:tcBorders>
            <w:shd w:val="clear" w:color="000000" w:fill="FFFFFF"/>
            <w:hideMark/>
          </w:tcPr>
          <w:p w14:paraId="2C370E3F"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nr.</w:t>
            </w:r>
          </w:p>
        </w:tc>
        <w:tc>
          <w:tcPr>
            <w:tcW w:w="1124" w:type="dxa"/>
            <w:tcBorders>
              <w:top w:val="nil"/>
              <w:left w:val="nil"/>
              <w:bottom w:val="single" w:sz="4" w:space="0" w:color="8DB4E2"/>
              <w:right w:val="single" w:sz="4" w:space="0" w:color="FFFFFF"/>
            </w:tcBorders>
            <w:shd w:val="clear" w:color="000000" w:fill="FFFFFF"/>
            <w:hideMark/>
          </w:tcPr>
          <w:p w14:paraId="572A5616"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nr pers</w:t>
            </w:r>
          </w:p>
        </w:tc>
        <w:tc>
          <w:tcPr>
            <w:tcW w:w="1124" w:type="dxa"/>
            <w:tcBorders>
              <w:top w:val="nil"/>
              <w:left w:val="nil"/>
              <w:bottom w:val="single" w:sz="4" w:space="0" w:color="8DB4E2"/>
              <w:right w:val="single" w:sz="4" w:space="0" w:color="FFFFFF"/>
            </w:tcBorders>
            <w:shd w:val="clear" w:color="000000" w:fill="FFFFFF"/>
            <w:hideMark/>
          </w:tcPr>
          <w:p w14:paraId="0E35639C"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mii lei</w:t>
            </w:r>
          </w:p>
        </w:tc>
        <w:tc>
          <w:tcPr>
            <w:tcW w:w="1124" w:type="dxa"/>
            <w:tcBorders>
              <w:top w:val="nil"/>
              <w:left w:val="nil"/>
              <w:bottom w:val="single" w:sz="4" w:space="0" w:color="8DB4E2"/>
              <w:right w:val="single" w:sz="4" w:space="0" w:color="FFFFFF"/>
            </w:tcBorders>
            <w:shd w:val="clear" w:color="000000" w:fill="FFFFFF"/>
            <w:hideMark/>
          </w:tcPr>
          <w:p w14:paraId="313B1471" w14:textId="77777777" w:rsidR="00D018DD" w:rsidRPr="00083504" w:rsidRDefault="00D018DD" w:rsidP="00D018DD">
            <w:pPr>
              <w:spacing w:before="0" w:after="0" w:line="240" w:lineRule="auto"/>
              <w:jc w:val="right"/>
              <w:rPr>
                <w:rFonts w:ascii="Calibri" w:eastAsia="Times New Roman" w:hAnsi="Calibri" w:cs="Calibri"/>
                <w:i/>
                <w:iCs/>
                <w:color w:val="0F6FC6" w:themeColor="accent1"/>
                <w:sz w:val="14"/>
                <w:szCs w:val="14"/>
                <w:lang w:val="en-US"/>
              </w:rPr>
            </w:pPr>
            <w:r w:rsidRPr="00083504">
              <w:rPr>
                <w:rFonts w:ascii="Calibri" w:eastAsia="Times New Roman" w:hAnsi="Calibri" w:cs="Calibri"/>
                <w:i/>
                <w:iCs/>
                <w:color w:val="0F6FC6" w:themeColor="accent1"/>
                <w:sz w:val="14"/>
                <w:szCs w:val="14"/>
                <w:lang w:val="en-US"/>
              </w:rPr>
              <w:t>mii lei</w:t>
            </w:r>
          </w:p>
        </w:tc>
        <w:tc>
          <w:tcPr>
            <w:tcW w:w="1334" w:type="dxa"/>
            <w:tcBorders>
              <w:top w:val="nil"/>
              <w:left w:val="nil"/>
              <w:bottom w:val="single" w:sz="4" w:space="0" w:color="8DB4E2"/>
              <w:right w:val="single" w:sz="4" w:space="0" w:color="FFFFFF"/>
            </w:tcBorders>
            <w:shd w:val="clear" w:color="000000" w:fill="FFFFFF"/>
            <w:hideMark/>
          </w:tcPr>
          <w:p w14:paraId="428BF271" w14:textId="77777777" w:rsidR="00D018DD" w:rsidRPr="00083504" w:rsidRDefault="00D018DD" w:rsidP="00D018DD">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lei/pers.</w:t>
            </w:r>
          </w:p>
        </w:tc>
      </w:tr>
      <w:tr w:rsidR="00D018DD" w:rsidRPr="00D018DD" w14:paraId="78CB388C"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7E52FC7B"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BUCURESTI-ILFOV</w:t>
            </w:r>
          </w:p>
        </w:tc>
        <w:tc>
          <w:tcPr>
            <w:tcW w:w="1124" w:type="dxa"/>
            <w:tcBorders>
              <w:top w:val="nil"/>
              <w:left w:val="nil"/>
              <w:bottom w:val="single" w:sz="8" w:space="0" w:color="FFFFFF"/>
              <w:right w:val="single" w:sz="8" w:space="0" w:color="FFFFFF"/>
            </w:tcBorders>
            <w:shd w:val="clear" w:color="auto" w:fill="auto"/>
            <w:noWrap/>
            <w:hideMark/>
          </w:tcPr>
          <w:p w14:paraId="50AD047A"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90</w:t>
            </w:r>
          </w:p>
        </w:tc>
        <w:tc>
          <w:tcPr>
            <w:tcW w:w="1124" w:type="dxa"/>
            <w:tcBorders>
              <w:top w:val="nil"/>
              <w:left w:val="nil"/>
              <w:bottom w:val="single" w:sz="8" w:space="0" w:color="FFFFFF"/>
              <w:right w:val="single" w:sz="8" w:space="0" w:color="FFFFFF"/>
            </w:tcBorders>
            <w:shd w:val="clear" w:color="auto" w:fill="auto"/>
            <w:noWrap/>
            <w:hideMark/>
          </w:tcPr>
          <w:p w14:paraId="189197A9"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24.598</w:t>
            </w:r>
          </w:p>
        </w:tc>
        <w:tc>
          <w:tcPr>
            <w:tcW w:w="1124" w:type="dxa"/>
            <w:tcBorders>
              <w:top w:val="nil"/>
              <w:left w:val="nil"/>
              <w:bottom w:val="single" w:sz="8" w:space="0" w:color="FFFFFF"/>
              <w:right w:val="single" w:sz="8" w:space="0" w:color="FFFFFF"/>
            </w:tcBorders>
            <w:shd w:val="clear" w:color="auto" w:fill="auto"/>
            <w:noWrap/>
            <w:hideMark/>
          </w:tcPr>
          <w:p w14:paraId="2473F1FB"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1.716.419</w:t>
            </w:r>
          </w:p>
        </w:tc>
        <w:tc>
          <w:tcPr>
            <w:tcW w:w="1124" w:type="dxa"/>
            <w:tcBorders>
              <w:top w:val="nil"/>
              <w:left w:val="nil"/>
              <w:bottom w:val="single" w:sz="8" w:space="0" w:color="FFFFFF"/>
              <w:right w:val="single" w:sz="8" w:space="0" w:color="FFFFFF"/>
            </w:tcBorders>
            <w:shd w:val="clear" w:color="auto" w:fill="auto"/>
            <w:noWrap/>
            <w:hideMark/>
          </w:tcPr>
          <w:p w14:paraId="0F16FDE2"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1.626.263</w:t>
            </w:r>
          </w:p>
        </w:tc>
        <w:tc>
          <w:tcPr>
            <w:tcW w:w="1334" w:type="dxa"/>
            <w:tcBorders>
              <w:top w:val="nil"/>
              <w:left w:val="nil"/>
              <w:bottom w:val="single" w:sz="8" w:space="0" w:color="FFFFFF"/>
              <w:right w:val="single" w:sz="8" w:space="0" w:color="FFFFFF"/>
            </w:tcBorders>
            <w:shd w:val="clear" w:color="auto" w:fill="auto"/>
            <w:noWrap/>
            <w:hideMark/>
          </w:tcPr>
          <w:p w14:paraId="00167676"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5.815</w:t>
            </w:r>
          </w:p>
        </w:tc>
      </w:tr>
      <w:tr w:rsidR="00D018DD" w:rsidRPr="00D018DD" w14:paraId="4A99737B"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27454F18"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NORD-VEST</w:t>
            </w:r>
          </w:p>
        </w:tc>
        <w:tc>
          <w:tcPr>
            <w:tcW w:w="1124" w:type="dxa"/>
            <w:tcBorders>
              <w:top w:val="nil"/>
              <w:left w:val="nil"/>
              <w:bottom w:val="single" w:sz="8" w:space="0" w:color="FFFFFF"/>
              <w:right w:val="single" w:sz="8" w:space="0" w:color="FFFFFF"/>
            </w:tcBorders>
            <w:shd w:val="clear" w:color="auto" w:fill="auto"/>
            <w:noWrap/>
            <w:hideMark/>
          </w:tcPr>
          <w:p w14:paraId="28F81321"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185</w:t>
            </w:r>
          </w:p>
        </w:tc>
        <w:tc>
          <w:tcPr>
            <w:tcW w:w="1124" w:type="dxa"/>
            <w:tcBorders>
              <w:top w:val="nil"/>
              <w:left w:val="nil"/>
              <w:bottom w:val="single" w:sz="8" w:space="0" w:color="FFFFFF"/>
              <w:right w:val="single" w:sz="8" w:space="0" w:color="FFFFFF"/>
            </w:tcBorders>
            <w:shd w:val="clear" w:color="auto" w:fill="auto"/>
            <w:noWrap/>
            <w:hideMark/>
          </w:tcPr>
          <w:p w14:paraId="5002906F"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13.219</w:t>
            </w:r>
          </w:p>
        </w:tc>
        <w:tc>
          <w:tcPr>
            <w:tcW w:w="1124" w:type="dxa"/>
            <w:tcBorders>
              <w:top w:val="nil"/>
              <w:left w:val="nil"/>
              <w:bottom w:val="single" w:sz="8" w:space="0" w:color="FFFFFF"/>
              <w:right w:val="single" w:sz="8" w:space="0" w:color="FFFFFF"/>
            </w:tcBorders>
            <w:shd w:val="clear" w:color="auto" w:fill="auto"/>
            <w:noWrap/>
            <w:hideMark/>
          </w:tcPr>
          <w:p w14:paraId="0D6BDC0D"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692.556</w:t>
            </w:r>
          </w:p>
        </w:tc>
        <w:tc>
          <w:tcPr>
            <w:tcW w:w="1124" w:type="dxa"/>
            <w:tcBorders>
              <w:top w:val="nil"/>
              <w:left w:val="nil"/>
              <w:bottom w:val="single" w:sz="8" w:space="0" w:color="FFFFFF"/>
              <w:right w:val="single" w:sz="8" w:space="0" w:color="FFFFFF"/>
            </w:tcBorders>
            <w:shd w:val="clear" w:color="auto" w:fill="auto"/>
            <w:noWrap/>
            <w:hideMark/>
          </w:tcPr>
          <w:p w14:paraId="7DE59D82"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631.915</w:t>
            </w:r>
          </w:p>
        </w:tc>
        <w:tc>
          <w:tcPr>
            <w:tcW w:w="1334" w:type="dxa"/>
            <w:tcBorders>
              <w:top w:val="nil"/>
              <w:left w:val="nil"/>
              <w:bottom w:val="single" w:sz="8" w:space="0" w:color="FFFFFF"/>
              <w:right w:val="single" w:sz="8" w:space="0" w:color="FFFFFF"/>
            </w:tcBorders>
            <w:shd w:val="clear" w:color="auto" w:fill="auto"/>
            <w:noWrap/>
            <w:hideMark/>
          </w:tcPr>
          <w:p w14:paraId="6CD88CAB"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4.366</w:t>
            </w:r>
          </w:p>
        </w:tc>
      </w:tr>
      <w:tr w:rsidR="00D018DD" w:rsidRPr="00D018DD" w14:paraId="08CCDC3A"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7BF01D28"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SUD-EST</w:t>
            </w:r>
          </w:p>
        </w:tc>
        <w:tc>
          <w:tcPr>
            <w:tcW w:w="1124" w:type="dxa"/>
            <w:tcBorders>
              <w:top w:val="nil"/>
              <w:left w:val="nil"/>
              <w:bottom w:val="single" w:sz="8" w:space="0" w:color="FFFFFF"/>
              <w:right w:val="single" w:sz="8" w:space="0" w:color="FFFFFF"/>
            </w:tcBorders>
            <w:shd w:val="clear" w:color="auto" w:fill="auto"/>
            <w:noWrap/>
            <w:hideMark/>
          </w:tcPr>
          <w:p w14:paraId="459B81D0"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154</w:t>
            </w:r>
          </w:p>
        </w:tc>
        <w:tc>
          <w:tcPr>
            <w:tcW w:w="1124" w:type="dxa"/>
            <w:tcBorders>
              <w:top w:val="nil"/>
              <w:left w:val="nil"/>
              <w:bottom w:val="single" w:sz="8" w:space="0" w:color="FFFFFF"/>
              <w:right w:val="single" w:sz="8" w:space="0" w:color="FFFFFF"/>
            </w:tcBorders>
            <w:shd w:val="clear" w:color="auto" w:fill="auto"/>
            <w:noWrap/>
            <w:hideMark/>
          </w:tcPr>
          <w:p w14:paraId="79CFF32F"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13.150</w:t>
            </w:r>
          </w:p>
        </w:tc>
        <w:tc>
          <w:tcPr>
            <w:tcW w:w="1124" w:type="dxa"/>
            <w:tcBorders>
              <w:top w:val="nil"/>
              <w:left w:val="nil"/>
              <w:bottom w:val="single" w:sz="8" w:space="0" w:color="FFFFFF"/>
              <w:right w:val="single" w:sz="8" w:space="0" w:color="FFFFFF"/>
            </w:tcBorders>
            <w:shd w:val="clear" w:color="auto" w:fill="auto"/>
            <w:noWrap/>
            <w:hideMark/>
          </w:tcPr>
          <w:p w14:paraId="39B13E1F"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655.349</w:t>
            </w:r>
          </w:p>
        </w:tc>
        <w:tc>
          <w:tcPr>
            <w:tcW w:w="1124" w:type="dxa"/>
            <w:tcBorders>
              <w:top w:val="nil"/>
              <w:left w:val="nil"/>
              <w:bottom w:val="single" w:sz="8" w:space="0" w:color="FFFFFF"/>
              <w:right w:val="single" w:sz="8" w:space="0" w:color="FFFFFF"/>
            </w:tcBorders>
            <w:shd w:val="clear" w:color="auto" w:fill="auto"/>
            <w:noWrap/>
            <w:hideMark/>
          </w:tcPr>
          <w:p w14:paraId="5FA90267"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613.280</w:t>
            </w:r>
          </w:p>
        </w:tc>
        <w:tc>
          <w:tcPr>
            <w:tcW w:w="1334" w:type="dxa"/>
            <w:tcBorders>
              <w:top w:val="nil"/>
              <w:left w:val="nil"/>
              <w:bottom w:val="single" w:sz="8" w:space="0" w:color="FFFFFF"/>
              <w:right w:val="single" w:sz="8" w:space="0" w:color="FFFFFF"/>
            </w:tcBorders>
            <w:shd w:val="clear" w:color="auto" w:fill="auto"/>
            <w:noWrap/>
            <w:hideMark/>
          </w:tcPr>
          <w:p w14:paraId="71CE0CC5"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4.153</w:t>
            </w:r>
          </w:p>
        </w:tc>
      </w:tr>
      <w:tr w:rsidR="00D018DD" w:rsidRPr="00D018DD" w14:paraId="07C3919E"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36295DE2"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NORD-EST</w:t>
            </w:r>
          </w:p>
        </w:tc>
        <w:tc>
          <w:tcPr>
            <w:tcW w:w="1124" w:type="dxa"/>
            <w:tcBorders>
              <w:top w:val="nil"/>
              <w:left w:val="nil"/>
              <w:bottom w:val="single" w:sz="8" w:space="0" w:color="FFFFFF"/>
              <w:right w:val="single" w:sz="8" w:space="0" w:color="FFFFFF"/>
            </w:tcBorders>
            <w:shd w:val="clear" w:color="auto" w:fill="auto"/>
            <w:noWrap/>
            <w:hideMark/>
          </w:tcPr>
          <w:p w14:paraId="6C038582"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94</w:t>
            </w:r>
          </w:p>
        </w:tc>
        <w:tc>
          <w:tcPr>
            <w:tcW w:w="1124" w:type="dxa"/>
            <w:tcBorders>
              <w:top w:val="nil"/>
              <w:left w:val="nil"/>
              <w:bottom w:val="single" w:sz="8" w:space="0" w:color="FFFFFF"/>
              <w:right w:val="single" w:sz="8" w:space="0" w:color="FFFFFF"/>
            </w:tcBorders>
            <w:shd w:val="clear" w:color="auto" w:fill="auto"/>
            <w:noWrap/>
            <w:hideMark/>
          </w:tcPr>
          <w:p w14:paraId="5E25C755"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11.738</w:t>
            </w:r>
          </w:p>
        </w:tc>
        <w:tc>
          <w:tcPr>
            <w:tcW w:w="1124" w:type="dxa"/>
            <w:tcBorders>
              <w:top w:val="nil"/>
              <w:left w:val="nil"/>
              <w:bottom w:val="single" w:sz="8" w:space="0" w:color="FFFFFF"/>
              <w:right w:val="single" w:sz="8" w:space="0" w:color="FFFFFF"/>
            </w:tcBorders>
            <w:shd w:val="clear" w:color="auto" w:fill="auto"/>
            <w:noWrap/>
            <w:hideMark/>
          </w:tcPr>
          <w:p w14:paraId="6A5CF280"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614.503</w:t>
            </w:r>
          </w:p>
        </w:tc>
        <w:tc>
          <w:tcPr>
            <w:tcW w:w="1124" w:type="dxa"/>
            <w:tcBorders>
              <w:top w:val="nil"/>
              <w:left w:val="nil"/>
              <w:bottom w:val="single" w:sz="8" w:space="0" w:color="FFFFFF"/>
              <w:right w:val="single" w:sz="8" w:space="0" w:color="FFFFFF"/>
            </w:tcBorders>
            <w:shd w:val="clear" w:color="auto" w:fill="auto"/>
            <w:noWrap/>
            <w:hideMark/>
          </w:tcPr>
          <w:p w14:paraId="0AD0048D"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560.598</w:t>
            </w:r>
          </w:p>
        </w:tc>
        <w:tc>
          <w:tcPr>
            <w:tcW w:w="1334" w:type="dxa"/>
            <w:tcBorders>
              <w:top w:val="nil"/>
              <w:left w:val="nil"/>
              <w:bottom w:val="single" w:sz="8" w:space="0" w:color="FFFFFF"/>
              <w:right w:val="single" w:sz="8" w:space="0" w:color="FFFFFF"/>
            </w:tcBorders>
            <w:shd w:val="clear" w:color="auto" w:fill="auto"/>
            <w:noWrap/>
            <w:hideMark/>
          </w:tcPr>
          <w:p w14:paraId="694B45D9"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4.363</w:t>
            </w:r>
          </w:p>
        </w:tc>
      </w:tr>
      <w:tr w:rsidR="00D018DD" w:rsidRPr="00D018DD" w14:paraId="0E6D176C"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74B61092"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CENTRU</w:t>
            </w:r>
          </w:p>
        </w:tc>
        <w:tc>
          <w:tcPr>
            <w:tcW w:w="1124" w:type="dxa"/>
            <w:tcBorders>
              <w:top w:val="nil"/>
              <w:left w:val="nil"/>
              <w:bottom w:val="single" w:sz="8" w:space="0" w:color="FFFFFF"/>
              <w:right w:val="single" w:sz="8" w:space="0" w:color="FFFFFF"/>
            </w:tcBorders>
            <w:shd w:val="clear" w:color="auto" w:fill="auto"/>
            <w:noWrap/>
            <w:hideMark/>
          </w:tcPr>
          <w:p w14:paraId="07A69765"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169</w:t>
            </w:r>
          </w:p>
        </w:tc>
        <w:tc>
          <w:tcPr>
            <w:tcW w:w="1124" w:type="dxa"/>
            <w:tcBorders>
              <w:top w:val="nil"/>
              <w:left w:val="nil"/>
              <w:bottom w:val="single" w:sz="8" w:space="0" w:color="FFFFFF"/>
              <w:right w:val="single" w:sz="8" w:space="0" w:color="FFFFFF"/>
            </w:tcBorders>
            <w:shd w:val="clear" w:color="auto" w:fill="auto"/>
            <w:noWrap/>
            <w:hideMark/>
          </w:tcPr>
          <w:p w14:paraId="1D0AB5F7"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9.721</w:t>
            </w:r>
          </w:p>
        </w:tc>
        <w:tc>
          <w:tcPr>
            <w:tcW w:w="1124" w:type="dxa"/>
            <w:tcBorders>
              <w:top w:val="nil"/>
              <w:left w:val="nil"/>
              <w:bottom w:val="single" w:sz="8" w:space="0" w:color="FFFFFF"/>
              <w:right w:val="single" w:sz="8" w:space="0" w:color="FFFFFF"/>
            </w:tcBorders>
            <w:shd w:val="clear" w:color="auto" w:fill="auto"/>
            <w:noWrap/>
            <w:hideMark/>
          </w:tcPr>
          <w:p w14:paraId="3EF38804"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523.965</w:t>
            </w:r>
          </w:p>
        </w:tc>
        <w:tc>
          <w:tcPr>
            <w:tcW w:w="1124" w:type="dxa"/>
            <w:tcBorders>
              <w:top w:val="nil"/>
              <w:left w:val="nil"/>
              <w:bottom w:val="single" w:sz="8" w:space="0" w:color="FFFFFF"/>
              <w:right w:val="single" w:sz="8" w:space="0" w:color="FFFFFF"/>
            </w:tcBorders>
            <w:shd w:val="clear" w:color="auto" w:fill="auto"/>
            <w:noWrap/>
            <w:hideMark/>
          </w:tcPr>
          <w:p w14:paraId="1FB5DFA4"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479.036</w:t>
            </w:r>
          </w:p>
        </w:tc>
        <w:tc>
          <w:tcPr>
            <w:tcW w:w="1334" w:type="dxa"/>
            <w:tcBorders>
              <w:top w:val="nil"/>
              <w:left w:val="nil"/>
              <w:bottom w:val="single" w:sz="8" w:space="0" w:color="FFFFFF"/>
              <w:right w:val="single" w:sz="8" w:space="0" w:color="FFFFFF"/>
            </w:tcBorders>
            <w:shd w:val="clear" w:color="auto" w:fill="auto"/>
            <w:noWrap/>
            <w:hideMark/>
          </w:tcPr>
          <w:p w14:paraId="1F51566B"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4.492</w:t>
            </w:r>
          </w:p>
        </w:tc>
      </w:tr>
      <w:tr w:rsidR="00D018DD" w:rsidRPr="00D018DD" w14:paraId="5B6443DF"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0A2847D4"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 xml:space="preserve">SUD </w:t>
            </w:r>
          </w:p>
        </w:tc>
        <w:tc>
          <w:tcPr>
            <w:tcW w:w="1124" w:type="dxa"/>
            <w:tcBorders>
              <w:top w:val="nil"/>
              <w:left w:val="nil"/>
              <w:bottom w:val="single" w:sz="8" w:space="0" w:color="FFFFFF"/>
              <w:right w:val="single" w:sz="8" w:space="0" w:color="FFFFFF"/>
            </w:tcBorders>
            <w:shd w:val="clear" w:color="auto" w:fill="auto"/>
            <w:noWrap/>
            <w:hideMark/>
          </w:tcPr>
          <w:p w14:paraId="46584F54"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212</w:t>
            </w:r>
          </w:p>
        </w:tc>
        <w:tc>
          <w:tcPr>
            <w:tcW w:w="1124" w:type="dxa"/>
            <w:tcBorders>
              <w:top w:val="nil"/>
              <w:left w:val="nil"/>
              <w:bottom w:val="single" w:sz="8" w:space="0" w:color="FFFFFF"/>
              <w:right w:val="single" w:sz="8" w:space="0" w:color="FFFFFF"/>
            </w:tcBorders>
            <w:shd w:val="clear" w:color="auto" w:fill="auto"/>
            <w:noWrap/>
            <w:hideMark/>
          </w:tcPr>
          <w:p w14:paraId="44E83603"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10.942</w:t>
            </w:r>
          </w:p>
        </w:tc>
        <w:tc>
          <w:tcPr>
            <w:tcW w:w="1124" w:type="dxa"/>
            <w:tcBorders>
              <w:top w:val="nil"/>
              <w:left w:val="nil"/>
              <w:bottom w:val="single" w:sz="8" w:space="0" w:color="FFFFFF"/>
              <w:right w:val="single" w:sz="8" w:space="0" w:color="FFFFFF"/>
            </w:tcBorders>
            <w:shd w:val="clear" w:color="auto" w:fill="auto"/>
            <w:noWrap/>
            <w:hideMark/>
          </w:tcPr>
          <w:p w14:paraId="1B6CEB88"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501.343</w:t>
            </w:r>
          </w:p>
        </w:tc>
        <w:tc>
          <w:tcPr>
            <w:tcW w:w="1124" w:type="dxa"/>
            <w:tcBorders>
              <w:top w:val="nil"/>
              <w:left w:val="nil"/>
              <w:bottom w:val="single" w:sz="8" w:space="0" w:color="FFFFFF"/>
              <w:right w:val="single" w:sz="8" w:space="0" w:color="FFFFFF"/>
            </w:tcBorders>
            <w:shd w:val="clear" w:color="auto" w:fill="auto"/>
            <w:noWrap/>
            <w:hideMark/>
          </w:tcPr>
          <w:p w14:paraId="3C947D19"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469.877</w:t>
            </w:r>
          </w:p>
        </w:tc>
        <w:tc>
          <w:tcPr>
            <w:tcW w:w="1334" w:type="dxa"/>
            <w:tcBorders>
              <w:top w:val="nil"/>
              <w:left w:val="nil"/>
              <w:bottom w:val="single" w:sz="8" w:space="0" w:color="FFFFFF"/>
              <w:right w:val="single" w:sz="8" w:space="0" w:color="FFFFFF"/>
            </w:tcBorders>
            <w:shd w:val="clear" w:color="auto" w:fill="auto"/>
            <w:noWrap/>
            <w:hideMark/>
          </w:tcPr>
          <w:p w14:paraId="279006DE"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3.818</w:t>
            </w:r>
          </w:p>
        </w:tc>
      </w:tr>
      <w:tr w:rsidR="00D018DD" w:rsidRPr="00D018DD" w14:paraId="583A5880" w14:textId="77777777" w:rsidTr="00083504">
        <w:trPr>
          <w:trHeight w:val="208"/>
        </w:trPr>
        <w:tc>
          <w:tcPr>
            <w:tcW w:w="3441" w:type="dxa"/>
            <w:tcBorders>
              <w:top w:val="nil"/>
              <w:left w:val="single" w:sz="8" w:space="0" w:color="FFFFFF"/>
              <w:bottom w:val="single" w:sz="8" w:space="0" w:color="FFFFFF"/>
              <w:right w:val="single" w:sz="8" w:space="0" w:color="FFFFFF"/>
            </w:tcBorders>
            <w:shd w:val="clear" w:color="auto" w:fill="auto"/>
            <w:noWrap/>
            <w:hideMark/>
          </w:tcPr>
          <w:p w14:paraId="308C97F5"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VEST</w:t>
            </w:r>
          </w:p>
        </w:tc>
        <w:tc>
          <w:tcPr>
            <w:tcW w:w="1124" w:type="dxa"/>
            <w:tcBorders>
              <w:top w:val="nil"/>
              <w:left w:val="nil"/>
              <w:bottom w:val="single" w:sz="8" w:space="0" w:color="FFFFFF"/>
              <w:right w:val="single" w:sz="8" w:space="0" w:color="FFFFFF"/>
            </w:tcBorders>
            <w:shd w:val="clear" w:color="auto" w:fill="auto"/>
            <w:noWrap/>
            <w:hideMark/>
          </w:tcPr>
          <w:p w14:paraId="1CAE5298"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158</w:t>
            </w:r>
          </w:p>
        </w:tc>
        <w:tc>
          <w:tcPr>
            <w:tcW w:w="1124" w:type="dxa"/>
            <w:tcBorders>
              <w:top w:val="nil"/>
              <w:left w:val="nil"/>
              <w:bottom w:val="single" w:sz="8" w:space="0" w:color="FFFFFF"/>
              <w:right w:val="single" w:sz="8" w:space="0" w:color="FFFFFF"/>
            </w:tcBorders>
            <w:shd w:val="clear" w:color="auto" w:fill="auto"/>
            <w:noWrap/>
            <w:hideMark/>
          </w:tcPr>
          <w:p w14:paraId="66A35AB9"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9.552</w:t>
            </w:r>
          </w:p>
        </w:tc>
        <w:tc>
          <w:tcPr>
            <w:tcW w:w="1124" w:type="dxa"/>
            <w:tcBorders>
              <w:top w:val="nil"/>
              <w:left w:val="nil"/>
              <w:bottom w:val="single" w:sz="8" w:space="0" w:color="FFFFFF"/>
              <w:right w:val="single" w:sz="8" w:space="0" w:color="FFFFFF"/>
            </w:tcBorders>
            <w:shd w:val="clear" w:color="auto" w:fill="auto"/>
            <w:noWrap/>
            <w:hideMark/>
          </w:tcPr>
          <w:p w14:paraId="23DC4C51"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482.885</w:t>
            </w:r>
          </w:p>
        </w:tc>
        <w:tc>
          <w:tcPr>
            <w:tcW w:w="1124" w:type="dxa"/>
            <w:tcBorders>
              <w:top w:val="nil"/>
              <w:left w:val="nil"/>
              <w:bottom w:val="single" w:sz="8" w:space="0" w:color="FFFFFF"/>
              <w:right w:val="single" w:sz="8" w:space="0" w:color="FFFFFF"/>
            </w:tcBorders>
            <w:shd w:val="clear" w:color="auto" w:fill="auto"/>
            <w:noWrap/>
            <w:hideMark/>
          </w:tcPr>
          <w:p w14:paraId="5568827C"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454.071</w:t>
            </w:r>
          </w:p>
        </w:tc>
        <w:tc>
          <w:tcPr>
            <w:tcW w:w="1334" w:type="dxa"/>
            <w:tcBorders>
              <w:top w:val="nil"/>
              <w:left w:val="nil"/>
              <w:bottom w:val="single" w:sz="8" w:space="0" w:color="FFFFFF"/>
              <w:right w:val="single" w:sz="8" w:space="0" w:color="FFFFFF"/>
            </w:tcBorders>
            <w:shd w:val="clear" w:color="auto" w:fill="auto"/>
            <w:noWrap/>
            <w:hideMark/>
          </w:tcPr>
          <w:p w14:paraId="2562BEB1"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4.213</w:t>
            </w:r>
          </w:p>
        </w:tc>
      </w:tr>
      <w:tr w:rsidR="00D018DD" w:rsidRPr="00D018DD" w14:paraId="151ABA5B" w14:textId="77777777" w:rsidTr="00083504">
        <w:trPr>
          <w:trHeight w:val="198"/>
        </w:trPr>
        <w:tc>
          <w:tcPr>
            <w:tcW w:w="3441" w:type="dxa"/>
            <w:tcBorders>
              <w:top w:val="nil"/>
              <w:left w:val="single" w:sz="8" w:space="0" w:color="FFFFFF"/>
              <w:bottom w:val="nil"/>
              <w:right w:val="single" w:sz="8" w:space="0" w:color="FFFFFF"/>
            </w:tcBorders>
            <w:shd w:val="clear" w:color="auto" w:fill="auto"/>
            <w:noWrap/>
            <w:hideMark/>
          </w:tcPr>
          <w:p w14:paraId="51621C49" w14:textId="77777777" w:rsidR="00D018DD" w:rsidRPr="00083504" w:rsidRDefault="00D018DD" w:rsidP="00D018DD">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SUD-VEST</w:t>
            </w:r>
          </w:p>
        </w:tc>
        <w:tc>
          <w:tcPr>
            <w:tcW w:w="1124" w:type="dxa"/>
            <w:tcBorders>
              <w:top w:val="nil"/>
              <w:left w:val="nil"/>
              <w:bottom w:val="nil"/>
              <w:right w:val="single" w:sz="8" w:space="0" w:color="FFFFFF"/>
            </w:tcBorders>
            <w:shd w:val="clear" w:color="auto" w:fill="auto"/>
            <w:noWrap/>
            <w:hideMark/>
          </w:tcPr>
          <w:p w14:paraId="3BE40B0A"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176</w:t>
            </w:r>
          </w:p>
        </w:tc>
        <w:tc>
          <w:tcPr>
            <w:tcW w:w="1124" w:type="dxa"/>
            <w:tcBorders>
              <w:top w:val="nil"/>
              <w:left w:val="nil"/>
              <w:bottom w:val="nil"/>
              <w:right w:val="single" w:sz="8" w:space="0" w:color="FFFFFF"/>
            </w:tcBorders>
            <w:shd w:val="clear" w:color="auto" w:fill="auto"/>
            <w:noWrap/>
            <w:hideMark/>
          </w:tcPr>
          <w:p w14:paraId="36885567"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8.527</w:t>
            </w:r>
          </w:p>
        </w:tc>
        <w:tc>
          <w:tcPr>
            <w:tcW w:w="1124" w:type="dxa"/>
            <w:tcBorders>
              <w:top w:val="nil"/>
              <w:left w:val="nil"/>
              <w:bottom w:val="nil"/>
              <w:right w:val="single" w:sz="8" w:space="0" w:color="FFFFFF"/>
            </w:tcBorders>
            <w:shd w:val="clear" w:color="auto" w:fill="auto"/>
            <w:noWrap/>
            <w:hideMark/>
          </w:tcPr>
          <w:p w14:paraId="274110EF"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409.078</w:t>
            </w:r>
          </w:p>
        </w:tc>
        <w:tc>
          <w:tcPr>
            <w:tcW w:w="1124" w:type="dxa"/>
            <w:tcBorders>
              <w:top w:val="nil"/>
              <w:left w:val="nil"/>
              <w:bottom w:val="nil"/>
              <w:right w:val="single" w:sz="8" w:space="0" w:color="FFFFFF"/>
            </w:tcBorders>
            <w:shd w:val="clear" w:color="auto" w:fill="auto"/>
            <w:noWrap/>
            <w:hideMark/>
          </w:tcPr>
          <w:p w14:paraId="0633635D"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373.965</w:t>
            </w:r>
          </w:p>
        </w:tc>
        <w:tc>
          <w:tcPr>
            <w:tcW w:w="1334" w:type="dxa"/>
            <w:tcBorders>
              <w:top w:val="nil"/>
              <w:left w:val="nil"/>
              <w:bottom w:val="nil"/>
              <w:right w:val="single" w:sz="8" w:space="0" w:color="FFFFFF"/>
            </w:tcBorders>
            <w:shd w:val="clear" w:color="auto" w:fill="auto"/>
            <w:noWrap/>
            <w:hideMark/>
          </w:tcPr>
          <w:p w14:paraId="7C77A5A6" w14:textId="77777777" w:rsidR="00D018DD" w:rsidRPr="00083504" w:rsidRDefault="00D018DD" w:rsidP="00D018DD">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3.998</w:t>
            </w:r>
          </w:p>
        </w:tc>
      </w:tr>
      <w:tr w:rsidR="00D018DD" w:rsidRPr="00D018DD" w14:paraId="4E549258" w14:textId="77777777" w:rsidTr="00083504">
        <w:trPr>
          <w:trHeight w:val="198"/>
        </w:trPr>
        <w:tc>
          <w:tcPr>
            <w:tcW w:w="3441" w:type="dxa"/>
            <w:tcBorders>
              <w:top w:val="single" w:sz="4" w:space="0" w:color="8DB4E2"/>
              <w:left w:val="single" w:sz="4" w:space="0" w:color="FFFFFF"/>
              <w:bottom w:val="single" w:sz="4" w:space="0" w:color="8DB4E2"/>
              <w:right w:val="single" w:sz="4" w:space="0" w:color="FFFFFF"/>
            </w:tcBorders>
            <w:shd w:val="clear" w:color="auto" w:fill="auto"/>
            <w:noWrap/>
            <w:hideMark/>
          </w:tcPr>
          <w:p w14:paraId="3D6C0203" w14:textId="77777777" w:rsidR="00D018DD" w:rsidRPr="00083504" w:rsidRDefault="00D018DD" w:rsidP="00D018DD">
            <w:pPr>
              <w:spacing w:before="0" w:after="0" w:line="240" w:lineRule="auto"/>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Total general 2020</w:t>
            </w:r>
          </w:p>
        </w:tc>
        <w:tc>
          <w:tcPr>
            <w:tcW w:w="1124" w:type="dxa"/>
            <w:tcBorders>
              <w:top w:val="single" w:sz="4" w:space="0" w:color="8DB4E2"/>
              <w:left w:val="nil"/>
              <w:bottom w:val="single" w:sz="4" w:space="0" w:color="8DB4E2"/>
              <w:right w:val="single" w:sz="4" w:space="0" w:color="FFFFFF"/>
            </w:tcBorders>
            <w:shd w:val="clear" w:color="auto" w:fill="auto"/>
            <w:noWrap/>
            <w:hideMark/>
          </w:tcPr>
          <w:p w14:paraId="7395F578" w14:textId="77777777" w:rsidR="00D018DD" w:rsidRPr="00083504" w:rsidRDefault="00D018DD" w:rsidP="00D018DD">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1.238</w:t>
            </w:r>
          </w:p>
        </w:tc>
        <w:tc>
          <w:tcPr>
            <w:tcW w:w="1124" w:type="dxa"/>
            <w:tcBorders>
              <w:top w:val="single" w:sz="4" w:space="0" w:color="8DB4E2"/>
              <w:left w:val="nil"/>
              <w:bottom w:val="single" w:sz="4" w:space="0" w:color="8DB4E2"/>
              <w:right w:val="single" w:sz="4" w:space="0" w:color="FFFFFF"/>
            </w:tcBorders>
            <w:shd w:val="clear" w:color="auto" w:fill="auto"/>
            <w:noWrap/>
            <w:hideMark/>
          </w:tcPr>
          <w:p w14:paraId="5AF6E844" w14:textId="77777777" w:rsidR="00D018DD" w:rsidRPr="00083504" w:rsidRDefault="00D018DD" w:rsidP="00D018DD">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101.447</w:t>
            </w:r>
          </w:p>
        </w:tc>
        <w:tc>
          <w:tcPr>
            <w:tcW w:w="1124" w:type="dxa"/>
            <w:tcBorders>
              <w:top w:val="single" w:sz="4" w:space="0" w:color="8DB4E2"/>
              <w:left w:val="nil"/>
              <w:bottom w:val="single" w:sz="4" w:space="0" w:color="8DB4E2"/>
              <w:right w:val="single" w:sz="4" w:space="0" w:color="FFFFFF"/>
            </w:tcBorders>
            <w:shd w:val="clear" w:color="auto" w:fill="auto"/>
            <w:noWrap/>
            <w:hideMark/>
          </w:tcPr>
          <w:p w14:paraId="4D39534A" w14:textId="77777777" w:rsidR="00D018DD" w:rsidRPr="00083504" w:rsidRDefault="00D018DD" w:rsidP="00D018DD">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5.596.098</w:t>
            </w:r>
          </w:p>
        </w:tc>
        <w:tc>
          <w:tcPr>
            <w:tcW w:w="1124" w:type="dxa"/>
            <w:tcBorders>
              <w:top w:val="single" w:sz="4" w:space="0" w:color="8DB4E2"/>
              <w:left w:val="nil"/>
              <w:bottom w:val="single" w:sz="4" w:space="0" w:color="8DB4E2"/>
              <w:right w:val="single" w:sz="4" w:space="0" w:color="FFFFFF"/>
            </w:tcBorders>
            <w:shd w:val="clear" w:color="auto" w:fill="auto"/>
            <w:noWrap/>
            <w:hideMark/>
          </w:tcPr>
          <w:p w14:paraId="2B3D2EE0" w14:textId="77777777" w:rsidR="00D018DD" w:rsidRPr="00083504" w:rsidRDefault="00D018DD" w:rsidP="00D018DD">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5.209.005</w:t>
            </w:r>
          </w:p>
        </w:tc>
        <w:tc>
          <w:tcPr>
            <w:tcW w:w="1334" w:type="dxa"/>
            <w:tcBorders>
              <w:top w:val="single" w:sz="4" w:space="0" w:color="8DB4E2"/>
              <w:left w:val="nil"/>
              <w:bottom w:val="single" w:sz="4" w:space="0" w:color="8DB4E2"/>
              <w:right w:val="single" w:sz="4" w:space="0" w:color="FFFFFF"/>
            </w:tcBorders>
            <w:shd w:val="clear" w:color="auto" w:fill="auto"/>
            <w:noWrap/>
            <w:hideMark/>
          </w:tcPr>
          <w:p w14:paraId="653C1DEA" w14:textId="77777777" w:rsidR="00D018DD" w:rsidRPr="00083504" w:rsidRDefault="00D018DD" w:rsidP="00D018DD">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4.597</w:t>
            </w:r>
          </w:p>
        </w:tc>
      </w:tr>
    </w:tbl>
    <w:p w14:paraId="1D7F08DF" w14:textId="77777777" w:rsidR="006C3ECB" w:rsidRDefault="006C3ECB" w:rsidP="00F83DE8">
      <w:pPr>
        <w:spacing w:before="0" w:after="160"/>
        <w:jc w:val="both"/>
        <w:rPr>
          <w:rFonts w:asciiTheme="majorHAnsi" w:hAnsiTheme="majorHAnsi" w:cstheme="majorBidi"/>
        </w:rPr>
      </w:pPr>
    </w:p>
    <w:p w14:paraId="2D8410C1" w14:textId="77777777" w:rsidR="00083504" w:rsidRDefault="00083504" w:rsidP="00F83DE8">
      <w:pPr>
        <w:spacing w:before="0" w:after="160"/>
        <w:jc w:val="both"/>
        <w:rPr>
          <w:rFonts w:asciiTheme="majorHAnsi" w:hAnsiTheme="majorHAnsi" w:cstheme="majorBidi"/>
        </w:rPr>
      </w:pPr>
      <w:r>
        <w:rPr>
          <w:rFonts w:asciiTheme="majorHAnsi" w:hAnsiTheme="majorHAnsi" w:cstheme="majorBidi"/>
          <w:noProof/>
          <w:lang w:val="en-US"/>
        </w:rPr>
        <w:drawing>
          <wp:inline distT="0" distB="0" distL="0" distR="0" wp14:anchorId="12DCD2EC" wp14:editId="3C946A7F">
            <wp:extent cx="2847340" cy="284099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7340" cy="2840990"/>
                    </a:xfrm>
                    <a:prstGeom prst="rect">
                      <a:avLst/>
                    </a:prstGeom>
                    <a:noFill/>
                  </pic:spPr>
                </pic:pic>
              </a:graphicData>
            </a:graphic>
          </wp:inline>
        </w:drawing>
      </w:r>
      <w:r>
        <w:rPr>
          <w:rFonts w:asciiTheme="majorHAnsi" w:hAnsiTheme="majorHAnsi" w:cstheme="majorBidi"/>
          <w:noProof/>
          <w:lang w:val="en-US"/>
        </w:rPr>
        <w:drawing>
          <wp:inline distT="0" distB="0" distL="0" distR="0" wp14:anchorId="24C65DE9" wp14:editId="690D69F7">
            <wp:extent cx="2847340" cy="284099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340" cy="2840990"/>
                    </a:xfrm>
                    <a:prstGeom prst="rect">
                      <a:avLst/>
                    </a:prstGeom>
                    <a:noFill/>
                  </pic:spPr>
                </pic:pic>
              </a:graphicData>
            </a:graphic>
          </wp:inline>
        </w:drawing>
      </w:r>
    </w:p>
    <w:p w14:paraId="3E83895D" w14:textId="77777777" w:rsidR="002E23E5" w:rsidRPr="002E23E5" w:rsidRDefault="002E23E5" w:rsidP="002E23E5">
      <w:pPr>
        <w:spacing w:before="0" w:after="160"/>
        <w:jc w:val="both"/>
        <w:rPr>
          <w:rFonts w:asciiTheme="majorHAnsi" w:hAnsiTheme="majorHAnsi" w:cstheme="majorBidi"/>
        </w:rPr>
      </w:pPr>
      <w:bookmarkStart w:id="115" w:name="_Toc519186413"/>
      <w:r w:rsidRPr="002E23E5">
        <w:rPr>
          <w:rFonts w:asciiTheme="majorHAnsi" w:hAnsiTheme="majorHAnsi" w:cstheme="majorBidi"/>
        </w:rPr>
        <w:t>În topul regiunilor cu num</w:t>
      </w:r>
      <w:r w:rsidR="00E91195">
        <w:rPr>
          <w:rFonts w:asciiTheme="majorHAnsi" w:hAnsiTheme="majorHAnsi" w:cstheme="majorBidi"/>
        </w:rPr>
        <w:t>ă</w:t>
      </w:r>
      <w:r w:rsidRPr="002E23E5">
        <w:rPr>
          <w:rFonts w:asciiTheme="majorHAnsi" w:hAnsiTheme="majorHAnsi" w:cstheme="majorBidi"/>
        </w:rPr>
        <w:t>rul cel mai mare de personal angajat în cadrul ÎPL active se situeaz</w:t>
      </w:r>
      <w:r w:rsidR="00E91195">
        <w:rPr>
          <w:rFonts w:asciiTheme="majorHAnsi" w:hAnsiTheme="majorHAnsi" w:cstheme="majorBidi"/>
        </w:rPr>
        <w:t>ă</w:t>
      </w:r>
      <w:r w:rsidRPr="002E23E5">
        <w:rPr>
          <w:rFonts w:asciiTheme="majorHAnsi" w:hAnsiTheme="majorHAnsi" w:cstheme="majorBidi"/>
        </w:rPr>
        <w:t xml:space="preserve"> zona București–Ilfov, înregistrând în anul 2020 un num</w:t>
      </w:r>
      <w:r w:rsidR="00E91195">
        <w:rPr>
          <w:rFonts w:asciiTheme="majorHAnsi" w:hAnsiTheme="majorHAnsi" w:cstheme="majorBidi"/>
        </w:rPr>
        <w:t>ă</w:t>
      </w:r>
      <w:r w:rsidRPr="002E23E5">
        <w:rPr>
          <w:rFonts w:asciiTheme="majorHAnsi" w:hAnsiTheme="majorHAnsi" w:cstheme="majorBidi"/>
        </w:rPr>
        <w:t>r total de 24.598 angajați, și regiunea de Nord-Vest cu un num</w:t>
      </w:r>
      <w:r w:rsidR="00E91195">
        <w:rPr>
          <w:rFonts w:asciiTheme="majorHAnsi" w:hAnsiTheme="majorHAnsi" w:cstheme="majorBidi"/>
        </w:rPr>
        <w:t>ă</w:t>
      </w:r>
      <w:r w:rsidRPr="002E23E5">
        <w:rPr>
          <w:rFonts w:asciiTheme="majorHAnsi" w:hAnsiTheme="majorHAnsi" w:cstheme="majorBidi"/>
        </w:rPr>
        <w:t>r de 13.219 angajați în cadrul ÎPL active. În același timp, regiunea București-Ilfov înregistreaz</w:t>
      </w:r>
      <w:r w:rsidR="00E91195">
        <w:rPr>
          <w:rFonts w:asciiTheme="majorHAnsi" w:hAnsiTheme="majorHAnsi" w:cstheme="majorBidi"/>
        </w:rPr>
        <w:t>ă</w:t>
      </w:r>
      <w:r w:rsidRPr="002E23E5">
        <w:rPr>
          <w:rFonts w:asciiTheme="majorHAnsi" w:hAnsiTheme="majorHAnsi" w:cstheme="majorBidi"/>
        </w:rPr>
        <w:t xml:space="preserve"> și cel mai mare câștig salarial mediu brut lunar pe angajat (5.815 lei brut lunar)</w:t>
      </w:r>
      <w:r w:rsidR="00671523">
        <w:rPr>
          <w:rFonts w:asciiTheme="majorHAnsi" w:hAnsiTheme="majorHAnsi" w:cstheme="majorBidi"/>
        </w:rPr>
        <w:t>,</w:t>
      </w:r>
      <w:r w:rsidRPr="002E23E5">
        <w:rPr>
          <w:rFonts w:asciiTheme="majorHAnsi" w:hAnsiTheme="majorHAnsi" w:cstheme="majorBidi"/>
        </w:rPr>
        <w:t xml:space="preserve"> fiind situat peste nivelul de câștig salarial mediu brut înregistrat pe economie</w:t>
      </w:r>
      <w:r w:rsidRPr="002E23E5">
        <w:t xml:space="preserve"> </w:t>
      </w:r>
      <w:r w:rsidRPr="002E23E5">
        <w:rPr>
          <w:rFonts w:asciiTheme="majorHAnsi" w:hAnsiTheme="majorHAnsi" w:cstheme="majorBidi"/>
        </w:rPr>
        <w:t>în anul 2020. ÎPL active care activeaz</w:t>
      </w:r>
      <w:r w:rsidR="00E91195">
        <w:rPr>
          <w:rFonts w:asciiTheme="majorHAnsi" w:hAnsiTheme="majorHAnsi" w:cstheme="majorBidi"/>
        </w:rPr>
        <w:t>ă</w:t>
      </w:r>
      <w:r w:rsidRPr="002E23E5">
        <w:rPr>
          <w:rFonts w:asciiTheme="majorHAnsi" w:hAnsiTheme="majorHAnsi" w:cstheme="majorBidi"/>
        </w:rPr>
        <w:t xml:space="preserve"> în restul regiunilor de dezvoltare</w:t>
      </w:r>
      <w:r w:rsidR="00671523">
        <w:rPr>
          <w:rFonts w:asciiTheme="majorHAnsi" w:hAnsiTheme="majorHAnsi" w:cstheme="majorBidi"/>
        </w:rPr>
        <w:t>,</w:t>
      </w:r>
      <w:r w:rsidRPr="002E23E5">
        <w:rPr>
          <w:rFonts w:asciiTheme="majorHAnsi" w:hAnsiTheme="majorHAnsi" w:cstheme="majorBidi"/>
        </w:rPr>
        <w:t xml:space="preserve"> înregistreaz</w:t>
      </w:r>
      <w:r w:rsidR="00E91195">
        <w:rPr>
          <w:rFonts w:asciiTheme="majorHAnsi" w:hAnsiTheme="majorHAnsi" w:cstheme="majorBidi"/>
        </w:rPr>
        <w:t>ă</w:t>
      </w:r>
      <w:r w:rsidRPr="002E23E5">
        <w:rPr>
          <w:rFonts w:asciiTheme="majorHAnsi" w:hAnsiTheme="majorHAnsi" w:cstheme="majorBidi"/>
        </w:rPr>
        <w:t xml:space="preserve"> un câștig salarial mediu brut lunar pe persoan</w:t>
      </w:r>
      <w:r w:rsidR="00E91195">
        <w:rPr>
          <w:rFonts w:asciiTheme="majorHAnsi" w:hAnsiTheme="majorHAnsi" w:cstheme="majorBidi"/>
        </w:rPr>
        <w:t>ă</w:t>
      </w:r>
      <w:r w:rsidRPr="002E23E5">
        <w:rPr>
          <w:rFonts w:asciiTheme="majorHAnsi" w:hAnsiTheme="majorHAnsi" w:cstheme="majorBidi"/>
        </w:rPr>
        <w:t xml:space="preserve"> sub nivelul câștigului salarial mediu brut lunar pe persoan</w:t>
      </w:r>
      <w:r w:rsidR="00E91195">
        <w:rPr>
          <w:rFonts w:asciiTheme="majorHAnsi" w:hAnsiTheme="majorHAnsi" w:cstheme="majorBidi"/>
        </w:rPr>
        <w:t>ă</w:t>
      </w:r>
      <w:r w:rsidRPr="002E23E5">
        <w:rPr>
          <w:rFonts w:asciiTheme="majorHAnsi" w:hAnsiTheme="majorHAnsi" w:cstheme="majorBidi"/>
        </w:rPr>
        <w:t xml:space="preserve"> înregistrat pe economie în anul 20</w:t>
      </w:r>
      <w:r>
        <w:rPr>
          <w:rFonts w:asciiTheme="majorHAnsi" w:hAnsiTheme="majorHAnsi" w:cstheme="majorBidi"/>
        </w:rPr>
        <w:t>20</w:t>
      </w:r>
      <w:r w:rsidRPr="002E23E5">
        <w:rPr>
          <w:rFonts w:asciiTheme="majorHAnsi" w:hAnsiTheme="majorHAnsi" w:cstheme="majorBidi"/>
        </w:rPr>
        <w:t>.</w:t>
      </w:r>
    </w:p>
    <w:p w14:paraId="5739990A" w14:textId="77777777" w:rsidR="002E23E5" w:rsidRPr="002E23E5" w:rsidRDefault="002E23E5" w:rsidP="002E23E5">
      <w:pPr>
        <w:spacing w:before="0" w:after="160"/>
        <w:jc w:val="both"/>
        <w:rPr>
          <w:rFonts w:asciiTheme="majorHAnsi" w:hAnsiTheme="majorHAnsi" w:cstheme="majorBidi"/>
        </w:rPr>
      </w:pPr>
      <w:r w:rsidRPr="002E23E5">
        <w:rPr>
          <w:rFonts w:asciiTheme="majorHAnsi" w:hAnsiTheme="majorHAnsi" w:cstheme="majorBidi"/>
        </w:rPr>
        <w:t>Regiunea cu cel mai mic num</w:t>
      </w:r>
      <w:r w:rsidR="00E91195">
        <w:rPr>
          <w:rFonts w:asciiTheme="majorHAnsi" w:hAnsiTheme="majorHAnsi" w:cstheme="majorBidi"/>
        </w:rPr>
        <w:t>ă</w:t>
      </w:r>
      <w:r w:rsidRPr="002E23E5">
        <w:rPr>
          <w:rFonts w:asciiTheme="majorHAnsi" w:hAnsiTheme="majorHAnsi" w:cstheme="majorBidi"/>
        </w:rPr>
        <w:t>r de personal angajat în cadrul ÎPL active este regiunea Sud-Vest, cu 8.527 angajați. Regiunea cu cel mai mic câștig salarial mediu brut lunar pe angajat este regiunea Sud</w:t>
      </w:r>
      <w:r w:rsidR="00671523">
        <w:rPr>
          <w:rFonts w:asciiTheme="majorHAnsi" w:hAnsiTheme="majorHAnsi" w:cstheme="majorBidi"/>
        </w:rPr>
        <w:t>,</w:t>
      </w:r>
      <w:r w:rsidRPr="002E23E5">
        <w:rPr>
          <w:rFonts w:asciiTheme="majorHAnsi" w:hAnsiTheme="majorHAnsi" w:cstheme="majorBidi"/>
        </w:rPr>
        <w:t xml:space="preserve"> cu un câștig salarial mediu brut lunar pe persoan</w:t>
      </w:r>
      <w:r w:rsidR="00E91195">
        <w:rPr>
          <w:rFonts w:asciiTheme="majorHAnsi" w:hAnsiTheme="majorHAnsi" w:cstheme="majorBidi"/>
        </w:rPr>
        <w:t>ă</w:t>
      </w:r>
      <w:r w:rsidRPr="002E23E5">
        <w:rPr>
          <w:rFonts w:asciiTheme="majorHAnsi" w:hAnsiTheme="majorHAnsi" w:cstheme="majorBidi"/>
        </w:rPr>
        <w:t xml:space="preserve"> de numai 3.818 lei / persoan</w:t>
      </w:r>
      <w:r w:rsidR="00E91195">
        <w:rPr>
          <w:rFonts w:asciiTheme="majorHAnsi" w:hAnsiTheme="majorHAnsi" w:cstheme="majorBidi"/>
        </w:rPr>
        <w:t>ă</w:t>
      </w:r>
      <w:r w:rsidRPr="002E23E5">
        <w:rPr>
          <w:rFonts w:asciiTheme="majorHAnsi" w:hAnsiTheme="majorHAnsi" w:cstheme="majorBidi"/>
        </w:rPr>
        <w:t>.</w:t>
      </w:r>
    </w:p>
    <w:p w14:paraId="57B0EFD2" w14:textId="77777777" w:rsidR="002E23E5" w:rsidRPr="00A32CA0" w:rsidRDefault="002E23E5" w:rsidP="00F83DE8">
      <w:pPr>
        <w:spacing w:before="0" w:after="160"/>
        <w:jc w:val="both"/>
        <w:rPr>
          <w:rFonts w:asciiTheme="majorHAnsi" w:hAnsiTheme="majorHAnsi" w:cstheme="majorBidi"/>
        </w:rPr>
      </w:pPr>
      <w:r w:rsidRPr="00A32CA0">
        <w:rPr>
          <w:rFonts w:asciiTheme="majorHAnsi" w:hAnsiTheme="majorHAnsi" w:cstheme="majorBidi"/>
        </w:rPr>
        <w:t>Mențion</w:t>
      </w:r>
      <w:r w:rsidR="00E91195">
        <w:rPr>
          <w:rFonts w:asciiTheme="majorHAnsi" w:hAnsiTheme="majorHAnsi" w:cstheme="majorBidi"/>
        </w:rPr>
        <w:t>ă</w:t>
      </w:r>
      <w:r w:rsidRPr="00A32CA0">
        <w:rPr>
          <w:rFonts w:asciiTheme="majorHAnsi" w:hAnsiTheme="majorHAnsi" w:cstheme="majorBidi"/>
        </w:rPr>
        <w:t>m c</w:t>
      </w:r>
      <w:r w:rsidR="00E91195">
        <w:rPr>
          <w:rFonts w:asciiTheme="majorHAnsi" w:hAnsiTheme="majorHAnsi" w:cstheme="majorBidi"/>
        </w:rPr>
        <w:t>ă</w:t>
      </w:r>
      <w:r w:rsidRPr="00A32CA0">
        <w:rPr>
          <w:rFonts w:asciiTheme="majorHAnsi" w:hAnsiTheme="majorHAnsi" w:cstheme="majorBidi"/>
        </w:rPr>
        <w:t>, în timp ce în regiunea București-Ilfov își desf</w:t>
      </w:r>
      <w:r w:rsidR="00E91195">
        <w:rPr>
          <w:rFonts w:asciiTheme="majorHAnsi" w:hAnsiTheme="majorHAnsi" w:cstheme="majorBidi"/>
        </w:rPr>
        <w:t>ă</w:t>
      </w:r>
      <w:r w:rsidRPr="00A32CA0">
        <w:rPr>
          <w:rFonts w:asciiTheme="majorHAnsi" w:hAnsiTheme="majorHAnsi" w:cstheme="majorBidi"/>
        </w:rPr>
        <w:t>șoar</w:t>
      </w:r>
      <w:r w:rsidR="00E91195">
        <w:rPr>
          <w:rFonts w:asciiTheme="majorHAnsi" w:hAnsiTheme="majorHAnsi" w:cstheme="majorBidi"/>
        </w:rPr>
        <w:t>ă</w:t>
      </w:r>
      <w:r w:rsidRPr="00A32CA0">
        <w:rPr>
          <w:rFonts w:asciiTheme="majorHAnsi" w:hAnsiTheme="majorHAnsi" w:cstheme="majorBidi"/>
        </w:rPr>
        <w:t xml:space="preserve"> activitatea un num</w:t>
      </w:r>
      <w:r w:rsidR="00E91195">
        <w:rPr>
          <w:rFonts w:asciiTheme="majorHAnsi" w:hAnsiTheme="majorHAnsi" w:cstheme="majorBidi"/>
        </w:rPr>
        <w:t>ă</w:t>
      </w:r>
      <w:r w:rsidRPr="00A32CA0">
        <w:rPr>
          <w:rFonts w:asciiTheme="majorHAnsi" w:hAnsiTheme="majorHAnsi" w:cstheme="majorBidi"/>
        </w:rPr>
        <w:t>r de 90 ÎPL active (num</w:t>
      </w:r>
      <w:r w:rsidR="00E91195">
        <w:rPr>
          <w:rFonts w:asciiTheme="majorHAnsi" w:hAnsiTheme="majorHAnsi" w:cstheme="majorBidi"/>
        </w:rPr>
        <w:t>ă</w:t>
      </w:r>
      <w:r w:rsidRPr="00A32CA0">
        <w:rPr>
          <w:rFonts w:asciiTheme="majorHAnsi" w:hAnsiTheme="majorHAnsi" w:cstheme="majorBidi"/>
        </w:rPr>
        <w:t>r minim dintre toate regiunile), în regiunea Sud se înregistreaz</w:t>
      </w:r>
      <w:r w:rsidR="00E91195">
        <w:rPr>
          <w:rFonts w:asciiTheme="majorHAnsi" w:hAnsiTheme="majorHAnsi" w:cstheme="majorBidi"/>
        </w:rPr>
        <w:t>ă</w:t>
      </w:r>
      <w:r w:rsidRPr="00A32CA0">
        <w:rPr>
          <w:rFonts w:asciiTheme="majorHAnsi" w:hAnsiTheme="majorHAnsi" w:cstheme="majorBidi"/>
        </w:rPr>
        <w:t xml:space="preserve"> num</w:t>
      </w:r>
      <w:r w:rsidR="00E91195">
        <w:rPr>
          <w:rFonts w:asciiTheme="majorHAnsi" w:hAnsiTheme="majorHAnsi" w:cstheme="majorBidi"/>
        </w:rPr>
        <w:t>ă</w:t>
      </w:r>
      <w:r w:rsidRPr="00A32CA0">
        <w:rPr>
          <w:rFonts w:asciiTheme="majorHAnsi" w:hAnsiTheme="majorHAnsi" w:cstheme="majorBidi"/>
        </w:rPr>
        <w:t>rul cel mai mare de ÎPL active – 212.</w:t>
      </w:r>
    </w:p>
    <w:p w14:paraId="39ED274D" w14:textId="77777777" w:rsidR="00083504" w:rsidRDefault="00083504" w:rsidP="00F83DE8"/>
    <w:p w14:paraId="5A0990E9" w14:textId="77777777" w:rsidR="00A32CA0" w:rsidRPr="00D95C57" w:rsidRDefault="00A32CA0" w:rsidP="00F83DE8"/>
    <w:p w14:paraId="3C090F9D" w14:textId="77777777" w:rsidR="00F83DE8" w:rsidRPr="00522CC8" w:rsidRDefault="00DC3F61" w:rsidP="00F83DE8">
      <w:pPr>
        <w:pStyle w:val="ListParagraph"/>
        <w:ind w:left="0"/>
        <w:jc w:val="both"/>
        <w:outlineLvl w:val="2"/>
        <w:rPr>
          <w:rFonts w:asciiTheme="majorHAnsi" w:hAnsiTheme="majorHAnsi"/>
          <w:b/>
          <w:bCs/>
          <w:color w:val="0F6FC6" w:themeColor="accent1"/>
          <w:sz w:val="28"/>
          <w:szCs w:val="28"/>
        </w:rPr>
      </w:pPr>
      <w:bookmarkStart w:id="116" w:name="_Toc87875968"/>
      <w:r>
        <w:rPr>
          <w:rFonts w:asciiTheme="majorHAnsi" w:hAnsiTheme="majorHAnsi"/>
          <w:b/>
          <w:bCs/>
          <w:color w:val="0F6FC6" w:themeColor="accent1"/>
          <w:sz w:val="28"/>
          <w:szCs w:val="28"/>
        </w:rPr>
        <w:t>3</w:t>
      </w:r>
      <w:r w:rsidR="00F83DE8" w:rsidRPr="00522CC8">
        <w:rPr>
          <w:rFonts w:asciiTheme="majorHAnsi" w:hAnsiTheme="majorHAnsi"/>
          <w:b/>
          <w:bCs/>
          <w:color w:val="0F6FC6" w:themeColor="accent1"/>
          <w:sz w:val="28"/>
          <w:szCs w:val="28"/>
        </w:rPr>
        <w:t>.5 – Subvenții de la bugetele locale acordate întreprinderilor publice locale</w:t>
      </w:r>
      <w:bookmarkEnd w:id="115"/>
      <w:bookmarkEnd w:id="116"/>
    </w:p>
    <w:p w14:paraId="42A8D320" w14:textId="77777777" w:rsidR="00F83DE8" w:rsidRDefault="00F83DE8" w:rsidP="00F83DE8">
      <w:pPr>
        <w:tabs>
          <w:tab w:val="left" w:pos="2115"/>
        </w:tabs>
        <w:spacing w:before="0" w:after="0" w:line="240" w:lineRule="auto"/>
        <w:jc w:val="both"/>
        <w:rPr>
          <w:noProof/>
          <w:lang w:val="en-US"/>
        </w:rPr>
      </w:pPr>
    </w:p>
    <w:p w14:paraId="61B84B57" w14:textId="77777777" w:rsidR="00083504" w:rsidRDefault="00083504" w:rsidP="00F83DE8">
      <w:pPr>
        <w:tabs>
          <w:tab w:val="left" w:pos="2115"/>
        </w:tabs>
        <w:spacing w:before="0" w:after="0" w:line="240" w:lineRule="auto"/>
        <w:jc w:val="both"/>
        <w:rPr>
          <w:noProof/>
          <w:lang w:val="en-US"/>
        </w:rPr>
      </w:pPr>
    </w:p>
    <w:p w14:paraId="762F24D7" w14:textId="77777777" w:rsidR="00083504" w:rsidRDefault="00083504" w:rsidP="00F83DE8">
      <w:pPr>
        <w:tabs>
          <w:tab w:val="left" w:pos="2115"/>
        </w:tabs>
        <w:spacing w:before="0" w:after="0" w:line="240" w:lineRule="auto"/>
        <w:jc w:val="both"/>
        <w:rPr>
          <w:noProof/>
          <w:lang w:val="en-US"/>
        </w:rPr>
      </w:pPr>
      <w:r w:rsidRPr="00083504">
        <w:rPr>
          <w:noProof/>
          <w:lang w:val="en-US"/>
        </w:rPr>
        <w:t>TABEL– Evoluția subvențiilor acordate ÎPL de la bugetele locale în perioada 2018-2020</w:t>
      </w:r>
    </w:p>
    <w:p w14:paraId="09A53CF3" w14:textId="77777777" w:rsidR="00083504" w:rsidRDefault="00083504" w:rsidP="00F83DE8">
      <w:pPr>
        <w:tabs>
          <w:tab w:val="left" w:pos="2115"/>
        </w:tabs>
        <w:spacing w:before="0" w:after="0" w:line="240" w:lineRule="auto"/>
        <w:jc w:val="both"/>
        <w:rPr>
          <w:noProof/>
          <w:lang w:val="en-US"/>
        </w:rPr>
      </w:pPr>
    </w:p>
    <w:tbl>
      <w:tblPr>
        <w:tblW w:w="9255" w:type="dxa"/>
        <w:tblInd w:w="93" w:type="dxa"/>
        <w:tblLook w:val="04A0" w:firstRow="1" w:lastRow="0" w:firstColumn="1" w:lastColumn="0" w:noHBand="0" w:noVBand="1"/>
      </w:tblPr>
      <w:tblGrid>
        <w:gridCol w:w="3357"/>
        <w:gridCol w:w="1528"/>
        <w:gridCol w:w="1432"/>
        <w:gridCol w:w="1623"/>
        <w:gridCol w:w="1315"/>
      </w:tblGrid>
      <w:tr w:rsidR="00083504" w:rsidRPr="00083504" w14:paraId="0531521D" w14:textId="77777777" w:rsidTr="00083504">
        <w:trPr>
          <w:trHeight w:val="360"/>
        </w:trPr>
        <w:tc>
          <w:tcPr>
            <w:tcW w:w="3357" w:type="dxa"/>
            <w:vMerge w:val="restart"/>
            <w:tcBorders>
              <w:top w:val="single" w:sz="4" w:space="0" w:color="95B3D7"/>
              <w:left w:val="single" w:sz="4" w:space="0" w:color="FFFFFF"/>
              <w:bottom w:val="single" w:sz="4" w:space="0" w:color="95B3D7"/>
              <w:right w:val="single" w:sz="4" w:space="0" w:color="FFFFFF"/>
            </w:tcBorders>
            <w:shd w:val="clear" w:color="000000" w:fill="FFFFFF"/>
            <w:noWrap/>
            <w:hideMark/>
          </w:tcPr>
          <w:p w14:paraId="231FFF09"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Anul</w:t>
            </w:r>
          </w:p>
        </w:tc>
        <w:tc>
          <w:tcPr>
            <w:tcW w:w="1528" w:type="dxa"/>
            <w:tcBorders>
              <w:top w:val="single" w:sz="4" w:space="0" w:color="95B3D7"/>
              <w:left w:val="nil"/>
              <w:bottom w:val="single" w:sz="4" w:space="0" w:color="95B3D7"/>
              <w:right w:val="single" w:sz="4" w:space="0" w:color="FFFFFF"/>
            </w:tcBorders>
            <w:shd w:val="clear" w:color="000000" w:fill="FFFFFF"/>
            <w:hideMark/>
          </w:tcPr>
          <w:p w14:paraId="1D87BE0F"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subvenții pentru exploatare</w:t>
            </w:r>
          </w:p>
        </w:tc>
        <w:tc>
          <w:tcPr>
            <w:tcW w:w="1432" w:type="dxa"/>
            <w:tcBorders>
              <w:top w:val="single" w:sz="4" w:space="0" w:color="95B3D7"/>
              <w:left w:val="nil"/>
              <w:bottom w:val="single" w:sz="4" w:space="0" w:color="95B3D7"/>
              <w:right w:val="single" w:sz="4" w:space="0" w:color="FFFFFF"/>
            </w:tcBorders>
            <w:shd w:val="clear" w:color="000000" w:fill="FFFFFF"/>
            <w:hideMark/>
          </w:tcPr>
          <w:p w14:paraId="7B930B5B"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subvenții pentru investiții</w:t>
            </w:r>
          </w:p>
        </w:tc>
        <w:tc>
          <w:tcPr>
            <w:tcW w:w="1623" w:type="dxa"/>
            <w:tcBorders>
              <w:top w:val="single" w:sz="4" w:space="0" w:color="95B3D7"/>
              <w:left w:val="nil"/>
              <w:bottom w:val="single" w:sz="4" w:space="0" w:color="95B3D7"/>
              <w:right w:val="single" w:sz="4" w:space="0" w:color="FFFFFF"/>
            </w:tcBorders>
            <w:shd w:val="clear" w:color="000000" w:fill="FFFFFF"/>
            <w:hideMark/>
          </w:tcPr>
          <w:p w14:paraId="53278DF4"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Total subvenții</w:t>
            </w:r>
          </w:p>
        </w:tc>
        <w:tc>
          <w:tcPr>
            <w:tcW w:w="1315" w:type="dxa"/>
            <w:tcBorders>
              <w:top w:val="single" w:sz="4" w:space="0" w:color="95B3D7"/>
              <w:left w:val="nil"/>
              <w:bottom w:val="single" w:sz="4" w:space="0" w:color="95B3D7"/>
              <w:right w:val="single" w:sz="4" w:space="0" w:color="FFFFFF"/>
            </w:tcBorders>
            <w:shd w:val="clear" w:color="000000" w:fill="FFFFFF"/>
            <w:hideMark/>
          </w:tcPr>
          <w:p w14:paraId="2F7DB90F"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Pondere total subvenții în PIB anual</w:t>
            </w:r>
          </w:p>
        </w:tc>
      </w:tr>
      <w:tr w:rsidR="00083504" w:rsidRPr="00083504" w14:paraId="66D41559" w14:textId="77777777" w:rsidTr="00083504">
        <w:trPr>
          <w:trHeight w:val="233"/>
        </w:trPr>
        <w:tc>
          <w:tcPr>
            <w:tcW w:w="3357" w:type="dxa"/>
            <w:vMerge/>
            <w:tcBorders>
              <w:top w:val="single" w:sz="4" w:space="0" w:color="95B3D7"/>
              <w:left w:val="single" w:sz="4" w:space="0" w:color="FFFFFF"/>
              <w:bottom w:val="single" w:sz="4" w:space="0" w:color="95B3D7"/>
              <w:right w:val="single" w:sz="4" w:space="0" w:color="FFFFFF"/>
            </w:tcBorders>
            <w:vAlign w:val="center"/>
            <w:hideMark/>
          </w:tcPr>
          <w:p w14:paraId="5027D7F5"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p>
        </w:tc>
        <w:tc>
          <w:tcPr>
            <w:tcW w:w="1528" w:type="dxa"/>
            <w:tcBorders>
              <w:top w:val="nil"/>
              <w:left w:val="nil"/>
              <w:bottom w:val="single" w:sz="4" w:space="0" w:color="95B3D7"/>
              <w:right w:val="single" w:sz="4" w:space="0" w:color="FFFFFF"/>
            </w:tcBorders>
            <w:shd w:val="clear" w:color="000000" w:fill="FFFFFF"/>
            <w:hideMark/>
          </w:tcPr>
          <w:p w14:paraId="2394BF67"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1</w:t>
            </w:r>
          </w:p>
        </w:tc>
        <w:tc>
          <w:tcPr>
            <w:tcW w:w="1432" w:type="dxa"/>
            <w:tcBorders>
              <w:top w:val="nil"/>
              <w:left w:val="nil"/>
              <w:bottom w:val="single" w:sz="4" w:space="0" w:color="95B3D7"/>
              <w:right w:val="single" w:sz="4" w:space="0" w:color="FFFFFF"/>
            </w:tcBorders>
            <w:shd w:val="clear" w:color="000000" w:fill="FFFFFF"/>
            <w:hideMark/>
          </w:tcPr>
          <w:p w14:paraId="1C7F8D64"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2</w:t>
            </w:r>
          </w:p>
        </w:tc>
        <w:tc>
          <w:tcPr>
            <w:tcW w:w="1623" w:type="dxa"/>
            <w:tcBorders>
              <w:top w:val="nil"/>
              <w:left w:val="nil"/>
              <w:bottom w:val="single" w:sz="4" w:space="0" w:color="95B3D7"/>
              <w:right w:val="single" w:sz="4" w:space="0" w:color="FFFFFF"/>
            </w:tcBorders>
            <w:shd w:val="clear" w:color="000000" w:fill="FFFFFF"/>
            <w:hideMark/>
          </w:tcPr>
          <w:p w14:paraId="645FE6EE"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3=1+2</w:t>
            </w:r>
          </w:p>
        </w:tc>
        <w:tc>
          <w:tcPr>
            <w:tcW w:w="1315" w:type="dxa"/>
            <w:tcBorders>
              <w:top w:val="nil"/>
              <w:left w:val="nil"/>
              <w:bottom w:val="single" w:sz="4" w:space="0" w:color="95B3D7"/>
              <w:right w:val="single" w:sz="4" w:space="0" w:color="FFFFFF"/>
            </w:tcBorders>
            <w:shd w:val="clear" w:color="000000" w:fill="FFFFFF"/>
            <w:hideMark/>
          </w:tcPr>
          <w:p w14:paraId="4E2B1BBE"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4</w:t>
            </w:r>
          </w:p>
        </w:tc>
      </w:tr>
      <w:tr w:rsidR="00083504" w:rsidRPr="00083504" w14:paraId="01EE2D85" w14:textId="77777777" w:rsidTr="00083504">
        <w:trPr>
          <w:trHeight w:val="221"/>
        </w:trPr>
        <w:tc>
          <w:tcPr>
            <w:tcW w:w="3357" w:type="dxa"/>
            <w:vMerge/>
            <w:tcBorders>
              <w:top w:val="single" w:sz="4" w:space="0" w:color="95B3D7"/>
              <w:left w:val="single" w:sz="4" w:space="0" w:color="FFFFFF"/>
              <w:bottom w:val="single" w:sz="4" w:space="0" w:color="95B3D7"/>
              <w:right w:val="single" w:sz="4" w:space="0" w:color="FFFFFF"/>
            </w:tcBorders>
            <w:vAlign w:val="center"/>
            <w:hideMark/>
          </w:tcPr>
          <w:p w14:paraId="7143E28D"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p>
        </w:tc>
        <w:tc>
          <w:tcPr>
            <w:tcW w:w="1528" w:type="dxa"/>
            <w:tcBorders>
              <w:top w:val="nil"/>
              <w:left w:val="nil"/>
              <w:bottom w:val="single" w:sz="4" w:space="0" w:color="95B3D7"/>
              <w:right w:val="single" w:sz="4" w:space="0" w:color="FFFFFF"/>
            </w:tcBorders>
            <w:shd w:val="clear" w:color="000000" w:fill="FFFFFF"/>
            <w:hideMark/>
          </w:tcPr>
          <w:p w14:paraId="545738A7"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mii lei</w:t>
            </w:r>
          </w:p>
        </w:tc>
        <w:tc>
          <w:tcPr>
            <w:tcW w:w="1432" w:type="dxa"/>
            <w:tcBorders>
              <w:top w:val="nil"/>
              <w:left w:val="nil"/>
              <w:bottom w:val="single" w:sz="4" w:space="0" w:color="95B3D7"/>
              <w:right w:val="single" w:sz="4" w:space="0" w:color="FFFFFF"/>
            </w:tcBorders>
            <w:shd w:val="clear" w:color="000000" w:fill="FFFFFF"/>
            <w:hideMark/>
          </w:tcPr>
          <w:p w14:paraId="31253B35"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mii lei</w:t>
            </w:r>
          </w:p>
        </w:tc>
        <w:tc>
          <w:tcPr>
            <w:tcW w:w="1623" w:type="dxa"/>
            <w:tcBorders>
              <w:top w:val="nil"/>
              <w:left w:val="nil"/>
              <w:bottom w:val="single" w:sz="4" w:space="0" w:color="95B3D7"/>
              <w:right w:val="single" w:sz="4" w:space="0" w:color="FFFFFF"/>
            </w:tcBorders>
            <w:shd w:val="clear" w:color="000000" w:fill="FFFFFF"/>
            <w:hideMark/>
          </w:tcPr>
          <w:p w14:paraId="7C5D203D"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mii lei</w:t>
            </w:r>
          </w:p>
        </w:tc>
        <w:tc>
          <w:tcPr>
            <w:tcW w:w="1315" w:type="dxa"/>
            <w:tcBorders>
              <w:top w:val="nil"/>
              <w:left w:val="nil"/>
              <w:bottom w:val="single" w:sz="4" w:space="0" w:color="95B3D7"/>
              <w:right w:val="single" w:sz="4" w:space="0" w:color="FFFFFF"/>
            </w:tcBorders>
            <w:shd w:val="clear" w:color="000000" w:fill="FFFFFF"/>
            <w:hideMark/>
          </w:tcPr>
          <w:p w14:paraId="1BAAC903"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w:t>
            </w:r>
          </w:p>
        </w:tc>
      </w:tr>
      <w:tr w:rsidR="00083504" w:rsidRPr="00083504" w14:paraId="026FCBAD" w14:textId="77777777" w:rsidTr="00083504">
        <w:trPr>
          <w:trHeight w:val="244"/>
        </w:trPr>
        <w:tc>
          <w:tcPr>
            <w:tcW w:w="3357" w:type="dxa"/>
            <w:tcBorders>
              <w:top w:val="single" w:sz="4" w:space="0" w:color="FFFFFF"/>
              <w:left w:val="single" w:sz="4" w:space="0" w:color="FFFFFF"/>
              <w:bottom w:val="single" w:sz="4" w:space="0" w:color="FFFFFF"/>
              <w:right w:val="single" w:sz="4" w:space="0" w:color="FFFFFF"/>
            </w:tcBorders>
            <w:shd w:val="clear" w:color="auto" w:fill="auto"/>
            <w:noWrap/>
            <w:hideMark/>
          </w:tcPr>
          <w:p w14:paraId="2954E7FD"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2018</w:t>
            </w:r>
          </w:p>
        </w:tc>
        <w:tc>
          <w:tcPr>
            <w:tcW w:w="1528" w:type="dxa"/>
            <w:tcBorders>
              <w:top w:val="nil"/>
              <w:left w:val="nil"/>
              <w:bottom w:val="single" w:sz="8" w:space="0" w:color="FFFFFF"/>
              <w:right w:val="single" w:sz="4" w:space="0" w:color="FFFFFF"/>
            </w:tcBorders>
            <w:shd w:val="clear" w:color="000000" w:fill="FFFFFF"/>
            <w:noWrap/>
            <w:hideMark/>
          </w:tcPr>
          <w:p w14:paraId="39548FE2"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1.341.815</w:t>
            </w:r>
          </w:p>
        </w:tc>
        <w:tc>
          <w:tcPr>
            <w:tcW w:w="1432" w:type="dxa"/>
            <w:tcBorders>
              <w:top w:val="nil"/>
              <w:left w:val="nil"/>
              <w:bottom w:val="single" w:sz="8" w:space="0" w:color="FFFFFF"/>
              <w:right w:val="single" w:sz="4" w:space="0" w:color="FFFFFF"/>
            </w:tcBorders>
            <w:shd w:val="clear" w:color="000000" w:fill="FFFFFF"/>
            <w:noWrap/>
            <w:hideMark/>
          </w:tcPr>
          <w:p w14:paraId="7C2099B4"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466.376</w:t>
            </w:r>
          </w:p>
        </w:tc>
        <w:tc>
          <w:tcPr>
            <w:tcW w:w="1623" w:type="dxa"/>
            <w:tcBorders>
              <w:top w:val="nil"/>
              <w:left w:val="nil"/>
              <w:bottom w:val="single" w:sz="8" w:space="0" w:color="FFFFFF"/>
              <w:right w:val="single" w:sz="4" w:space="0" w:color="FFFFFF"/>
            </w:tcBorders>
            <w:shd w:val="clear" w:color="000000" w:fill="FFFFFF"/>
            <w:noWrap/>
            <w:hideMark/>
          </w:tcPr>
          <w:p w14:paraId="09B58EF9"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1.808.191</w:t>
            </w:r>
          </w:p>
        </w:tc>
        <w:tc>
          <w:tcPr>
            <w:tcW w:w="1315" w:type="dxa"/>
            <w:tcBorders>
              <w:top w:val="nil"/>
              <w:left w:val="nil"/>
              <w:bottom w:val="single" w:sz="8" w:space="0" w:color="FFFFFF"/>
              <w:right w:val="single" w:sz="4" w:space="0" w:color="FFFFFF"/>
            </w:tcBorders>
            <w:shd w:val="clear" w:color="000000" w:fill="FFFFFF"/>
            <w:noWrap/>
            <w:hideMark/>
          </w:tcPr>
          <w:p w14:paraId="153A8E3F"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0,19%</w:t>
            </w:r>
          </w:p>
        </w:tc>
      </w:tr>
      <w:tr w:rsidR="00083504" w:rsidRPr="00083504" w14:paraId="22B65D42" w14:textId="77777777" w:rsidTr="00083504">
        <w:trPr>
          <w:trHeight w:val="244"/>
        </w:trPr>
        <w:tc>
          <w:tcPr>
            <w:tcW w:w="3357" w:type="dxa"/>
            <w:tcBorders>
              <w:top w:val="nil"/>
              <w:left w:val="single" w:sz="4" w:space="0" w:color="FFFFFF"/>
              <w:bottom w:val="single" w:sz="4" w:space="0" w:color="FFFFFF"/>
              <w:right w:val="single" w:sz="4" w:space="0" w:color="FFFFFF"/>
            </w:tcBorders>
            <w:shd w:val="clear" w:color="auto" w:fill="auto"/>
            <w:noWrap/>
            <w:hideMark/>
          </w:tcPr>
          <w:p w14:paraId="15E55596"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2019</w:t>
            </w:r>
          </w:p>
        </w:tc>
        <w:tc>
          <w:tcPr>
            <w:tcW w:w="1528" w:type="dxa"/>
            <w:tcBorders>
              <w:top w:val="single" w:sz="4" w:space="0" w:color="95B3D7"/>
              <w:left w:val="nil"/>
              <w:bottom w:val="single" w:sz="8" w:space="0" w:color="FFFFFF"/>
              <w:right w:val="single" w:sz="4" w:space="0" w:color="FFFFFF"/>
            </w:tcBorders>
            <w:shd w:val="clear" w:color="000000" w:fill="FFFFFF"/>
            <w:noWrap/>
            <w:hideMark/>
          </w:tcPr>
          <w:p w14:paraId="1A1115A4"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1.047.431</w:t>
            </w:r>
          </w:p>
        </w:tc>
        <w:tc>
          <w:tcPr>
            <w:tcW w:w="1432" w:type="dxa"/>
            <w:tcBorders>
              <w:top w:val="single" w:sz="4" w:space="0" w:color="95B3D7"/>
              <w:left w:val="nil"/>
              <w:bottom w:val="single" w:sz="8" w:space="0" w:color="FFFFFF"/>
              <w:right w:val="single" w:sz="4" w:space="0" w:color="FFFFFF"/>
            </w:tcBorders>
            <w:shd w:val="clear" w:color="000000" w:fill="FFFFFF"/>
            <w:noWrap/>
            <w:hideMark/>
          </w:tcPr>
          <w:p w14:paraId="1C77FD43"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300.224</w:t>
            </w:r>
          </w:p>
        </w:tc>
        <w:tc>
          <w:tcPr>
            <w:tcW w:w="1623" w:type="dxa"/>
            <w:tcBorders>
              <w:top w:val="single" w:sz="4" w:space="0" w:color="95B3D7"/>
              <w:left w:val="nil"/>
              <w:bottom w:val="single" w:sz="8" w:space="0" w:color="FFFFFF"/>
              <w:right w:val="single" w:sz="4" w:space="0" w:color="FFFFFF"/>
            </w:tcBorders>
            <w:shd w:val="clear" w:color="000000" w:fill="FFFFFF"/>
            <w:noWrap/>
            <w:hideMark/>
          </w:tcPr>
          <w:p w14:paraId="423BAE29"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1.347.655</w:t>
            </w:r>
          </w:p>
        </w:tc>
        <w:tc>
          <w:tcPr>
            <w:tcW w:w="1315" w:type="dxa"/>
            <w:tcBorders>
              <w:top w:val="single" w:sz="4" w:space="0" w:color="95B3D7"/>
              <w:left w:val="nil"/>
              <w:bottom w:val="single" w:sz="8" w:space="0" w:color="FFFFFF"/>
              <w:right w:val="single" w:sz="4" w:space="0" w:color="FFFFFF"/>
            </w:tcBorders>
            <w:shd w:val="clear" w:color="000000" w:fill="FFFFFF"/>
            <w:noWrap/>
            <w:hideMark/>
          </w:tcPr>
          <w:p w14:paraId="069524ED"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0,13%</w:t>
            </w:r>
          </w:p>
        </w:tc>
      </w:tr>
      <w:tr w:rsidR="00083504" w:rsidRPr="00083504" w14:paraId="0B87FE35" w14:textId="77777777" w:rsidTr="00083504">
        <w:trPr>
          <w:trHeight w:val="233"/>
        </w:trPr>
        <w:tc>
          <w:tcPr>
            <w:tcW w:w="3357" w:type="dxa"/>
            <w:tcBorders>
              <w:top w:val="nil"/>
              <w:left w:val="single" w:sz="4" w:space="0" w:color="FFFFFF"/>
              <w:bottom w:val="nil"/>
              <w:right w:val="single" w:sz="4" w:space="0" w:color="FFFFFF"/>
            </w:tcBorders>
            <w:shd w:val="clear" w:color="auto" w:fill="auto"/>
            <w:noWrap/>
            <w:hideMark/>
          </w:tcPr>
          <w:p w14:paraId="4924798E"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2020</w:t>
            </w:r>
          </w:p>
        </w:tc>
        <w:tc>
          <w:tcPr>
            <w:tcW w:w="1528" w:type="dxa"/>
            <w:tcBorders>
              <w:top w:val="single" w:sz="4" w:space="0" w:color="95B3D7"/>
              <w:left w:val="nil"/>
              <w:bottom w:val="nil"/>
              <w:right w:val="single" w:sz="4" w:space="0" w:color="FFFFFF"/>
            </w:tcBorders>
            <w:shd w:val="clear" w:color="000000" w:fill="FFFFFF"/>
            <w:noWrap/>
            <w:hideMark/>
          </w:tcPr>
          <w:p w14:paraId="1758087E"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2.050.966</w:t>
            </w:r>
          </w:p>
        </w:tc>
        <w:tc>
          <w:tcPr>
            <w:tcW w:w="1432" w:type="dxa"/>
            <w:tcBorders>
              <w:top w:val="single" w:sz="4" w:space="0" w:color="95B3D7"/>
              <w:left w:val="nil"/>
              <w:bottom w:val="nil"/>
              <w:right w:val="single" w:sz="4" w:space="0" w:color="FFFFFF"/>
            </w:tcBorders>
            <w:shd w:val="clear" w:color="000000" w:fill="FFFFFF"/>
            <w:noWrap/>
            <w:hideMark/>
          </w:tcPr>
          <w:p w14:paraId="274A7D53"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409.861</w:t>
            </w:r>
          </w:p>
        </w:tc>
        <w:tc>
          <w:tcPr>
            <w:tcW w:w="1623" w:type="dxa"/>
            <w:tcBorders>
              <w:top w:val="single" w:sz="4" w:space="0" w:color="95B3D7"/>
              <w:left w:val="nil"/>
              <w:bottom w:val="nil"/>
              <w:right w:val="single" w:sz="4" w:space="0" w:color="FFFFFF"/>
            </w:tcBorders>
            <w:shd w:val="clear" w:color="000000" w:fill="FFFFFF"/>
            <w:noWrap/>
            <w:hideMark/>
          </w:tcPr>
          <w:p w14:paraId="6FB6B1CA"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2.460.827</w:t>
            </w:r>
          </w:p>
        </w:tc>
        <w:tc>
          <w:tcPr>
            <w:tcW w:w="1315" w:type="dxa"/>
            <w:tcBorders>
              <w:top w:val="single" w:sz="4" w:space="0" w:color="95B3D7"/>
              <w:left w:val="nil"/>
              <w:bottom w:val="nil"/>
              <w:right w:val="single" w:sz="4" w:space="0" w:color="FFFFFF"/>
            </w:tcBorders>
            <w:shd w:val="clear" w:color="000000" w:fill="FFFFFF"/>
            <w:noWrap/>
            <w:hideMark/>
          </w:tcPr>
          <w:p w14:paraId="4ECF8E04"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0,23%</w:t>
            </w:r>
          </w:p>
        </w:tc>
      </w:tr>
      <w:tr w:rsidR="00083504" w:rsidRPr="00083504" w14:paraId="353383CE" w14:textId="77777777" w:rsidTr="00083504">
        <w:trPr>
          <w:trHeight w:val="348"/>
        </w:trPr>
        <w:tc>
          <w:tcPr>
            <w:tcW w:w="3357" w:type="dxa"/>
            <w:tcBorders>
              <w:top w:val="dotted" w:sz="4" w:space="0" w:color="95B3D7"/>
              <w:left w:val="single" w:sz="4" w:space="0" w:color="FFFFFF"/>
              <w:bottom w:val="single" w:sz="4" w:space="0" w:color="95B3D7"/>
              <w:right w:val="single" w:sz="4" w:space="0" w:color="FFFFFF"/>
            </w:tcBorders>
            <w:shd w:val="clear" w:color="auto" w:fill="auto"/>
            <w:hideMark/>
          </w:tcPr>
          <w:p w14:paraId="7B2FE70E" w14:textId="77777777" w:rsidR="00083504" w:rsidRPr="00083504" w:rsidRDefault="00083504" w:rsidP="00083504">
            <w:pPr>
              <w:spacing w:before="0" w:after="0" w:line="240" w:lineRule="auto"/>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TOTAL GENERAL SUBVENȚII ACORDATE ÎPL ÎN PERIOADA 2018-2020</w:t>
            </w:r>
          </w:p>
        </w:tc>
        <w:tc>
          <w:tcPr>
            <w:tcW w:w="1528" w:type="dxa"/>
            <w:tcBorders>
              <w:top w:val="dotted" w:sz="4" w:space="0" w:color="95B3D7"/>
              <w:left w:val="nil"/>
              <w:bottom w:val="single" w:sz="4" w:space="0" w:color="95B3D7"/>
              <w:right w:val="single" w:sz="4" w:space="0" w:color="FFFFFF"/>
            </w:tcBorders>
            <w:shd w:val="clear" w:color="auto" w:fill="auto"/>
            <w:noWrap/>
            <w:hideMark/>
          </w:tcPr>
          <w:p w14:paraId="77BFFFF0" w14:textId="77777777" w:rsidR="00083504" w:rsidRPr="005E4009" w:rsidRDefault="00083504" w:rsidP="00083504">
            <w:pPr>
              <w:spacing w:before="0" w:after="0" w:line="240" w:lineRule="auto"/>
              <w:jc w:val="right"/>
              <w:rPr>
                <w:rFonts w:ascii="Calibri" w:eastAsia="Times New Roman" w:hAnsi="Calibri" w:cs="Calibri"/>
                <w:bCs/>
                <w:sz w:val="16"/>
                <w:szCs w:val="16"/>
                <w:lang w:val="en-US"/>
              </w:rPr>
            </w:pPr>
            <w:r w:rsidRPr="005E4009">
              <w:rPr>
                <w:rFonts w:ascii="Calibri" w:eastAsia="Times New Roman" w:hAnsi="Calibri" w:cs="Calibri"/>
                <w:bCs/>
                <w:sz w:val="16"/>
                <w:szCs w:val="16"/>
                <w:lang w:val="en-US"/>
              </w:rPr>
              <w:t>4.440.212</w:t>
            </w:r>
          </w:p>
        </w:tc>
        <w:tc>
          <w:tcPr>
            <w:tcW w:w="1432" w:type="dxa"/>
            <w:tcBorders>
              <w:top w:val="dotted" w:sz="4" w:space="0" w:color="95B3D7"/>
              <w:left w:val="nil"/>
              <w:bottom w:val="single" w:sz="4" w:space="0" w:color="95B3D7"/>
              <w:right w:val="single" w:sz="4" w:space="0" w:color="FFFFFF"/>
            </w:tcBorders>
            <w:shd w:val="clear" w:color="auto" w:fill="auto"/>
            <w:noWrap/>
            <w:hideMark/>
          </w:tcPr>
          <w:p w14:paraId="1BCAA422" w14:textId="77777777" w:rsidR="00083504" w:rsidRPr="005E4009" w:rsidRDefault="00083504" w:rsidP="00083504">
            <w:pPr>
              <w:spacing w:before="0" w:after="0" w:line="240" w:lineRule="auto"/>
              <w:jc w:val="right"/>
              <w:rPr>
                <w:rFonts w:ascii="Calibri" w:eastAsia="Times New Roman" w:hAnsi="Calibri" w:cs="Calibri"/>
                <w:bCs/>
                <w:sz w:val="16"/>
                <w:szCs w:val="16"/>
                <w:lang w:val="en-US"/>
              </w:rPr>
            </w:pPr>
            <w:r w:rsidRPr="005E4009">
              <w:rPr>
                <w:rFonts w:ascii="Calibri" w:eastAsia="Times New Roman" w:hAnsi="Calibri" w:cs="Calibri"/>
                <w:bCs/>
                <w:sz w:val="16"/>
                <w:szCs w:val="16"/>
                <w:lang w:val="en-US"/>
              </w:rPr>
              <w:t>1.176.461</w:t>
            </w:r>
          </w:p>
        </w:tc>
        <w:tc>
          <w:tcPr>
            <w:tcW w:w="1623" w:type="dxa"/>
            <w:tcBorders>
              <w:top w:val="dotted" w:sz="4" w:space="0" w:color="95B3D7"/>
              <w:left w:val="nil"/>
              <w:bottom w:val="single" w:sz="4" w:space="0" w:color="95B3D7"/>
              <w:right w:val="single" w:sz="4" w:space="0" w:color="FFFFFF"/>
            </w:tcBorders>
            <w:shd w:val="clear" w:color="auto" w:fill="auto"/>
            <w:noWrap/>
            <w:hideMark/>
          </w:tcPr>
          <w:p w14:paraId="48076F43" w14:textId="77777777" w:rsidR="00083504" w:rsidRPr="005E4009" w:rsidRDefault="00083504" w:rsidP="00083504">
            <w:pPr>
              <w:spacing w:before="0" w:after="0" w:line="240" w:lineRule="auto"/>
              <w:jc w:val="right"/>
              <w:rPr>
                <w:rFonts w:ascii="Calibri" w:eastAsia="Times New Roman" w:hAnsi="Calibri" w:cs="Calibri"/>
                <w:bCs/>
                <w:sz w:val="16"/>
                <w:szCs w:val="16"/>
                <w:lang w:val="en-US"/>
              </w:rPr>
            </w:pPr>
            <w:r w:rsidRPr="005E4009">
              <w:rPr>
                <w:rFonts w:ascii="Calibri" w:eastAsia="Times New Roman" w:hAnsi="Calibri" w:cs="Calibri"/>
                <w:bCs/>
                <w:sz w:val="16"/>
                <w:szCs w:val="16"/>
                <w:lang w:val="en-US"/>
              </w:rPr>
              <w:t>5.616.673</w:t>
            </w:r>
          </w:p>
        </w:tc>
        <w:tc>
          <w:tcPr>
            <w:tcW w:w="1315" w:type="dxa"/>
            <w:tcBorders>
              <w:top w:val="dotted" w:sz="4" w:space="0" w:color="95B3D7"/>
              <w:left w:val="nil"/>
              <w:bottom w:val="single" w:sz="4" w:space="0" w:color="95B3D7"/>
              <w:right w:val="single" w:sz="4" w:space="0" w:color="FFFFFF"/>
            </w:tcBorders>
            <w:shd w:val="clear" w:color="auto" w:fill="auto"/>
            <w:noWrap/>
            <w:hideMark/>
          </w:tcPr>
          <w:p w14:paraId="60443F0B" w14:textId="77777777" w:rsidR="00083504" w:rsidRPr="00083504" w:rsidRDefault="00083504" w:rsidP="00083504">
            <w:pPr>
              <w:spacing w:before="0" w:after="0" w:line="240" w:lineRule="auto"/>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 </w:t>
            </w:r>
          </w:p>
        </w:tc>
      </w:tr>
    </w:tbl>
    <w:p w14:paraId="14544483" w14:textId="77777777" w:rsidR="00083504" w:rsidRDefault="00083504" w:rsidP="00F83DE8">
      <w:pPr>
        <w:tabs>
          <w:tab w:val="left" w:pos="2115"/>
        </w:tabs>
        <w:spacing w:before="0" w:after="0" w:line="240" w:lineRule="auto"/>
        <w:jc w:val="both"/>
        <w:rPr>
          <w:noProof/>
          <w:lang w:val="en-US"/>
        </w:rPr>
      </w:pPr>
    </w:p>
    <w:p w14:paraId="7FD524C9" w14:textId="77777777" w:rsidR="00083504" w:rsidRDefault="00083504" w:rsidP="00F83DE8">
      <w:pPr>
        <w:tabs>
          <w:tab w:val="left" w:pos="2115"/>
        </w:tabs>
        <w:spacing w:before="0" w:after="0" w:line="240" w:lineRule="auto"/>
        <w:jc w:val="both"/>
        <w:rPr>
          <w:noProof/>
          <w:lang w:val="en-US"/>
        </w:rPr>
      </w:pPr>
    </w:p>
    <w:p w14:paraId="2EF13300" w14:textId="77777777" w:rsidR="00083504" w:rsidRDefault="00083504" w:rsidP="00F83DE8">
      <w:pPr>
        <w:tabs>
          <w:tab w:val="left" w:pos="2115"/>
        </w:tabs>
        <w:spacing w:before="0" w:after="0" w:line="240" w:lineRule="auto"/>
        <w:jc w:val="both"/>
        <w:rPr>
          <w:noProof/>
          <w:lang w:val="en-US"/>
        </w:rPr>
      </w:pPr>
      <w:r>
        <w:rPr>
          <w:noProof/>
          <w:lang w:val="en-US"/>
        </w:rPr>
        <w:drawing>
          <wp:inline distT="0" distB="0" distL="0" distR="0" wp14:anchorId="42A71D05" wp14:editId="20111F10">
            <wp:extent cx="2847340" cy="284099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7340" cy="2840990"/>
                    </a:xfrm>
                    <a:prstGeom prst="rect">
                      <a:avLst/>
                    </a:prstGeom>
                    <a:noFill/>
                  </pic:spPr>
                </pic:pic>
              </a:graphicData>
            </a:graphic>
          </wp:inline>
        </w:drawing>
      </w:r>
      <w:r>
        <w:rPr>
          <w:noProof/>
          <w:lang w:val="en-US"/>
        </w:rPr>
        <w:drawing>
          <wp:inline distT="0" distB="0" distL="0" distR="0" wp14:anchorId="4BE15EE9" wp14:editId="2002F008">
            <wp:extent cx="2847340" cy="284099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7340" cy="2840990"/>
                    </a:xfrm>
                    <a:prstGeom prst="rect">
                      <a:avLst/>
                    </a:prstGeom>
                    <a:noFill/>
                  </pic:spPr>
                </pic:pic>
              </a:graphicData>
            </a:graphic>
          </wp:inline>
        </w:drawing>
      </w:r>
    </w:p>
    <w:p w14:paraId="763E43C4" w14:textId="77777777" w:rsidR="00083504" w:rsidRDefault="00083504" w:rsidP="00F83DE8">
      <w:pPr>
        <w:tabs>
          <w:tab w:val="left" w:pos="2115"/>
        </w:tabs>
        <w:spacing w:before="0" w:after="0"/>
        <w:jc w:val="both"/>
        <w:rPr>
          <w:rFonts w:asciiTheme="majorHAnsi" w:hAnsiTheme="majorHAnsi" w:cstheme="majorBidi"/>
        </w:rPr>
      </w:pPr>
    </w:p>
    <w:p w14:paraId="4DBA9BF5" w14:textId="77777777" w:rsidR="00F83DE8" w:rsidRPr="009C67C8" w:rsidRDefault="00F83DE8" w:rsidP="00F83DE8">
      <w:pPr>
        <w:tabs>
          <w:tab w:val="left" w:pos="2115"/>
        </w:tabs>
        <w:spacing w:before="0" w:after="0"/>
        <w:jc w:val="both"/>
        <w:rPr>
          <w:rFonts w:asciiTheme="majorHAnsi" w:hAnsiTheme="majorHAnsi" w:cstheme="majorBidi"/>
        </w:rPr>
      </w:pPr>
      <w:r w:rsidRPr="009C67C8">
        <w:rPr>
          <w:rFonts w:asciiTheme="majorHAnsi" w:hAnsiTheme="majorHAnsi" w:cstheme="majorBidi"/>
        </w:rPr>
        <w:t>În toată perioada 201</w:t>
      </w:r>
      <w:r w:rsidR="009C67C8" w:rsidRPr="009C67C8">
        <w:rPr>
          <w:rFonts w:asciiTheme="majorHAnsi" w:hAnsiTheme="majorHAnsi" w:cstheme="majorBidi"/>
        </w:rPr>
        <w:t>8</w:t>
      </w:r>
      <w:r w:rsidRPr="009C67C8">
        <w:rPr>
          <w:rFonts w:asciiTheme="majorHAnsi" w:hAnsiTheme="majorHAnsi" w:cstheme="majorBidi"/>
        </w:rPr>
        <w:t>-20</w:t>
      </w:r>
      <w:r w:rsidR="009C67C8" w:rsidRPr="009C67C8">
        <w:rPr>
          <w:rFonts w:asciiTheme="majorHAnsi" w:hAnsiTheme="majorHAnsi" w:cstheme="majorBidi"/>
        </w:rPr>
        <w:t>20</w:t>
      </w:r>
      <w:r w:rsidRPr="009C67C8">
        <w:rPr>
          <w:rFonts w:asciiTheme="majorHAnsi" w:hAnsiTheme="majorHAnsi" w:cstheme="majorBidi"/>
        </w:rPr>
        <w:t xml:space="preserve"> APTL au acordat subvenții pentru ÎPL active în sumă totală de </w:t>
      </w:r>
      <w:r w:rsidR="009C67C8" w:rsidRPr="009C67C8">
        <w:rPr>
          <w:rFonts w:asciiTheme="majorHAnsi" w:hAnsiTheme="majorHAnsi" w:cstheme="majorBidi"/>
          <w:b/>
          <w:bCs/>
        </w:rPr>
        <w:t xml:space="preserve">5.616.673 </w:t>
      </w:r>
      <w:r w:rsidRPr="009C67C8">
        <w:rPr>
          <w:rFonts w:asciiTheme="majorHAnsi" w:hAnsiTheme="majorHAnsi" w:cstheme="majorBidi"/>
          <w:b/>
          <w:bCs/>
        </w:rPr>
        <w:t>mii lei</w:t>
      </w:r>
      <w:r w:rsidR="00092C26">
        <w:rPr>
          <w:rFonts w:asciiTheme="majorHAnsi" w:hAnsiTheme="majorHAnsi" w:cstheme="majorBidi"/>
          <w:b/>
          <w:bCs/>
        </w:rPr>
        <w:t>,</w:t>
      </w:r>
      <w:r w:rsidRPr="009C67C8">
        <w:rPr>
          <w:rFonts w:asciiTheme="majorHAnsi" w:hAnsiTheme="majorHAnsi" w:cstheme="majorBidi"/>
        </w:rPr>
        <w:t xml:space="preserve"> din care suma de </w:t>
      </w:r>
      <w:r w:rsidR="009C67C8" w:rsidRPr="009C67C8">
        <w:rPr>
          <w:rFonts w:asciiTheme="majorHAnsi" w:hAnsiTheme="majorHAnsi" w:cstheme="majorBidi"/>
        </w:rPr>
        <w:t xml:space="preserve">4.440.212 </w:t>
      </w:r>
      <w:r w:rsidRPr="009C67C8">
        <w:rPr>
          <w:rFonts w:asciiTheme="majorHAnsi" w:hAnsiTheme="majorHAnsi" w:cstheme="majorBidi"/>
        </w:rPr>
        <w:t>mii lei (</w:t>
      </w:r>
      <w:r w:rsidR="001D48D9" w:rsidRPr="009C67C8">
        <w:rPr>
          <w:rFonts w:asciiTheme="majorHAnsi" w:hAnsiTheme="majorHAnsi" w:cstheme="majorBidi"/>
        </w:rPr>
        <w:t>7</w:t>
      </w:r>
      <w:r w:rsidR="009C67C8" w:rsidRPr="009C67C8">
        <w:rPr>
          <w:rFonts w:asciiTheme="majorHAnsi" w:hAnsiTheme="majorHAnsi" w:cstheme="majorBidi"/>
        </w:rPr>
        <w:t>9</w:t>
      </w:r>
      <w:r w:rsidR="001D48D9" w:rsidRPr="009C67C8">
        <w:rPr>
          <w:rFonts w:asciiTheme="majorHAnsi" w:hAnsiTheme="majorHAnsi" w:cstheme="majorBidi"/>
        </w:rPr>
        <w:t>,</w:t>
      </w:r>
      <w:r w:rsidR="009C67C8" w:rsidRPr="009C67C8">
        <w:rPr>
          <w:rFonts w:asciiTheme="majorHAnsi" w:hAnsiTheme="majorHAnsi" w:cstheme="majorBidi"/>
        </w:rPr>
        <w:t>0</w:t>
      </w:r>
      <w:r w:rsidR="001D48D9" w:rsidRPr="009C67C8">
        <w:rPr>
          <w:rFonts w:asciiTheme="majorHAnsi" w:hAnsiTheme="majorHAnsi" w:cstheme="majorBidi"/>
        </w:rPr>
        <w:t>5</w:t>
      </w:r>
      <w:r w:rsidRPr="009C67C8">
        <w:rPr>
          <w:rFonts w:asciiTheme="majorHAnsi" w:hAnsiTheme="majorHAnsi" w:cstheme="majorBidi"/>
        </w:rPr>
        <w:t xml:space="preserve">%) au reprezentat subvenții acordate pentru exploatare și suma de </w:t>
      </w:r>
      <w:r w:rsidR="009C67C8" w:rsidRPr="009C67C8">
        <w:rPr>
          <w:rFonts w:asciiTheme="majorHAnsi" w:hAnsiTheme="majorHAnsi" w:cstheme="majorBidi"/>
        </w:rPr>
        <w:t>1.176.461</w:t>
      </w:r>
      <w:r w:rsidRPr="009C67C8">
        <w:rPr>
          <w:rFonts w:asciiTheme="majorHAnsi" w:hAnsiTheme="majorHAnsi" w:cstheme="majorBidi"/>
        </w:rPr>
        <w:t>mii lei (</w:t>
      </w:r>
      <w:r w:rsidR="009C67C8" w:rsidRPr="009C67C8">
        <w:rPr>
          <w:rFonts w:asciiTheme="majorHAnsi" w:hAnsiTheme="majorHAnsi" w:cstheme="majorBidi"/>
        </w:rPr>
        <w:t>20,95%</w:t>
      </w:r>
      <w:r w:rsidRPr="009C67C8">
        <w:rPr>
          <w:rFonts w:asciiTheme="majorHAnsi" w:hAnsiTheme="majorHAnsi" w:cstheme="majorBidi"/>
        </w:rPr>
        <w:t>) au reprezentat subvenții acordate pentru investiții ale ÎPL.</w:t>
      </w:r>
    </w:p>
    <w:p w14:paraId="0AFDD342" w14:textId="77777777" w:rsidR="00F83DE8" w:rsidRPr="00083504" w:rsidRDefault="00F83DE8" w:rsidP="00F83DE8">
      <w:pPr>
        <w:tabs>
          <w:tab w:val="left" w:pos="2115"/>
        </w:tabs>
        <w:spacing w:before="0" w:after="0"/>
        <w:jc w:val="both"/>
        <w:rPr>
          <w:rFonts w:asciiTheme="majorHAnsi" w:hAnsiTheme="majorHAnsi" w:cstheme="majorBidi"/>
          <w:color w:val="FF0000"/>
        </w:rPr>
      </w:pPr>
    </w:p>
    <w:p w14:paraId="469E48DE" w14:textId="77777777" w:rsidR="00F83DE8" w:rsidRPr="009C67C8" w:rsidRDefault="00F83DE8" w:rsidP="00F83DE8">
      <w:pPr>
        <w:tabs>
          <w:tab w:val="left" w:pos="2115"/>
        </w:tabs>
        <w:spacing w:before="0" w:after="0"/>
        <w:jc w:val="both"/>
        <w:rPr>
          <w:rFonts w:asciiTheme="majorHAnsi" w:hAnsiTheme="majorHAnsi" w:cstheme="majorBidi"/>
        </w:rPr>
      </w:pPr>
      <w:r w:rsidRPr="009C67C8">
        <w:rPr>
          <w:rFonts w:asciiTheme="majorHAnsi" w:hAnsiTheme="majorHAnsi" w:cstheme="majorBidi"/>
        </w:rPr>
        <w:t>Totalul subvențiilor acordate de la bugetele locale în anul 20</w:t>
      </w:r>
      <w:r w:rsidR="009C67C8" w:rsidRPr="009C67C8">
        <w:rPr>
          <w:rFonts w:asciiTheme="majorHAnsi" w:hAnsiTheme="majorHAnsi" w:cstheme="majorBidi"/>
        </w:rPr>
        <w:t>20</w:t>
      </w:r>
      <w:r w:rsidRPr="009C67C8">
        <w:rPr>
          <w:rFonts w:asciiTheme="majorHAnsi" w:hAnsiTheme="majorHAnsi" w:cstheme="majorBidi"/>
        </w:rPr>
        <w:t xml:space="preserve"> a fost </w:t>
      </w:r>
      <w:r w:rsidRPr="009C67C8">
        <w:rPr>
          <w:rFonts w:asciiTheme="majorHAnsi" w:hAnsiTheme="majorHAnsi" w:cstheme="majorBidi"/>
          <w:b/>
          <w:bCs/>
        </w:rPr>
        <w:t xml:space="preserve">în sumă totală de </w:t>
      </w:r>
      <w:r w:rsidR="009C67C8" w:rsidRPr="009C67C8">
        <w:rPr>
          <w:rFonts w:asciiTheme="majorHAnsi" w:hAnsiTheme="majorHAnsi" w:cstheme="majorBidi"/>
          <w:b/>
          <w:bCs/>
        </w:rPr>
        <w:t xml:space="preserve">2.460.827 </w:t>
      </w:r>
      <w:r w:rsidRPr="009C67C8">
        <w:rPr>
          <w:rFonts w:asciiTheme="majorHAnsi" w:hAnsiTheme="majorHAnsi" w:cstheme="majorBidi"/>
          <w:b/>
          <w:bCs/>
        </w:rPr>
        <w:t>mii lei</w:t>
      </w:r>
      <w:r w:rsidRPr="009C67C8">
        <w:rPr>
          <w:rFonts w:asciiTheme="majorHAnsi" w:hAnsiTheme="majorHAnsi" w:cstheme="majorBidi"/>
        </w:rPr>
        <w:t xml:space="preserve">, în </w:t>
      </w:r>
      <w:r w:rsidR="009C67C8" w:rsidRPr="009C67C8">
        <w:rPr>
          <w:rFonts w:asciiTheme="majorHAnsi" w:hAnsiTheme="majorHAnsi" w:cstheme="majorBidi"/>
        </w:rPr>
        <w:t>creșt</w:t>
      </w:r>
      <w:r w:rsidR="001D48D9" w:rsidRPr="009C67C8">
        <w:rPr>
          <w:rFonts w:asciiTheme="majorHAnsi" w:hAnsiTheme="majorHAnsi" w:cstheme="majorBidi"/>
        </w:rPr>
        <w:t>ere</w:t>
      </w:r>
      <w:r w:rsidRPr="009C67C8">
        <w:rPr>
          <w:rFonts w:asciiTheme="majorHAnsi" w:hAnsiTheme="majorHAnsi" w:cstheme="majorBidi"/>
        </w:rPr>
        <w:t xml:space="preserve"> față de anul anterior cu suma de </w:t>
      </w:r>
      <w:r w:rsidR="009C67C8" w:rsidRPr="009C67C8">
        <w:rPr>
          <w:rFonts w:asciiTheme="majorHAnsi" w:hAnsiTheme="majorHAnsi" w:cstheme="majorBidi"/>
        </w:rPr>
        <w:t xml:space="preserve">1.113.172 </w:t>
      </w:r>
      <w:r w:rsidRPr="009C67C8">
        <w:rPr>
          <w:rFonts w:asciiTheme="majorHAnsi" w:hAnsiTheme="majorHAnsi" w:cstheme="majorBidi"/>
        </w:rPr>
        <w:t xml:space="preserve">mii lei. În ceea ce privește destinația acestora, se constată o </w:t>
      </w:r>
      <w:r w:rsidR="009C67C8" w:rsidRPr="009C67C8">
        <w:rPr>
          <w:rFonts w:asciiTheme="majorHAnsi" w:hAnsiTheme="majorHAnsi" w:cstheme="majorBidi"/>
          <w:b/>
          <w:bCs/>
        </w:rPr>
        <w:t>crește</w:t>
      </w:r>
      <w:r w:rsidRPr="009C67C8">
        <w:rPr>
          <w:rFonts w:asciiTheme="majorHAnsi" w:hAnsiTheme="majorHAnsi" w:cstheme="majorBidi"/>
          <w:b/>
          <w:bCs/>
        </w:rPr>
        <w:t>re</w:t>
      </w:r>
      <w:r w:rsidRPr="009C67C8">
        <w:rPr>
          <w:rFonts w:asciiTheme="majorHAnsi" w:hAnsiTheme="majorHAnsi" w:cstheme="majorBidi"/>
        </w:rPr>
        <w:t xml:space="preserve"> a subvențiilor acordate pentru </w:t>
      </w:r>
      <w:r w:rsidRPr="009C67C8">
        <w:rPr>
          <w:rFonts w:asciiTheme="majorHAnsi" w:hAnsiTheme="majorHAnsi" w:cstheme="majorBidi"/>
          <w:b/>
          <w:bCs/>
        </w:rPr>
        <w:t>investiții</w:t>
      </w:r>
      <w:r w:rsidRPr="009C67C8">
        <w:rPr>
          <w:rFonts w:asciiTheme="majorHAnsi" w:hAnsiTheme="majorHAnsi" w:cstheme="majorBidi"/>
        </w:rPr>
        <w:t xml:space="preserve"> cu suma totală de </w:t>
      </w:r>
      <w:r w:rsidR="009C67C8" w:rsidRPr="009C67C8">
        <w:rPr>
          <w:rFonts w:asciiTheme="majorHAnsi" w:hAnsiTheme="majorHAnsi" w:cstheme="majorBidi"/>
        </w:rPr>
        <w:t xml:space="preserve">109.637 </w:t>
      </w:r>
      <w:r w:rsidRPr="009C67C8">
        <w:rPr>
          <w:rFonts w:asciiTheme="majorHAnsi" w:hAnsiTheme="majorHAnsi" w:cstheme="majorBidi"/>
        </w:rPr>
        <w:t xml:space="preserve">mii lei și o </w:t>
      </w:r>
      <w:r w:rsidR="009C67C8" w:rsidRPr="009C67C8">
        <w:rPr>
          <w:rFonts w:asciiTheme="majorHAnsi" w:hAnsiTheme="majorHAnsi" w:cstheme="majorBidi"/>
          <w:b/>
          <w:bCs/>
        </w:rPr>
        <w:t>crește</w:t>
      </w:r>
      <w:r w:rsidRPr="009C67C8">
        <w:rPr>
          <w:rFonts w:asciiTheme="majorHAnsi" w:hAnsiTheme="majorHAnsi" w:cstheme="majorBidi"/>
          <w:b/>
          <w:bCs/>
        </w:rPr>
        <w:t>re</w:t>
      </w:r>
      <w:r w:rsidRPr="009C67C8">
        <w:rPr>
          <w:rFonts w:asciiTheme="majorHAnsi" w:hAnsiTheme="majorHAnsi" w:cstheme="majorBidi"/>
        </w:rPr>
        <w:t xml:space="preserve"> a celor pentru </w:t>
      </w:r>
      <w:r w:rsidRPr="009C67C8">
        <w:rPr>
          <w:rFonts w:asciiTheme="majorHAnsi" w:hAnsiTheme="majorHAnsi" w:cstheme="majorBidi"/>
          <w:b/>
          <w:bCs/>
        </w:rPr>
        <w:t>exploatare</w:t>
      </w:r>
      <w:r w:rsidRPr="009C67C8">
        <w:rPr>
          <w:rFonts w:asciiTheme="majorHAnsi" w:hAnsiTheme="majorHAnsi" w:cstheme="majorBidi"/>
        </w:rPr>
        <w:t xml:space="preserve"> cu suma de </w:t>
      </w:r>
      <w:r w:rsidR="009C67C8" w:rsidRPr="009C67C8">
        <w:rPr>
          <w:rFonts w:asciiTheme="majorHAnsi" w:hAnsiTheme="majorHAnsi" w:cstheme="majorBidi"/>
        </w:rPr>
        <w:t xml:space="preserve">1.003.535 </w:t>
      </w:r>
      <w:r w:rsidRPr="009C67C8">
        <w:rPr>
          <w:rFonts w:asciiTheme="majorHAnsi" w:hAnsiTheme="majorHAnsi" w:cstheme="majorBidi"/>
        </w:rPr>
        <w:t>mii lei.</w:t>
      </w:r>
    </w:p>
    <w:p w14:paraId="415E47D6" w14:textId="77777777" w:rsidR="00F83DE8" w:rsidRPr="00314F9F" w:rsidRDefault="00F83DE8" w:rsidP="00F83DE8">
      <w:pPr>
        <w:jc w:val="both"/>
        <w:rPr>
          <w:rFonts w:asciiTheme="majorHAnsi" w:hAnsiTheme="majorHAnsi" w:cstheme="majorBidi"/>
        </w:rPr>
      </w:pPr>
      <w:r w:rsidRPr="00314F9F">
        <w:rPr>
          <w:rFonts w:asciiTheme="majorHAnsi" w:hAnsiTheme="majorHAnsi" w:cstheme="majorBidi"/>
        </w:rPr>
        <w:t>În perioada 201</w:t>
      </w:r>
      <w:r w:rsidR="009C67C8" w:rsidRPr="00314F9F">
        <w:rPr>
          <w:rFonts w:asciiTheme="majorHAnsi" w:hAnsiTheme="majorHAnsi" w:cstheme="majorBidi"/>
        </w:rPr>
        <w:t>8</w:t>
      </w:r>
      <w:r w:rsidRPr="00314F9F">
        <w:rPr>
          <w:rFonts w:asciiTheme="majorHAnsi" w:hAnsiTheme="majorHAnsi" w:cstheme="majorBidi"/>
        </w:rPr>
        <w:t>-20</w:t>
      </w:r>
      <w:r w:rsidR="009C67C8" w:rsidRPr="00314F9F">
        <w:rPr>
          <w:rFonts w:asciiTheme="majorHAnsi" w:hAnsiTheme="majorHAnsi" w:cstheme="majorBidi"/>
        </w:rPr>
        <w:t>20</w:t>
      </w:r>
      <w:r w:rsidR="00092C26">
        <w:rPr>
          <w:rFonts w:asciiTheme="majorHAnsi" w:hAnsiTheme="majorHAnsi" w:cstheme="majorBidi"/>
        </w:rPr>
        <w:t>,</w:t>
      </w:r>
      <w:r w:rsidRPr="00314F9F">
        <w:rPr>
          <w:rFonts w:asciiTheme="majorHAnsi" w:hAnsiTheme="majorHAnsi" w:cstheme="majorBidi"/>
        </w:rPr>
        <w:t xml:space="preserve"> volumul subvențiilor acordate de la bugetele locale pentru ÎPL active </w:t>
      </w:r>
      <w:r w:rsidRPr="00314F9F">
        <w:rPr>
          <w:rFonts w:asciiTheme="majorHAnsi" w:hAnsiTheme="majorHAnsi" w:cstheme="majorBidi"/>
          <w:b/>
        </w:rPr>
        <w:t xml:space="preserve">a </w:t>
      </w:r>
      <w:r w:rsidR="004D5E17" w:rsidRPr="00314F9F">
        <w:rPr>
          <w:rFonts w:asciiTheme="majorHAnsi" w:hAnsiTheme="majorHAnsi" w:cstheme="majorBidi"/>
          <w:b/>
        </w:rPr>
        <w:t>scăz</w:t>
      </w:r>
      <w:r w:rsidR="00E70C9A" w:rsidRPr="00314F9F">
        <w:rPr>
          <w:rFonts w:asciiTheme="majorHAnsi" w:hAnsiTheme="majorHAnsi" w:cstheme="majorBidi"/>
          <w:b/>
        </w:rPr>
        <w:t>ut în anul 201</w:t>
      </w:r>
      <w:r w:rsidR="004D5E17" w:rsidRPr="00314F9F">
        <w:rPr>
          <w:rFonts w:asciiTheme="majorHAnsi" w:hAnsiTheme="majorHAnsi" w:cstheme="majorBidi"/>
          <w:b/>
        </w:rPr>
        <w:t>9</w:t>
      </w:r>
      <w:r w:rsidR="00E70C9A" w:rsidRPr="00314F9F">
        <w:rPr>
          <w:rFonts w:asciiTheme="majorHAnsi" w:hAnsiTheme="majorHAnsi" w:cstheme="majorBidi"/>
          <w:b/>
        </w:rPr>
        <w:t xml:space="preserve"> și a </w:t>
      </w:r>
      <w:r w:rsidR="004D5E17" w:rsidRPr="00314F9F">
        <w:rPr>
          <w:rFonts w:asciiTheme="majorHAnsi" w:hAnsiTheme="majorHAnsi" w:cstheme="majorBidi"/>
          <w:b/>
        </w:rPr>
        <w:t>crescut din nou</w:t>
      </w:r>
      <w:r w:rsidR="00E70C9A" w:rsidRPr="00314F9F">
        <w:rPr>
          <w:rFonts w:asciiTheme="majorHAnsi" w:hAnsiTheme="majorHAnsi" w:cstheme="majorBidi"/>
          <w:b/>
        </w:rPr>
        <w:t xml:space="preserve"> în anul 20</w:t>
      </w:r>
      <w:r w:rsidR="004D5E17" w:rsidRPr="00314F9F">
        <w:rPr>
          <w:rFonts w:asciiTheme="majorHAnsi" w:hAnsiTheme="majorHAnsi" w:cstheme="majorBidi"/>
          <w:b/>
        </w:rPr>
        <w:t>20</w:t>
      </w:r>
      <w:r w:rsidRPr="00314F9F">
        <w:rPr>
          <w:rFonts w:asciiTheme="majorHAnsi" w:hAnsiTheme="majorHAnsi" w:cstheme="majorBidi"/>
        </w:rPr>
        <w:t xml:space="preserve">. </w:t>
      </w:r>
      <w:r w:rsidRPr="00314F9F">
        <w:rPr>
          <w:rFonts w:asciiTheme="majorHAnsi" w:hAnsiTheme="majorHAnsi" w:cstheme="majorBidi"/>
          <w:b/>
          <w:bCs/>
        </w:rPr>
        <w:t>Ponderea</w:t>
      </w:r>
      <w:r w:rsidRPr="00314F9F">
        <w:rPr>
          <w:rFonts w:asciiTheme="majorHAnsi" w:hAnsiTheme="majorHAnsi" w:cstheme="majorBidi"/>
        </w:rPr>
        <w:t xml:space="preserve"> subvențiilor acordate pentru ÎPL în </w:t>
      </w:r>
      <w:r w:rsidRPr="00314F9F">
        <w:rPr>
          <w:rFonts w:asciiTheme="majorHAnsi" w:hAnsiTheme="majorHAnsi" w:cstheme="majorBidi"/>
          <w:b/>
          <w:bCs/>
        </w:rPr>
        <w:t>PIB</w:t>
      </w:r>
      <w:r w:rsidRPr="00314F9F">
        <w:rPr>
          <w:rFonts w:asciiTheme="majorHAnsi" w:hAnsiTheme="majorHAnsi" w:cstheme="majorBidi"/>
        </w:rPr>
        <w:t xml:space="preserve"> s-a </w:t>
      </w:r>
      <w:r w:rsidRPr="00314F9F">
        <w:rPr>
          <w:rFonts w:asciiTheme="majorHAnsi" w:hAnsiTheme="majorHAnsi" w:cstheme="majorBidi"/>
          <w:b/>
          <w:bCs/>
        </w:rPr>
        <w:t>redus</w:t>
      </w:r>
      <w:r w:rsidRPr="00314F9F">
        <w:rPr>
          <w:rFonts w:asciiTheme="majorHAnsi" w:hAnsiTheme="majorHAnsi" w:cstheme="majorBidi"/>
        </w:rPr>
        <w:t xml:space="preserve"> de la 0,</w:t>
      </w:r>
      <w:r w:rsidR="00314F9F" w:rsidRPr="00314F9F">
        <w:rPr>
          <w:rFonts w:asciiTheme="majorHAnsi" w:hAnsiTheme="majorHAnsi" w:cstheme="majorBidi"/>
        </w:rPr>
        <w:t>19</w:t>
      </w:r>
      <w:r w:rsidRPr="00314F9F">
        <w:rPr>
          <w:rFonts w:asciiTheme="majorHAnsi" w:hAnsiTheme="majorHAnsi" w:cstheme="majorBidi"/>
        </w:rPr>
        <w:t xml:space="preserve"> puncte procentuale în anul 201</w:t>
      </w:r>
      <w:r w:rsidR="00314F9F" w:rsidRPr="00314F9F">
        <w:rPr>
          <w:rFonts w:asciiTheme="majorHAnsi" w:hAnsiTheme="majorHAnsi" w:cstheme="majorBidi"/>
        </w:rPr>
        <w:t>8</w:t>
      </w:r>
      <w:r w:rsidR="00092C26">
        <w:rPr>
          <w:rFonts w:asciiTheme="majorHAnsi" w:hAnsiTheme="majorHAnsi" w:cstheme="majorBidi"/>
        </w:rPr>
        <w:t>,</w:t>
      </w:r>
      <w:r w:rsidRPr="00314F9F">
        <w:rPr>
          <w:rFonts w:asciiTheme="majorHAnsi" w:hAnsiTheme="majorHAnsi" w:cstheme="majorBidi"/>
        </w:rPr>
        <w:t xml:space="preserve"> la o pondere în PIB de 0,1</w:t>
      </w:r>
      <w:r w:rsidR="00E70C9A" w:rsidRPr="00314F9F">
        <w:rPr>
          <w:rFonts w:asciiTheme="majorHAnsi" w:hAnsiTheme="majorHAnsi" w:cstheme="majorBidi"/>
        </w:rPr>
        <w:t>3</w:t>
      </w:r>
      <w:r w:rsidRPr="00314F9F">
        <w:rPr>
          <w:rFonts w:asciiTheme="majorHAnsi" w:hAnsiTheme="majorHAnsi" w:cstheme="majorBidi"/>
        </w:rPr>
        <w:t xml:space="preserve"> puncte procentuale în anul 201</w:t>
      </w:r>
      <w:r w:rsidR="00E70C9A" w:rsidRPr="00314F9F">
        <w:rPr>
          <w:rFonts w:asciiTheme="majorHAnsi" w:hAnsiTheme="majorHAnsi" w:cstheme="majorBidi"/>
        </w:rPr>
        <w:t>9 pe fondul creșterii PIB și al reducerii volumului subvențiilor acordate ÎPL</w:t>
      </w:r>
      <w:r w:rsidR="00314F9F" w:rsidRPr="00314F9F">
        <w:rPr>
          <w:rFonts w:asciiTheme="majorHAnsi" w:hAnsiTheme="majorHAnsi" w:cstheme="majorBidi"/>
        </w:rPr>
        <w:t xml:space="preserve"> și a crescut din nou în anul 2020 la 0,23</w:t>
      </w:r>
      <w:r w:rsidR="00314F9F">
        <w:rPr>
          <w:rFonts w:asciiTheme="majorHAnsi" w:hAnsiTheme="majorHAnsi" w:cstheme="majorBidi"/>
        </w:rPr>
        <w:t xml:space="preserve"> puncte procentuale </w:t>
      </w:r>
      <w:r w:rsidR="00314F9F" w:rsidRPr="00314F9F">
        <w:rPr>
          <w:rFonts w:asciiTheme="majorHAnsi" w:hAnsiTheme="majorHAnsi" w:cstheme="majorBidi"/>
        </w:rPr>
        <w:t>din PIB pe fondul creșterii volumului subvențiilor acordate de la bugetele locale</w:t>
      </w:r>
      <w:r w:rsidR="00314F9F">
        <w:rPr>
          <w:rFonts w:asciiTheme="majorHAnsi" w:hAnsiTheme="majorHAnsi" w:cstheme="majorBidi"/>
        </w:rPr>
        <w:t xml:space="preserve"> și a reducerii PIB urmare pandemiei COVID - 19</w:t>
      </w:r>
      <w:r w:rsidRPr="00314F9F">
        <w:rPr>
          <w:rFonts w:asciiTheme="majorHAnsi" w:hAnsiTheme="majorHAnsi" w:cstheme="majorBidi"/>
        </w:rPr>
        <w:t>.</w:t>
      </w:r>
    </w:p>
    <w:p w14:paraId="58F6B8C1" w14:textId="77777777" w:rsidR="00F83DE8" w:rsidRPr="00314F9F" w:rsidRDefault="00E70C9A" w:rsidP="00F83DE8">
      <w:pPr>
        <w:jc w:val="both"/>
        <w:rPr>
          <w:rFonts w:asciiTheme="majorHAnsi" w:hAnsiTheme="majorHAnsi" w:cstheme="majorBidi"/>
        </w:rPr>
      </w:pPr>
      <w:r w:rsidRPr="00314F9F">
        <w:rPr>
          <w:rFonts w:asciiTheme="majorHAnsi" w:hAnsiTheme="majorHAnsi" w:cstheme="majorBidi"/>
        </w:rPr>
        <w:t>În anul 20</w:t>
      </w:r>
      <w:r w:rsidR="00314F9F" w:rsidRPr="00314F9F">
        <w:rPr>
          <w:rFonts w:asciiTheme="majorHAnsi" w:hAnsiTheme="majorHAnsi" w:cstheme="majorBidi"/>
        </w:rPr>
        <w:t>20</w:t>
      </w:r>
      <w:r w:rsidR="00092C26">
        <w:rPr>
          <w:rFonts w:asciiTheme="majorHAnsi" w:hAnsiTheme="majorHAnsi" w:cstheme="majorBidi"/>
        </w:rPr>
        <w:t>,</w:t>
      </w:r>
      <w:r w:rsidR="00F83DE8" w:rsidRPr="00314F9F">
        <w:rPr>
          <w:rFonts w:asciiTheme="majorHAnsi" w:hAnsiTheme="majorHAnsi" w:cstheme="majorBidi"/>
        </w:rPr>
        <w:t xml:space="preserve"> din punct de vedere al destinației subvențiilor acordate</w:t>
      </w:r>
      <w:r w:rsidR="00092C26">
        <w:rPr>
          <w:rFonts w:asciiTheme="majorHAnsi" w:hAnsiTheme="majorHAnsi" w:cstheme="majorBidi"/>
        </w:rPr>
        <w:t>,</w:t>
      </w:r>
      <w:r w:rsidR="00F83DE8" w:rsidRPr="00314F9F">
        <w:rPr>
          <w:rFonts w:asciiTheme="majorHAnsi" w:hAnsiTheme="majorHAnsi" w:cstheme="majorBidi"/>
        </w:rPr>
        <w:t xml:space="preserve"> se constată o reducere a ponderii subvențiilor pentru investiții în subvențiile total</w:t>
      </w:r>
      <w:r w:rsidR="00540851" w:rsidRPr="00314F9F">
        <w:rPr>
          <w:rFonts w:asciiTheme="majorHAnsi" w:hAnsiTheme="majorHAnsi" w:cstheme="majorBidi"/>
        </w:rPr>
        <w:t>e acordate. Față de anul 201</w:t>
      </w:r>
      <w:r w:rsidR="00314F9F" w:rsidRPr="00314F9F">
        <w:rPr>
          <w:rFonts w:asciiTheme="majorHAnsi" w:hAnsiTheme="majorHAnsi" w:cstheme="majorBidi"/>
        </w:rPr>
        <w:t>9</w:t>
      </w:r>
      <w:r w:rsidR="00540851" w:rsidRPr="00314F9F">
        <w:rPr>
          <w:rFonts w:asciiTheme="majorHAnsi" w:hAnsiTheme="majorHAnsi" w:cstheme="majorBidi"/>
        </w:rPr>
        <w:t xml:space="preserve"> câ</w:t>
      </w:r>
      <w:r w:rsidR="00F83DE8" w:rsidRPr="00314F9F">
        <w:rPr>
          <w:rFonts w:asciiTheme="majorHAnsi" w:hAnsiTheme="majorHAnsi" w:cstheme="majorBidi"/>
        </w:rPr>
        <w:t xml:space="preserve">nd ponderea subvențiilor pentru exploatare în subvențiile totale acordate era de de </w:t>
      </w:r>
      <w:r w:rsidRPr="00314F9F">
        <w:rPr>
          <w:rFonts w:asciiTheme="majorHAnsi" w:hAnsiTheme="majorHAnsi" w:cstheme="majorBidi"/>
        </w:rPr>
        <w:t>7</w:t>
      </w:r>
      <w:r w:rsidR="00314F9F" w:rsidRPr="00314F9F">
        <w:rPr>
          <w:rFonts w:asciiTheme="majorHAnsi" w:hAnsiTheme="majorHAnsi" w:cstheme="majorBidi"/>
        </w:rPr>
        <w:t>7</w:t>
      </w:r>
      <w:r w:rsidRPr="00314F9F">
        <w:rPr>
          <w:rFonts w:asciiTheme="majorHAnsi" w:hAnsiTheme="majorHAnsi" w:cstheme="majorBidi"/>
        </w:rPr>
        <w:t>,</w:t>
      </w:r>
      <w:r w:rsidR="00314F9F" w:rsidRPr="00314F9F">
        <w:rPr>
          <w:rFonts w:asciiTheme="majorHAnsi" w:hAnsiTheme="majorHAnsi" w:cstheme="majorBidi"/>
        </w:rPr>
        <w:t>7</w:t>
      </w:r>
      <w:r w:rsidRPr="00314F9F">
        <w:rPr>
          <w:rFonts w:asciiTheme="majorHAnsi" w:hAnsiTheme="majorHAnsi" w:cstheme="majorBidi"/>
        </w:rPr>
        <w:t>2</w:t>
      </w:r>
      <w:r w:rsidR="00F83DE8" w:rsidRPr="00314F9F">
        <w:rPr>
          <w:rFonts w:asciiTheme="majorHAnsi" w:hAnsiTheme="majorHAnsi" w:cstheme="majorBidi"/>
        </w:rPr>
        <w:t>%, în anul 20</w:t>
      </w:r>
      <w:r w:rsidR="00314F9F" w:rsidRPr="00314F9F">
        <w:rPr>
          <w:rFonts w:asciiTheme="majorHAnsi" w:hAnsiTheme="majorHAnsi" w:cstheme="majorBidi"/>
        </w:rPr>
        <w:t>20</w:t>
      </w:r>
      <w:r w:rsidR="00F83DE8" w:rsidRPr="00314F9F">
        <w:rPr>
          <w:rFonts w:asciiTheme="majorHAnsi" w:hAnsiTheme="majorHAnsi" w:cstheme="majorBidi"/>
        </w:rPr>
        <w:t xml:space="preserve"> această pondere a </w:t>
      </w:r>
      <w:r w:rsidRPr="00314F9F">
        <w:rPr>
          <w:rFonts w:asciiTheme="majorHAnsi" w:hAnsiTheme="majorHAnsi" w:cstheme="majorBidi"/>
        </w:rPr>
        <w:t>crescut</w:t>
      </w:r>
      <w:r w:rsidR="00F83DE8" w:rsidRPr="00314F9F">
        <w:rPr>
          <w:rFonts w:asciiTheme="majorHAnsi" w:hAnsiTheme="majorHAnsi" w:cstheme="majorBidi"/>
        </w:rPr>
        <w:t xml:space="preserve">, fiind de </w:t>
      </w:r>
      <w:r w:rsidR="00314F9F" w:rsidRPr="00314F9F">
        <w:rPr>
          <w:rFonts w:asciiTheme="majorHAnsi" w:hAnsiTheme="majorHAnsi" w:cstheme="majorBidi"/>
        </w:rPr>
        <w:t>83</w:t>
      </w:r>
      <w:r w:rsidRPr="00314F9F">
        <w:rPr>
          <w:rFonts w:asciiTheme="majorHAnsi" w:hAnsiTheme="majorHAnsi" w:cstheme="majorBidi"/>
        </w:rPr>
        <w:t>,</w:t>
      </w:r>
      <w:r w:rsidR="00314F9F" w:rsidRPr="00314F9F">
        <w:rPr>
          <w:rFonts w:asciiTheme="majorHAnsi" w:hAnsiTheme="majorHAnsi" w:cstheme="majorBidi"/>
        </w:rPr>
        <w:t>34</w:t>
      </w:r>
      <w:r w:rsidR="00F83DE8" w:rsidRPr="00314F9F">
        <w:rPr>
          <w:rFonts w:asciiTheme="majorHAnsi" w:hAnsiTheme="majorHAnsi" w:cstheme="majorBidi"/>
        </w:rPr>
        <w:t>%.</w:t>
      </w:r>
    </w:p>
    <w:p w14:paraId="0C1AA00E" w14:textId="77777777" w:rsidR="00083504" w:rsidRPr="00083504" w:rsidRDefault="00083504" w:rsidP="00F83DE8">
      <w:pPr>
        <w:jc w:val="both"/>
        <w:rPr>
          <w:rFonts w:asciiTheme="majorHAnsi" w:hAnsiTheme="majorHAnsi" w:cstheme="majorBidi"/>
        </w:rPr>
      </w:pPr>
      <w:r w:rsidRPr="00083504">
        <w:rPr>
          <w:rFonts w:asciiTheme="majorHAnsi" w:hAnsiTheme="majorHAnsi" w:cstheme="majorBidi"/>
        </w:rPr>
        <w:t>TABEL – Situația subvențiilor pe acordate ÎPL în anul 2020 pe regiuni de dezvoltare</w:t>
      </w:r>
    </w:p>
    <w:tbl>
      <w:tblPr>
        <w:tblW w:w="9337" w:type="dxa"/>
        <w:tblInd w:w="93" w:type="dxa"/>
        <w:tblLook w:val="04A0" w:firstRow="1" w:lastRow="0" w:firstColumn="1" w:lastColumn="0" w:noHBand="0" w:noVBand="1"/>
      </w:tblPr>
      <w:tblGrid>
        <w:gridCol w:w="3949"/>
        <w:gridCol w:w="1252"/>
        <w:gridCol w:w="1919"/>
        <w:gridCol w:w="2217"/>
      </w:tblGrid>
      <w:tr w:rsidR="00083504" w:rsidRPr="00083504" w14:paraId="474D1B2B" w14:textId="77777777" w:rsidTr="00083504">
        <w:trPr>
          <w:trHeight w:val="359"/>
        </w:trPr>
        <w:tc>
          <w:tcPr>
            <w:tcW w:w="3949" w:type="dxa"/>
            <w:tcBorders>
              <w:top w:val="single" w:sz="4" w:space="0" w:color="95B3D7"/>
              <w:left w:val="single" w:sz="4" w:space="0" w:color="FFFFFF"/>
              <w:bottom w:val="single" w:sz="4" w:space="0" w:color="95B3D7"/>
              <w:right w:val="single" w:sz="4" w:space="0" w:color="FFFFFF"/>
            </w:tcBorders>
            <w:shd w:val="clear" w:color="000000" w:fill="FFFFFF"/>
            <w:noWrap/>
            <w:vAlign w:val="center"/>
            <w:hideMark/>
          </w:tcPr>
          <w:p w14:paraId="747AE7B0"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 </w:t>
            </w:r>
          </w:p>
        </w:tc>
        <w:tc>
          <w:tcPr>
            <w:tcW w:w="1252" w:type="dxa"/>
            <w:tcBorders>
              <w:top w:val="single" w:sz="4" w:space="0" w:color="95B3D7"/>
              <w:left w:val="nil"/>
              <w:bottom w:val="single" w:sz="4" w:space="0" w:color="95B3D7"/>
              <w:right w:val="single" w:sz="4" w:space="0" w:color="FFFFFF"/>
            </w:tcBorders>
            <w:shd w:val="clear" w:color="000000" w:fill="FFFFFF"/>
            <w:hideMark/>
          </w:tcPr>
          <w:p w14:paraId="2A174A64"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subvenții pentru exploatare</w:t>
            </w:r>
          </w:p>
        </w:tc>
        <w:tc>
          <w:tcPr>
            <w:tcW w:w="1919" w:type="dxa"/>
            <w:tcBorders>
              <w:top w:val="single" w:sz="4" w:space="0" w:color="95B3D7"/>
              <w:left w:val="nil"/>
              <w:bottom w:val="single" w:sz="4" w:space="0" w:color="95B3D7"/>
              <w:right w:val="single" w:sz="4" w:space="0" w:color="FFFFFF"/>
            </w:tcBorders>
            <w:shd w:val="clear" w:color="000000" w:fill="FFFFFF"/>
            <w:hideMark/>
          </w:tcPr>
          <w:p w14:paraId="5A8DB71E"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subvenții pentru investiții</w:t>
            </w:r>
          </w:p>
        </w:tc>
        <w:tc>
          <w:tcPr>
            <w:tcW w:w="2217" w:type="dxa"/>
            <w:tcBorders>
              <w:top w:val="single" w:sz="4" w:space="0" w:color="95B3D7"/>
              <w:left w:val="nil"/>
              <w:bottom w:val="single" w:sz="4" w:space="0" w:color="95B3D7"/>
              <w:right w:val="single" w:sz="4" w:space="0" w:color="FFFFFF"/>
            </w:tcBorders>
            <w:shd w:val="clear" w:color="000000" w:fill="FFFFFF"/>
            <w:hideMark/>
          </w:tcPr>
          <w:p w14:paraId="09B6DD1B"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Total subvenții</w:t>
            </w:r>
          </w:p>
        </w:tc>
      </w:tr>
      <w:tr w:rsidR="00083504" w:rsidRPr="00083504" w14:paraId="4F5082E6" w14:textId="77777777" w:rsidTr="00083504">
        <w:trPr>
          <w:trHeight w:val="238"/>
        </w:trPr>
        <w:tc>
          <w:tcPr>
            <w:tcW w:w="3949" w:type="dxa"/>
            <w:tcBorders>
              <w:top w:val="nil"/>
              <w:left w:val="single" w:sz="4" w:space="0" w:color="FFFFFF"/>
              <w:bottom w:val="single" w:sz="4" w:space="0" w:color="95B3D7"/>
              <w:right w:val="single" w:sz="4" w:space="0" w:color="FFFFFF"/>
            </w:tcBorders>
            <w:shd w:val="clear" w:color="000000" w:fill="FFFFFF"/>
            <w:noWrap/>
            <w:vAlign w:val="center"/>
            <w:hideMark/>
          </w:tcPr>
          <w:p w14:paraId="74180999"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 </w:t>
            </w:r>
          </w:p>
        </w:tc>
        <w:tc>
          <w:tcPr>
            <w:tcW w:w="1252" w:type="dxa"/>
            <w:tcBorders>
              <w:top w:val="nil"/>
              <w:left w:val="nil"/>
              <w:bottom w:val="single" w:sz="4" w:space="0" w:color="95B3D7"/>
              <w:right w:val="single" w:sz="4" w:space="0" w:color="FFFFFF"/>
            </w:tcBorders>
            <w:shd w:val="clear" w:color="000000" w:fill="FFFFFF"/>
            <w:hideMark/>
          </w:tcPr>
          <w:p w14:paraId="59352FA3"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1</w:t>
            </w:r>
          </w:p>
        </w:tc>
        <w:tc>
          <w:tcPr>
            <w:tcW w:w="1919" w:type="dxa"/>
            <w:tcBorders>
              <w:top w:val="nil"/>
              <w:left w:val="nil"/>
              <w:bottom w:val="single" w:sz="4" w:space="0" w:color="95B3D7"/>
              <w:right w:val="single" w:sz="4" w:space="0" w:color="FFFFFF"/>
            </w:tcBorders>
            <w:shd w:val="clear" w:color="000000" w:fill="FFFFFF"/>
            <w:hideMark/>
          </w:tcPr>
          <w:p w14:paraId="68716032"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2</w:t>
            </w:r>
          </w:p>
        </w:tc>
        <w:tc>
          <w:tcPr>
            <w:tcW w:w="2217" w:type="dxa"/>
            <w:tcBorders>
              <w:top w:val="nil"/>
              <w:left w:val="nil"/>
              <w:bottom w:val="single" w:sz="4" w:space="0" w:color="95B3D7"/>
              <w:right w:val="single" w:sz="4" w:space="0" w:color="FFFFFF"/>
            </w:tcBorders>
            <w:shd w:val="clear" w:color="000000" w:fill="FFFFFF"/>
            <w:hideMark/>
          </w:tcPr>
          <w:p w14:paraId="60845227"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3=1+2</w:t>
            </w:r>
          </w:p>
        </w:tc>
      </w:tr>
      <w:tr w:rsidR="00083504" w:rsidRPr="00083504" w14:paraId="360C4640" w14:textId="77777777" w:rsidTr="00083504">
        <w:trPr>
          <w:trHeight w:val="238"/>
        </w:trPr>
        <w:tc>
          <w:tcPr>
            <w:tcW w:w="3949" w:type="dxa"/>
            <w:tcBorders>
              <w:top w:val="nil"/>
              <w:left w:val="single" w:sz="4" w:space="0" w:color="FFFFFF"/>
              <w:bottom w:val="single" w:sz="4" w:space="0" w:color="95B3D7"/>
              <w:right w:val="single" w:sz="4" w:space="0" w:color="FFFFFF"/>
            </w:tcBorders>
            <w:shd w:val="clear" w:color="000000" w:fill="FFFFFF"/>
            <w:noWrap/>
            <w:vAlign w:val="center"/>
            <w:hideMark/>
          </w:tcPr>
          <w:p w14:paraId="5EBA9E80"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 </w:t>
            </w:r>
          </w:p>
        </w:tc>
        <w:tc>
          <w:tcPr>
            <w:tcW w:w="1252" w:type="dxa"/>
            <w:tcBorders>
              <w:top w:val="nil"/>
              <w:left w:val="nil"/>
              <w:bottom w:val="single" w:sz="4" w:space="0" w:color="95B3D7"/>
              <w:right w:val="single" w:sz="4" w:space="0" w:color="FFFFFF"/>
            </w:tcBorders>
            <w:shd w:val="clear" w:color="000000" w:fill="FFFFFF"/>
            <w:hideMark/>
          </w:tcPr>
          <w:p w14:paraId="385F7263"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mii lei</w:t>
            </w:r>
          </w:p>
        </w:tc>
        <w:tc>
          <w:tcPr>
            <w:tcW w:w="1919" w:type="dxa"/>
            <w:tcBorders>
              <w:top w:val="nil"/>
              <w:left w:val="nil"/>
              <w:bottom w:val="single" w:sz="4" w:space="0" w:color="95B3D7"/>
              <w:right w:val="single" w:sz="4" w:space="0" w:color="FFFFFF"/>
            </w:tcBorders>
            <w:shd w:val="clear" w:color="000000" w:fill="FFFFFF"/>
            <w:hideMark/>
          </w:tcPr>
          <w:p w14:paraId="40B40A4B"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mii lei</w:t>
            </w:r>
          </w:p>
        </w:tc>
        <w:tc>
          <w:tcPr>
            <w:tcW w:w="2217" w:type="dxa"/>
            <w:tcBorders>
              <w:top w:val="nil"/>
              <w:left w:val="nil"/>
              <w:bottom w:val="single" w:sz="4" w:space="0" w:color="95B3D7"/>
              <w:right w:val="single" w:sz="4" w:space="0" w:color="FFFFFF"/>
            </w:tcBorders>
            <w:shd w:val="clear" w:color="000000" w:fill="FFFFFF"/>
            <w:hideMark/>
          </w:tcPr>
          <w:p w14:paraId="55FBC047" w14:textId="77777777" w:rsidR="00083504" w:rsidRPr="00083504" w:rsidRDefault="00083504" w:rsidP="00083504">
            <w:pPr>
              <w:spacing w:before="0" w:after="0" w:line="240" w:lineRule="auto"/>
              <w:jc w:val="right"/>
              <w:rPr>
                <w:rFonts w:ascii="Calibri" w:eastAsia="Times New Roman" w:hAnsi="Calibri" w:cs="Calibri"/>
                <w:color w:val="0F6FC6" w:themeColor="accent1"/>
                <w:sz w:val="14"/>
                <w:szCs w:val="14"/>
                <w:lang w:val="en-US"/>
              </w:rPr>
            </w:pPr>
            <w:r w:rsidRPr="00083504">
              <w:rPr>
                <w:rFonts w:ascii="Calibri" w:eastAsia="Times New Roman" w:hAnsi="Calibri" w:cs="Calibri"/>
                <w:color w:val="0F6FC6" w:themeColor="accent1"/>
                <w:sz w:val="14"/>
                <w:szCs w:val="14"/>
                <w:lang w:val="en-US"/>
              </w:rPr>
              <w:t>mii lei</w:t>
            </w:r>
          </w:p>
        </w:tc>
      </w:tr>
      <w:tr w:rsidR="00083504" w:rsidRPr="00083504" w14:paraId="7002EA17" w14:textId="77777777" w:rsidTr="00083504">
        <w:trPr>
          <w:trHeight w:val="238"/>
        </w:trPr>
        <w:tc>
          <w:tcPr>
            <w:tcW w:w="3949" w:type="dxa"/>
            <w:tcBorders>
              <w:top w:val="nil"/>
              <w:left w:val="single" w:sz="4" w:space="0" w:color="FFFFFF"/>
              <w:bottom w:val="dotted" w:sz="4" w:space="0" w:color="95B3D7"/>
              <w:right w:val="single" w:sz="4" w:space="0" w:color="FFFFFF"/>
            </w:tcBorders>
            <w:shd w:val="clear" w:color="000000" w:fill="FFFFFF"/>
            <w:noWrap/>
            <w:vAlign w:val="center"/>
            <w:hideMark/>
          </w:tcPr>
          <w:p w14:paraId="0FEFD2A7" w14:textId="77777777" w:rsidR="00083504" w:rsidRPr="00083504" w:rsidRDefault="00083504" w:rsidP="00083504">
            <w:pPr>
              <w:spacing w:before="0" w:after="0" w:line="240" w:lineRule="auto"/>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TOTAL GENERAL 2020</w:t>
            </w:r>
          </w:p>
        </w:tc>
        <w:tc>
          <w:tcPr>
            <w:tcW w:w="1252" w:type="dxa"/>
            <w:tcBorders>
              <w:top w:val="nil"/>
              <w:left w:val="nil"/>
              <w:bottom w:val="dotted" w:sz="4" w:space="0" w:color="95B3D7"/>
              <w:right w:val="single" w:sz="4" w:space="0" w:color="FFFFFF"/>
            </w:tcBorders>
            <w:shd w:val="clear" w:color="000000" w:fill="FFFFFF"/>
            <w:hideMark/>
          </w:tcPr>
          <w:p w14:paraId="7E711C7E" w14:textId="77777777" w:rsidR="00083504" w:rsidRPr="00083504" w:rsidRDefault="00083504" w:rsidP="00083504">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2.050.966</w:t>
            </w:r>
          </w:p>
        </w:tc>
        <w:tc>
          <w:tcPr>
            <w:tcW w:w="1919" w:type="dxa"/>
            <w:tcBorders>
              <w:top w:val="nil"/>
              <w:left w:val="nil"/>
              <w:bottom w:val="dotted" w:sz="4" w:space="0" w:color="95B3D7"/>
              <w:right w:val="single" w:sz="4" w:space="0" w:color="FFFFFF"/>
            </w:tcBorders>
            <w:shd w:val="clear" w:color="000000" w:fill="FFFFFF"/>
            <w:hideMark/>
          </w:tcPr>
          <w:p w14:paraId="545F0715" w14:textId="77777777" w:rsidR="00083504" w:rsidRPr="00083504" w:rsidRDefault="00083504" w:rsidP="00083504">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409.861</w:t>
            </w:r>
          </w:p>
        </w:tc>
        <w:tc>
          <w:tcPr>
            <w:tcW w:w="2217" w:type="dxa"/>
            <w:tcBorders>
              <w:top w:val="nil"/>
              <w:left w:val="nil"/>
              <w:bottom w:val="dotted" w:sz="4" w:space="0" w:color="95B3D7"/>
              <w:right w:val="single" w:sz="4" w:space="0" w:color="FFFFFF"/>
            </w:tcBorders>
            <w:shd w:val="clear" w:color="000000" w:fill="FFFFFF"/>
            <w:hideMark/>
          </w:tcPr>
          <w:p w14:paraId="5C9F8D77" w14:textId="77777777" w:rsidR="00083504" w:rsidRPr="00083504" w:rsidRDefault="00083504" w:rsidP="00083504">
            <w:pPr>
              <w:spacing w:before="0" w:after="0" w:line="240" w:lineRule="auto"/>
              <w:jc w:val="right"/>
              <w:rPr>
                <w:rFonts w:ascii="Calibri" w:eastAsia="Times New Roman" w:hAnsi="Calibri" w:cs="Calibri"/>
                <w:bCs/>
                <w:sz w:val="16"/>
                <w:szCs w:val="16"/>
                <w:lang w:val="en-US"/>
              </w:rPr>
            </w:pPr>
            <w:r w:rsidRPr="00083504">
              <w:rPr>
                <w:rFonts w:ascii="Calibri" w:eastAsia="Times New Roman" w:hAnsi="Calibri" w:cs="Calibri"/>
                <w:bCs/>
                <w:sz w:val="16"/>
                <w:szCs w:val="16"/>
                <w:lang w:val="en-US"/>
              </w:rPr>
              <w:t>2.460.827</w:t>
            </w:r>
          </w:p>
        </w:tc>
      </w:tr>
      <w:tr w:rsidR="00083504" w:rsidRPr="00083504" w14:paraId="26CB6459"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3ADB68B8"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BUCURESTI-ILFOV</w:t>
            </w:r>
          </w:p>
        </w:tc>
        <w:tc>
          <w:tcPr>
            <w:tcW w:w="1252" w:type="dxa"/>
            <w:tcBorders>
              <w:top w:val="nil"/>
              <w:left w:val="nil"/>
              <w:bottom w:val="single" w:sz="4" w:space="0" w:color="FFFFFF"/>
              <w:right w:val="single" w:sz="4" w:space="0" w:color="FFFFFF"/>
            </w:tcBorders>
            <w:shd w:val="clear" w:color="000000" w:fill="FFFFFF"/>
            <w:noWrap/>
            <w:hideMark/>
          </w:tcPr>
          <w:p w14:paraId="0E4D3822"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802.829</w:t>
            </w:r>
          </w:p>
        </w:tc>
        <w:tc>
          <w:tcPr>
            <w:tcW w:w="1919" w:type="dxa"/>
            <w:tcBorders>
              <w:top w:val="nil"/>
              <w:left w:val="nil"/>
              <w:bottom w:val="single" w:sz="4" w:space="0" w:color="FFFFFF"/>
              <w:right w:val="single" w:sz="4" w:space="0" w:color="FFFFFF"/>
            </w:tcBorders>
            <w:shd w:val="clear" w:color="000000" w:fill="FFFFFF"/>
            <w:noWrap/>
            <w:hideMark/>
          </w:tcPr>
          <w:p w14:paraId="436F294C"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24.124</w:t>
            </w:r>
          </w:p>
        </w:tc>
        <w:tc>
          <w:tcPr>
            <w:tcW w:w="2217" w:type="dxa"/>
            <w:tcBorders>
              <w:top w:val="nil"/>
              <w:left w:val="nil"/>
              <w:bottom w:val="single" w:sz="4" w:space="0" w:color="FFFFFF"/>
              <w:right w:val="single" w:sz="4" w:space="0" w:color="FFFFFF"/>
            </w:tcBorders>
            <w:shd w:val="clear" w:color="000000" w:fill="FFFFFF"/>
            <w:noWrap/>
            <w:hideMark/>
          </w:tcPr>
          <w:p w14:paraId="1A902440"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826.953</w:t>
            </w:r>
          </w:p>
        </w:tc>
      </w:tr>
      <w:tr w:rsidR="00083504" w:rsidRPr="00083504" w14:paraId="7394D92E"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63D56D8A"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SUD-EST</w:t>
            </w:r>
          </w:p>
        </w:tc>
        <w:tc>
          <w:tcPr>
            <w:tcW w:w="1252" w:type="dxa"/>
            <w:tcBorders>
              <w:top w:val="nil"/>
              <w:left w:val="nil"/>
              <w:bottom w:val="single" w:sz="4" w:space="0" w:color="FFFFFF"/>
              <w:right w:val="single" w:sz="4" w:space="0" w:color="FFFFFF"/>
            </w:tcBorders>
            <w:shd w:val="clear" w:color="000000" w:fill="FFFFFF"/>
            <w:noWrap/>
            <w:hideMark/>
          </w:tcPr>
          <w:p w14:paraId="0DD844B7"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217.624</w:t>
            </w:r>
          </w:p>
        </w:tc>
        <w:tc>
          <w:tcPr>
            <w:tcW w:w="1919" w:type="dxa"/>
            <w:tcBorders>
              <w:top w:val="nil"/>
              <w:left w:val="nil"/>
              <w:bottom w:val="single" w:sz="4" w:space="0" w:color="FFFFFF"/>
              <w:right w:val="single" w:sz="4" w:space="0" w:color="FFFFFF"/>
            </w:tcBorders>
            <w:shd w:val="clear" w:color="000000" w:fill="FFFFFF"/>
            <w:noWrap/>
            <w:hideMark/>
          </w:tcPr>
          <w:p w14:paraId="3CD0E471"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112.721</w:t>
            </w:r>
          </w:p>
        </w:tc>
        <w:tc>
          <w:tcPr>
            <w:tcW w:w="2217" w:type="dxa"/>
            <w:tcBorders>
              <w:top w:val="nil"/>
              <w:left w:val="nil"/>
              <w:bottom w:val="single" w:sz="4" w:space="0" w:color="FFFFFF"/>
              <w:right w:val="single" w:sz="4" w:space="0" w:color="FFFFFF"/>
            </w:tcBorders>
            <w:shd w:val="clear" w:color="000000" w:fill="FFFFFF"/>
            <w:noWrap/>
            <w:hideMark/>
          </w:tcPr>
          <w:p w14:paraId="34D8933A"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330.345</w:t>
            </w:r>
          </w:p>
        </w:tc>
      </w:tr>
      <w:tr w:rsidR="00083504" w:rsidRPr="00083504" w14:paraId="01788655"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305CB3FF"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VEST</w:t>
            </w:r>
          </w:p>
        </w:tc>
        <w:tc>
          <w:tcPr>
            <w:tcW w:w="1252" w:type="dxa"/>
            <w:tcBorders>
              <w:top w:val="nil"/>
              <w:left w:val="nil"/>
              <w:bottom w:val="single" w:sz="4" w:space="0" w:color="FFFFFF"/>
              <w:right w:val="single" w:sz="4" w:space="0" w:color="FFFFFF"/>
            </w:tcBorders>
            <w:shd w:val="clear" w:color="000000" w:fill="FFFFFF"/>
            <w:noWrap/>
            <w:hideMark/>
          </w:tcPr>
          <w:p w14:paraId="6F7201E5"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282.414</w:t>
            </w:r>
          </w:p>
        </w:tc>
        <w:tc>
          <w:tcPr>
            <w:tcW w:w="1919" w:type="dxa"/>
            <w:tcBorders>
              <w:top w:val="nil"/>
              <w:left w:val="nil"/>
              <w:bottom w:val="single" w:sz="4" w:space="0" w:color="FFFFFF"/>
              <w:right w:val="single" w:sz="4" w:space="0" w:color="FFFFFF"/>
            </w:tcBorders>
            <w:shd w:val="clear" w:color="000000" w:fill="FFFFFF"/>
            <w:noWrap/>
            <w:hideMark/>
          </w:tcPr>
          <w:p w14:paraId="03BF9A3E"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34.175</w:t>
            </w:r>
          </w:p>
        </w:tc>
        <w:tc>
          <w:tcPr>
            <w:tcW w:w="2217" w:type="dxa"/>
            <w:tcBorders>
              <w:top w:val="nil"/>
              <w:left w:val="nil"/>
              <w:bottom w:val="single" w:sz="4" w:space="0" w:color="FFFFFF"/>
              <w:right w:val="single" w:sz="4" w:space="0" w:color="FFFFFF"/>
            </w:tcBorders>
            <w:shd w:val="clear" w:color="000000" w:fill="FFFFFF"/>
            <w:noWrap/>
            <w:hideMark/>
          </w:tcPr>
          <w:p w14:paraId="688CED4D"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316.589</w:t>
            </w:r>
          </w:p>
        </w:tc>
      </w:tr>
      <w:tr w:rsidR="00083504" w:rsidRPr="00083504" w14:paraId="64E560D6"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07C618D0"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NORD-VEST</w:t>
            </w:r>
          </w:p>
        </w:tc>
        <w:tc>
          <w:tcPr>
            <w:tcW w:w="1252" w:type="dxa"/>
            <w:tcBorders>
              <w:top w:val="nil"/>
              <w:left w:val="nil"/>
              <w:bottom w:val="single" w:sz="4" w:space="0" w:color="FFFFFF"/>
              <w:right w:val="single" w:sz="4" w:space="0" w:color="FFFFFF"/>
            </w:tcBorders>
            <w:shd w:val="clear" w:color="000000" w:fill="FFFFFF"/>
            <w:noWrap/>
            <w:hideMark/>
          </w:tcPr>
          <w:p w14:paraId="55B2A44D"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174.070</w:t>
            </w:r>
          </w:p>
        </w:tc>
        <w:tc>
          <w:tcPr>
            <w:tcW w:w="1919" w:type="dxa"/>
            <w:tcBorders>
              <w:top w:val="nil"/>
              <w:left w:val="nil"/>
              <w:bottom w:val="single" w:sz="4" w:space="0" w:color="FFFFFF"/>
              <w:right w:val="single" w:sz="4" w:space="0" w:color="FFFFFF"/>
            </w:tcBorders>
            <w:shd w:val="clear" w:color="000000" w:fill="FFFFFF"/>
            <w:noWrap/>
            <w:hideMark/>
          </w:tcPr>
          <w:p w14:paraId="415600EA"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86.030</w:t>
            </w:r>
          </w:p>
        </w:tc>
        <w:tc>
          <w:tcPr>
            <w:tcW w:w="2217" w:type="dxa"/>
            <w:tcBorders>
              <w:top w:val="nil"/>
              <w:left w:val="nil"/>
              <w:bottom w:val="single" w:sz="4" w:space="0" w:color="FFFFFF"/>
              <w:right w:val="single" w:sz="4" w:space="0" w:color="FFFFFF"/>
            </w:tcBorders>
            <w:shd w:val="clear" w:color="000000" w:fill="FFFFFF"/>
            <w:noWrap/>
            <w:hideMark/>
          </w:tcPr>
          <w:p w14:paraId="1B6DF890"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260.100</w:t>
            </w:r>
          </w:p>
        </w:tc>
      </w:tr>
      <w:tr w:rsidR="00083504" w:rsidRPr="00083504" w14:paraId="12F1A3B5"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4EC0D83E"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NORD-EST</w:t>
            </w:r>
          </w:p>
        </w:tc>
        <w:tc>
          <w:tcPr>
            <w:tcW w:w="1252" w:type="dxa"/>
            <w:tcBorders>
              <w:top w:val="nil"/>
              <w:left w:val="nil"/>
              <w:bottom w:val="single" w:sz="4" w:space="0" w:color="FFFFFF"/>
              <w:right w:val="single" w:sz="4" w:space="0" w:color="FFFFFF"/>
            </w:tcBorders>
            <w:shd w:val="clear" w:color="000000" w:fill="FFFFFF"/>
            <w:noWrap/>
            <w:hideMark/>
          </w:tcPr>
          <w:p w14:paraId="5734AEF2"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154.633</w:t>
            </w:r>
          </w:p>
        </w:tc>
        <w:tc>
          <w:tcPr>
            <w:tcW w:w="1919" w:type="dxa"/>
            <w:tcBorders>
              <w:top w:val="nil"/>
              <w:left w:val="nil"/>
              <w:bottom w:val="single" w:sz="4" w:space="0" w:color="FFFFFF"/>
              <w:right w:val="single" w:sz="4" w:space="0" w:color="FFFFFF"/>
            </w:tcBorders>
            <w:shd w:val="clear" w:color="000000" w:fill="FFFFFF"/>
            <w:noWrap/>
            <w:hideMark/>
          </w:tcPr>
          <w:p w14:paraId="1B284D63"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61.800</w:t>
            </w:r>
          </w:p>
        </w:tc>
        <w:tc>
          <w:tcPr>
            <w:tcW w:w="2217" w:type="dxa"/>
            <w:tcBorders>
              <w:top w:val="nil"/>
              <w:left w:val="nil"/>
              <w:bottom w:val="single" w:sz="4" w:space="0" w:color="FFFFFF"/>
              <w:right w:val="single" w:sz="4" w:space="0" w:color="FFFFFF"/>
            </w:tcBorders>
            <w:shd w:val="clear" w:color="000000" w:fill="FFFFFF"/>
            <w:noWrap/>
            <w:hideMark/>
          </w:tcPr>
          <w:p w14:paraId="742D8FC6"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216.433</w:t>
            </w:r>
          </w:p>
        </w:tc>
      </w:tr>
      <w:tr w:rsidR="00083504" w:rsidRPr="00083504" w14:paraId="636330C6"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5B220522"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SUD-VEST</w:t>
            </w:r>
          </w:p>
        </w:tc>
        <w:tc>
          <w:tcPr>
            <w:tcW w:w="1252" w:type="dxa"/>
            <w:tcBorders>
              <w:top w:val="nil"/>
              <w:left w:val="nil"/>
              <w:bottom w:val="single" w:sz="4" w:space="0" w:color="FFFFFF"/>
              <w:right w:val="single" w:sz="4" w:space="0" w:color="FFFFFF"/>
            </w:tcBorders>
            <w:shd w:val="clear" w:color="000000" w:fill="FFFFFF"/>
            <w:noWrap/>
            <w:hideMark/>
          </w:tcPr>
          <w:p w14:paraId="432BD3E6"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123.863</w:t>
            </w:r>
          </w:p>
        </w:tc>
        <w:tc>
          <w:tcPr>
            <w:tcW w:w="1919" w:type="dxa"/>
            <w:tcBorders>
              <w:top w:val="nil"/>
              <w:left w:val="nil"/>
              <w:bottom w:val="single" w:sz="4" w:space="0" w:color="FFFFFF"/>
              <w:right w:val="single" w:sz="4" w:space="0" w:color="FFFFFF"/>
            </w:tcBorders>
            <w:shd w:val="clear" w:color="000000" w:fill="FFFFFF"/>
            <w:noWrap/>
            <w:hideMark/>
          </w:tcPr>
          <w:p w14:paraId="036D03A3"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76.482</w:t>
            </w:r>
          </w:p>
        </w:tc>
        <w:tc>
          <w:tcPr>
            <w:tcW w:w="2217" w:type="dxa"/>
            <w:tcBorders>
              <w:top w:val="nil"/>
              <w:left w:val="nil"/>
              <w:bottom w:val="single" w:sz="4" w:space="0" w:color="FFFFFF"/>
              <w:right w:val="single" w:sz="4" w:space="0" w:color="FFFFFF"/>
            </w:tcBorders>
            <w:shd w:val="clear" w:color="000000" w:fill="FFFFFF"/>
            <w:noWrap/>
            <w:hideMark/>
          </w:tcPr>
          <w:p w14:paraId="083138F8"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200.345</w:t>
            </w:r>
          </w:p>
        </w:tc>
      </w:tr>
      <w:tr w:rsidR="00083504" w:rsidRPr="00083504" w14:paraId="0B7D750D" w14:textId="77777777" w:rsidTr="00083504">
        <w:trPr>
          <w:trHeight w:val="238"/>
        </w:trPr>
        <w:tc>
          <w:tcPr>
            <w:tcW w:w="3949" w:type="dxa"/>
            <w:tcBorders>
              <w:top w:val="nil"/>
              <w:left w:val="single" w:sz="4" w:space="0" w:color="FFFFFF"/>
              <w:bottom w:val="single" w:sz="4" w:space="0" w:color="FFFFFF"/>
              <w:right w:val="single" w:sz="4" w:space="0" w:color="FFFFFF"/>
            </w:tcBorders>
            <w:shd w:val="clear" w:color="auto" w:fill="auto"/>
            <w:noWrap/>
            <w:hideMark/>
          </w:tcPr>
          <w:p w14:paraId="6F52FBFC"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CENTRU</w:t>
            </w:r>
          </w:p>
        </w:tc>
        <w:tc>
          <w:tcPr>
            <w:tcW w:w="1252" w:type="dxa"/>
            <w:tcBorders>
              <w:top w:val="nil"/>
              <w:left w:val="nil"/>
              <w:bottom w:val="single" w:sz="4" w:space="0" w:color="FFFFFF"/>
              <w:right w:val="single" w:sz="4" w:space="0" w:color="FFFFFF"/>
            </w:tcBorders>
            <w:shd w:val="clear" w:color="000000" w:fill="FFFFFF"/>
            <w:noWrap/>
            <w:hideMark/>
          </w:tcPr>
          <w:p w14:paraId="5D99ED81"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182.812</w:t>
            </w:r>
          </w:p>
        </w:tc>
        <w:tc>
          <w:tcPr>
            <w:tcW w:w="1919" w:type="dxa"/>
            <w:tcBorders>
              <w:top w:val="nil"/>
              <w:left w:val="nil"/>
              <w:bottom w:val="single" w:sz="4" w:space="0" w:color="FFFFFF"/>
              <w:right w:val="single" w:sz="4" w:space="0" w:color="FFFFFF"/>
            </w:tcBorders>
            <w:shd w:val="clear" w:color="000000" w:fill="FFFFFF"/>
            <w:noWrap/>
            <w:hideMark/>
          </w:tcPr>
          <w:p w14:paraId="75394A8C"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11.131</w:t>
            </w:r>
          </w:p>
        </w:tc>
        <w:tc>
          <w:tcPr>
            <w:tcW w:w="2217" w:type="dxa"/>
            <w:tcBorders>
              <w:top w:val="nil"/>
              <w:left w:val="nil"/>
              <w:bottom w:val="single" w:sz="4" w:space="0" w:color="FFFFFF"/>
              <w:right w:val="single" w:sz="4" w:space="0" w:color="FFFFFF"/>
            </w:tcBorders>
            <w:shd w:val="clear" w:color="000000" w:fill="FFFFFF"/>
            <w:noWrap/>
            <w:hideMark/>
          </w:tcPr>
          <w:p w14:paraId="31EDD126"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193.943</w:t>
            </w:r>
          </w:p>
        </w:tc>
      </w:tr>
      <w:tr w:rsidR="00083504" w:rsidRPr="00083504" w14:paraId="7717463F" w14:textId="77777777" w:rsidTr="00083504">
        <w:trPr>
          <w:trHeight w:val="238"/>
        </w:trPr>
        <w:tc>
          <w:tcPr>
            <w:tcW w:w="3949" w:type="dxa"/>
            <w:tcBorders>
              <w:top w:val="nil"/>
              <w:left w:val="single" w:sz="4" w:space="0" w:color="FFFFFF"/>
              <w:bottom w:val="single" w:sz="4" w:space="0" w:color="95B3D7"/>
              <w:right w:val="single" w:sz="4" w:space="0" w:color="FFFFFF"/>
            </w:tcBorders>
            <w:shd w:val="clear" w:color="auto" w:fill="auto"/>
            <w:noWrap/>
            <w:hideMark/>
          </w:tcPr>
          <w:p w14:paraId="670029D2"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 xml:space="preserve">SUD </w:t>
            </w:r>
          </w:p>
        </w:tc>
        <w:tc>
          <w:tcPr>
            <w:tcW w:w="1252" w:type="dxa"/>
            <w:tcBorders>
              <w:top w:val="nil"/>
              <w:left w:val="nil"/>
              <w:bottom w:val="single" w:sz="4" w:space="0" w:color="95B3D7"/>
              <w:right w:val="single" w:sz="4" w:space="0" w:color="FFFFFF"/>
            </w:tcBorders>
            <w:shd w:val="clear" w:color="000000" w:fill="FFFFFF"/>
            <w:noWrap/>
            <w:hideMark/>
          </w:tcPr>
          <w:p w14:paraId="0C513CAD"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112.721</w:t>
            </w:r>
          </w:p>
        </w:tc>
        <w:tc>
          <w:tcPr>
            <w:tcW w:w="1919" w:type="dxa"/>
            <w:tcBorders>
              <w:top w:val="nil"/>
              <w:left w:val="nil"/>
              <w:bottom w:val="single" w:sz="4" w:space="0" w:color="95B3D7"/>
              <w:right w:val="single" w:sz="4" w:space="0" w:color="FFFFFF"/>
            </w:tcBorders>
            <w:shd w:val="clear" w:color="000000" w:fill="FFFFFF"/>
            <w:noWrap/>
            <w:hideMark/>
          </w:tcPr>
          <w:p w14:paraId="23917518"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3.398</w:t>
            </w:r>
          </w:p>
        </w:tc>
        <w:tc>
          <w:tcPr>
            <w:tcW w:w="2217" w:type="dxa"/>
            <w:tcBorders>
              <w:top w:val="nil"/>
              <w:left w:val="nil"/>
              <w:bottom w:val="single" w:sz="4" w:space="0" w:color="95B3D7"/>
              <w:right w:val="single" w:sz="4" w:space="0" w:color="FFFFFF"/>
            </w:tcBorders>
            <w:shd w:val="clear" w:color="000000" w:fill="FFFFFF"/>
            <w:noWrap/>
            <w:hideMark/>
          </w:tcPr>
          <w:p w14:paraId="1E45CEB2"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116.119</w:t>
            </w:r>
          </w:p>
        </w:tc>
      </w:tr>
    </w:tbl>
    <w:p w14:paraId="52EED8F2" w14:textId="77777777" w:rsidR="00083504" w:rsidRPr="00083504" w:rsidRDefault="00083504" w:rsidP="00F83DE8">
      <w:pPr>
        <w:jc w:val="both"/>
        <w:rPr>
          <w:rFonts w:asciiTheme="majorHAnsi" w:hAnsiTheme="majorHAnsi" w:cstheme="majorBidi"/>
        </w:rPr>
      </w:pPr>
    </w:p>
    <w:p w14:paraId="300591B5" w14:textId="77777777" w:rsidR="00F83DE8" w:rsidRPr="00314F9F" w:rsidRDefault="00F83DE8" w:rsidP="00F83DE8">
      <w:pPr>
        <w:jc w:val="both"/>
        <w:rPr>
          <w:rFonts w:asciiTheme="majorHAnsi" w:hAnsiTheme="majorHAnsi" w:cstheme="majorBidi"/>
        </w:rPr>
      </w:pPr>
      <w:r w:rsidRPr="00314F9F">
        <w:rPr>
          <w:rFonts w:asciiTheme="majorHAnsi" w:hAnsiTheme="majorHAnsi" w:cstheme="majorBidi"/>
        </w:rPr>
        <w:t xml:space="preserve">Din punct de vedere al distribuției regionale, cel mai mare nivel al subvențiilor </w:t>
      </w:r>
      <w:r w:rsidR="00244E0E">
        <w:rPr>
          <w:rFonts w:asciiTheme="majorHAnsi" w:hAnsiTheme="majorHAnsi" w:cstheme="majorBidi"/>
        </w:rPr>
        <w:t xml:space="preserve">de la bugetele locale </w:t>
      </w:r>
      <w:r w:rsidRPr="00314F9F">
        <w:rPr>
          <w:rFonts w:asciiTheme="majorHAnsi" w:hAnsiTheme="majorHAnsi" w:cstheme="majorBidi"/>
        </w:rPr>
        <w:t xml:space="preserve">a fost acordat pentru ÎPL care activează în regiunea </w:t>
      </w:r>
      <w:r w:rsidR="00314F9F" w:rsidRPr="00314F9F">
        <w:rPr>
          <w:rFonts w:asciiTheme="majorHAnsi" w:hAnsiTheme="majorHAnsi" w:cstheme="majorBidi"/>
        </w:rPr>
        <w:t>București-Ilfov</w:t>
      </w:r>
      <w:r w:rsidR="00244E0E">
        <w:rPr>
          <w:rFonts w:asciiTheme="majorHAnsi" w:hAnsiTheme="majorHAnsi" w:cstheme="majorBidi"/>
        </w:rPr>
        <w:t>,</w:t>
      </w:r>
      <w:r w:rsidRPr="00314F9F">
        <w:rPr>
          <w:rFonts w:asciiTheme="majorHAnsi" w:hAnsiTheme="majorHAnsi" w:cstheme="majorBidi"/>
        </w:rPr>
        <w:t xml:space="preserve"> ur</w:t>
      </w:r>
      <w:r w:rsidR="003A78D3" w:rsidRPr="00314F9F">
        <w:rPr>
          <w:rFonts w:asciiTheme="majorHAnsi" w:hAnsiTheme="majorHAnsi" w:cstheme="majorBidi"/>
        </w:rPr>
        <w:t xml:space="preserve">mând ÎPL din regiunea </w:t>
      </w:r>
      <w:r w:rsidR="00FF65BB" w:rsidRPr="00314F9F">
        <w:rPr>
          <w:rFonts w:asciiTheme="majorHAnsi" w:hAnsiTheme="majorHAnsi" w:cstheme="majorBidi"/>
        </w:rPr>
        <w:t>Sud-Est</w:t>
      </w:r>
      <w:r w:rsidR="003A78D3" w:rsidRPr="00314F9F">
        <w:rPr>
          <w:rFonts w:asciiTheme="majorHAnsi" w:hAnsiTheme="majorHAnsi" w:cstheme="majorBidi"/>
        </w:rPr>
        <w:t>, c</w:t>
      </w:r>
      <w:r w:rsidRPr="00314F9F">
        <w:rPr>
          <w:rFonts w:asciiTheme="majorHAnsi" w:hAnsiTheme="majorHAnsi" w:cstheme="majorBidi"/>
        </w:rPr>
        <w:t xml:space="preserve">ea mai mare pondere și valoare a subvențiilor acordate ÎPL pentru exploatare </w:t>
      </w:r>
      <w:r w:rsidR="003A78D3" w:rsidRPr="00314F9F">
        <w:rPr>
          <w:rFonts w:asciiTheme="majorHAnsi" w:hAnsiTheme="majorHAnsi" w:cstheme="majorBidi"/>
        </w:rPr>
        <w:t xml:space="preserve">fiind </w:t>
      </w:r>
      <w:r w:rsidRPr="00314F9F">
        <w:rPr>
          <w:rFonts w:asciiTheme="majorHAnsi" w:hAnsiTheme="majorHAnsi" w:cstheme="majorBidi"/>
        </w:rPr>
        <w:t xml:space="preserve">în regiunea </w:t>
      </w:r>
      <w:r w:rsidR="00314F9F" w:rsidRPr="00314F9F">
        <w:rPr>
          <w:rFonts w:asciiTheme="majorHAnsi" w:hAnsiTheme="majorHAnsi" w:cstheme="majorBidi"/>
        </w:rPr>
        <w:t>București - Ilfov</w:t>
      </w:r>
      <w:r w:rsidRPr="00314F9F">
        <w:rPr>
          <w:rFonts w:asciiTheme="majorHAnsi" w:hAnsiTheme="majorHAnsi" w:cstheme="majorBidi"/>
        </w:rPr>
        <w:t>.</w:t>
      </w:r>
    </w:p>
    <w:p w14:paraId="60B3A5C4" w14:textId="77777777" w:rsidR="00F83DE8" w:rsidRPr="00314F9F" w:rsidRDefault="00F83DE8" w:rsidP="00F83DE8">
      <w:pPr>
        <w:jc w:val="both"/>
        <w:rPr>
          <w:rFonts w:asciiTheme="majorHAnsi" w:hAnsiTheme="majorHAnsi" w:cstheme="majorBidi"/>
        </w:rPr>
      </w:pPr>
      <w:r w:rsidRPr="00314F9F">
        <w:rPr>
          <w:rFonts w:asciiTheme="majorHAnsi" w:hAnsiTheme="majorHAnsi" w:cstheme="majorBidi"/>
        </w:rPr>
        <w:t xml:space="preserve">Cea mai mare parte a subvențiilor acordate de la bugetele locale pentru ÎPL care activează </w:t>
      </w:r>
      <w:r w:rsidR="0060608E" w:rsidRPr="00314F9F">
        <w:rPr>
          <w:rFonts w:asciiTheme="majorHAnsi" w:hAnsiTheme="majorHAnsi" w:cstheme="majorBidi"/>
        </w:rPr>
        <w:t xml:space="preserve">în regiunea </w:t>
      </w:r>
      <w:r w:rsidR="00314F9F" w:rsidRPr="00314F9F">
        <w:rPr>
          <w:rFonts w:asciiTheme="majorHAnsi" w:hAnsiTheme="majorHAnsi" w:cstheme="majorBidi"/>
        </w:rPr>
        <w:t>București-Ilfov</w:t>
      </w:r>
      <w:r w:rsidR="0060608E" w:rsidRPr="00314F9F">
        <w:rPr>
          <w:rFonts w:asciiTheme="majorHAnsi" w:hAnsiTheme="majorHAnsi" w:cstheme="majorBidi"/>
        </w:rPr>
        <w:t xml:space="preserve"> a</w:t>
      </w:r>
      <w:r w:rsidRPr="00314F9F">
        <w:rPr>
          <w:rFonts w:asciiTheme="majorHAnsi" w:hAnsiTheme="majorHAnsi" w:cstheme="majorBidi"/>
        </w:rPr>
        <w:t xml:space="preserve"> avut drept destinație activitatea de exploatare a ÎPL, </w:t>
      </w:r>
      <w:r w:rsidR="0060608E" w:rsidRPr="00314F9F">
        <w:rPr>
          <w:rFonts w:asciiTheme="majorHAnsi" w:hAnsiTheme="majorHAnsi" w:cstheme="majorBidi"/>
        </w:rPr>
        <w:t>aceste subvenții</w:t>
      </w:r>
      <w:r w:rsidRPr="00314F9F">
        <w:rPr>
          <w:rFonts w:asciiTheme="majorHAnsi" w:hAnsiTheme="majorHAnsi" w:cstheme="majorBidi"/>
        </w:rPr>
        <w:t xml:space="preserve"> reprezentând o pondere de </w:t>
      </w:r>
      <w:r w:rsidR="00314F9F" w:rsidRPr="00314F9F">
        <w:rPr>
          <w:rFonts w:asciiTheme="majorHAnsi" w:hAnsiTheme="majorHAnsi" w:cstheme="majorBidi"/>
        </w:rPr>
        <w:t>97</w:t>
      </w:r>
      <w:r w:rsidR="00702372" w:rsidRPr="00314F9F">
        <w:rPr>
          <w:rFonts w:asciiTheme="majorHAnsi" w:hAnsiTheme="majorHAnsi" w:cstheme="majorBidi"/>
        </w:rPr>
        <w:t>,</w:t>
      </w:r>
      <w:r w:rsidR="00314F9F" w:rsidRPr="00314F9F">
        <w:rPr>
          <w:rFonts w:asciiTheme="majorHAnsi" w:hAnsiTheme="majorHAnsi" w:cstheme="majorBidi"/>
        </w:rPr>
        <w:t>08</w:t>
      </w:r>
      <w:r w:rsidRPr="00314F9F">
        <w:rPr>
          <w:rFonts w:asciiTheme="majorHAnsi" w:hAnsiTheme="majorHAnsi" w:cstheme="majorBidi"/>
        </w:rPr>
        <w:t xml:space="preserve">% din totalul subvențiilor acordate în această regiune. ÎPL care activează în regiunea </w:t>
      </w:r>
      <w:r w:rsidR="00702372" w:rsidRPr="00314F9F">
        <w:rPr>
          <w:rFonts w:asciiTheme="majorHAnsi" w:hAnsiTheme="majorHAnsi" w:cstheme="majorBidi"/>
        </w:rPr>
        <w:t>Sud-Est</w:t>
      </w:r>
      <w:r w:rsidRPr="00314F9F">
        <w:rPr>
          <w:rFonts w:asciiTheme="majorHAnsi" w:hAnsiTheme="majorHAnsi" w:cstheme="majorBidi"/>
        </w:rPr>
        <w:t xml:space="preserve"> au acordat cel mai mare volum al subvențiilor pentru investiții dintre toate regiunile acesta situându-se la o pondere de </w:t>
      </w:r>
      <w:r w:rsidR="00702372" w:rsidRPr="00314F9F">
        <w:rPr>
          <w:rFonts w:asciiTheme="majorHAnsi" w:hAnsiTheme="majorHAnsi" w:cstheme="majorBidi"/>
        </w:rPr>
        <w:t>3</w:t>
      </w:r>
      <w:r w:rsidR="00314F9F" w:rsidRPr="00314F9F">
        <w:rPr>
          <w:rFonts w:asciiTheme="majorHAnsi" w:hAnsiTheme="majorHAnsi" w:cstheme="majorBidi"/>
        </w:rPr>
        <w:t>4</w:t>
      </w:r>
      <w:r w:rsidR="00702372" w:rsidRPr="00314F9F">
        <w:rPr>
          <w:rFonts w:asciiTheme="majorHAnsi" w:hAnsiTheme="majorHAnsi" w:cstheme="majorBidi"/>
        </w:rPr>
        <w:t>,</w:t>
      </w:r>
      <w:r w:rsidR="00314F9F" w:rsidRPr="00314F9F">
        <w:rPr>
          <w:rFonts w:asciiTheme="majorHAnsi" w:hAnsiTheme="majorHAnsi" w:cstheme="majorBidi"/>
        </w:rPr>
        <w:t>12</w:t>
      </w:r>
      <w:r w:rsidRPr="00314F9F">
        <w:rPr>
          <w:rFonts w:asciiTheme="majorHAnsi" w:hAnsiTheme="majorHAnsi" w:cstheme="majorBidi"/>
        </w:rPr>
        <w:t>% din totalul subvențiilor acordate în această regiune.</w:t>
      </w:r>
    </w:p>
    <w:tbl>
      <w:tblPr>
        <w:tblW w:w="9186" w:type="dxa"/>
        <w:tblInd w:w="93" w:type="dxa"/>
        <w:tblLook w:val="04A0" w:firstRow="1" w:lastRow="0" w:firstColumn="1" w:lastColumn="0" w:noHBand="0" w:noVBand="1"/>
      </w:tblPr>
      <w:tblGrid>
        <w:gridCol w:w="3204"/>
        <w:gridCol w:w="1994"/>
        <w:gridCol w:w="1994"/>
        <w:gridCol w:w="1994"/>
      </w:tblGrid>
      <w:tr w:rsidR="00083504" w:rsidRPr="00083504" w14:paraId="08F2CFA0" w14:textId="77777777" w:rsidTr="00083504">
        <w:trPr>
          <w:trHeight w:val="292"/>
        </w:trPr>
        <w:tc>
          <w:tcPr>
            <w:tcW w:w="3204" w:type="dxa"/>
            <w:vMerge w:val="restart"/>
            <w:tcBorders>
              <w:top w:val="single" w:sz="4" w:space="0" w:color="95B3D7"/>
              <w:left w:val="single" w:sz="4" w:space="0" w:color="FFFFFF"/>
              <w:bottom w:val="single" w:sz="4" w:space="0" w:color="95B3D7"/>
              <w:right w:val="single" w:sz="4" w:space="0" w:color="FFFFFF"/>
            </w:tcBorders>
            <w:shd w:val="clear" w:color="auto" w:fill="auto"/>
            <w:hideMark/>
          </w:tcPr>
          <w:p w14:paraId="66EB4850"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Sectorul de activitate</w:t>
            </w:r>
          </w:p>
        </w:tc>
        <w:tc>
          <w:tcPr>
            <w:tcW w:w="1994" w:type="dxa"/>
            <w:tcBorders>
              <w:top w:val="single" w:sz="4" w:space="0" w:color="95B3D7"/>
              <w:left w:val="nil"/>
              <w:bottom w:val="single" w:sz="4" w:space="0" w:color="95B3D7"/>
              <w:right w:val="single" w:sz="4" w:space="0" w:color="FFFFFF"/>
            </w:tcBorders>
            <w:shd w:val="clear" w:color="auto" w:fill="auto"/>
            <w:hideMark/>
          </w:tcPr>
          <w:p w14:paraId="6B42056B"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Subvenții pentru exploatare</w:t>
            </w:r>
          </w:p>
        </w:tc>
        <w:tc>
          <w:tcPr>
            <w:tcW w:w="1994" w:type="dxa"/>
            <w:tcBorders>
              <w:top w:val="single" w:sz="4" w:space="0" w:color="95B3D7"/>
              <w:left w:val="nil"/>
              <w:bottom w:val="single" w:sz="4" w:space="0" w:color="95B3D7"/>
              <w:right w:val="single" w:sz="4" w:space="0" w:color="FFFFFF"/>
            </w:tcBorders>
            <w:shd w:val="clear" w:color="auto" w:fill="auto"/>
            <w:hideMark/>
          </w:tcPr>
          <w:p w14:paraId="5ED6CA56"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Subvenții pentru investiții</w:t>
            </w:r>
          </w:p>
        </w:tc>
        <w:tc>
          <w:tcPr>
            <w:tcW w:w="1994" w:type="dxa"/>
            <w:tcBorders>
              <w:top w:val="single" w:sz="4" w:space="0" w:color="95B3D7"/>
              <w:left w:val="nil"/>
              <w:bottom w:val="single" w:sz="4" w:space="0" w:color="95B3D7"/>
              <w:right w:val="single" w:sz="4" w:space="0" w:color="FFFFFF"/>
            </w:tcBorders>
            <w:shd w:val="clear" w:color="auto" w:fill="auto"/>
            <w:hideMark/>
          </w:tcPr>
          <w:p w14:paraId="711D37CE"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Total subvenții</w:t>
            </w:r>
          </w:p>
        </w:tc>
      </w:tr>
      <w:tr w:rsidR="00083504" w:rsidRPr="00083504" w14:paraId="6B94D444" w14:textId="77777777" w:rsidTr="00083504">
        <w:trPr>
          <w:trHeight w:val="195"/>
        </w:trPr>
        <w:tc>
          <w:tcPr>
            <w:tcW w:w="3204" w:type="dxa"/>
            <w:vMerge/>
            <w:tcBorders>
              <w:top w:val="single" w:sz="4" w:space="0" w:color="95B3D7"/>
              <w:left w:val="single" w:sz="4" w:space="0" w:color="FFFFFF"/>
              <w:bottom w:val="single" w:sz="4" w:space="0" w:color="95B3D7"/>
              <w:right w:val="single" w:sz="4" w:space="0" w:color="FFFFFF"/>
            </w:tcBorders>
            <w:vAlign w:val="center"/>
            <w:hideMark/>
          </w:tcPr>
          <w:p w14:paraId="6613F547"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p>
        </w:tc>
        <w:tc>
          <w:tcPr>
            <w:tcW w:w="1994" w:type="dxa"/>
            <w:tcBorders>
              <w:top w:val="nil"/>
              <w:left w:val="nil"/>
              <w:bottom w:val="single" w:sz="4" w:space="0" w:color="95B3D7"/>
              <w:right w:val="single" w:sz="4" w:space="0" w:color="FFFFFF"/>
            </w:tcBorders>
            <w:shd w:val="clear" w:color="auto" w:fill="auto"/>
            <w:noWrap/>
            <w:hideMark/>
          </w:tcPr>
          <w:p w14:paraId="26B5A1ED"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1</w:t>
            </w:r>
          </w:p>
        </w:tc>
        <w:tc>
          <w:tcPr>
            <w:tcW w:w="1994" w:type="dxa"/>
            <w:tcBorders>
              <w:top w:val="nil"/>
              <w:left w:val="nil"/>
              <w:bottom w:val="single" w:sz="4" w:space="0" w:color="95B3D7"/>
              <w:right w:val="single" w:sz="4" w:space="0" w:color="FFFFFF"/>
            </w:tcBorders>
            <w:shd w:val="clear" w:color="auto" w:fill="auto"/>
            <w:noWrap/>
            <w:hideMark/>
          </w:tcPr>
          <w:p w14:paraId="2111C19D"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2</w:t>
            </w:r>
          </w:p>
        </w:tc>
        <w:tc>
          <w:tcPr>
            <w:tcW w:w="1994" w:type="dxa"/>
            <w:tcBorders>
              <w:top w:val="nil"/>
              <w:left w:val="nil"/>
              <w:bottom w:val="single" w:sz="4" w:space="0" w:color="95B3D7"/>
              <w:right w:val="single" w:sz="4" w:space="0" w:color="FFFFFF"/>
            </w:tcBorders>
            <w:shd w:val="clear" w:color="auto" w:fill="auto"/>
            <w:noWrap/>
            <w:hideMark/>
          </w:tcPr>
          <w:p w14:paraId="413D6692"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3=1+2</w:t>
            </w:r>
          </w:p>
        </w:tc>
      </w:tr>
      <w:tr w:rsidR="00083504" w:rsidRPr="00083504" w14:paraId="66DD837D" w14:textId="77777777" w:rsidTr="00083504">
        <w:trPr>
          <w:trHeight w:val="195"/>
        </w:trPr>
        <w:tc>
          <w:tcPr>
            <w:tcW w:w="3204" w:type="dxa"/>
            <w:vMerge/>
            <w:tcBorders>
              <w:top w:val="single" w:sz="4" w:space="0" w:color="95B3D7"/>
              <w:left w:val="single" w:sz="4" w:space="0" w:color="FFFFFF"/>
              <w:bottom w:val="single" w:sz="4" w:space="0" w:color="95B3D7"/>
              <w:right w:val="single" w:sz="4" w:space="0" w:color="FFFFFF"/>
            </w:tcBorders>
            <w:vAlign w:val="center"/>
            <w:hideMark/>
          </w:tcPr>
          <w:p w14:paraId="47A01DC1" w14:textId="77777777" w:rsidR="00083504" w:rsidRPr="00083504" w:rsidRDefault="00083504" w:rsidP="00083504">
            <w:pPr>
              <w:spacing w:before="0" w:after="0" w:line="240" w:lineRule="auto"/>
              <w:rPr>
                <w:rFonts w:ascii="Calibri" w:eastAsia="Times New Roman" w:hAnsi="Calibri" w:cs="Calibri"/>
                <w:color w:val="0F6FC6" w:themeColor="accent1"/>
                <w:sz w:val="16"/>
                <w:szCs w:val="16"/>
                <w:lang w:val="en-US"/>
              </w:rPr>
            </w:pPr>
          </w:p>
        </w:tc>
        <w:tc>
          <w:tcPr>
            <w:tcW w:w="1994" w:type="dxa"/>
            <w:tcBorders>
              <w:top w:val="nil"/>
              <w:left w:val="nil"/>
              <w:bottom w:val="single" w:sz="4" w:space="0" w:color="95B3D7"/>
              <w:right w:val="single" w:sz="4" w:space="0" w:color="FFFFFF"/>
            </w:tcBorders>
            <w:shd w:val="clear" w:color="auto" w:fill="auto"/>
            <w:hideMark/>
          </w:tcPr>
          <w:p w14:paraId="64A24210"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mii lei</w:t>
            </w:r>
          </w:p>
        </w:tc>
        <w:tc>
          <w:tcPr>
            <w:tcW w:w="1994" w:type="dxa"/>
            <w:tcBorders>
              <w:top w:val="nil"/>
              <w:left w:val="nil"/>
              <w:bottom w:val="single" w:sz="4" w:space="0" w:color="95B3D7"/>
              <w:right w:val="single" w:sz="4" w:space="0" w:color="FFFFFF"/>
            </w:tcBorders>
            <w:shd w:val="clear" w:color="auto" w:fill="auto"/>
            <w:hideMark/>
          </w:tcPr>
          <w:p w14:paraId="3FCD4E8F"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mii lei</w:t>
            </w:r>
          </w:p>
        </w:tc>
        <w:tc>
          <w:tcPr>
            <w:tcW w:w="1994" w:type="dxa"/>
            <w:tcBorders>
              <w:top w:val="nil"/>
              <w:left w:val="nil"/>
              <w:bottom w:val="single" w:sz="4" w:space="0" w:color="95B3D7"/>
              <w:right w:val="single" w:sz="4" w:space="0" w:color="FFFFFF"/>
            </w:tcBorders>
            <w:shd w:val="clear" w:color="auto" w:fill="auto"/>
            <w:hideMark/>
          </w:tcPr>
          <w:p w14:paraId="424B8942" w14:textId="77777777" w:rsidR="00083504" w:rsidRPr="00083504" w:rsidRDefault="00083504" w:rsidP="00083504">
            <w:pPr>
              <w:spacing w:before="0" w:after="0" w:line="240" w:lineRule="auto"/>
              <w:jc w:val="right"/>
              <w:rPr>
                <w:rFonts w:ascii="Calibri" w:eastAsia="Times New Roman" w:hAnsi="Calibri" w:cs="Calibri"/>
                <w:color w:val="0F6FC6" w:themeColor="accent1"/>
                <w:sz w:val="16"/>
                <w:szCs w:val="16"/>
                <w:lang w:val="en-US"/>
              </w:rPr>
            </w:pPr>
            <w:r w:rsidRPr="00083504">
              <w:rPr>
                <w:rFonts w:ascii="Calibri" w:eastAsia="Times New Roman" w:hAnsi="Calibri" w:cs="Calibri"/>
                <w:color w:val="0F6FC6" w:themeColor="accent1"/>
                <w:sz w:val="16"/>
                <w:szCs w:val="16"/>
                <w:lang w:val="en-US"/>
              </w:rPr>
              <w:t>mii lei</w:t>
            </w:r>
          </w:p>
        </w:tc>
      </w:tr>
      <w:tr w:rsidR="00083504" w:rsidRPr="00083504" w14:paraId="4B25E6A7" w14:textId="77777777" w:rsidTr="00083504">
        <w:trPr>
          <w:trHeight w:val="195"/>
        </w:trPr>
        <w:tc>
          <w:tcPr>
            <w:tcW w:w="3204" w:type="dxa"/>
            <w:tcBorders>
              <w:top w:val="nil"/>
              <w:left w:val="single" w:sz="4" w:space="0" w:color="FFFFFF"/>
              <w:bottom w:val="single" w:sz="4" w:space="0" w:color="95B3D7"/>
              <w:right w:val="single" w:sz="4" w:space="0" w:color="FFFFFF"/>
            </w:tcBorders>
            <w:shd w:val="clear" w:color="auto" w:fill="auto"/>
            <w:hideMark/>
          </w:tcPr>
          <w:p w14:paraId="5B0A3C6F"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TOTAL GENERAL</w:t>
            </w:r>
          </w:p>
        </w:tc>
        <w:tc>
          <w:tcPr>
            <w:tcW w:w="1994" w:type="dxa"/>
            <w:tcBorders>
              <w:top w:val="nil"/>
              <w:left w:val="nil"/>
              <w:bottom w:val="single" w:sz="4" w:space="0" w:color="95B3D7"/>
              <w:right w:val="single" w:sz="4" w:space="0" w:color="FFFFFF"/>
            </w:tcBorders>
            <w:shd w:val="clear" w:color="auto" w:fill="auto"/>
            <w:hideMark/>
          </w:tcPr>
          <w:p w14:paraId="32BD48FD"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2.050.966</w:t>
            </w:r>
          </w:p>
        </w:tc>
        <w:tc>
          <w:tcPr>
            <w:tcW w:w="1994" w:type="dxa"/>
            <w:tcBorders>
              <w:top w:val="nil"/>
              <w:left w:val="nil"/>
              <w:bottom w:val="single" w:sz="4" w:space="0" w:color="95B3D7"/>
              <w:right w:val="single" w:sz="4" w:space="0" w:color="FFFFFF"/>
            </w:tcBorders>
            <w:shd w:val="clear" w:color="auto" w:fill="auto"/>
            <w:hideMark/>
          </w:tcPr>
          <w:p w14:paraId="22A5E382"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409.861</w:t>
            </w:r>
          </w:p>
        </w:tc>
        <w:tc>
          <w:tcPr>
            <w:tcW w:w="1994" w:type="dxa"/>
            <w:tcBorders>
              <w:top w:val="nil"/>
              <w:left w:val="nil"/>
              <w:bottom w:val="single" w:sz="4" w:space="0" w:color="95B3D7"/>
              <w:right w:val="single" w:sz="4" w:space="0" w:color="FFFFFF"/>
            </w:tcBorders>
            <w:shd w:val="clear" w:color="auto" w:fill="auto"/>
            <w:hideMark/>
          </w:tcPr>
          <w:p w14:paraId="5115C4A6"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2.460.827</w:t>
            </w:r>
          </w:p>
        </w:tc>
      </w:tr>
      <w:tr w:rsidR="00083504" w:rsidRPr="00083504" w14:paraId="4490769D" w14:textId="77777777" w:rsidTr="00083504">
        <w:trPr>
          <w:trHeight w:val="292"/>
        </w:trPr>
        <w:tc>
          <w:tcPr>
            <w:tcW w:w="3204" w:type="dxa"/>
            <w:tcBorders>
              <w:top w:val="nil"/>
              <w:left w:val="single" w:sz="4" w:space="0" w:color="FFFFFF"/>
              <w:bottom w:val="single" w:sz="4" w:space="0" w:color="FFFFFF"/>
              <w:right w:val="single" w:sz="4" w:space="0" w:color="FFFFFF"/>
            </w:tcBorders>
            <w:shd w:val="clear" w:color="auto" w:fill="auto"/>
            <w:hideMark/>
          </w:tcPr>
          <w:p w14:paraId="080E600D"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Productia si furnizarea de energie electrica si termica, gaze, apa calda si aer conditionat</w:t>
            </w:r>
          </w:p>
        </w:tc>
        <w:tc>
          <w:tcPr>
            <w:tcW w:w="1994" w:type="dxa"/>
            <w:tcBorders>
              <w:top w:val="nil"/>
              <w:left w:val="nil"/>
              <w:bottom w:val="single" w:sz="4" w:space="0" w:color="FFFFFF"/>
              <w:right w:val="single" w:sz="4" w:space="0" w:color="FFFFFF"/>
            </w:tcBorders>
            <w:shd w:val="clear" w:color="auto" w:fill="auto"/>
            <w:noWrap/>
            <w:hideMark/>
          </w:tcPr>
          <w:p w14:paraId="2A877BDC"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1.094.225</w:t>
            </w:r>
          </w:p>
        </w:tc>
        <w:tc>
          <w:tcPr>
            <w:tcW w:w="1994" w:type="dxa"/>
            <w:tcBorders>
              <w:top w:val="nil"/>
              <w:left w:val="nil"/>
              <w:bottom w:val="single" w:sz="4" w:space="0" w:color="FFFFFF"/>
              <w:right w:val="single" w:sz="4" w:space="0" w:color="FFFFFF"/>
            </w:tcBorders>
            <w:shd w:val="clear" w:color="auto" w:fill="auto"/>
            <w:noWrap/>
            <w:hideMark/>
          </w:tcPr>
          <w:p w14:paraId="2AA7760C"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8.394</w:t>
            </w:r>
          </w:p>
        </w:tc>
        <w:tc>
          <w:tcPr>
            <w:tcW w:w="1994" w:type="dxa"/>
            <w:tcBorders>
              <w:top w:val="nil"/>
              <w:left w:val="nil"/>
              <w:bottom w:val="single" w:sz="4" w:space="0" w:color="FFFFFF"/>
              <w:right w:val="single" w:sz="4" w:space="0" w:color="FFFFFF"/>
            </w:tcBorders>
            <w:shd w:val="clear" w:color="auto" w:fill="auto"/>
            <w:noWrap/>
            <w:hideMark/>
          </w:tcPr>
          <w:p w14:paraId="75687D01"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1.102.619</w:t>
            </w:r>
          </w:p>
        </w:tc>
      </w:tr>
      <w:tr w:rsidR="00083504" w:rsidRPr="00083504" w14:paraId="22F6D4EB" w14:textId="77777777" w:rsidTr="00083504">
        <w:trPr>
          <w:trHeight w:val="331"/>
        </w:trPr>
        <w:tc>
          <w:tcPr>
            <w:tcW w:w="3204" w:type="dxa"/>
            <w:tcBorders>
              <w:top w:val="nil"/>
              <w:left w:val="single" w:sz="4" w:space="0" w:color="FFFFFF"/>
              <w:bottom w:val="single" w:sz="4" w:space="0" w:color="FFFFFF"/>
              <w:right w:val="single" w:sz="4" w:space="0" w:color="FFFFFF"/>
            </w:tcBorders>
            <w:shd w:val="clear" w:color="auto" w:fill="auto"/>
            <w:hideMark/>
          </w:tcPr>
          <w:p w14:paraId="75234A8F"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Transporturi terestre si transporturi prin conducte</w:t>
            </w:r>
          </w:p>
        </w:tc>
        <w:tc>
          <w:tcPr>
            <w:tcW w:w="1994" w:type="dxa"/>
            <w:tcBorders>
              <w:top w:val="nil"/>
              <w:left w:val="nil"/>
              <w:bottom w:val="single" w:sz="4" w:space="0" w:color="FFFFFF"/>
              <w:right w:val="single" w:sz="4" w:space="0" w:color="FFFFFF"/>
            </w:tcBorders>
            <w:shd w:val="clear" w:color="auto" w:fill="auto"/>
            <w:noWrap/>
            <w:hideMark/>
          </w:tcPr>
          <w:p w14:paraId="65F054DF"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763.379</w:t>
            </w:r>
          </w:p>
        </w:tc>
        <w:tc>
          <w:tcPr>
            <w:tcW w:w="1994" w:type="dxa"/>
            <w:tcBorders>
              <w:top w:val="nil"/>
              <w:left w:val="nil"/>
              <w:bottom w:val="single" w:sz="4" w:space="0" w:color="FFFFFF"/>
              <w:right w:val="single" w:sz="4" w:space="0" w:color="FFFFFF"/>
            </w:tcBorders>
            <w:shd w:val="clear" w:color="auto" w:fill="auto"/>
            <w:noWrap/>
            <w:hideMark/>
          </w:tcPr>
          <w:p w14:paraId="4FF4D1D7"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28.686</w:t>
            </w:r>
          </w:p>
        </w:tc>
        <w:tc>
          <w:tcPr>
            <w:tcW w:w="1994" w:type="dxa"/>
            <w:tcBorders>
              <w:top w:val="nil"/>
              <w:left w:val="nil"/>
              <w:bottom w:val="single" w:sz="4" w:space="0" w:color="FFFFFF"/>
              <w:right w:val="single" w:sz="4" w:space="0" w:color="FFFFFF"/>
            </w:tcBorders>
            <w:shd w:val="clear" w:color="auto" w:fill="auto"/>
            <w:noWrap/>
            <w:hideMark/>
          </w:tcPr>
          <w:p w14:paraId="7E231558"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792.065</w:t>
            </w:r>
          </w:p>
        </w:tc>
      </w:tr>
      <w:tr w:rsidR="00083504" w:rsidRPr="00083504" w14:paraId="7FFCB34C" w14:textId="77777777" w:rsidTr="00083504">
        <w:trPr>
          <w:trHeight w:val="292"/>
        </w:trPr>
        <w:tc>
          <w:tcPr>
            <w:tcW w:w="3204" w:type="dxa"/>
            <w:tcBorders>
              <w:top w:val="nil"/>
              <w:left w:val="single" w:sz="4" w:space="0" w:color="FFFFFF"/>
              <w:bottom w:val="single" w:sz="4" w:space="0" w:color="FFFFFF"/>
              <w:right w:val="single" w:sz="4" w:space="0" w:color="FFFFFF"/>
            </w:tcBorders>
            <w:shd w:val="clear" w:color="auto" w:fill="auto"/>
            <w:hideMark/>
          </w:tcPr>
          <w:p w14:paraId="72531043"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Captarea, tratarea si distributia apei</w:t>
            </w:r>
          </w:p>
        </w:tc>
        <w:tc>
          <w:tcPr>
            <w:tcW w:w="1994" w:type="dxa"/>
            <w:tcBorders>
              <w:top w:val="nil"/>
              <w:left w:val="nil"/>
              <w:bottom w:val="single" w:sz="4" w:space="0" w:color="FFFFFF"/>
              <w:right w:val="single" w:sz="4" w:space="0" w:color="FFFFFF"/>
            </w:tcBorders>
            <w:shd w:val="clear" w:color="auto" w:fill="auto"/>
            <w:noWrap/>
            <w:hideMark/>
          </w:tcPr>
          <w:p w14:paraId="77A3D2D2"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71.239</w:t>
            </w:r>
          </w:p>
        </w:tc>
        <w:tc>
          <w:tcPr>
            <w:tcW w:w="1994" w:type="dxa"/>
            <w:tcBorders>
              <w:top w:val="nil"/>
              <w:left w:val="nil"/>
              <w:bottom w:val="single" w:sz="4" w:space="0" w:color="FFFFFF"/>
              <w:right w:val="single" w:sz="4" w:space="0" w:color="FFFFFF"/>
            </w:tcBorders>
            <w:shd w:val="clear" w:color="auto" w:fill="auto"/>
            <w:noWrap/>
            <w:hideMark/>
          </w:tcPr>
          <w:p w14:paraId="62DBC57D"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304.091</w:t>
            </w:r>
          </w:p>
        </w:tc>
        <w:tc>
          <w:tcPr>
            <w:tcW w:w="1994" w:type="dxa"/>
            <w:tcBorders>
              <w:top w:val="nil"/>
              <w:left w:val="nil"/>
              <w:bottom w:val="single" w:sz="4" w:space="0" w:color="FFFFFF"/>
              <w:right w:val="single" w:sz="4" w:space="0" w:color="FFFFFF"/>
            </w:tcBorders>
            <w:shd w:val="clear" w:color="auto" w:fill="auto"/>
            <w:noWrap/>
            <w:hideMark/>
          </w:tcPr>
          <w:p w14:paraId="24342859"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375.330</w:t>
            </w:r>
          </w:p>
        </w:tc>
      </w:tr>
      <w:tr w:rsidR="00083504" w:rsidRPr="00083504" w14:paraId="6CD01905" w14:textId="77777777" w:rsidTr="00083504">
        <w:trPr>
          <w:trHeight w:val="292"/>
        </w:trPr>
        <w:tc>
          <w:tcPr>
            <w:tcW w:w="3204" w:type="dxa"/>
            <w:tcBorders>
              <w:top w:val="nil"/>
              <w:left w:val="single" w:sz="4" w:space="0" w:color="FFFFFF"/>
              <w:bottom w:val="single" w:sz="4" w:space="0" w:color="FFFFFF"/>
              <w:right w:val="single" w:sz="4" w:space="0" w:color="FFFFFF"/>
            </w:tcBorders>
            <w:shd w:val="clear" w:color="auto" w:fill="auto"/>
            <w:hideMark/>
          </w:tcPr>
          <w:p w14:paraId="1C776A11"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Depozitare si activitati auxiliare pentru transporturi</w:t>
            </w:r>
          </w:p>
        </w:tc>
        <w:tc>
          <w:tcPr>
            <w:tcW w:w="1994" w:type="dxa"/>
            <w:tcBorders>
              <w:top w:val="nil"/>
              <w:left w:val="nil"/>
              <w:bottom w:val="single" w:sz="4" w:space="0" w:color="FFFFFF"/>
              <w:right w:val="single" w:sz="4" w:space="0" w:color="FFFFFF"/>
            </w:tcBorders>
            <w:shd w:val="clear" w:color="auto" w:fill="auto"/>
            <w:noWrap/>
            <w:hideMark/>
          </w:tcPr>
          <w:p w14:paraId="2C2CC09B"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79.422</w:t>
            </w:r>
          </w:p>
        </w:tc>
        <w:tc>
          <w:tcPr>
            <w:tcW w:w="1994" w:type="dxa"/>
            <w:tcBorders>
              <w:top w:val="nil"/>
              <w:left w:val="nil"/>
              <w:bottom w:val="single" w:sz="4" w:space="0" w:color="FFFFFF"/>
              <w:right w:val="single" w:sz="4" w:space="0" w:color="FFFFFF"/>
            </w:tcBorders>
            <w:shd w:val="clear" w:color="auto" w:fill="auto"/>
            <w:noWrap/>
            <w:hideMark/>
          </w:tcPr>
          <w:p w14:paraId="4BE5B726"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59.753</w:t>
            </w:r>
          </w:p>
        </w:tc>
        <w:tc>
          <w:tcPr>
            <w:tcW w:w="1994" w:type="dxa"/>
            <w:tcBorders>
              <w:top w:val="nil"/>
              <w:left w:val="nil"/>
              <w:bottom w:val="single" w:sz="4" w:space="0" w:color="FFFFFF"/>
              <w:right w:val="single" w:sz="4" w:space="0" w:color="FFFFFF"/>
            </w:tcBorders>
            <w:shd w:val="clear" w:color="auto" w:fill="auto"/>
            <w:noWrap/>
            <w:hideMark/>
          </w:tcPr>
          <w:p w14:paraId="46B01987"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139.175</w:t>
            </w:r>
          </w:p>
        </w:tc>
      </w:tr>
      <w:tr w:rsidR="00083504" w:rsidRPr="00083504" w14:paraId="33DC357C" w14:textId="77777777" w:rsidTr="00083504">
        <w:trPr>
          <w:trHeight w:val="292"/>
        </w:trPr>
        <w:tc>
          <w:tcPr>
            <w:tcW w:w="3204" w:type="dxa"/>
            <w:tcBorders>
              <w:top w:val="nil"/>
              <w:left w:val="single" w:sz="4" w:space="0" w:color="FFFFFF"/>
              <w:bottom w:val="single" w:sz="4" w:space="0" w:color="95B3D7"/>
              <w:right w:val="single" w:sz="4" w:space="0" w:color="FFFFFF"/>
            </w:tcBorders>
            <w:shd w:val="clear" w:color="auto" w:fill="auto"/>
            <w:noWrap/>
            <w:hideMark/>
          </w:tcPr>
          <w:p w14:paraId="065CD1E0" w14:textId="77777777" w:rsidR="00083504" w:rsidRPr="00083504" w:rsidRDefault="00083504" w:rsidP="00083504">
            <w:pPr>
              <w:spacing w:before="0" w:after="0" w:line="240" w:lineRule="auto"/>
              <w:rPr>
                <w:rFonts w:ascii="Calibri" w:eastAsia="Times New Roman" w:hAnsi="Calibri" w:cs="Calibri"/>
                <w:sz w:val="16"/>
                <w:szCs w:val="16"/>
                <w:lang w:val="en-US"/>
              </w:rPr>
            </w:pPr>
            <w:r w:rsidRPr="00083504">
              <w:rPr>
                <w:rFonts w:ascii="Calibri" w:eastAsia="Times New Roman" w:hAnsi="Calibri" w:cs="Calibri"/>
                <w:sz w:val="16"/>
                <w:szCs w:val="16"/>
                <w:lang w:val="en-US"/>
              </w:rPr>
              <w:t>Alte activități</w:t>
            </w:r>
          </w:p>
        </w:tc>
        <w:tc>
          <w:tcPr>
            <w:tcW w:w="1994" w:type="dxa"/>
            <w:tcBorders>
              <w:top w:val="nil"/>
              <w:left w:val="nil"/>
              <w:bottom w:val="single" w:sz="4" w:space="0" w:color="95B3D7"/>
              <w:right w:val="single" w:sz="4" w:space="0" w:color="FFFFFF"/>
            </w:tcBorders>
            <w:shd w:val="clear" w:color="auto" w:fill="auto"/>
            <w:noWrap/>
            <w:hideMark/>
          </w:tcPr>
          <w:p w14:paraId="31EC37FF"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42.701</w:t>
            </w:r>
          </w:p>
        </w:tc>
        <w:tc>
          <w:tcPr>
            <w:tcW w:w="1994" w:type="dxa"/>
            <w:tcBorders>
              <w:top w:val="nil"/>
              <w:left w:val="nil"/>
              <w:bottom w:val="single" w:sz="4" w:space="0" w:color="95B3D7"/>
              <w:right w:val="single" w:sz="4" w:space="0" w:color="FFFFFF"/>
            </w:tcBorders>
            <w:shd w:val="clear" w:color="auto" w:fill="auto"/>
            <w:noWrap/>
            <w:hideMark/>
          </w:tcPr>
          <w:p w14:paraId="4E2CFF43"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8.937</w:t>
            </w:r>
          </w:p>
        </w:tc>
        <w:tc>
          <w:tcPr>
            <w:tcW w:w="1994" w:type="dxa"/>
            <w:tcBorders>
              <w:top w:val="nil"/>
              <w:left w:val="nil"/>
              <w:bottom w:val="single" w:sz="4" w:space="0" w:color="95B3D7"/>
              <w:right w:val="single" w:sz="4" w:space="0" w:color="FFFFFF"/>
            </w:tcBorders>
            <w:shd w:val="clear" w:color="auto" w:fill="auto"/>
            <w:noWrap/>
            <w:hideMark/>
          </w:tcPr>
          <w:p w14:paraId="2F498E13" w14:textId="77777777" w:rsidR="00083504" w:rsidRPr="00083504" w:rsidRDefault="00083504" w:rsidP="00083504">
            <w:pPr>
              <w:spacing w:before="0" w:after="0" w:line="240" w:lineRule="auto"/>
              <w:jc w:val="right"/>
              <w:rPr>
                <w:rFonts w:ascii="Calibri" w:eastAsia="Times New Roman" w:hAnsi="Calibri" w:cs="Calibri"/>
                <w:sz w:val="16"/>
                <w:szCs w:val="16"/>
                <w:lang w:val="en-US"/>
              </w:rPr>
            </w:pPr>
            <w:r w:rsidRPr="00083504">
              <w:rPr>
                <w:rFonts w:ascii="Calibri" w:eastAsia="Times New Roman" w:hAnsi="Calibri" w:cs="Calibri"/>
                <w:sz w:val="16"/>
                <w:szCs w:val="16"/>
                <w:lang w:val="en-US"/>
              </w:rPr>
              <w:t>51.638</w:t>
            </w:r>
          </w:p>
        </w:tc>
      </w:tr>
    </w:tbl>
    <w:p w14:paraId="21FCB3EF" w14:textId="77777777" w:rsidR="002E0FC0" w:rsidRPr="00D95C57" w:rsidRDefault="00083504" w:rsidP="00F83DE8">
      <w:pPr>
        <w:jc w:val="both"/>
        <w:rPr>
          <w:rFonts w:asciiTheme="majorHAnsi" w:hAnsiTheme="majorHAnsi" w:cstheme="majorBidi"/>
        </w:rPr>
      </w:pPr>
      <w:r>
        <w:rPr>
          <w:rFonts w:asciiTheme="majorHAnsi" w:hAnsiTheme="majorHAnsi" w:cstheme="majorBidi"/>
          <w:noProof/>
          <w:lang w:val="en-US"/>
        </w:rPr>
        <w:drawing>
          <wp:inline distT="0" distB="0" distL="0" distR="0" wp14:anchorId="2BBF1F26" wp14:editId="5E1AD024">
            <wp:extent cx="2847340" cy="293878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7340" cy="2938780"/>
                    </a:xfrm>
                    <a:prstGeom prst="rect">
                      <a:avLst/>
                    </a:prstGeom>
                    <a:noFill/>
                  </pic:spPr>
                </pic:pic>
              </a:graphicData>
            </a:graphic>
          </wp:inline>
        </w:drawing>
      </w:r>
      <w:r>
        <w:rPr>
          <w:rFonts w:asciiTheme="majorHAnsi" w:hAnsiTheme="majorHAnsi" w:cstheme="majorBidi"/>
          <w:noProof/>
          <w:lang w:val="en-US"/>
        </w:rPr>
        <w:drawing>
          <wp:inline distT="0" distB="0" distL="0" distR="0" wp14:anchorId="45AFDF07" wp14:editId="070BE33E">
            <wp:extent cx="2847340" cy="293878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7340" cy="2938780"/>
                    </a:xfrm>
                    <a:prstGeom prst="rect">
                      <a:avLst/>
                    </a:prstGeom>
                    <a:noFill/>
                  </pic:spPr>
                </pic:pic>
              </a:graphicData>
            </a:graphic>
          </wp:inline>
        </w:drawing>
      </w:r>
    </w:p>
    <w:p w14:paraId="768FA226" w14:textId="77777777" w:rsidR="00583BC6" w:rsidRPr="007A6A77" w:rsidRDefault="00F83DE8" w:rsidP="00F83DE8">
      <w:pPr>
        <w:jc w:val="both"/>
        <w:rPr>
          <w:rFonts w:asciiTheme="majorHAnsi" w:hAnsiTheme="majorHAnsi"/>
          <w:noProof/>
          <w:lang w:eastAsia="ro-RO"/>
        </w:rPr>
      </w:pPr>
      <w:r w:rsidRPr="007A6A77">
        <w:rPr>
          <w:rFonts w:asciiTheme="majorHAnsi" w:hAnsiTheme="majorHAnsi"/>
          <w:noProof/>
          <w:lang w:eastAsia="ro-RO"/>
        </w:rPr>
        <w:t xml:space="preserve">ÎPL care activează în domeniile </w:t>
      </w:r>
      <w:r w:rsidR="00314F9F" w:rsidRPr="007A6A77">
        <w:rPr>
          <w:rFonts w:asciiTheme="majorHAnsi" w:hAnsiTheme="majorHAnsi"/>
          <w:noProof/>
          <w:lang w:eastAsia="ro-RO"/>
        </w:rPr>
        <w:t xml:space="preserve">„Producția și furnizarea de energie electrică și termică, gaze, apă caldă și aer condiționat”, </w:t>
      </w:r>
      <w:r w:rsidRPr="007A6A77">
        <w:rPr>
          <w:rFonts w:asciiTheme="majorHAnsi" w:hAnsiTheme="majorHAnsi"/>
          <w:noProof/>
          <w:lang w:eastAsia="ro-RO"/>
        </w:rPr>
        <w:t xml:space="preserve">„Transporturi terestre și transporturi prin conducte”, </w:t>
      </w:r>
      <w:r w:rsidR="007A6A77" w:rsidRPr="007A6A77">
        <w:rPr>
          <w:rFonts w:asciiTheme="majorHAnsi" w:hAnsiTheme="majorHAnsi"/>
          <w:noProof/>
          <w:lang w:eastAsia="ro-RO"/>
        </w:rPr>
        <w:t xml:space="preserve">„Captarea, tratarea si distribuţia apei” și </w:t>
      </w:r>
      <w:r w:rsidRPr="007A6A77">
        <w:rPr>
          <w:rFonts w:asciiTheme="majorHAnsi" w:hAnsiTheme="majorHAnsi"/>
          <w:noProof/>
          <w:lang w:eastAsia="ro-RO"/>
        </w:rPr>
        <w:t>„Depozitare si activități auxiliare pentru transporturi” au beneficiat de cel mai mare volum al subvenţi</w:t>
      </w:r>
      <w:r w:rsidR="00D81297" w:rsidRPr="007A6A77">
        <w:rPr>
          <w:rFonts w:asciiTheme="majorHAnsi" w:hAnsiTheme="majorHAnsi"/>
          <w:noProof/>
          <w:lang w:eastAsia="ro-RO"/>
        </w:rPr>
        <w:t>i</w:t>
      </w:r>
      <w:r w:rsidRPr="007A6A77">
        <w:rPr>
          <w:rFonts w:asciiTheme="majorHAnsi" w:hAnsiTheme="majorHAnsi"/>
          <w:noProof/>
          <w:lang w:eastAsia="ro-RO"/>
        </w:rPr>
        <w:t>lor acordate de la bugetele locale</w:t>
      </w:r>
      <w:r w:rsidR="00F34C6D">
        <w:rPr>
          <w:rFonts w:asciiTheme="majorHAnsi" w:hAnsiTheme="majorHAnsi"/>
          <w:noProof/>
          <w:lang w:eastAsia="ro-RO"/>
        </w:rPr>
        <w:t>,</w:t>
      </w:r>
      <w:r w:rsidRPr="007A6A77">
        <w:rPr>
          <w:rFonts w:asciiTheme="majorHAnsi" w:hAnsiTheme="majorHAnsi"/>
          <w:noProof/>
          <w:lang w:eastAsia="ro-RO"/>
        </w:rPr>
        <w:t xml:space="preserve"> respectiv într-o pondere de </w:t>
      </w:r>
      <w:r w:rsidR="007A6A77" w:rsidRPr="007A6A77">
        <w:rPr>
          <w:rFonts w:asciiTheme="majorHAnsi" w:hAnsiTheme="majorHAnsi"/>
          <w:noProof/>
          <w:lang w:eastAsia="ro-RO"/>
        </w:rPr>
        <w:t>97</w:t>
      </w:r>
      <w:r w:rsidR="00C32FBD" w:rsidRPr="007A6A77">
        <w:rPr>
          <w:rFonts w:asciiTheme="majorHAnsi" w:hAnsiTheme="majorHAnsi"/>
          <w:noProof/>
          <w:lang w:eastAsia="ro-RO"/>
        </w:rPr>
        <w:t>,</w:t>
      </w:r>
      <w:r w:rsidR="007A6A77" w:rsidRPr="007A6A77">
        <w:rPr>
          <w:rFonts w:asciiTheme="majorHAnsi" w:hAnsiTheme="majorHAnsi"/>
          <w:noProof/>
          <w:lang w:eastAsia="ro-RO"/>
        </w:rPr>
        <w:t>90</w:t>
      </w:r>
      <w:r w:rsidRPr="007A6A77">
        <w:rPr>
          <w:rFonts w:asciiTheme="majorHAnsi" w:hAnsiTheme="majorHAnsi"/>
          <w:noProof/>
          <w:lang w:eastAsia="ro-RO"/>
        </w:rPr>
        <w:t>% din volumul subvențiilor totale acorda</w:t>
      </w:r>
      <w:r w:rsidR="00702372" w:rsidRPr="007A6A77">
        <w:rPr>
          <w:rFonts w:asciiTheme="majorHAnsi" w:hAnsiTheme="majorHAnsi"/>
          <w:noProof/>
          <w:lang w:eastAsia="ro-RO"/>
        </w:rPr>
        <w:t>te pentru toate ÎPL în anul 20</w:t>
      </w:r>
      <w:r w:rsidR="007A6A77" w:rsidRPr="007A6A77">
        <w:rPr>
          <w:rFonts w:asciiTheme="majorHAnsi" w:hAnsiTheme="majorHAnsi"/>
          <w:noProof/>
          <w:lang w:eastAsia="ro-RO"/>
        </w:rPr>
        <w:t>20</w:t>
      </w:r>
      <w:r w:rsidRPr="007A6A77">
        <w:rPr>
          <w:rFonts w:asciiTheme="majorHAnsi" w:hAnsiTheme="majorHAnsi"/>
          <w:noProof/>
          <w:lang w:eastAsia="ro-RO"/>
        </w:rPr>
        <w:t xml:space="preserve">. Pentru ÎPL care activează în domeniile „Transporturi terestre și transporturi prin conducte” și „Producția și furnizarea de energie electrică și termică, gaze, apă caldă și aer condiționat” </w:t>
      </w:r>
      <w:r w:rsidR="00702372" w:rsidRPr="007A6A77">
        <w:rPr>
          <w:rFonts w:asciiTheme="majorHAnsi" w:hAnsiTheme="majorHAnsi"/>
          <w:noProof/>
          <w:lang w:eastAsia="ro-RO"/>
        </w:rPr>
        <w:t>9</w:t>
      </w:r>
      <w:r w:rsidR="007A6A77" w:rsidRPr="007A6A77">
        <w:rPr>
          <w:rFonts w:asciiTheme="majorHAnsi" w:hAnsiTheme="majorHAnsi"/>
          <w:noProof/>
          <w:lang w:eastAsia="ro-RO"/>
        </w:rPr>
        <w:t>8</w:t>
      </w:r>
      <w:r w:rsidR="00702372" w:rsidRPr="007A6A77">
        <w:rPr>
          <w:rFonts w:asciiTheme="majorHAnsi" w:hAnsiTheme="majorHAnsi"/>
          <w:noProof/>
          <w:lang w:eastAsia="ro-RO"/>
        </w:rPr>
        <w:t>,</w:t>
      </w:r>
      <w:r w:rsidR="007A6A77" w:rsidRPr="007A6A77">
        <w:rPr>
          <w:rFonts w:asciiTheme="majorHAnsi" w:hAnsiTheme="majorHAnsi"/>
          <w:noProof/>
          <w:lang w:eastAsia="ro-RO"/>
        </w:rPr>
        <w:t>04</w:t>
      </w:r>
      <w:r w:rsidRPr="007A6A77">
        <w:rPr>
          <w:rFonts w:asciiTheme="majorHAnsi" w:hAnsiTheme="majorHAnsi"/>
          <w:noProof/>
          <w:lang w:eastAsia="ro-RO"/>
        </w:rPr>
        <w:t>% din volumul total al su</w:t>
      </w:r>
      <w:r w:rsidR="00F34C6D">
        <w:rPr>
          <w:rFonts w:asciiTheme="majorHAnsi" w:hAnsiTheme="majorHAnsi"/>
          <w:noProof/>
          <w:lang w:eastAsia="ro-RO"/>
        </w:rPr>
        <w:t>b</w:t>
      </w:r>
      <w:r w:rsidRPr="007A6A77">
        <w:rPr>
          <w:rFonts w:asciiTheme="majorHAnsi" w:hAnsiTheme="majorHAnsi"/>
          <w:noProof/>
          <w:lang w:eastAsia="ro-RO"/>
        </w:rPr>
        <w:t>vențiilor primite de la bugetele locale a fost pentru activitatea de exploatare</w:t>
      </w:r>
      <w:r w:rsidR="00F34C6D">
        <w:rPr>
          <w:rFonts w:asciiTheme="majorHAnsi" w:hAnsiTheme="majorHAnsi"/>
          <w:noProof/>
          <w:lang w:eastAsia="ro-RO"/>
        </w:rPr>
        <w:t>,</w:t>
      </w:r>
      <w:r w:rsidRPr="007A6A77">
        <w:rPr>
          <w:rFonts w:asciiTheme="majorHAnsi" w:hAnsiTheme="majorHAnsi"/>
          <w:noProof/>
          <w:lang w:eastAsia="ro-RO"/>
        </w:rPr>
        <w:t xml:space="preserve"> iar pentru ÎPL care activează în domeniile „</w:t>
      </w:r>
      <w:r w:rsidR="00702372" w:rsidRPr="007A6A77">
        <w:rPr>
          <w:rFonts w:asciiTheme="majorHAnsi" w:hAnsiTheme="majorHAnsi"/>
          <w:noProof/>
          <w:lang w:eastAsia="ro-RO"/>
        </w:rPr>
        <w:t>Captarea, tratarea și distribuția apei</w:t>
      </w:r>
      <w:r w:rsidRPr="007A6A77">
        <w:rPr>
          <w:rFonts w:asciiTheme="majorHAnsi" w:hAnsiTheme="majorHAnsi"/>
          <w:noProof/>
          <w:lang w:eastAsia="ro-RO"/>
        </w:rPr>
        <w:t xml:space="preserve">” </w:t>
      </w:r>
      <w:r w:rsidR="007A6A77" w:rsidRPr="007A6A77">
        <w:rPr>
          <w:rFonts w:asciiTheme="majorHAnsi" w:hAnsiTheme="majorHAnsi"/>
          <w:noProof/>
          <w:lang w:eastAsia="ro-RO"/>
        </w:rPr>
        <w:t>8</w:t>
      </w:r>
      <w:r w:rsidR="00702372" w:rsidRPr="007A6A77">
        <w:rPr>
          <w:rFonts w:asciiTheme="majorHAnsi" w:hAnsiTheme="majorHAnsi"/>
          <w:noProof/>
          <w:lang w:eastAsia="ro-RO"/>
        </w:rPr>
        <w:t>1,</w:t>
      </w:r>
      <w:r w:rsidR="007A6A77" w:rsidRPr="007A6A77">
        <w:rPr>
          <w:rFonts w:asciiTheme="majorHAnsi" w:hAnsiTheme="majorHAnsi"/>
          <w:noProof/>
          <w:lang w:eastAsia="ro-RO"/>
        </w:rPr>
        <w:t>02</w:t>
      </w:r>
      <w:r w:rsidRPr="007A6A77">
        <w:rPr>
          <w:rFonts w:asciiTheme="majorHAnsi" w:hAnsiTheme="majorHAnsi"/>
          <w:noProof/>
          <w:lang w:eastAsia="ro-RO"/>
        </w:rPr>
        <w:t>% din volumul total al subvențiilor primite de la bugetele locale a fost destinat investițiilor.</w:t>
      </w:r>
    </w:p>
    <w:p w14:paraId="7F4C9332" w14:textId="77777777" w:rsidR="00083504" w:rsidRDefault="00083504" w:rsidP="00F83DE8">
      <w:pPr>
        <w:jc w:val="both"/>
        <w:rPr>
          <w:rFonts w:asciiTheme="majorHAnsi" w:hAnsiTheme="majorHAnsi"/>
          <w:noProof/>
          <w:lang w:eastAsia="ro-RO"/>
        </w:rPr>
      </w:pPr>
    </w:p>
    <w:p w14:paraId="37B7EE0F" w14:textId="77777777" w:rsidR="00284926" w:rsidRDefault="00284926" w:rsidP="00F83DE8">
      <w:pPr>
        <w:jc w:val="both"/>
        <w:rPr>
          <w:rFonts w:asciiTheme="majorHAnsi" w:hAnsiTheme="majorHAnsi"/>
          <w:noProof/>
          <w:lang w:eastAsia="ro-RO"/>
        </w:rPr>
      </w:pPr>
    </w:p>
    <w:p w14:paraId="263489E5" w14:textId="77777777" w:rsidR="00284926" w:rsidRPr="00D95C57" w:rsidRDefault="00284926" w:rsidP="00F83DE8">
      <w:pPr>
        <w:jc w:val="both"/>
        <w:rPr>
          <w:rFonts w:asciiTheme="majorHAnsi" w:hAnsiTheme="majorHAnsi"/>
          <w:noProof/>
          <w:lang w:eastAsia="ro-RO"/>
        </w:rPr>
      </w:pPr>
    </w:p>
    <w:p w14:paraId="489AE4DE" w14:textId="77777777" w:rsidR="001B43EA" w:rsidRPr="00522CC8" w:rsidRDefault="00DC3F61" w:rsidP="00AD115E">
      <w:pPr>
        <w:pStyle w:val="ListParagraph"/>
        <w:ind w:left="0" w:right="-144"/>
        <w:outlineLvl w:val="2"/>
        <w:rPr>
          <w:rFonts w:asciiTheme="majorHAnsi" w:hAnsiTheme="majorHAnsi"/>
          <w:b/>
          <w:bCs/>
          <w:color w:val="0F6FC6" w:themeColor="accent1"/>
          <w:sz w:val="28"/>
          <w:szCs w:val="28"/>
        </w:rPr>
      </w:pPr>
      <w:bookmarkStart w:id="117" w:name="_Toc87875969"/>
      <w:r>
        <w:rPr>
          <w:rFonts w:asciiTheme="majorHAnsi" w:hAnsiTheme="majorHAnsi"/>
          <w:b/>
          <w:bCs/>
          <w:color w:val="0F6FC6" w:themeColor="accent1"/>
          <w:sz w:val="28"/>
          <w:szCs w:val="28"/>
        </w:rPr>
        <w:t>3</w:t>
      </w:r>
      <w:r w:rsidR="001B43EA" w:rsidRPr="00522CC8">
        <w:rPr>
          <w:rFonts w:asciiTheme="majorHAnsi" w:hAnsiTheme="majorHAnsi"/>
          <w:b/>
          <w:bCs/>
          <w:color w:val="0F6FC6" w:themeColor="accent1"/>
          <w:sz w:val="28"/>
          <w:szCs w:val="28"/>
        </w:rPr>
        <w:t xml:space="preserve">.6 – Dividende și vărsăminte repartizate de </w:t>
      </w:r>
      <w:r w:rsidR="0022099B" w:rsidRPr="00522CC8">
        <w:rPr>
          <w:rFonts w:asciiTheme="majorHAnsi" w:hAnsiTheme="majorHAnsi"/>
          <w:b/>
          <w:bCs/>
          <w:color w:val="0F6FC6" w:themeColor="accent1"/>
          <w:sz w:val="28"/>
          <w:szCs w:val="28"/>
        </w:rPr>
        <w:t>întreprinderile publice locale</w:t>
      </w:r>
      <w:bookmarkEnd w:id="117"/>
    </w:p>
    <w:p w14:paraId="794AE7D8" w14:textId="77777777" w:rsidR="00A71CEF" w:rsidRDefault="00A71CEF" w:rsidP="0048252C">
      <w:pPr>
        <w:jc w:val="both"/>
        <w:rPr>
          <w:rFonts w:asciiTheme="majorHAnsi" w:hAnsiTheme="majorHAnsi"/>
        </w:rPr>
      </w:pPr>
    </w:p>
    <w:p w14:paraId="49AD4972" w14:textId="77777777" w:rsidR="00A71CEF" w:rsidRDefault="00A71CEF" w:rsidP="0048252C">
      <w:pPr>
        <w:jc w:val="both"/>
        <w:rPr>
          <w:rFonts w:asciiTheme="majorHAnsi" w:hAnsiTheme="majorHAnsi"/>
        </w:rPr>
      </w:pPr>
      <w:r w:rsidRPr="00A71CEF">
        <w:rPr>
          <w:rFonts w:asciiTheme="majorHAnsi" w:hAnsiTheme="majorHAnsi"/>
        </w:rPr>
        <w:t>TABEL – Situația dividendelor repartizate în anii 2018-2020 de către ÎPL către bugetele locale (APTL)*</w:t>
      </w:r>
    </w:p>
    <w:tbl>
      <w:tblPr>
        <w:tblW w:w="9015" w:type="dxa"/>
        <w:tblInd w:w="108" w:type="dxa"/>
        <w:tblLook w:val="04A0" w:firstRow="1" w:lastRow="0" w:firstColumn="1" w:lastColumn="0" w:noHBand="0" w:noVBand="1"/>
      </w:tblPr>
      <w:tblGrid>
        <w:gridCol w:w="1858"/>
        <w:gridCol w:w="1884"/>
        <w:gridCol w:w="1607"/>
        <w:gridCol w:w="1632"/>
        <w:gridCol w:w="2034"/>
      </w:tblGrid>
      <w:tr w:rsidR="00A71CEF" w:rsidRPr="00A71CEF" w14:paraId="0EB8B995" w14:textId="77777777" w:rsidTr="00A71CEF">
        <w:trPr>
          <w:trHeight w:val="674"/>
        </w:trPr>
        <w:tc>
          <w:tcPr>
            <w:tcW w:w="1858" w:type="dxa"/>
            <w:vMerge w:val="restart"/>
            <w:tcBorders>
              <w:top w:val="single" w:sz="4" w:space="0" w:color="538DD5"/>
              <w:left w:val="single" w:sz="4" w:space="0" w:color="FFFFFF"/>
              <w:bottom w:val="single" w:sz="4" w:space="0" w:color="538DD5"/>
              <w:right w:val="single" w:sz="4" w:space="0" w:color="FFFFFF"/>
            </w:tcBorders>
            <w:shd w:val="clear" w:color="000000" w:fill="FFFFFF"/>
            <w:hideMark/>
          </w:tcPr>
          <w:p w14:paraId="17E77D8C"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Anul</w:t>
            </w:r>
          </w:p>
        </w:tc>
        <w:tc>
          <w:tcPr>
            <w:tcW w:w="1884" w:type="dxa"/>
            <w:vMerge w:val="restart"/>
            <w:tcBorders>
              <w:top w:val="single" w:sz="4" w:space="0" w:color="538DD5"/>
              <w:left w:val="single" w:sz="4" w:space="0" w:color="FFFFFF"/>
              <w:bottom w:val="single" w:sz="4" w:space="0" w:color="538DD5"/>
              <w:right w:val="single" w:sz="4" w:space="0" w:color="FFFFFF"/>
            </w:tcBorders>
            <w:shd w:val="clear" w:color="000000" w:fill="FFFFFF"/>
            <w:hideMark/>
          </w:tcPr>
          <w:p w14:paraId="26C82340"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Tip repartizare profit (Vărsăminte regiile autonome și Dividende societăți)</w:t>
            </w:r>
          </w:p>
        </w:tc>
        <w:tc>
          <w:tcPr>
            <w:tcW w:w="1607" w:type="dxa"/>
            <w:tcBorders>
              <w:top w:val="single" w:sz="4" w:space="0" w:color="538DD5"/>
              <w:left w:val="nil"/>
              <w:bottom w:val="single" w:sz="4" w:space="0" w:color="538DD5"/>
              <w:right w:val="single" w:sz="4" w:space="0" w:color="FFFFFF"/>
            </w:tcBorders>
            <w:shd w:val="clear" w:color="000000" w:fill="FFFFFF"/>
            <w:hideMark/>
          </w:tcPr>
          <w:p w14:paraId="66FD1B59"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Nr ÎPL care au repartizat dividende/ vărsăminte</w:t>
            </w:r>
          </w:p>
        </w:tc>
        <w:tc>
          <w:tcPr>
            <w:tcW w:w="1632" w:type="dxa"/>
            <w:tcBorders>
              <w:top w:val="single" w:sz="4" w:space="0" w:color="538DD5"/>
              <w:left w:val="nil"/>
              <w:bottom w:val="single" w:sz="4" w:space="0" w:color="538DD5"/>
              <w:right w:val="single" w:sz="4" w:space="0" w:color="FFFFFF"/>
            </w:tcBorders>
            <w:shd w:val="clear" w:color="000000" w:fill="FFFFFF"/>
            <w:hideMark/>
          </w:tcPr>
          <w:p w14:paraId="170F2204"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Profit net</w:t>
            </w:r>
          </w:p>
        </w:tc>
        <w:tc>
          <w:tcPr>
            <w:tcW w:w="2034" w:type="dxa"/>
            <w:tcBorders>
              <w:top w:val="single" w:sz="4" w:space="0" w:color="538DD5"/>
              <w:left w:val="nil"/>
              <w:bottom w:val="single" w:sz="4" w:space="0" w:color="538DD5"/>
              <w:right w:val="single" w:sz="4" w:space="0" w:color="FFFFFF"/>
            </w:tcBorders>
            <w:shd w:val="clear" w:color="000000" w:fill="FFFFFF"/>
            <w:hideMark/>
          </w:tcPr>
          <w:p w14:paraId="3A98B085"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Total Dividende/ Vărsăminte repartizate la bugetele locale (APTL)</w:t>
            </w:r>
          </w:p>
        </w:tc>
      </w:tr>
      <w:tr w:rsidR="00A71CEF" w:rsidRPr="00A71CEF" w14:paraId="60CFC716" w14:textId="77777777" w:rsidTr="00A71CEF">
        <w:trPr>
          <w:trHeight w:val="178"/>
        </w:trPr>
        <w:tc>
          <w:tcPr>
            <w:tcW w:w="1858" w:type="dxa"/>
            <w:vMerge/>
            <w:tcBorders>
              <w:top w:val="single" w:sz="4" w:space="0" w:color="538DD5"/>
              <w:left w:val="single" w:sz="4" w:space="0" w:color="FFFFFF"/>
              <w:bottom w:val="single" w:sz="4" w:space="0" w:color="538DD5"/>
              <w:right w:val="single" w:sz="4" w:space="0" w:color="FFFFFF"/>
            </w:tcBorders>
            <w:vAlign w:val="center"/>
            <w:hideMark/>
          </w:tcPr>
          <w:p w14:paraId="5FB445BF"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p>
        </w:tc>
        <w:tc>
          <w:tcPr>
            <w:tcW w:w="1884" w:type="dxa"/>
            <w:vMerge/>
            <w:tcBorders>
              <w:top w:val="single" w:sz="4" w:space="0" w:color="538DD5"/>
              <w:left w:val="single" w:sz="4" w:space="0" w:color="FFFFFF"/>
              <w:bottom w:val="single" w:sz="4" w:space="0" w:color="538DD5"/>
              <w:right w:val="single" w:sz="4" w:space="0" w:color="FFFFFF"/>
            </w:tcBorders>
            <w:vAlign w:val="center"/>
            <w:hideMark/>
          </w:tcPr>
          <w:p w14:paraId="21E48834"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p>
        </w:tc>
        <w:tc>
          <w:tcPr>
            <w:tcW w:w="1607" w:type="dxa"/>
            <w:tcBorders>
              <w:top w:val="nil"/>
              <w:left w:val="nil"/>
              <w:bottom w:val="single" w:sz="4" w:space="0" w:color="538DD5"/>
              <w:right w:val="single" w:sz="4" w:space="0" w:color="FFFFFF"/>
            </w:tcBorders>
            <w:shd w:val="clear" w:color="000000" w:fill="FFFFFF"/>
            <w:hideMark/>
          </w:tcPr>
          <w:p w14:paraId="574A083C" w14:textId="77777777" w:rsidR="00A71CEF" w:rsidRPr="00A71CEF" w:rsidRDefault="00A71CEF" w:rsidP="00A71CEF">
            <w:pPr>
              <w:spacing w:before="0" w:after="0" w:line="240" w:lineRule="auto"/>
              <w:jc w:val="right"/>
              <w:rPr>
                <w:rFonts w:ascii="Calibri" w:eastAsia="Times New Roman" w:hAnsi="Calibri" w:cs="Calibri"/>
                <w:color w:val="0F6FC6" w:themeColor="accent1"/>
                <w:sz w:val="14"/>
                <w:szCs w:val="14"/>
                <w:lang w:val="en-US"/>
              </w:rPr>
            </w:pPr>
            <w:r w:rsidRPr="00A71CEF">
              <w:rPr>
                <w:rFonts w:ascii="Calibri" w:eastAsia="Times New Roman" w:hAnsi="Calibri" w:cs="Calibri"/>
                <w:color w:val="0F6FC6" w:themeColor="accent1"/>
                <w:sz w:val="14"/>
                <w:szCs w:val="14"/>
                <w:lang w:val="en-US"/>
              </w:rPr>
              <w:t>nr ÎPL</w:t>
            </w:r>
          </w:p>
        </w:tc>
        <w:tc>
          <w:tcPr>
            <w:tcW w:w="1632" w:type="dxa"/>
            <w:tcBorders>
              <w:top w:val="nil"/>
              <w:left w:val="nil"/>
              <w:bottom w:val="single" w:sz="4" w:space="0" w:color="538DD5"/>
              <w:right w:val="single" w:sz="4" w:space="0" w:color="FFFFFF"/>
            </w:tcBorders>
            <w:shd w:val="clear" w:color="000000" w:fill="FFFFFF"/>
            <w:hideMark/>
          </w:tcPr>
          <w:p w14:paraId="4E2ABB5D" w14:textId="77777777" w:rsidR="00A71CEF" w:rsidRPr="00A71CEF" w:rsidRDefault="00A71CEF" w:rsidP="00A71CEF">
            <w:pPr>
              <w:spacing w:before="0" w:after="0" w:line="240" w:lineRule="auto"/>
              <w:jc w:val="right"/>
              <w:rPr>
                <w:rFonts w:ascii="Calibri" w:eastAsia="Times New Roman" w:hAnsi="Calibri" w:cs="Calibri"/>
                <w:color w:val="0F6FC6" w:themeColor="accent1"/>
                <w:sz w:val="14"/>
                <w:szCs w:val="14"/>
                <w:lang w:val="en-US"/>
              </w:rPr>
            </w:pPr>
            <w:r w:rsidRPr="00A71CEF">
              <w:rPr>
                <w:rFonts w:ascii="Calibri" w:eastAsia="Times New Roman" w:hAnsi="Calibri" w:cs="Calibri"/>
                <w:color w:val="0F6FC6" w:themeColor="accent1"/>
                <w:sz w:val="14"/>
                <w:szCs w:val="14"/>
                <w:lang w:val="en-US"/>
              </w:rPr>
              <w:t>mii lei</w:t>
            </w:r>
          </w:p>
        </w:tc>
        <w:tc>
          <w:tcPr>
            <w:tcW w:w="2034" w:type="dxa"/>
            <w:tcBorders>
              <w:top w:val="nil"/>
              <w:left w:val="nil"/>
              <w:bottom w:val="single" w:sz="4" w:space="0" w:color="538DD5"/>
              <w:right w:val="single" w:sz="4" w:space="0" w:color="FFFFFF"/>
            </w:tcBorders>
            <w:shd w:val="clear" w:color="000000" w:fill="FFFFFF"/>
            <w:hideMark/>
          </w:tcPr>
          <w:p w14:paraId="5862C942" w14:textId="77777777" w:rsidR="00A71CEF" w:rsidRPr="00A71CEF" w:rsidRDefault="00A71CEF" w:rsidP="00A71CEF">
            <w:pPr>
              <w:spacing w:before="0" w:after="0" w:line="240" w:lineRule="auto"/>
              <w:jc w:val="right"/>
              <w:rPr>
                <w:rFonts w:ascii="Calibri" w:eastAsia="Times New Roman" w:hAnsi="Calibri" w:cs="Calibri"/>
                <w:color w:val="0F6FC6" w:themeColor="accent1"/>
                <w:sz w:val="14"/>
                <w:szCs w:val="14"/>
                <w:lang w:val="en-US"/>
              </w:rPr>
            </w:pPr>
            <w:r w:rsidRPr="00A71CEF">
              <w:rPr>
                <w:rFonts w:ascii="Calibri" w:eastAsia="Times New Roman" w:hAnsi="Calibri" w:cs="Calibri"/>
                <w:color w:val="0F6FC6" w:themeColor="accent1"/>
                <w:sz w:val="14"/>
                <w:szCs w:val="14"/>
                <w:lang w:val="en-US"/>
              </w:rPr>
              <w:t>mii lei</w:t>
            </w:r>
          </w:p>
        </w:tc>
      </w:tr>
      <w:tr w:rsidR="00A71CEF" w:rsidRPr="00A71CEF" w14:paraId="189AA776" w14:textId="77777777" w:rsidTr="00A71CEF">
        <w:trPr>
          <w:trHeight w:val="178"/>
        </w:trPr>
        <w:tc>
          <w:tcPr>
            <w:tcW w:w="1858"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1E15763A" w14:textId="77777777" w:rsidR="00A71CEF" w:rsidRPr="00A71CEF" w:rsidRDefault="00A71CEF" w:rsidP="00A71CEF">
            <w:pPr>
              <w:spacing w:before="0" w:after="0" w:line="240" w:lineRule="auto"/>
              <w:rPr>
                <w:rFonts w:ascii="Calibri" w:eastAsia="Times New Roman" w:hAnsi="Calibri" w:cs="Calibri"/>
                <w:sz w:val="16"/>
                <w:szCs w:val="16"/>
                <w:lang w:val="en-US"/>
              </w:rPr>
            </w:pPr>
            <w:r w:rsidRPr="00A71CEF">
              <w:rPr>
                <w:rFonts w:ascii="Calibri" w:eastAsia="Times New Roman" w:hAnsi="Calibri" w:cs="Calibri"/>
                <w:sz w:val="16"/>
                <w:szCs w:val="16"/>
                <w:lang w:val="en-US"/>
              </w:rPr>
              <w:t>2018</w:t>
            </w:r>
          </w:p>
        </w:tc>
        <w:tc>
          <w:tcPr>
            <w:tcW w:w="1884" w:type="dxa"/>
            <w:tcBorders>
              <w:top w:val="single" w:sz="4" w:space="0" w:color="95B3D7"/>
              <w:left w:val="nil"/>
              <w:bottom w:val="single" w:sz="4" w:space="0" w:color="FFFFFF"/>
              <w:right w:val="single" w:sz="4" w:space="0" w:color="FFFFFF"/>
            </w:tcBorders>
            <w:shd w:val="clear" w:color="000000" w:fill="FFFFFF"/>
            <w:hideMark/>
          </w:tcPr>
          <w:p w14:paraId="386563BD"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Vărsăminte</w:t>
            </w:r>
          </w:p>
        </w:tc>
        <w:tc>
          <w:tcPr>
            <w:tcW w:w="1607" w:type="dxa"/>
            <w:tcBorders>
              <w:top w:val="single" w:sz="4" w:space="0" w:color="95B3D7"/>
              <w:left w:val="nil"/>
              <w:bottom w:val="single" w:sz="4" w:space="0" w:color="FFFFFF"/>
              <w:right w:val="single" w:sz="4" w:space="0" w:color="FFFFFF"/>
            </w:tcBorders>
            <w:shd w:val="clear" w:color="000000" w:fill="FFFFFF"/>
            <w:hideMark/>
          </w:tcPr>
          <w:p w14:paraId="24B02D3E"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36</w:t>
            </w:r>
          </w:p>
        </w:tc>
        <w:tc>
          <w:tcPr>
            <w:tcW w:w="1632" w:type="dxa"/>
            <w:tcBorders>
              <w:top w:val="single" w:sz="4" w:space="0" w:color="95B3D7"/>
              <w:left w:val="nil"/>
              <w:bottom w:val="single" w:sz="4" w:space="0" w:color="FFFFFF"/>
              <w:right w:val="single" w:sz="4" w:space="0" w:color="FFFFFF"/>
            </w:tcBorders>
            <w:shd w:val="clear" w:color="000000" w:fill="FFFFFF"/>
            <w:hideMark/>
          </w:tcPr>
          <w:p w14:paraId="15C4665D"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43.393</w:t>
            </w:r>
          </w:p>
        </w:tc>
        <w:tc>
          <w:tcPr>
            <w:tcW w:w="2034" w:type="dxa"/>
            <w:tcBorders>
              <w:top w:val="single" w:sz="4" w:space="0" w:color="95B3D7"/>
              <w:left w:val="nil"/>
              <w:bottom w:val="single" w:sz="4" w:space="0" w:color="FFFFFF"/>
              <w:right w:val="single" w:sz="4" w:space="0" w:color="FFFFFF"/>
            </w:tcBorders>
            <w:shd w:val="clear" w:color="000000" w:fill="FFFFFF"/>
            <w:hideMark/>
          </w:tcPr>
          <w:p w14:paraId="2A97B229"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37.189</w:t>
            </w:r>
          </w:p>
        </w:tc>
      </w:tr>
      <w:tr w:rsidR="00A71CEF" w:rsidRPr="00A71CEF" w14:paraId="0AF1AA97" w14:textId="77777777" w:rsidTr="00A71CEF">
        <w:trPr>
          <w:trHeight w:val="178"/>
        </w:trPr>
        <w:tc>
          <w:tcPr>
            <w:tcW w:w="1858" w:type="dxa"/>
            <w:vMerge/>
            <w:tcBorders>
              <w:top w:val="single" w:sz="4" w:space="0" w:color="95B3D7"/>
              <w:left w:val="single" w:sz="4" w:space="0" w:color="FFFFFF"/>
              <w:bottom w:val="single" w:sz="4" w:space="0" w:color="95B3D7"/>
              <w:right w:val="single" w:sz="4" w:space="0" w:color="FFFFFF"/>
            </w:tcBorders>
            <w:vAlign w:val="center"/>
            <w:hideMark/>
          </w:tcPr>
          <w:p w14:paraId="0017282C" w14:textId="77777777" w:rsidR="00A71CEF" w:rsidRPr="00A71CEF" w:rsidRDefault="00A71CEF" w:rsidP="00A71CEF">
            <w:pPr>
              <w:spacing w:before="0" w:after="0" w:line="240" w:lineRule="auto"/>
              <w:rPr>
                <w:rFonts w:ascii="Calibri" w:eastAsia="Times New Roman" w:hAnsi="Calibri" w:cs="Calibri"/>
                <w:sz w:val="16"/>
                <w:szCs w:val="16"/>
                <w:lang w:val="en-US"/>
              </w:rPr>
            </w:pPr>
          </w:p>
        </w:tc>
        <w:tc>
          <w:tcPr>
            <w:tcW w:w="1884" w:type="dxa"/>
            <w:tcBorders>
              <w:top w:val="nil"/>
              <w:left w:val="nil"/>
              <w:bottom w:val="single" w:sz="4" w:space="0" w:color="95B3D7"/>
              <w:right w:val="single" w:sz="4" w:space="0" w:color="FFFFFF"/>
            </w:tcBorders>
            <w:shd w:val="clear" w:color="000000" w:fill="FFFFFF"/>
            <w:hideMark/>
          </w:tcPr>
          <w:p w14:paraId="136CCC58"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Dividende</w:t>
            </w:r>
          </w:p>
        </w:tc>
        <w:tc>
          <w:tcPr>
            <w:tcW w:w="1607" w:type="dxa"/>
            <w:tcBorders>
              <w:top w:val="nil"/>
              <w:left w:val="nil"/>
              <w:bottom w:val="single" w:sz="4" w:space="0" w:color="95B3D7"/>
              <w:right w:val="single" w:sz="4" w:space="0" w:color="FFFFFF"/>
            </w:tcBorders>
            <w:shd w:val="clear" w:color="000000" w:fill="FFFFFF"/>
            <w:hideMark/>
          </w:tcPr>
          <w:p w14:paraId="4FE813D3"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105</w:t>
            </w:r>
          </w:p>
        </w:tc>
        <w:tc>
          <w:tcPr>
            <w:tcW w:w="1632" w:type="dxa"/>
            <w:tcBorders>
              <w:top w:val="nil"/>
              <w:left w:val="nil"/>
              <w:bottom w:val="single" w:sz="4" w:space="0" w:color="95B3D7"/>
              <w:right w:val="single" w:sz="4" w:space="0" w:color="FFFFFF"/>
            </w:tcBorders>
            <w:shd w:val="clear" w:color="000000" w:fill="FFFFFF"/>
            <w:hideMark/>
          </w:tcPr>
          <w:p w14:paraId="154D7491"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94.135</w:t>
            </w:r>
          </w:p>
        </w:tc>
        <w:tc>
          <w:tcPr>
            <w:tcW w:w="2034" w:type="dxa"/>
            <w:tcBorders>
              <w:top w:val="nil"/>
              <w:left w:val="nil"/>
              <w:bottom w:val="single" w:sz="4" w:space="0" w:color="95B3D7"/>
              <w:right w:val="single" w:sz="4" w:space="0" w:color="FFFFFF"/>
            </w:tcBorders>
            <w:shd w:val="clear" w:color="000000" w:fill="FFFFFF"/>
            <w:hideMark/>
          </w:tcPr>
          <w:p w14:paraId="577DAA0D"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40.207</w:t>
            </w:r>
          </w:p>
        </w:tc>
      </w:tr>
      <w:tr w:rsidR="00A71CEF" w:rsidRPr="00A71CEF" w14:paraId="25ABFE48" w14:textId="77777777" w:rsidTr="00A71CEF">
        <w:trPr>
          <w:trHeight w:val="178"/>
        </w:trPr>
        <w:tc>
          <w:tcPr>
            <w:tcW w:w="1858" w:type="dxa"/>
            <w:vMerge w:val="restart"/>
            <w:tcBorders>
              <w:top w:val="nil"/>
              <w:left w:val="single" w:sz="4" w:space="0" w:color="FFFFFF"/>
              <w:bottom w:val="single" w:sz="4" w:space="0" w:color="95B3D7"/>
              <w:right w:val="single" w:sz="4" w:space="0" w:color="FFFFFF"/>
            </w:tcBorders>
            <w:shd w:val="clear" w:color="000000" w:fill="FFFFFF"/>
            <w:hideMark/>
          </w:tcPr>
          <w:p w14:paraId="742A0B9D" w14:textId="77777777" w:rsidR="00A71CEF" w:rsidRPr="00A71CEF" w:rsidRDefault="00A71CEF" w:rsidP="00A71CEF">
            <w:pPr>
              <w:spacing w:before="0" w:after="0" w:line="240" w:lineRule="auto"/>
              <w:rPr>
                <w:rFonts w:ascii="Calibri" w:eastAsia="Times New Roman" w:hAnsi="Calibri" w:cs="Calibri"/>
                <w:sz w:val="16"/>
                <w:szCs w:val="16"/>
                <w:lang w:val="en-US"/>
              </w:rPr>
            </w:pPr>
            <w:r w:rsidRPr="00A71CEF">
              <w:rPr>
                <w:rFonts w:ascii="Calibri" w:eastAsia="Times New Roman" w:hAnsi="Calibri" w:cs="Calibri"/>
                <w:sz w:val="16"/>
                <w:szCs w:val="16"/>
                <w:lang w:val="en-US"/>
              </w:rPr>
              <w:t>2019</w:t>
            </w:r>
          </w:p>
        </w:tc>
        <w:tc>
          <w:tcPr>
            <w:tcW w:w="1884" w:type="dxa"/>
            <w:tcBorders>
              <w:top w:val="nil"/>
              <w:left w:val="nil"/>
              <w:bottom w:val="single" w:sz="4" w:space="0" w:color="FFFFFF"/>
              <w:right w:val="single" w:sz="4" w:space="0" w:color="FFFFFF"/>
            </w:tcBorders>
            <w:shd w:val="clear" w:color="000000" w:fill="FFFFFF"/>
            <w:hideMark/>
          </w:tcPr>
          <w:p w14:paraId="0C0C7F0C"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Vărsăminte</w:t>
            </w:r>
          </w:p>
        </w:tc>
        <w:tc>
          <w:tcPr>
            <w:tcW w:w="1607" w:type="dxa"/>
            <w:tcBorders>
              <w:top w:val="nil"/>
              <w:left w:val="nil"/>
              <w:bottom w:val="single" w:sz="4" w:space="0" w:color="FFFFFF"/>
              <w:right w:val="single" w:sz="4" w:space="0" w:color="FFFFFF"/>
            </w:tcBorders>
            <w:shd w:val="clear" w:color="000000" w:fill="FFFFFF"/>
            <w:hideMark/>
          </w:tcPr>
          <w:p w14:paraId="5672B05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33</w:t>
            </w:r>
          </w:p>
        </w:tc>
        <w:tc>
          <w:tcPr>
            <w:tcW w:w="1632" w:type="dxa"/>
            <w:tcBorders>
              <w:top w:val="nil"/>
              <w:left w:val="nil"/>
              <w:bottom w:val="single" w:sz="4" w:space="0" w:color="FFFFFF"/>
              <w:right w:val="single" w:sz="4" w:space="0" w:color="FFFFFF"/>
            </w:tcBorders>
            <w:shd w:val="clear" w:color="000000" w:fill="FFFFFF"/>
            <w:hideMark/>
          </w:tcPr>
          <w:p w14:paraId="08E32624"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29.551</w:t>
            </w:r>
          </w:p>
        </w:tc>
        <w:tc>
          <w:tcPr>
            <w:tcW w:w="2034" w:type="dxa"/>
            <w:tcBorders>
              <w:top w:val="nil"/>
              <w:left w:val="nil"/>
              <w:bottom w:val="single" w:sz="4" w:space="0" w:color="FFFFFF"/>
              <w:right w:val="single" w:sz="4" w:space="0" w:color="FFFFFF"/>
            </w:tcBorders>
            <w:shd w:val="clear" w:color="000000" w:fill="FFFFFF"/>
            <w:hideMark/>
          </w:tcPr>
          <w:p w14:paraId="0D3AD938"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22.983</w:t>
            </w:r>
          </w:p>
        </w:tc>
      </w:tr>
      <w:tr w:rsidR="00A71CEF" w:rsidRPr="00A71CEF" w14:paraId="72BF58D3" w14:textId="77777777" w:rsidTr="00A71CEF">
        <w:trPr>
          <w:trHeight w:val="178"/>
        </w:trPr>
        <w:tc>
          <w:tcPr>
            <w:tcW w:w="1858" w:type="dxa"/>
            <w:vMerge/>
            <w:tcBorders>
              <w:top w:val="nil"/>
              <w:left w:val="single" w:sz="4" w:space="0" w:color="FFFFFF"/>
              <w:bottom w:val="single" w:sz="4" w:space="0" w:color="95B3D7"/>
              <w:right w:val="single" w:sz="4" w:space="0" w:color="FFFFFF"/>
            </w:tcBorders>
            <w:vAlign w:val="center"/>
            <w:hideMark/>
          </w:tcPr>
          <w:p w14:paraId="5246C7D4" w14:textId="77777777" w:rsidR="00A71CEF" w:rsidRPr="00A71CEF" w:rsidRDefault="00A71CEF" w:rsidP="00A71CEF">
            <w:pPr>
              <w:spacing w:before="0" w:after="0" w:line="240" w:lineRule="auto"/>
              <w:rPr>
                <w:rFonts w:ascii="Calibri" w:eastAsia="Times New Roman" w:hAnsi="Calibri" w:cs="Calibri"/>
                <w:sz w:val="16"/>
                <w:szCs w:val="16"/>
                <w:lang w:val="en-US"/>
              </w:rPr>
            </w:pPr>
          </w:p>
        </w:tc>
        <w:tc>
          <w:tcPr>
            <w:tcW w:w="1884" w:type="dxa"/>
            <w:tcBorders>
              <w:top w:val="nil"/>
              <w:left w:val="nil"/>
              <w:bottom w:val="single" w:sz="4" w:space="0" w:color="95B3D7"/>
              <w:right w:val="single" w:sz="4" w:space="0" w:color="FFFFFF"/>
            </w:tcBorders>
            <w:shd w:val="clear" w:color="000000" w:fill="FFFFFF"/>
            <w:hideMark/>
          </w:tcPr>
          <w:p w14:paraId="006CE849"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Dividende</w:t>
            </w:r>
          </w:p>
        </w:tc>
        <w:tc>
          <w:tcPr>
            <w:tcW w:w="1607" w:type="dxa"/>
            <w:tcBorders>
              <w:top w:val="nil"/>
              <w:left w:val="nil"/>
              <w:bottom w:val="single" w:sz="4" w:space="0" w:color="95B3D7"/>
              <w:right w:val="single" w:sz="4" w:space="0" w:color="FFFFFF"/>
            </w:tcBorders>
            <w:shd w:val="clear" w:color="000000" w:fill="FFFFFF"/>
            <w:hideMark/>
          </w:tcPr>
          <w:p w14:paraId="6D17EAF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103</w:t>
            </w:r>
          </w:p>
        </w:tc>
        <w:tc>
          <w:tcPr>
            <w:tcW w:w="1632" w:type="dxa"/>
            <w:tcBorders>
              <w:top w:val="nil"/>
              <w:left w:val="nil"/>
              <w:bottom w:val="single" w:sz="4" w:space="0" w:color="95B3D7"/>
              <w:right w:val="single" w:sz="4" w:space="0" w:color="FFFFFF"/>
            </w:tcBorders>
            <w:shd w:val="clear" w:color="000000" w:fill="FFFFFF"/>
            <w:hideMark/>
          </w:tcPr>
          <w:p w14:paraId="499D291F"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98.737</w:t>
            </w:r>
          </w:p>
        </w:tc>
        <w:tc>
          <w:tcPr>
            <w:tcW w:w="2034" w:type="dxa"/>
            <w:tcBorders>
              <w:top w:val="nil"/>
              <w:left w:val="nil"/>
              <w:bottom w:val="single" w:sz="4" w:space="0" w:color="95B3D7"/>
              <w:right w:val="single" w:sz="4" w:space="0" w:color="FFFFFF"/>
            </w:tcBorders>
            <w:shd w:val="clear" w:color="000000" w:fill="FFFFFF"/>
            <w:hideMark/>
          </w:tcPr>
          <w:p w14:paraId="2D3F5C29"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49.794</w:t>
            </w:r>
          </w:p>
        </w:tc>
      </w:tr>
      <w:tr w:rsidR="00A71CEF" w:rsidRPr="00A71CEF" w14:paraId="492AA70F" w14:textId="77777777" w:rsidTr="00A71CEF">
        <w:trPr>
          <w:trHeight w:val="178"/>
        </w:trPr>
        <w:tc>
          <w:tcPr>
            <w:tcW w:w="1858" w:type="dxa"/>
            <w:vMerge w:val="restart"/>
            <w:tcBorders>
              <w:top w:val="nil"/>
              <w:left w:val="single" w:sz="4" w:space="0" w:color="FFFFFF"/>
              <w:bottom w:val="single" w:sz="4" w:space="0" w:color="95B3D7"/>
              <w:right w:val="single" w:sz="4" w:space="0" w:color="FFFFFF"/>
            </w:tcBorders>
            <w:shd w:val="clear" w:color="000000" w:fill="FFFFFF"/>
            <w:hideMark/>
          </w:tcPr>
          <w:p w14:paraId="31BF7EE1" w14:textId="77777777" w:rsidR="00A71CEF" w:rsidRPr="00A71CEF" w:rsidRDefault="00A71CEF" w:rsidP="00A71CEF">
            <w:pPr>
              <w:spacing w:before="0" w:after="0" w:line="240" w:lineRule="auto"/>
              <w:rPr>
                <w:rFonts w:ascii="Calibri" w:eastAsia="Times New Roman" w:hAnsi="Calibri" w:cs="Calibri"/>
                <w:sz w:val="16"/>
                <w:szCs w:val="16"/>
                <w:lang w:val="en-US"/>
              </w:rPr>
            </w:pPr>
            <w:r w:rsidRPr="00A71CEF">
              <w:rPr>
                <w:rFonts w:ascii="Calibri" w:eastAsia="Times New Roman" w:hAnsi="Calibri" w:cs="Calibri"/>
                <w:sz w:val="16"/>
                <w:szCs w:val="16"/>
                <w:lang w:val="en-US"/>
              </w:rPr>
              <w:t>2020</w:t>
            </w:r>
          </w:p>
        </w:tc>
        <w:tc>
          <w:tcPr>
            <w:tcW w:w="1884" w:type="dxa"/>
            <w:tcBorders>
              <w:top w:val="nil"/>
              <w:left w:val="nil"/>
              <w:bottom w:val="single" w:sz="4" w:space="0" w:color="FFFFFF"/>
              <w:right w:val="single" w:sz="4" w:space="0" w:color="FFFFFF"/>
            </w:tcBorders>
            <w:shd w:val="clear" w:color="000000" w:fill="FFFFFF"/>
            <w:hideMark/>
          </w:tcPr>
          <w:p w14:paraId="1A734AB1"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Vărsăminte</w:t>
            </w:r>
          </w:p>
        </w:tc>
        <w:tc>
          <w:tcPr>
            <w:tcW w:w="1607" w:type="dxa"/>
            <w:tcBorders>
              <w:top w:val="nil"/>
              <w:left w:val="nil"/>
              <w:bottom w:val="single" w:sz="4" w:space="0" w:color="FFFFFF"/>
              <w:right w:val="single" w:sz="4" w:space="0" w:color="FFFFFF"/>
            </w:tcBorders>
            <w:shd w:val="clear" w:color="000000" w:fill="FFFFFF"/>
            <w:hideMark/>
          </w:tcPr>
          <w:p w14:paraId="540530AE"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33</w:t>
            </w:r>
          </w:p>
        </w:tc>
        <w:tc>
          <w:tcPr>
            <w:tcW w:w="1632" w:type="dxa"/>
            <w:tcBorders>
              <w:top w:val="nil"/>
              <w:left w:val="nil"/>
              <w:bottom w:val="single" w:sz="4" w:space="0" w:color="FFFFFF"/>
              <w:right w:val="single" w:sz="4" w:space="0" w:color="FFFFFF"/>
            </w:tcBorders>
            <w:shd w:val="clear" w:color="000000" w:fill="FFFFFF"/>
            <w:hideMark/>
          </w:tcPr>
          <w:p w14:paraId="66296EE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25.401</w:t>
            </w:r>
          </w:p>
        </w:tc>
        <w:tc>
          <w:tcPr>
            <w:tcW w:w="2034" w:type="dxa"/>
            <w:tcBorders>
              <w:top w:val="nil"/>
              <w:left w:val="nil"/>
              <w:bottom w:val="single" w:sz="4" w:space="0" w:color="FFFFFF"/>
              <w:right w:val="single" w:sz="4" w:space="0" w:color="FFFFFF"/>
            </w:tcBorders>
            <w:shd w:val="clear" w:color="000000" w:fill="FFFFFF"/>
            <w:hideMark/>
          </w:tcPr>
          <w:p w14:paraId="5E8FAE9D"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20.958</w:t>
            </w:r>
          </w:p>
        </w:tc>
      </w:tr>
      <w:tr w:rsidR="00A71CEF" w:rsidRPr="00A71CEF" w14:paraId="2773E57C" w14:textId="77777777" w:rsidTr="00A71CEF">
        <w:trPr>
          <w:trHeight w:val="267"/>
        </w:trPr>
        <w:tc>
          <w:tcPr>
            <w:tcW w:w="1858" w:type="dxa"/>
            <w:vMerge/>
            <w:tcBorders>
              <w:top w:val="nil"/>
              <w:left w:val="single" w:sz="4" w:space="0" w:color="FFFFFF"/>
              <w:bottom w:val="single" w:sz="4" w:space="0" w:color="95B3D7"/>
              <w:right w:val="single" w:sz="4" w:space="0" w:color="FFFFFF"/>
            </w:tcBorders>
            <w:vAlign w:val="center"/>
            <w:hideMark/>
          </w:tcPr>
          <w:p w14:paraId="0457C51E" w14:textId="77777777" w:rsidR="00A71CEF" w:rsidRPr="00A71CEF" w:rsidRDefault="00A71CEF" w:rsidP="00A71CEF">
            <w:pPr>
              <w:spacing w:before="0" w:after="0" w:line="240" w:lineRule="auto"/>
              <w:rPr>
                <w:rFonts w:ascii="Calibri" w:eastAsia="Times New Roman" w:hAnsi="Calibri" w:cs="Calibri"/>
                <w:sz w:val="16"/>
                <w:szCs w:val="16"/>
                <w:lang w:val="en-US"/>
              </w:rPr>
            </w:pPr>
          </w:p>
        </w:tc>
        <w:tc>
          <w:tcPr>
            <w:tcW w:w="1884" w:type="dxa"/>
            <w:tcBorders>
              <w:top w:val="nil"/>
              <w:left w:val="nil"/>
              <w:bottom w:val="single" w:sz="4" w:space="0" w:color="95B3D7"/>
              <w:right w:val="single" w:sz="4" w:space="0" w:color="FFFFFF"/>
            </w:tcBorders>
            <w:shd w:val="clear" w:color="000000" w:fill="FFFFFF"/>
            <w:hideMark/>
          </w:tcPr>
          <w:p w14:paraId="3631BB2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Dividende</w:t>
            </w:r>
          </w:p>
        </w:tc>
        <w:tc>
          <w:tcPr>
            <w:tcW w:w="1607" w:type="dxa"/>
            <w:tcBorders>
              <w:top w:val="nil"/>
              <w:left w:val="nil"/>
              <w:bottom w:val="single" w:sz="4" w:space="0" w:color="95B3D7"/>
              <w:right w:val="single" w:sz="4" w:space="0" w:color="FFFFFF"/>
            </w:tcBorders>
            <w:shd w:val="clear" w:color="000000" w:fill="FFFFFF"/>
            <w:hideMark/>
          </w:tcPr>
          <w:p w14:paraId="2CE4D9C6"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103</w:t>
            </w:r>
          </w:p>
        </w:tc>
        <w:tc>
          <w:tcPr>
            <w:tcW w:w="1632" w:type="dxa"/>
            <w:tcBorders>
              <w:top w:val="nil"/>
              <w:left w:val="nil"/>
              <w:bottom w:val="single" w:sz="4" w:space="0" w:color="95B3D7"/>
              <w:right w:val="single" w:sz="4" w:space="0" w:color="FFFFFF"/>
            </w:tcBorders>
            <w:shd w:val="clear" w:color="000000" w:fill="FFFFFF"/>
            <w:hideMark/>
          </w:tcPr>
          <w:p w14:paraId="62835346"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93.380</w:t>
            </w:r>
          </w:p>
        </w:tc>
        <w:tc>
          <w:tcPr>
            <w:tcW w:w="2034" w:type="dxa"/>
            <w:tcBorders>
              <w:top w:val="nil"/>
              <w:left w:val="nil"/>
              <w:bottom w:val="single" w:sz="4" w:space="0" w:color="95B3D7"/>
              <w:right w:val="single" w:sz="4" w:space="0" w:color="FFFFFF"/>
            </w:tcBorders>
            <w:shd w:val="clear" w:color="000000" w:fill="FFFFFF"/>
            <w:hideMark/>
          </w:tcPr>
          <w:p w14:paraId="631E962B"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42.301</w:t>
            </w:r>
          </w:p>
        </w:tc>
      </w:tr>
      <w:tr w:rsidR="00A71CEF" w:rsidRPr="00A71CEF" w14:paraId="1519DE55" w14:textId="77777777" w:rsidTr="00A71CEF">
        <w:trPr>
          <w:trHeight w:val="178"/>
        </w:trPr>
        <w:tc>
          <w:tcPr>
            <w:tcW w:w="3742" w:type="dxa"/>
            <w:gridSpan w:val="2"/>
            <w:tcBorders>
              <w:top w:val="single" w:sz="4" w:space="0" w:color="95B3D7"/>
              <w:left w:val="single" w:sz="4" w:space="0" w:color="FFFFFF"/>
              <w:bottom w:val="single" w:sz="4" w:space="0" w:color="95B3D7"/>
              <w:right w:val="single" w:sz="4" w:space="0" w:color="FFFFFF"/>
            </w:tcBorders>
            <w:shd w:val="clear" w:color="000000" w:fill="FFFFFF"/>
            <w:hideMark/>
          </w:tcPr>
          <w:p w14:paraId="2437952C"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Total general 2018</w:t>
            </w:r>
          </w:p>
        </w:tc>
        <w:tc>
          <w:tcPr>
            <w:tcW w:w="1607" w:type="dxa"/>
            <w:tcBorders>
              <w:top w:val="nil"/>
              <w:left w:val="nil"/>
              <w:bottom w:val="single" w:sz="4" w:space="0" w:color="95B3D7"/>
              <w:right w:val="single" w:sz="4" w:space="0" w:color="FFFFFF"/>
            </w:tcBorders>
            <w:shd w:val="clear" w:color="000000" w:fill="FFFFFF"/>
            <w:hideMark/>
          </w:tcPr>
          <w:p w14:paraId="03628BA2"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141</w:t>
            </w:r>
          </w:p>
        </w:tc>
        <w:tc>
          <w:tcPr>
            <w:tcW w:w="1632" w:type="dxa"/>
            <w:tcBorders>
              <w:top w:val="nil"/>
              <w:left w:val="nil"/>
              <w:bottom w:val="single" w:sz="4" w:space="0" w:color="95B3D7"/>
              <w:right w:val="single" w:sz="4" w:space="0" w:color="FFFFFF"/>
            </w:tcBorders>
            <w:shd w:val="clear" w:color="000000" w:fill="FFFFFF"/>
            <w:hideMark/>
          </w:tcPr>
          <w:p w14:paraId="769386BD"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137.528</w:t>
            </w:r>
          </w:p>
        </w:tc>
        <w:tc>
          <w:tcPr>
            <w:tcW w:w="2034" w:type="dxa"/>
            <w:tcBorders>
              <w:top w:val="nil"/>
              <w:left w:val="nil"/>
              <w:bottom w:val="single" w:sz="4" w:space="0" w:color="95B3D7"/>
              <w:right w:val="single" w:sz="4" w:space="0" w:color="FFFFFF"/>
            </w:tcBorders>
            <w:shd w:val="clear" w:color="000000" w:fill="FFFFFF"/>
            <w:hideMark/>
          </w:tcPr>
          <w:p w14:paraId="14A4E60B"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77.396</w:t>
            </w:r>
          </w:p>
        </w:tc>
      </w:tr>
      <w:tr w:rsidR="00A71CEF" w:rsidRPr="00A71CEF" w14:paraId="78D6396F" w14:textId="77777777" w:rsidTr="00A71CEF">
        <w:trPr>
          <w:trHeight w:val="178"/>
        </w:trPr>
        <w:tc>
          <w:tcPr>
            <w:tcW w:w="3742" w:type="dxa"/>
            <w:gridSpan w:val="2"/>
            <w:tcBorders>
              <w:top w:val="single" w:sz="4" w:space="0" w:color="95B3D7"/>
              <w:left w:val="single" w:sz="4" w:space="0" w:color="FFFFFF"/>
              <w:bottom w:val="single" w:sz="4" w:space="0" w:color="95B3D7"/>
              <w:right w:val="single" w:sz="4" w:space="0" w:color="FFFFFF"/>
            </w:tcBorders>
            <w:shd w:val="clear" w:color="000000" w:fill="FFFFFF"/>
            <w:hideMark/>
          </w:tcPr>
          <w:p w14:paraId="1C732E69"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Total general 2019</w:t>
            </w:r>
          </w:p>
        </w:tc>
        <w:tc>
          <w:tcPr>
            <w:tcW w:w="1607" w:type="dxa"/>
            <w:tcBorders>
              <w:top w:val="nil"/>
              <w:left w:val="nil"/>
              <w:bottom w:val="single" w:sz="4" w:space="0" w:color="95B3D7"/>
              <w:right w:val="single" w:sz="4" w:space="0" w:color="FFFFFF"/>
            </w:tcBorders>
            <w:shd w:val="clear" w:color="000000" w:fill="FFFFFF"/>
            <w:hideMark/>
          </w:tcPr>
          <w:p w14:paraId="09C82938"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136</w:t>
            </w:r>
          </w:p>
        </w:tc>
        <w:tc>
          <w:tcPr>
            <w:tcW w:w="1632" w:type="dxa"/>
            <w:tcBorders>
              <w:top w:val="nil"/>
              <w:left w:val="nil"/>
              <w:bottom w:val="single" w:sz="4" w:space="0" w:color="95B3D7"/>
              <w:right w:val="single" w:sz="4" w:space="0" w:color="FFFFFF"/>
            </w:tcBorders>
            <w:shd w:val="clear" w:color="000000" w:fill="FFFFFF"/>
            <w:hideMark/>
          </w:tcPr>
          <w:p w14:paraId="5EE21039"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128.289</w:t>
            </w:r>
          </w:p>
        </w:tc>
        <w:tc>
          <w:tcPr>
            <w:tcW w:w="2034" w:type="dxa"/>
            <w:tcBorders>
              <w:top w:val="nil"/>
              <w:left w:val="nil"/>
              <w:bottom w:val="single" w:sz="4" w:space="0" w:color="95B3D7"/>
              <w:right w:val="single" w:sz="4" w:space="0" w:color="FFFFFF"/>
            </w:tcBorders>
            <w:shd w:val="clear" w:color="000000" w:fill="FFFFFF"/>
            <w:hideMark/>
          </w:tcPr>
          <w:p w14:paraId="21955478"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72.777</w:t>
            </w:r>
          </w:p>
        </w:tc>
      </w:tr>
      <w:tr w:rsidR="00A71CEF" w:rsidRPr="00A71CEF" w14:paraId="5EACBBA9" w14:textId="77777777" w:rsidTr="00A71CEF">
        <w:trPr>
          <w:trHeight w:val="178"/>
        </w:trPr>
        <w:tc>
          <w:tcPr>
            <w:tcW w:w="3742" w:type="dxa"/>
            <w:gridSpan w:val="2"/>
            <w:tcBorders>
              <w:top w:val="single" w:sz="4" w:space="0" w:color="95B3D7"/>
              <w:left w:val="single" w:sz="4" w:space="0" w:color="FFFFFF"/>
              <w:bottom w:val="single" w:sz="4" w:space="0" w:color="95B3D7"/>
              <w:right w:val="single" w:sz="4" w:space="0" w:color="FFFFFF"/>
            </w:tcBorders>
            <w:shd w:val="clear" w:color="000000" w:fill="FFFFFF"/>
            <w:hideMark/>
          </w:tcPr>
          <w:p w14:paraId="4D666038"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Total general 2020</w:t>
            </w:r>
          </w:p>
        </w:tc>
        <w:tc>
          <w:tcPr>
            <w:tcW w:w="1607" w:type="dxa"/>
            <w:tcBorders>
              <w:top w:val="nil"/>
              <w:left w:val="nil"/>
              <w:bottom w:val="single" w:sz="4" w:space="0" w:color="95B3D7"/>
              <w:right w:val="single" w:sz="4" w:space="0" w:color="FFFFFF"/>
            </w:tcBorders>
            <w:shd w:val="clear" w:color="000000" w:fill="FFFFFF"/>
            <w:hideMark/>
          </w:tcPr>
          <w:p w14:paraId="6B8618C9"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136</w:t>
            </w:r>
          </w:p>
        </w:tc>
        <w:tc>
          <w:tcPr>
            <w:tcW w:w="1632" w:type="dxa"/>
            <w:tcBorders>
              <w:top w:val="nil"/>
              <w:left w:val="nil"/>
              <w:bottom w:val="single" w:sz="4" w:space="0" w:color="95B3D7"/>
              <w:right w:val="single" w:sz="4" w:space="0" w:color="FFFFFF"/>
            </w:tcBorders>
            <w:shd w:val="clear" w:color="000000" w:fill="FFFFFF"/>
            <w:hideMark/>
          </w:tcPr>
          <w:p w14:paraId="1271CC10"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118.782</w:t>
            </w:r>
          </w:p>
        </w:tc>
        <w:tc>
          <w:tcPr>
            <w:tcW w:w="2034" w:type="dxa"/>
            <w:tcBorders>
              <w:top w:val="nil"/>
              <w:left w:val="nil"/>
              <w:bottom w:val="single" w:sz="4" w:space="0" w:color="95B3D7"/>
              <w:right w:val="single" w:sz="4" w:space="0" w:color="FFFFFF"/>
            </w:tcBorders>
            <w:shd w:val="clear" w:color="000000" w:fill="FFFFFF"/>
            <w:hideMark/>
          </w:tcPr>
          <w:p w14:paraId="32AE2ACD" w14:textId="77777777" w:rsidR="00A71CEF" w:rsidRPr="00A71CEF" w:rsidRDefault="00A71CEF" w:rsidP="00A71CEF">
            <w:pPr>
              <w:spacing w:before="0" w:after="0" w:line="240" w:lineRule="auto"/>
              <w:jc w:val="right"/>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63.259</w:t>
            </w:r>
          </w:p>
        </w:tc>
      </w:tr>
      <w:tr w:rsidR="00A71CEF" w:rsidRPr="00A71CEF" w14:paraId="037839AA" w14:textId="77777777" w:rsidTr="00A71CEF">
        <w:trPr>
          <w:trHeight w:val="276"/>
        </w:trPr>
        <w:tc>
          <w:tcPr>
            <w:tcW w:w="9015" w:type="dxa"/>
            <w:gridSpan w:val="5"/>
            <w:tcBorders>
              <w:top w:val="single" w:sz="4" w:space="0" w:color="95B3D7"/>
              <w:left w:val="single" w:sz="4" w:space="0" w:color="FFFFFF"/>
              <w:bottom w:val="single" w:sz="4" w:space="0" w:color="FFFFFF"/>
              <w:right w:val="single" w:sz="4" w:space="0" w:color="FFFFFF"/>
            </w:tcBorders>
            <w:shd w:val="clear" w:color="auto" w:fill="auto"/>
            <w:hideMark/>
          </w:tcPr>
          <w:p w14:paraId="23A81D49" w14:textId="77777777" w:rsidR="00A71CEF" w:rsidRPr="00A71CEF" w:rsidRDefault="00A71CEF" w:rsidP="00A71CEF">
            <w:pPr>
              <w:spacing w:before="0" w:after="0" w:line="240" w:lineRule="auto"/>
              <w:rPr>
                <w:rFonts w:ascii="Calibri" w:eastAsia="Times New Roman" w:hAnsi="Calibri" w:cs="Calibri"/>
                <w:sz w:val="14"/>
                <w:szCs w:val="14"/>
                <w:lang w:val="en-US"/>
              </w:rPr>
            </w:pPr>
            <w:r w:rsidRPr="00A71CEF">
              <w:rPr>
                <w:rFonts w:ascii="Calibri" w:eastAsia="Times New Roman" w:hAnsi="Calibri" w:cs="Calibri"/>
                <w:sz w:val="14"/>
                <w:szCs w:val="14"/>
                <w:lang w:val="en-US"/>
              </w:rPr>
              <w:t>Notă: *) Situația Dividendelor/vărsămintelor repartizate în perioada 2018-2020 de ÎPL a fost întocmită conform situațiilor financiare anuale / raportărilor contabile anuale raportate de ÎPL</w:t>
            </w:r>
          </w:p>
        </w:tc>
      </w:tr>
    </w:tbl>
    <w:p w14:paraId="3648CE74" w14:textId="77777777" w:rsidR="005556C4" w:rsidRDefault="005556C4" w:rsidP="0048252C">
      <w:pPr>
        <w:jc w:val="both"/>
        <w:rPr>
          <w:rFonts w:asciiTheme="majorHAnsi" w:hAnsiTheme="majorHAnsi"/>
        </w:rPr>
      </w:pPr>
      <w:r w:rsidRPr="00D95C57">
        <w:rPr>
          <w:rFonts w:asciiTheme="majorHAnsi" w:hAnsiTheme="majorHAnsi"/>
        </w:rPr>
        <w:t>În anul 20</w:t>
      </w:r>
      <w:r w:rsidR="00A71CEF">
        <w:rPr>
          <w:rFonts w:asciiTheme="majorHAnsi" w:hAnsiTheme="majorHAnsi"/>
        </w:rPr>
        <w:t>20</w:t>
      </w:r>
      <w:r w:rsidRPr="00D95C57">
        <w:rPr>
          <w:rFonts w:asciiTheme="majorHAnsi" w:hAnsiTheme="majorHAnsi"/>
        </w:rPr>
        <w:t>, un număr de 3</w:t>
      </w:r>
      <w:r w:rsidR="00B330D6">
        <w:rPr>
          <w:rFonts w:asciiTheme="majorHAnsi" w:hAnsiTheme="majorHAnsi"/>
        </w:rPr>
        <w:t>3</w:t>
      </w:r>
      <w:r w:rsidRPr="00D95C57">
        <w:rPr>
          <w:rFonts w:asciiTheme="majorHAnsi" w:hAnsiTheme="majorHAnsi"/>
        </w:rPr>
        <w:t xml:space="preserve"> de regii autonome locale au distribuit o parte a profitului sub formă de vărsăminte către APTL și </w:t>
      </w:r>
      <w:r w:rsidR="00932B82" w:rsidRPr="00D95C57">
        <w:rPr>
          <w:rFonts w:asciiTheme="majorHAnsi" w:hAnsiTheme="majorHAnsi"/>
        </w:rPr>
        <w:t xml:space="preserve">un număr de </w:t>
      </w:r>
      <w:r w:rsidRPr="00D95C57">
        <w:rPr>
          <w:rFonts w:asciiTheme="majorHAnsi" w:hAnsiTheme="majorHAnsi"/>
        </w:rPr>
        <w:t>1</w:t>
      </w:r>
      <w:r w:rsidR="004C37E6" w:rsidRPr="00D95C57">
        <w:rPr>
          <w:rFonts w:asciiTheme="majorHAnsi" w:hAnsiTheme="majorHAnsi"/>
        </w:rPr>
        <w:t>0</w:t>
      </w:r>
      <w:r w:rsidR="00B330D6">
        <w:rPr>
          <w:rFonts w:asciiTheme="majorHAnsi" w:hAnsiTheme="majorHAnsi"/>
        </w:rPr>
        <w:t>3</w:t>
      </w:r>
      <w:r w:rsidRPr="00D95C57">
        <w:rPr>
          <w:rFonts w:asciiTheme="majorHAnsi" w:hAnsiTheme="majorHAnsi"/>
        </w:rPr>
        <w:t xml:space="preserve"> societăți au distribuit o parte a profitului ca dividende. Suma totală repartizată </w:t>
      </w:r>
      <w:r w:rsidR="0048252C" w:rsidRPr="00D95C57">
        <w:rPr>
          <w:rFonts w:asciiTheme="majorHAnsi" w:hAnsiTheme="majorHAnsi"/>
        </w:rPr>
        <w:t xml:space="preserve">către APTL </w:t>
      </w:r>
      <w:r w:rsidRPr="00D95C57">
        <w:rPr>
          <w:rFonts w:asciiTheme="majorHAnsi" w:hAnsiTheme="majorHAnsi"/>
        </w:rPr>
        <w:t xml:space="preserve">a fost </w:t>
      </w:r>
      <w:r w:rsidR="0048252C" w:rsidRPr="00D95C57">
        <w:rPr>
          <w:rFonts w:asciiTheme="majorHAnsi" w:hAnsiTheme="majorHAnsi"/>
        </w:rPr>
        <w:t>în anul 20</w:t>
      </w:r>
      <w:r w:rsidR="00A71CEF">
        <w:rPr>
          <w:rFonts w:asciiTheme="majorHAnsi" w:hAnsiTheme="majorHAnsi"/>
        </w:rPr>
        <w:t>20</w:t>
      </w:r>
      <w:r w:rsidR="0048252C" w:rsidRPr="00D95C57">
        <w:rPr>
          <w:rFonts w:asciiTheme="majorHAnsi" w:hAnsiTheme="majorHAnsi"/>
        </w:rPr>
        <w:t xml:space="preserve"> </w:t>
      </w:r>
      <w:r w:rsidRPr="00D95C57">
        <w:rPr>
          <w:rFonts w:asciiTheme="majorHAnsi" w:hAnsiTheme="majorHAnsi"/>
        </w:rPr>
        <w:t xml:space="preserve">de </w:t>
      </w:r>
      <w:r w:rsidR="00A71CEF">
        <w:rPr>
          <w:rFonts w:asciiTheme="majorHAnsi" w:hAnsiTheme="majorHAnsi"/>
        </w:rPr>
        <w:t>63</w:t>
      </w:r>
      <w:r w:rsidR="004C37E6" w:rsidRPr="00D95C57">
        <w:rPr>
          <w:rFonts w:asciiTheme="majorHAnsi" w:hAnsiTheme="majorHAnsi"/>
        </w:rPr>
        <w:t>.</w:t>
      </w:r>
      <w:r w:rsidR="00A71CEF">
        <w:rPr>
          <w:rFonts w:asciiTheme="majorHAnsi" w:hAnsiTheme="majorHAnsi"/>
        </w:rPr>
        <w:t>259</w:t>
      </w:r>
      <w:r w:rsidRPr="00D95C57">
        <w:rPr>
          <w:rFonts w:asciiTheme="majorHAnsi" w:hAnsiTheme="majorHAnsi"/>
        </w:rPr>
        <w:t xml:space="preserve"> mii lei</w:t>
      </w:r>
      <w:r w:rsidR="00F34C6D">
        <w:rPr>
          <w:rFonts w:asciiTheme="majorHAnsi" w:hAnsiTheme="majorHAnsi"/>
        </w:rPr>
        <w:t>,</w:t>
      </w:r>
      <w:r w:rsidR="0048252C" w:rsidRPr="00D95C57">
        <w:rPr>
          <w:rFonts w:asciiTheme="majorHAnsi" w:hAnsiTheme="majorHAnsi"/>
        </w:rPr>
        <w:t xml:space="preserve"> în scădere cu suma de </w:t>
      </w:r>
      <w:r w:rsidR="00A71CEF">
        <w:rPr>
          <w:rFonts w:asciiTheme="majorHAnsi" w:hAnsiTheme="majorHAnsi"/>
        </w:rPr>
        <w:t>9</w:t>
      </w:r>
      <w:r w:rsidR="00B330D6" w:rsidRPr="00B330D6">
        <w:rPr>
          <w:rFonts w:asciiTheme="majorHAnsi" w:hAnsiTheme="majorHAnsi"/>
        </w:rPr>
        <w:t>.</w:t>
      </w:r>
      <w:r w:rsidR="00A71CEF">
        <w:rPr>
          <w:rFonts w:asciiTheme="majorHAnsi" w:hAnsiTheme="majorHAnsi"/>
        </w:rPr>
        <w:t>518</w:t>
      </w:r>
      <w:r w:rsidR="00B330D6">
        <w:rPr>
          <w:rFonts w:asciiTheme="majorHAnsi" w:hAnsiTheme="majorHAnsi"/>
        </w:rPr>
        <w:t xml:space="preserve"> </w:t>
      </w:r>
      <w:r w:rsidR="0048252C" w:rsidRPr="00D95C57">
        <w:rPr>
          <w:rFonts w:asciiTheme="majorHAnsi" w:hAnsiTheme="majorHAnsi"/>
        </w:rPr>
        <w:t>mii lei față de anul 201</w:t>
      </w:r>
      <w:r w:rsidR="00A71CEF">
        <w:rPr>
          <w:rFonts w:asciiTheme="majorHAnsi" w:hAnsiTheme="majorHAnsi"/>
        </w:rPr>
        <w:t>9</w:t>
      </w:r>
      <w:r w:rsidR="00F34C6D">
        <w:rPr>
          <w:rFonts w:asciiTheme="majorHAnsi" w:hAnsiTheme="majorHAnsi"/>
        </w:rPr>
        <w:t>,</w:t>
      </w:r>
      <w:r w:rsidR="0048252C" w:rsidRPr="00D95C57">
        <w:rPr>
          <w:rFonts w:asciiTheme="majorHAnsi" w:hAnsiTheme="majorHAnsi"/>
        </w:rPr>
        <w:t xml:space="preserve"> </w:t>
      </w:r>
      <w:r w:rsidR="0048252C" w:rsidRPr="00E54A68">
        <w:rPr>
          <w:rFonts w:asciiTheme="majorHAnsi" w:hAnsiTheme="majorHAnsi"/>
        </w:rPr>
        <w:t>pe fondul reducerii profitului net înregistrat de ÎPL</w:t>
      </w:r>
      <w:r w:rsidR="00E54A68">
        <w:rPr>
          <w:rFonts w:asciiTheme="majorHAnsi" w:hAnsiTheme="majorHAnsi"/>
        </w:rPr>
        <w:t xml:space="preserve"> care au distribuit vărsăminte/dividende</w:t>
      </w:r>
      <w:r w:rsidR="0048252C" w:rsidRPr="00D95C57">
        <w:rPr>
          <w:rFonts w:asciiTheme="majorHAnsi" w:hAnsiTheme="majorHAnsi"/>
        </w:rPr>
        <w:t>.</w:t>
      </w:r>
    </w:p>
    <w:p w14:paraId="22250B9D" w14:textId="77777777" w:rsidR="00A71CEF" w:rsidRDefault="00A71CEF" w:rsidP="0048252C">
      <w:pPr>
        <w:jc w:val="both"/>
        <w:rPr>
          <w:rFonts w:asciiTheme="majorHAnsi" w:hAnsiTheme="majorHAnsi"/>
        </w:rPr>
      </w:pPr>
      <w:r w:rsidRPr="00A71CEF">
        <w:rPr>
          <w:rFonts w:asciiTheme="majorHAnsi" w:hAnsiTheme="majorHAnsi"/>
        </w:rPr>
        <w:t>TABEL – Primele 10 ÎPL active care au repartizat dividende/vărsăminte la bugetele locale (APTL) în anul 2020, afișați în ordine descrescătoare</w:t>
      </w:r>
    </w:p>
    <w:tbl>
      <w:tblPr>
        <w:tblW w:w="9064" w:type="dxa"/>
        <w:tblInd w:w="93" w:type="dxa"/>
        <w:tblLook w:val="04A0" w:firstRow="1" w:lastRow="0" w:firstColumn="1" w:lastColumn="0" w:noHBand="0" w:noVBand="1"/>
      </w:tblPr>
      <w:tblGrid>
        <w:gridCol w:w="998"/>
        <w:gridCol w:w="4111"/>
        <w:gridCol w:w="1017"/>
        <w:gridCol w:w="1029"/>
        <w:gridCol w:w="1909"/>
      </w:tblGrid>
      <w:tr w:rsidR="00A71CEF" w:rsidRPr="00A71CEF" w14:paraId="5C04C902" w14:textId="77777777" w:rsidTr="00A71CEF">
        <w:trPr>
          <w:trHeight w:val="755"/>
        </w:trPr>
        <w:tc>
          <w:tcPr>
            <w:tcW w:w="998"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023B46DA" w14:textId="77777777" w:rsidR="00A71CEF" w:rsidRPr="00A71CEF" w:rsidRDefault="00A71CEF" w:rsidP="00222229">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Nr. Crt</w:t>
            </w:r>
          </w:p>
        </w:tc>
        <w:tc>
          <w:tcPr>
            <w:tcW w:w="4111"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3719D13E"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Denumire ÎPL</w:t>
            </w:r>
          </w:p>
        </w:tc>
        <w:tc>
          <w:tcPr>
            <w:tcW w:w="1017" w:type="dxa"/>
            <w:vMerge w:val="restart"/>
            <w:tcBorders>
              <w:top w:val="single" w:sz="4" w:space="0" w:color="95B3D7"/>
              <w:left w:val="single" w:sz="4" w:space="0" w:color="FFFFFF"/>
              <w:bottom w:val="single" w:sz="4" w:space="0" w:color="95B3D7"/>
              <w:right w:val="single" w:sz="4" w:space="0" w:color="FFFFFF"/>
            </w:tcBorders>
            <w:shd w:val="clear" w:color="000000" w:fill="FFFFFF"/>
            <w:hideMark/>
          </w:tcPr>
          <w:p w14:paraId="747D0C44"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Județ</w:t>
            </w:r>
          </w:p>
        </w:tc>
        <w:tc>
          <w:tcPr>
            <w:tcW w:w="1029" w:type="dxa"/>
            <w:tcBorders>
              <w:top w:val="single" w:sz="4" w:space="0" w:color="95B3D7"/>
              <w:left w:val="nil"/>
              <w:bottom w:val="single" w:sz="4" w:space="0" w:color="95B3D7"/>
              <w:right w:val="single" w:sz="4" w:space="0" w:color="FFFFFF"/>
            </w:tcBorders>
            <w:shd w:val="clear" w:color="000000" w:fill="FFFFFF"/>
            <w:hideMark/>
          </w:tcPr>
          <w:p w14:paraId="7C4C8E40"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Profit net 2020</w:t>
            </w:r>
          </w:p>
        </w:tc>
        <w:tc>
          <w:tcPr>
            <w:tcW w:w="1909" w:type="dxa"/>
            <w:tcBorders>
              <w:top w:val="single" w:sz="4" w:space="0" w:color="95B3D7"/>
              <w:left w:val="nil"/>
              <w:bottom w:val="single" w:sz="4" w:space="0" w:color="95B3D7"/>
              <w:right w:val="single" w:sz="4" w:space="0" w:color="FFFFFF"/>
            </w:tcBorders>
            <w:shd w:val="clear" w:color="000000" w:fill="FFFFFF"/>
            <w:hideMark/>
          </w:tcPr>
          <w:p w14:paraId="1FFA2FB4" w14:textId="77777777" w:rsidR="00A71CEF" w:rsidRPr="00A71CEF" w:rsidRDefault="00A71CEF" w:rsidP="00A71CEF">
            <w:pPr>
              <w:spacing w:before="0" w:after="0" w:line="240" w:lineRule="auto"/>
              <w:jc w:val="right"/>
              <w:rPr>
                <w:rFonts w:ascii="Calibri" w:eastAsia="Times New Roman" w:hAnsi="Calibri" w:cs="Calibri"/>
                <w:color w:val="0F6FC6" w:themeColor="accent1"/>
                <w:sz w:val="16"/>
                <w:szCs w:val="16"/>
                <w:lang w:val="en-US"/>
              </w:rPr>
            </w:pPr>
            <w:r w:rsidRPr="00A71CEF">
              <w:rPr>
                <w:rFonts w:ascii="Calibri" w:eastAsia="Times New Roman" w:hAnsi="Calibri" w:cs="Calibri"/>
                <w:color w:val="0F6FC6" w:themeColor="accent1"/>
                <w:sz w:val="16"/>
                <w:szCs w:val="16"/>
                <w:lang w:val="en-US"/>
              </w:rPr>
              <w:t>Total Dividende/Vărsăminte repartizate la bugetele locale (APTL)</w:t>
            </w:r>
          </w:p>
        </w:tc>
      </w:tr>
      <w:tr w:rsidR="00A71CEF" w:rsidRPr="00A71CEF" w14:paraId="426A97A4" w14:textId="77777777" w:rsidTr="00A71CEF">
        <w:trPr>
          <w:trHeight w:val="178"/>
        </w:trPr>
        <w:tc>
          <w:tcPr>
            <w:tcW w:w="998" w:type="dxa"/>
            <w:vMerge/>
            <w:tcBorders>
              <w:top w:val="single" w:sz="4" w:space="0" w:color="95B3D7"/>
              <w:left w:val="single" w:sz="4" w:space="0" w:color="FFFFFF"/>
              <w:bottom w:val="single" w:sz="4" w:space="0" w:color="95B3D7"/>
              <w:right w:val="single" w:sz="4" w:space="0" w:color="FFFFFF"/>
            </w:tcBorders>
            <w:vAlign w:val="center"/>
            <w:hideMark/>
          </w:tcPr>
          <w:p w14:paraId="3EA0298B"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p>
        </w:tc>
        <w:tc>
          <w:tcPr>
            <w:tcW w:w="4111" w:type="dxa"/>
            <w:vMerge/>
            <w:tcBorders>
              <w:top w:val="single" w:sz="4" w:space="0" w:color="95B3D7"/>
              <w:left w:val="single" w:sz="4" w:space="0" w:color="FFFFFF"/>
              <w:bottom w:val="single" w:sz="4" w:space="0" w:color="95B3D7"/>
              <w:right w:val="single" w:sz="4" w:space="0" w:color="FFFFFF"/>
            </w:tcBorders>
            <w:vAlign w:val="center"/>
            <w:hideMark/>
          </w:tcPr>
          <w:p w14:paraId="21668ED7"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p>
        </w:tc>
        <w:tc>
          <w:tcPr>
            <w:tcW w:w="1017" w:type="dxa"/>
            <w:vMerge/>
            <w:tcBorders>
              <w:top w:val="single" w:sz="4" w:space="0" w:color="95B3D7"/>
              <w:left w:val="single" w:sz="4" w:space="0" w:color="FFFFFF"/>
              <w:bottom w:val="single" w:sz="4" w:space="0" w:color="95B3D7"/>
              <w:right w:val="single" w:sz="4" w:space="0" w:color="FFFFFF"/>
            </w:tcBorders>
            <w:vAlign w:val="center"/>
            <w:hideMark/>
          </w:tcPr>
          <w:p w14:paraId="7682A3AC" w14:textId="77777777" w:rsidR="00A71CEF" w:rsidRPr="00A71CEF" w:rsidRDefault="00A71CEF" w:rsidP="00A71CEF">
            <w:pPr>
              <w:spacing w:before="0" w:after="0" w:line="240" w:lineRule="auto"/>
              <w:rPr>
                <w:rFonts w:ascii="Calibri" w:eastAsia="Times New Roman" w:hAnsi="Calibri" w:cs="Calibri"/>
                <w:color w:val="0F6FC6" w:themeColor="accent1"/>
                <w:sz w:val="16"/>
                <w:szCs w:val="16"/>
                <w:lang w:val="en-US"/>
              </w:rPr>
            </w:pPr>
          </w:p>
        </w:tc>
        <w:tc>
          <w:tcPr>
            <w:tcW w:w="1029" w:type="dxa"/>
            <w:tcBorders>
              <w:top w:val="nil"/>
              <w:left w:val="nil"/>
              <w:bottom w:val="single" w:sz="4" w:space="0" w:color="95B3D7"/>
              <w:right w:val="single" w:sz="4" w:space="0" w:color="FFFFFF"/>
            </w:tcBorders>
            <w:shd w:val="clear" w:color="000000" w:fill="FFFFFF"/>
            <w:hideMark/>
          </w:tcPr>
          <w:p w14:paraId="0CCDE7F6" w14:textId="77777777" w:rsidR="00A71CEF" w:rsidRPr="00A71CEF" w:rsidRDefault="00A71CEF" w:rsidP="00A71CEF">
            <w:pPr>
              <w:spacing w:before="0" w:after="0" w:line="240" w:lineRule="auto"/>
              <w:jc w:val="right"/>
              <w:rPr>
                <w:rFonts w:ascii="Calibri" w:eastAsia="Times New Roman" w:hAnsi="Calibri" w:cs="Calibri"/>
                <w:color w:val="0F6FC6" w:themeColor="accent1"/>
                <w:sz w:val="14"/>
                <w:szCs w:val="14"/>
                <w:lang w:val="en-US"/>
              </w:rPr>
            </w:pPr>
            <w:r w:rsidRPr="00A71CEF">
              <w:rPr>
                <w:rFonts w:ascii="Calibri" w:eastAsia="Times New Roman" w:hAnsi="Calibri" w:cs="Calibri"/>
                <w:color w:val="0F6FC6" w:themeColor="accent1"/>
                <w:sz w:val="14"/>
                <w:szCs w:val="14"/>
                <w:lang w:val="en-US"/>
              </w:rPr>
              <w:t>mii lei</w:t>
            </w:r>
          </w:p>
        </w:tc>
        <w:tc>
          <w:tcPr>
            <w:tcW w:w="1909" w:type="dxa"/>
            <w:tcBorders>
              <w:top w:val="nil"/>
              <w:left w:val="nil"/>
              <w:bottom w:val="single" w:sz="4" w:space="0" w:color="95B3D7"/>
              <w:right w:val="single" w:sz="4" w:space="0" w:color="FFFFFF"/>
            </w:tcBorders>
            <w:shd w:val="clear" w:color="000000" w:fill="FFFFFF"/>
            <w:hideMark/>
          </w:tcPr>
          <w:p w14:paraId="52488030" w14:textId="77777777" w:rsidR="00A71CEF" w:rsidRPr="00A71CEF" w:rsidRDefault="00A71CEF" w:rsidP="00A71CEF">
            <w:pPr>
              <w:spacing w:before="0" w:after="0" w:line="240" w:lineRule="auto"/>
              <w:jc w:val="right"/>
              <w:rPr>
                <w:rFonts w:ascii="Calibri" w:eastAsia="Times New Roman" w:hAnsi="Calibri" w:cs="Calibri"/>
                <w:color w:val="0F6FC6" w:themeColor="accent1"/>
                <w:sz w:val="14"/>
                <w:szCs w:val="14"/>
                <w:lang w:val="en-US"/>
              </w:rPr>
            </w:pPr>
            <w:r w:rsidRPr="00A71CEF">
              <w:rPr>
                <w:rFonts w:ascii="Calibri" w:eastAsia="Times New Roman" w:hAnsi="Calibri" w:cs="Calibri"/>
                <w:color w:val="0F6FC6" w:themeColor="accent1"/>
                <w:sz w:val="14"/>
                <w:szCs w:val="14"/>
                <w:lang w:val="en-US"/>
              </w:rPr>
              <w:t>mii lei</w:t>
            </w:r>
          </w:p>
        </w:tc>
      </w:tr>
      <w:tr w:rsidR="00A71CEF" w:rsidRPr="00A71CEF" w14:paraId="7DA72BA9"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0E483F21"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1</w:t>
            </w:r>
          </w:p>
        </w:tc>
        <w:tc>
          <w:tcPr>
            <w:tcW w:w="4111" w:type="dxa"/>
            <w:tcBorders>
              <w:top w:val="nil"/>
              <w:left w:val="nil"/>
              <w:bottom w:val="single" w:sz="4" w:space="0" w:color="FFFFFF"/>
              <w:right w:val="single" w:sz="4" w:space="0" w:color="FFFFFF"/>
            </w:tcBorders>
            <w:shd w:val="clear" w:color="000000" w:fill="FFFFFF"/>
            <w:hideMark/>
          </w:tcPr>
          <w:p w14:paraId="04AA9295"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APA CANAL SA</w:t>
            </w:r>
          </w:p>
        </w:tc>
        <w:tc>
          <w:tcPr>
            <w:tcW w:w="1017" w:type="dxa"/>
            <w:tcBorders>
              <w:top w:val="nil"/>
              <w:left w:val="nil"/>
              <w:bottom w:val="single" w:sz="4" w:space="0" w:color="FFFFFF"/>
              <w:right w:val="single" w:sz="4" w:space="0" w:color="FFFFFF"/>
            </w:tcBorders>
            <w:shd w:val="clear" w:color="000000" w:fill="FFFFFF"/>
            <w:noWrap/>
            <w:hideMark/>
          </w:tcPr>
          <w:p w14:paraId="1EC61D7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SB</w:t>
            </w:r>
          </w:p>
        </w:tc>
        <w:tc>
          <w:tcPr>
            <w:tcW w:w="1029" w:type="dxa"/>
            <w:tcBorders>
              <w:top w:val="nil"/>
              <w:left w:val="nil"/>
              <w:bottom w:val="single" w:sz="4" w:space="0" w:color="FFFFFF"/>
              <w:right w:val="single" w:sz="4" w:space="0" w:color="FFFFFF"/>
            </w:tcBorders>
            <w:shd w:val="clear" w:color="000000" w:fill="FFFFFF"/>
            <w:noWrap/>
            <w:hideMark/>
          </w:tcPr>
          <w:p w14:paraId="3164648C"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13.058</w:t>
            </w:r>
          </w:p>
        </w:tc>
        <w:tc>
          <w:tcPr>
            <w:tcW w:w="1909" w:type="dxa"/>
            <w:tcBorders>
              <w:top w:val="nil"/>
              <w:left w:val="nil"/>
              <w:bottom w:val="single" w:sz="4" w:space="0" w:color="FFFFFF"/>
              <w:right w:val="single" w:sz="4" w:space="0" w:color="FFFFFF"/>
            </w:tcBorders>
            <w:shd w:val="clear" w:color="000000" w:fill="FFFFFF"/>
            <w:noWrap/>
            <w:hideMark/>
          </w:tcPr>
          <w:p w14:paraId="7372294C"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6.529</w:t>
            </w:r>
          </w:p>
        </w:tc>
      </w:tr>
      <w:tr w:rsidR="00A71CEF" w:rsidRPr="00A71CEF" w14:paraId="014785A9"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1142F7B2"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2</w:t>
            </w:r>
          </w:p>
        </w:tc>
        <w:tc>
          <w:tcPr>
            <w:tcW w:w="4111" w:type="dxa"/>
            <w:tcBorders>
              <w:top w:val="nil"/>
              <w:left w:val="nil"/>
              <w:bottom w:val="single" w:sz="4" w:space="0" w:color="FFFFFF"/>
              <w:right w:val="single" w:sz="4" w:space="0" w:color="FFFFFF"/>
            </w:tcBorders>
            <w:shd w:val="clear" w:color="000000" w:fill="FFFFFF"/>
            <w:hideMark/>
          </w:tcPr>
          <w:p w14:paraId="51252089"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SERVICII PUBLICE IASI SA</w:t>
            </w:r>
          </w:p>
        </w:tc>
        <w:tc>
          <w:tcPr>
            <w:tcW w:w="1017" w:type="dxa"/>
            <w:tcBorders>
              <w:top w:val="nil"/>
              <w:left w:val="nil"/>
              <w:bottom w:val="single" w:sz="4" w:space="0" w:color="FFFFFF"/>
              <w:right w:val="single" w:sz="4" w:space="0" w:color="FFFFFF"/>
            </w:tcBorders>
            <w:shd w:val="clear" w:color="000000" w:fill="FFFFFF"/>
            <w:noWrap/>
            <w:hideMark/>
          </w:tcPr>
          <w:p w14:paraId="185DFC71"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IS</w:t>
            </w:r>
          </w:p>
        </w:tc>
        <w:tc>
          <w:tcPr>
            <w:tcW w:w="1029" w:type="dxa"/>
            <w:tcBorders>
              <w:top w:val="nil"/>
              <w:left w:val="nil"/>
              <w:bottom w:val="single" w:sz="4" w:space="0" w:color="FFFFFF"/>
              <w:right w:val="single" w:sz="4" w:space="0" w:color="FFFFFF"/>
            </w:tcBorders>
            <w:shd w:val="clear" w:color="000000" w:fill="FFFFFF"/>
            <w:noWrap/>
            <w:hideMark/>
          </w:tcPr>
          <w:p w14:paraId="68AA3844"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9.035</w:t>
            </w:r>
          </w:p>
        </w:tc>
        <w:tc>
          <w:tcPr>
            <w:tcW w:w="1909" w:type="dxa"/>
            <w:tcBorders>
              <w:top w:val="nil"/>
              <w:left w:val="nil"/>
              <w:bottom w:val="single" w:sz="4" w:space="0" w:color="FFFFFF"/>
              <w:right w:val="single" w:sz="4" w:space="0" w:color="FFFFFF"/>
            </w:tcBorders>
            <w:shd w:val="clear" w:color="000000" w:fill="FFFFFF"/>
            <w:noWrap/>
            <w:hideMark/>
          </w:tcPr>
          <w:p w14:paraId="653D71E7"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4.517</w:t>
            </w:r>
          </w:p>
        </w:tc>
      </w:tr>
      <w:tr w:rsidR="00A71CEF" w:rsidRPr="00A71CEF" w14:paraId="77B3281A"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2FDF5699"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3</w:t>
            </w:r>
          </w:p>
        </w:tc>
        <w:tc>
          <w:tcPr>
            <w:tcW w:w="4111" w:type="dxa"/>
            <w:tcBorders>
              <w:top w:val="nil"/>
              <w:left w:val="nil"/>
              <w:bottom w:val="single" w:sz="4" w:space="0" w:color="FFFFFF"/>
              <w:right w:val="single" w:sz="4" w:space="0" w:color="FFFFFF"/>
            </w:tcBorders>
            <w:shd w:val="clear" w:color="000000" w:fill="FFFFFF"/>
            <w:hideMark/>
          </w:tcPr>
          <w:p w14:paraId="2609F9E3"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REGIA PUBLICA LOCALA A PADURILOR STEJARUL RA</w:t>
            </w:r>
          </w:p>
        </w:tc>
        <w:tc>
          <w:tcPr>
            <w:tcW w:w="1017" w:type="dxa"/>
            <w:tcBorders>
              <w:top w:val="nil"/>
              <w:left w:val="nil"/>
              <w:bottom w:val="single" w:sz="4" w:space="0" w:color="FFFFFF"/>
              <w:right w:val="single" w:sz="4" w:space="0" w:color="FFFFFF"/>
            </w:tcBorders>
            <w:shd w:val="clear" w:color="000000" w:fill="FFFFFF"/>
            <w:noWrap/>
            <w:hideMark/>
          </w:tcPr>
          <w:p w14:paraId="67C4315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BV</w:t>
            </w:r>
          </w:p>
        </w:tc>
        <w:tc>
          <w:tcPr>
            <w:tcW w:w="1029" w:type="dxa"/>
            <w:tcBorders>
              <w:top w:val="nil"/>
              <w:left w:val="nil"/>
              <w:bottom w:val="single" w:sz="4" w:space="0" w:color="FFFFFF"/>
              <w:right w:val="single" w:sz="4" w:space="0" w:color="FFFFFF"/>
            </w:tcBorders>
            <w:shd w:val="clear" w:color="000000" w:fill="FFFFFF"/>
            <w:noWrap/>
            <w:hideMark/>
          </w:tcPr>
          <w:p w14:paraId="6CA513A8"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3.810</w:t>
            </w:r>
          </w:p>
        </w:tc>
        <w:tc>
          <w:tcPr>
            <w:tcW w:w="1909" w:type="dxa"/>
            <w:tcBorders>
              <w:top w:val="nil"/>
              <w:left w:val="nil"/>
              <w:bottom w:val="single" w:sz="4" w:space="0" w:color="FFFFFF"/>
              <w:right w:val="single" w:sz="4" w:space="0" w:color="FFFFFF"/>
            </w:tcBorders>
            <w:shd w:val="clear" w:color="000000" w:fill="FFFFFF"/>
            <w:noWrap/>
            <w:hideMark/>
          </w:tcPr>
          <w:p w14:paraId="13EFF5BE"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3.810</w:t>
            </w:r>
          </w:p>
        </w:tc>
      </w:tr>
      <w:tr w:rsidR="00A71CEF" w:rsidRPr="00A71CEF" w14:paraId="04361D5E"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2F16627C"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4</w:t>
            </w:r>
          </w:p>
        </w:tc>
        <w:tc>
          <w:tcPr>
            <w:tcW w:w="4111" w:type="dxa"/>
            <w:tcBorders>
              <w:top w:val="nil"/>
              <w:left w:val="nil"/>
              <w:bottom w:val="single" w:sz="4" w:space="0" w:color="FFFFFF"/>
              <w:right w:val="single" w:sz="4" w:space="0" w:color="FFFFFF"/>
            </w:tcBorders>
            <w:shd w:val="clear" w:color="000000" w:fill="FFFFFF"/>
            <w:hideMark/>
          </w:tcPr>
          <w:p w14:paraId="08CCFE66"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ADMINISTRAŢIA DOMENIULUI PUBLIC SA</w:t>
            </w:r>
          </w:p>
        </w:tc>
        <w:tc>
          <w:tcPr>
            <w:tcW w:w="1017" w:type="dxa"/>
            <w:tcBorders>
              <w:top w:val="nil"/>
              <w:left w:val="nil"/>
              <w:bottom w:val="single" w:sz="4" w:space="0" w:color="FFFFFF"/>
              <w:right w:val="single" w:sz="4" w:space="0" w:color="FFFFFF"/>
            </w:tcBorders>
            <w:shd w:val="clear" w:color="000000" w:fill="FFFFFF"/>
            <w:noWrap/>
            <w:hideMark/>
          </w:tcPr>
          <w:p w14:paraId="3B48503E"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BH</w:t>
            </w:r>
          </w:p>
        </w:tc>
        <w:tc>
          <w:tcPr>
            <w:tcW w:w="1029" w:type="dxa"/>
            <w:tcBorders>
              <w:top w:val="nil"/>
              <w:left w:val="nil"/>
              <w:bottom w:val="single" w:sz="4" w:space="0" w:color="FFFFFF"/>
              <w:right w:val="single" w:sz="4" w:space="0" w:color="FFFFFF"/>
            </w:tcBorders>
            <w:shd w:val="clear" w:color="000000" w:fill="FFFFFF"/>
            <w:noWrap/>
            <w:hideMark/>
          </w:tcPr>
          <w:p w14:paraId="603B3569"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6.212</w:t>
            </w:r>
          </w:p>
        </w:tc>
        <w:tc>
          <w:tcPr>
            <w:tcW w:w="1909" w:type="dxa"/>
            <w:tcBorders>
              <w:top w:val="nil"/>
              <w:left w:val="nil"/>
              <w:bottom w:val="single" w:sz="4" w:space="0" w:color="FFFFFF"/>
              <w:right w:val="single" w:sz="4" w:space="0" w:color="FFFFFF"/>
            </w:tcBorders>
            <w:shd w:val="clear" w:color="000000" w:fill="FFFFFF"/>
            <w:noWrap/>
            <w:hideMark/>
          </w:tcPr>
          <w:p w14:paraId="5A7CE3A5"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3.106</w:t>
            </w:r>
          </w:p>
        </w:tc>
      </w:tr>
      <w:tr w:rsidR="00A71CEF" w:rsidRPr="00A71CEF" w14:paraId="33DEBC15"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2B114C42"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5</w:t>
            </w:r>
          </w:p>
        </w:tc>
        <w:tc>
          <w:tcPr>
            <w:tcW w:w="4111" w:type="dxa"/>
            <w:tcBorders>
              <w:top w:val="nil"/>
              <w:left w:val="nil"/>
              <w:bottom w:val="single" w:sz="4" w:space="0" w:color="FFFFFF"/>
              <w:right w:val="single" w:sz="4" w:space="0" w:color="FFFFFF"/>
            </w:tcBorders>
            <w:shd w:val="clear" w:color="000000" w:fill="FFFFFF"/>
            <w:hideMark/>
          </w:tcPr>
          <w:p w14:paraId="51A740CA"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COMPANIA DE UTILITATI PUBLICE DUNAREA BRAILA SA</w:t>
            </w:r>
          </w:p>
        </w:tc>
        <w:tc>
          <w:tcPr>
            <w:tcW w:w="1017" w:type="dxa"/>
            <w:tcBorders>
              <w:top w:val="nil"/>
              <w:left w:val="nil"/>
              <w:bottom w:val="single" w:sz="4" w:space="0" w:color="FFFFFF"/>
              <w:right w:val="single" w:sz="4" w:space="0" w:color="FFFFFF"/>
            </w:tcBorders>
            <w:shd w:val="clear" w:color="000000" w:fill="FFFFFF"/>
            <w:noWrap/>
            <w:hideMark/>
          </w:tcPr>
          <w:p w14:paraId="186D63CC"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BR</w:t>
            </w:r>
          </w:p>
        </w:tc>
        <w:tc>
          <w:tcPr>
            <w:tcW w:w="1029" w:type="dxa"/>
            <w:tcBorders>
              <w:top w:val="nil"/>
              <w:left w:val="nil"/>
              <w:bottom w:val="single" w:sz="4" w:space="0" w:color="FFFFFF"/>
              <w:right w:val="single" w:sz="4" w:space="0" w:color="FFFFFF"/>
            </w:tcBorders>
            <w:shd w:val="clear" w:color="000000" w:fill="FFFFFF"/>
            <w:noWrap/>
            <w:hideMark/>
          </w:tcPr>
          <w:p w14:paraId="379A377E"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3.039</w:t>
            </w:r>
          </w:p>
        </w:tc>
        <w:tc>
          <w:tcPr>
            <w:tcW w:w="1909" w:type="dxa"/>
            <w:tcBorders>
              <w:top w:val="nil"/>
              <w:left w:val="nil"/>
              <w:bottom w:val="single" w:sz="4" w:space="0" w:color="FFFFFF"/>
              <w:right w:val="single" w:sz="4" w:space="0" w:color="FFFFFF"/>
            </w:tcBorders>
            <w:shd w:val="clear" w:color="000000" w:fill="FFFFFF"/>
            <w:noWrap/>
            <w:hideMark/>
          </w:tcPr>
          <w:p w14:paraId="324FA0F6"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2.805</w:t>
            </w:r>
          </w:p>
        </w:tc>
      </w:tr>
      <w:tr w:rsidR="00A71CEF" w:rsidRPr="00A71CEF" w14:paraId="091360F2" w14:textId="77777777" w:rsidTr="00A71CEF">
        <w:trPr>
          <w:trHeight w:val="267"/>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02E24CBF"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6</w:t>
            </w:r>
          </w:p>
        </w:tc>
        <w:tc>
          <w:tcPr>
            <w:tcW w:w="4111" w:type="dxa"/>
            <w:tcBorders>
              <w:top w:val="nil"/>
              <w:left w:val="nil"/>
              <w:bottom w:val="single" w:sz="4" w:space="0" w:color="FFFFFF"/>
              <w:right w:val="single" w:sz="4" w:space="0" w:color="FFFFFF"/>
            </w:tcBorders>
            <w:shd w:val="clear" w:color="000000" w:fill="FFFFFF"/>
            <w:hideMark/>
          </w:tcPr>
          <w:p w14:paraId="3EA6EA11"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COMPANIA MUNICIPALA ILUMINAT PUBLIC BUCURESTI S.A.</w:t>
            </w:r>
          </w:p>
        </w:tc>
        <w:tc>
          <w:tcPr>
            <w:tcW w:w="1017" w:type="dxa"/>
            <w:tcBorders>
              <w:top w:val="nil"/>
              <w:left w:val="nil"/>
              <w:bottom w:val="single" w:sz="4" w:space="0" w:color="FFFFFF"/>
              <w:right w:val="single" w:sz="4" w:space="0" w:color="FFFFFF"/>
            </w:tcBorders>
            <w:shd w:val="clear" w:color="000000" w:fill="FFFFFF"/>
            <w:noWrap/>
            <w:hideMark/>
          </w:tcPr>
          <w:p w14:paraId="246E6E3D"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B</w:t>
            </w:r>
          </w:p>
        </w:tc>
        <w:tc>
          <w:tcPr>
            <w:tcW w:w="1029" w:type="dxa"/>
            <w:tcBorders>
              <w:top w:val="nil"/>
              <w:left w:val="nil"/>
              <w:bottom w:val="single" w:sz="4" w:space="0" w:color="FFFFFF"/>
              <w:right w:val="single" w:sz="4" w:space="0" w:color="FFFFFF"/>
            </w:tcBorders>
            <w:shd w:val="clear" w:color="000000" w:fill="FFFFFF"/>
            <w:noWrap/>
            <w:hideMark/>
          </w:tcPr>
          <w:p w14:paraId="3B87DF65"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5.238</w:t>
            </w:r>
          </w:p>
        </w:tc>
        <w:tc>
          <w:tcPr>
            <w:tcW w:w="1909" w:type="dxa"/>
            <w:tcBorders>
              <w:top w:val="nil"/>
              <w:left w:val="nil"/>
              <w:bottom w:val="single" w:sz="4" w:space="0" w:color="FFFFFF"/>
              <w:right w:val="single" w:sz="4" w:space="0" w:color="FFFFFF"/>
            </w:tcBorders>
            <w:shd w:val="clear" w:color="000000" w:fill="FFFFFF"/>
            <w:noWrap/>
            <w:hideMark/>
          </w:tcPr>
          <w:p w14:paraId="6691F93C"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2.488</w:t>
            </w:r>
          </w:p>
        </w:tc>
      </w:tr>
      <w:tr w:rsidR="00A71CEF" w:rsidRPr="00A71CEF" w14:paraId="3CA05E19"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477AD7D7"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7</w:t>
            </w:r>
          </w:p>
        </w:tc>
        <w:tc>
          <w:tcPr>
            <w:tcW w:w="4111" w:type="dxa"/>
            <w:tcBorders>
              <w:top w:val="nil"/>
              <w:left w:val="nil"/>
              <w:bottom w:val="single" w:sz="4" w:space="0" w:color="FFFFFF"/>
              <w:right w:val="single" w:sz="4" w:space="0" w:color="FFFFFF"/>
            </w:tcBorders>
            <w:shd w:val="clear" w:color="000000" w:fill="FFFFFF"/>
            <w:hideMark/>
          </w:tcPr>
          <w:p w14:paraId="4EB72839"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COMPANIA AQUASERV SA</w:t>
            </w:r>
          </w:p>
        </w:tc>
        <w:tc>
          <w:tcPr>
            <w:tcW w:w="1017" w:type="dxa"/>
            <w:tcBorders>
              <w:top w:val="nil"/>
              <w:left w:val="nil"/>
              <w:bottom w:val="single" w:sz="4" w:space="0" w:color="FFFFFF"/>
              <w:right w:val="single" w:sz="4" w:space="0" w:color="FFFFFF"/>
            </w:tcBorders>
            <w:shd w:val="clear" w:color="000000" w:fill="FFFFFF"/>
            <w:noWrap/>
            <w:hideMark/>
          </w:tcPr>
          <w:p w14:paraId="638EF9BB"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MS</w:t>
            </w:r>
          </w:p>
        </w:tc>
        <w:tc>
          <w:tcPr>
            <w:tcW w:w="1029" w:type="dxa"/>
            <w:tcBorders>
              <w:top w:val="nil"/>
              <w:left w:val="nil"/>
              <w:bottom w:val="single" w:sz="4" w:space="0" w:color="FFFFFF"/>
              <w:right w:val="single" w:sz="4" w:space="0" w:color="FFFFFF"/>
            </w:tcBorders>
            <w:shd w:val="clear" w:color="000000" w:fill="FFFFFF"/>
            <w:noWrap/>
            <w:hideMark/>
          </w:tcPr>
          <w:p w14:paraId="7F0F71C4"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4.491</w:t>
            </w:r>
          </w:p>
        </w:tc>
        <w:tc>
          <w:tcPr>
            <w:tcW w:w="1909" w:type="dxa"/>
            <w:tcBorders>
              <w:top w:val="nil"/>
              <w:left w:val="nil"/>
              <w:bottom w:val="single" w:sz="4" w:space="0" w:color="FFFFFF"/>
              <w:right w:val="single" w:sz="4" w:space="0" w:color="FFFFFF"/>
            </w:tcBorders>
            <w:shd w:val="clear" w:color="000000" w:fill="FFFFFF"/>
            <w:noWrap/>
            <w:hideMark/>
          </w:tcPr>
          <w:p w14:paraId="0E8C6F8E"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2.461</w:t>
            </w:r>
          </w:p>
        </w:tc>
      </w:tr>
      <w:tr w:rsidR="00A71CEF" w:rsidRPr="00A71CEF" w14:paraId="0BDC9925"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6F46B1CE"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8</w:t>
            </w:r>
          </w:p>
        </w:tc>
        <w:tc>
          <w:tcPr>
            <w:tcW w:w="4111" w:type="dxa"/>
            <w:tcBorders>
              <w:top w:val="nil"/>
              <w:left w:val="nil"/>
              <w:bottom w:val="single" w:sz="4" w:space="0" w:color="FFFFFF"/>
              <w:right w:val="single" w:sz="4" w:space="0" w:color="FFFFFF"/>
            </w:tcBorders>
            <w:shd w:val="clear" w:color="000000" w:fill="FFFFFF"/>
            <w:hideMark/>
          </w:tcPr>
          <w:p w14:paraId="06202C0B"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REGIA AUTONOMA DE SERVICII PUBLICE PLOIESTI RA</w:t>
            </w:r>
          </w:p>
        </w:tc>
        <w:tc>
          <w:tcPr>
            <w:tcW w:w="1017" w:type="dxa"/>
            <w:tcBorders>
              <w:top w:val="nil"/>
              <w:left w:val="nil"/>
              <w:bottom w:val="single" w:sz="4" w:space="0" w:color="FFFFFF"/>
              <w:right w:val="single" w:sz="4" w:space="0" w:color="FFFFFF"/>
            </w:tcBorders>
            <w:shd w:val="clear" w:color="000000" w:fill="FFFFFF"/>
            <w:noWrap/>
            <w:hideMark/>
          </w:tcPr>
          <w:p w14:paraId="1B464D6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PH</w:t>
            </w:r>
          </w:p>
        </w:tc>
        <w:tc>
          <w:tcPr>
            <w:tcW w:w="1029" w:type="dxa"/>
            <w:tcBorders>
              <w:top w:val="nil"/>
              <w:left w:val="nil"/>
              <w:bottom w:val="single" w:sz="4" w:space="0" w:color="FFFFFF"/>
              <w:right w:val="single" w:sz="4" w:space="0" w:color="FFFFFF"/>
            </w:tcBorders>
            <w:shd w:val="clear" w:color="000000" w:fill="FFFFFF"/>
            <w:noWrap/>
            <w:hideMark/>
          </w:tcPr>
          <w:p w14:paraId="73136298"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1.778</w:t>
            </w:r>
          </w:p>
        </w:tc>
        <w:tc>
          <w:tcPr>
            <w:tcW w:w="1909" w:type="dxa"/>
            <w:tcBorders>
              <w:top w:val="nil"/>
              <w:left w:val="nil"/>
              <w:bottom w:val="single" w:sz="4" w:space="0" w:color="FFFFFF"/>
              <w:right w:val="single" w:sz="4" w:space="0" w:color="FFFFFF"/>
            </w:tcBorders>
            <w:shd w:val="clear" w:color="000000" w:fill="FFFFFF"/>
            <w:noWrap/>
            <w:hideMark/>
          </w:tcPr>
          <w:p w14:paraId="49BA51B0"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1.683</w:t>
            </w:r>
          </w:p>
        </w:tc>
      </w:tr>
      <w:tr w:rsidR="00A71CEF" w:rsidRPr="00A71CEF" w14:paraId="3110395A" w14:textId="77777777" w:rsidTr="00A71CEF">
        <w:trPr>
          <w:trHeight w:val="178"/>
        </w:trPr>
        <w:tc>
          <w:tcPr>
            <w:tcW w:w="998" w:type="dxa"/>
            <w:tcBorders>
              <w:top w:val="nil"/>
              <w:left w:val="single" w:sz="4" w:space="0" w:color="FFFFFF"/>
              <w:bottom w:val="single" w:sz="4" w:space="0" w:color="FFFFFF"/>
              <w:right w:val="single" w:sz="4" w:space="0" w:color="FFFFFF"/>
            </w:tcBorders>
            <w:shd w:val="clear" w:color="000000" w:fill="FFFFFF"/>
            <w:noWrap/>
            <w:hideMark/>
          </w:tcPr>
          <w:p w14:paraId="28EBC981"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9</w:t>
            </w:r>
          </w:p>
        </w:tc>
        <w:tc>
          <w:tcPr>
            <w:tcW w:w="4111" w:type="dxa"/>
            <w:tcBorders>
              <w:top w:val="nil"/>
              <w:left w:val="nil"/>
              <w:bottom w:val="single" w:sz="4" w:space="0" w:color="FFFFFF"/>
              <w:right w:val="single" w:sz="4" w:space="0" w:color="FFFFFF"/>
            </w:tcBorders>
            <w:shd w:val="clear" w:color="000000" w:fill="FFFFFF"/>
            <w:hideMark/>
          </w:tcPr>
          <w:p w14:paraId="789E2204"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OCOLUL SILVIC BUZAUL ARDELEAN RA</w:t>
            </w:r>
          </w:p>
        </w:tc>
        <w:tc>
          <w:tcPr>
            <w:tcW w:w="1017" w:type="dxa"/>
            <w:tcBorders>
              <w:top w:val="nil"/>
              <w:left w:val="nil"/>
              <w:bottom w:val="single" w:sz="4" w:space="0" w:color="FFFFFF"/>
              <w:right w:val="single" w:sz="4" w:space="0" w:color="FFFFFF"/>
            </w:tcBorders>
            <w:shd w:val="clear" w:color="000000" w:fill="FFFFFF"/>
            <w:noWrap/>
            <w:hideMark/>
          </w:tcPr>
          <w:p w14:paraId="658BF095"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CV</w:t>
            </w:r>
          </w:p>
        </w:tc>
        <w:tc>
          <w:tcPr>
            <w:tcW w:w="1029" w:type="dxa"/>
            <w:tcBorders>
              <w:top w:val="nil"/>
              <w:left w:val="nil"/>
              <w:bottom w:val="single" w:sz="4" w:space="0" w:color="FFFFFF"/>
              <w:right w:val="single" w:sz="4" w:space="0" w:color="FFFFFF"/>
            </w:tcBorders>
            <w:shd w:val="clear" w:color="000000" w:fill="FFFFFF"/>
            <w:noWrap/>
            <w:hideMark/>
          </w:tcPr>
          <w:p w14:paraId="44996B28"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1.731</w:t>
            </w:r>
          </w:p>
        </w:tc>
        <w:tc>
          <w:tcPr>
            <w:tcW w:w="1909" w:type="dxa"/>
            <w:tcBorders>
              <w:top w:val="nil"/>
              <w:left w:val="nil"/>
              <w:bottom w:val="single" w:sz="4" w:space="0" w:color="FFFFFF"/>
              <w:right w:val="single" w:sz="4" w:space="0" w:color="FFFFFF"/>
            </w:tcBorders>
            <w:shd w:val="clear" w:color="000000" w:fill="FFFFFF"/>
            <w:noWrap/>
            <w:hideMark/>
          </w:tcPr>
          <w:p w14:paraId="4CB0AE01"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1.583</w:t>
            </w:r>
          </w:p>
        </w:tc>
      </w:tr>
      <w:tr w:rsidR="00A71CEF" w:rsidRPr="00A71CEF" w14:paraId="6CDE19CF" w14:textId="77777777" w:rsidTr="00A71CEF">
        <w:trPr>
          <w:trHeight w:val="275"/>
        </w:trPr>
        <w:tc>
          <w:tcPr>
            <w:tcW w:w="998" w:type="dxa"/>
            <w:tcBorders>
              <w:top w:val="nil"/>
              <w:left w:val="single" w:sz="4" w:space="0" w:color="FFFFFF"/>
              <w:bottom w:val="single" w:sz="4" w:space="0" w:color="95B3D7"/>
              <w:right w:val="single" w:sz="4" w:space="0" w:color="FFFFFF"/>
            </w:tcBorders>
            <w:shd w:val="clear" w:color="000000" w:fill="FFFFFF"/>
            <w:noWrap/>
            <w:hideMark/>
          </w:tcPr>
          <w:p w14:paraId="5674F521" w14:textId="77777777" w:rsidR="00A71CEF" w:rsidRPr="00A71CEF" w:rsidRDefault="00A71CEF" w:rsidP="00A71CEF">
            <w:pPr>
              <w:spacing w:before="0" w:after="0" w:line="240" w:lineRule="auto"/>
              <w:jc w:val="center"/>
              <w:rPr>
                <w:rFonts w:ascii="Calibri" w:eastAsia="Times New Roman" w:hAnsi="Calibri" w:cs="Calibri"/>
                <w:sz w:val="16"/>
                <w:szCs w:val="16"/>
                <w:lang w:val="en-US"/>
              </w:rPr>
            </w:pPr>
            <w:r w:rsidRPr="00A71CEF">
              <w:rPr>
                <w:rFonts w:ascii="Calibri" w:eastAsia="Times New Roman" w:hAnsi="Calibri" w:cs="Calibri"/>
                <w:sz w:val="16"/>
                <w:szCs w:val="16"/>
                <w:lang w:val="en-US"/>
              </w:rPr>
              <w:t>10</w:t>
            </w:r>
          </w:p>
        </w:tc>
        <w:tc>
          <w:tcPr>
            <w:tcW w:w="4111" w:type="dxa"/>
            <w:tcBorders>
              <w:top w:val="nil"/>
              <w:left w:val="nil"/>
              <w:bottom w:val="single" w:sz="4" w:space="0" w:color="95B3D7"/>
              <w:right w:val="single" w:sz="4" w:space="0" w:color="FFFFFF"/>
            </w:tcBorders>
            <w:shd w:val="clear" w:color="000000" w:fill="FFFFFF"/>
            <w:hideMark/>
          </w:tcPr>
          <w:p w14:paraId="5FECDF1C" w14:textId="77777777" w:rsidR="00A71CEF" w:rsidRPr="00A71CEF" w:rsidRDefault="00A71CEF" w:rsidP="00A71CEF">
            <w:pPr>
              <w:spacing w:before="0" w:after="0" w:line="240" w:lineRule="auto"/>
              <w:rPr>
                <w:rFonts w:ascii="Calibri" w:eastAsia="Times New Roman" w:hAnsi="Calibri" w:cs="Calibri"/>
                <w:bCs/>
                <w:sz w:val="16"/>
                <w:szCs w:val="16"/>
                <w:lang w:val="en-US"/>
              </w:rPr>
            </w:pPr>
            <w:r w:rsidRPr="00A71CEF">
              <w:rPr>
                <w:rFonts w:ascii="Calibri" w:eastAsia="Times New Roman" w:hAnsi="Calibri" w:cs="Calibri"/>
                <w:bCs/>
                <w:sz w:val="16"/>
                <w:szCs w:val="16"/>
                <w:lang w:val="en-US"/>
              </w:rPr>
              <w:t>S.C. LUCRARI DRUMURI SI PODURI SA VASLUI</w:t>
            </w:r>
          </w:p>
        </w:tc>
        <w:tc>
          <w:tcPr>
            <w:tcW w:w="1017" w:type="dxa"/>
            <w:tcBorders>
              <w:top w:val="nil"/>
              <w:left w:val="nil"/>
              <w:bottom w:val="single" w:sz="4" w:space="0" w:color="95B3D7"/>
              <w:right w:val="single" w:sz="4" w:space="0" w:color="FFFFFF"/>
            </w:tcBorders>
            <w:shd w:val="clear" w:color="000000" w:fill="FFFFFF"/>
            <w:noWrap/>
            <w:hideMark/>
          </w:tcPr>
          <w:p w14:paraId="1D381322"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VS</w:t>
            </w:r>
          </w:p>
        </w:tc>
        <w:tc>
          <w:tcPr>
            <w:tcW w:w="1029" w:type="dxa"/>
            <w:tcBorders>
              <w:top w:val="nil"/>
              <w:left w:val="nil"/>
              <w:bottom w:val="single" w:sz="4" w:space="0" w:color="95B3D7"/>
              <w:right w:val="single" w:sz="4" w:space="0" w:color="FFFFFF"/>
            </w:tcBorders>
            <w:shd w:val="clear" w:color="000000" w:fill="FFFFFF"/>
            <w:noWrap/>
            <w:hideMark/>
          </w:tcPr>
          <w:p w14:paraId="0B42D0A7"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3.218</w:t>
            </w:r>
          </w:p>
        </w:tc>
        <w:tc>
          <w:tcPr>
            <w:tcW w:w="1909" w:type="dxa"/>
            <w:tcBorders>
              <w:top w:val="nil"/>
              <w:left w:val="nil"/>
              <w:bottom w:val="single" w:sz="4" w:space="0" w:color="95B3D7"/>
              <w:right w:val="single" w:sz="4" w:space="0" w:color="FFFFFF"/>
            </w:tcBorders>
            <w:shd w:val="clear" w:color="000000" w:fill="FFFFFF"/>
            <w:noWrap/>
            <w:hideMark/>
          </w:tcPr>
          <w:p w14:paraId="1D4B4D38" w14:textId="77777777" w:rsidR="00A71CEF" w:rsidRPr="00A71CEF" w:rsidRDefault="00A71CEF" w:rsidP="00A71CEF">
            <w:pPr>
              <w:spacing w:before="0" w:after="0" w:line="240" w:lineRule="auto"/>
              <w:jc w:val="right"/>
              <w:rPr>
                <w:rFonts w:ascii="Calibri" w:eastAsia="Times New Roman" w:hAnsi="Calibri" w:cs="Calibri"/>
                <w:sz w:val="16"/>
                <w:szCs w:val="16"/>
                <w:lang w:val="en-US"/>
              </w:rPr>
            </w:pPr>
            <w:r w:rsidRPr="00A71CEF">
              <w:rPr>
                <w:rFonts w:ascii="Calibri" w:eastAsia="Times New Roman" w:hAnsi="Calibri" w:cs="Calibri"/>
                <w:sz w:val="16"/>
                <w:szCs w:val="16"/>
                <w:lang w:val="en-US"/>
              </w:rPr>
              <w:t>1.515</w:t>
            </w:r>
          </w:p>
        </w:tc>
      </w:tr>
      <w:tr w:rsidR="00A71CEF" w:rsidRPr="00A71CEF" w14:paraId="05965035" w14:textId="77777777" w:rsidTr="00A71CEF">
        <w:trPr>
          <w:trHeight w:val="178"/>
        </w:trPr>
        <w:tc>
          <w:tcPr>
            <w:tcW w:w="6126" w:type="dxa"/>
            <w:gridSpan w:val="3"/>
            <w:tcBorders>
              <w:top w:val="single" w:sz="4" w:space="0" w:color="95B3D7"/>
              <w:left w:val="single" w:sz="4" w:space="0" w:color="FFFFFF"/>
              <w:bottom w:val="single" w:sz="4" w:space="0" w:color="95B3D7"/>
              <w:right w:val="single" w:sz="4" w:space="0" w:color="FFFFFF"/>
            </w:tcBorders>
            <w:shd w:val="clear" w:color="000000" w:fill="FFFFFF"/>
            <w:noWrap/>
            <w:hideMark/>
          </w:tcPr>
          <w:p w14:paraId="1F910A72" w14:textId="77777777" w:rsidR="00A71CEF" w:rsidRPr="005E4009" w:rsidRDefault="00A71CEF" w:rsidP="00A71CEF">
            <w:pPr>
              <w:spacing w:before="0" w:after="0" w:line="240" w:lineRule="auto"/>
              <w:rPr>
                <w:rFonts w:ascii="Calibri" w:eastAsia="Times New Roman" w:hAnsi="Calibri" w:cs="Calibri"/>
                <w:bCs/>
                <w:sz w:val="16"/>
                <w:szCs w:val="16"/>
                <w:lang w:val="en-US"/>
              </w:rPr>
            </w:pPr>
            <w:r w:rsidRPr="005E4009">
              <w:rPr>
                <w:rFonts w:ascii="Calibri" w:eastAsia="Times New Roman" w:hAnsi="Calibri" w:cs="Calibri"/>
                <w:bCs/>
                <w:sz w:val="16"/>
                <w:szCs w:val="16"/>
                <w:lang w:val="en-US"/>
              </w:rPr>
              <w:t>TOTAL GENERAL</w:t>
            </w:r>
          </w:p>
        </w:tc>
        <w:tc>
          <w:tcPr>
            <w:tcW w:w="1029" w:type="dxa"/>
            <w:tcBorders>
              <w:top w:val="nil"/>
              <w:left w:val="nil"/>
              <w:bottom w:val="single" w:sz="4" w:space="0" w:color="95B3D7"/>
              <w:right w:val="single" w:sz="4" w:space="0" w:color="FFFFFF"/>
            </w:tcBorders>
            <w:shd w:val="clear" w:color="000000" w:fill="FFFFFF"/>
            <w:noWrap/>
            <w:hideMark/>
          </w:tcPr>
          <w:p w14:paraId="1A4A6ECA" w14:textId="77777777" w:rsidR="00A71CEF" w:rsidRPr="005E4009" w:rsidRDefault="00A71CEF" w:rsidP="00A71CEF">
            <w:pPr>
              <w:spacing w:before="0" w:after="0" w:line="240" w:lineRule="auto"/>
              <w:jc w:val="right"/>
              <w:rPr>
                <w:rFonts w:ascii="Calibri" w:eastAsia="Times New Roman" w:hAnsi="Calibri" w:cs="Calibri"/>
                <w:bCs/>
                <w:sz w:val="16"/>
                <w:szCs w:val="16"/>
                <w:lang w:val="en-US"/>
              </w:rPr>
            </w:pPr>
            <w:r w:rsidRPr="005E4009">
              <w:rPr>
                <w:rFonts w:ascii="Calibri" w:eastAsia="Times New Roman" w:hAnsi="Calibri" w:cs="Calibri"/>
                <w:bCs/>
                <w:sz w:val="16"/>
                <w:szCs w:val="16"/>
                <w:lang w:val="en-US"/>
              </w:rPr>
              <w:t>51.611</w:t>
            </w:r>
          </w:p>
        </w:tc>
        <w:tc>
          <w:tcPr>
            <w:tcW w:w="1909" w:type="dxa"/>
            <w:tcBorders>
              <w:top w:val="nil"/>
              <w:left w:val="nil"/>
              <w:bottom w:val="single" w:sz="4" w:space="0" w:color="95B3D7"/>
              <w:right w:val="single" w:sz="4" w:space="0" w:color="FFFFFF"/>
            </w:tcBorders>
            <w:shd w:val="clear" w:color="000000" w:fill="FFFFFF"/>
            <w:noWrap/>
            <w:hideMark/>
          </w:tcPr>
          <w:p w14:paraId="3488F7C7" w14:textId="77777777" w:rsidR="00A71CEF" w:rsidRPr="005E4009" w:rsidRDefault="00A71CEF" w:rsidP="00A71CEF">
            <w:pPr>
              <w:spacing w:before="0" w:after="0" w:line="240" w:lineRule="auto"/>
              <w:jc w:val="right"/>
              <w:rPr>
                <w:rFonts w:ascii="Calibri" w:eastAsia="Times New Roman" w:hAnsi="Calibri" w:cs="Calibri"/>
                <w:bCs/>
                <w:sz w:val="16"/>
                <w:szCs w:val="16"/>
                <w:lang w:val="en-US"/>
              </w:rPr>
            </w:pPr>
            <w:r w:rsidRPr="005E4009">
              <w:rPr>
                <w:rFonts w:ascii="Calibri" w:eastAsia="Times New Roman" w:hAnsi="Calibri" w:cs="Calibri"/>
                <w:bCs/>
                <w:sz w:val="16"/>
                <w:szCs w:val="16"/>
                <w:lang w:val="en-US"/>
              </w:rPr>
              <w:t>30.498</w:t>
            </w:r>
          </w:p>
        </w:tc>
      </w:tr>
    </w:tbl>
    <w:p w14:paraId="728FBC98" w14:textId="77777777" w:rsidR="00C32FBD" w:rsidRDefault="00E9158D" w:rsidP="00A71CEF">
      <w:pPr>
        <w:jc w:val="both"/>
        <w:rPr>
          <w:rFonts w:asciiTheme="majorHAnsi" w:hAnsiTheme="majorHAnsi"/>
          <w:b/>
          <w:bCs/>
        </w:rPr>
      </w:pPr>
      <w:r w:rsidRPr="00D95C57">
        <w:rPr>
          <w:rFonts w:asciiTheme="majorHAnsi" w:hAnsiTheme="majorHAnsi" w:cstheme="majorBidi"/>
        </w:rPr>
        <w:t xml:space="preserve">Primele 10 ÎPL care au repartizat dividende/vărsăminte </w:t>
      </w:r>
      <w:r w:rsidR="00416F5D" w:rsidRPr="00D95C57">
        <w:rPr>
          <w:rFonts w:asciiTheme="majorHAnsi" w:hAnsiTheme="majorHAnsi" w:cstheme="majorBidi"/>
        </w:rPr>
        <w:t>în anul 20</w:t>
      </w:r>
      <w:r w:rsidR="00A71CEF">
        <w:rPr>
          <w:rFonts w:asciiTheme="majorHAnsi" w:hAnsiTheme="majorHAnsi" w:cstheme="majorBidi"/>
        </w:rPr>
        <w:t>20</w:t>
      </w:r>
      <w:r w:rsidR="00416F5D" w:rsidRPr="00D95C57">
        <w:rPr>
          <w:rFonts w:asciiTheme="majorHAnsi" w:hAnsiTheme="majorHAnsi" w:cstheme="majorBidi"/>
        </w:rPr>
        <w:t xml:space="preserve"> înregistrează</w:t>
      </w:r>
      <w:r w:rsidRPr="00D95C57">
        <w:rPr>
          <w:rFonts w:asciiTheme="majorHAnsi" w:hAnsiTheme="majorHAnsi" w:cstheme="majorBidi"/>
        </w:rPr>
        <w:t xml:space="preserve"> valoare</w:t>
      </w:r>
      <w:r w:rsidR="00416F5D" w:rsidRPr="00D95C57">
        <w:rPr>
          <w:rFonts w:asciiTheme="majorHAnsi" w:hAnsiTheme="majorHAnsi" w:cstheme="majorBidi"/>
        </w:rPr>
        <w:t>a</w:t>
      </w:r>
      <w:r w:rsidRPr="00D95C57">
        <w:rPr>
          <w:rFonts w:asciiTheme="majorHAnsi" w:hAnsiTheme="majorHAnsi" w:cstheme="majorBidi"/>
        </w:rPr>
        <w:t xml:space="preserve"> totală de 3</w:t>
      </w:r>
      <w:r w:rsidR="00A71CEF">
        <w:rPr>
          <w:rFonts w:asciiTheme="majorHAnsi" w:hAnsiTheme="majorHAnsi" w:cstheme="majorBidi"/>
        </w:rPr>
        <w:t>0</w:t>
      </w:r>
      <w:r w:rsidRPr="00D95C57">
        <w:rPr>
          <w:rFonts w:asciiTheme="majorHAnsi" w:hAnsiTheme="majorHAnsi" w:cstheme="majorBidi"/>
        </w:rPr>
        <w:t>.</w:t>
      </w:r>
      <w:r w:rsidR="00A71CEF">
        <w:rPr>
          <w:rFonts w:asciiTheme="majorHAnsi" w:hAnsiTheme="majorHAnsi" w:cstheme="majorBidi"/>
        </w:rPr>
        <w:t>498</w:t>
      </w:r>
      <w:r w:rsidRPr="00D95C57">
        <w:rPr>
          <w:rFonts w:asciiTheme="majorHAnsi" w:hAnsiTheme="majorHAnsi" w:cstheme="majorBidi"/>
        </w:rPr>
        <w:t xml:space="preserve"> mii lei, </w:t>
      </w:r>
      <w:r w:rsidR="00416F5D" w:rsidRPr="00D95C57">
        <w:rPr>
          <w:rFonts w:asciiTheme="majorHAnsi" w:hAnsiTheme="majorHAnsi" w:cstheme="majorBidi"/>
        </w:rPr>
        <w:t>care reprezintă aproape jumătate (4</w:t>
      </w:r>
      <w:r w:rsidR="00A71CEF">
        <w:rPr>
          <w:rFonts w:asciiTheme="majorHAnsi" w:hAnsiTheme="majorHAnsi" w:cstheme="majorBidi"/>
        </w:rPr>
        <w:t>8</w:t>
      </w:r>
      <w:r w:rsidR="00416F5D" w:rsidRPr="00D95C57">
        <w:rPr>
          <w:rFonts w:asciiTheme="majorHAnsi" w:hAnsiTheme="majorHAnsi" w:cstheme="majorBidi"/>
        </w:rPr>
        <w:t>.</w:t>
      </w:r>
      <w:r w:rsidR="00A71CEF">
        <w:rPr>
          <w:rFonts w:asciiTheme="majorHAnsi" w:hAnsiTheme="majorHAnsi" w:cstheme="majorBidi"/>
        </w:rPr>
        <w:t>21</w:t>
      </w:r>
      <w:r w:rsidR="00416F5D" w:rsidRPr="00D95C57">
        <w:rPr>
          <w:rFonts w:asciiTheme="majorHAnsi" w:hAnsiTheme="majorHAnsi" w:cstheme="majorBidi"/>
        </w:rPr>
        <w:t>%) din totalul dividendelor/vărsămintelor repartizate de to</w:t>
      </w:r>
      <w:r w:rsidR="00917CDE">
        <w:rPr>
          <w:rFonts w:asciiTheme="majorHAnsi" w:hAnsiTheme="majorHAnsi" w:cstheme="majorBidi"/>
        </w:rPr>
        <w:t>ate ÎPL, iar primele 3 companii</w:t>
      </w:r>
      <w:r w:rsidR="00416F5D" w:rsidRPr="00D95C57">
        <w:rPr>
          <w:rFonts w:asciiTheme="majorHAnsi" w:hAnsiTheme="majorHAnsi" w:cstheme="majorBidi"/>
        </w:rPr>
        <w:t>:</w:t>
      </w:r>
      <w:r w:rsidR="00917CDE">
        <w:rPr>
          <w:rFonts w:asciiTheme="majorHAnsi" w:hAnsiTheme="majorHAnsi" w:cstheme="majorBidi"/>
          <w:b/>
        </w:rPr>
        <w:t xml:space="preserve"> </w:t>
      </w:r>
      <w:r w:rsidR="00917CDE" w:rsidRPr="005E4009">
        <w:rPr>
          <w:rFonts w:asciiTheme="majorHAnsi" w:hAnsiTheme="majorHAnsi" w:cstheme="majorBidi"/>
        </w:rPr>
        <w:t>A</w:t>
      </w:r>
      <w:r w:rsidR="00A71CEF" w:rsidRPr="005E4009">
        <w:rPr>
          <w:rFonts w:asciiTheme="majorHAnsi" w:hAnsiTheme="majorHAnsi" w:cstheme="majorBidi"/>
        </w:rPr>
        <w:t>pă Canal</w:t>
      </w:r>
      <w:r w:rsidR="00917CDE" w:rsidRPr="005E4009">
        <w:rPr>
          <w:rFonts w:asciiTheme="majorHAnsi" w:hAnsiTheme="majorHAnsi" w:cstheme="majorBidi"/>
        </w:rPr>
        <w:t xml:space="preserve"> SA, </w:t>
      </w:r>
      <w:r w:rsidR="00A71CEF" w:rsidRPr="005E4009">
        <w:rPr>
          <w:rFonts w:asciiTheme="majorHAnsi" w:hAnsiTheme="majorHAnsi" w:cstheme="majorBidi"/>
        </w:rPr>
        <w:t>Servicii Publice Iași SA și Regia Publică Locală a Pădurilor Stejarul RA</w:t>
      </w:r>
      <w:r w:rsidR="00A71CEF">
        <w:rPr>
          <w:rFonts w:asciiTheme="majorHAnsi" w:hAnsiTheme="majorHAnsi" w:cstheme="majorBidi"/>
          <w:b/>
        </w:rPr>
        <w:t xml:space="preserve"> </w:t>
      </w:r>
      <w:r w:rsidR="00416F5D" w:rsidRPr="00D95C57">
        <w:rPr>
          <w:rFonts w:asciiTheme="majorHAnsi" w:hAnsiTheme="majorHAnsi" w:cstheme="majorBidi"/>
        </w:rPr>
        <w:t>cu po</w:t>
      </w:r>
      <w:r w:rsidR="00E47E02">
        <w:rPr>
          <w:rFonts w:asciiTheme="majorHAnsi" w:hAnsiTheme="majorHAnsi" w:cstheme="majorBidi"/>
        </w:rPr>
        <w:t>n</w:t>
      </w:r>
      <w:r w:rsidR="00416F5D" w:rsidRPr="00D95C57">
        <w:rPr>
          <w:rFonts w:asciiTheme="majorHAnsi" w:hAnsiTheme="majorHAnsi" w:cstheme="majorBidi"/>
        </w:rPr>
        <w:t xml:space="preserve">deri de </w:t>
      </w:r>
      <w:r w:rsidR="00A71CEF">
        <w:rPr>
          <w:rFonts w:asciiTheme="majorHAnsi" w:hAnsiTheme="majorHAnsi" w:cstheme="majorBidi"/>
        </w:rPr>
        <w:t>10,</w:t>
      </w:r>
      <w:r w:rsidR="00917CDE" w:rsidRPr="00917CDE">
        <w:rPr>
          <w:rFonts w:asciiTheme="majorHAnsi" w:hAnsiTheme="majorHAnsi" w:cstheme="majorBidi"/>
        </w:rPr>
        <w:t>3</w:t>
      </w:r>
      <w:r w:rsidR="00A71CEF">
        <w:rPr>
          <w:rFonts w:asciiTheme="majorHAnsi" w:hAnsiTheme="majorHAnsi" w:cstheme="majorBidi"/>
        </w:rPr>
        <w:t>2</w:t>
      </w:r>
      <w:r w:rsidR="00E47AE6" w:rsidRPr="00D95C57">
        <w:rPr>
          <w:rFonts w:asciiTheme="majorHAnsi" w:hAnsiTheme="majorHAnsi" w:cstheme="majorBidi"/>
        </w:rPr>
        <w:t xml:space="preserve">%, </w:t>
      </w:r>
      <w:r w:rsidR="00917CDE" w:rsidRPr="00917CDE">
        <w:rPr>
          <w:rFonts w:asciiTheme="majorHAnsi" w:hAnsiTheme="majorHAnsi" w:cstheme="majorBidi"/>
        </w:rPr>
        <w:t>7,</w:t>
      </w:r>
      <w:r w:rsidR="00A71CEF">
        <w:rPr>
          <w:rFonts w:asciiTheme="majorHAnsi" w:hAnsiTheme="majorHAnsi" w:cstheme="majorBidi"/>
        </w:rPr>
        <w:t>14</w:t>
      </w:r>
      <w:r w:rsidR="00E47AE6" w:rsidRPr="00D95C57">
        <w:rPr>
          <w:rFonts w:asciiTheme="majorHAnsi" w:hAnsiTheme="majorHAnsi" w:cstheme="majorBidi"/>
        </w:rPr>
        <w:t xml:space="preserve">%, respectiv </w:t>
      </w:r>
      <w:r w:rsidR="00917CDE" w:rsidRPr="00917CDE">
        <w:rPr>
          <w:rFonts w:asciiTheme="majorHAnsi" w:hAnsiTheme="majorHAnsi" w:cstheme="majorBidi"/>
        </w:rPr>
        <w:t>6,</w:t>
      </w:r>
      <w:r w:rsidR="00A71CEF">
        <w:rPr>
          <w:rFonts w:asciiTheme="majorHAnsi" w:hAnsiTheme="majorHAnsi" w:cstheme="majorBidi"/>
        </w:rPr>
        <w:t>02</w:t>
      </w:r>
      <w:r w:rsidR="00E47AE6" w:rsidRPr="00D95C57">
        <w:rPr>
          <w:rFonts w:asciiTheme="majorHAnsi" w:hAnsiTheme="majorHAnsi" w:cstheme="majorBidi"/>
        </w:rPr>
        <w:t>%</w:t>
      </w:r>
      <w:r w:rsidR="00917CDE">
        <w:rPr>
          <w:rFonts w:asciiTheme="majorHAnsi" w:hAnsiTheme="majorHAnsi" w:cstheme="majorBidi"/>
        </w:rPr>
        <w:t xml:space="preserve"> </w:t>
      </w:r>
      <w:r w:rsidR="00917CDE" w:rsidRPr="00917CDE">
        <w:rPr>
          <w:rFonts w:asciiTheme="majorHAnsi" w:hAnsiTheme="majorHAnsi" w:cstheme="majorBidi"/>
        </w:rPr>
        <w:t>din totalul dividendelor</w:t>
      </w:r>
      <w:r w:rsidR="00917CDE">
        <w:rPr>
          <w:rFonts w:asciiTheme="majorHAnsi" w:hAnsiTheme="majorHAnsi" w:cstheme="majorBidi"/>
        </w:rPr>
        <w:t xml:space="preserve"> </w:t>
      </w:r>
      <w:r w:rsidR="00917CDE" w:rsidRPr="00917CDE">
        <w:rPr>
          <w:rFonts w:asciiTheme="majorHAnsi" w:hAnsiTheme="majorHAnsi" w:cstheme="majorBidi"/>
        </w:rPr>
        <w:t>/</w:t>
      </w:r>
      <w:r w:rsidR="00917CDE">
        <w:rPr>
          <w:rFonts w:asciiTheme="majorHAnsi" w:hAnsiTheme="majorHAnsi" w:cstheme="majorBidi"/>
        </w:rPr>
        <w:t xml:space="preserve"> </w:t>
      </w:r>
      <w:r w:rsidR="00917CDE" w:rsidRPr="00917CDE">
        <w:rPr>
          <w:rFonts w:asciiTheme="majorHAnsi" w:hAnsiTheme="majorHAnsi" w:cstheme="majorBidi"/>
        </w:rPr>
        <w:t>vărsămintelor repartizate de toate ÎPL</w:t>
      </w:r>
      <w:r w:rsidR="00E47AE6" w:rsidRPr="00D95C57">
        <w:rPr>
          <w:rFonts w:asciiTheme="majorHAnsi" w:hAnsiTheme="majorHAnsi" w:cstheme="majorBidi"/>
        </w:rPr>
        <w:t xml:space="preserve">. </w:t>
      </w:r>
      <w:r w:rsidR="00416F5D" w:rsidRPr="00D95C57">
        <w:rPr>
          <w:rFonts w:asciiTheme="majorHAnsi" w:hAnsiTheme="majorHAnsi" w:cstheme="majorBidi"/>
        </w:rPr>
        <w:t xml:space="preserve"> </w:t>
      </w:r>
    </w:p>
    <w:p w14:paraId="0F430E08" w14:textId="77777777" w:rsidR="00C32FBD" w:rsidRDefault="00C32FBD" w:rsidP="00A248BB">
      <w:pPr>
        <w:pStyle w:val="ListParagraph"/>
        <w:ind w:left="0"/>
        <w:jc w:val="both"/>
        <w:rPr>
          <w:rFonts w:asciiTheme="majorHAnsi" w:hAnsiTheme="majorHAnsi"/>
          <w:b/>
          <w:bCs/>
        </w:rPr>
      </w:pPr>
    </w:p>
    <w:p w14:paraId="1A7DF14C" w14:textId="77777777" w:rsidR="00284926" w:rsidRDefault="00284926" w:rsidP="00A248BB">
      <w:pPr>
        <w:pStyle w:val="ListParagraph"/>
        <w:ind w:left="0"/>
        <w:jc w:val="both"/>
        <w:rPr>
          <w:rFonts w:asciiTheme="majorHAnsi" w:hAnsiTheme="majorHAnsi"/>
          <w:b/>
          <w:bCs/>
        </w:rPr>
      </w:pPr>
    </w:p>
    <w:p w14:paraId="6C9EA069" w14:textId="77777777" w:rsidR="00284926" w:rsidRDefault="00284926" w:rsidP="00A248BB">
      <w:pPr>
        <w:pStyle w:val="ListParagraph"/>
        <w:ind w:left="0"/>
        <w:jc w:val="both"/>
        <w:rPr>
          <w:rFonts w:asciiTheme="majorHAnsi" w:hAnsiTheme="majorHAnsi"/>
          <w:b/>
          <w:bCs/>
        </w:rPr>
      </w:pPr>
    </w:p>
    <w:p w14:paraId="1C7CD801" w14:textId="77777777" w:rsidR="00284926" w:rsidRDefault="00284926" w:rsidP="00A248BB">
      <w:pPr>
        <w:pStyle w:val="ListParagraph"/>
        <w:ind w:left="0"/>
        <w:jc w:val="both"/>
        <w:rPr>
          <w:rFonts w:asciiTheme="majorHAnsi" w:hAnsiTheme="majorHAnsi"/>
          <w:b/>
          <w:bCs/>
        </w:rPr>
      </w:pPr>
    </w:p>
    <w:p w14:paraId="7C775B94" w14:textId="77777777" w:rsidR="00284926" w:rsidRDefault="00284926" w:rsidP="00A248BB">
      <w:pPr>
        <w:pStyle w:val="ListParagraph"/>
        <w:ind w:left="0"/>
        <w:jc w:val="both"/>
        <w:rPr>
          <w:rFonts w:asciiTheme="majorHAnsi" w:hAnsiTheme="majorHAnsi"/>
          <w:b/>
          <w:bCs/>
        </w:rPr>
      </w:pPr>
    </w:p>
    <w:p w14:paraId="0A0125F8" w14:textId="77777777" w:rsidR="00284926" w:rsidRDefault="00284926" w:rsidP="00A248BB">
      <w:pPr>
        <w:pStyle w:val="ListParagraph"/>
        <w:ind w:left="0"/>
        <w:jc w:val="both"/>
        <w:rPr>
          <w:rFonts w:asciiTheme="majorHAnsi" w:hAnsiTheme="majorHAnsi"/>
          <w:b/>
          <w:bCs/>
        </w:rPr>
      </w:pPr>
    </w:p>
    <w:p w14:paraId="691A4F77" w14:textId="77777777" w:rsidR="00284926" w:rsidRDefault="00284926" w:rsidP="00A248BB">
      <w:pPr>
        <w:pStyle w:val="ListParagraph"/>
        <w:ind w:left="0"/>
        <w:jc w:val="both"/>
        <w:rPr>
          <w:rFonts w:asciiTheme="majorHAnsi" w:hAnsiTheme="majorHAnsi"/>
          <w:b/>
          <w:bCs/>
        </w:rPr>
      </w:pPr>
    </w:p>
    <w:p w14:paraId="31678729" w14:textId="77777777" w:rsidR="00284926" w:rsidRPr="00D95C57" w:rsidRDefault="00284926" w:rsidP="00A248BB">
      <w:pPr>
        <w:pStyle w:val="ListParagraph"/>
        <w:ind w:left="0"/>
        <w:jc w:val="both"/>
        <w:rPr>
          <w:rFonts w:asciiTheme="majorHAnsi" w:hAnsiTheme="majorHAnsi"/>
          <w:b/>
          <w:bCs/>
        </w:rPr>
      </w:pPr>
    </w:p>
    <w:p w14:paraId="6BB8FE31" w14:textId="77777777" w:rsidR="001B43EA" w:rsidRPr="00522CC8" w:rsidRDefault="00DC3F61" w:rsidP="00AD115E">
      <w:pPr>
        <w:pStyle w:val="ListParagraph"/>
        <w:ind w:left="0"/>
        <w:jc w:val="both"/>
        <w:outlineLvl w:val="2"/>
        <w:rPr>
          <w:rFonts w:asciiTheme="majorHAnsi" w:hAnsiTheme="majorHAnsi"/>
          <w:b/>
          <w:bCs/>
          <w:color w:val="0F6FC6" w:themeColor="accent1"/>
          <w:sz w:val="28"/>
          <w:szCs w:val="28"/>
        </w:rPr>
      </w:pPr>
      <w:bookmarkStart w:id="118" w:name="_Toc87875970"/>
      <w:r>
        <w:rPr>
          <w:rFonts w:asciiTheme="majorHAnsi" w:hAnsiTheme="majorHAnsi"/>
          <w:b/>
          <w:bCs/>
          <w:color w:val="0F6FC6" w:themeColor="accent1"/>
          <w:sz w:val="28"/>
          <w:szCs w:val="28"/>
        </w:rPr>
        <w:t>3</w:t>
      </w:r>
      <w:r w:rsidR="001B43EA" w:rsidRPr="00522CC8">
        <w:rPr>
          <w:rFonts w:asciiTheme="majorHAnsi" w:hAnsiTheme="majorHAnsi"/>
          <w:b/>
          <w:bCs/>
          <w:color w:val="0F6FC6" w:themeColor="accent1"/>
          <w:sz w:val="28"/>
          <w:szCs w:val="28"/>
        </w:rPr>
        <w:t xml:space="preserve">.7 – Primele zece </w:t>
      </w:r>
      <w:r w:rsidR="0022099B" w:rsidRPr="00522CC8">
        <w:rPr>
          <w:rFonts w:asciiTheme="majorHAnsi" w:hAnsiTheme="majorHAnsi"/>
          <w:b/>
          <w:bCs/>
          <w:color w:val="0F6FC6" w:themeColor="accent1"/>
          <w:sz w:val="28"/>
          <w:szCs w:val="28"/>
        </w:rPr>
        <w:t>întreprinderi publice locale active</w:t>
      </w:r>
      <w:r w:rsidR="001B43EA" w:rsidRPr="00522CC8">
        <w:rPr>
          <w:rFonts w:asciiTheme="majorHAnsi" w:hAnsiTheme="majorHAnsi"/>
          <w:b/>
          <w:bCs/>
          <w:color w:val="0F6FC6" w:themeColor="accent1"/>
          <w:sz w:val="28"/>
          <w:szCs w:val="28"/>
        </w:rPr>
        <w:t xml:space="preserve"> care au înregistrat pierdere brută în anul 20</w:t>
      </w:r>
      <w:r w:rsidR="00AA5D29">
        <w:rPr>
          <w:rFonts w:asciiTheme="majorHAnsi" w:hAnsiTheme="majorHAnsi"/>
          <w:b/>
          <w:bCs/>
          <w:color w:val="0F6FC6" w:themeColor="accent1"/>
          <w:sz w:val="28"/>
          <w:szCs w:val="28"/>
        </w:rPr>
        <w:t>20</w:t>
      </w:r>
      <w:bookmarkEnd w:id="118"/>
    </w:p>
    <w:p w14:paraId="32FC96E3" w14:textId="77777777" w:rsidR="005E525F" w:rsidRDefault="005E525F" w:rsidP="005E525F">
      <w:pPr>
        <w:spacing w:before="0" w:after="0"/>
        <w:jc w:val="both"/>
        <w:rPr>
          <w:rFonts w:asciiTheme="majorHAnsi" w:hAnsiTheme="majorHAnsi" w:cstheme="majorBidi"/>
        </w:rPr>
      </w:pPr>
    </w:p>
    <w:p w14:paraId="1F354A53" w14:textId="77777777" w:rsidR="00AA5D29" w:rsidRDefault="00AA5D29" w:rsidP="005E525F">
      <w:pPr>
        <w:spacing w:before="0" w:after="0"/>
        <w:jc w:val="both"/>
        <w:rPr>
          <w:rFonts w:asciiTheme="majorHAnsi" w:hAnsiTheme="majorHAnsi" w:cstheme="majorBidi"/>
        </w:rPr>
      </w:pPr>
      <w:r w:rsidRPr="00AA5D29">
        <w:rPr>
          <w:rFonts w:asciiTheme="majorHAnsi" w:hAnsiTheme="majorHAnsi" w:cstheme="majorBidi"/>
        </w:rPr>
        <w:t>TABEL – Primele zece ÎPL active care au înregistrat cele mai mari pierderi brute în anul 2020, ordonate descrescător după pierderea brută înregistrată</w:t>
      </w:r>
    </w:p>
    <w:p w14:paraId="5A710D0B" w14:textId="77777777" w:rsidR="00AA5D29" w:rsidRPr="00D95C57" w:rsidRDefault="00AA5D29" w:rsidP="005E525F">
      <w:pPr>
        <w:spacing w:before="0" w:after="0"/>
        <w:jc w:val="both"/>
        <w:rPr>
          <w:rFonts w:asciiTheme="majorHAnsi" w:hAnsiTheme="majorHAnsi" w:cstheme="majorBidi"/>
        </w:rPr>
      </w:pPr>
    </w:p>
    <w:tbl>
      <w:tblPr>
        <w:tblW w:w="9079" w:type="dxa"/>
        <w:tblInd w:w="93" w:type="dxa"/>
        <w:tblLook w:val="04A0" w:firstRow="1" w:lastRow="0" w:firstColumn="1" w:lastColumn="0" w:noHBand="0" w:noVBand="1"/>
      </w:tblPr>
      <w:tblGrid>
        <w:gridCol w:w="452"/>
        <w:gridCol w:w="569"/>
        <w:gridCol w:w="3497"/>
        <w:gridCol w:w="3687"/>
        <w:gridCol w:w="874"/>
      </w:tblGrid>
      <w:tr w:rsidR="00AA5D29" w:rsidRPr="00AA5D29" w14:paraId="271AB443" w14:textId="77777777" w:rsidTr="00AA5D29">
        <w:trPr>
          <w:trHeight w:val="375"/>
        </w:trPr>
        <w:tc>
          <w:tcPr>
            <w:tcW w:w="452" w:type="dxa"/>
            <w:tcBorders>
              <w:top w:val="single" w:sz="4" w:space="0" w:color="95B3D7"/>
              <w:left w:val="single" w:sz="4" w:space="0" w:color="FFFFFF"/>
              <w:bottom w:val="single" w:sz="4" w:space="0" w:color="95B3D7"/>
              <w:right w:val="single" w:sz="4" w:space="0" w:color="FFFFFF"/>
            </w:tcBorders>
            <w:shd w:val="clear" w:color="000000" w:fill="FFFFFF"/>
            <w:hideMark/>
          </w:tcPr>
          <w:p w14:paraId="3E0E565B" w14:textId="77777777" w:rsidR="00AA5D29" w:rsidRPr="00AA5D29" w:rsidRDefault="00AA5D29" w:rsidP="00AA5D29">
            <w:pPr>
              <w:spacing w:before="0" w:after="0" w:line="240" w:lineRule="auto"/>
              <w:jc w:val="center"/>
              <w:rPr>
                <w:rFonts w:ascii="Calibri" w:eastAsia="Times New Roman" w:hAnsi="Calibri" w:cs="Calibri"/>
                <w:color w:val="0F6FC6" w:themeColor="accent1"/>
                <w:sz w:val="16"/>
                <w:szCs w:val="16"/>
                <w:lang w:val="en-US"/>
              </w:rPr>
            </w:pPr>
            <w:r w:rsidRPr="00AA5D29">
              <w:rPr>
                <w:rFonts w:ascii="Calibri" w:eastAsia="Times New Roman" w:hAnsi="Calibri" w:cs="Calibri"/>
                <w:color w:val="0F6FC6" w:themeColor="accent1"/>
                <w:sz w:val="16"/>
                <w:szCs w:val="16"/>
                <w:lang w:val="en-US"/>
              </w:rPr>
              <w:t>Nr. Crt.</w:t>
            </w:r>
          </w:p>
        </w:tc>
        <w:tc>
          <w:tcPr>
            <w:tcW w:w="569" w:type="dxa"/>
            <w:tcBorders>
              <w:top w:val="single" w:sz="4" w:space="0" w:color="95B3D7"/>
              <w:left w:val="nil"/>
              <w:bottom w:val="single" w:sz="4" w:space="0" w:color="95B3D7"/>
              <w:right w:val="single" w:sz="4" w:space="0" w:color="FFFFFF"/>
            </w:tcBorders>
            <w:shd w:val="clear" w:color="000000" w:fill="FFFFFF"/>
            <w:hideMark/>
          </w:tcPr>
          <w:p w14:paraId="4713C876" w14:textId="77777777" w:rsidR="00AA5D29" w:rsidRPr="00AA5D29" w:rsidRDefault="00AA5D29" w:rsidP="00AA5D29">
            <w:pPr>
              <w:spacing w:before="0" w:after="0" w:line="240" w:lineRule="auto"/>
              <w:jc w:val="center"/>
              <w:rPr>
                <w:rFonts w:ascii="Calibri" w:eastAsia="Times New Roman" w:hAnsi="Calibri" w:cs="Calibri"/>
                <w:color w:val="0F6FC6" w:themeColor="accent1"/>
                <w:sz w:val="16"/>
                <w:szCs w:val="16"/>
                <w:lang w:val="en-US"/>
              </w:rPr>
            </w:pPr>
            <w:r w:rsidRPr="00AA5D29">
              <w:rPr>
                <w:rFonts w:ascii="Calibri" w:eastAsia="Times New Roman" w:hAnsi="Calibri" w:cs="Calibri"/>
                <w:color w:val="0F6FC6" w:themeColor="accent1"/>
                <w:sz w:val="16"/>
                <w:szCs w:val="16"/>
                <w:lang w:val="en-US"/>
              </w:rPr>
              <w:t>Județ</w:t>
            </w:r>
          </w:p>
        </w:tc>
        <w:tc>
          <w:tcPr>
            <w:tcW w:w="3497" w:type="dxa"/>
            <w:tcBorders>
              <w:top w:val="single" w:sz="4" w:space="0" w:color="95B3D7"/>
              <w:left w:val="nil"/>
              <w:bottom w:val="single" w:sz="4" w:space="0" w:color="95B3D7"/>
              <w:right w:val="single" w:sz="4" w:space="0" w:color="FFFFFF"/>
            </w:tcBorders>
            <w:shd w:val="clear" w:color="000000" w:fill="FFFFFF"/>
            <w:hideMark/>
          </w:tcPr>
          <w:p w14:paraId="5CFE23D1" w14:textId="77777777" w:rsidR="00AA5D29" w:rsidRPr="00AA5D29" w:rsidRDefault="00AA5D29" w:rsidP="00AA5D29">
            <w:pPr>
              <w:spacing w:before="0" w:after="0" w:line="240" w:lineRule="auto"/>
              <w:jc w:val="center"/>
              <w:rPr>
                <w:rFonts w:ascii="Calibri" w:eastAsia="Times New Roman" w:hAnsi="Calibri" w:cs="Calibri"/>
                <w:color w:val="0F6FC6" w:themeColor="accent1"/>
                <w:sz w:val="16"/>
                <w:szCs w:val="16"/>
                <w:lang w:val="en-US"/>
              </w:rPr>
            </w:pPr>
            <w:r w:rsidRPr="00AA5D29">
              <w:rPr>
                <w:rFonts w:ascii="Calibri" w:eastAsia="Times New Roman" w:hAnsi="Calibri" w:cs="Calibri"/>
                <w:color w:val="0F6FC6" w:themeColor="accent1"/>
                <w:sz w:val="16"/>
                <w:szCs w:val="16"/>
                <w:lang w:val="en-US"/>
              </w:rPr>
              <w:t>Denumire ÎPL</w:t>
            </w:r>
          </w:p>
        </w:tc>
        <w:tc>
          <w:tcPr>
            <w:tcW w:w="3687" w:type="dxa"/>
            <w:tcBorders>
              <w:top w:val="single" w:sz="4" w:space="0" w:color="95B3D7"/>
              <w:left w:val="nil"/>
              <w:bottom w:val="single" w:sz="4" w:space="0" w:color="95B3D7"/>
              <w:right w:val="single" w:sz="4" w:space="0" w:color="FFFFFF"/>
            </w:tcBorders>
            <w:shd w:val="clear" w:color="000000" w:fill="FFFFFF"/>
            <w:hideMark/>
          </w:tcPr>
          <w:p w14:paraId="1CB0F7AC" w14:textId="77777777" w:rsidR="00AA5D29" w:rsidRPr="00AA5D29" w:rsidRDefault="00AA5D29" w:rsidP="00AA5D29">
            <w:pPr>
              <w:spacing w:before="0" w:after="0" w:line="240" w:lineRule="auto"/>
              <w:jc w:val="center"/>
              <w:rPr>
                <w:rFonts w:ascii="Calibri" w:eastAsia="Times New Roman" w:hAnsi="Calibri" w:cs="Calibri"/>
                <w:color w:val="0F6FC6" w:themeColor="accent1"/>
                <w:sz w:val="16"/>
                <w:szCs w:val="16"/>
                <w:lang w:val="en-US"/>
              </w:rPr>
            </w:pPr>
            <w:r w:rsidRPr="00AA5D29">
              <w:rPr>
                <w:rFonts w:ascii="Calibri" w:eastAsia="Times New Roman" w:hAnsi="Calibri" w:cs="Calibri"/>
                <w:color w:val="0F6FC6" w:themeColor="accent1"/>
                <w:sz w:val="16"/>
                <w:szCs w:val="16"/>
                <w:lang w:val="en-US"/>
              </w:rPr>
              <w:t>Sector de activitate</w:t>
            </w:r>
          </w:p>
        </w:tc>
        <w:tc>
          <w:tcPr>
            <w:tcW w:w="874" w:type="dxa"/>
            <w:tcBorders>
              <w:top w:val="single" w:sz="4" w:space="0" w:color="95B3D7"/>
              <w:left w:val="nil"/>
              <w:bottom w:val="single" w:sz="4" w:space="0" w:color="95B3D7"/>
              <w:right w:val="single" w:sz="4" w:space="0" w:color="FFFFFF"/>
            </w:tcBorders>
            <w:shd w:val="clear" w:color="000000" w:fill="FFFFFF"/>
            <w:hideMark/>
          </w:tcPr>
          <w:p w14:paraId="4C1A46CB" w14:textId="77777777" w:rsidR="00AA5D29" w:rsidRPr="00AA5D29" w:rsidRDefault="00AA5D29" w:rsidP="00AA5D29">
            <w:pPr>
              <w:spacing w:before="0" w:after="0" w:line="240" w:lineRule="auto"/>
              <w:jc w:val="center"/>
              <w:rPr>
                <w:rFonts w:ascii="Calibri" w:eastAsia="Times New Roman" w:hAnsi="Calibri" w:cs="Calibri"/>
                <w:color w:val="0F6FC6" w:themeColor="accent1"/>
                <w:sz w:val="16"/>
                <w:szCs w:val="16"/>
                <w:lang w:val="en-US"/>
              </w:rPr>
            </w:pPr>
            <w:r w:rsidRPr="00AA5D29">
              <w:rPr>
                <w:rFonts w:ascii="Calibri" w:eastAsia="Times New Roman" w:hAnsi="Calibri" w:cs="Calibri"/>
                <w:color w:val="0F6FC6" w:themeColor="accent1"/>
                <w:sz w:val="16"/>
                <w:szCs w:val="16"/>
                <w:lang w:val="en-US"/>
              </w:rPr>
              <w:t>Pierdere brută 2020, mii lei</w:t>
            </w:r>
          </w:p>
        </w:tc>
      </w:tr>
      <w:tr w:rsidR="00AA5D29" w:rsidRPr="00AA5D29" w14:paraId="58013348"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46823200"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1</w:t>
            </w:r>
          </w:p>
        </w:tc>
        <w:tc>
          <w:tcPr>
            <w:tcW w:w="569" w:type="dxa"/>
            <w:tcBorders>
              <w:top w:val="nil"/>
              <w:left w:val="nil"/>
              <w:bottom w:val="single" w:sz="4" w:space="0" w:color="FFFFFF"/>
              <w:right w:val="single" w:sz="4" w:space="0" w:color="FFFFFF"/>
            </w:tcBorders>
            <w:shd w:val="clear" w:color="auto" w:fill="auto"/>
            <w:noWrap/>
            <w:hideMark/>
          </w:tcPr>
          <w:p w14:paraId="0BC504AB"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B</w:t>
            </w:r>
          </w:p>
        </w:tc>
        <w:tc>
          <w:tcPr>
            <w:tcW w:w="3497" w:type="dxa"/>
            <w:tcBorders>
              <w:top w:val="nil"/>
              <w:left w:val="nil"/>
              <w:bottom w:val="single" w:sz="4" w:space="0" w:color="FFFFFF"/>
              <w:right w:val="single" w:sz="4" w:space="0" w:color="FFFFFF"/>
            </w:tcBorders>
            <w:shd w:val="clear" w:color="auto" w:fill="auto"/>
            <w:hideMark/>
          </w:tcPr>
          <w:p w14:paraId="2050BF5B"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COMPANIA MUNICIPALĂ TERMOENERGETICA BUCUREŞTI S.A.</w:t>
            </w:r>
          </w:p>
        </w:tc>
        <w:tc>
          <w:tcPr>
            <w:tcW w:w="3687" w:type="dxa"/>
            <w:tcBorders>
              <w:top w:val="nil"/>
              <w:left w:val="nil"/>
              <w:bottom w:val="single" w:sz="4" w:space="0" w:color="FFFFFF"/>
              <w:right w:val="single" w:sz="4" w:space="0" w:color="FFFFFF"/>
            </w:tcBorders>
            <w:shd w:val="clear" w:color="auto" w:fill="auto"/>
            <w:hideMark/>
          </w:tcPr>
          <w:p w14:paraId="54C9D87B"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Furnizarea de abur si aer conditionat</w:t>
            </w:r>
          </w:p>
        </w:tc>
        <w:tc>
          <w:tcPr>
            <w:tcW w:w="874" w:type="dxa"/>
            <w:tcBorders>
              <w:top w:val="nil"/>
              <w:left w:val="nil"/>
              <w:bottom w:val="single" w:sz="4" w:space="0" w:color="FFFFFF"/>
              <w:right w:val="single" w:sz="4" w:space="0" w:color="FFFFFF"/>
            </w:tcBorders>
            <w:shd w:val="clear" w:color="auto" w:fill="auto"/>
            <w:hideMark/>
          </w:tcPr>
          <w:p w14:paraId="5E82B907"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134.776</w:t>
            </w:r>
          </w:p>
        </w:tc>
      </w:tr>
      <w:tr w:rsidR="00AA5D29" w:rsidRPr="00AA5D29" w14:paraId="5E663E62"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41194705"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2</w:t>
            </w:r>
          </w:p>
        </w:tc>
        <w:tc>
          <w:tcPr>
            <w:tcW w:w="569" w:type="dxa"/>
            <w:tcBorders>
              <w:top w:val="nil"/>
              <w:left w:val="nil"/>
              <w:bottom w:val="single" w:sz="4" w:space="0" w:color="FFFFFF"/>
              <w:right w:val="single" w:sz="4" w:space="0" w:color="FFFFFF"/>
            </w:tcBorders>
            <w:shd w:val="clear" w:color="auto" w:fill="auto"/>
            <w:noWrap/>
            <w:hideMark/>
          </w:tcPr>
          <w:p w14:paraId="01C659F2"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B</w:t>
            </w:r>
          </w:p>
        </w:tc>
        <w:tc>
          <w:tcPr>
            <w:tcW w:w="3497" w:type="dxa"/>
            <w:tcBorders>
              <w:top w:val="nil"/>
              <w:left w:val="nil"/>
              <w:bottom w:val="single" w:sz="4" w:space="0" w:color="FFFFFF"/>
              <w:right w:val="single" w:sz="4" w:space="0" w:color="FFFFFF"/>
            </w:tcBorders>
            <w:shd w:val="clear" w:color="auto" w:fill="auto"/>
            <w:hideMark/>
          </w:tcPr>
          <w:p w14:paraId="31754533"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ECONOMAT SECTOR 5 SRL</w:t>
            </w:r>
          </w:p>
        </w:tc>
        <w:tc>
          <w:tcPr>
            <w:tcW w:w="3687" w:type="dxa"/>
            <w:tcBorders>
              <w:top w:val="nil"/>
              <w:left w:val="nil"/>
              <w:bottom w:val="single" w:sz="4" w:space="0" w:color="FFFFFF"/>
              <w:right w:val="single" w:sz="4" w:space="0" w:color="FFFFFF"/>
            </w:tcBorders>
            <w:shd w:val="clear" w:color="auto" w:fill="auto"/>
            <w:hideMark/>
          </w:tcPr>
          <w:p w14:paraId="7AEC766A"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Comert cu amanuntul al carnii si al produselor din carne, in magazine specializate</w:t>
            </w:r>
          </w:p>
        </w:tc>
        <w:tc>
          <w:tcPr>
            <w:tcW w:w="874" w:type="dxa"/>
            <w:tcBorders>
              <w:top w:val="nil"/>
              <w:left w:val="nil"/>
              <w:bottom w:val="single" w:sz="4" w:space="0" w:color="FFFFFF"/>
              <w:right w:val="single" w:sz="4" w:space="0" w:color="FFFFFF"/>
            </w:tcBorders>
            <w:shd w:val="clear" w:color="auto" w:fill="auto"/>
            <w:hideMark/>
          </w:tcPr>
          <w:p w14:paraId="5C87BCE3"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26.475</w:t>
            </w:r>
          </w:p>
        </w:tc>
      </w:tr>
      <w:tr w:rsidR="00AA5D29" w:rsidRPr="00AA5D29" w14:paraId="626E9333"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1374215A"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3</w:t>
            </w:r>
          </w:p>
        </w:tc>
        <w:tc>
          <w:tcPr>
            <w:tcW w:w="569" w:type="dxa"/>
            <w:tcBorders>
              <w:top w:val="nil"/>
              <w:left w:val="nil"/>
              <w:bottom w:val="single" w:sz="4" w:space="0" w:color="FFFFFF"/>
              <w:right w:val="single" w:sz="4" w:space="0" w:color="FFFFFF"/>
            </w:tcBorders>
            <w:shd w:val="clear" w:color="auto" w:fill="auto"/>
            <w:noWrap/>
            <w:hideMark/>
          </w:tcPr>
          <w:p w14:paraId="693034D0"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TM</w:t>
            </w:r>
          </w:p>
        </w:tc>
        <w:tc>
          <w:tcPr>
            <w:tcW w:w="3497" w:type="dxa"/>
            <w:tcBorders>
              <w:top w:val="nil"/>
              <w:left w:val="nil"/>
              <w:bottom w:val="single" w:sz="4" w:space="0" w:color="FFFFFF"/>
              <w:right w:val="single" w:sz="4" w:space="0" w:color="FFFFFF"/>
            </w:tcBorders>
            <w:shd w:val="clear" w:color="auto" w:fill="auto"/>
            <w:hideMark/>
          </w:tcPr>
          <w:p w14:paraId="7966F576"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COMPANIA LOCALA DE TERMOFICARE COLTERM SA</w:t>
            </w:r>
          </w:p>
        </w:tc>
        <w:tc>
          <w:tcPr>
            <w:tcW w:w="3687" w:type="dxa"/>
            <w:tcBorders>
              <w:top w:val="nil"/>
              <w:left w:val="nil"/>
              <w:bottom w:val="single" w:sz="4" w:space="0" w:color="FFFFFF"/>
              <w:right w:val="single" w:sz="4" w:space="0" w:color="FFFFFF"/>
            </w:tcBorders>
            <w:shd w:val="clear" w:color="auto" w:fill="auto"/>
            <w:hideMark/>
          </w:tcPr>
          <w:p w14:paraId="7DE3B144"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Furnizarea de abur si aer conditionat</w:t>
            </w:r>
          </w:p>
        </w:tc>
        <w:tc>
          <w:tcPr>
            <w:tcW w:w="874" w:type="dxa"/>
            <w:tcBorders>
              <w:top w:val="nil"/>
              <w:left w:val="nil"/>
              <w:bottom w:val="single" w:sz="4" w:space="0" w:color="FFFFFF"/>
              <w:right w:val="single" w:sz="4" w:space="0" w:color="FFFFFF"/>
            </w:tcBorders>
            <w:shd w:val="clear" w:color="auto" w:fill="auto"/>
            <w:hideMark/>
          </w:tcPr>
          <w:p w14:paraId="23147238"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17.292</w:t>
            </w:r>
          </w:p>
        </w:tc>
      </w:tr>
      <w:tr w:rsidR="00AA5D29" w:rsidRPr="00AA5D29" w14:paraId="67035975"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471208F5"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4</w:t>
            </w:r>
          </w:p>
        </w:tc>
        <w:tc>
          <w:tcPr>
            <w:tcW w:w="569" w:type="dxa"/>
            <w:tcBorders>
              <w:top w:val="nil"/>
              <w:left w:val="nil"/>
              <w:bottom w:val="single" w:sz="4" w:space="0" w:color="FFFFFF"/>
              <w:right w:val="single" w:sz="4" w:space="0" w:color="FFFFFF"/>
            </w:tcBorders>
            <w:shd w:val="clear" w:color="auto" w:fill="auto"/>
            <w:noWrap/>
            <w:hideMark/>
          </w:tcPr>
          <w:p w14:paraId="19EE7B65"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PH</w:t>
            </w:r>
          </w:p>
        </w:tc>
        <w:tc>
          <w:tcPr>
            <w:tcW w:w="3497" w:type="dxa"/>
            <w:tcBorders>
              <w:top w:val="nil"/>
              <w:left w:val="nil"/>
              <w:bottom w:val="single" w:sz="4" w:space="0" w:color="FFFFFF"/>
              <w:right w:val="single" w:sz="4" w:space="0" w:color="FFFFFF"/>
            </w:tcBorders>
            <w:shd w:val="clear" w:color="auto" w:fill="auto"/>
            <w:hideMark/>
          </w:tcPr>
          <w:p w14:paraId="6D0083BE"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TRANSPORT CĂLĂTORI EXPRESS S.A.</w:t>
            </w:r>
          </w:p>
        </w:tc>
        <w:tc>
          <w:tcPr>
            <w:tcW w:w="3687" w:type="dxa"/>
            <w:tcBorders>
              <w:top w:val="nil"/>
              <w:left w:val="nil"/>
              <w:bottom w:val="single" w:sz="4" w:space="0" w:color="FFFFFF"/>
              <w:right w:val="single" w:sz="4" w:space="0" w:color="FFFFFF"/>
            </w:tcBorders>
            <w:shd w:val="clear" w:color="auto" w:fill="auto"/>
            <w:hideMark/>
          </w:tcPr>
          <w:p w14:paraId="47CAF6C0"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Transporturi urbane, suburbane si metropolitane de calatori</w:t>
            </w:r>
          </w:p>
        </w:tc>
        <w:tc>
          <w:tcPr>
            <w:tcW w:w="874" w:type="dxa"/>
            <w:tcBorders>
              <w:top w:val="nil"/>
              <w:left w:val="nil"/>
              <w:bottom w:val="single" w:sz="4" w:space="0" w:color="FFFFFF"/>
              <w:right w:val="single" w:sz="4" w:space="0" w:color="FFFFFF"/>
            </w:tcBorders>
            <w:shd w:val="clear" w:color="auto" w:fill="auto"/>
            <w:hideMark/>
          </w:tcPr>
          <w:p w14:paraId="5068FECA"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14.554</w:t>
            </w:r>
          </w:p>
        </w:tc>
      </w:tr>
      <w:tr w:rsidR="00AA5D29" w:rsidRPr="00AA5D29" w14:paraId="04496291"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068BC1B0"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5</w:t>
            </w:r>
          </w:p>
        </w:tc>
        <w:tc>
          <w:tcPr>
            <w:tcW w:w="569" w:type="dxa"/>
            <w:tcBorders>
              <w:top w:val="nil"/>
              <w:left w:val="nil"/>
              <w:bottom w:val="single" w:sz="4" w:space="0" w:color="FFFFFF"/>
              <w:right w:val="single" w:sz="4" w:space="0" w:color="FFFFFF"/>
            </w:tcBorders>
            <w:shd w:val="clear" w:color="auto" w:fill="auto"/>
            <w:noWrap/>
            <w:hideMark/>
          </w:tcPr>
          <w:p w14:paraId="3A922ACB"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CJ</w:t>
            </w:r>
          </w:p>
        </w:tc>
        <w:tc>
          <w:tcPr>
            <w:tcW w:w="3497" w:type="dxa"/>
            <w:tcBorders>
              <w:top w:val="nil"/>
              <w:left w:val="nil"/>
              <w:bottom w:val="single" w:sz="4" w:space="0" w:color="FFFFFF"/>
              <w:right w:val="single" w:sz="4" w:space="0" w:color="FFFFFF"/>
            </w:tcBorders>
            <w:shd w:val="clear" w:color="auto" w:fill="auto"/>
            <w:hideMark/>
          </w:tcPr>
          <w:p w14:paraId="14808DE2"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REGIA AUTONOMA A DOMENIULUI PUBLIC CLUJ NAPOCA RA</w:t>
            </w:r>
          </w:p>
        </w:tc>
        <w:tc>
          <w:tcPr>
            <w:tcW w:w="3687" w:type="dxa"/>
            <w:tcBorders>
              <w:top w:val="nil"/>
              <w:left w:val="nil"/>
              <w:bottom w:val="single" w:sz="4" w:space="0" w:color="FFFFFF"/>
              <w:right w:val="single" w:sz="4" w:space="0" w:color="FFFFFF"/>
            </w:tcBorders>
            <w:shd w:val="clear" w:color="auto" w:fill="auto"/>
            <w:hideMark/>
          </w:tcPr>
          <w:p w14:paraId="22CFCC4E"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Lucrari de constructii a drumurilor si autostrazilor</w:t>
            </w:r>
          </w:p>
        </w:tc>
        <w:tc>
          <w:tcPr>
            <w:tcW w:w="874" w:type="dxa"/>
            <w:tcBorders>
              <w:top w:val="nil"/>
              <w:left w:val="nil"/>
              <w:bottom w:val="single" w:sz="4" w:space="0" w:color="FFFFFF"/>
              <w:right w:val="single" w:sz="4" w:space="0" w:color="FFFFFF"/>
            </w:tcBorders>
            <w:shd w:val="clear" w:color="auto" w:fill="auto"/>
            <w:hideMark/>
          </w:tcPr>
          <w:p w14:paraId="18DD7E77"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11.995</w:t>
            </w:r>
          </w:p>
        </w:tc>
      </w:tr>
      <w:tr w:rsidR="00AA5D29" w:rsidRPr="00AA5D29" w14:paraId="2F72B0DB"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0E570528"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6</w:t>
            </w:r>
          </w:p>
        </w:tc>
        <w:tc>
          <w:tcPr>
            <w:tcW w:w="569" w:type="dxa"/>
            <w:tcBorders>
              <w:top w:val="nil"/>
              <w:left w:val="nil"/>
              <w:bottom w:val="single" w:sz="4" w:space="0" w:color="FFFFFF"/>
              <w:right w:val="single" w:sz="4" w:space="0" w:color="FFFFFF"/>
            </w:tcBorders>
            <w:shd w:val="clear" w:color="auto" w:fill="auto"/>
            <w:noWrap/>
            <w:hideMark/>
          </w:tcPr>
          <w:p w14:paraId="3B6D9703"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B</w:t>
            </w:r>
          </w:p>
        </w:tc>
        <w:tc>
          <w:tcPr>
            <w:tcW w:w="3497" w:type="dxa"/>
            <w:tcBorders>
              <w:top w:val="nil"/>
              <w:left w:val="nil"/>
              <w:bottom w:val="single" w:sz="4" w:space="0" w:color="FFFFFF"/>
              <w:right w:val="single" w:sz="4" w:space="0" w:color="FFFFFF"/>
            </w:tcBorders>
            <w:shd w:val="clear" w:color="auto" w:fill="auto"/>
            <w:hideMark/>
          </w:tcPr>
          <w:p w14:paraId="764732DE"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COMPANIA MUNICIPALA DEZVOLTARE DURABILA BUCURESTI S.A.</w:t>
            </w:r>
          </w:p>
        </w:tc>
        <w:tc>
          <w:tcPr>
            <w:tcW w:w="3687" w:type="dxa"/>
            <w:tcBorders>
              <w:top w:val="nil"/>
              <w:left w:val="nil"/>
              <w:bottom w:val="single" w:sz="4" w:space="0" w:color="FFFFFF"/>
              <w:right w:val="single" w:sz="4" w:space="0" w:color="FFFFFF"/>
            </w:tcBorders>
            <w:shd w:val="clear" w:color="auto" w:fill="auto"/>
            <w:hideMark/>
          </w:tcPr>
          <w:p w14:paraId="24775441"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Activitati de arhitectura</w:t>
            </w:r>
          </w:p>
        </w:tc>
        <w:tc>
          <w:tcPr>
            <w:tcW w:w="874" w:type="dxa"/>
            <w:tcBorders>
              <w:top w:val="nil"/>
              <w:left w:val="nil"/>
              <w:bottom w:val="single" w:sz="4" w:space="0" w:color="FFFFFF"/>
              <w:right w:val="single" w:sz="4" w:space="0" w:color="FFFFFF"/>
            </w:tcBorders>
            <w:shd w:val="clear" w:color="auto" w:fill="auto"/>
            <w:hideMark/>
          </w:tcPr>
          <w:p w14:paraId="10E800C8"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8.775</w:t>
            </w:r>
          </w:p>
        </w:tc>
      </w:tr>
      <w:tr w:rsidR="00AA5D29" w:rsidRPr="00AA5D29" w14:paraId="37ED2B30"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5DF77DE0"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7</w:t>
            </w:r>
          </w:p>
        </w:tc>
        <w:tc>
          <w:tcPr>
            <w:tcW w:w="569" w:type="dxa"/>
            <w:tcBorders>
              <w:top w:val="nil"/>
              <w:left w:val="nil"/>
              <w:bottom w:val="single" w:sz="4" w:space="0" w:color="FFFFFF"/>
              <w:right w:val="single" w:sz="4" w:space="0" w:color="FFFFFF"/>
            </w:tcBorders>
            <w:shd w:val="clear" w:color="auto" w:fill="auto"/>
            <w:noWrap/>
            <w:hideMark/>
          </w:tcPr>
          <w:p w14:paraId="7AA4DCAD"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AR</w:t>
            </w:r>
          </w:p>
        </w:tc>
        <w:tc>
          <w:tcPr>
            <w:tcW w:w="3497" w:type="dxa"/>
            <w:tcBorders>
              <w:top w:val="nil"/>
              <w:left w:val="nil"/>
              <w:bottom w:val="single" w:sz="4" w:space="0" w:color="FFFFFF"/>
              <w:right w:val="single" w:sz="4" w:space="0" w:color="FFFFFF"/>
            </w:tcBorders>
            <w:shd w:val="clear" w:color="auto" w:fill="auto"/>
            <w:hideMark/>
          </w:tcPr>
          <w:p w14:paraId="21B2E50A"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CENTRALA ELECTRICĂ DE TERMOFICARE HIDROCARBURI (C.E.T. HIDROCARBURI) SA</w:t>
            </w:r>
          </w:p>
        </w:tc>
        <w:tc>
          <w:tcPr>
            <w:tcW w:w="3687" w:type="dxa"/>
            <w:tcBorders>
              <w:top w:val="nil"/>
              <w:left w:val="nil"/>
              <w:bottom w:val="single" w:sz="4" w:space="0" w:color="FFFFFF"/>
              <w:right w:val="single" w:sz="4" w:space="0" w:color="FFFFFF"/>
            </w:tcBorders>
            <w:shd w:val="clear" w:color="auto" w:fill="auto"/>
            <w:hideMark/>
          </w:tcPr>
          <w:p w14:paraId="670984C6"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Productia de energie electrica</w:t>
            </w:r>
          </w:p>
        </w:tc>
        <w:tc>
          <w:tcPr>
            <w:tcW w:w="874" w:type="dxa"/>
            <w:tcBorders>
              <w:top w:val="nil"/>
              <w:left w:val="nil"/>
              <w:bottom w:val="single" w:sz="4" w:space="0" w:color="FFFFFF"/>
              <w:right w:val="single" w:sz="4" w:space="0" w:color="FFFFFF"/>
            </w:tcBorders>
            <w:shd w:val="clear" w:color="auto" w:fill="auto"/>
            <w:hideMark/>
          </w:tcPr>
          <w:p w14:paraId="73379F74"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8.616</w:t>
            </w:r>
          </w:p>
        </w:tc>
      </w:tr>
      <w:tr w:rsidR="00AA5D29" w:rsidRPr="00AA5D29" w14:paraId="23361915"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209EA8A1"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8</w:t>
            </w:r>
          </w:p>
        </w:tc>
        <w:tc>
          <w:tcPr>
            <w:tcW w:w="569" w:type="dxa"/>
            <w:tcBorders>
              <w:top w:val="nil"/>
              <w:left w:val="nil"/>
              <w:bottom w:val="single" w:sz="4" w:space="0" w:color="FFFFFF"/>
              <w:right w:val="single" w:sz="4" w:space="0" w:color="FFFFFF"/>
            </w:tcBorders>
            <w:shd w:val="clear" w:color="auto" w:fill="auto"/>
            <w:noWrap/>
            <w:hideMark/>
          </w:tcPr>
          <w:p w14:paraId="01B7FA50"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B</w:t>
            </w:r>
          </w:p>
        </w:tc>
        <w:tc>
          <w:tcPr>
            <w:tcW w:w="3497" w:type="dxa"/>
            <w:tcBorders>
              <w:top w:val="nil"/>
              <w:left w:val="nil"/>
              <w:bottom w:val="single" w:sz="4" w:space="0" w:color="FFFFFF"/>
              <w:right w:val="single" w:sz="4" w:space="0" w:color="FFFFFF"/>
            </w:tcBorders>
            <w:shd w:val="clear" w:color="auto" w:fill="auto"/>
            <w:hideMark/>
          </w:tcPr>
          <w:p w14:paraId="0A0A9007"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COMPANIA MUNICIPALA CIMITIRE BUCURESTI S.A.</w:t>
            </w:r>
          </w:p>
        </w:tc>
        <w:tc>
          <w:tcPr>
            <w:tcW w:w="3687" w:type="dxa"/>
            <w:tcBorders>
              <w:top w:val="nil"/>
              <w:left w:val="nil"/>
              <w:bottom w:val="single" w:sz="4" w:space="0" w:color="FFFFFF"/>
              <w:right w:val="single" w:sz="4" w:space="0" w:color="FFFFFF"/>
            </w:tcBorders>
            <w:shd w:val="clear" w:color="auto" w:fill="auto"/>
            <w:hideMark/>
          </w:tcPr>
          <w:p w14:paraId="52442287"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Activitati de pompe funebre si similare</w:t>
            </w:r>
          </w:p>
        </w:tc>
        <w:tc>
          <w:tcPr>
            <w:tcW w:w="874" w:type="dxa"/>
            <w:tcBorders>
              <w:top w:val="nil"/>
              <w:left w:val="nil"/>
              <w:bottom w:val="single" w:sz="4" w:space="0" w:color="FFFFFF"/>
              <w:right w:val="single" w:sz="4" w:space="0" w:color="FFFFFF"/>
            </w:tcBorders>
            <w:shd w:val="clear" w:color="auto" w:fill="auto"/>
            <w:hideMark/>
          </w:tcPr>
          <w:p w14:paraId="1AED788A"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8.183</w:t>
            </w:r>
          </w:p>
        </w:tc>
      </w:tr>
      <w:tr w:rsidR="00AA5D29" w:rsidRPr="00AA5D29" w14:paraId="664AB98D" w14:textId="77777777" w:rsidTr="00AA5D29">
        <w:trPr>
          <w:trHeight w:val="333"/>
        </w:trPr>
        <w:tc>
          <w:tcPr>
            <w:tcW w:w="452" w:type="dxa"/>
            <w:tcBorders>
              <w:top w:val="nil"/>
              <w:left w:val="single" w:sz="4" w:space="0" w:color="FFFFFF"/>
              <w:bottom w:val="single" w:sz="4" w:space="0" w:color="FFFFFF"/>
              <w:right w:val="single" w:sz="4" w:space="0" w:color="FFFFFF"/>
            </w:tcBorders>
            <w:shd w:val="clear" w:color="auto" w:fill="auto"/>
            <w:hideMark/>
          </w:tcPr>
          <w:p w14:paraId="6D6CF106"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9</w:t>
            </w:r>
          </w:p>
        </w:tc>
        <w:tc>
          <w:tcPr>
            <w:tcW w:w="569" w:type="dxa"/>
            <w:tcBorders>
              <w:top w:val="nil"/>
              <w:left w:val="nil"/>
              <w:bottom w:val="single" w:sz="4" w:space="0" w:color="FFFFFF"/>
              <w:right w:val="single" w:sz="4" w:space="0" w:color="FFFFFF"/>
            </w:tcBorders>
            <w:shd w:val="clear" w:color="auto" w:fill="auto"/>
            <w:noWrap/>
            <w:hideMark/>
          </w:tcPr>
          <w:p w14:paraId="07676E71"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BC</w:t>
            </w:r>
          </w:p>
        </w:tc>
        <w:tc>
          <w:tcPr>
            <w:tcW w:w="3497" w:type="dxa"/>
            <w:tcBorders>
              <w:top w:val="nil"/>
              <w:left w:val="nil"/>
              <w:bottom w:val="single" w:sz="4" w:space="0" w:color="FFFFFF"/>
              <w:right w:val="single" w:sz="4" w:space="0" w:color="FFFFFF"/>
            </w:tcBorders>
            <w:shd w:val="clear" w:color="auto" w:fill="auto"/>
            <w:hideMark/>
          </w:tcPr>
          <w:p w14:paraId="260490E3"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THERMOENERGY GROUP S.A.</w:t>
            </w:r>
          </w:p>
        </w:tc>
        <w:tc>
          <w:tcPr>
            <w:tcW w:w="3687" w:type="dxa"/>
            <w:tcBorders>
              <w:top w:val="nil"/>
              <w:left w:val="nil"/>
              <w:bottom w:val="single" w:sz="4" w:space="0" w:color="FFFFFF"/>
              <w:right w:val="single" w:sz="4" w:space="0" w:color="FFFFFF"/>
            </w:tcBorders>
            <w:shd w:val="clear" w:color="auto" w:fill="auto"/>
            <w:hideMark/>
          </w:tcPr>
          <w:p w14:paraId="183711E9"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Furnizarea de abur si aer conditionat</w:t>
            </w:r>
          </w:p>
        </w:tc>
        <w:tc>
          <w:tcPr>
            <w:tcW w:w="874" w:type="dxa"/>
            <w:tcBorders>
              <w:top w:val="nil"/>
              <w:left w:val="nil"/>
              <w:bottom w:val="single" w:sz="4" w:space="0" w:color="FFFFFF"/>
              <w:right w:val="single" w:sz="4" w:space="0" w:color="FFFFFF"/>
            </w:tcBorders>
            <w:shd w:val="clear" w:color="auto" w:fill="auto"/>
            <w:hideMark/>
          </w:tcPr>
          <w:p w14:paraId="13B6C906"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6.327</w:t>
            </w:r>
          </w:p>
        </w:tc>
      </w:tr>
      <w:tr w:rsidR="00AA5D29" w:rsidRPr="00AA5D29" w14:paraId="31667E1A" w14:textId="77777777" w:rsidTr="00AA5D29">
        <w:trPr>
          <w:trHeight w:val="333"/>
        </w:trPr>
        <w:tc>
          <w:tcPr>
            <w:tcW w:w="452" w:type="dxa"/>
            <w:tcBorders>
              <w:top w:val="nil"/>
              <w:left w:val="single" w:sz="4" w:space="0" w:color="FFFFFF"/>
              <w:bottom w:val="single" w:sz="4" w:space="0" w:color="95B3D7"/>
              <w:right w:val="single" w:sz="4" w:space="0" w:color="FFFFFF"/>
            </w:tcBorders>
            <w:shd w:val="clear" w:color="auto" w:fill="auto"/>
            <w:hideMark/>
          </w:tcPr>
          <w:p w14:paraId="5BBD5646"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10</w:t>
            </w:r>
          </w:p>
        </w:tc>
        <w:tc>
          <w:tcPr>
            <w:tcW w:w="569" w:type="dxa"/>
            <w:tcBorders>
              <w:top w:val="nil"/>
              <w:left w:val="nil"/>
              <w:bottom w:val="single" w:sz="4" w:space="0" w:color="95B3D7"/>
              <w:right w:val="single" w:sz="4" w:space="0" w:color="FFFFFF"/>
            </w:tcBorders>
            <w:shd w:val="clear" w:color="auto" w:fill="auto"/>
            <w:noWrap/>
            <w:hideMark/>
          </w:tcPr>
          <w:p w14:paraId="09A3A588"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IL</w:t>
            </w:r>
          </w:p>
        </w:tc>
        <w:tc>
          <w:tcPr>
            <w:tcW w:w="3497" w:type="dxa"/>
            <w:tcBorders>
              <w:top w:val="nil"/>
              <w:left w:val="nil"/>
              <w:bottom w:val="single" w:sz="4" w:space="0" w:color="95B3D7"/>
              <w:right w:val="single" w:sz="4" w:space="0" w:color="FFFFFF"/>
            </w:tcBorders>
            <w:shd w:val="clear" w:color="auto" w:fill="auto"/>
            <w:hideMark/>
          </w:tcPr>
          <w:p w14:paraId="66120DAC"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DRUMURI SI PODURI SA</w:t>
            </w:r>
          </w:p>
        </w:tc>
        <w:tc>
          <w:tcPr>
            <w:tcW w:w="3687" w:type="dxa"/>
            <w:tcBorders>
              <w:top w:val="nil"/>
              <w:left w:val="nil"/>
              <w:bottom w:val="single" w:sz="4" w:space="0" w:color="95B3D7"/>
              <w:right w:val="single" w:sz="4" w:space="0" w:color="FFFFFF"/>
            </w:tcBorders>
            <w:shd w:val="clear" w:color="auto" w:fill="auto"/>
            <w:hideMark/>
          </w:tcPr>
          <w:p w14:paraId="5DA37352" w14:textId="77777777" w:rsidR="00AA5D29" w:rsidRPr="00AA5D29" w:rsidRDefault="00AA5D29" w:rsidP="00AA5D29">
            <w:pPr>
              <w:spacing w:before="0" w:after="0" w:line="240" w:lineRule="auto"/>
              <w:rPr>
                <w:rFonts w:ascii="Calibri" w:eastAsia="Times New Roman" w:hAnsi="Calibri" w:cs="Calibri"/>
                <w:sz w:val="16"/>
                <w:szCs w:val="16"/>
                <w:lang w:val="en-US"/>
              </w:rPr>
            </w:pPr>
            <w:r w:rsidRPr="00AA5D29">
              <w:rPr>
                <w:rFonts w:ascii="Calibri" w:eastAsia="Times New Roman" w:hAnsi="Calibri" w:cs="Calibri"/>
                <w:sz w:val="16"/>
                <w:szCs w:val="16"/>
                <w:lang w:val="en-US"/>
              </w:rPr>
              <w:t>Lucrari de constructii a drumurilor si autostrazilor</w:t>
            </w:r>
          </w:p>
        </w:tc>
        <w:tc>
          <w:tcPr>
            <w:tcW w:w="874" w:type="dxa"/>
            <w:tcBorders>
              <w:top w:val="nil"/>
              <w:left w:val="nil"/>
              <w:bottom w:val="single" w:sz="4" w:space="0" w:color="95B3D7"/>
              <w:right w:val="single" w:sz="4" w:space="0" w:color="FFFFFF"/>
            </w:tcBorders>
            <w:shd w:val="clear" w:color="auto" w:fill="auto"/>
            <w:hideMark/>
          </w:tcPr>
          <w:p w14:paraId="628C09F2" w14:textId="77777777" w:rsidR="00AA5D29" w:rsidRPr="00AA5D29" w:rsidRDefault="00AA5D29" w:rsidP="00AA5D29">
            <w:pPr>
              <w:spacing w:before="0" w:after="0" w:line="240" w:lineRule="auto"/>
              <w:jc w:val="right"/>
              <w:rPr>
                <w:rFonts w:ascii="Calibri" w:eastAsia="Times New Roman" w:hAnsi="Calibri" w:cs="Calibri"/>
                <w:sz w:val="16"/>
                <w:szCs w:val="16"/>
                <w:lang w:val="en-US"/>
              </w:rPr>
            </w:pPr>
            <w:r w:rsidRPr="00AA5D29">
              <w:rPr>
                <w:rFonts w:ascii="Calibri" w:eastAsia="Times New Roman" w:hAnsi="Calibri" w:cs="Calibri"/>
                <w:sz w:val="16"/>
                <w:szCs w:val="16"/>
                <w:lang w:val="en-US"/>
              </w:rPr>
              <w:t>5.819</w:t>
            </w:r>
          </w:p>
        </w:tc>
      </w:tr>
      <w:tr w:rsidR="00AA5D29" w:rsidRPr="00AA5D29" w14:paraId="6F354B60" w14:textId="77777777" w:rsidTr="00AA5D29">
        <w:trPr>
          <w:trHeight w:val="250"/>
        </w:trPr>
        <w:tc>
          <w:tcPr>
            <w:tcW w:w="8205" w:type="dxa"/>
            <w:gridSpan w:val="4"/>
            <w:tcBorders>
              <w:top w:val="single" w:sz="4" w:space="0" w:color="95B3D7"/>
              <w:left w:val="single" w:sz="4" w:space="0" w:color="FFFFFF"/>
              <w:bottom w:val="single" w:sz="4" w:space="0" w:color="95B3D7"/>
              <w:right w:val="single" w:sz="4" w:space="0" w:color="FFFFFF"/>
            </w:tcBorders>
            <w:shd w:val="clear" w:color="auto" w:fill="auto"/>
            <w:hideMark/>
          </w:tcPr>
          <w:p w14:paraId="44008895" w14:textId="77777777" w:rsidR="00AA5D29" w:rsidRPr="00AA5D29" w:rsidRDefault="00AA5D29" w:rsidP="00AA5D29">
            <w:pPr>
              <w:spacing w:before="0" w:after="0" w:line="240" w:lineRule="auto"/>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Total general primele 10 ÎPL care înregistrează cele mai mari pierderi brute în anul 2020</w:t>
            </w:r>
          </w:p>
        </w:tc>
        <w:tc>
          <w:tcPr>
            <w:tcW w:w="874" w:type="dxa"/>
            <w:tcBorders>
              <w:top w:val="nil"/>
              <w:left w:val="nil"/>
              <w:bottom w:val="single" w:sz="4" w:space="0" w:color="95B3D7"/>
              <w:right w:val="single" w:sz="4" w:space="0" w:color="FFFFFF"/>
            </w:tcBorders>
            <w:shd w:val="clear" w:color="auto" w:fill="auto"/>
            <w:hideMark/>
          </w:tcPr>
          <w:p w14:paraId="63848D80" w14:textId="77777777" w:rsidR="00AA5D29" w:rsidRPr="00AA5D29" w:rsidRDefault="00AA5D29" w:rsidP="00AA5D29">
            <w:pPr>
              <w:spacing w:before="0" w:after="0" w:line="240" w:lineRule="auto"/>
              <w:jc w:val="right"/>
              <w:rPr>
                <w:rFonts w:ascii="Calibri" w:eastAsia="Times New Roman" w:hAnsi="Calibri" w:cs="Calibri"/>
                <w:bCs/>
                <w:sz w:val="16"/>
                <w:szCs w:val="16"/>
                <w:lang w:val="en-US"/>
              </w:rPr>
            </w:pPr>
            <w:r w:rsidRPr="00AA5D29">
              <w:rPr>
                <w:rFonts w:ascii="Calibri" w:eastAsia="Times New Roman" w:hAnsi="Calibri" w:cs="Calibri"/>
                <w:bCs/>
                <w:sz w:val="16"/>
                <w:szCs w:val="16"/>
                <w:lang w:val="en-US"/>
              </w:rPr>
              <w:t>242.811</w:t>
            </w:r>
          </w:p>
        </w:tc>
      </w:tr>
    </w:tbl>
    <w:p w14:paraId="6A99A6F2" w14:textId="77777777" w:rsidR="00AA5D29" w:rsidRDefault="00AA5D29" w:rsidP="000D6A07">
      <w:pPr>
        <w:jc w:val="both"/>
        <w:rPr>
          <w:rFonts w:asciiTheme="majorHAnsi" w:hAnsiTheme="majorHAnsi"/>
        </w:rPr>
      </w:pPr>
    </w:p>
    <w:p w14:paraId="23A68289" w14:textId="77777777" w:rsidR="00AA5D29" w:rsidRPr="00A71CEF" w:rsidRDefault="00AA5D29" w:rsidP="000D6A07">
      <w:pPr>
        <w:jc w:val="both"/>
        <w:rPr>
          <w:rFonts w:asciiTheme="majorHAnsi" w:hAnsiTheme="majorHAnsi"/>
        </w:rPr>
      </w:pPr>
      <w:r w:rsidRPr="00A71CEF">
        <w:rPr>
          <w:rFonts w:asciiTheme="majorHAnsi" w:hAnsiTheme="majorHAnsi"/>
        </w:rPr>
        <w:t>Primele zece ÎPL care înregistrează cea mai mare pierdere brută în anul 2020 reprezintă o pondere de 60,31% din totalul pierderii brute înregistrate de ÎPL.</w:t>
      </w:r>
    </w:p>
    <w:p w14:paraId="45EA7578" w14:textId="74CC799F" w:rsidR="002A37DC" w:rsidRDefault="00F96AA2" w:rsidP="000D6A07">
      <w:pPr>
        <w:jc w:val="both"/>
        <w:rPr>
          <w:rFonts w:asciiTheme="majorHAnsi" w:hAnsiTheme="majorHAnsi"/>
        </w:rPr>
      </w:pPr>
      <w:r w:rsidRPr="00A71CEF">
        <w:rPr>
          <w:rFonts w:asciiTheme="majorHAnsi" w:hAnsiTheme="majorHAnsi"/>
        </w:rPr>
        <w:t xml:space="preserve">Printre </w:t>
      </w:r>
      <w:r w:rsidR="0022099B" w:rsidRPr="00A71CEF">
        <w:rPr>
          <w:rFonts w:asciiTheme="majorHAnsi" w:hAnsiTheme="majorHAnsi"/>
        </w:rPr>
        <w:t>cauze</w:t>
      </w:r>
      <w:r w:rsidR="000D6A07" w:rsidRPr="00A71CEF">
        <w:rPr>
          <w:rFonts w:asciiTheme="majorHAnsi" w:hAnsiTheme="majorHAnsi"/>
        </w:rPr>
        <w:t>le</w:t>
      </w:r>
      <w:r w:rsidR="0022099B" w:rsidRPr="00A71CEF">
        <w:rPr>
          <w:rFonts w:asciiTheme="majorHAnsi" w:hAnsiTheme="majorHAnsi"/>
        </w:rPr>
        <w:t xml:space="preserve"> care au dus la înregistrarea de pierdere brut</w:t>
      </w:r>
      <w:r w:rsidRPr="00A71CEF">
        <w:rPr>
          <w:rFonts w:asciiTheme="majorHAnsi" w:hAnsiTheme="majorHAnsi"/>
        </w:rPr>
        <w:t>ă</w:t>
      </w:r>
      <w:r w:rsidR="0022099B" w:rsidRPr="00A71CEF">
        <w:rPr>
          <w:rFonts w:asciiTheme="majorHAnsi" w:hAnsiTheme="majorHAnsi"/>
        </w:rPr>
        <w:t xml:space="preserve"> în cazul celor zece ÎPL, </w:t>
      </w:r>
      <w:r w:rsidR="000D6A07" w:rsidRPr="00A71CEF">
        <w:rPr>
          <w:rFonts w:asciiTheme="majorHAnsi" w:hAnsiTheme="majorHAnsi"/>
        </w:rPr>
        <w:t>enumerăm următoarele</w:t>
      </w:r>
      <w:r w:rsidR="000D6A07" w:rsidRPr="00A71CEF">
        <w:rPr>
          <w:rFonts w:asciiTheme="majorHAnsi" w:hAnsiTheme="majorHAnsi"/>
          <w:lang w:val="en-US"/>
        </w:rPr>
        <w:t>:</w:t>
      </w:r>
      <w:r w:rsidR="0022099B" w:rsidRPr="00A71CEF">
        <w:rPr>
          <w:rFonts w:asciiTheme="majorHAnsi" w:hAnsiTheme="majorHAnsi"/>
        </w:rPr>
        <w:t xml:space="preserve"> aplicare</w:t>
      </w:r>
      <w:r w:rsidR="000D6A07" w:rsidRPr="00A71CEF">
        <w:rPr>
          <w:rFonts w:asciiTheme="majorHAnsi" w:hAnsiTheme="majorHAnsi"/>
        </w:rPr>
        <w:t>a</w:t>
      </w:r>
      <w:r w:rsidR="0022099B" w:rsidRPr="00A71CEF">
        <w:rPr>
          <w:rFonts w:asciiTheme="majorHAnsi" w:hAnsiTheme="majorHAnsi"/>
        </w:rPr>
        <w:t xml:space="preserve"> unei politici salariale inadecvate realității (acordare de prime, bonuri de mas</w:t>
      </w:r>
      <w:r w:rsidR="000D6A07" w:rsidRPr="00A71CEF">
        <w:rPr>
          <w:rFonts w:asciiTheme="majorHAnsi" w:hAnsiTheme="majorHAnsi"/>
        </w:rPr>
        <w:t>ă</w:t>
      </w:r>
      <w:r w:rsidR="0022099B" w:rsidRPr="00A71CEF">
        <w:rPr>
          <w:rFonts w:asciiTheme="majorHAnsi" w:hAnsiTheme="majorHAnsi"/>
        </w:rPr>
        <w:t>), credite</w:t>
      </w:r>
      <w:r w:rsidR="007150F9" w:rsidRPr="00A71CEF">
        <w:rPr>
          <w:rFonts w:asciiTheme="majorHAnsi" w:hAnsiTheme="majorHAnsi"/>
        </w:rPr>
        <w:t>le</w:t>
      </w:r>
      <w:r w:rsidR="0022099B" w:rsidRPr="00A71CEF">
        <w:rPr>
          <w:rFonts w:asciiTheme="majorHAnsi" w:hAnsiTheme="majorHAnsi"/>
        </w:rPr>
        <w:t xml:space="preserve"> neperformante, neajustarea costurilor per kilometru la evoluția reală în ceea ce privește costul combustibilului</w:t>
      </w:r>
      <w:r w:rsidR="009051B7" w:rsidRPr="00A71CEF">
        <w:rPr>
          <w:rFonts w:asciiTheme="majorHAnsi" w:hAnsiTheme="majorHAnsi"/>
        </w:rPr>
        <w:t>, lipsa investițiilor în rețele de termoficare, acumularea de plăți restante</w:t>
      </w:r>
      <w:r w:rsidR="0022099B" w:rsidRPr="00A71CEF">
        <w:rPr>
          <w:rFonts w:asciiTheme="majorHAnsi" w:hAnsiTheme="majorHAnsi"/>
        </w:rPr>
        <w:t xml:space="preserve">. </w:t>
      </w:r>
    </w:p>
    <w:p w14:paraId="6362BFE5" w14:textId="5E68AD33" w:rsidR="0040167B" w:rsidRDefault="0040167B" w:rsidP="000D6A07">
      <w:pPr>
        <w:jc w:val="both"/>
        <w:rPr>
          <w:rFonts w:asciiTheme="majorHAnsi" w:hAnsiTheme="majorHAnsi"/>
        </w:rPr>
      </w:pPr>
    </w:p>
    <w:p w14:paraId="70C964C7" w14:textId="792C0BAB" w:rsidR="0040167B" w:rsidRDefault="0040167B" w:rsidP="000D6A07">
      <w:pPr>
        <w:jc w:val="both"/>
        <w:rPr>
          <w:rFonts w:asciiTheme="majorHAnsi" w:hAnsiTheme="majorHAnsi"/>
        </w:rPr>
      </w:pPr>
    </w:p>
    <w:p w14:paraId="29C8962F" w14:textId="618982A9" w:rsidR="0040167B" w:rsidRDefault="0040167B" w:rsidP="000D6A07">
      <w:pPr>
        <w:jc w:val="both"/>
        <w:rPr>
          <w:rFonts w:asciiTheme="majorHAnsi" w:hAnsiTheme="majorHAnsi"/>
        </w:rPr>
      </w:pPr>
    </w:p>
    <w:p w14:paraId="736682A8" w14:textId="3EAF4B23" w:rsidR="0040167B" w:rsidRDefault="0040167B" w:rsidP="000D6A07">
      <w:pPr>
        <w:jc w:val="both"/>
        <w:rPr>
          <w:rFonts w:asciiTheme="majorHAnsi" w:hAnsiTheme="majorHAnsi"/>
        </w:rPr>
      </w:pPr>
    </w:p>
    <w:p w14:paraId="65E24AF7" w14:textId="4FF53F4F" w:rsidR="0040167B" w:rsidRDefault="0040167B" w:rsidP="000D6A07">
      <w:pPr>
        <w:jc w:val="both"/>
        <w:rPr>
          <w:rFonts w:asciiTheme="majorHAnsi" w:hAnsiTheme="majorHAnsi"/>
        </w:rPr>
      </w:pPr>
    </w:p>
    <w:p w14:paraId="0E8A95A4" w14:textId="513CB30C" w:rsidR="0040167B" w:rsidRDefault="0040167B" w:rsidP="000D6A07">
      <w:pPr>
        <w:jc w:val="both"/>
        <w:rPr>
          <w:rFonts w:asciiTheme="majorHAnsi" w:hAnsiTheme="majorHAnsi"/>
        </w:rPr>
      </w:pPr>
    </w:p>
    <w:p w14:paraId="20ADB691" w14:textId="48D987FB" w:rsidR="0040167B" w:rsidRDefault="0040167B" w:rsidP="000D6A07">
      <w:pPr>
        <w:jc w:val="both"/>
        <w:rPr>
          <w:rFonts w:asciiTheme="majorHAnsi" w:hAnsiTheme="majorHAnsi"/>
        </w:rPr>
      </w:pPr>
    </w:p>
    <w:p w14:paraId="5C427642" w14:textId="77777777" w:rsidR="007928FE" w:rsidRDefault="007928FE" w:rsidP="000D6A07">
      <w:pPr>
        <w:jc w:val="both"/>
        <w:rPr>
          <w:rFonts w:asciiTheme="majorHAnsi" w:hAnsiTheme="majorHAnsi"/>
        </w:rPr>
      </w:pPr>
    </w:p>
    <w:p w14:paraId="73376375" w14:textId="77777777" w:rsidR="0040167B" w:rsidRDefault="0040167B" w:rsidP="000D6A07">
      <w:pPr>
        <w:jc w:val="both"/>
        <w:rPr>
          <w:rFonts w:asciiTheme="majorHAnsi" w:hAnsiTheme="majorHAnsi"/>
        </w:rPr>
      </w:pPr>
    </w:p>
    <w:p w14:paraId="74E2615F" w14:textId="77777777" w:rsidR="0040167B" w:rsidRPr="002E4516" w:rsidRDefault="0040167B" w:rsidP="0040167B">
      <w:pPr>
        <w:pStyle w:val="ListParagraph"/>
        <w:ind w:left="0"/>
        <w:jc w:val="both"/>
        <w:outlineLvl w:val="1"/>
        <w:rPr>
          <w:rFonts w:asciiTheme="majorHAnsi" w:hAnsiTheme="majorHAnsi" w:cstheme="majorHAnsi"/>
          <w:b/>
          <w:bCs/>
          <w:color w:val="0F6FC6" w:themeColor="accent1"/>
          <w:sz w:val="32"/>
          <w:szCs w:val="32"/>
        </w:rPr>
      </w:pPr>
      <w:bookmarkStart w:id="119" w:name="_Toc16518186"/>
      <w:bookmarkStart w:id="120" w:name="_Toc490763881"/>
      <w:bookmarkStart w:id="121" w:name="_Toc490763713"/>
      <w:bookmarkStart w:id="122" w:name="_Toc490763532"/>
      <w:bookmarkStart w:id="123" w:name="_Toc59451806"/>
      <w:bookmarkStart w:id="124" w:name="_Toc87875971"/>
      <w:r w:rsidRPr="002E4516">
        <w:rPr>
          <w:rFonts w:asciiTheme="majorHAnsi" w:hAnsiTheme="majorHAnsi" w:cstheme="majorHAnsi"/>
          <w:b/>
          <w:bCs/>
          <w:color w:val="0F6FC6" w:themeColor="accent1"/>
          <w:sz w:val="32"/>
          <w:szCs w:val="32"/>
        </w:rPr>
        <w:t>Capitolul 4 – Aplicarea prevederilor O.U.G. nr. 109/2011 și a principiilor de guvernanță corporativă la întreprinderile publice locale</w:t>
      </w:r>
      <w:bookmarkEnd w:id="119"/>
      <w:bookmarkEnd w:id="120"/>
      <w:bookmarkEnd w:id="121"/>
      <w:bookmarkEnd w:id="122"/>
      <w:bookmarkEnd w:id="123"/>
      <w:bookmarkEnd w:id="124"/>
    </w:p>
    <w:p w14:paraId="2BBE73A5" w14:textId="77777777" w:rsidR="0040167B" w:rsidRPr="002E4516" w:rsidRDefault="0040167B" w:rsidP="0040167B">
      <w:pPr>
        <w:jc w:val="both"/>
        <w:rPr>
          <w:rFonts w:asciiTheme="majorHAnsi" w:hAnsiTheme="majorHAnsi" w:cstheme="majorHAnsi"/>
        </w:rPr>
      </w:pPr>
      <w:r w:rsidRPr="002E4516">
        <w:rPr>
          <w:rFonts w:asciiTheme="majorHAnsi" w:hAnsiTheme="majorHAnsi" w:cstheme="majorHAnsi"/>
        </w:rPr>
        <w:t xml:space="preserve">Conform prevederilor din Legea nr.111/2016 pentru aprobarea Ordonanței de Urgență a Guvernului nr. 109/2011 privind guvernanța corporativă a întreprinderilor publice, APTL aveau obligația </w:t>
      </w:r>
      <w:r w:rsidRPr="002E4516">
        <w:rPr>
          <w:rFonts w:asciiTheme="majorHAnsi" w:hAnsiTheme="majorHAnsi" w:cstheme="majorHAnsi"/>
          <w:b/>
        </w:rPr>
        <w:t>înființării</w:t>
      </w:r>
      <w:r w:rsidRPr="002E4516">
        <w:rPr>
          <w:rFonts w:asciiTheme="majorHAnsi" w:hAnsiTheme="majorHAnsi" w:cstheme="majorHAnsi"/>
        </w:rPr>
        <w:t xml:space="preserve"> </w:t>
      </w:r>
      <w:r w:rsidRPr="002E4516">
        <w:rPr>
          <w:rFonts w:asciiTheme="majorHAnsi" w:hAnsiTheme="majorHAnsi" w:cstheme="majorHAnsi"/>
          <w:b/>
        </w:rPr>
        <w:t>structurilor de guvernanță corporativă proprii</w:t>
      </w:r>
      <w:r w:rsidRPr="002E4516">
        <w:rPr>
          <w:rFonts w:asciiTheme="majorHAnsi" w:hAnsiTheme="majorHAnsi" w:cstheme="majorHAnsi"/>
        </w:rPr>
        <w:t xml:space="preserve"> care să asigure exercitarea atribuțiilor și competențelor prevăzute de legislația privind guvernanța corporativă. Printre atribuțiile specifice acestor structuri se regăsesc: monitorizarea și evaluarea indicatorilor de performanță financiari și nefinanciari anexați la contractul de mandat,  monitorizarea, evaluarea și raportarea către MF a aplicării prevederilor privind guvernanța corporativă de către ÎPL cât și a îndeplinirii atribuțiilor proprii în aplicarea prevederilor guvernanței corporative.</w:t>
      </w:r>
    </w:p>
    <w:p w14:paraId="44675DC7" w14:textId="77777777" w:rsidR="0040167B" w:rsidRPr="002E4516" w:rsidRDefault="0040167B" w:rsidP="0040167B">
      <w:pPr>
        <w:pStyle w:val="ListParagraph"/>
        <w:ind w:left="0"/>
        <w:jc w:val="both"/>
        <w:rPr>
          <w:rFonts w:asciiTheme="majorHAnsi" w:hAnsiTheme="majorHAnsi" w:cstheme="majorHAnsi"/>
        </w:rPr>
      </w:pPr>
      <w:r w:rsidRPr="002E4516">
        <w:rPr>
          <w:rFonts w:asciiTheme="majorHAnsi" w:hAnsiTheme="majorHAnsi" w:cstheme="majorHAnsi"/>
        </w:rPr>
        <w:t xml:space="preserve">În vederea îndeplinirii acestor obligații, la nivelul fiecărei APTL, se impune înființarea, prin regulament intern sau prin alte tipuri de reglementări interne, a unui </w:t>
      </w:r>
      <w:r w:rsidRPr="002E4516">
        <w:rPr>
          <w:rFonts w:asciiTheme="majorHAnsi" w:hAnsiTheme="majorHAnsi" w:cstheme="majorHAnsi"/>
          <w:b/>
        </w:rPr>
        <w:t xml:space="preserve">sistem intern de colectare, monitorizare, analiză și raportare </w:t>
      </w:r>
      <w:r w:rsidRPr="002E4516">
        <w:rPr>
          <w:rFonts w:asciiTheme="majorHAnsi" w:hAnsiTheme="majorHAnsi" w:cstheme="majorHAnsi"/>
          <w:bCs/>
        </w:rPr>
        <w:t>conform</w:t>
      </w:r>
      <w:r w:rsidRPr="002E4516">
        <w:rPr>
          <w:rFonts w:asciiTheme="majorHAnsi" w:hAnsiTheme="majorHAnsi" w:cstheme="majorHAnsi"/>
        </w:rPr>
        <w:t xml:space="preserve"> legislației aflate în vigoare, cât şi înfiinţarea </w:t>
      </w:r>
      <w:r w:rsidRPr="002E4516">
        <w:rPr>
          <w:rFonts w:asciiTheme="majorHAnsi" w:hAnsiTheme="majorHAnsi" w:cstheme="majorHAnsi"/>
          <w:b/>
        </w:rPr>
        <w:t>structurilor de guvernanță corporativă proprii</w:t>
      </w:r>
      <w:r w:rsidRPr="002E4516">
        <w:rPr>
          <w:rFonts w:asciiTheme="majorHAnsi" w:hAnsiTheme="majorHAnsi" w:cstheme="majorHAnsi"/>
        </w:rPr>
        <w:t xml:space="preserve"> care să asigure exercitarea atribuțiilor și competențelor prevăzute de legislația privind guvernanța corporativă. </w:t>
      </w:r>
    </w:p>
    <w:p w14:paraId="4C857728" w14:textId="77777777" w:rsidR="0040167B" w:rsidRPr="002E4516" w:rsidRDefault="0040167B" w:rsidP="0040167B">
      <w:pPr>
        <w:pStyle w:val="ListParagraph"/>
        <w:ind w:left="0"/>
        <w:jc w:val="both"/>
        <w:rPr>
          <w:rFonts w:asciiTheme="majorHAnsi" w:hAnsiTheme="majorHAnsi" w:cstheme="majorHAnsi"/>
        </w:rPr>
      </w:pPr>
    </w:p>
    <w:p w14:paraId="37390788" w14:textId="77777777" w:rsidR="0040167B" w:rsidRPr="002E4516" w:rsidRDefault="0040167B" w:rsidP="0040167B">
      <w:pPr>
        <w:pStyle w:val="ListParagraph"/>
        <w:ind w:left="0"/>
        <w:jc w:val="both"/>
        <w:rPr>
          <w:rFonts w:asciiTheme="majorHAnsi" w:hAnsiTheme="majorHAnsi" w:cstheme="majorHAnsi"/>
          <w:noProof/>
        </w:rPr>
      </w:pPr>
      <w:r w:rsidRPr="002E4516">
        <w:rPr>
          <w:rFonts w:asciiTheme="majorHAnsi" w:hAnsiTheme="majorHAnsi" w:cstheme="majorHAnsi"/>
        </w:rPr>
        <w:t xml:space="preserve">Pe parcursul  anului 2020, </w:t>
      </w:r>
      <w:r w:rsidRPr="002E4516">
        <w:rPr>
          <w:rFonts w:asciiTheme="majorHAnsi" w:hAnsiTheme="majorHAnsi" w:cstheme="majorHAnsi"/>
          <w:b/>
          <w:bCs/>
          <w:noProof/>
        </w:rPr>
        <w:t>din totalul de 832 entități care exercită calitatea de autoritate publică tutelară</w:t>
      </w:r>
      <w:r w:rsidRPr="002E4516">
        <w:rPr>
          <w:rFonts w:asciiTheme="majorHAnsi" w:hAnsiTheme="majorHAnsi" w:cstheme="majorHAnsi"/>
          <w:noProof/>
        </w:rPr>
        <w:t xml:space="preserve">, un număr de </w:t>
      </w:r>
      <w:r w:rsidRPr="002E4516">
        <w:rPr>
          <w:rFonts w:asciiTheme="majorHAnsi" w:hAnsiTheme="majorHAnsi" w:cstheme="majorHAnsi"/>
          <w:b/>
          <w:noProof/>
        </w:rPr>
        <w:t xml:space="preserve">215 APTL au declarat înființarea unei structuri proprii </w:t>
      </w:r>
      <w:r w:rsidRPr="002E4516">
        <w:rPr>
          <w:rFonts w:asciiTheme="majorHAnsi" w:hAnsiTheme="majorHAnsi" w:cstheme="majorHAnsi"/>
          <w:noProof/>
        </w:rPr>
        <w:t xml:space="preserve">de guvernanță care să asigure exercitarea atribuţiilor şi competenţelor prevăzute de  O.U.G. nr.109/2011. </w:t>
      </w:r>
    </w:p>
    <w:p w14:paraId="21E2C99F" w14:textId="77777777" w:rsidR="0040167B" w:rsidRPr="002E4516" w:rsidRDefault="0040167B" w:rsidP="0040167B">
      <w:pPr>
        <w:jc w:val="both"/>
        <w:rPr>
          <w:rFonts w:asciiTheme="majorHAnsi" w:hAnsiTheme="majorHAnsi" w:cstheme="majorHAnsi"/>
          <w:highlight w:val="yellow"/>
        </w:rPr>
      </w:pPr>
    </w:p>
    <w:p w14:paraId="145D8ABE" w14:textId="77777777" w:rsidR="0040167B" w:rsidRPr="002E4516" w:rsidRDefault="0040167B" w:rsidP="0040167B">
      <w:pPr>
        <w:jc w:val="both"/>
        <w:outlineLvl w:val="2"/>
        <w:rPr>
          <w:rFonts w:asciiTheme="majorHAnsi" w:hAnsiTheme="majorHAnsi" w:cstheme="majorHAnsi"/>
          <w:noProof/>
          <w:color w:val="0F6FC6" w:themeColor="accent1"/>
        </w:rPr>
      </w:pPr>
      <w:bookmarkStart w:id="125" w:name="_Toc16518187"/>
      <w:bookmarkStart w:id="126" w:name="_Toc59451807"/>
      <w:bookmarkStart w:id="127" w:name="_Toc87875972"/>
      <w:r w:rsidRPr="002E4516">
        <w:rPr>
          <w:rFonts w:asciiTheme="majorHAnsi" w:hAnsiTheme="majorHAnsi" w:cstheme="majorHAnsi"/>
          <w:b/>
          <w:bCs/>
          <w:color w:val="0F6FC6" w:themeColor="accent1"/>
          <w:sz w:val="28"/>
          <w:szCs w:val="28"/>
        </w:rPr>
        <w:t>4.1 – Stadiul transmiterii informațiilor de către autoritățile publice tutelare locale conform prevederilor O.M.F.P. nr. 1952/2018</w:t>
      </w:r>
      <w:bookmarkEnd w:id="125"/>
      <w:bookmarkEnd w:id="126"/>
      <w:bookmarkEnd w:id="127"/>
    </w:p>
    <w:p w14:paraId="63A0546B" w14:textId="77777777" w:rsidR="0040167B" w:rsidRPr="002E4516" w:rsidRDefault="0040167B" w:rsidP="0040167B">
      <w:pPr>
        <w:spacing w:after="0"/>
        <w:jc w:val="both"/>
        <w:rPr>
          <w:rFonts w:asciiTheme="majorHAnsi" w:hAnsiTheme="majorHAnsi" w:cstheme="majorHAnsi"/>
          <w:noProof/>
          <w:color w:val="0F6FC6" w:themeColor="accent1"/>
        </w:rPr>
      </w:pPr>
    </w:p>
    <w:p w14:paraId="18D36BF5" w14:textId="77777777" w:rsidR="0040167B" w:rsidRPr="002E4516" w:rsidRDefault="0040167B" w:rsidP="0040167B">
      <w:pPr>
        <w:pStyle w:val="NoSpacing"/>
        <w:spacing w:line="276" w:lineRule="auto"/>
        <w:jc w:val="both"/>
        <w:rPr>
          <w:rFonts w:asciiTheme="majorHAnsi" w:hAnsiTheme="majorHAnsi" w:cstheme="majorHAnsi"/>
          <w:noProof/>
        </w:rPr>
      </w:pPr>
      <w:r w:rsidRPr="002E4516">
        <w:rPr>
          <w:rFonts w:asciiTheme="majorHAnsi" w:hAnsiTheme="majorHAnsi" w:cstheme="majorHAnsi"/>
          <w:noProof/>
        </w:rPr>
        <w:t xml:space="preserve">În conformitate cu prevederile O.M.F.P. nr. 1952/2018 </w:t>
      </w:r>
      <w:r w:rsidRPr="002E4516">
        <w:rPr>
          <w:rFonts w:asciiTheme="majorHAnsi" w:hAnsiTheme="majorHAnsi" w:cstheme="majorHAnsi"/>
          <w:b/>
          <w:noProof/>
        </w:rPr>
        <w:t>un număr de 832 APTL aveau obligația</w:t>
      </w:r>
      <w:r w:rsidRPr="002E4516">
        <w:rPr>
          <w:rFonts w:asciiTheme="majorHAnsi" w:hAnsiTheme="majorHAnsi" w:cstheme="majorHAnsi"/>
          <w:noProof/>
        </w:rPr>
        <w:t xml:space="preserve"> de a transmite date și informații privind modul de aplicare a prevederilor privind guvernanța corporativă, </w:t>
      </w:r>
      <w:r w:rsidRPr="002E4516">
        <w:rPr>
          <w:rFonts w:asciiTheme="majorHAnsi" w:hAnsiTheme="majorHAnsi" w:cstheme="majorHAnsi"/>
          <w:b/>
          <w:noProof/>
        </w:rPr>
        <w:t>pentru un</w:t>
      </w:r>
      <w:r w:rsidRPr="002E4516">
        <w:rPr>
          <w:rFonts w:asciiTheme="majorHAnsi" w:hAnsiTheme="majorHAnsi" w:cstheme="majorHAnsi"/>
          <w:noProof/>
        </w:rPr>
        <w:t xml:space="preserve"> </w:t>
      </w:r>
      <w:r w:rsidRPr="002E4516">
        <w:rPr>
          <w:rFonts w:asciiTheme="majorHAnsi" w:hAnsiTheme="majorHAnsi" w:cstheme="majorHAnsi"/>
          <w:b/>
          <w:noProof/>
        </w:rPr>
        <w:t>număr de 1.193 ÎPL</w:t>
      </w:r>
      <w:r w:rsidRPr="002E4516">
        <w:rPr>
          <w:rFonts w:asciiTheme="majorHAnsi" w:hAnsiTheme="majorHAnsi" w:cstheme="majorHAnsi"/>
          <w:noProof/>
        </w:rPr>
        <w:t xml:space="preserve">. Această </w:t>
      </w:r>
      <w:r w:rsidRPr="002E4516">
        <w:rPr>
          <w:rFonts w:asciiTheme="majorHAnsi" w:hAnsiTheme="majorHAnsi" w:cstheme="majorHAnsi"/>
          <w:b/>
          <w:noProof/>
        </w:rPr>
        <w:t>obligație a fost</w:t>
      </w:r>
      <w:r w:rsidRPr="002E4516">
        <w:rPr>
          <w:rFonts w:asciiTheme="majorHAnsi" w:hAnsiTheme="majorHAnsi" w:cstheme="majorHAnsi"/>
          <w:noProof/>
        </w:rPr>
        <w:t xml:space="preserve"> </w:t>
      </w:r>
      <w:r w:rsidRPr="002E4516">
        <w:rPr>
          <w:rFonts w:asciiTheme="majorHAnsi" w:hAnsiTheme="majorHAnsi" w:cstheme="majorHAnsi"/>
          <w:b/>
          <w:noProof/>
        </w:rPr>
        <w:t>îndeplinită de</w:t>
      </w:r>
      <w:r w:rsidRPr="002E4516">
        <w:rPr>
          <w:rFonts w:asciiTheme="majorHAnsi" w:hAnsiTheme="majorHAnsi" w:cstheme="majorHAnsi"/>
          <w:noProof/>
        </w:rPr>
        <w:t xml:space="preserve"> </w:t>
      </w:r>
      <w:r w:rsidRPr="002E4516">
        <w:rPr>
          <w:rFonts w:asciiTheme="majorHAnsi" w:hAnsiTheme="majorHAnsi" w:cstheme="majorHAnsi"/>
          <w:b/>
          <w:noProof/>
        </w:rPr>
        <w:t xml:space="preserve">313 APTL </w:t>
      </w:r>
      <w:r w:rsidRPr="002E4516">
        <w:rPr>
          <w:rFonts w:asciiTheme="majorHAnsi" w:hAnsiTheme="majorHAnsi" w:cstheme="majorHAnsi"/>
          <w:bCs/>
          <w:noProof/>
        </w:rPr>
        <w:t xml:space="preserve">pentru </w:t>
      </w:r>
      <w:r w:rsidRPr="002E4516">
        <w:rPr>
          <w:rFonts w:asciiTheme="majorHAnsi" w:hAnsiTheme="majorHAnsi" w:cstheme="majorHAnsi"/>
          <w:noProof/>
        </w:rPr>
        <w:t xml:space="preserve">un număr de </w:t>
      </w:r>
      <w:r w:rsidRPr="002E4516">
        <w:rPr>
          <w:rFonts w:asciiTheme="majorHAnsi" w:hAnsiTheme="majorHAnsi" w:cstheme="majorHAnsi"/>
          <w:b/>
          <w:noProof/>
        </w:rPr>
        <w:t xml:space="preserve">479 ÎPL, aflate în subordinea, în coordonarea, sub autoritatea ori în portofoliul acestora. </w:t>
      </w:r>
    </w:p>
    <w:p w14:paraId="01E15CBE" w14:textId="77777777" w:rsidR="0040167B" w:rsidRPr="002E4516" w:rsidRDefault="0040167B" w:rsidP="0040167B">
      <w:pPr>
        <w:spacing w:after="0"/>
        <w:jc w:val="both"/>
        <w:rPr>
          <w:rFonts w:asciiTheme="majorHAnsi" w:hAnsiTheme="majorHAnsi" w:cstheme="majorHAnsi"/>
          <w:noProof/>
        </w:rPr>
      </w:pPr>
      <w:r w:rsidRPr="002E4516">
        <w:rPr>
          <w:rFonts w:asciiTheme="majorHAnsi" w:hAnsiTheme="majorHAnsi" w:cstheme="majorHAnsi"/>
          <w:noProof/>
        </w:rPr>
        <w:t xml:space="preserve">Astfel, se constată  </w:t>
      </w:r>
      <w:r w:rsidRPr="002E4516">
        <w:rPr>
          <w:rFonts w:asciiTheme="majorHAnsi" w:hAnsiTheme="majorHAnsi" w:cstheme="majorHAnsi"/>
          <w:b/>
          <w:noProof/>
        </w:rPr>
        <w:t xml:space="preserve">un grad de conformare de 40% </w:t>
      </w:r>
      <w:r w:rsidRPr="002E4516">
        <w:rPr>
          <w:rFonts w:asciiTheme="majorHAnsi" w:hAnsiTheme="majorHAnsi" w:cstheme="majorHAnsi"/>
          <w:noProof/>
        </w:rPr>
        <w:t>în ceea ce privește transmiterea datelor și informațiilor de către APTL privind modul de aplicare a prevederilor privind guvernanța corporativă.</w:t>
      </w:r>
    </w:p>
    <w:tbl>
      <w:tblPr>
        <w:tblStyle w:val="TableGrid"/>
        <w:tblW w:w="90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66"/>
        <w:gridCol w:w="222"/>
      </w:tblGrid>
      <w:tr w:rsidR="0040167B" w:rsidRPr="002E4516" w14:paraId="47F0A902" w14:textId="77777777" w:rsidTr="007928FE">
        <w:tc>
          <w:tcPr>
            <w:tcW w:w="8839" w:type="dxa"/>
          </w:tcPr>
          <w:p w14:paraId="3DAF841F" w14:textId="77777777" w:rsidR="0040167B" w:rsidRPr="002E4516" w:rsidRDefault="0040167B" w:rsidP="00B06C32">
            <w:pPr>
              <w:rPr>
                <w:rFonts w:asciiTheme="majorHAnsi" w:hAnsiTheme="majorHAnsi" w:cstheme="majorHAnsi"/>
              </w:rPr>
            </w:pPr>
            <w:r w:rsidRPr="002E4516">
              <w:rPr>
                <w:rFonts w:asciiTheme="majorHAnsi" w:hAnsiTheme="majorHAnsi" w:cstheme="majorHAnsi"/>
                <w:noProof/>
                <w:lang w:val="en-US"/>
              </w:rPr>
              <w:drawing>
                <wp:inline distT="0" distB="0" distL="0" distR="0" wp14:anchorId="39110914" wp14:editId="56B1E282">
                  <wp:extent cx="6000750" cy="2428875"/>
                  <wp:effectExtent l="0" t="0" r="0" b="0"/>
                  <wp:docPr id="22" name="Chart 2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236" w:type="dxa"/>
          </w:tcPr>
          <w:p w14:paraId="116C5B5B" w14:textId="77777777" w:rsidR="0040167B" w:rsidRPr="002E4516" w:rsidRDefault="0040167B" w:rsidP="00B06C32">
            <w:pPr>
              <w:rPr>
                <w:rFonts w:asciiTheme="majorHAnsi" w:hAnsiTheme="majorHAnsi" w:cstheme="majorHAnsi"/>
                <w:noProof/>
                <w:lang w:eastAsia="ro-RO"/>
              </w:rPr>
            </w:pPr>
          </w:p>
          <w:p w14:paraId="04F95E1F" w14:textId="77777777" w:rsidR="0040167B" w:rsidRPr="002E4516" w:rsidRDefault="0040167B" w:rsidP="00B06C32">
            <w:pPr>
              <w:rPr>
                <w:rFonts w:asciiTheme="majorHAnsi" w:hAnsiTheme="majorHAnsi" w:cstheme="majorHAnsi"/>
                <w:noProof/>
                <w:lang w:eastAsia="ro-RO"/>
              </w:rPr>
            </w:pPr>
          </w:p>
          <w:p w14:paraId="6D9C773E" w14:textId="77777777" w:rsidR="0040167B" w:rsidRPr="002E4516" w:rsidRDefault="0040167B" w:rsidP="00B06C32">
            <w:pPr>
              <w:rPr>
                <w:rFonts w:asciiTheme="majorHAnsi" w:hAnsiTheme="majorHAnsi" w:cstheme="majorHAnsi"/>
                <w:noProof/>
                <w:lang w:eastAsia="ro-RO"/>
              </w:rPr>
            </w:pPr>
          </w:p>
          <w:p w14:paraId="26977744" w14:textId="77777777" w:rsidR="0040167B" w:rsidRPr="002E4516" w:rsidRDefault="0040167B" w:rsidP="00B06C32">
            <w:pPr>
              <w:rPr>
                <w:rFonts w:asciiTheme="majorHAnsi" w:hAnsiTheme="majorHAnsi" w:cstheme="majorHAnsi"/>
                <w:noProof/>
                <w:lang w:eastAsia="ro-RO"/>
              </w:rPr>
            </w:pPr>
          </w:p>
          <w:p w14:paraId="1BC73B5B" w14:textId="77777777" w:rsidR="0040167B" w:rsidRPr="002E4516" w:rsidRDefault="0040167B" w:rsidP="00B06C32">
            <w:pPr>
              <w:rPr>
                <w:rFonts w:asciiTheme="majorHAnsi" w:hAnsiTheme="majorHAnsi" w:cstheme="majorHAnsi"/>
                <w:noProof/>
                <w:lang w:eastAsia="ro-RO"/>
              </w:rPr>
            </w:pPr>
          </w:p>
          <w:p w14:paraId="453CC8C2" w14:textId="77777777" w:rsidR="0040167B" w:rsidRPr="002E4516" w:rsidRDefault="0040167B" w:rsidP="00B06C32">
            <w:pPr>
              <w:rPr>
                <w:rFonts w:asciiTheme="majorHAnsi" w:hAnsiTheme="majorHAnsi" w:cstheme="majorHAnsi"/>
                <w:noProof/>
                <w:lang w:eastAsia="ro-RO"/>
              </w:rPr>
            </w:pPr>
          </w:p>
          <w:p w14:paraId="47EE84E1" w14:textId="77777777" w:rsidR="0040167B" w:rsidRPr="002E4516" w:rsidRDefault="0040167B" w:rsidP="00B06C32">
            <w:pPr>
              <w:rPr>
                <w:rFonts w:asciiTheme="majorHAnsi" w:hAnsiTheme="majorHAnsi" w:cstheme="majorHAnsi"/>
                <w:noProof/>
                <w:lang w:eastAsia="ro-RO"/>
              </w:rPr>
            </w:pPr>
          </w:p>
          <w:p w14:paraId="246C93BE" w14:textId="77777777" w:rsidR="0040167B" w:rsidRPr="002E4516" w:rsidRDefault="0040167B" w:rsidP="00B06C32">
            <w:pPr>
              <w:rPr>
                <w:rFonts w:asciiTheme="majorHAnsi" w:hAnsiTheme="majorHAnsi" w:cstheme="majorHAnsi"/>
                <w:noProof/>
                <w:lang w:eastAsia="ro-RO"/>
              </w:rPr>
            </w:pPr>
          </w:p>
          <w:p w14:paraId="746C97FE" w14:textId="77777777" w:rsidR="0040167B" w:rsidRPr="002E4516" w:rsidRDefault="0040167B" w:rsidP="00B06C32">
            <w:pPr>
              <w:rPr>
                <w:rFonts w:asciiTheme="majorHAnsi" w:hAnsiTheme="majorHAnsi" w:cstheme="majorHAnsi"/>
                <w:noProof/>
                <w:lang w:eastAsia="ro-RO"/>
              </w:rPr>
            </w:pPr>
          </w:p>
          <w:p w14:paraId="050FDF6B" w14:textId="77777777" w:rsidR="0040167B" w:rsidRPr="002E4516" w:rsidRDefault="0040167B" w:rsidP="00B06C32">
            <w:pPr>
              <w:rPr>
                <w:rFonts w:asciiTheme="majorHAnsi" w:hAnsiTheme="majorHAnsi" w:cstheme="majorHAnsi"/>
                <w:noProof/>
                <w:lang w:eastAsia="ro-RO"/>
              </w:rPr>
            </w:pPr>
          </w:p>
          <w:p w14:paraId="4CFAADF7" w14:textId="77777777" w:rsidR="0040167B" w:rsidRPr="002E4516" w:rsidRDefault="0040167B" w:rsidP="00B06C32">
            <w:pPr>
              <w:rPr>
                <w:rFonts w:asciiTheme="majorHAnsi" w:hAnsiTheme="majorHAnsi" w:cstheme="majorHAnsi"/>
              </w:rPr>
            </w:pPr>
          </w:p>
        </w:tc>
      </w:tr>
      <w:tr w:rsidR="0040167B" w:rsidRPr="002E4516" w14:paraId="49E427C0" w14:textId="77777777" w:rsidTr="007928FE">
        <w:tc>
          <w:tcPr>
            <w:tcW w:w="8839" w:type="dxa"/>
          </w:tcPr>
          <w:p w14:paraId="7690881E" w14:textId="77777777" w:rsidR="0040167B" w:rsidRPr="002E4516" w:rsidRDefault="0040167B" w:rsidP="00B06C32">
            <w:pPr>
              <w:rPr>
                <w:rFonts w:asciiTheme="majorHAnsi" w:hAnsiTheme="majorHAnsi" w:cstheme="majorHAnsi"/>
                <w:noProof/>
              </w:rPr>
            </w:pPr>
            <w:r w:rsidRPr="002E4516">
              <w:rPr>
                <w:rFonts w:asciiTheme="majorHAnsi" w:hAnsiTheme="majorHAnsi" w:cstheme="majorHAnsi"/>
                <w:noProof/>
                <w:lang w:val="en-US"/>
              </w:rPr>
              <w:drawing>
                <wp:inline distT="0" distB="0" distL="0" distR="0" wp14:anchorId="6321E293" wp14:editId="1AFAE4BC">
                  <wp:extent cx="4572000" cy="2743200"/>
                  <wp:effectExtent l="0" t="0" r="0" b="0"/>
                  <wp:docPr id="23" name="Chart 23">
                    <a:extLst xmlns:a="http://schemas.openxmlformats.org/drawingml/2006/main">
                      <a:ext uri="{FF2B5EF4-FFF2-40B4-BE49-F238E27FC236}">
                        <a16:creationId xmlns:a16="http://schemas.microsoft.com/office/drawing/2014/main" id="{E0AA133F-F4C3-4FCA-BB06-CE67D3A30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236" w:type="dxa"/>
          </w:tcPr>
          <w:p w14:paraId="21C2D14C" w14:textId="77777777" w:rsidR="0040167B" w:rsidRPr="002E4516" w:rsidRDefault="0040167B" w:rsidP="00B06C32">
            <w:pPr>
              <w:rPr>
                <w:rFonts w:asciiTheme="majorHAnsi" w:hAnsiTheme="majorHAnsi" w:cstheme="majorHAnsi"/>
                <w:noProof/>
                <w:lang w:eastAsia="ro-RO"/>
              </w:rPr>
            </w:pPr>
          </w:p>
        </w:tc>
      </w:tr>
    </w:tbl>
    <w:p w14:paraId="50D5D41B" w14:textId="77777777" w:rsidR="0040167B" w:rsidRPr="002E4516" w:rsidRDefault="0040167B" w:rsidP="0040167B">
      <w:pPr>
        <w:rPr>
          <w:rFonts w:asciiTheme="majorHAnsi" w:hAnsiTheme="majorHAnsi" w:cstheme="majorHAnsi"/>
        </w:rPr>
      </w:pPr>
    </w:p>
    <w:p w14:paraId="3636E41B" w14:textId="77777777" w:rsidR="0040167B" w:rsidRPr="002E4516" w:rsidRDefault="0040167B" w:rsidP="0040167B">
      <w:pPr>
        <w:spacing w:before="0" w:after="0"/>
        <w:jc w:val="both"/>
        <w:rPr>
          <w:rFonts w:asciiTheme="majorHAnsi" w:hAnsiTheme="majorHAnsi" w:cstheme="majorHAnsi"/>
          <w:noProof/>
          <w:lang w:val="en-US"/>
        </w:rPr>
      </w:pPr>
      <w:r w:rsidRPr="002E4516">
        <w:rPr>
          <w:rFonts w:asciiTheme="majorHAnsi" w:hAnsiTheme="majorHAnsi" w:cstheme="majorHAnsi"/>
          <w:noProof/>
        </w:rPr>
        <w:t>Astfel dupa forma de organizare, intreprinderile publice locale sunt grupate astfel:</w:t>
      </w:r>
    </w:p>
    <w:p w14:paraId="72D9A08B" w14:textId="77777777" w:rsidR="0040167B" w:rsidRPr="002E4516" w:rsidRDefault="0040167B" w:rsidP="0040167B">
      <w:pPr>
        <w:spacing w:before="0" w:after="0"/>
        <w:jc w:val="both"/>
        <w:rPr>
          <w:rFonts w:asciiTheme="majorHAnsi" w:hAnsiTheme="majorHAnsi" w:cstheme="majorHAnsi"/>
          <w:noProof/>
          <w:lang w:val="en-US"/>
        </w:rPr>
      </w:pPr>
      <w:r w:rsidRPr="002E4516">
        <w:rPr>
          <w:rFonts w:asciiTheme="majorHAnsi" w:hAnsiTheme="majorHAnsi" w:cstheme="majorHAnsi"/>
          <w:noProof/>
          <w:lang w:val="en-US"/>
        </w:rPr>
        <w:t>-</w:t>
      </w:r>
      <w:r w:rsidRPr="002E4516">
        <w:rPr>
          <w:rFonts w:asciiTheme="majorHAnsi" w:hAnsiTheme="majorHAnsi" w:cstheme="majorHAnsi"/>
          <w:noProof/>
        </w:rPr>
        <w:t xml:space="preserve"> 69% din totalul ÎPL organizate sub formă de societăți cu răspundere limitată; </w:t>
      </w:r>
    </w:p>
    <w:p w14:paraId="21F0F24E" w14:textId="77777777" w:rsidR="0040167B" w:rsidRPr="002E4516" w:rsidRDefault="0040167B" w:rsidP="0040167B">
      <w:pPr>
        <w:spacing w:before="0" w:after="0"/>
        <w:jc w:val="both"/>
        <w:rPr>
          <w:rFonts w:asciiTheme="majorHAnsi" w:hAnsiTheme="majorHAnsi" w:cstheme="majorHAnsi"/>
          <w:noProof/>
        </w:rPr>
      </w:pPr>
      <w:r w:rsidRPr="002E4516">
        <w:rPr>
          <w:rFonts w:asciiTheme="majorHAnsi" w:hAnsiTheme="majorHAnsi" w:cstheme="majorHAnsi"/>
          <w:noProof/>
        </w:rPr>
        <w:t>- 24% din totalul ÎPL organizate sub formă de societăți pe acțiuni;</w:t>
      </w:r>
    </w:p>
    <w:p w14:paraId="338C4CEA" w14:textId="77777777" w:rsidR="0040167B" w:rsidRPr="002E4516" w:rsidRDefault="0040167B" w:rsidP="0040167B">
      <w:pPr>
        <w:spacing w:before="0" w:after="0"/>
        <w:jc w:val="both"/>
        <w:rPr>
          <w:rFonts w:asciiTheme="majorHAnsi" w:hAnsiTheme="majorHAnsi" w:cstheme="majorHAnsi"/>
          <w:noProof/>
        </w:rPr>
      </w:pPr>
      <w:r w:rsidRPr="002E4516">
        <w:rPr>
          <w:rFonts w:asciiTheme="majorHAnsi" w:hAnsiTheme="majorHAnsi" w:cstheme="majorHAnsi"/>
          <w:noProof/>
        </w:rPr>
        <w:t>- 7% din totalul ÎPL organizate sub formă de regii autonome.</w:t>
      </w:r>
      <w:r w:rsidRPr="002E4516">
        <w:rPr>
          <w:rFonts w:asciiTheme="majorHAnsi" w:hAnsiTheme="majorHAnsi" w:cstheme="majorHAnsi"/>
          <w:noProof/>
        </w:rPr>
        <w:tab/>
      </w:r>
    </w:p>
    <w:p w14:paraId="286F77CA" w14:textId="77777777" w:rsidR="0040167B" w:rsidRPr="002E4516" w:rsidRDefault="0040167B" w:rsidP="0040167B">
      <w:pPr>
        <w:rPr>
          <w:rFonts w:asciiTheme="majorHAnsi" w:hAnsiTheme="majorHAnsi" w:cstheme="majorHAnsi"/>
        </w:rPr>
      </w:pPr>
    </w:p>
    <w:p w14:paraId="57533E7F" w14:textId="77777777" w:rsidR="0040167B" w:rsidRPr="002E4516" w:rsidRDefault="0040167B" w:rsidP="0040167B">
      <w:pPr>
        <w:pStyle w:val="ListParagraph"/>
        <w:ind w:left="0"/>
        <w:jc w:val="both"/>
        <w:outlineLvl w:val="2"/>
        <w:rPr>
          <w:rFonts w:asciiTheme="majorHAnsi" w:hAnsiTheme="majorHAnsi" w:cstheme="majorHAnsi"/>
          <w:b/>
          <w:bCs/>
          <w:color w:val="0F6FC6" w:themeColor="accent1"/>
          <w:sz w:val="28"/>
          <w:szCs w:val="28"/>
        </w:rPr>
      </w:pPr>
      <w:bookmarkStart w:id="128" w:name="_Toc490763882"/>
      <w:bookmarkStart w:id="129" w:name="_Toc490763714"/>
      <w:bookmarkStart w:id="130" w:name="_Toc490763533"/>
      <w:bookmarkStart w:id="131" w:name="_Toc16518188"/>
      <w:bookmarkStart w:id="132" w:name="_Toc519186404"/>
      <w:bookmarkStart w:id="133" w:name="_Toc59451808"/>
      <w:bookmarkStart w:id="134" w:name="_Toc87875973"/>
      <w:r w:rsidRPr="002E4516">
        <w:rPr>
          <w:rFonts w:asciiTheme="majorHAnsi" w:hAnsiTheme="majorHAnsi" w:cstheme="majorHAnsi"/>
          <w:b/>
          <w:bCs/>
          <w:color w:val="0F6FC6" w:themeColor="accent1"/>
          <w:sz w:val="28"/>
          <w:szCs w:val="28"/>
        </w:rPr>
        <w:t xml:space="preserve">4.2 - Stadiul procesului de selecție a administratorilor și a directorilor la </w:t>
      </w:r>
      <w:bookmarkEnd w:id="128"/>
      <w:bookmarkEnd w:id="129"/>
      <w:bookmarkEnd w:id="130"/>
      <w:r w:rsidRPr="002E4516">
        <w:rPr>
          <w:rFonts w:asciiTheme="majorHAnsi" w:hAnsiTheme="majorHAnsi" w:cstheme="majorHAnsi"/>
          <w:b/>
          <w:bCs/>
          <w:color w:val="0F6FC6" w:themeColor="accent1"/>
          <w:sz w:val="28"/>
          <w:szCs w:val="28"/>
        </w:rPr>
        <w:t>întreprinderile publice locale</w:t>
      </w:r>
      <w:bookmarkEnd w:id="131"/>
      <w:bookmarkEnd w:id="132"/>
      <w:bookmarkEnd w:id="133"/>
      <w:bookmarkEnd w:id="134"/>
    </w:p>
    <w:tbl>
      <w:tblPr>
        <w:tblW w:w="9135" w:type="dxa"/>
        <w:tblInd w:w="-10" w:type="dxa"/>
        <w:tblLook w:val="04A0" w:firstRow="1" w:lastRow="0" w:firstColumn="1" w:lastColumn="0" w:noHBand="0" w:noVBand="1"/>
      </w:tblPr>
      <w:tblGrid>
        <w:gridCol w:w="1778"/>
        <w:gridCol w:w="1056"/>
        <w:gridCol w:w="1168"/>
        <w:gridCol w:w="1003"/>
        <w:gridCol w:w="1003"/>
        <w:gridCol w:w="1005"/>
        <w:gridCol w:w="1117"/>
        <w:gridCol w:w="1005"/>
      </w:tblGrid>
      <w:tr w:rsidR="0040167B" w:rsidRPr="002E4516" w14:paraId="7BA46D14" w14:textId="77777777" w:rsidTr="00B06C32">
        <w:trPr>
          <w:trHeight w:val="399"/>
        </w:trPr>
        <w:tc>
          <w:tcPr>
            <w:tcW w:w="9135" w:type="dxa"/>
            <w:gridSpan w:val="8"/>
            <w:tcBorders>
              <w:top w:val="single" w:sz="8" w:space="0" w:color="FFFFFF"/>
              <w:left w:val="single" w:sz="8" w:space="0" w:color="FFFFFF"/>
              <w:bottom w:val="nil"/>
              <w:right w:val="single" w:sz="8" w:space="0" w:color="FFFFFF"/>
            </w:tcBorders>
            <w:vAlign w:val="center"/>
            <w:hideMark/>
          </w:tcPr>
          <w:p w14:paraId="2F917E3B" w14:textId="77777777" w:rsidR="0040167B" w:rsidRPr="002E4516" w:rsidRDefault="0040167B" w:rsidP="00B06C32">
            <w:pPr>
              <w:spacing w:before="0" w:after="0" w:line="240" w:lineRule="auto"/>
              <w:ind w:left="-108"/>
              <w:jc w:val="both"/>
              <w:rPr>
                <w:rFonts w:asciiTheme="majorHAnsi" w:eastAsia="Times New Roman" w:hAnsiTheme="majorHAnsi" w:cstheme="majorHAnsi"/>
                <w:color w:val="0F6FC6" w:themeColor="accent1"/>
                <w:lang w:eastAsia="ro-RO"/>
              </w:rPr>
            </w:pPr>
            <w:r w:rsidRPr="002E4516">
              <w:rPr>
                <w:rFonts w:asciiTheme="majorHAnsi" w:eastAsia="Times New Roman" w:hAnsiTheme="majorHAnsi" w:cstheme="majorHAnsi"/>
                <w:color w:val="0F6FC6" w:themeColor="accent1"/>
                <w:lang w:eastAsia="ro-RO"/>
              </w:rPr>
              <w:t xml:space="preserve"> Stadiul procesului de selecție a consiliului de administrație/supraveghere la ÎPL conform O.U.G. nr 109/2011</w:t>
            </w:r>
            <w:r w:rsidRPr="002E4516">
              <w:rPr>
                <w:rFonts w:asciiTheme="majorHAnsi" w:hAnsiTheme="majorHAnsi" w:cstheme="majorHAnsi"/>
                <w:noProof/>
                <w:vertAlign w:val="superscript"/>
              </w:rPr>
              <w:footnoteReference w:id="11"/>
            </w:r>
            <w:r w:rsidRPr="002E4516">
              <w:rPr>
                <w:rFonts w:asciiTheme="majorHAnsi" w:eastAsia="Times New Roman" w:hAnsiTheme="majorHAnsi" w:cstheme="majorHAnsi"/>
                <w:color w:val="0F6FC6" w:themeColor="accent1"/>
                <w:lang w:eastAsia="ro-RO"/>
              </w:rPr>
              <w:t xml:space="preserve"> în perioada 01.01.2020 - 31.12.2020, conform informațiilor transmise de către APTL</w:t>
            </w:r>
          </w:p>
        </w:tc>
      </w:tr>
      <w:tr w:rsidR="0040167B" w:rsidRPr="002E4516" w14:paraId="725547D4" w14:textId="77777777" w:rsidTr="00B06C32">
        <w:trPr>
          <w:trHeight w:val="135"/>
        </w:trPr>
        <w:tc>
          <w:tcPr>
            <w:tcW w:w="1778" w:type="dxa"/>
            <w:vMerge w:val="restart"/>
            <w:tcBorders>
              <w:top w:val="single" w:sz="4" w:space="0" w:color="95B3D7"/>
              <w:left w:val="single" w:sz="4" w:space="0" w:color="FFFFFF"/>
              <w:bottom w:val="single" w:sz="4" w:space="0" w:color="95B3D7"/>
              <w:right w:val="single" w:sz="4" w:space="0" w:color="FFFFFF"/>
            </w:tcBorders>
            <w:noWrap/>
            <w:hideMark/>
          </w:tcPr>
          <w:p w14:paraId="6DF99BB0"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Anul</w:t>
            </w:r>
          </w:p>
        </w:tc>
        <w:tc>
          <w:tcPr>
            <w:tcW w:w="1056" w:type="dxa"/>
            <w:vMerge w:val="restart"/>
            <w:tcBorders>
              <w:top w:val="single" w:sz="4" w:space="0" w:color="95B3D7"/>
              <w:left w:val="single" w:sz="4" w:space="0" w:color="FFFFFF"/>
              <w:bottom w:val="single" w:sz="4" w:space="0" w:color="95B3D7"/>
              <w:right w:val="single" w:sz="4" w:space="0" w:color="FFFFFF"/>
            </w:tcBorders>
            <w:shd w:val="clear" w:color="auto" w:fill="FFFFFF"/>
            <w:hideMark/>
          </w:tcPr>
          <w:p w14:paraId="1BD69FDB" w14:textId="7449B5C4"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 xml:space="preserve"> ÎPL obligate la aplicarea prevederilor OUG nr. 109/2011</w:t>
            </w:r>
          </w:p>
        </w:tc>
        <w:tc>
          <w:tcPr>
            <w:tcW w:w="5296" w:type="dxa"/>
            <w:gridSpan w:val="5"/>
            <w:tcBorders>
              <w:top w:val="single" w:sz="4" w:space="0" w:color="95B3D7"/>
              <w:left w:val="nil"/>
              <w:bottom w:val="single" w:sz="4" w:space="0" w:color="95B3D7"/>
              <w:right w:val="single" w:sz="4" w:space="0" w:color="FFFFFF"/>
            </w:tcBorders>
            <w:shd w:val="clear" w:color="auto" w:fill="FFFFFF"/>
            <w:vAlign w:val="center"/>
            <w:hideMark/>
          </w:tcPr>
          <w:p w14:paraId="13BF6436"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din care:</w:t>
            </w:r>
          </w:p>
        </w:tc>
        <w:tc>
          <w:tcPr>
            <w:tcW w:w="1005" w:type="dxa"/>
            <w:tcBorders>
              <w:top w:val="single" w:sz="4" w:space="0" w:color="95B3D7"/>
              <w:left w:val="nil"/>
              <w:bottom w:val="single" w:sz="4" w:space="0" w:color="95B3D7"/>
              <w:right w:val="single" w:sz="4" w:space="0" w:color="FFFFFF"/>
            </w:tcBorders>
            <w:shd w:val="clear" w:color="auto" w:fill="FFFFFF"/>
            <w:vAlign w:val="center"/>
            <w:hideMark/>
          </w:tcPr>
          <w:p w14:paraId="30742251"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 </w:t>
            </w:r>
          </w:p>
        </w:tc>
      </w:tr>
      <w:tr w:rsidR="0040167B" w:rsidRPr="002E4516" w14:paraId="30412BD3" w14:textId="77777777" w:rsidTr="00B06C32">
        <w:trPr>
          <w:trHeight w:val="135"/>
        </w:trPr>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4CB17804"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4F560FCA"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1168" w:type="dxa"/>
            <w:vMerge w:val="restart"/>
            <w:tcBorders>
              <w:top w:val="nil"/>
              <w:left w:val="single" w:sz="4" w:space="0" w:color="FFFFFF"/>
              <w:bottom w:val="single" w:sz="4" w:space="0" w:color="95B3D7"/>
              <w:right w:val="single" w:sz="4" w:space="0" w:color="FFFFFF"/>
            </w:tcBorders>
            <w:shd w:val="clear" w:color="auto" w:fill="FFFFFF"/>
            <w:hideMark/>
          </w:tcPr>
          <w:p w14:paraId="33A88629"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 TOTAL ÎPL în diferite stadii ale procesului de selecție, respectiv declanșat și definitivat</w:t>
            </w:r>
          </w:p>
        </w:tc>
        <w:tc>
          <w:tcPr>
            <w:tcW w:w="3011" w:type="dxa"/>
            <w:gridSpan w:val="3"/>
            <w:tcBorders>
              <w:top w:val="single" w:sz="4" w:space="0" w:color="95B3D7"/>
              <w:left w:val="nil"/>
              <w:bottom w:val="single" w:sz="4" w:space="0" w:color="95B3D7"/>
              <w:right w:val="single" w:sz="4" w:space="0" w:color="FFFFFF"/>
            </w:tcBorders>
            <w:noWrap/>
            <w:hideMark/>
          </w:tcPr>
          <w:p w14:paraId="632F9B33"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din care:</w:t>
            </w:r>
          </w:p>
        </w:tc>
        <w:tc>
          <w:tcPr>
            <w:tcW w:w="1117" w:type="dxa"/>
            <w:vMerge w:val="restart"/>
            <w:tcBorders>
              <w:top w:val="nil"/>
              <w:left w:val="single" w:sz="4" w:space="0" w:color="FFFFFF"/>
              <w:bottom w:val="single" w:sz="4" w:space="0" w:color="95B3D7"/>
              <w:right w:val="single" w:sz="4" w:space="0" w:color="FFFFFF"/>
            </w:tcBorders>
            <w:shd w:val="clear" w:color="auto" w:fill="FFFFFF"/>
            <w:hideMark/>
          </w:tcPr>
          <w:p w14:paraId="3461D83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b) TOTAL ÎPL pentru care procedura este nedeclanșată</w:t>
            </w:r>
          </w:p>
        </w:tc>
        <w:tc>
          <w:tcPr>
            <w:tcW w:w="1005" w:type="dxa"/>
            <w:vMerge w:val="restart"/>
            <w:tcBorders>
              <w:top w:val="nil"/>
              <w:left w:val="single" w:sz="4" w:space="0" w:color="FFFFFF"/>
              <w:bottom w:val="single" w:sz="4" w:space="0" w:color="95B3D7"/>
              <w:right w:val="single" w:sz="4" w:space="0" w:color="FFFFFF"/>
            </w:tcBorders>
            <w:shd w:val="clear" w:color="auto" w:fill="FFFFFF"/>
            <w:hideMark/>
          </w:tcPr>
          <w:p w14:paraId="28B12E12"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c) Total ÎPL pentru care APTL nu a transmis informații</w:t>
            </w:r>
          </w:p>
        </w:tc>
      </w:tr>
      <w:tr w:rsidR="0040167B" w:rsidRPr="002E4516" w14:paraId="0FE3CAE4" w14:textId="77777777" w:rsidTr="00B06C32">
        <w:trPr>
          <w:trHeight w:val="1177"/>
        </w:trPr>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4F3B1BD6"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29A7C6F2"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0" w:type="auto"/>
            <w:vMerge/>
            <w:tcBorders>
              <w:top w:val="nil"/>
              <w:left w:val="single" w:sz="4" w:space="0" w:color="FFFFFF"/>
              <w:bottom w:val="single" w:sz="4" w:space="0" w:color="95B3D7"/>
              <w:right w:val="single" w:sz="4" w:space="0" w:color="FFFFFF"/>
            </w:tcBorders>
            <w:vAlign w:val="center"/>
            <w:hideMark/>
          </w:tcPr>
          <w:p w14:paraId="24880277"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1003" w:type="dxa"/>
            <w:tcBorders>
              <w:top w:val="nil"/>
              <w:left w:val="nil"/>
              <w:bottom w:val="single" w:sz="4" w:space="0" w:color="95B3D7"/>
              <w:right w:val="single" w:sz="4" w:space="0" w:color="FFFFFF"/>
            </w:tcBorders>
            <w:shd w:val="clear" w:color="auto" w:fill="FFFFFF"/>
            <w:hideMark/>
          </w:tcPr>
          <w:p w14:paraId="10D34CD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procedură definitivată</w:t>
            </w:r>
          </w:p>
        </w:tc>
        <w:tc>
          <w:tcPr>
            <w:tcW w:w="1003" w:type="dxa"/>
            <w:tcBorders>
              <w:top w:val="nil"/>
              <w:left w:val="nil"/>
              <w:bottom w:val="single" w:sz="4" w:space="0" w:color="95B3D7"/>
              <w:right w:val="single" w:sz="4" w:space="0" w:color="FFFFFF"/>
            </w:tcBorders>
            <w:shd w:val="clear" w:color="auto" w:fill="FFFFFF"/>
            <w:hideMark/>
          </w:tcPr>
          <w:p w14:paraId="1536F9F8"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procedură reluată</w:t>
            </w:r>
          </w:p>
        </w:tc>
        <w:tc>
          <w:tcPr>
            <w:tcW w:w="1005" w:type="dxa"/>
            <w:tcBorders>
              <w:top w:val="nil"/>
              <w:left w:val="nil"/>
              <w:bottom w:val="single" w:sz="4" w:space="0" w:color="95B3D7"/>
              <w:right w:val="single" w:sz="4" w:space="0" w:color="FFFFFF"/>
            </w:tcBorders>
            <w:shd w:val="clear" w:color="auto" w:fill="FFFFFF"/>
            <w:hideMark/>
          </w:tcPr>
          <w:p w14:paraId="79206539"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procedură declanșată pentru prima dată</w:t>
            </w:r>
          </w:p>
        </w:tc>
        <w:tc>
          <w:tcPr>
            <w:tcW w:w="0" w:type="auto"/>
            <w:vMerge/>
            <w:tcBorders>
              <w:top w:val="nil"/>
              <w:left w:val="single" w:sz="4" w:space="0" w:color="FFFFFF"/>
              <w:bottom w:val="single" w:sz="4" w:space="0" w:color="95B3D7"/>
              <w:right w:val="single" w:sz="4" w:space="0" w:color="FFFFFF"/>
            </w:tcBorders>
            <w:vAlign w:val="center"/>
            <w:hideMark/>
          </w:tcPr>
          <w:p w14:paraId="6AD83C82"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0" w:type="auto"/>
            <w:vMerge/>
            <w:tcBorders>
              <w:top w:val="nil"/>
              <w:left w:val="single" w:sz="4" w:space="0" w:color="FFFFFF"/>
              <w:bottom w:val="single" w:sz="4" w:space="0" w:color="95B3D7"/>
              <w:right w:val="single" w:sz="4" w:space="0" w:color="FFFFFF"/>
            </w:tcBorders>
            <w:vAlign w:val="center"/>
            <w:hideMark/>
          </w:tcPr>
          <w:p w14:paraId="04962A5C"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r>
      <w:tr w:rsidR="0040167B" w:rsidRPr="002E4516" w14:paraId="296CE70C" w14:textId="77777777" w:rsidTr="00B06C32">
        <w:trPr>
          <w:trHeight w:val="135"/>
        </w:trPr>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30EB3A89"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1056" w:type="dxa"/>
            <w:tcBorders>
              <w:top w:val="nil"/>
              <w:left w:val="nil"/>
              <w:bottom w:val="single" w:sz="4" w:space="0" w:color="95B3D7"/>
              <w:right w:val="single" w:sz="4" w:space="0" w:color="FFFFFF"/>
            </w:tcBorders>
            <w:shd w:val="clear" w:color="auto" w:fill="FFFFFF"/>
            <w:vAlign w:val="center"/>
            <w:hideMark/>
          </w:tcPr>
          <w:p w14:paraId="4B316BF7"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1168" w:type="dxa"/>
            <w:tcBorders>
              <w:top w:val="nil"/>
              <w:left w:val="nil"/>
              <w:bottom w:val="single" w:sz="4" w:space="0" w:color="95B3D7"/>
              <w:right w:val="single" w:sz="4" w:space="0" w:color="FFFFFF"/>
            </w:tcBorders>
            <w:shd w:val="clear" w:color="auto" w:fill="FFFFFF"/>
            <w:vAlign w:val="center"/>
            <w:hideMark/>
          </w:tcPr>
          <w:p w14:paraId="4207C689"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1003" w:type="dxa"/>
            <w:tcBorders>
              <w:top w:val="nil"/>
              <w:left w:val="nil"/>
              <w:bottom w:val="single" w:sz="4" w:space="0" w:color="95B3D7"/>
              <w:right w:val="single" w:sz="4" w:space="0" w:color="FFFFFF"/>
            </w:tcBorders>
            <w:shd w:val="clear" w:color="auto" w:fill="FFFFFF"/>
            <w:vAlign w:val="center"/>
            <w:hideMark/>
          </w:tcPr>
          <w:p w14:paraId="3F584D83"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1003" w:type="dxa"/>
            <w:tcBorders>
              <w:top w:val="nil"/>
              <w:left w:val="nil"/>
              <w:bottom w:val="single" w:sz="4" w:space="0" w:color="95B3D7"/>
              <w:right w:val="single" w:sz="4" w:space="0" w:color="FFFFFF"/>
            </w:tcBorders>
            <w:shd w:val="clear" w:color="auto" w:fill="FFFFFF"/>
            <w:vAlign w:val="center"/>
            <w:hideMark/>
          </w:tcPr>
          <w:p w14:paraId="39A268F7"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1005" w:type="dxa"/>
            <w:tcBorders>
              <w:top w:val="nil"/>
              <w:left w:val="nil"/>
              <w:bottom w:val="single" w:sz="4" w:space="0" w:color="95B3D7"/>
              <w:right w:val="single" w:sz="4" w:space="0" w:color="FFFFFF"/>
            </w:tcBorders>
            <w:shd w:val="clear" w:color="auto" w:fill="FFFFFF"/>
            <w:vAlign w:val="center"/>
            <w:hideMark/>
          </w:tcPr>
          <w:p w14:paraId="26A1A56C"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1117" w:type="dxa"/>
            <w:tcBorders>
              <w:top w:val="nil"/>
              <w:left w:val="nil"/>
              <w:bottom w:val="single" w:sz="4" w:space="0" w:color="95B3D7"/>
              <w:right w:val="single" w:sz="4" w:space="0" w:color="FFFFFF"/>
            </w:tcBorders>
            <w:shd w:val="clear" w:color="auto" w:fill="FFFFFF"/>
            <w:vAlign w:val="center"/>
            <w:hideMark/>
          </w:tcPr>
          <w:p w14:paraId="2253E3F9"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1005" w:type="dxa"/>
            <w:tcBorders>
              <w:top w:val="nil"/>
              <w:left w:val="nil"/>
              <w:bottom w:val="single" w:sz="4" w:space="0" w:color="95B3D7"/>
              <w:right w:val="single" w:sz="4" w:space="0" w:color="FFFFFF"/>
            </w:tcBorders>
            <w:shd w:val="clear" w:color="auto" w:fill="FFFFFF"/>
            <w:vAlign w:val="center"/>
            <w:hideMark/>
          </w:tcPr>
          <w:p w14:paraId="075D82BB"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r>
      <w:tr w:rsidR="0040167B" w:rsidRPr="002E4516" w14:paraId="64BC0CB4" w14:textId="77777777" w:rsidTr="00B06C32">
        <w:trPr>
          <w:trHeight w:val="135"/>
        </w:trPr>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51E88A28"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1056" w:type="dxa"/>
            <w:tcBorders>
              <w:top w:val="nil"/>
              <w:left w:val="nil"/>
              <w:bottom w:val="single" w:sz="4" w:space="0" w:color="95B3D7"/>
              <w:right w:val="single" w:sz="4" w:space="0" w:color="FFFFFF"/>
            </w:tcBorders>
            <w:shd w:val="clear" w:color="auto" w:fill="FFFFFF"/>
            <w:vAlign w:val="center"/>
            <w:hideMark/>
          </w:tcPr>
          <w:p w14:paraId="6108EF5B"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 xml:space="preserve"> 1=2+6+7</w:t>
            </w:r>
          </w:p>
        </w:tc>
        <w:tc>
          <w:tcPr>
            <w:tcW w:w="1168" w:type="dxa"/>
            <w:tcBorders>
              <w:top w:val="nil"/>
              <w:left w:val="nil"/>
              <w:bottom w:val="single" w:sz="4" w:space="0" w:color="95B3D7"/>
              <w:right w:val="single" w:sz="4" w:space="0" w:color="FFFFFF"/>
            </w:tcBorders>
            <w:shd w:val="clear" w:color="auto" w:fill="FFFFFF"/>
            <w:vAlign w:val="center"/>
            <w:hideMark/>
          </w:tcPr>
          <w:p w14:paraId="2ED35332"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2=3+4+5</w:t>
            </w:r>
          </w:p>
        </w:tc>
        <w:tc>
          <w:tcPr>
            <w:tcW w:w="1003" w:type="dxa"/>
            <w:tcBorders>
              <w:top w:val="nil"/>
              <w:left w:val="nil"/>
              <w:bottom w:val="single" w:sz="4" w:space="0" w:color="95B3D7"/>
              <w:right w:val="single" w:sz="4" w:space="0" w:color="FFFFFF"/>
            </w:tcBorders>
            <w:shd w:val="clear" w:color="auto" w:fill="FFFFFF"/>
            <w:vAlign w:val="center"/>
            <w:hideMark/>
          </w:tcPr>
          <w:p w14:paraId="7C2B7688"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3</w:t>
            </w:r>
          </w:p>
        </w:tc>
        <w:tc>
          <w:tcPr>
            <w:tcW w:w="1003" w:type="dxa"/>
            <w:tcBorders>
              <w:top w:val="nil"/>
              <w:left w:val="nil"/>
              <w:bottom w:val="single" w:sz="4" w:space="0" w:color="95B3D7"/>
              <w:right w:val="single" w:sz="4" w:space="0" w:color="FFFFFF"/>
            </w:tcBorders>
            <w:shd w:val="clear" w:color="auto" w:fill="FFFFFF"/>
            <w:vAlign w:val="center"/>
            <w:hideMark/>
          </w:tcPr>
          <w:p w14:paraId="2A6F49A7"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4</w:t>
            </w:r>
          </w:p>
        </w:tc>
        <w:tc>
          <w:tcPr>
            <w:tcW w:w="1005" w:type="dxa"/>
            <w:tcBorders>
              <w:top w:val="nil"/>
              <w:left w:val="nil"/>
              <w:bottom w:val="single" w:sz="4" w:space="0" w:color="95B3D7"/>
              <w:right w:val="single" w:sz="4" w:space="0" w:color="FFFFFF"/>
            </w:tcBorders>
            <w:shd w:val="clear" w:color="auto" w:fill="FFFFFF"/>
            <w:vAlign w:val="center"/>
            <w:hideMark/>
          </w:tcPr>
          <w:p w14:paraId="0A694418"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5</w:t>
            </w:r>
          </w:p>
        </w:tc>
        <w:tc>
          <w:tcPr>
            <w:tcW w:w="1117" w:type="dxa"/>
            <w:tcBorders>
              <w:top w:val="nil"/>
              <w:left w:val="nil"/>
              <w:bottom w:val="single" w:sz="4" w:space="0" w:color="95B3D7"/>
              <w:right w:val="single" w:sz="4" w:space="0" w:color="FFFFFF"/>
            </w:tcBorders>
            <w:shd w:val="clear" w:color="auto" w:fill="FFFFFF"/>
            <w:vAlign w:val="center"/>
            <w:hideMark/>
          </w:tcPr>
          <w:p w14:paraId="0365F795"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6</w:t>
            </w:r>
          </w:p>
        </w:tc>
        <w:tc>
          <w:tcPr>
            <w:tcW w:w="1005" w:type="dxa"/>
            <w:tcBorders>
              <w:top w:val="nil"/>
              <w:left w:val="nil"/>
              <w:bottom w:val="single" w:sz="4" w:space="0" w:color="95B3D7"/>
              <w:right w:val="single" w:sz="4" w:space="0" w:color="FFFFFF"/>
            </w:tcBorders>
            <w:shd w:val="clear" w:color="auto" w:fill="FFFFFF"/>
            <w:vAlign w:val="center"/>
            <w:hideMark/>
          </w:tcPr>
          <w:p w14:paraId="79D7BEB5"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7</w:t>
            </w:r>
          </w:p>
        </w:tc>
      </w:tr>
      <w:tr w:rsidR="0040167B" w:rsidRPr="002E4516" w14:paraId="372EF4B0" w14:textId="77777777" w:rsidTr="00B06C32">
        <w:trPr>
          <w:trHeight w:val="135"/>
        </w:trPr>
        <w:tc>
          <w:tcPr>
            <w:tcW w:w="1778" w:type="dxa"/>
            <w:tcBorders>
              <w:top w:val="nil"/>
              <w:left w:val="single" w:sz="4" w:space="0" w:color="FFFFFF"/>
              <w:bottom w:val="single" w:sz="4" w:space="0" w:color="95B3D7"/>
              <w:right w:val="single" w:sz="4" w:space="0" w:color="FFFFFF"/>
            </w:tcBorders>
            <w:shd w:val="clear" w:color="auto" w:fill="FFFFFF"/>
            <w:vAlign w:val="center"/>
            <w:hideMark/>
          </w:tcPr>
          <w:p w14:paraId="1D404569" w14:textId="77777777" w:rsidR="0040167B" w:rsidRPr="002E4516" w:rsidRDefault="0040167B" w:rsidP="00B06C32">
            <w:pPr>
              <w:spacing w:before="0" w:after="0" w:line="240" w:lineRule="auto"/>
              <w:rPr>
                <w:rFonts w:asciiTheme="majorHAnsi" w:eastAsia="Times New Roman" w:hAnsiTheme="majorHAnsi" w:cstheme="majorHAnsi"/>
                <w:b/>
                <w:bCs/>
                <w:color w:val="0F6FC6" w:themeColor="accent1"/>
                <w:sz w:val="14"/>
                <w:szCs w:val="14"/>
                <w:lang w:eastAsia="ro-RO"/>
              </w:rPr>
            </w:pPr>
            <w:r w:rsidRPr="002E4516">
              <w:rPr>
                <w:rFonts w:asciiTheme="majorHAnsi" w:eastAsia="Times New Roman" w:hAnsiTheme="majorHAnsi" w:cstheme="majorHAnsi"/>
                <w:b/>
                <w:bCs/>
                <w:color w:val="0F6FC6" w:themeColor="accent1"/>
                <w:sz w:val="14"/>
                <w:szCs w:val="14"/>
                <w:lang w:eastAsia="ro-RO"/>
              </w:rPr>
              <w:t>2017</w:t>
            </w:r>
          </w:p>
        </w:tc>
        <w:tc>
          <w:tcPr>
            <w:tcW w:w="1056" w:type="dxa"/>
            <w:tcBorders>
              <w:top w:val="nil"/>
              <w:left w:val="nil"/>
              <w:bottom w:val="single" w:sz="4" w:space="0" w:color="95B3D7"/>
              <w:right w:val="single" w:sz="4" w:space="0" w:color="FFFFFF"/>
            </w:tcBorders>
            <w:shd w:val="clear" w:color="auto" w:fill="FFFFFF"/>
            <w:noWrap/>
            <w:vAlign w:val="center"/>
            <w:hideMark/>
          </w:tcPr>
          <w:p w14:paraId="45B395D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1.213</w:t>
            </w:r>
          </w:p>
        </w:tc>
        <w:tc>
          <w:tcPr>
            <w:tcW w:w="1168" w:type="dxa"/>
            <w:tcBorders>
              <w:top w:val="nil"/>
              <w:left w:val="nil"/>
              <w:bottom w:val="single" w:sz="4" w:space="0" w:color="95B3D7"/>
              <w:right w:val="single" w:sz="4" w:space="0" w:color="FFFFFF"/>
            </w:tcBorders>
            <w:shd w:val="clear" w:color="auto" w:fill="FFFFFF"/>
            <w:noWrap/>
            <w:vAlign w:val="center"/>
            <w:hideMark/>
          </w:tcPr>
          <w:p w14:paraId="1587A0D6"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393</w:t>
            </w:r>
          </w:p>
        </w:tc>
        <w:tc>
          <w:tcPr>
            <w:tcW w:w="1003" w:type="dxa"/>
            <w:tcBorders>
              <w:top w:val="nil"/>
              <w:left w:val="nil"/>
              <w:bottom w:val="single" w:sz="4" w:space="0" w:color="95B3D7"/>
              <w:right w:val="single" w:sz="4" w:space="0" w:color="FFFFFF"/>
            </w:tcBorders>
            <w:shd w:val="clear" w:color="auto" w:fill="FFFFFF"/>
            <w:noWrap/>
            <w:vAlign w:val="center"/>
            <w:hideMark/>
          </w:tcPr>
          <w:p w14:paraId="0F31FBC6"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327</w:t>
            </w:r>
          </w:p>
        </w:tc>
        <w:tc>
          <w:tcPr>
            <w:tcW w:w="1003" w:type="dxa"/>
            <w:tcBorders>
              <w:top w:val="nil"/>
              <w:left w:val="nil"/>
              <w:bottom w:val="single" w:sz="4" w:space="0" w:color="95B3D7"/>
              <w:right w:val="single" w:sz="4" w:space="0" w:color="FFFFFF"/>
            </w:tcBorders>
            <w:shd w:val="clear" w:color="auto" w:fill="FFFFFF"/>
            <w:noWrap/>
            <w:vAlign w:val="center"/>
            <w:hideMark/>
          </w:tcPr>
          <w:p w14:paraId="0B94A018"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9</w:t>
            </w:r>
          </w:p>
        </w:tc>
        <w:tc>
          <w:tcPr>
            <w:tcW w:w="1005" w:type="dxa"/>
            <w:tcBorders>
              <w:top w:val="nil"/>
              <w:left w:val="nil"/>
              <w:bottom w:val="single" w:sz="4" w:space="0" w:color="95B3D7"/>
              <w:right w:val="single" w:sz="4" w:space="0" w:color="FFFFFF"/>
            </w:tcBorders>
            <w:shd w:val="clear" w:color="auto" w:fill="FFFFFF"/>
            <w:noWrap/>
            <w:vAlign w:val="center"/>
            <w:hideMark/>
          </w:tcPr>
          <w:p w14:paraId="5FCE5EEE"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57</w:t>
            </w:r>
          </w:p>
        </w:tc>
        <w:tc>
          <w:tcPr>
            <w:tcW w:w="1117" w:type="dxa"/>
            <w:tcBorders>
              <w:top w:val="nil"/>
              <w:left w:val="nil"/>
              <w:bottom w:val="single" w:sz="4" w:space="0" w:color="95B3D7"/>
              <w:right w:val="single" w:sz="4" w:space="0" w:color="FFFFFF"/>
            </w:tcBorders>
            <w:shd w:val="clear" w:color="auto" w:fill="FFFFFF"/>
            <w:noWrap/>
            <w:vAlign w:val="center"/>
            <w:hideMark/>
          </w:tcPr>
          <w:p w14:paraId="0B1CC2B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108</w:t>
            </w:r>
          </w:p>
        </w:tc>
        <w:tc>
          <w:tcPr>
            <w:tcW w:w="1005" w:type="dxa"/>
            <w:tcBorders>
              <w:top w:val="nil"/>
              <w:left w:val="nil"/>
              <w:bottom w:val="single" w:sz="4" w:space="0" w:color="95B3D7"/>
              <w:right w:val="single" w:sz="4" w:space="0" w:color="FFFFFF"/>
            </w:tcBorders>
            <w:shd w:val="clear" w:color="auto" w:fill="FFFFFF"/>
            <w:vAlign w:val="center"/>
            <w:hideMark/>
          </w:tcPr>
          <w:p w14:paraId="6967337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712</w:t>
            </w:r>
          </w:p>
        </w:tc>
      </w:tr>
      <w:tr w:rsidR="0040167B" w:rsidRPr="002E4516" w14:paraId="4A4F64FC" w14:textId="77777777" w:rsidTr="00B06C32">
        <w:trPr>
          <w:trHeight w:val="135"/>
        </w:trPr>
        <w:tc>
          <w:tcPr>
            <w:tcW w:w="1778" w:type="dxa"/>
            <w:tcBorders>
              <w:top w:val="nil"/>
              <w:left w:val="single" w:sz="4" w:space="0" w:color="FFFFFF"/>
              <w:bottom w:val="single" w:sz="4" w:space="0" w:color="95B3D7"/>
              <w:right w:val="single" w:sz="4" w:space="0" w:color="FFFFFF"/>
            </w:tcBorders>
            <w:shd w:val="clear" w:color="auto" w:fill="FFFFFF"/>
            <w:vAlign w:val="center"/>
            <w:hideMark/>
          </w:tcPr>
          <w:p w14:paraId="1F6DD935" w14:textId="77777777" w:rsidR="0040167B" w:rsidRPr="002E4516" w:rsidRDefault="0040167B" w:rsidP="00B06C32">
            <w:pPr>
              <w:spacing w:before="0" w:after="0" w:line="240" w:lineRule="auto"/>
              <w:rPr>
                <w:rFonts w:asciiTheme="majorHAnsi" w:eastAsia="Times New Roman" w:hAnsiTheme="majorHAnsi" w:cstheme="majorHAnsi"/>
                <w:b/>
                <w:bCs/>
                <w:color w:val="0F6FC6" w:themeColor="accent1"/>
                <w:sz w:val="14"/>
                <w:szCs w:val="14"/>
                <w:lang w:eastAsia="ro-RO"/>
              </w:rPr>
            </w:pPr>
            <w:r w:rsidRPr="002E4516">
              <w:rPr>
                <w:rFonts w:asciiTheme="majorHAnsi" w:eastAsia="Times New Roman" w:hAnsiTheme="majorHAnsi" w:cstheme="majorHAnsi"/>
                <w:b/>
                <w:bCs/>
                <w:color w:val="0F6FC6" w:themeColor="accent1"/>
                <w:sz w:val="14"/>
                <w:szCs w:val="14"/>
                <w:lang w:eastAsia="ro-RO"/>
              </w:rPr>
              <w:t>2018</w:t>
            </w:r>
          </w:p>
        </w:tc>
        <w:tc>
          <w:tcPr>
            <w:tcW w:w="1056" w:type="dxa"/>
            <w:tcBorders>
              <w:top w:val="nil"/>
              <w:left w:val="nil"/>
              <w:bottom w:val="single" w:sz="4" w:space="0" w:color="95B3D7"/>
              <w:right w:val="single" w:sz="4" w:space="0" w:color="FFFFFF"/>
            </w:tcBorders>
            <w:shd w:val="clear" w:color="auto" w:fill="FFFFFF"/>
            <w:noWrap/>
            <w:vAlign w:val="center"/>
            <w:hideMark/>
          </w:tcPr>
          <w:p w14:paraId="543294DA"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1.169</w:t>
            </w:r>
          </w:p>
        </w:tc>
        <w:tc>
          <w:tcPr>
            <w:tcW w:w="1168" w:type="dxa"/>
            <w:tcBorders>
              <w:top w:val="nil"/>
              <w:left w:val="nil"/>
              <w:bottom w:val="single" w:sz="4" w:space="0" w:color="95B3D7"/>
              <w:right w:val="single" w:sz="4" w:space="0" w:color="FFFFFF"/>
            </w:tcBorders>
            <w:shd w:val="clear" w:color="auto" w:fill="FFFFFF"/>
            <w:noWrap/>
            <w:vAlign w:val="center"/>
            <w:hideMark/>
          </w:tcPr>
          <w:p w14:paraId="33855DCA"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541</w:t>
            </w:r>
          </w:p>
        </w:tc>
        <w:tc>
          <w:tcPr>
            <w:tcW w:w="1003" w:type="dxa"/>
            <w:tcBorders>
              <w:top w:val="nil"/>
              <w:left w:val="nil"/>
              <w:bottom w:val="single" w:sz="4" w:space="0" w:color="95B3D7"/>
              <w:right w:val="single" w:sz="4" w:space="0" w:color="FFFFFF"/>
            </w:tcBorders>
            <w:shd w:val="clear" w:color="auto" w:fill="FFFFFF"/>
            <w:noWrap/>
            <w:vAlign w:val="center"/>
            <w:hideMark/>
          </w:tcPr>
          <w:p w14:paraId="1E6BEC1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496</w:t>
            </w:r>
          </w:p>
        </w:tc>
        <w:tc>
          <w:tcPr>
            <w:tcW w:w="1003" w:type="dxa"/>
            <w:tcBorders>
              <w:top w:val="nil"/>
              <w:left w:val="nil"/>
              <w:bottom w:val="single" w:sz="4" w:space="0" w:color="95B3D7"/>
              <w:right w:val="single" w:sz="4" w:space="0" w:color="FFFFFF"/>
            </w:tcBorders>
            <w:shd w:val="clear" w:color="auto" w:fill="FFFFFF"/>
            <w:noWrap/>
            <w:vAlign w:val="center"/>
            <w:hideMark/>
          </w:tcPr>
          <w:p w14:paraId="2D4E1DA8"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7</w:t>
            </w:r>
          </w:p>
        </w:tc>
        <w:tc>
          <w:tcPr>
            <w:tcW w:w="1005" w:type="dxa"/>
            <w:tcBorders>
              <w:top w:val="nil"/>
              <w:left w:val="nil"/>
              <w:bottom w:val="single" w:sz="4" w:space="0" w:color="95B3D7"/>
              <w:right w:val="single" w:sz="4" w:space="0" w:color="FFFFFF"/>
            </w:tcBorders>
            <w:shd w:val="clear" w:color="auto" w:fill="FFFFFF"/>
            <w:noWrap/>
            <w:vAlign w:val="center"/>
            <w:hideMark/>
          </w:tcPr>
          <w:p w14:paraId="28D478F2"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38</w:t>
            </w:r>
          </w:p>
        </w:tc>
        <w:tc>
          <w:tcPr>
            <w:tcW w:w="1117" w:type="dxa"/>
            <w:tcBorders>
              <w:top w:val="nil"/>
              <w:left w:val="nil"/>
              <w:bottom w:val="single" w:sz="4" w:space="0" w:color="95B3D7"/>
              <w:right w:val="single" w:sz="4" w:space="0" w:color="FFFFFF"/>
            </w:tcBorders>
            <w:shd w:val="clear" w:color="auto" w:fill="FFFFFF"/>
            <w:noWrap/>
            <w:vAlign w:val="center"/>
            <w:hideMark/>
          </w:tcPr>
          <w:p w14:paraId="7A309741"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215</w:t>
            </w:r>
          </w:p>
        </w:tc>
        <w:tc>
          <w:tcPr>
            <w:tcW w:w="1005" w:type="dxa"/>
            <w:tcBorders>
              <w:top w:val="nil"/>
              <w:left w:val="nil"/>
              <w:bottom w:val="single" w:sz="4" w:space="0" w:color="95B3D7"/>
              <w:right w:val="single" w:sz="4" w:space="0" w:color="FFFFFF"/>
            </w:tcBorders>
            <w:shd w:val="clear" w:color="auto" w:fill="FFFFFF"/>
            <w:noWrap/>
            <w:vAlign w:val="center"/>
            <w:hideMark/>
          </w:tcPr>
          <w:p w14:paraId="3527936C"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413</w:t>
            </w:r>
          </w:p>
        </w:tc>
      </w:tr>
      <w:tr w:rsidR="0040167B" w:rsidRPr="002E4516" w14:paraId="00721F99" w14:textId="77777777" w:rsidTr="00B06C32">
        <w:trPr>
          <w:trHeight w:val="135"/>
        </w:trPr>
        <w:tc>
          <w:tcPr>
            <w:tcW w:w="1778" w:type="dxa"/>
            <w:tcBorders>
              <w:top w:val="nil"/>
              <w:left w:val="single" w:sz="4" w:space="0" w:color="FFFFFF"/>
              <w:bottom w:val="single" w:sz="4" w:space="0" w:color="95B3D7"/>
              <w:right w:val="single" w:sz="4" w:space="0" w:color="FFFFFF"/>
            </w:tcBorders>
            <w:shd w:val="clear" w:color="auto" w:fill="FFFFFF"/>
            <w:vAlign w:val="center"/>
          </w:tcPr>
          <w:p w14:paraId="62E1EDB6" w14:textId="77777777" w:rsidR="0040167B" w:rsidRPr="002E4516" w:rsidRDefault="0040167B" w:rsidP="00B06C32">
            <w:pPr>
              <w:spacing w:before="0" w:after="0" w:line="240" w:lineRule="auto"/>
              <w:rPr>
                <w:rFonts w:asciiTheme="majorHAnsi" w:eastAsia="Times New Roman" w:hAnsiTheme="majorHAnsi" w:cstheme="majorHAnsi"/>
                <w:b/>
                <w:bCs/>
                <w:color w:val="0F6FC6" w:themeColor="accent1"/>
                <w:sz w:val="14"/>
                <w:szCs w:val="14"/>
                <w:lang w:eastAsia="ro-RO"/>
              </w:rPr>
            </w:pPr>
            <w:r w:rsidRPr="002E4516">
              <w:rPr>
                <w:rFonts w:asciiTheme="majorHAnsi" w:eastAsia="Times New Roman" w:hAnsiTheme="majorHAnsi" w:cstheme="majorHAnsi"/>
                <w:b/>
                <w:bCs/>
                <w:color w:val="0F6FC6" w:themeColor="accent1"/>
                <w:sz w:val="14"/>
                <w:szCs w:val="14"/>
                <w:lang w:eastAsia="ro-RO"/>
              </w:rPr>
              <w:t>2019</w:t>
            </w:r>
          </w:p>
        </w:tc>
        <w:tc>
          <w:tcPr>
            <w:tcW w:w="1056" w:type="dxa"/>
            <w:tcBorders>
              <w:top w:val="nil"/>
              <w:left w:val="nil"/>
              <w:bottom w:val="single" w:sz="4" w:space="0" w:color="95B3D7"/>
              <w:right w:val="single" w:sz="4" w:space="0" w:color="FFFFFF"/>
            </w:tcBorders>
            <w:shd w:val="clear" w:color="auto" w:fill="FFFFFF"/>
            <w:noWrap/>
            <w:vAlign w:val="center"/>
          </w:tcPr>
          <w:p w14:paraId="10695AFA" w14:textId="77777777" w:rsidR="0040167B" w:rsidRPr="002E4516" w:rsidRDefault="0040167B" w:rsidP="00B06C32">
            <w:pPr>
              <w:spacing w:before="0" w:after="0" w:line="240" w:lineRule="auto"/>
              <w:jc w:val="center"/>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 xml:space="preserve">             1.140</w:t>
            </w:r>
          </w:p>
        </w:tc>
        <w:tc>
          <w:tcPr>
            <w:tcW w:w="1168" w:type="dxa"/>
            <w:tcBorders>
              <w:top w:val="nil"/>
              <w:left w:val="nil"/>
              <w:bottom w:val="single" w:sz="4" w:space="0" w:color="95B3D7"/>
              <w:right w:val="single" w:sz="4" w:space="0" w:color="FFFFFF"/>
            </w:tcBorders>
            <w:shd w:val="clear" w:color="auto" w:fill="FFFFFF"/>
            <w:noWrap/>
            <w:vAlign w:val="center"/>
          </w:tcPr>
          <w:p w14:paraId="34D3E5F6"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444</w:t>
            </w:r>
          </w:p>
        </w:tc>
        <w:tc>
          <w:tcPr>
            <w:tcW w:w="1003" w:type="dxa"/>
            <w:tcBorders>
              <w:top w:val="nil"/>
              <w:left w:val="nil"/>
              <w:bottom w:val="single" w:sz="4" w:space="0" w:color="95B3D7"/>
              <w:right w:val="single" w:sz="4" w:space="0" w:color="FFFFFF"/>
            </w:tcBorders>
            <w:shd w:val="clear" w:color="auto" w:fill="FFFFFF"/>
            <w:noWrap/>
            <w:vAlign w:val="center"/>
          </w:tcPr>
          <w:p w14:paraId="4029F099"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379</w:t>
            </w:r>
          </w:p>
        </w:tc>
        <w:tc>
          <w:tcPr>
            <w:tcW w:w="1003" w:type="dxa"/>
            <w:tcBorders>
              <w:top w:val="nil"/>
              <w:left w:val="nil"/>
              <w:bottom w:val="single" w:sz="4" w:space="0" w:color="95B3D7"/>
              <w:right w:val="single" w:sz="4" w:space="0" w:color="FFFFFF"/>
            </w:tcBorders>
            <w:shd w:val="clear" w:color="auto" w:fill="FFFFFF"/>
            <w:noWrap/>
            <w:vAlign w:val="center"/>
          </w:tcPr>
          <w:p w14:paraId="23FFFC71"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19</w:t>
            </w:r>
          </w:p>
        </w:tc>
        <w:tc>
          <w:tcPr>
            <w:tcW w:w="1005" w:type="dxa"/>
            <w:tcBorders>
              <w:top w:val="nil"/>
              <w:left w:val="nil"/>
              <w:bottom w:val="single" w:sz="4" w:space="0" w:color="95B3D7"/>
              <w:right w:val="single" w:sz="4" w:space="0" w:color="FFFFFF"/>
            </w:tcBorders>
            <w:shd w:val="clear" w:color="auto" w:fill="FFFFFF"/>
            <w:noWrap/>
            <w:vAlign w:val="center"/>
          </w:tcPr>
          <w:p w14:paraId="2E84533E"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46</w:t>
            </w:r>
          </w:p>
        </w:tc>
        <w:tc>
          <w:tcPr>
            <w:tcW w:w="1117" w:type="dxa"/>
            <w:tcBorders>
              <w:top w:val="nil"/>
              <w:left w:val="nil"/>
              <w:bottom w:val="single" w:sz="4" w:space="0" w:color="95B3D7"/>
              <w:right w:val="single" w:sz="4" w:space="0" w:color="FFFFFF"/>
            </w:tcBorders>
            <w:shd w:val="clear" w:color="auto" w:fill="FFFFFF"/>
            <w:noWrap/>
            <w:vAlign w:val="center"/>
          </w:tcPr>
          <w:p w14:paraId="257A4359"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105</w:t>
            </w:r>
          </w:p>
        </w:tc>
        <w:tc>
          <w:tcPr>
            <w:tcW w:w="1005" w:type="dxa"/>
            <w:tcBorders>
              <w:top w:val="nil"/>
              <w:left w:val="nil"/>
              <w:bottom w:val="single" w:sz="4" w:space="0" w:color="95B3D7"/>
              <w:right w:val="single" w:sz="4" w:space="0" w:color="FFFFFF"/>
            </w:tcBorders>
            <w:shd w:val="clear" w:color="auto" w:fill="FFFFFF"/>
            <w:noWrap/>
            <w:vAlign w:val="center"/>
          </w:tcPr>
          <w:p w14:paraId="5E766E4B"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591</w:t>
            </w:r>
          </w:p>
        </w:tc>
      </w:tr>
      <w:tr w:rsidR="0040167B" w:rsidRPr="002E4516" w14:paraId="19D05911" w14:textId="77777777" w:rsidTr="00B06C32">
        <w:trPr>
          <w:trHeight w:val="135"/>
        </w:trPr>
        <w:tc>
          <w:tcPr>
            <w:tcW w:w="1778" w:type="dxa"/>
            <w:tcBorders>
              <w:top w:val="nil"/>
              <w:left w:val="single" w:sz="4" w:space="0" w:color="FFFFFF"/>
              <w:bottom w:val="single" w:sz="4" w:space="0" w:color="95B3D7"/>
              <w:right w:val="single" w:sz="4" w:space="0" w:color="FFFFFF"/>
            </w:tcBorders>
            <w:shd w:val="clear" w:color="auto" w:fill="FFFFFF"/>
            <w:vAlign w:val="center"/>
          </w:tcPr>
          <w:p w14:paraId="3532D6B9" w14:textId="77777777" w:rsidR="0040167B" w:rsidRPr="002E4516" w:rsidRDefault="0040167B" w:rsidP="00B06C32">
            <w:pPr>
              <w:spacing w:before="0" w:after="0" w:line="240" w:lineRule="auto"/>
              <w:rPr>
                <w:rFonts w:asciiTheme="majorHAnsi" w:eastAsia="Times New Roman" w:hAnsiTheme="majorHAnsi" w:cstheme="majorHAnsi"/>
                <w:b/>
                <w:bCs/>
                <w:color w:val="0F6FC6" w:themeColor="accent1"/>
                <w:sz w:val="14"/>
                <w:szCs w:val="14"/>
                <w:lang w:eastAsia="ro-RO"/>
              </w:rPr>
            </w:pPr>
            <w:r w:rsidRPr="002E4516">
              <w:rPr>
                <w:rFonts w:asciiTheme="majorHAnsi" w:eastAsia="Times New Roman" w:hAnsiTheme="majorHAnsi" w:cstheme="majorHAnsi"/>
                <w:b/>
                <w:bCs/>
                <w:color w:val="0F6FC6" w:themeColor="accent1"/>
                <w:sz w:val="14"/>
                <w:szCs w:val="14"/>
                <w:lang w:eastAsia="ro-RO"/>
              </w:rPr>
              <w:t>2020</w:t>
            </w:r>
          </w:p>
        </w:tc>
        <w:tc>
          <w:tcPr>
            <w:tcW w:w="1056" w:type="dxa"/>
            <w:tcBorders>
              <w:top w:val="nil"/>
              <w:left w:val="nil"/>
              <w:bottom w:val="single" w:sz="4" w:space="0" w:color="95B3D7"/>
              <w:right w:val="single" w:sz="4" w:space="0" w:color="FFFFFF"/>
            </w:tcBorders>
            <w:shd w:val="clear" w:color="auto" w:fill="FFFFFF"/>
            <w:noWrap/>
            <w:vAlign w:val="center"/>
          </w:tcPr>
          <w:p w14:paraId="7A643C24" w14:textId="77777777" w:rsidR="0040167B" w:rsidRPr="002E4516" w:rsidRDefault="0040167B" w:rsidP="00B06C32">
            <w:pPr>
              <w:spacing w:before="0" w:after="0" w:line="240" w:lineRule="auto"/>
              <w:jc w:val="center"/>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 xml:space="preserve">             1.193</w:t>
            </w:r>
          </w:p>
        </w:tc>
        <w:tc>
          <w:tcPr>
            <w:tcW w:w="1168" w:type="dxa"/>
            <w:tcBorders>
              <w:top w:val="nil"/>
              <w:left w:val="nil"/>
              <w:bottom w:val="single" w:sz="4" w:space="0" w:color="95B3D7"/>
              <w:right w:val="single" w:sz="4" w:space="0" w:color="FFFFFF"/>
            </w:tcBorders>
            <w:shd w:val="clear" w:color="auto" w:fill="FFFFFF"/>
            <w:noWrap/>
            <w:vAlign w:val="center"/>
          </w:tcPr>
          <w:p w14:paraId="72641A9D"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394</w:t>
            </w:r>
          </w:p>
        </w:tc>
        <w:tc>
          <w:tcPr>
            <w:tcW w:w="1003" w:type="dxa"/>
            <w:tcBorders>
              <w:top w:val="nil"/>
              <w:left w:val="nil"/>
              <w:bottom w:val="single" w:sz="4" w:space="0" w:color="95B3D7"/>
              <w:right w:val="single" w:sz="4" w:space="0" w:color="FFFFFF"/>
            </w:tcBorders>
            <w:shd w:val="clear" w:color="auto" w:fill="FFFFFF"/>
            <w:noWrap/>
            <w:vAlign w:val="center"/>
          </w:tcPr>
          <w:p w14:paraId="055DE011"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340</w:t>
            </w:r>
          </w:p>
        </w:tc>
        <w:tc>
          <w:tcPr>
            <w:tcW w:w="1003" w:type="dxa"/>
            <w:tcBorders>
              <w:top w:val="nil"/>
              <w:left w:val="nil"/>
              <w:bottom w:val="single" w:sz="4" w:space="0" w:color="95B3D7"/>
              <w:right w:val="single" w:sz="4" w:space="0" w:color="FFFFFF"/>
            </w:tcBorders>
            <w:shd w:val="clear" w:color="auto" w:fill="FFFFFF"/>
            <w:noWrap/>
            <w:vAlign w:val="center"/>
          </w:tcPr>
          <w:p w14:paraId="7D69965B"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19</w:t>
            </w:r>
          </w:p>
        </w:tc>
        <w:tc>
          <w:tcPr>
            <w:tcW w:w="1005" w:type="dxa"/>
            <w:tcBorders>
              <w:top w:val="nil"/>
              <w:left w:val="nil"/>
              <w:bottom w:val="single" w:sz="4" w:space="0" w:color="95B3D7"/>
              <w:right w:val="single" w:sz="4" w:space="0" w:color="FFFFFF"/>
            </w:tcBorders>
            <w:shd w:val="clear" w:color="auto" w:fill="FFFFFF"/>
            <w:noWrap/>
            <w:vAlign w:val="center"/>
          </w:tcPr>
          <w:p w14:paraId="56BA2B60"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35</w:t>
            </w:r>
          </w:p>
        </w:tc>
        <w:tc>
          <w:tcPr>
            <w:tcW w:w="1117" w:type="dxa"/>
            <w:tcBorders>
              <w:top w:val="nil"/>
              <w:left w:val="nil"/>
              <w:bottom w:val="single" w:sz="4" w:space="0" w:color="95B3D7"/>
              <w:right w:val="single" w:sz="4" w:space="0" w:color="FFFFFF"/>
            </w:tcBorders>
            <w:shd w:val="clear" w:color="auto" w:fill="FFFFFF"/>
            <w:noWrap/>
            <w:vAlign w:val="center"/>
          </w:tcPr>
          <w:p w14:paraId="3F1EE7B4"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85</w:t>
            </w:r>
          </w:p>
        </w:tc>
        <w:tc>
          <w:tcPr>
            <w:tcW w:w="1005" w:type="dxa"/>
            <w:tcBorders>
              <w:top w:val="nil"/>
              <w:left w:val="nil"/>
              <w:bottom w:val="single" w:sz="4" w:space="0" w:color="95B3D7"/>
              <w:right w:val="single" w:sz="4" w:space="0" w:color="FFFFFF"/>
            </w:tcBorders>
            <w:shd w:val="clear" w:color="auto" w:fill="FFFFFF"/>
            <w:noWrap/>
            <w:vAlign w:val="center"/>
          </w:tcPr>
          <w:p w14:paraId="1FABB876" w14:textId="77777777" w:rsidR="0040167B" w:rsidRPr="002E4516" w:rsidRDefault="0040167B" w:rsidP="00B06C32">
            <w:pPr>
              <w:spacing w:before="0" w:after="0" w:line="240" w:lineRule="auto"/>
              <w:jc w:val="right"/>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714</w:t>
            </w:r>
          </w:p>
        </w:tc>
      </w:tr>
      <w:tr w:rsidR="0040167B" w:rsidRPr="002E4516" w14:paraId="31D2EB24" w14:textId="77777777" w:rsidTr="00B06C32">
        <w:trPr>
          <w:trHeight w:val="135"/>
        </w:trPr>
        <w:tc>
          <w:tcPr>
            <w:tcW w:w="9135" w:type="dxa"/>
            <w:gridSpan w:val="8"/>
            <w:vAlign w:val="center"/>
            <w:hideMark/>
          </w:tcPr>
          <w:p w14:paraId="68F59E9D" w14:textId="4ACF06A1" w:rsidR="0040167B" w:rsidRPr="002E4516" w:rsidRDefault="0040167B" w:rsidP="00B06C32">
            <w:pPr>
              <w:spacing w:before="0" w:after="0" w:line="240" w:lineRule="auto"/>
              <w:rPr>
                <w:rFonts w:asciiTheme="majorHAnsi" w:eastAsia="Times New Roman" w:hAnsiTheme="majorHAnsi" w:cstheme="majorHAnsi"/>
                <w:sz w:val="14"/>
                <w:szCs w:val="14"/>
                <w:lang w:eastAsia="ro-RO"/>
              </w:rPr>
            </w:pPr>
            <w:r w:rsidRPr="002E4516">
              <w:rPr>
                <w:rFonts w:asciiTheme="majorHAnsi" w:eastAsia="Times New Roman" w:hAnsiTheme="majorHAnsi" w:cstheme="majorHAnsi"/>
                <w:sz w:val="14"/>
                <w:szCs w:val="14"/>
                <w:lang w:eastAsia="ro-RO"/>
              </w:rPr>
              <w:t xml:space="preserve">*) Calcule proprii MF bazate atât pe datele raportate prin S1100 cât și și pe raportări anterioare ale APTL prin adrese semnate de conducătorul APTL. </w:t>
            </w:r>
          </w:p>
        </w:tc>
      </w:tr>
    </w:tbl>
    <w:p w14:paraId="03939275" w14:textId="77777777" w:rsidR="0040167B" w:rsidRPr="002E4516" w:rsidRDefault="0040167B" w:rsidP="0040167B">
      <w:pPr>
        <w:spacing w:after="0"/>
        <w:jc w:val="both"/>
        <w:rPr>
          <w:rFonts w:asciiTheme="majorHAnsi" w:hAnsiTheme="majorHAnsi" w:cstheme="majorHAnsi"/>
          <w:noProof/>
        </w:rPr>
      </w:pPr>
    </w:p>
    <w:p w14:paraId="4F6645D4" w14:textId="77777777" w:rsidR="0040167B" w:rsidRPr="002E4516" w:rsidRDefault="0040167B" w:rsidP="0040167B">
      <w:pPr>
        <w:spacing w:after="0"/>
        <w:jc w:val="both"/>
        <w:rPr>
          <w:rFonts w:asciiTheme="majorHAnsi" w:hAnsiTheme="majorHAnsi" w:cstheme="majorHAnsi"/>
          <w:noProof/>
        </w:rPr>
      </w:pPr>
      <w:r w:rsidRPr="002E4516">
        <w:rPr>
          <w:rFonts w:asciiTheme="majorHAnsi" w:hAnsiTheme="majorHAnsi" w:cstheme="majorHAnsi"/>
          <w:noProof/>
        </w:rPr>
        <w:t xml:space="preserve">Din perspectiva aplicării cadrului normativ privind selecția administratorilor, pe parcursul anului 2020, </w:t>
      </w:r>
      <w:r w:rsidRPr="002E4516">
        <w:rPr>
          <w:rFonts w:asciiTheme="majorHAnsi" w:hAnsiTheme="majorHAnsi" w:cstheme="majorHAnsi"/>
        </w:rPr>
        <w:t>pentru totalul de</w:t>
      </w:r>
      <w:r w:rsidRPr="002E4516">
        <w:rPr>
          <w:rFonts w:asciiTheme="majorHAnsi" w:hAnsiTheme="majorHAnsi" w:cstheme="majorHAnsi"/>
          <w:b/>
        </w:rPr>
        <w:t xml:space="preserve"> 1.193 ÎPL </w:t>
      </w:r>
      <w:r w:rsidRPr="002E4516">
        <w:rPr>
          <w:rFonts w:asciiTheme="majorHAnsi" w:hAnsiTheme="majorHAnsi" w:cstheme="majorHAnsi"/>
          <w:b/>
          <w:noProof/>
        </w:rPr>
        <w:t xml:space="preserve">obligate </w:t>
      </w:r>
      <w:r w:rsidRPr="002E4516">
        <w:rPr>
          <w:rFonts w:asciiTheme="majorHAnsi" w:hAnsiTheme="majorHAnsi" w:cstheme="majorHAnsi"/>
          <w:noProof/>
        </w:rPr>
        <w:t>la aplicarea prevederilor O.U.G. nr. 109/2011 privind guvernanța corporativă, stadiul se prezintă astfel</w:t>
      </w:r>
      <w:r w:rsidRPr="002E4516">
        <w:rPr>
          <w:rFonts w:asciiTheme="majorHAnsi" w:hAnsiTheme="majorHAnsi" w:cstheme="majorHAnsi"/>
          <w:noProof/>
          <w:lang w:val="en-US"/>
        </w:rPr>
        <w:t>:</w:t>
      </w:r>
      <w:r w:rsidRPr="002E4516">
        <w:rPr>
          <w:rFonts w:asciiTheme="majorHAnsi" w:hAnsiTheme="majorHAnsi" w:cstheme="majorHAnsi"/>
          <w:noProof/>
        </w:rPr>
        <w:t xml:space="preserve"> </w:t>
      </w:r>
    </w:p>
    <w:p w14:paraId="2191C01E" w14:textId="77777777" w:rsidR="0040167B" w:rsidRPr="002E4516" w:rsidRDefault="0040167B" w:rsidP="00F17378">
      <w:pPr>
        <w:pStyle w:val="NoSpacing"/>
        <w:numPr>
          <w:ilvl w:val="0"/>
          <w:numId w:val="43"/>
        </w:numPr>
        <w:spacing w:line="276" w:lineRule="auto"/>
        <w:ind w:left="284" w:hanging="284"/>
        <w:jc w:val="both"/>
        <w:rPr>
          <w:rFonts w:asciiTheme="majorHAnsi" w:hAnsiTheme="majorHAnsi" w:cstheme="majorHAnsi"/>
          <w:noProof/>
        </w:rPr>
      </w:pPr>
      <w:r w:rsidRPr="002E4516">
        <w:rPr>
          <w:rFonts w:asciiTheme="majorHAnsi" w:hAnsiTheme="majorHAnsi" w:cstheme="majorHAnsi"/>
          <w:b/>
          <w:noProof/>
        </w:rPr>
        <w:t>Din cele</w:t>
      </w:r>
      <w:r w:rsidRPr="002E4516">
        <w:rPr>
          <w:rFonts w:asciiTheme="majorHAnsi" w:hAnsiTheme="majorHAnsi" w:cstheme="majorHAnsi"/>
          <w:noProof/>
        </w:rPr>
        <w:t xml:space="preserve"> </w:t>
      </w:r>
      <w:r w:rsidRPr="002E4516">
        <w:rPr>
          <w:rFonts w:asciiTheme="majorHAnsi" w:hAnsiTheme="majorHAnsi" w:cstheme="majorHAnsi"/>
          <w:b/>
          <w:noProof/>
        </w:rPr>
        <w:t>340 ÎPL care au selectat până la 31.12.2020 administratorii/membrii CA/CS, un număr de:</w:t>
      </w:r>
    </w:p>
    <w:p w14:paraId="6F83FA2A" w14:textId="77777777" w:rsidR="0040167B" w:rsidRPr="002E4516" w:rsidRDefault="0040167B" w:rsidP="0040167B">
      <w:pPr>
        <w:pStyle w:val="NoSpacing"/>
        <w:spacing w:line="276" w:lineRule="auto"/>
        <w:ind w:left="284"/>
        <w:jc w:val="both"/>
        <w:rPr>
          <w:rFonts w:asciiTheme="majorHAnsi" w:hAnsiTheme="majorHAnsi" w:cstheme="majorHAnsi"/>
          <w:noProof/>
        </w:rPr>
      </w:pPr>
      <w:r w:rsidRPr="002E4516">
        <w:rPr>
          <w:rFonts w:asciiTheme="majorHAnsi" w:hAnsiTheme="majorHAnsi" w:cstheme="majorHAnsi"/>
          <w:noProof/>
        </w:rPr>
        <w:t>a)</w:t>
      </w:r>
      <w:r w:rsidRPr="002E4516">
        <w:rPr>
          <w:rFonts w:asciiTheme="majorHAnsi" w:hAnsiTheme="majorHAnsi" w:cstheme="majorHAnsi"/>
          <w:b/>
          <w:noProof/>
        </w:rPr>
        <w:t xml:space="preserve"> 238 ÎPL au finalizat </w:t>
      </w:r>
      <w:r w:rsidRPr="002E4516">
        <w:rPr>
          <w:rFonts w:asciiTheme="majorHAnsi" w:hAnsiTheme="majorHAnsi" w:cstheme="majorHAnsi"/>
          <w:noProof/>
        </w:rPr>
        <w:t>până la 31.12.2020 procesul de selecție a membrilor CA/CS și a directorilor/ directoratului,</w:t>
      </w:r>
      <w:r w:rsidRPr="002E4516">
        <w:rPr>
          <w:rFonts w:asciiTheme="majorHAnsi" w:hAnsiTheme="majorHAnsi" w:cstheme="majorHAnsi"/>
          <w:b/>
          <w:noProof/>
        </w:rPr>
        <w:t xml:space="preserve"> </w:t>
      </w:r>
      <w:r w:rsidRPr="002E4516">
        <w:rPr>
          <w:rFonts w:asciiTheme="majorHAnsi" w:hAnsiTheme="majorHAnsi" w:cstheme="majorHAnsi"/>
          <w:noProof/>
        </w:rPr>
        <w:t>dintre care un număr de 53 ÎPL sunt organizate sub forma de SRL;</w:t>
      </w:r>
    </w:p>
    <w:p w14:paraId="35211119" w14:textId="77777777" w:rsidR="0040167B" w:rsidRPr="002E4516" w:rsidRDefault="0040167B" w:rsidP="0040167B">
      <w:pPr>
        <w:pStyle w:val="NoSpacing"/>
        <w:spacing w:line="276" w:lineRule="auto"/>
        <w:ind w:left="284"/>
        <w:jc w:val="both"/>
        <w:rPr>
          <w:rFonts w:asciiTheme="majorHAnsi" w:hAnsiTheme="majorHAnsi" w:cstheme="majorHAnsi"/>
          <w:noProof/>
        </w:rPr>
      </w:pPr>
      <w:r w:rsidRPr="002E4516">
        <w:rPr>
          <w:rFonts w:asciiTheme="majorHAnsi" w:hAnsiTheme="majorHAnsi" w:cstheme="majorHAnsi"/>
          <w:noProof/>
        </w:rPr>
        <w:t>b)</w:t>
      </w:r>
      <w:r w:rsidRPr="002E4516">
        <w:rPr>
          <w:rFonts w:asciiTheme="majorHAnsi" w:hAnsiTheme="majorHAnsi" w:cstheme="majorHAnsi"/>
          <w:b/>
          <w:noProof/>
        </w:rPr>
        <w:t xml:space="preserve"> 11 ÎPL au finalizat</w:t>
      </w:r>
      <w:r w:rsidRPr="002E4516">
        <w:rPr>
          <w:rFonts w:asciiTheme="majorHAnsi" w:hAnsiTheme="majorHAnsi" w:cstheme="majorHAnsi"/>
          <w:noProof/>
        </w:rPr>
        <w:t xml:space="preserve"> procesul de selecție a administratorilor/membrilor CA/CS </w:t>
      </w:r>
      <w:r w:rsidRPr="002E4516">
        <w:rPr>
          <w:rFonts w:asciiTheme="majorHAnsi" w:hAnsiTheme="majorHAnsi" w:cstheme="majorHAnsi"/>
          <w:b/>
          <w:noProof/>
        </w:rPr>
        <w:t>și</w:t>
      </w:r>
      <w:r w:rsidRPr="002E4516">
        <w:rPr>
          <w:rFonts w:asciiTheme="majorHAnsi" w:hAnsiTheme="majorHAnsi" w:cstheme="majorHAnsi"/>
          <w:noProof/>
        </w:rPr>
        <w:t xml:space="preserve"> </w:t>
      </w:r>
      <w:r w:rsidRPr="002E4516">
        <w:rPr>
          <w:rFonts w:asciiTheme="majorHAnsi" w:hAnsiTheme="majorHAnsi" w:cstheme="majorHAnsi"/>
          <w:b/>
          <w:noProof/>
        </w:rPr>
        <w:t>au declanșat</w:t>
      </w:r>
      <w:r w:rsidRPr="002E4516">
        <w:rPr>
          <w:rFonts w:asciiTheme="majorHAnsi" w:hAnsiTheme="majorHAnsi" w:cstheme="majorHAnsi"/>
          <w:noProof/>
        </w:rPr>
        <w:t xml:space="preserve"> procesul de selecție  a directorilor/membrilor directoratului;</w:t>
      </w:r>
    </w:p>
    <w:p w14:paraId="5099BF07" w14:textId="77777777" w:rsidR="0040167B" w:rsidRPr="002E4516" w:rsidRDefault="0040167B" w:rsidP="0040167B">
      <w:pPr>
        <w:pStyle w:val="NoSpacing"/>
        <w:spacing w:line="276" w:lineRule="auto"/>
        <w:ind w:left="284"/>
        <w:jc w:val="both"/>
        <w:rPr>
          <w:rFonts w:asciiTheme="majorHAnsi" w:hAnsiTheme="majorHAnsi" w:cstheme="majorHAnsi"/>
          <w:noProof/>
        </w:rPr>
      </w:pPr>
      <w:r w:rsidRPr="002E4516">
        <w:rPr>
          <w:rFonts w:asciiTheme="majorHAnsi" w:hAnsiTheme="majorHAnsi" w:cstheme="majorHAnsi"/>
          <w:noProof/>
        </w:rPr>
        <w:t xml:space="preserve">c) </w:t>
      </w:r>
      <w:r w:rsidRPr="002E4516">
        <w:rPr>
          <w:rFonts w:asciiTheme="majorHAnsi" w:hAnsiTheme="majorHAnsi" w:cstheme="majorHAnsi"/>
          <w:b/>
          <w:noProof/>
        </w:rPr>
        <w:t>91 ÎPL au finalizat</w:t>
      </w:r>
      <w:r w:rsidRPr="002E4516">
        <w:rPr>
          <w:rFonts w:asciiTheme="majorHAnsi" w:hAnsiTheme="majorHAnsi" w:cstheme="majorHAnsi"/>
          <w:noProof/>
        </w:rPr>
        <w:t xml:space="preserve"> procesul de selecție a administratorilor/membrilor CA/CS </w:t>
      </w:r>
      <w:r w:rsidRPr="002E4516">
        <w:rPr>
          <w:rFonts w:asciiTheme="majorHAnsi" w:hAnsiTheme="majorHAnsi" w:cstheme="majorHAnsi"/>
          <w:b/>
          <w:noProof/>
        </w:rPr>
        <w:t>dar nu au declanșat</w:t>
      </w:r>
      <w:r w:rsidRPr="002E4516">
        <w:rPr>
          <w:rFonts w:asciiTheme="majorHAnsi" w:hAnsiTheme="majorHAnsi" w:cstheme="majorHAnsi"/>
          <w:noProof/>
        </w:rPr>
        <w:t xml:space="preserve"> procesul de selecție a directorilor/membrilor directoratului;</w:t>
      </w:r>
    </w:p>
    <w:p w14:paraId="35424C4E" w14:textId="77777777" w:rsidR="0040167B" w:rsidRPr="002E4516" w:rsidRDefault="0040167B" w:rsidP="00F17378">
      <w:pPr>
        <w:pStyle w:val="NoSpacing"/>
        <w:numPr>
          <w:ilvl w:val="0"/>
          <w:numId w:val="43"/>
        </w:numPr>
        <w:spacing w:line="276" w:lineRule="auto"/>
        <w:ind w:left="284" w:hanging="284"/>
        <w:jc w:val="both"/>
        <w:rPr>
          <w:rFonts w:asciiTheme="majorHAnsi" w:hAnsiTheme="majorHAnsi" w:cstheme="majorHAnsi"/>
          <w:noProof/>
        </w:rPr>
      </w:pPr>
      <w:r w:rsidRPr="002E4516">
        <w:rPr>
          <w:rFonts w:asciiTheme="majorHAnsi" w:hAnsiTheme="majorHAnsi" w:cstheme="majorHAnsi"/>
          <w:b/>
          <w:noProof/>
        </w:rPr>
        <w:t>54  ÎPL se află în diferite stadii de aplicare</w:t>
      </w:r>
      <w:r w:rsidRPr="002E4516">
        <w:rPr>
          <w:rFonts w:asciiTheme="majorHAnsi" w:hAnsiTheme="majorHAnsi" w:cstheme="majorHAnsi"/>
          <w:noProof/>
        </w:rPr>
        <w:t xml:space="preserve"> a procesului de selecție a administratorilor/membrilor CA/CS , din care: </w:t>
      </w:r>
    </w:p>
    <w:p w14:paraId="4B76213B" w14:textId="77777777" w:rsidR="0040167B" w:rsidRPr="002E4516" w:rsidRDefault="0040167B" w:rsidP="0040167B">
      <w:pPr>
        <w:pStyle w:val="NoSpacing"/>
        <w:spacing w:line="276" w:lineRule="auto"/>
        <w:ind w:left="284"/>
        <w:jc w:val="both"/>
        <w:rPr>
          <w:rFonts w:asciiTheme="majorHAnsi" w:hAnsiTheme="majorHAnsi" w:cstheme="majorHAnsi"/>
          <w:noProof/>
        </w:rPr>
      </w:pPr>
      <w:r w:rsidRPr="002E4516">
        <w:rPr>
          <w:rFonts w:asciiTheme="majorHAnsi" w:hAnsiTheme="majorHAnsi" w:cstheme="majorHAnsi"/>
          <w:noProof/>
        </w:rPr>
        <w:t xml:space="preserve">a) 19 ÎPL </w:t>
      </w:r>
      <w:r w:rsidRPr="002E4516">
        <w:rPr>
          <w:rFonts w:asciiTheme="majorHAnsi" w:hAnsiTheme="majorHAnsi" w:cstheme="majorHAnsi"/>
          <w:b/>
          <w:noProof/>
        </w:rPr>
        <w:t xml:space="preserve">au reluat </w:t>
      </w:r>
      <w:r w:rsidRPr="002E4516">
        <w:rPr>
          <w:rFonts w:asciiTheme="majorHAnsi" w:hAnsiTheme="majorHAnsi" w:cstheme="majorHAnsi"/>
          <w:noProof/>
        </w:rPr>
        <w:t xml:space="preserve">procesul de selecție a administratorilor/membrilor CA/CS, ca urmare a expirării contractelor de mandat, a revocării din funcție de către organele statutare și a demisiei membrilor din CA/CS; </w:t>
      </w:r>
    </w:p>
    <w:p w14:paraId="0DE5A68F" w14:textId="77777777" w:rsidR="0040167B" w:rsidRPr="002E4516" w:rsidRDefault="0040167B" w:rsidP="0040167B">
      <w:pPr>
        <w:pStyle w:val="NoSpacing"/>
        <w:spacing w:line="276" w:lineRule="auto"/>
        <w:ind w:left="284"/>
        <w:jc w:val="both"/>
        <w:rPr>
          <w:rFonts w:asciiTheme="majorHAnsi" w:hAnsiTheme="majorHAnsi" w:cstheme="majorHAnsi"/>
          <w:noProof/>
        </w:rPr>
      </w:pPr>
      <w:r w:rsidRPr="002E4516">
        <w:rPr>
          <w:rFonts w:asciiTheme="majorHAnsi" w:hAnsiTheme="majorHAnsi" w:cstheme="majorHAnsi"/>
          <w:noProof/>
        </w:rPr>
        <w:t xml:space="preserve">b) </w:t>
      </w:r>
      <w:r w:rsidRPr="002E4516">
        <w:rPr>
          <w:rFonts w:asciiTheme="majorHAnsi" w:hAnsiTheme="majorHAnsi" w:cstheme="majorHAnsi"/>
          <w:b/>
          <w:noProof/>
        </w:rPr>
        <w:t>35 ÎPL au declanșat pentru prima dată</w:t>
      </w:r>
      <w:r w:rsidRPr="002E4516">
        <w:rPr>
          <w:rFonts w:asciiTheme="majorHAnsi" w:hAnsiTheme="majorHAnsi" w:cstheme="majorHAnsi"/>
          <w:noProof/>
        </w:rPr>
        <w:t xml:space="preserve"> procesul de selecție a administratorilor/ membrilor CA/CS;</w:t>
      </w:r>
    </w:p>
    <w:p w14:paraId="3E33726C" w14:textId="77777777" w:rsidR="0040167B" w:rsidRPr="002E4516" w:rsidRDefault="0040167B" w:rsidP="00F17378">
      <w:pPr>
        <w:numPr>
          <w:ilvl w:val="0"/>
          <w:numId w:val="43"/>
        </w:numPr>
        <w:spacing w:after="0"/>
        <w:ind w:left="426"/>
        <w:jc w:val="both"/>
        <w:rPr>
          <w:rFonts w:asciiTheme="majorHAnsi" w:hAnsiTheme="majorHAnsi" w:cstheme="majorHAnsi"/>
          <w:noProof/>
          <w:lang w:val="en-US"/>
        </w:rPr>
      </w:pPr>
      <w:r w:rsidRPr="002E4516">
        <w:rPr>
          <w:rFonts w:asciiTheme="majorHAnsi" w:hAnsiTheme="majorHAnsi" w:cstheme="majorHAnsi"/>
          <w:b/>
          <w:noProof/>
          <w:lang w:val="en-US"/>
        </w:rPr>
        <w:t>85 ÎPL nu au declanșat</w:t>
      </w:r>
      <w:r w:rsidRPr="002E4516">
        <w:rPr>
          <w:rFonts w:asciiTheme="majorHAnsi" w:hAnsiTheme="majorHAnsi" w:cstheme="majorHAnsi"/>
          <w:noProof/>
          <w:lang w:val="en-US"/>
        </w:rPr>
        <w:t xml:space="preserve"> procedura de selecție;</w:t>
      </w:r>
    </w:p>
    <w:p w14:paraId="56B97518" w14:textId="77777777" w:rsidR="0040167B" w:rsidRPr="002E4516" w:rsidRDefault="0040167B" w:rsidP="00F17378">
      <w:pPr>
        <w:numPr>
          <w:ilvl w:val="0"/>
          <w:numId w:val="43"/>
        </w:numPr>
        <w:spacing w:after="0"/>
        <w:ind w:left="426"/>
        <w:jc w:val="both"/>
        <w:rPr>
          <w:rFonts w:asciiTheme="majorHAnsi" w:hAnsiTheme="majorHAnsi" w:cstheme="majorHAnsi"/>
          <w:noProof/>
          <w:lang w:val="en-US"/>
        </w:rPr>
      </w:pPr>
      <w:r w:rsidRPr="002E4516">
        <w:rPr>
          <w:rFonts w:asciiTheme="majorHAnsi" w:hAnsiTheme="majorHAnsi" w:cstheme="majorHAnsi"/>
          <w:b/>
          <w:noProof/>
          <w:lang w:val="en-US"/>
        </w:rPr>
        <w:t>714 ÎPL pentru care APTL</w:t>
      </w:r>
      <w:r w:rsidRPr="002E4516">
        <w:rPr>
          <w:rFonts w:asciiTheme="majorHAnsi" w:hAnsiTheme="majorHAnsi" w:cstheme="majorHAnsi"/>
          <w:noProof/>
          <w:lang w:val="en-US"/>
        </w:rPr>
        <w:t xml:space="preserve"> nu și-au îndeplinit obligațiile de raportare.</w:t>
      </w:r>
    </w:p>
    <w:p w14:paraId="23CE0E16" w14:textId="77777777" w:rsidR="0040167B" w:rsidRPr="002E4516" w:rsidRDefault="0040167B" w:rsidP="0040167B">
      <w:pPr>
        <w:spacing w:after="0"/>
        <w:jc w:val="both"/>
        <w:rPr>
          <w:rFonts w:asciiTheme="majorHAnsi" w:hAnsiTheme="majorHAnsi" w:cstheme="majorHAnsi"/>
          <w:noProof/>
          <w:lang w:val="en-US"/>
        </w:rPr>
      </w:pPr>
      <w:r w:rsidRPr="002E4516">
        <w:rPr>
          <w:rFonts w:asciiTheme="majorHAnsi" w:hAnsiTheme="majorHAnsi" w:cstheme="majorHAnsi"/>
          <w:noProof/>
          <w:lang w:val="en-US"/>
        </w:rPr>
        <w:t xml:space="preserve">Numărul </w:t>
      </w:r>
      <w:r w:rsidRPr="002E4516">
        <w:rPr>
          <w:rFonts w:asciiTheme="majorHAnsi" w:hAnsiTheme="majorHAnsi" w:cstheme="majorHAnsi"/>
          <w:noProof/>
        </w:rPr>
        <w:t>întreprinderilor publice</w:t>
      </w:r>
      <w:r w:rsidRPr="002E4516">
        <w:rPr>
          <w:rFonts w:asciiTheme="majorHAnsi" w:hAnsiTheme="majorHAnsi" w:cstheme="majorHAnsi"/>
        </w:rPr>
        <w:t xml:space="preserve"> locale </w:t>
      </w:r>
      <w:r w:rsidRPr="002E4516">
        <w:rPr>
          <w:rFonts w:asciiTheme="majorHAnsi" w:hAnsiTheme="majorHAnsi" w:cstheme="majorHAnsi"/>
          <w:noProof/>
        </w:rPr>
        <w:t>obligate la aplicarea prevederilor OUG nr. 109/2011 a crescut</w:t>
      </w:r>
      <w:r w:rsidRPr="002E4516">
        <w:rPr>
          <w:rFonts w:asciiTheme="majorHAnsi" w:hAnsiTheme="majorHAnsi" w:cstheme="majorHAnsi"/>
          <w:noProof/>
          <w:lang w:val="en-US"/>
        </w:rPr>
        <w:t xml:space="preserve"> </w:t>
      </w:r>
      <w:r w:rsidRPr="002E4516">
        <w:rPr>
          <w:rFonts w:asciiTheme="majorHAnsi" w:hAnsiTheme="majorHAnsi" w:cstheme="majorHAnsi"/>
          <w:noProof/>
        </w:rPr>
        <w:t>în anul 2020 faţă de anul precedent cu 53 de întreprinderi de la 1140 la 1193</w:t>
      </w:r>
      <w:r w:rsidRPr="002E4516">
        <w:rPr>
          <w:rFonts w:asciiTheme="majorHAnsi" w:hAnsiTheme="majorHAnsi" w:cstheme="majorHAnsi"/>
          <w:noProof/>
          <w:lang w:val="en-US"/>
        </w:rPr>
        <w:t xml:space="preserve">. </w:t>
      </w:r>
    </w:p>
    <w:p w14:paraId="32FF18D7" w14:textId="77777777" w:rsidR="0040167B" w:rsidRPr="002E4516" w:rsidRDefault="0040167B" w:rsidP="0040167B">
      <w:pPr>
        <w:spacing w:after="0"/>
        <w:jc w:val="both"/>
        <w:rPr>
          <w:rFonts w:asciiTheme="majorHAnsi" w:hAnsiTheme="majorHAnsi" w:cstheme="majorHAnsi"/>
          <w:noProof/>
          <w:lang w:val="en-US"/>
        </w:rPr>
      </w:pPr>
      <w:r w:rsidRPr="002E4516">
        <w:rPr>
          <w:rFonts w:asciiTheme="majorHAnsi" w:hAnsiTheme="majorHAnsi" w:cstheme="majorHAnsi"/>
          <w:noProof/>
          <w:lang w:val="en-US"/>
        </w:rPr>
        <w:t xml:space="preserve">Se constată o </w:t>
      </w:r>
      <w:r w:rsidRPr="002E4516">
        <w:rPr>
          <w:rFonts w:asciiTheme="majorHAnsi" w:hAnsiTheme="majorHAnsi" w:cstheme="majorHAnsi"/>
          <w:noProof/>
        </w:rPr>
        <w:t>scădere</w:t>
      </w:r>
      <w:r w:rsidRPr="002E4516">
        <w:rPr>
          <w:rFonts w:asciiTheme="majorHAnsi" w:hAnsiTheme="majorHAnsi" w:cstheme="majorHAnsi"/>
          <w:noProof/>
          <w:lang w:val="en-US"/>
        </w:rPr>
        <w:t xml:space="preserve"> cu un procent de 17% a num</w:t>
      </w:r>
      <w:r w:rsidRPr="002E4516">
        <w:rPr>
          <w:rFonts w:asciiTheme="majorHAnsi" w:hAnsiTheme="majorHAnsi" w:cstheme="majorHAnsi"/>
          <w:noProof/>
        </w:rPr>
        <w:t xml:space="preserve">ărului </w:t>
      </w:r>
      <w:r w:rsidRPr="002E4516">
        <w:rPr>
          <w:rFonts w:asciiTheme="majorHAnsi" w:hAnsiTheme="majorHAnsi" w:cstheme="majorHAnsi"/>
          <w:noProof/>
          <w:lang w:val="en-US"/>
        </w:rPr>
        <w:t>întreprinderilor publice aflate în diferite stadii de aplicare a procesului de selecție conform prevederilor O.U.G. nr.109/2011, de la 65 ÎPL la 54 ÎPL.</w:t>
      </w:r>
    </w:p>
    <w:p w14:paraId="7F68C871" w14:textId="77777777" w:rsidR="0040167B" w:rsidRPr="002E4516" w:rsidRDefault="0040167B" w:rsidP="0040167B">
      <w:pPr>
        <w:spacing w:before="120" w:after="0"/>
        <w:jc w:val="both"/>
        <w:rPr>
          <w:rFonts w:asciiTheme="majorHAnsi" w:eastAsia="Arial" w:hAnsiTheme="majorHAnsi" w:cstheme="majorHAnsi"/>
          <w:noProof/>
        </w:rPr>
      </w:pPr>
      <w:r w:rsidRPr="002E4516">
        <w:rPr>
          <w:rFonts w:asciiTheme="majorHAnsi" w:eastAsia="Arial" w:hAnsiTheme="majorHAnsi" w:cstheme="majorHAnsi"/>
          <w:noProof/>
        </w:rPr>
        <w:t>Î</w:t>
      </w:r>
      <w:r w:rsidRPr="002E4516">
        <w:rPr>
          <w:rFonts w:asciiTheme="majorHAnsi" w:eastAsia="Arial" w:hAnsiTheme="majorHAnsi" w:cstheme="majorHAnsi"/>
          <w:b/>
          <w:noProof/>
        </w:rPr>
        <w:t>ntreprinderilor publice organizate ca societăți cu răspundere limitată</w:t>
      </w:r>
      <w:r w:rsidRPr="002E4516">
        <w:rPr>
          <w:rFonts w:asciiTheme="majorHAnsi" w:eastAsia="Arial" w:hAnsiTheme="majorHAnsi" w:cstheme="majorHAnsi"/>
          <w:noProof/>
        </w:rPr>
        <w:t>, le sunt incidente dispozițiile O.U.G. nr. 109/2011</w:t>
      </w:r>
      <w:r w:rsidRPr="002E4516">
        <w:rPr>
          <w:rFonts w:asciiTheme="majorHAnsi" w:eastAsia="Arial" w:hAnsiTheme="majorHAnsi" w:cstheme="majorHAnsi"/>
          <w:noProof/>
          <w:vertAlign w:val="superscript"/>
        </w:rPr>
        <w:footnoteReference w:id="12"/>
      </w:r>
      <w:r w:rsidRPr="002E4516">
        <w:rPr>
          <w:rFonts w:asciiTheme="majorHAnsi" w:eastAsia="Arial" w:hAnsiTheme="majorHAnsi" w:cstheme="majorHAnsi"/>
          <w:noProof/>
        </w:rPr>
        <w:t xml:space="preserve">, </w:t>
      </w:r>
      <w:r w:rsidRPr="002E4516">
        <w:rPr>
          <w:rFonts w:asciiTheme="majorHAnsi" w:eastAsia="Arial" w:hAnsiTheme="majorHAnsi" w:cstheme="majorHAnsi"/>
          <w:b/>
          <w:noProof/>
        </w:rPr>
        <w:t>cu excepția prevederilor referitoare la numărul administratorilor, procedura de selecţie a acestora, precum şi constituirea unor comitete ale administratorilor</w:t>
      </w:r>
      <w:r w:rsidRPr="002E4516">
        <w:rPr>
          <w:rFonts w:asciiTheme="majorHAnsi" w:eastAsia="Arial" w:hAnsiTheme="majorHAnsi" w:cstheme="majorHAnsi"/>
          <w:noProof/>
        </w:rPr>
        <w:t xml:space="preserve">. În cazul acestor societăți, procesul de selecție se consideră finalizat în cazul în care a fost urmată procedura stabilită prin actul constitutiv. </w:t>
      </w:r>
    </w:p>
    <w:p w14:paraId="71DE9D2B" w14:textId="77777777" w:rsidR="0040167B" w:rsidRPr="002E4516" w:rsidRDefault="0040167B" w:rsidP="0040167B">
      <w:pPr>
        <w:spacing w:before="120" w:after="0"/>
        <w:jc w:val="both"/>
        <w:rPr>
          <w:rFonts w:asciiTheme="majorHAnsi" w:eastAsia="Arial" w:hAnsiTheme="majorHAnsi" w:cstheme="majorHAnsi"/>
          <w:noProof/>
        </w:rPr>
      </w:pPr>
      <w:r w:rsidRPr="002E4516">
        <w:rPr>
          <w:rFonts w:asciiTheme="majorHAnsi" w:eastAsia="Arial" w:hAnsiTheme="majorHAnsi" w:cstheme="majorHAnsi"/>
          <w:noProof/>
        </w:rPr>
        <w:t>Din totalul de 820 ÎPL organizate ca societăți cu răspundere limitată, APTL au transmis informații pentru un număr de 207  ÎPL, dintre care pentru un număr de 135 ÎPL au declarat finalizat procesul de selecție a administratorilor.</w:t>
      </w:r>
    </w:p>
    <w:p w14:paraId="04408039" w14:textId="77777777" w:rsidR="0040167B" w:rsidRPr="002E4516" w:rsidRDefault="0040167B" w:rsidP="0040167B">
      <w:pPr>
        <w:spacing w:after="0"/>
        <w:jc w:val="both"/>
        <w:rPr>
          <w:rFonts w:asciiTheme="majorHAnsi" w:hAnsiTheme="majorHAnsi" w:cstheme="majorHAnsi"/>
          <w:noProof/>
          <w:lang w:val="en-US"/>
        </w:rPr>
      </w:pPr>
      <w:r w:rsidRPr="002E4516">
        <w:rPr>
          <w:rFonts w:asciiTheme="majorHAnsi" w:hAnsiTheme="majorHAnsi" w:cstheme="majorHAnsi"/>
          <w:noProof/>
        </w:rPr>
        <w:t>Responsabilii cu realizarea procesului de selecție, cât și forma juridică de organizare a ÎPL la care s-a declanșat procesul de selecție a CA/CS pentru prima dată, sunt prezentate în cele 2 grafice de mai jos</w:t>
      </w:r>
      <w:r w:rsidRPr="002E4516">
        <w:rPr>
          <w:rFonts w:asciiTheme="majorHAnsi" w:hAnsiTheme="majorHAnsi" w:cstheme="majorHAnsi"/>
          <w:noProof/>
          <w:lang w:val="en-US"/>
        </w:rPr>
        <w:t>:</w:t>
      </w:r>
    </w:p>
    <w:p w14:paraId="3983B917" w14:textId="77777777" w:rsidR="0040167B" w:rsidRPr="002E4516" w:rsidRDefault="0040167B" w:rsidP="0040167B">
      <w:pPr>
        <w:spacing w:after="0"/>
        <w:jc w:val="both"/>
        <w:rPr>
          <w:rFonts w:asciiTheme="majorHAnsi" w:hAnsiTheme="majorHAnsi" w:cstheme="majorHAnsi"/>
          <w:noProof/>
          <w:lang w:val="en-US"/>
        </w:rPr>
      </w:pPr>
      <w:r w:rsidRPr="002E4516">
        <w:rPr>
          <w:rFonts w:asciiTheme="majorHAnsi" w:hAnsiTheme="majorHAnsi" w:cstheme="majorHAnsi"/>
          <w:noProof/>
          <w:lang w:val="en-US"/>
        </w:rPr>
        <w:drawing>
          <wp:inline distT="0" distB="0" distL="0" distR="0" wp14:anchorId="1CF81B8D" wp14:editId="7545A352">
            <wp:extent cx="2843999" cy="2844000"/>
            <wp:effectExtent l="0" t="0" r="0" b="0"/>
            <wp:docPr id="24" name="Chart 2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2E4516">
        <w:rPr>
          <w:rFonts w:asciiTheme="majorHAnsi" w:hAnsiTheme="majorHAnsi" w:cstheme="majorHAnsi"/>
          <w:noProof/>
          <w:lang w:val="en-US"/>
        </w:rPr>
        <w:drawing>
          <wp:inline distT="0" distB="0" distL="0" distR="0" wp14:anchorId="0B977C59" wp14:editId="4D8A2A0A">
            <wp:extent cx="2844000" cy="2844000"/>
            <wp:effectExtent l="0" t="0" r="0" b="0"/>
            <wp:docPr id="25" name="Chart 2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D606B8B" w14:textId="77777777" w:rsidR="0040167B" w:rsidRPr="002E4516" w:rsidRDefault="0040167B" w:rsidP="0040167B">
      <w:pPr>
        <w:spacing w:after="0"/>
        <w:jc w:val="both"/>
        <w:rPr>
          <w:rFonts w:asciiTheme="majorHAnsi" w:hAnsiTheme="majorHAnsi" w:cstheme="majorHAnsi"/>
          <w:noProof/>
          <w:lang w:val="en-US"/>
        </w:rPr>
      </w:pPr>
    </w:p>
    <w:p w14:paraId="470A7236" w14:textId="77777777" w:rsidR="0040167B" w:rsidRPr="002E4516" w:rsidRDefault="0040167B" w:rsidP="0040167B">
      <w:pPr>
        <w:spacing w:after="0"/>
        <w:jc w:val="both"/>
        <w:rPr>
          <w:rFonts w:asciiTheme="majorHAnsi" w:hAnsiTheme="majorHAnsi" w:cstheme="majorHAnsi"/>
          <w:b/>
          <w:noProof/>
        </w:rPr>
      </w:pPr>
      <w:r w:rsidRPr="002E4516">
        <w:rPr>
          <w:rFonts w:asciiTheme="majorHAnsi" w:hAnsiTheme="majorHAnsi" w:cstheme="majorHAnsi"/>
          <w:noProof/>
        </w:rPr>
        <w:t xml:space="preserve">Astfel, se constată că pentru ÎPL majoritatea procedurilor de selecție se desfășoară </w:t>
      </w:r>
      <w:r w:rsidRPr="002E4516">
        <w:rPr>
          <w:rFonts w:asciiTheme="majorHAnsi" w:hAnsiTheme="majorHAnsi" w:cstheme="majorHAnsi"/>
          <w:b/>
          <w:noProof/>
        </w:rPr>
        <w:t>prin comisie de selecție organizată la nivelul APTL.</w:t>
      </w:r>
    </w:p>
    <w:p w14:paraId="76CC5CBA" w14:textId="77777777" w:rsidR="0040167B" w:rsidRPr="002E4516" w:rsidRDefault="0040167B" w:rsidP="0040167B">
      <w:pPr>
        <w:spacing w:after="0"/>
        <w:jc w:val="both"/>
        <w:rPr>
          <w:rFonts w:asciiTheme="majorHAnsi" w:hAnsiTheme="majorHAnsi" w:cstheme="majorHAnsi"/>
          <w:noProof/>
          <w:lang w:val="en-US"/>
        </w:rPr>
      </w:pPr>
    </w:p>
    <w:p w14:paraId="190E46FB" w14:textId="77777777" w:rsidR="0040167B" w:rsidRPr="002E4516" w:rsidRDefault="0040167B" w:rsidP="0040167B">
      <w:pPr>
        <w:spacing w:after="0"/>
        <w:jc w:val="both"/>
        <w:rPr>
          <w:rFonts w:asciiTheme="majorHAnsi" w:hAnsiTheme="majorHAnsi" w:cstheme="majorHAnsi"/>
          <w:noProof/>
          <w:lang w:val="en-US"/>
        </w:rPr>
      </w:pPr>
      <w:r w:rsidRPr="002E4516">
        <w:rPr>
          <w:rFonts w:asciiTheme="majorHAnsi" w:hAnsiTheme="majorHAnsi" w:cstheme="majorHAnsi"/>
          <w:noProof/>
          <w:lang w:val="en-US"/>
        </w:rPr>
        <w:t>Stadiul</w:t>
      </w:r>
      <w:r w:rsidRPr="002E4516">
        <w:rPr>
          <w:rFonts w:asciiTheme="majorHAnsi" w:hAnsiTheme="majorHAnsi" w:cstheme="majorHAnsi"/>
          <w:noProof/>
        </w:rPr>
        <w:t xml:space="preserve"> etapelor </w:t>
      </w:r>
      <w:r w:rsidRPr="002E4516">
        <w:rPr>
          <w:rFonts w:asciiTheme="majorHAnsi" w:hAnsiTheme="majorHAnsi" w:cstheme="majorHAnsi"/>
          <w:noProof/>
          <w:lang w:val="en-US"/>
        </w:rPr>
        <w:t>procesului de selecție a administratorilor/membrilor CA/CS și a directorilor/membrilor directoratului, la cele 54</w:t>
      </w:r>
      <w:r w:rsidRPr="002E4516">
        <w:rPr>
          <w:rFonts w:asciiTheme="majorHAnsi" w:hAnsiTheme="majorHAnsi" w:cstheme="majorHAnsi"/>
          <w:b/>
          <w:noProof/>
          <w:lang w:val="en-US"/>
        </w:rPr>
        <w:t xml:space="preserve"> </w:t>
      </w:r>
      <w:r w:rsidRPr="002E4516">
        <w:rPr>
          <w:rFonts w:asciiTheme="majorHAnsi" w:hAnsiTheme="majorHAnsi" w:cstheme="majorHAnsi"/>
          <w:noProof/>
          <w:lang w:val="en-US"/>
        </w:rPr>
        <w:t xml:space="preserve">ÎPL pentru care procesul de selecție a fost demarat sau reluat ca urmare a vacantării tuturor posturilor, dar </w:t>
      </w:r>
      <w:r w:rsidRPr="002E4516">
        <w:rPr>
          <w:rFonts w:asciiTheme="majorHAnsi" w:hAnsiTheme="majorHAnsi" w:cstheme="majorHAnsi"/>
          <w:b/>
          <w:bCs/>
          <w:noProof/>
          <w:lang w:val="en-US"/>
        </w:rPr>
        <w:t>nu a fost finalizat</w:t>
      </w:r>
      <w:r w:rsidRPr="002E4516">
        <w:rPr>
          <w:rFonts w:asciiTheme="majorHAnsi" w:hAnsiTheme="majorHAnsi" w:cstheme="majorHAnsi"/>
          <w:noProof/>
          <w:lang w:val="en-US"/>
        </w:rPr>
        <w:t>, se prezint</w:t>
      </w:r>
      <w:r w:rsidRPr="002E4516">
        <w:rPr>
          <w:rFonts w:asciiTheme="majorHAnsi" w:hAnsiTheme="majorHAnsi" w:cstheme="majorHAnsi"/>
          <w:noProof/>
        </w:rPr>
        <w:t>ă conform următorului grafic</w:t>
      </w:r>
      <w:r w:rsidRPr="002E4516">
        <w:rPr>
          <w:rFonts w:asciiTheme="majorHAnsi" w:hAnsiTheme="majorHAnsi" w:cstheme="majorHAnsi"/>
          <w:noProof/>
          <w:lang w:val="en-US"/>
        </w:rPr>
        <w:t>:</w:t>
      </w:r>
    </w:p>
    <w:p w14:paraId="53C5C4F4" w14:textId="77777777" w:rsidR="0040167B" w:rsidRPr="002E4516" w:rsidRDefault="0040167B" w:rsidP="0040167B">
      <w:pPr>
        <w:suppressAutoHyphens/>
        <w:spacing w:before="0" w:after="0"/>
        <w:jc w:val="both"/>
        <w:rPr>
          <w:rFonts w:asciiTheme="majorHAnsi" w:hAnsiTheme="majorHAnsi" w:cstheme="majorHAnsi"/>
          <w:noProof/>
        </w:rPr>
      </w:pPr>
      <w:r w:rsidRPr="002E4516">
        <w:rPr>
          <w:rFonts w:asciiTheme="majorHAnsi" w:hAnsiTheme="majorHAnsi" w:cstheme="majorHAnsi"/>
          <w:noProof/>
          <w:lang w:val="en-US"/>
        </w:rPr>
        <w:drawing>
          <wp:inline distT="0" distB="0" distL="0" distR="0" wp14:anchorId="487B94F4" wp14:editId="480E2DE1">
            <wp:extent cx="5731510" cy="2909570"/>
            <wp:effectExtent l="0" t="0" r="2540" b="5080"/>
            <wp:docPr id="28" name="Chart 28">
              <a:extLst xmlns:a="http://schemas.openxmlformats.org/drawingml/2006/main">
                <a:ext uri="{FF2B5EF4-FFF2-40B4-BE49-F238E27FC236}">
                  <a16:creationId xmlns:a16="http://schemas.microsoft.com/office/drawing/2014/main" id="{E977FD84-AB65-4308-8EA7-13B12528B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521A033" w14:textId="77777777" w:rsidR="0040167B" w:rsidRPr="002E4516" w:rsidRDefault="0040167B" w:rsidP="0040167B">
      <w:pPr>
        <w:suppressAutoHyphens/>
        <w:spacing w:before="0" w:after="0"/>
        <w:jc w:val="both"/>
        <w:rPr>
          <w:rFonts w:asciiTheme="majorHAnsi" w:hAnsiTheme="majorHAnsi" w:cstheme="majorHAnsi"/>
          <w:noProof/>
        </w:rPr>
      </w:pPr>
    </w:p>
    <w:p w14:paraId="560BC361" w14:textId="77777777" w:rsidR="0040167B" w:rsidRPr="002E4516" w:rsidRDefault="0040167B" w:rsidP="0040167B">
      <w:pPr>
        <w:pStyle w:val="NoSpacing"/>
        <w:spacing w:line="276" w:lineRule="auto"/>
        <w:jc w:val="both"/>
        <w:rPr>
          <w:rFonts w:asciiTheme="majorHAnsi" w:hAnsiTheme="majorHAnsi" w:cstheme="majorHAnsi"/>
        </w:rPr>
      </w:pPr>
      <w:r w:rsidRPr="002E4516">
        <w:rPr>
          <w:rFonts w:asciiTheme="majorHAnsi" w:hAnsiTheme="majorHAnsi" w:cstheme="majorHAnsi"/>
        </w:rPr>
        <w:t>Ca urmare a analizei, se constată că din cele 54 IPL  majoritatea se afla in stadii incipiente ale procesului de selecţie conform prevederilor O.U.G. nr.109/2011, respectiv la elaborarea componentei iniţiale a planului de selecţie.</w:t>
      </w:r>
    </w:p>
    <w:p w14:paraId="1C534DF0" w14:textId="39C7D04B" w:rsidR="0040167B" w:rsidRDefault="0040167B" w:rsidP="0040167B">
      <w:pPr>
        <w:suppressAutoHyphens/>
        <w:spacing w:before="0" w:after="0"/>
        <w:jc w:val="both"/>
        <w:rPr>
          <w:rFonts w:asciiTheme="majorHAnsi" w:hAnsiTheme="majorHAnsi" w:cstheme="majorHAnsi"/>
          <w:noProof/>
        </w:rPr>
      </w:pPr>
      <w:r w:rsidRPr="002E4516">
        <w:rPr>
          <w:rFonts w:asciiTheme="majorHAnsi" w:hAnsiTheme="majorHAnsi" w:cstheme="majorHAnsi"/>
          <w:noProof/>
        </w:rPr>
        <w:t>În cazul ÎPL pentru care APTL nu a transmis formularul S1100, nu ne putem pronunța cu privire la respectarea prevederilor O.U.G. nr.109/2011.</w:t>
      </w:r>
    </w:p>
    <w:p w14:paraId="2F3C527C" w14:textId="3835222F" w:rsidR="0040167B" w:rsidRDefault="0040167B" w:rsidP="0040167B">
      <w:pPr>
        <w:suppressAutoHyphens/>
        <w:spacing w:before="0" w:after="0"/>
        <w:jc w:val="both"/>
        <w:rPr>
          <w:rFonts w:asciiTheme="majorHAnsi" w:hAnsiTheme="majorHAnsi" w:cstheme="majorHAnsi"/>
          <w:noProof/>
        </w:rPr>
      </w:pPr>
    </w:p>
    <w:p w14:paraId="1DA3793C" w14:textId="77777777" w:rsidR="0040167B" w:rsidRPr="002E4516" w:rsidRDefault="0040167B" w:rsidP="0040167B">
      <w:pPr>
        <w:pStyle w:val="ListParagraph"/>
        <w:ind w:left="0"/>
        <w:jc w:val="both"/>
        <w:outlineLvl w:val="2"/>
        <w:rPr>
          <w:rFonts w:asciiTheme="majorHAnsi" w:hAnsiTheme="majorHAnsi" w:cstheme="majorHAnsi"/>
          <w:b/>
          <w:bCs/>
          <w:color w:val="0F6FC6" w:themeColor="accent1"/>
          <w:sz w:val="28"/>
          <w:szCs w:val="28"/>
        </w:rPr>
      </w:pPr>
      <w:bookmarkStart w:id="135" w:name="_Toc16518189"/>
      <w:bookmarkStart w:id="136" w:name="_Toc59451809"/>
      <w:bookmarkStart w:id="137" w:name="_Toc87875974"/>
      <w:r w:rsidRPr="002E4516">
        <w:rPr>
          <w:rFonts w:asciiTheme="majorHAnsi" w:hAnsiTheme="majorHAnsi" w:cstheme="majorHAnsi"/>
          <w:b/>
          <w:bCs/>
          <w:color w:val="0F6FC6" w:themeColor="accent1"/>
          <w:sz w:val="28"/>
          <w:szCs w:val="28"/>
        </w:rPr>
        <w:t>4.3 – Stadiul îndeplinirii indicatorilor cheie de performanță asociați obiectivelor din contractele de mandat ale administratorilor și directorilor la întreprinderile publice locale</w:t>
      </w:r>
      <w:bookmarkEnd w:id="135"/>
      <w:bookmarkEnd w:id="136"/>
      <w:bookmarkEnd w:id="137"/>
      <w:r w:rsidRPr="002E4516">
        <w:rPr>
          <w:rFonts w:asciiTheme="majorHAnsi" w:hAnsiTheme="majorHAnsi" w:cstheme="majorHAnsi"/>
          <w:b/>
          <w:bCs/>
          <w:color w:val="0F6FC6" w:themeColor="accent1"/>
          <w:sz w:val="28"/>
          <w:szCs w:val="28"/>
        </w:rPr>
        <w:t xml:space="preserve"> </w:t>
      </w:r>
    </w:p>
    <w:p w14:paraId="236EC299" w14:textId="77777777" w:rsidR="0040167B" w:rsidRPr="002E4516" w:rsidRDefault="0040167B" w:rsidP="0040167B">
      <w:pPr>
        <w:jc w:val="both"/>
        <w:rPr>
          <w:rFonts w:asciiTheme="majorHAnsi" w:hAnsiTheme="majorHAnsi" w:cstheme="majorHAnsi"/>
          <w:noProof/>
        </w:rPr>
      </w:pPr>
      <w:r w:rsidRPr="002E4516">
        <w:rPr>
          <w:rFonts w:asciiTheme="majorHAnsi" w:hAnsiTheme="majorHAnsi" w:cstheme="majorHAnsi"/>
          <w:noProof/>
        </w:rPr>
        <w:t xml:space="preserve">În conformitate cu prevederile O.U.G. nr. 109/2011 la ÎPL  la care a fost finalizat procesul de selecție a  administratorilor și directorilor/directoratului există obligația încheierii contractelor de mandat între aceștia, pe de o parte, și APTC/consiliul de administrație, pe de altă parte. În contractele de mandat sunt stabiliți indicatori de performanță cu ajutorul cărora să se măsoare cantitativ și calitativ performanțele financiare și nefinanciare ale ÎPL.  </w:t>
      </w:r>
    </w:p>
    <w:p w14:paraId="6B2C2C37" w14:textId="77777777" w:rsidR="0040167B" w:rsidRPr="002E4516" w:rsidRDefault="0040167B" w:rsidP="0040167B">
      <w:pPr>
        <w:jc w:val="both"/>
        <w:rPr>
          <w:rFonts w:asciiTheme="majorHAnsi" w:hAnsiTheme="majorHAnsi" w:cstheme="majorHAnsi"/>
          <w:noProof/>
        </w:rPr>
      </w:pPr>
      <w:r w:rsidRPr="002E4516">
        <w:rPr>
          <w:rFonts w:asciiTheme="majorHAnsi" w:hAnsiTheme="majorHAnsi" w:cstheme="majorHAnsi"/>
          <w:noProof/>
        </w:rPr>
        <w:t xml:space="preserve">În vederea desfășurării unei activități optime a întreprinderilor publice, indicatorii de performanță sunt de 3 tipuri, respectiv: indicatori de performanță financiari, indicatori de performanță nefinanciari operaționali și indicatori de guvernanță corporativă. </w:t>
      </w:r>
    </w:p>
    <w:p w14:paraId="18A92282" w14:textId="07F3C32E" w:rsidR="0040167B" w:rsidRDefault="0040167B" w:rsidP="0040167B">
      <w:pPr>
        <w:jc w:val="both"/>
        <w:rPr>
          <w:rFonts w:asciiTheme="majorHAnsi" w:hAnsiTheme="majorHAnsi" w:cstheme="majorHAnsi"/>
          <w:noProof/>
        </w:rPr>
      </w:pPr>
      <w:r w:rsidRPr="002E4516">
        <w:rPr>
          <w:rFonts w:asciiTheme="majorHAnsi" w:hAnsiTheme="majorHAnsi" w:cstheme="majorHAnsi"/>
          <w:noProof/>
        </w:rPr>
        <w:t>În urma analizei informațiilor transmise de către APTL, se observă că în contractele de mandat ale administratorilor și directorilor au fost stabiliți indicatori de performanță, după cum urmează:</w:t>
      </w:r>
    </w:p>
    <w:p w14:paraId="0882842E" w14:textId="024CD157" w:rsidR="0040167B" w:rsidRDefault="0040167B" w:rsidP="0040167B">
      <w:pPr>
        <w:spacing w:before="0" w:after="0" w:line="240" w:lineRule="auto"/>
        <w:rPr>
          <w:rFonts w:asciiTheme="majorHAnsi" w:eastAsia="Times New Roman" w:hAnsiTheme="majorHAnsi" w:cs="Times New Roman"/>
          <w:color w:val="0F6FC6" w:themeColor="accent1"/>
          <w:lang w:eastAsia="ro-RO"/>
        </w:rPr>
      </w:pPr>
      <w:r>
        <w:rPr>
          <w:rFonts w:asciiTheme="majorHAnsi" w:eastAsia="Times New Roman" w:hAnsiTheme="majorHAnsi" w:cs="Times New Roman"/>
          <w:color w:val="0F6FC6" w:themeColor="accent1"/>
          <w:lang w:eastAsia="ro-RO"/>
        </w:rPr>
        <w:t>Situația indicatorilor raportați pentru administratori și directori ale ÎPL:</w:t>
      </w:r>
    </w:p>
    <w:p w14:paraId="12158C55" w14:textId="77777777" w:rsidR="0040167B" w:rsidRDefault="0040167B" w:rsidP="0040167B">
      <w:pPr>
        <w:spacing w:before="0" w:after="0" w:line="240" w:lineRule="auto"/>
        <w:rPr>
          <w:rFonts w:asciiTheme="majorHAnsi" w:hAnsiTheme="majorHAnsi"/>
          <w:noProof/>
          <w:color w:val="0F6FC6" w:themeColor="accent1"/>
        </w:rPr>
      </w:pPr>
    </w:p>
    <w:tbl>
      <w:tblPr>
        <w:tblW w:w="8595" w:type="dxa"/>
        <w:tblInd w:w="-5" w:type="dxa"/>
        <w:tblLook w:val="04A0" w:firstRow="1" w:lastRow="0" w:firstColumn="1" w:lastColumn="0" w:noHBand="0" w:noVBand="1"/>
      </w:tblPr>
      <w:tblGrid>
        <w:gridCol w:w="4326"/>
        <w:gridCol w:w="1708"/>
        <w:gridCol w:w="2561"/>
      </w:tblGrid>
      <w:tr w:rsidR="0040167B" w14:paraId="381E1905" w14:textId="77777777" w:rsidTr="00B06C32">
        <w:trPr>
          <w:trHeight w:val="183"/>
        </w:trPr>
        <w:tc>
          <w:tcPr>
            <w:tcW w:w="4326" w:type="dxa"/>
            <w:vMerge w:val="restart"/>
            <w:tcBorders>
              <w:top w:val="single" w:sz="4" w:space="0" w:color="95B3D7"/>
              <w:left w:val="single" w:sz="4" w:space="0" w:color="FFFFFF"/>
              <w:bottom w:val="single" w:sz="4" w:space="0" w:color="95B3D7"/>
              <w:right w:val="single" w:sz="4" w:space="0" w:color="FFFFFF"/>
            </w:tcBorders>
            <w:noWrap/>
            <w:hideMark/>
          </w:tcPr>
          <w:p w14:paraId="5FB5655C"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Tip indicator</w:t>
            </w:r>
          </w:p>
        </w:tc>
        <w:tc>
          <w:tcPr>
            <w:tcW w:w="1708" w:type="dxa"/>
            <w:tcBorders>
              <w:top w:val="single" w:sz="4" w:space="0" w:color="95B3D7"/>
              <w:left w:val="nil"/>
              <w:bottom w:val="single" w:sz="4" w:space="0" w:color="95B3D7"/>
              <w:right w:val="single" w:sz="4" w:space="0" w:color="FFFFFF"/>
            </w:tcBorders>
            <w:hideMark/>
          </w:tcPr>
          <w:p w14:paraId="4CFE6D91"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Administratori</w:t>
            </w:r>
          </w:p>
        </w:tc>
        <w:tc>
          <w:tcPr>
            <w:tcW w:w="2561" w:type="dxa"/>
            <w:tcBorders>
              <w:top w:val="single" w:sz="4" w:space="0" w:color="95B3D7"/>
              <w:left w:val="nil"/>
              <w:bottom w:val="single" w:sz="4" w:space="0" w:color="95B3D7"/>
              <w:right w:val="single" w:sz="4" w:space="0" w:color="FFFFFF"/>
            </w:tcBorders>
            <w:hideMark/>
          </w:tcPr>
          <w:p w14:paraId="57BE3C59"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Directori</w:t>
            </w:r>
          </w:p>
        </w:tc>
      </w:tr>
      <w:tr w:rsidR="0040167B" w14:paraId="34AE876D" w14:textId="77777777" w:rsidTr="00B06C32">
        <w:trPr>
          <w:trHeight w:val="200"/>
        </w:trPr>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75B2A3DD" w14:textId="77777777" w:rsidR="0040167B" w:rsidRDefault="0040167B" w:rsidP="00B06C32">
            <w:pPr>
              <w:spacing w:before="0" w:after="0"/>
              <w:rPr>
                <w:rFonts w:ascii="Calibri Light" w:eastAsia="Times New Roman" w:hAnsi="Calibri Light" w:cs="Times New Roman"/>
                <w:color w:val="0F6FC6" w:themeColor="accent1"/>
                <w:sz w:val="16"/>
                <w:szCs w:val="16"/>
                <w:lang w:eastAsia="ro-RO"/>
              </w:rPr>
            </w:pPr>
          </w:p>
        </w:tc>
        <w:tc>
          <w:tcPr>
            <w:tcW w:w="1708" w:type="dxa"/>
            <w:tcBorders>
              <w:top w:val="nil"/>
              <w:left w:val="nil"/>
              <w:bottom w:val="single" w:sz="4" w:space="0" w:color="95B3D7"/>
              <w:right w:val="single" w:sz="4" w:space="0" w:color="FFFFFF"/>
            </w:tcBorders>
            <w:hideMark/>
          </w:tcPr>
          <w:p w14:paraId="61454753"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nr. total indicatori</w:t>
            </w:r>
          </w:p>
        </w:tc>
        <w:tc>
          <w:tcPr>
            <w:tcW w:w="2561" w:type="dxa"/>
            <w:tcBorders>
              <w:top w:val="nil"/>
              <w:left w:val="nil"/>
              <w:bottom w:val="single" w:sz="4" w:space="0" w:color="95B3D7"/>
              <w:right w:val="single" w:sz="4" w:space="0" w:color="FFFFFF"/>
            </w:tcBorders>
            <w:hideMark/>
          </w:tcPr>
          <w:p w14:paraId="39CE26AD"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nr. total indicatori</w:t>
            </w:r>
          </w:p>
        </w:tc>
      </w:tr>
      <w:tr w:rsidR="0040167B" w14:paraId="39799A13" w14:textId="77777777" w:rsidTr="00B06C32">
        <w:trPr>
          <w:trHeight w:val="200"/>
        </w:trPr>
        <w:tc>
          <w:tcPr>
            <w:tcW w:w="0" w:type="auto"/>
            <w:vMerge/>
            <w:tcBorders>
              <w:top w:val="single" w:sz="4" w:space="0" w:color="95B3D7"/>
              <w:left w:val="single" w:sz="4" w:space="0" w:color="FFFFFF"/>
              <w:bottom w:val="single" w:sz="4" w:space="0" w:color="95B3D7"/>
              <w:right w:val="single" w:sz="4" w:space="0" w:color="FFFFFF"/>
            </w:tcBorders>
            <w:vAlign w:val="center"/>
            <w:hideMark/>
          </w:tcPr>
          <w:p w14:paraId="268E2C80" w14:textId="77777777" w:rsidR="0040167B" w:rsidRDefault="0040167B" w:rsidP="00B06C32">
            <w:pPr>
              <w:spacing w:before="0" w:after="0"/>
              <w:rPr>
                <w:rFonts w:ascii="Calibri Light" w:eastAsia="Times New Roman" w:hAnsi="Calibri Light" w:cs="Times New Roman"/>
                <w:color w:val="0F6FC6" w:themeColor="accent1"/>
                <w:sz w:val="16"/>
                <w:szCs w:val="16"/>
                <w:lang w:eastAsia="ro-RO"/>
              </w:rPr>
            </w:pPr>
          </w:p>
        </w:tc>
        <w:tc>
          <w:tcPr>
            <w:tcW w:w="1708" w:type="dxa"/>
            <w:tcBorders>
              <w:top w:val="nil"/>
              <w:left w:val="nil"/>
              <w:bottom w:val="single" w:sz="4" w:space="0" w:color="95B3D7"/>
              <w:right w:val="single" w:sz="4" w:space="0" w:color="FFFFFF"/>
            </w:tcBorders>
            <w:noWrap/>
            <w:hideMark/>
          </w:tcPr>
          <w:p w14:paraId="374E046A"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1</w:t>
            </w:r>
          </w:p>
        </w:tc>
        <w:tc>
          <w:tcPr>
            <w:tcW w:w="2561" w:type="dxa"/>
            <w:tcBorders>
              <w:top w:val="nil"/>
              <w:left w:val="nil"/>
              <w:bottom w:val="single" w:sz="4" w:space="0" w:color="95B3D7"/>
              <w:right w:val="single" w:sz="4" w:space="0" w:color="FFFFFF"/>
            </w:tcBorders>
            <w:noWrap/>
            <w:hideMark/>
          </w:tcPr>
          <w:p w14:paraId="470C2F26" w14:textId="77777777" w:rsidR="0040167B" w:rsidRDefault="0040167B" w:rsidP="00B06C32">
            <w:pPr>
              <w:spacing w:before="0" w:after="0" w:line="240" w:lineRule="auto"/>
              <w:jc w:val="center"/>
              <w:rPr>
                <w:rFonts w:ascii="Calibri Light" w:eastAsia="Times New Roman" w:hAnsi="Calibri Light" w:cs="Times New Roman"/>
                <w:color w:val="0F6FC6" w:themeColor="accent1"/>
                <w:sz w:val="16"/>
                <w:szCs w:val="16"/>
                <w:lang w:eastAsia="ro-RO"/>
              </w:rPr>
            </w:pPr>
            <w:r>
              <w:rPr>
                <w:rFonts w:ascii="Calibri Light" w:eastAsia="Times New Roman" w:hAnsi="Calibri Light" w:cs="Times New Roman"/>
                <w:color w:val="0F6FC6" w:themeColor="accent1"/>
                <w:sz w:val="16"/>
                <w:szCs w:val="16"/>
                <w:lang w:eastAsia="ro-RO"/>
              </w:rPr>
              <w:t>2</w:t>
            </w:r>
          </w:p>
        </w:tc>
      </w:tr>
      <w:tr w:rsidR="0040167B" w14:paraId="063FE4E6" w14:textId="77777777" w:rsidTr="00B06C32">
        <w:trPr>
          <w:trHeight w:val="210"/>
        </w:trPr>
        <w:tc>
          <w:tcPr>
            <w:tcW w:w="4326" w:type="dxa"/>
            <w:tcBorders>
              <w:top w:val="nil"/>
              <w:left w:val="single" w:sz="4" w:space="0" w:color="FFFFFF"/>
              <w:bottom w:val="nil"/>
              <w:right w:val="single" w:sz="4" w:space="0" w:color="FFFFFF"/>
            </w:tcBorders>
            <w:noWrap/>
            <w:vAlign w:val="center"/>
            <w:hideMark/>
          </w:tcPr>
          <w:p w14:paraId="09189981" w14:textId="77777777" w:rsidR="0040167B" w:rsidRDefault="0040167B" w:rsidP="00B06C32">
            <w:pPr>
              <w:spacing w:before="0" w:after="0" w:line="240" w:lineRule="auto"/>
              <w:rPr>
                <w:rFonts w:ascii="Calibri Light" w:eastAsia="Times New Roman" w:hAnsi="Calibri Light" w:cs="Times New Roman"/>
                <w:b/>
                <w:color w:val="0F6FC6" w:themeColor="accent1"/>
                <w:sz w:val="16"/>
                <w:szCs w:val="16"/>
                <w:lang w:eastAsia="ro-RO"/>
              </w:rPr>
            </w:pPr>
            <w:r>
              <w:rPr>
                <w:rFonts w:ascii="Calibri Light" w:eastAsia="Times New Roman" w:hAnsi="Calibri Light" w:cs="Times New Roman"/>
                <w:b/>
                <w:color w:val="0F6FC6" w:themeColor="accent1"/>
                <w:sz w:val="16"/>
                <w:szCs w:val="16"/>
                <w:lang w:eastAsia="ro-RO"/>
              </w:rPr>
              <w:t>Indicator financiar</w:t>
            </w:r>
          </w:p>
        </w:tc>
        <w:tc>
          <w:tcPr>
            <w:tcW w:w="1708" w:type="dxa"/>
            <w:tcBorders>
              <w:top w:val="nil"/>
              <w:left w:val="nil"/>
              <w:bottom w:val="nil"/>
              <w:right w:val="single" w:sz="4" w:space="0" w:color="FFFFFF"/>
            </w:tcBorders>
            <w:noWrap/>
            <w:vAlign w:val="center"/>
            <w:hideMark/>
          </w:tcPr>
          <w:p w14:paraId="0FC5B219" w14:textId="77777777" w:rsidR="0040167B" w:rsidRDefault="0040167B" w:rsidP="00B06C32">
            <w:pPr>
              <w:spacing w:before="0" w:after="0" w:line="240" w:lineRule="auto"/>
              <w:jc w:val="right"/>
              <w:rPr>
                <w:rFonts w:asciiTheme="majorHAnsi" w:eastAsia="Times New Roman" w:hAnsiTheme="majorHAnsi" w:cs="Times New Roman"/>
                <w:color w:val="0F6FC6" w:themeColor="accent1"/>
                <w:sz w:val="16"/>
                <w:szCs w:val="16"/>
                <w:lang w:eastAsia="ro-RO"/>
              </w:rPr>
            </w:pPr>
            <w:r>
              <w:rPr>
                <w:rFonts w:asciiTheme="majorHAnsi" w:eastAsia="Times New Roman" w:hAnsiTheme="majorHAnsi" w:cs="Times New Roman"/>
                <w:color w:val="0F6FC6" w:themeColor="accent1"/>
                <w:sz w:val="16"/>
                <w:szCs w:val="16"/>
                <w:lang w:eastAsia="ro-RO"/>
              </w:rPr>
              <w:t>1239</w:t>
            </w:r>
          </w:p>
        </w:tc>
        <w:tc>
          <w:tcPr>
            <w:tcW w:w="2561" w:type="dxa"/>
            <w:tcBorders>
              <w:top w:val="nil"/>
              <w:left w:val="nil"/>
              <w:bottom w:val="nil"/>
              <w:right w:val="single" w:sz="4" w:space="0" w:color="FFFFFF"/>
            </w:tcBorders>
            <w:noWrap/>
            <w:vAlign w:val="center"/>
            <w:hideMark/>
          </w:tcPr>
          <w:p w14:paraId="2E4E2075" w14:textId="77777777" w:rsidR="0040167B" w:rsidRDefault="0040167B" w:rsidP="00B06C32">
            <w:pPr>
              <w:spacing w:before="0" w:after="0" w:line="240" w:lineRule="auto"/>
              <w:jc w:val="right"/>
              <w:rPr>
                <w:rFonts w:asciiTheme="majorHAnsi" w:eastAsia="Times New Roman" w:hAnsiTheme="majorHAnsi" w:cs="Times New Roman"/>
                <w:color w:val="0F6FC6" w:themeColor="accent1"/>
                <w:sz w:val="16"/>
                <w:szCs w:val="16"/>
                <w:lang w:eastAsia="ro-RO"/>
              </w:rPr>
            </w:pPr>
            <w:r>
              <w:rPr>
                <w:rFonts w:asciiTheme="majorHAnsi" w:eastAsia="Times New Roman" w:hAnsiTheme="majorHAnsi" w:cs="Times New Roman"/>
                <w:color w:val="0F6FC6" w:themeColor="accent1"/>
                <w:sz w:val="16"/>
                <w:szCs w:val="16"/>
                <w:lang w:eastAsia="ro-RO"/>
              </w:rPr>
              <w:t>1.121</w:t>
            </w:r>
          </w:p>
        </w:tc>
      </w:tr>
      <w:tr w:rsidR="0040167B" w14:paraId="059D0088" w14:textId="77777777" w:rsidTr="00B06C32">
        <w:trPr>
          <w:trHeight w:val="210"/>
        </w:trPr>
        <w:tc>
          <w:tcPr>
            <w:tcW w:w="4326" w:type="dxa"/>
            <w:tcBorders>
              <w:top w:val="single" w:sz="4" w:space="0" w:color="FFFFFF"/>
              <w:left w:val="single" w:sz="4" w:space="0" w:color="FFFFFF"/>
              <w:bottom w:val="single" w:sz="4" w:space="0" w:color="FFFFFF"/>
              <w:right w:val="single" w:sz="4" w:space="0" w:color="FFFFFF"/>
            </w:tcBorders>
            <w:noWrap/>
            <w:vAlign w:val="center"/>
            <w:hideMark/>
          </w:tcPr>
          <w:p w14:paraId="5C3D0E77" w14:textId="77777777" w:rsidR="0040167B" w:rsidRDefault="0040167B" w:rsidP="00B06C32">
            <w:pPr>
              <w:spacing w:before="0" w:after="0" w:line="240" w:lineRule="auto"/>
              <w:rPr>
                <w:rFonts w:ascii="Calibri Light" w:eastAsia="Times New Roman" w:hAnsi="Calibri Light" w:cs="Times New Roman"/>
                <w:b/>
                <w:color w:val="0F6FC6" w:themeColor="accent1"/>
                <w:sz w:val="16"/>
                <w:szCs w:val="16"/>
                <w:lang w:eastAsia="ro-RO"/>
              </w:rPr>
            </w:pPr>
            <w:r>
              <w:rPr>
                <w:rFonts w:ascii="Calibri Light" w:eastAsia="Times New Roman" w:hAnsi="Calibri Light" w:cs="Times New Roman"/>
                <w:b/>
                <w:color w:val="0F6FC6" w:themeColor="accent1"/>
                <w:sz w:val="16"/>
                <w:szCs w:val="16"/>
                <w:lang w:eastAsia="ro-RO"/>
              </w:rPr>
              <w:t>Indicator nefinanciar operațional</w:t>
            </w:r>
          </w:p>
        </w:tc>
        <w:tc>
          <w:tcPr>
            <w:tcW w:w="1708" w:type="dxa"/>
            <w:tcBorders>
              <w:top w:val="single" w:sz="4" w:space="0" w:color="FFFFFF"/>
              <w:left w:val="nil"/>
              <w:bottom w:val="single" w:sz="4" w:space="0" w:color="FFFFFF"/>
              <w:right w:val="single" w:sz="4" w:space="0" w:color="FFFFFF"/>
            </w:tcBorders>
            <w:noWrap/>
            <w:vAlign w:val="center"/>
            <w:hideMark/>
          </w:tcPr>
          <w:p w14:paraId="2D60CCF0" w14:textId="77777777" w:rsidR="0040167B" w:rsidRDefault="0040167B" w:rsidP="00B06C32">
            <w:pPr>
              <w:spacing w:before="0" w:after="0" w:line="240" w:lineRule="auto"/>
              <w:jc w:val="right"/>
              <w:rPr>
                <w:rFonts w:asciiTheme="majorHAnsi" w:eastAsia="Times New Roman" w:hAnsiTheme="majorHAnsi" w:cs="Times New Roman"/>
                <w:color w:val="0F6FC6" w:themeColor="accent1"/>
                <w:sz w:val="16"/>
                <w:szCs w:val="16"/>
                <w:lang w:eastAsia="ro-RO"/>
              </w:rPr>
            </w:pPr>
            <w:r>
              <w:rPr>
                <w:rFonts w:asciiTheme="majorHAnsi" w:eastAsia="Times New Roman" w:hAnsiTheme="majorHAnsi" w:cs="Times New Roman"/>
                <w:color w:val="0F6FC6" w:themeColor="accent1"/>
                <w:sz w:val="16"/>
                <w:szCs w:val="16"/>
                <w:lang w:eastAsia="ro-RO"/>
              </w:rPr>
              <w:t>822</w:t>
            </w:r>
          </w:p>
        </w:tc>
        <w:tc>
          <w:tcPr>
            <w:tcW w:w="2561" w:type="dxa"/>
            <w:tcBorders>
              <w:top w:val="single" w:sz="4" w:space="0" w:color="FFFFFF"/>
              <w:left w:val="nil"/>
              <w:bottom w:val="single" w:sz="4" w:space="0" w:color="FFFFFF"/>
              <w:right w:val="single" w:sz="4" w:space="0" w:color="FFFFFF"/>
            </w:tcBorders>
            <w:noWrap/>
            <w:vAlign w:val="center"/>
            <w:hideMark/>
          </w:tcPr>
          <w:p w14:paraId="75A2E7A1" w14:textId="77777777" w:rsidR="0040167B" w:rsidRDefault="0040167B" w:rsidP="00B06C32">
            <w:pPr>
              <w:spacing w:before="0" w:after="0" w:line="240" w:lineRule="auto"/>
              <w:jc w:val="right"/>
              <w:rPr>
                <w:rFonts w:asciiTheme="majorHAnsi" w:eastAsia="Times New Roman" w:hAnsiTheme="majorHAnsi" w:cs="Times New Roman"/>
                <w:color w:val="0F6FC6" w:themeColor="accent1"/>
                <w:sz w:val="16"/>
                <w:szCs w:val="16"/>
                <w:lang w:eastAsia="ro-RO"/>
              </w:rPr>
            </w:pPr>
            <w:r>
              <w:rPr>
                <w:rFonts w:asciiTheme="majorHAnsi" w:eastAsia="Times New Roman" w:hAnsiTheme="majorHAnsi" w:cs="Times New Roman"/>
                <w:color w:val="0F6FC6" w:themeColor="accent1"/>
                <w:sz w:val="16"/>
                <w:szCs w:val="16"/>
                <w:lang w:eastAsia="ro-RO"/>
              </w:rPr>
              <w:t>734</w:t>
            </w:r>
          </w:p>
        </w:tc>
      </w:tr>
      <w:tr w:rsidR="0040167B" w14:paraId="76E0175D" w14:textId="77777777" w:rsidTr="00B06C32">
        <w:trPr>
          <w:trHeight w:val="200"/>
        </w:trPr>
        <w:tc>
          <w:tcPr>
            <w:tcW w:w="4326" w:type="dxa"/>
            <w:tcBorders>
              <w:top w:val="nil"/>
              <w:left w:val="single" w:sz="4" w:space="0" w:color="FFFFFF"/>
              <w:bottom w:val="nil"/>
              <w:right w:val="single" w:sz="4" w:space="0" w:color="FFFFFF"/>
            </w:tcBorders>
            <w:noWrap/>
            <w:vAlign w:val="center"/>
            <w:hideMark/>
          </w:tcPr>
          <w:p w14:paraId="732A0A64" w14:textId="77777777" w:rsidR="0040167B" w:rsidRDefault="0040167B" w:rsidP="00B06C32">
            <w:pPr>
              <w:spacing w:before="0" w:after="0" w:line="240" w:lineRule="auto"/>
              <w:rPr>
                <w:rFonts w:ascii="Calibri Light" w:eastAsia="Times New Roman" w:hAnsi="Calibri Light" w:cs="Times New Roman"/>
                <w:b/>
                <w:color w:val="0F6FC6" w:themeColor="accent1"/>
                <w:sz w:val="16"/>
                <w:szCs w:val="16"/>
                <w:lang w:eastAsia="ro-RO"/>
              </w:rPr>
            </w:pPr>
            <w:r>
              <w:rPr>
                <w:rFonts w:ascii="Calibri Light" w:eastAsia="Times New Roman" w:hAnsi="Calibri Light" w:cs="Times New Roman"/>
                <w:b/>
                <w:color w:val="0F6FC6" w:themeColor="accent1"/>
                <w:sz w:val="16"/>
                <w:szCs w:val="16"/>
                <w:lang w:eastAsia="ro-RO"/>
              </w:rPr>
              <w:t>Indicator privind guvernanța corporativă</w:t>
            </w:r>
          </w:p>
        </w:tc>
        <w:tc>
          <w:tcPr>
            <w:tcW w:w="1708" w:type="dxa"/>
            <w:tcBorders>
              <w:top w:val="nil"/>
              <w:left w:val="nil"/>
              <w:bottom w:val="nil"/>
              <w:right w:val="single" w:sz="4" w:space="0" w:color="FFFFFF"/>
            </w:tcBorders>
            <w:noWrap/>
            <w:vAlign w:val="center"/>
            <w:hideMark/>
          </w:tcPr>
          <w:p w14:paraId="2EDD85E1" w14:textId="77777777" w:rsidR="0040167B" w:rsidRDefault="0040167B" w:rsidP="00B06C32">
            <w:pPr>
              <w:spacing w:before="0" w:after="0" w:line="240" w:lineRule="auto"/>
              <w:jc w:val="right"/>
              <w:rPr>
                <w:rFonts w:asciiTheme="majorHAnsi" w:eastAsia="Times New Roman" w:hAnsiTheme="majorHAnsi" w:cs="Times New Roman"/>
                <w:color w:val="0F6FC6" w:themeColor="accent1"/>
                <w:sz w:val="16"/>
                <w:szCs w:val="16"/>
                <w:lang w:eastAsia="ro-RO"/>
              </w:rPr>
            </w:pPr>
            <w:r>
              <w:rPr>
                <w:rFonts w:asciiTheme="majorHAnsi" w:eastAsia="Times New Roman" w:hAnsiTheme="majorHAnsi" w:cs="Times New Roman"/>
                <w:color w:val="0F6FC6" w:themeColor="accent1"/>
                <w:sz w:val="16"/>
                <w:szCs w:val="16"/>
                <w:lang w:eastAsia="ro-RO"/>
              </w:rPr>
              <w:t>342</w:t>
            </w:r>
          </w:p>
        </w:tc>
        <w:tc>
          <w:tcPr>
            <w:tcW w:w="2561" w:type="dxa"/>
            <w:tcBorders>
              <w:top w:val="nil"/>
              <w:left w:val="nil"/>
              <w:bottom w:val="nil"/>
              <w:right w:val="single" w:sz="4" w:space="0" w:color="FFFFFF"/>
            </w:tcBorders>
            <w:noWrap/>
            <w:vAlign w:val="center"/>
            <w:hideMark/>
          </w:tcPr>
          <w:p w14:paraId="0365E3C8" w14:textId="77777777" w:rsidR="0040167B" w:rsidRDefault="0040167B" w:rsidP="00B06C32">
            <w:pPr>
              <w:spacing w:before="0" w:after="0" w:line="240" w:lineRule="auto"/>
              <w:jc w:val="right"/>
              <w:rPr>
                <w:rFonts w:asciiTheme="majorHAnsi" w:eastAsia="Times New Roman" w:hAnsiTheme="majorHAnsi" w:cs="Times New Roman"/>
                <w:color w:val="0F6FC6" w:themeColor="accent1"/>
                <w:sz w:val="16"/>
                <w:szCs w:val="16"/>
                <w:lang w:eastAsia="ro-RO"/>
              </w:rPr>
            </w:pPr>
            <w:r>
              <w:rPr>
                <w:rFonts w:asciiTheme="majorHAnsi" w:eastAsia="Times New Roman" w:hAnsiTheme="majorHAnsi" w:cs="Times New Roman"/>
                <w:color w:val="0F6FC6" w:themeColor="accent1"/>
                <w:sz w:val="16"/>
                <w:szCs w:val="16"/>
                <w:lang w:eastAsia="ro-RO"/>
              </w:rPr>
              <w:t>212</w:t>
            </w:r>
          </w:p>
        </w:tc>
      </w:tr>
      <w:tr w:rsidR="0040167B" w14:paraId="5E56006A" w14:textId="77777777" w:rsidTr="00B06C32">
        <w:trPr>
          <w:trHeight w:val="200"/>
        </w:trPr>
        <w:tc>
          <w:tcPr>
            <w:tcW w:w="4326" w:type="dxa"/>
            <w:tcBorders>
              <w:top w:val="single" w:sz="4" w:space="0" w:color="95B3D7"/>
              <w:left w:val="single" w:sz="4" w:space="0" w:color="FFFFFF"/>
              <w:bottom w:val="single" w:sz="4" w:space="0" w:color="95B3D7"/>
              <w:right w:val="single" w:sz="4" w:space="0" w:color="FFFFFF"/>
            </w:tcBorders>
            <w:noWrap/>
            <w:vAlign w:val="center"/>
            <w:hideMark/>
          </w:tcPr>
          <w:p w14:paraId="0DED5555" w14:textId="77777777" w:rsidR="0040167B" w:rsidRDefault="0040167B" w:rsidP="00B06C32">
            <w:pPr>
              <w:spacing w:before="0" w:after="0" w:line="240" w:lineRule="auto"/>
              <w:rPr>
                <w:rFonts w:asciiTheme="majorHAnsi" w:eastAsia="Times New Roman" w:hAnsiTheme="majorHAnsi" w:cs="Times New Roman"/>
                <w:b/>
                <w:color w:val="0F6FC6" w:themeColor="accent1"/>
                <w:sz w:val="18"/>
                <w:szCs w:val="18"/>
                <w:lang w:eastAsia="ro-RO"/>
              </w:rPr>
            </w:pPr>
            <w:r>
              <w:rPr>
                <w:rFonts w:asciiTheme="majorHAnsi" w:eastAsia="Times New Roman" w:hAnsiTheme="majorHAnsi" w:cs="Times New Roman"/>
                <w:b/>
                <w:color w:val="0F6FC6" w:themeColor="accent1"/>
                <w:sz w:val="18"/>
                <w:szCs w:val="18"/>
                <w:lang w:eastAsia="ro-RO"/>
              </w:rPr>
              <w:t>TOTAL</w:t>
            </w:r>
          </w:p>
        </w:tc>
        <w:tc>
          <w:tcPr>
            <w:tcW w:w="1708" w:type="dxa"/>
            <w:tcBorders>
              <w:top w:val="single" w:sz="4" w:space="0" w:color="95B3D7"/>
              <w:left w:val="nil"/>
              <w:bottom w:val="single" w:sz="4" w:space="0" w:color="95B3D7"/>
              <w:right w:val="single" w:sz="4" w:space="0" w:color="FFFFFF"/>
            </w:tcBorders>
            <w:noWrap/>
            <w:vAlign w:val="center"/>
            <w:hideMark/>
          </w:tcPr>
          <w:p w14:paraId="64EF4BCF" w14:textId="77777777" w:rsidR="0040167B" w:rsidRDefault="0040167B" w:rsidP="00B06C32">
            <w:pPr>
              <w:spacing w:before="0" w:after="0" w:line="240" w:lineRule="auto"/>
              <w:jc w:val="right"/>
              <w:rPr>
                <w:rFonts w:asciiTheme="majorHAnsi" w:eastAsia="Times New Roman" w:hAnsiTheme="majorHAnsi" w:cs="Times New Roman"/>
                <w:b/>
                <w:color w:val="0F6FC6" w:themeColor="accent1"/>
                <w:sz w:val="16"/>
                <w:szCs w:val="16"/>
                <w:lang w:eastAsia="ro-RO"/>
              </w:rPr>
            </w:pPr>
            <w:r>
              <w:rPr>
                <w:rFonts w:asciiTheme="majorHAnsi" w:eastAsia="Times New Roman" w:hAnsiTheme="majorHAnsi" w:cs="Times New Roman"/>
                <w:b/>
                <w:color w:val="0F6FC6" w:themeColor="accent1"/>
                <w:sz w:val="16"/>
                <w:szCs w:val="16"/>
                <w:lang w:eastAsia="ro-RO"/>
              </w:rPr>
              <w:t>2.403</w:t>
            </w:r>
          </w:p>
        </w:tc>
        <w:tc>
          <w:tcPr>
            <w:tcW w:w="2561" w:type="dxa"/>
            <w:tcBorders>
              <w:top w:val="single" w:sz="4" w:space="0" w:color="95B3D7"/>
              <w:left w:val="nil"/>
              <w:bottom w:val="single" w:sz="4" w:space="0" w:color="95B3D7"/>
              <w:right w:val="single" w:sz="4" w:space="0" w:color="FFFFFF"/>
            </w:tcBorders>
            <w:noWrap/>
            <w:vAlign w:val="center"/>
            <w:hideMark/>
          </w:tcPr>
          <w:p w14:paraId="4B3C2B4D" w14:textId="77777777" w:rsidR="0040167B" w:rsidRDefault="0040167B" w:rsidP="00B06C32">
            <w:pPr>
              <w:spacing w:before="0" w:after="0" w:line="240" w:lineRule="auto"/>
              <w:jc w:val="right"/>
              <w:rPr>
                <w:rFonts w:asciiTheme="majorHAnsi" w:eastAsia="Times New Roman" w:hAnsiTheme="majorHAnsi" w:cs="Times New Roman"/>
                <w:b/>
                <w:color w:val="0F6FC6" w:themeColor="accent1"/>
                <w:sz w:val="16"/>
                <w:szCs w:val="16"/>
                <w:lang w:eastAsia="ro-RO"/>
              </w:rPr>
            </w:pPr>
            <w:r>
              <w:rPr>
                <w:rFonts w:asciiTheme="majorHAnsi" w:eastAsia="Times New Roman" w:hAnsiTheme="majorHAnsi" w:cs="Times New Roman"/>
                <w:b/>
                <w:color w:val="0F6FC6" w:themeColor="accent1"/>
                <w:sz w:val="16"/>
                <w:szCs w:val="16"/>
                <w:lang w:eastAsia="ro-RO"/>
              </w:rPr>
              <w:t>2.067</w:t>
            </w:r>
          </w:p>
        </w:tc>
      </w:tr>
    </w:tbl>
    <w:p w14:paraId="5A1EDCA7" w14:textId="5AA59D84" w:rsidR="0040167B" w:rsidRPr="007F4BA4" w:rsidRDefault="0040167B" w:rsidP="00F20AC6">
      <w:pPr>
        <w:spacing w:before="0" w:after="0" w:line="240" w:lineRule="auto"/>
        <w:jc w:val="both"/>
        <w:rPr>
          <w:rFonts w:asciiTheme="majorHAnsi" w:hAnsiTheme="majorHAnsi" w:cstheme="majorHAnsi"/>
          <w:noProof/>
        </w:rPr>
      </w:pPr>
      <w:r w:rsidRPr="002E4516">
        <w:rPr>
          <w:rFonts w:asciiTheme="majorHAnsi" w:hAnsiTheme="majorHAnsi" w:cstheme="majorHAnsi"/>
          <w:noProof/>
        </w:rPr>
        <w:t xml:space="preserve">Atât în contractele de mandat ale administratorilor, cât și în cele ale directorilor predomină </w:t>
      </w:r>
      <w:r w:rsidRPr="002E4516">
        <w:rPr>
          <w:rFonts w:asciiTheme="majorHAnsi" w:hAnsiTheme="majorHAnsi" w:cstheme="majorHAnsi"/>
          <w:b/>
          <w:noProof/>
        </w:rPr>
        <w:t>indicatorii financiari, cu o pondere de peste 50% în totalul general</w:t>
      </w:r>
      <w:r w:rsidRPr="002E4516">
        <w:rPr>
          <w:rFonts w:asciiTheme="majorHAnsi" w:hAnsiTheme="majorHAnsi" w:cstheme="majorHAnsi"/>
          <w:noProof/>
        </w:rPr>
        <w:t xml:space="preserve"> al indicatorilor aprobați, urmați de indicatorii nefinanciari operaționali, specifici fiecărei ÎPL în funcție de activitățiile desfășurate, cu o pondere de peste 30%. În contractele de mandat ale directorilor au fost identificați și indicatori privind guvernanța corporativă, cu o pondere de aproximativ 10%.</w:t>
      </w:r>
    </w:p>
    <w:tbl>
      <w:tblPr>
        <w:tblpPr w:leftFromText="180" w:rightFromText="180" w:vertAnchor="text" w:horzAnchor="margin" w:tblpY="760"/>
        <w:tblW w:w="9324" w:type="dxa"/>
        <w:tblBorders>
          <w:top w:val="single" w:sz="4" w:space="0" w:color="0F6FC6" w:themeColor="accent1"/>
          <w:left w:val="single" w:sz="4" w:space="0" w:color="FFFFFF" w:themeColor="background1"/>
          <w:bottom w:val="single" w:sz="4" w:space="0" w:color="0F6FC6" w:themeColor="accent1"/>
          <w:right w:val="single" w:sz="4" w:space="0" w:color="FFFFFF" w:themeColor="background1"/>
          <w:insideH w:val="single" w:sz="4" w:space="0" w:color="0F6FC6" w:themeColor="accent1"/>
        </w:tblBorders>
        <w:tblLayout w:type="fixed"/>
        <w:tblLook w:val="04A0" w:firstRow="1" w:lastRow="0" w:firstColumn="1" w:lastColumn="0" w:noHBand="0" w:noVBand="1"/>
      </w:tblPr>
      <w:tblGrid>
        <w:gridCol w:w="2658"/>
        <w:gridCol w:w="965"/>
        <w:gridCol w:w="1011"/>
        <w:gridCol w:w="1221"/>
        <w:gridCol w:w="269"/>
        <w:gridCol w:w="965"/>
        <w:gridCol w:w="1011"/>
        <w:gridCol w:w="1224"/>
      </w:tblGrid>
      <w:tr w:rsidR="007F4BA4" w:rsidRPr="002E4516" w14:paraId="386D4941" w14:textId="77777777" w:rsidTr="007F4BA4">
        <w:trPr>
          <w:trHeight w:val="186"/>
        </w:trPr>
        <w:tc>
          <w:tcPr>
            <w:tcW w:w="9324" w:type="dxa"/>
            <w:gridSpan w:val="8"/>
            <w:shd w:val="clear" w:color="000000" w:fill="FFFFFF"/>
            <w:vAlign w:val="bottom"/>
            <w:hideMark/>
          </w:tcPr>
          <w:p w14:paraId="09FC8B01" w14:textId="77777777" w:rsidR="007F4BA4" w:rsidRPr="002E4516" w:rsidRDefault="007F4BA4" w:rsidP="00F20AC6">
            <w:pPr>
              <w:spacing w:before="0" w:after="0" w:line="240" w:lineRule="auto"/>
              <w:jc w:val="both"/>
              <w:rPr>
                <w:rFonts w:asciiTheme="majorHAnsi" w:eastAsia="Times New Roman" w:hAnsiTheme="majorHAnsi" w:cstheme="majorHAnsi"/>
                <w:color w:val="0F6FC6" w:themeColor="accent1"/>
                <w:szCs w:val="24"/>
                <w:lang w:eastAsia="ro-RO"/>
              </w:rPr>
            </w:pPr>
            <w:r w:rsidRPr="002E4516">
              <w:rPr>
                <w:rFonts w:asciiTheme="majorHAnsi" w:eastAsia="Times New Roman" w:hAnsiTheme="majorHAnsi" w:cstheme="majorHAnsi"/>
                <w:color w:val="0F6FC6" w:themeColor="accent1"/>
                <w:szCs w:val="24"/>
                <w:lang w:eastAsia="ro-RO"/>
              </w:rPr>
              <w:t xml:space="preserve">  Gradul de îndeplinire al indicatorilor de performanță din contractele de mandat al administratorilor și directorilor/directoratului pe tipuri de indicatori</w:t>
            </w:r>
          </w:p>
        </w:tc>
      </w:tr>
      <w:tr w:rsidR="007F4BA4" w:rsidRPr="002E4516" w14:paraId="0DE0BB96" w14:textId="77777777" w:rsidTr="007F4BA4">
        <w:trPr>
          <w:trHeight w:val="320"/>
        </w:trPr>
        <w:tc>
          <w:tcPr>
            <w:tcW w:w="2658" w:type="dxa"/>
            <w:shd w:val="clear" w:color="000000" w:fill="FFFFFF"/>
            <w:noWrap/>
            <w:vAlign w:val="center"/>
            <w:hideMark/>
          </w:tcPr>
          <w:p w14:paraId="53A01CAD"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Tip indicator</w:t>
            </w:r>
          </w:p>
        </w:tc>
        <w:tc>
          <w:tcPr>
            <w:tcW w:w="3197" w:type="dxa"/>
            <w:gridSpan w:val="3"/>
            <w:shd w:val="clear" w:color="000000" w:fill="FFFFFF"/>
            <w:vAlign w:val="center"/>
            <w:hideMark/>
          </w:tcPr>
          <w:p w14:paraId="4078FF6D"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 xml:space="preserve">Stadiul îndeplinirii indicatorilor din contractele de mandat ale </w:t>
            </w:r>
            <w:r w:rsidRPr="002E4516">
              <w:rPr>
                <w:rFonts w:asciiTheme="majorHAnsi" w:eastAsia="Times New Roman" w:hAnsiTheme="majorHAnsi" w:cstheme="majorHAnsi"/>
                <w:b/>
                <w:bCs/>
                <w:color w:val="0F6FC6" w:themeColor="accent1"/>
                <w:sz w:val="16"/>
                <w:szCs w:val="16"/>
                <w:lang w:eastAsia="ro-RO"/>
              </w:rPr>
              <w:t>administratorilor</w:t>
            </w:r>
          </w:p>
        </w:tc>
        <w:tc>
          <w:tcPr>
            <w:tcW w:w="269" w:type="dxa"/>
            <w:shd w:val="clear" w:color="000000" w:fill="FFFFFF"/>
            <w:noWrap/>
            <w:vAlign w:val="bottom"/>
            <w:hideMark/>
          </w:tcPr>
          <w:p w14:paraId="7CEBC59F"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 </w:t>
            </w:r>
          </w:p>
        </w:tc>
        <w:tc>
          <w:tcPr>
            <w:tcW w:w="3200" w:type="dxa"/>
            <w:gridSpan w:val="3"/>
            <w:shd w:val="clear" w:color="000000" w:fill="FFFFFF"/>
            <w:vAlign w:val="center"/>
            <w:hideMark/>
          </w:tcPr>
          <w:p w14:paraId="7C095A79"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 xml:space="preserve">Stadiul îndeplinirii indicatorilor din contractele de mandat ale </w:t>
            </w:r>
            <w:r w:rsidRPr="002E4516">
              <w:rPr>
                <w:rFonts w:asciiTheme="majorHAnsi" w:eastAsia="Times New Roman" w:hAnsiTheme="majorHAnsi" w:cstheme="majorHAnsi"/>
                <w:b/>
                <w:bCs/>
                <w:color w:val="0F6FC6" w:themeColor="accent1"/>
                <w:sz w:val="16"/>
                <w:szCs w:val="16"/>
                <w:lang w:eastAsia="ro-RO"/>
              </w:rPr>
              <w:t>directorilor/directoratului</w:t>
            </w:r>
          </w:p>
        </w:tc>
      </w:tr>
      <w:tr w:rsidR="007F4BA4" w:rsidRPr="002E4516" w14:paraId="7DFD2BD1" w14:textId="77777777" w:rsidTr="007F4BA4">
        <w:trPr>
          <w:trHeight w:val="373"/>
        </w:trPr>
        <w:tc>
          <w:tcPr>
            <w:tcW w:w="2658" w:type="dxa"/>
            <w:shd w:val="clear" w:color="000000" w:fill="FFFFFF"/>
            <w:noWrap/>
            <w:vAlign w:val="bottom"/>
            <w:hideMark/>
          </w:tcPr>
          <w:p w14:paraId="01892510" w14:textId="77777777" w:rsidR="007F4BA4" w:rsidRPr="002E4516" w:rsidRDefault="007F4BA4" w:rsidP="00F20AC6">
            <w:pPr>
              <w:spacing w:before="0" w:after="0" w:line="240" w:lineRule="auto"/>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 </w:t>
            </w:r>
          </w:p>
        </w:tc>
        <w:tc>
          <w:tcPr>
            <w:tcW w:w="965" w:type="dxa"/>
            <w:shd w:val="clear" w:color="000000" w:fill="FFFFFF"/>
            <w:vAlign w:val="center"/>
            <w:hideMark/>
          </w:tcPr>
          <w:p w14:paraId="055F99CD"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Număr total indicatori</w:t>
            </w:r>
          </w:p>
        </w:tc>
        <w:tc>
          <w:tcPr>
            <w:tcW w:w="1011" w:type="dxa"/>
            <w:shd w:val="clear" w:color="000000" w:fill="FFFFFF"/>
            <w:vAlign w:val="center"/>
            <w:hideMark/>
          </w:tcPr>
          <w:p w14:paraId="3F9C0FC9"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Număr indicatori îndepliniți</w:t>
            </w:r>
          </w:p>
        </w:tc>
        <w:tc>
          <w:tcPr>
            <w:tcW w:w="1221" w:type="dxa"/>
            <w:shd w:val="clear" w:color="000000" w:fill="FFFFFF"/>
            <w:vAlign w:val="center"/>
            <w:hideMark/>
          </w:tcPr>
          <w:p w14:paraId="61166DD6"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Număr indicatori neîndepliniți</w:t>
            </w:r>
          </w:p>
        </w:tc>
        <w:tc>
          <w:tcPr>
            <w:tcW w:w="269" w:type="dxa"/>
            <w:shd w:val="clear" w:color="000000" w:fill="FFFFFF"/>
            <w:noWrap/>
            <w:vAlign w:val="bottom"/>
            <w:hideMark/>
          </w:tcPr>
          <w:p w14:paraId="3480A733"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 </w:t>
            </w:r>
          </w:p>
        </w:tc>
        <w:tc>
          <w:tcPr>
            <w:tcW w:w="965" w:type="dxa"/>
            <w:shd w:val="clear" w:color="000000" w:fill="FFFFFF"/>
            <w:vAlign w:val="center"/>
            <w:hideMark/>
          </w:tcPr>
          <w:p w14:paraId="469B1E0D"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Număr total indicatori</w:t>
            </w:r>
          </w:p>
        </w:tc>
        <w:tc>
          <w:tcPr>
            <w:tcW w:w="1011" w:type="dxa"/>
            <w:shd w:val="clear" w:color="000000" w:fill="FFFFFF"/>
            <w:vAlign w:val="center"/>
            <w:hideMark/>
          </w:tcPr>
          <w:p w14:paraId="47DCC059"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Număr indicatori îndepliniți</w:t>
            </w:r>
          </w:p>
        </w:tc>
        <w:tc>
          <w:tcPr>
            <w:tcW w:w="1224" w:type="dxa"/>
            <w:shd w:val="clear" w:color="000000" w:fill="FFFFFF"/>
            <w:vAlign w:val="center"/>
            <w:hideMark/>
          </w:tcPr>
          <w:p w14:paraId="7ACBF82F"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Număr indicatori neîndepliniți</w:t>
            </w:r>
          </w:p>
        </w:tc>
      </w:tr>
      <w:tr w:rsidR="007F4BA4" w:rsidRPr="002E4516" w14:paraId="66C05A52" w14:textId="77777777" w:rsidTr="007F4BA4">
        <w:trPr>
          <w:trHeight w:val="95"/>
        </w:trPr>
        <w:tc>
          <w:tcPr>
            <w:tcW w:w="2658" w:type="dxa"/>
            <w:shd w:val="clear" w:color="000000" w:fill="FFFFFF"/>
            <w:noWrap/>
            <w:vAlign w:val="center"/>
            <w:hideMark/>
          </w:tcPr>
          <w:p w14:paraId="7486DDCB"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Indicator financiar</w:t>
            </w:r>
          </w:p>
        </w:tc>
        <w:tc>
          <w:tcPr>
            <w:tcW w:w="965" w:type="dxa"/>
            <w:shd w:val="clear" w:color="000000" w:fill="FFFFFF"/>
            <w:noWrap/>
            <w:vAlign w:val="center"/>
            <w:hideMark/>
          </w:tcPr>
          <w:p w14:paraId="74F7B219"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16"/>
                <w:lang w:eastAsia="ro-RO"/>
              </w:rPr>
              <w:t>1239</w:t>
            </w:r>
          </w:p>
        </w:tc>
        <w:tc>
          <w:tcPr>
            <w:tcW w:w="1011" w:type="dxa"/>
            <w:shd w:val="clear" w:color="000000" w:fill="FFFFFF"/>
            <w:noWrap/>
            <w:vAlign w:val="center"/>
            <w:hideMark/>
          </w:tcPr>
          <w:p w14:paraId="5D7864F0"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1042</w:t>
            </w:r>
          </w:p>
        </w:tc>
        <w:tc>
          <w:tcPr>
            <w:tcW w:w="1221" w:type="dxa"/>
            <w:shd w:val="clear" w:color="000000" w:fill="FFFFFF"/>
            <w:noWrap/>
            <w:vAlign w:val="center"/>
            <w:hideMark/>
          </w:tcPr>
          <w:p w14:paraId="6EC52EC4"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197</w:t>
            </w:r>
          </w:p>
        </w:tc>
        <w:tc>
          <w:tcPr>
            <w:tcW w:w="269" w:type="dxa"/>
            <w:shd w:val="clear" w:color="000000" w:fill="FFFFFF"/>
            <w:noWrap/>
            <w:vAlign w:val="bottom"/>
            <w:hideMark/>
          </w:tcPr>
          <w:p w14:paraId="1D9FFE68"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2"/>
                <w:lang w:eastAsia="ro-RO"/>
              </w:rPr>
            </w:pPr>
            <w:r w:rsidRPr="002E4516">
              <w:rPr>
                <w:rFonts w:asciiTheme="majorHAnsi" w:eastAsia="Times New Roman" w:hAnsiTheme="majorHAnsi" w:cstheme="majorHAnsi"/>
                <w:color w:val="0F6FC6" w:themeColor="accent1"/>
                <w:sz w:val="16"/>
                <w:szCs w:val="22"/>
                <w:lang w:eastAsia="ro-RO"/>
              </w:rPr>
              <w:t> </w:t>
            </w:r>
          </w:p>
        </w:tc>
        <w:tc>
          <w:tcPr>
            <w:tcW w:w="965" w:type="dxa"/>
            <w:shd w:val="clear" w:color="000000" w:fill="FFFFFF"/>
            <w:noWrap/>
            <w:vAlign w:val="center"/>
            <w:hideMark/>
          </w:tcPr>
          <w:p w14:paraId="1DEF9029"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16"/>
                <w:lang w:eastAsia="ro-RO"/>
              </w:rPr>
              <w:t>1.121</w:t>
            </w:r>
          </w:p>
        </w:tc>
        <w:tc>
          <w:tcPr>
            <w:tcW w:w="1011" w:type="dxa"/>
            <w:shd w:val="clear" w:color="000000" w:fill="FFFFFF"/>
            <w:noWrap/>
            <w:vAlign w:val="center"/>
            <w:hideMark/>
          </w:tcPr>
          <w:p w14:paraId="0A7A271A"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955</w:t>
            </w:r>
          </w:p>
        </w:tc>
        <w:tc>
          <w:tcPr>
            <w:tcW w:w="1224" w:type="dxa"/>
            <w:shd w:val="clear" w:color="000000" w:fill="FFFFFF"/>
            <w:noWrap/>
            <w:vAlign w:val="center"/>
            <w:hideMark/>
          </w:tcPr>
          <w:p w14:paraId="0B3AB863"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166</w:t>
            </w:r>
          </w:p>
        </w:tc>
      </w:tr>
      <w:tr w:rsidR="007F4BA4" w:rsidRPr="002E4516" w14:paraId="2C68F033" w14:textId="77777777" w:rsidTr="007F4BA4">
        <w:trPr>
          <w:trHeight w:val="95"/>
        </w:trPr>
        <w:tc>
          <w:tcPr>
            <w:tcW w:w="2658" w:type="dxa"/>
            <w:shd w:val="clear" w:color="000000" w:fill="FFFFFF"/>
            <w:noWrap/>
            <w:vAlign w:val="center"/>
            <w:hideMark/>
          </w:tcPr>
          <w:p w14:paraId="7C55EA01"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Indicator operațional nefinanciar</w:t>
            </w:r>
          </w:p>
        </w:tc>
        <w:tc>
          <w:tcPr>
            <w:tcW w:w="965" w:type="dxa"/>
            <w:shd w:val="clear" w:color="000000" w:fill="FFFFFF"/>
            <w:noWrap/>
            <w:vAlign w:val="center"/>
            <w:hideMark/>
          </w:tcPr>
          <w:p w14:paraId="06FF2FFD"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16"/>
                <w:lang w:eastAsia="ro-RO"/>
              </w:rPr>
              <w:t>822</w:t>
            </w:r>
          </w:p>
        </w:tc>
        <w:tc>
          <w:tcPr>
            <w:tcW w:w="1011" w:type="dxa"/>
            <w:shd w:val="clear" w:color="000000" w:fill="FFFFFF"/>
            <w:noWrap/>
            <w:vAlign w:val="center"/>
            <w:hideMark/>
          </w:tcPr>
          <w:p w14:paraId="06E0A7B3"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745</w:t>
            </w:r>
          </w:p>
        </w:tc>
        <w:tc>
          <w:tcPr>
            <w:tcW w:w="1221" w:type="dxa"/>
            <w:shd w:val="clear" w:color="000000" w:fill="FFFFFF"/>
            <w:noWrap/>
            <w:vAlign w:val="center"/>
            <w:hideMark/>
          </w:tcPr>
          <w:p w14:paraId="738E26A3"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77</w:t>
            </w:r>
          </w:p>
        </w:tc>
        <w:tc>
          <w:tcPr>
            <w:tcW w:w="269" w:type="dxa"/>
            <w:shd w:val="clear" w:color="000000" w:fill="FFFFFF"/>
            <w:noWrap/>
            <w:vAlign w:val="bottom"/>
            <w:hideMark/>
          </w:tcPr>
          <w:p w14:paraId="2F6D264A"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2"/>
                <w:lang w:eastAsia="ro-RO"/>
              </w:rPr>
            </w:pPr>
            <w:r w:rsidRPr="002E4516">
              <w:rPr>
                <w:rFonts w:asciiTheme="majorHAnsi" w:eastAsia="Times New Roman" w:hAnsiTheme="majorHAnsi" w:cstheme="majorHAnsi"/>
                <w:color w:val="0F6FC6" w:themeColor="accent1"/>
                <w:sz w:val="16"/>
                <w:szCs w:val="22"/>
                <w:lang w:eastAsia="ro-RO"/>
              </w:rPr>
              <w:t> </w:t>
            </w:r>
          </w:p>
        </w:tc>
        <w:tc>
          <w:tcPr>
            <w:tcW w:w="965" w:type="dxa"/>
            <w:shd w:val="clear" w:color="000000" w:fill="FFFFFF"/>
            <w:noWrap/>
            <w:vAlign w:val="center"/>
            <w:hideMark/>
          </w:tcPr>
          <w:p w14:paraId="0962AE17"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16"/>
                <w:lang w:eastAsia="ro-RO"/>
              </w:rPr>
              <w:t>734</w:t>
            </w:r>
          </w:p>
        </w:tc>
        <w:tc>
          <w:tcPr>
            <w:tcW w:w="1011" w:type="dxa"/>
            <w:shd w:val="clear" w:color="000000" w:fill="FFFFFF"/>
            <w:noWrap/>
            <w:vAlign w:val="center"/>
            <w:hideMark/>
          </w:tcPr>
          <w:p w14:paraId="29BD6D97"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674</w:t>
            </w:r>
          </w:p>
        </w:tc>
        <w:tc>
          <w:tcPr>
            <w:tcW w:w="1224" w:type="dxa"/>
            <w:shd w:val="clear" w:color="000000" w:fill="FFFFFF"/>
            <w:noWrap/>
            <w:vAlign w:val="center"/>
            <w:hideMark/>
          </w:tcPr>
          <w:p w14:paraId="63220D66"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60</w:t>
            </w:r>
          </w:p>
        </w:tc>
      </w:tr>
      <w:tr w:rsidR="007F4BA4" w:rsidRPr="002E4516" w14:paraId="7472709A" w14:textId="77777777" w:rsidTr="007F4BA4">
        <w:trPr>
          <w:trHeight w:val="95"/>
        </w:trPr>
        <w:tc>
          <w:tcPr>
            <w:tcW w:w="2658" w:type="dxa"/>
            <w:shd w:val="clear" w:color="000000" w:fill="FFFFFF"/>
            <w:noWrap/>
            <w:vAlign w:val="center"/>
            <w:hideMark/>
          </w:tcPr>
          <w:p w14:paraId="50D3AED1"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Indicator privind guvernanța corporativă</w:t>
            </w:r>
          </w:p>
        </w:tc>
        <w:tc>
          <w:tcPr>
            <w:tcW w:w="965" w:type="dxa"/>
            <w:shd w:val="clear" w:color="000000" w:fill="FFFFFF"/>
            <w:noWrap/>
            <w:vAlign w:val="center"/>
            <w:hideMark/>
          </w:tcPr>
          <w:p w14:paraId="63E65D0B"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16"/>
                <w:lang w:eastAsia="ro-RO"/>
              </w:rPr>
              <w:t>342</w:t>
            </w:r>
          </w:p>
        </w:tc>
        <w:tc>
          <w:tcPr>
            <w:tcW w:w="1011" w:type="dxa"/>
            <w:shd w:val="clear" w:color="000000" w:fill="FFFFFF"/>
            <w:noWrap/>
            <w:vAlign w:val="center"/>
            <w:hideMark/>
          </w:tcPr>
          <w:p w14:paraId="178C5606"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312</w:t>
            </w:r>
          </w:p>
        </w:tc>
        <w:tc>
          <w:tcPr>
            <w:tcW w:w="1221" w:type="dxa"/>
            <w:shd w:val="clear" w:color="000000" w:fill="FFFFFF"/>
            <w:noWrap/>
            <w:vAlign w:val="center"/>
            <w:hideMark/>
          </w:tcPr>
          <w:p w14:paraId="7DCCF4A6"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30</w:t>
            </w:r>
          </w:p>
        </w:tc>
        <w:tc>
          <w:tcPr>
            <w:tcW w:w="269" w:type="dxa"/>
            <w:shd w:val="clear" w:color="000000" w:fill="FFFFFF"/>
            <w:noWrap/>
            <w:vAlign w:val="bottom"/>
            <w:hideMark/>
          </w:tcPr>
          <w:p w14:paraId="3AD287A8"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2"/>
                <w:lang w:eastAsia="ro-RO"/>
              </w:rPr>
            </w:pPr>
            <w:r w:rsidRPr="002E4516">
              <w:rPr>
                <w:rFonts w:asciiTheme="majorHAnsi" w:eastAsia="Times New Roman" w:hAnsiTheme="majorHAnsi" w:cstheme="majorHAnsi"/>
                <w:color w:val="0F6FC6" w:themeColor="accent1"/>
                <w:sz w:val="16"/>
                <w:szCs w:val="22"/>
                <w:lang w:eastAsia="ro-RO"/>
              </w:rPr>
              <w:t> </w:t>
            </w:r>
          </w:p>
        </w:tc>
        <w:tc>
          <w:tcPr>
            <w:tcW w:w="965" w:type="dxa"/>
            <w:shd w:val="clear" w:color="000000" w:fill="FFFFFF"/>
            <w:noWrap/>
            <w:vAlign w:val="center"/>
            <w:hideMark/>
          </w:tcPr>
          <w:p w14:paraId="39AAFB8B"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16"/>
                <w:lang w:eastAsia="ro-RO"/>
              </w:rPr>
              <w:t>212</w:t>
            </w:r>
          </w:p>
        </w:tc>
        <w:tc>
          <w:tcPr>
            <w:tcW w:w="1011" w:type="dxa"/>
            <w:shd w:val="clear" w:color="000000" w:fill="FFFFFF"/>
            <w:noWrap/>
            <w:vAlign w:val="center"/>
            <w:hideMark/>
          </w:tcPr>
          <w:p w14:paraId="6F80D038"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198</w:t>
            </w:r>
          </w:p>
        </w:tc>
        <w:tc>
          <w:tcPr>
            <w:tcW w:w="1224" w:type="dxa"/>
            <w:shd w:val="clear" w:color="000000" w:fill="FFFFFF"/>
            <w:noWrap/>
            <w:vAlign w:val="center"/>
            <w:hideMark/>
          </w:tcPr>
          <w:p w14:paraId="3BC0F48C" w14:textId="77777777" w:rsidR="007F4BA4" w:rsidRPr="002E4516" w:rsidRDefault="007F4BA4" w:rsidP="00F20AC6">
            <w:pPr>
              <w:spacing w:before="0" w:after="0" w:line="240" w:lineRule="auto"/>
              <w:jc w:val="right"/>
              <w:rPr>
                <w:rFonts w:asciiTheme="majorHAnsi" w:eastAsia="Times New Roman" w:hAnsiTheme="majorHAnsi" w:cstheme="majorHAnsi"/>
                <w:color w:val="0F6FC6" w:themeColor="accent1"/>
                <w:sz w:val="16"/>
                <w:szCs w:val="24"/>
                <w:lang w:eastAsia="ro-RO"/>
              </w:rPr>
            </w:pPr>
            <w:r w:rsidRPr="002E4516">
              <w:rPr>
                <w:rFonts w:asciiTheme="majorHAnsi" w:eastAsia="Times New Roman" w:hAnsiTheme="majorHAnsi" w:cstheme="majorHAnsi"/>
                <w:color w:val="0F6FC6" w:themeColor="accent1"/>
                <w:sz w:val="16"/>
                <w:szCs w:val="24"/>
                <w:lang w:eastAsia="ro-RO"/>
              </w:rPr>
              <w:t>14</w:t>
            </w:r>
          </w:p>
        </w:tc>
      </w:tr>
      <w:tr w:rsidR="007F4BA4" w:rsidRPr="002E4516" w14:paraId="0803A295" w14:textId="77777777" w:rsidTr="007F4BA4">
        <w:trPr>
          <w:trHeight w:val="17"/>
        </w:trPr>
        <w:tc>
          <w:tcPr>
            <w:tcW w:w="2658" w:type="dxa"/>
            <w:shd w:val="clear" w:color="000000" w:fill="FFFFFF"/>
            <w:noWrap/>
            <w:vAlign w:val="center"/>
            <w:hideMark/>
          </w:tcPr>
          <w:p w14:paraId="6556CAAA" w14:textId="77777777" w:rsidR="007F4BA4" w:rsidRPr="002E4516" w:rsidRDefault="007F4BA4" w:rsidP="00F20AC6">
            <w:pPr>
              <w:spacing w:before="0" w:after="0" w:line="240" w:lineRule="auto"/>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bCs/>
                <w:color w:val="0F6FC6" w:themeColor="accent1"/>
                <w:sz w:val="16"/>
                <w:szCs w:val="24"/>
                <w:lang w:eastAsia="ro-RO"/>
              </w:rPr>
              <w:t>TOTAL</w:t>
            </w:r>
          </w:p>
        </w:tc>
        <w:tc>
          <w:tcPr>
            <w:tcW w:w="965" w:type="dxa"/>
            <w:shd w:val="clear" w:color="000000" w:fill="FFFFFF"/>
            <w:noWrap/>
            <w:vAlign w:val="center"/>
            <w:hideMark/>
          </w:tcPr>
          <w:p w14:paraId="4DA9CC60" w14:textId="77777777" w:rsidR="007F4BA4" w:rsidRPr="002E4516" w:rsidRDefault="007F4BA4" w:rsidP="00F20AC6">
            <w:pPr>
              <w:spacing w:before="0" w:after="0" w:line="240" w:lineRule="auto"/>
              <w:jc w:val="right"/>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color w:val="0F6FC6" w:themeColor="accent1"/>
                <w:sz w:val="16"/>
                <w:szCs w:val="16"/>
                <w:lang w:eastAsia="ro-RO"/>
              </w:rPr>
              <w:t>2.403</w:t>
            </w:r>
          </w:p>
        </w:tc>
        <w:tc>
          <w:tcPr>
            <w:tcW w:w="1011" w:type="dxa"/>
            <w:shd w:val="clear" w:color="000000" w:fill="FFFFFF"/>
            <w:noWrap/>
            <w:vAlign w:val="center"/>
            <w:hideMark/>
          </w:tcPr>
          <w:p w14:paraId="061258F1" w14:textId="77777777" w:rsidR="007F4BA4" w:rsidRPr="002E4516" w:rsidRDefault="007F4BA4" w:rsidP="00F20AC6">
            <w:pPr>
              <w:spacing w:before="0" w:after="0" w:line="240" w:lineRule="auto"/>
              <w:jc w:val="right"/>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bCs/>
                <w:color w:val="0F6FC6" w:themeColor="accent1"/>
                <w:sz w:val="16"/>
                <w:szCs w:val="24"/>
                <w:lang w:eastAsia="ro-RO"/>
              </w:rPr>
              <w:t>2.099</w:t>
            </w:r>
          </w:p>
        </w:tc>
        <w:tc>
          <w:tcPr>
            <w:tcW w:w="1221" w:type="dxa"/>
            <w:shd w:val="clear" w:color="000000" w:fill="FFFFFF"/>
            <w:noWrap/>
            <w:vAlign w:val="center"/>
            <w:hideMark/>
          </w:tcPr>
          <w:p w14:paraId="08EAD5C5" w14:textId="77777777" w:rsidR="007F4BA4" w:rsidRPr="002E4516" w:rsidRDefault="007F4BA4" w:rsidP="00F20AC6">
            <w:pPr>
              <w:spacing w:before="0" w:after="0" w:line="240" w:lineRule="auto"/>
              <w:jc w:val="right"/>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bCs/>
                <w:color w:val="0F6FC6" w:themeColor="accent1"/>
                <w:sz w:val="16"/>
                <w:szCs w:val="24"/>
                <w:lang w:eastAsia="ro-RO"/>
              </w:rPr>
              <w:t>304</w:t>
            </w:r>
          </w:p>
        </w:tc>
        <w:tc>
          <w:tcPr>
            <w:tcW w:w="269" w:type="dxa"/>
            <w:shd w:val="clear" w:color="000000" w:fill="FFFFFF"/>
            <w:noWrap/>
            <w:vAlign w:val="bottom"/>
            <w:hideMark/>
          </w:tcPr>
          <w:p w14:paraId="34178D3B" w14:textId="77777777" w:rsidR="007F4BA4" w:rsidRPr="002E4516" w:rsidRDefault="007F4BA4" w:rsidP="00F20AC6">
            <w:pPr>
              <w:spacing w:before="0" w:after="0" w:line="240" w:lineRule="auto"/>
              <w:rPr>
                <w:rFonts w:asciiTheme="majorHAnsi" w:eastAsia="Times New Roman" w:hAnsiTheme="majorHAnsi" w:cstheme="majorHAnsi"/>
                <w:color w:val="0F6FC6" w:themeColor="accent1"/>
                <w:sz w:val="16"/>
                <w:szCs w:val="22"/>
                <w:lang w:eastAsia="ro-RO"/>
              </w:rPr>
            </w:pPr>
            <w:r w:rsidRPr="002E4516">
              <w:rPr>
                <w:rFonts w:asciiTheme="majorHAnsi" w:eastAsia="Times New Roman" w:hAnsiTheme="majorHAnsi" w:cstheme="majorHAnsi"/>
                <w:color w:val="0F6FC6" w:themeColor="accent1"/>
                <w:sz w:val="16"/>
                <w:szCs w:val="22"/>
                <w:lang w:eastAsia="ro-RO"/>
              </w:rPr>
              <w:t> </w:t>
            </w:r>
          </w:p>
        </w:tc>
        <w:tc>
          <w:tcPr>
            <w:tcW w:w="965" w:type="dxa"/>
            <w:shd w:val="clear" w:color="000000" w:fill="FFFFFF"/>
            <w:noWrap/>
            <w:vAlign w:val="center"/>
            <w:hideMark/>
          </w:tcPr>
          <w:p w14:paraId="0691DFC9" w14:textId="77777777" w:rsidR="007F4BA4" w:rsidRPr="002E4516" w:rsidRDefault="007F4BA4" w:rsidP="00F20AC6">
            <w:pPr>
              <w:spacing w:before="0" w:after="0" w:line="240" w:lineRule="auto"/>
              <w:jc w:val="right"/>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color w:val="0F6FC6" w:themeColor="accent1"/>
                <w:sz w:val="16"/>
                <w:szCs w:val="16"/>
                <w:lang w:eastAsia="ro-RO"/>
              </w:rPr>
              <w:t>2.067</w:t>
            </w:r>
          </w:p>
        </w:tc>
        <w:tc>
          <w:tcPr>
            <w:tcW w:w="1011" w:type="dxa"/>
            <w:shd w:val="clear" w:color="000000" w:fill="FFFFFF"/>
            <w:noWrap/>
            <w:vAlign w:val="center"/>
            <w:hideMark/>
          </w:tcPr>
          <w:p w14:paraId="2542E336" w14:textId="77777777" w:rsidR="007F4BA4" w:rsidRPr="002E4516" w:rsidRDefault="007F4BA4" w:rsidP="00F20AC6">
            <w:pPr>
              <w:spacing w:before="0" w:after="0" w:line="240" w:lineRule="auto"/>
              <w:jc w:val="right"/>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bCs/>
                <w:color w:val="0F6FC6" w:themeColor="accent1"/>
                <w:sz w:val="16"/>
                <w:szCs w:val="24"/>
                <w:lang w:eastAsia="ro-RO"/>
              </w:rPr>
              <w:t>1.827</w:t>
            </w:r>
          </w:p>
        </w:tc>
        <w:tc>
          <w:tcPr>
            <w:tcW w:w="1224" w:type="dxa"/>
            <w:shd w:val="clear" w:color="000000" w:fill="FFFFFF"/>
            <w:noWrap/>
            <w:vAlign w:val="center"/>
            <w:hideMark/>
          </w:tcPr>
          <w:p w14:paraId="12134325" w14:textId="77777777" w:rsidR="007F4BA4" w:rsidRPr="002E4516" w:rsidRDefault="007F4BA4" w:rsidP="00F20AC6">
            <w:pPr>
              <w:spacing w:before="0" w:after="0" w:line="240" w:lineRule="auto"/>
              <w:jc w:val="right"/>
              <w:rPr>
                <w:rFonts w:asciiTheme="majorHAnsi" w:eastAsia="Times New Roman" w:hAnsiTheme="majorHAnsi" w:cstheme="majorHAnsi"/>
                <w:b/>
                <w:bCs/>
                <w:color w:val="0F6FC6" w:themeColor="accent1"/>
                <w:sz w:val="16"/>
                <w:szCs w:val="24"/>
                <w:lang w:eastAsia="ro-RO"/>
              </w:rPr>
            </w:pPr>
            <w:r w:rsidRPr="002E4516">
              <w:rPr>
                <w:rFonts w:asciiTheme="majorHAnsi" w:eastAsia="Times New Roman" w:hAnsiTheme="majorHAnsi" w:cstheme="majorHAnsi"/>
                <w:b/>
                <w:bCs/>
                <w:color w:val="0F6FC6" w:themeColor="accent1"/>
                <w:sz w:val="16"/>
                <w:szCs w:val="24"/>
                <w:lang w:eastAsia="ro-RO"/>
              </w:rPr>
              <w:t>240</w:t>
            </w:r>
          </w:p>
        </w:tc>
      </w:tr>
    </w:tbl>
    <w:p w14:paraId="65A663E6" w14:textId="0424A8E9" w:rsidR="0040167B" w:rsidRDefault="0040167B" w:rsidP="00F20AC6">
      <w:pPr>
        <w:spacing w:before="0" w:after="0" w:line="240" w:lineRule="auto"/>
        <w:jc w:val="both"/>
        <w:rPr>
          <w:rFonts w:asciiTheme="majorHAnsi" w:hAnsiTheme="majorHAnsi" w:cstheme="majorHAnsi"/>
          <w:noProof/>
        </w:rPr>
      </w:pPr>
      <w:r w:rsidRPr="002E4516">
        <w:rPr>
          <w:rFonts w:asciiTheme="majorHAnsi" w:hAnsiTheme="majorHAnsi" w:cstheme="majorHAnsi"/>
          <w:noProof/>
        </w:rPr>
        <w:t>Din perspectiva realizării indicatorilor de performanță din contractele de mandat ale administratorilor, respectiv ale directorilor/directoratului, pe categorii de indicatori, situația se prezintă astfel:</w:t>
      </w:r>
    </w:p>
    <w:p w14:paraId="3B5358E1" w14:textId="6991A951" w:rsidR="0040167B" w:rsidRPr="002E4516" w:rsidRDefault="0040167B" w:rsidP="0040167B">
      <w:pPr>
        <w:autoSpaceDE w:val="0"/>
        <w:autoSpaceDN w:val="0"/>
        <w:adjustRightInd w:val="0"/>
        <w:spacing w:after="0" w:line="240" w:lineRule="auto"/>
        <w:jc w:val="both"/>
        <w:rPr>
          <w:rFonts w:asciiTheme="majorHAnsi" w:hAnsiTheme="majorHAnsi" w:cstheme="majorHAnsi"/>
          <w:noProof/>
        </w:rPr>
      </w:pPr>
      <w:r w:rsidRPr="002E4516">
        <w:rPr>
          <w:rFonts w:asciiTheme="majorHAnsi" w:hAnsiTheme="majorHAnsi" w:cstheme="majorHAnsi"/>
          <w:b/>
          <w:noProof/>
        </w:rPr>
        <w:t>Indicatorii de performanță financiari</w:t>
      </w:r>
      <w:r w:rsidRPr="002E4516">
        <w:rPr>
          <w:rFonts w:asciiTheme="majorHAnsi" w:hAnsiTheme="majorHAnsi" w:cstheme="majorHAnsi"/>
          <w:noProof/>
        </w:rPr>
        <w:t xml:space="preserve"> regăsiți în contractele de mandat ale </w:t>
      </w:r>
      <w:r w:rsidRPr="002E4516">
        <w:rPr>
          <w:rFonts w:asciiTheme="majorHAnsi" w:hAnsiTheme="majorHAnsi" w:cstheme="majorHAnsi"/>
          <w:b/>
          <w:noProof/>
        </w:rPr>
        <w:t>administratorilor</w:t>
      </w:r>
      <w:r w:rsidRPr="002E4516">
        <w:rPr>
          <w:rFonts w:asciiTheme="majorHAnsi" w:hAnsiTheme="majorHAnsi" w:cstheme="majorHAnsi"/>
          <w:noProof/>
        </w:rPr>
        <w:t xml:space="preserve"> sunt grupați la rândul lor, în funcție de scopurile întreprinderilor publice, după cum urmează:</w:t>
      </w:r>
    </w:p>
    <w:p w14:paraId="07857FEA"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1. </w:t>
      </w:r>
      <w:r w:rsidRPr="002E4516">
        <w:rPr>
          <w:rFonts w:asciiTheme="majorHAnsi" w:hAnsiTheme="majorHAnsi" w:cstheme="majorHAnsi"/>
          <w:b/>
          <w:noProof/>
        </w:rPr>
        <w:t>162</w:t>
      </w:r>
      <w:r w:rsidRPr="002E4516">
        <w:rPr>
          <w:rFonts w:asciiTheme="majorHAnsi" w:hAnsiTheme="majorHAnsi" w:cstheme="majorHAnsi"/>
          <w:noProof/>
        </w:rPr>
        <w:t xml:space="preserve"> indicatori privind </w:t>
      </w:r>
      <w:r w:rsidRPr="002E4516">
        <w:rPr>
          <w:rFonts w:asciiTheme="majorHAnsi" w:hAnsiTheme="majorHAnsi" w:cstheme="majorHAnsi"/>
          <w:b/>
          <w:noProof/>
        </w:rPr>
        <w:t>fluxul de numerar;</w:t>
      </w:r>
    </w:p>
    <w:p w14:paraId="2788F51F"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2. </w:t>
      </w:r>
      <w:r w:rsidRPr="002E4516">
        <w:rPr>
          <w:rFonts w:asciiTheme="majorHAnsi" w:hAnsiTheme="majorHAnsi" w:cstheme="majorHAnsi"/>
          <w:b/>
          <w:noProof/>
        </w:rPr>
        <w:t>148</w:t>
      </w:r>
      <w:r w:rsidRPr="002E4516">
        <w:rPr>
          <w:rFonts w:asciiTheme="majorHAnsi" w:hAnsiTheme="majorHAnsi" w:cstheme="majorHAnsi"/>
          <w:noProof/>
        </w:rPr>
        <w:t xml:space="preserve"> indicatori privind </w:t>
      </w:r>
      <w:r w:rsidRPr="002E4516">
        <w:rPr>
          <w:rFonts w:asciiTheme="majorHAnsi" w:hAnsiTheme="majorHAnsi" w:cstheme="majorHAnsi"/>
          <w:b/>
          <w:noProof/>
        </w:rPr>
        <w:t>costurile</w:t>
      </w:r>
      <w:r w:rsidRPr="002E4516">
        <w:rPr>
          <w:rFonts w:asciiTheme="majorHAnsi" w:hAnsiTheme="majorHAnsi" w:cstheme="majorHAnsi"/>
          <w:noProof/>
        </w:rPr>
        <w:t>;</w:t>
      </w:r>
    </w:p>
    <w:p w14:paraId="4C307A2E"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3. </w:t>
      </w:r>
      <w:r w:rsidRPr="002E4516">
        <w:rPr>
          <w:rFonts w:asciiTheme="majorHAnsi" w:hAnsiTheme="majorHAnsi" w:cstheme="majorHAnsi"/>
          <w:b/>
          <w:noProof/>
        </w:rPr>
        <w:t>202</w:t>
      </w:r>
      <w:r w:rsidRPr="002E4516">
        <w:rPr>
          <w:rFonts w:asciiTheme="majorHAnsi" w:hAnsiTheme="majorHAnsi" w:cstheme="majorHAnsi"/>
          <w:noProof/>
        </w:rPr>
        <w:t xml:space="preserve"> indicatori privind </w:t>
      </w:r>
      <w:r w:rsidRPr="002E4516">
        <w:rPr>
          <w:rFonts w:asciiTheme="majorHAnsi" w:hAnsiTheme="majorHAnsi" w:cstheme="majorHAnsi"/>
          <w:b/>
          <w:noProof/>
        </w:rPr>
        <w:t>datoriile</w:t>
      </w:r>
      <w:r w:rsidRPr="002E4516">
        <w:rPr>
          <w:rFonts w:asciiTheme="majorHAnsi" w:hAnsiTheme="majorHAnsi" w:cstheme="majorHAnsi"/>
          <w:noProof/>
        </w:rPr>
        <w:t>;</w:t>
      </w:r>
    </w:p>
    <w:p w14:paraId="7ACC2155"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4. </w:t>
      </w:r>
      <w:r w:rsidRPr="002E4516">
        <w:rPr>
          <w:rFonts w:asciiTheme="majorHAnsi" w:hAnsiTheme="majorHAnsi" w:cstheme="majorHAnsi"/>
          <w:b/>
          <w:noProof/>
        </w:rPr>
        <w:t>76</w:t>
      </w:r>
      <w:r w:rsidRPr="002E4516">
        <w:rPr>
          <w:rFonts w:asciiTheme="majorHAnsi" w:hAnsiTheme="majorHAnsi" w:cstheme="majorHAnsi"/>
          <w:noProof/>
        </w:rPr>
        <w:t xml:space="preserve"> indicatori privind </w:t>
      </w:r>
      <w:r w:rsidRPr="002E4516">
        <w:rPr>
          <w:rFonts w:asciiTheme="majorHAnsi" w:hAnsiTheme="majorHAnsi" w:cstheme="majorHAnsi"/>
          <w:b/>
          <w:noProof/>
        </w:rPr>
        <w:t>investițiile</w:t>
      </w:r>
      <w:r w:rsidRPr="002E4516">
        <w:rPr>
          <w:rFonts w:asciiTheme="majorHAnsi" w:hAnsiTheme="majorHAnsi" w:cstheme="majorHAnsi"/>
          <w:noProof/>
        </w:rPr>
        <w:t>;</w:t>
      </w:r>
    </w:p>
    <w:p w14:paraId="0427A5EE"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5. </w:t>
      </w:r>
      <w:r w:rsidRPr="002E4516">
        <w:rPr>
          <w:rFonts w:asciiTheme="majorHAnsi" w:hAnsiTheme="majorHAnsi" w:cstheme="majorHAnsi"/>
          <w:b/>
          <w:noProof/>
        </w:rPr>
        <w:t>189</w:t>
      </w:r>
      <w:r w:rsidRPr="002E4516">
        <w:rPr>
          <w:rFonts w:asciiTheme="majorHAnsi" w:hAnsiTheme="majorHAnsi" w:cstheme="majorHAnsi"/>
          <w:noProof/>
        </w:rPr>
        <w:t xml:space="preserve"> Indicatori privind </w:t>
      </w:r>
      <w:r w:rsidRPr="002E4516">
        <w:rPr>
          <w:rFonts w:asciiTheme="majorHAnsi" w:hAnsiTheme="majorHAnsi" w:cstheme="majorHAnsi"/>
          <w:b/>
          <w:noProof/>
        </w:rPr>
        <w:t>profitabilitatea</w:t>
      </w:r>
      <w:r w:rsidRPr="002E4516">
        <w:rPr>
          <w:rFonts w:asciiTheme="majorHAnsi" w:hAnsiTheme="majorHAnsi" w:cstheme="majorHAnsi"/>
          <w:noProof/>
        </w:rPr>
        <w:t>;</w:t>
      </w:r>
    </w:p>
    <w:p w14:paraId="00154C3E"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6. </w:t>
      </w:r>
      <w:r w:rsidRPr="002E4516">
        <w:rPr>
          <w:rFonts w:asciiTheme="majorHAnsi" w:hAnsiTheme="majorHAnsi" w:cstheme="majorHAnsi"/>
          <w:b/>
          <w:noProof/>
        </w:rPr>
        <w:t>175</w:t>
      </w:r>
      <w:r w:rsidRPr="002E4516">
        <w:rPr>
          <w:rFonts w:asciiTheme="majorHAnsi" w:hAnsiTheme="majorHAnsi" w:cstheme="majorHAnsi"/>
          <w:noProof/>
        </w:rPr>
        <w:t xml:space="preserve"> indicatori privind </w:t>
      </w:r>
      <w:r w:rsidRPr="002E4516">
        <w:rPr>
          <w:rFonts w:asciiTheme="majorHAnsi" w:hAnsiTheme="majorHAnsi" w:cstheme="majorHAnsi"/>
          <w:b/>
          <w:noProof/>
        </w:rPr>
        <w:t>veniturile</w:t>
      </w:r>
      <w:r w:rsidRPr="002E4516">
        <w:rPr>
          <w:rFonts w:asciiTheme="majorHAnsi" w:hAnsiTheme="majorHAnsi" w:cstheme="majorHAnsi"/>
          <w:noProof/>
        </w:rPr>
        <w:t>;</w:t>
      </w:r>
    </w:p>
    <w:p w14:paraId="4C1AA384"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7. </w:t>
      </w:r>
      <w:r w:rsidRPr="002E4516">
        <w:rPr>
          <w:rFonts w:asciiTheme="majorHAnsi" w:hAnsiTheme="majorHAnsi" w:cstheme="majorHAnsi"/>
          <w:b/>
          <w:noProof/>
        </w:rPr>
        <w:t xml:space="preserve">12 </w:t>
      </w:r>
      <w:r w:rsidRPr="002E4516">
        <w:rPr>
          <w:rFonts w:asciiTheme="majorHAnsi" w:hAnsiTheme="majorHAnsi" w:cstheme="majorHAnsi"/>
          <w:noProof/>
        </w:rPr>
        <w:t xml:space="preserve">indicatori privind </w:t>
      </w:r>
      <w:r w:rsidRPr="002E4516">
        <w:rPr>
          <w:rFonts w:asciiTheme="majorHAnsi" w:hAnsiTheme="majorHAnsi" w:cstheme="majorHAnsi"/>
          <w:b/>
          <w:noProof/>
        </w:rPr>
        <w:t>politica de dividende</w:t>
      </w:r>
      <w:r w:rsidRPr="002E4516">
        <w:rPr>
          <w:rFonts w:asciiTheme="majorHAnsi" w:hAnsiTheme="majorHAnsi" w:cstheme="majorHAnsi"/>
          <w:noProof/>
        </w:rPr>
        <w:t>;</w:t>
      </w:r>
    </w:p>
    <w:p w14:paraId="34FFD340" w14:textId="77777777" w:rsidR="0040167B" w:rsidRPr="002E4516" w:rsidRDefault="0040167B" w:rsidP="0040167B">
      <w:pPr>
        <w:pStyle w:val="ListParagraph"/>
        <w:spacing w:before="0" w:after="160"/>
        <w:ind w:left="284"/>
        <w:jc w:val="both"/>
        <w:rPr>
          <w:rFonts w:asciiTheme="majorHAnsi" w:hAnsiTheme="majorHAnsi" w:cstheme="majorHAnsi"/>
          <w:b/>
          <w:noProof/>
        </w:rPr>
      </w:pPr>
      <w:r w:rsidRPr="002E4516">
        <w:rPr>
          <w:rFonts w:asciiTheme="majorHAnsi" w:hAnsiTheme="majorHAnsi" w:cstheme="majorHAnsi"/>
          <w:noProof/>
        </w:rPr>
        <w:t xml:space="preserve">8. </w:t>
      </w:r>
      <w:r w:rsidRPr="002E4516">
        <w:rPr>
          <w:rFonts w:asciiTheme="majorHAnsi" w:hAnsiTheme="majorHAnsi" w:cstheme="majorHAnsi"/>
          <w:b/>
          <w:noProof/>
        </w:rPr>
        <w:t>275 alți indicatori.</w:t>
      </w:r>
    </w:p>
    <w:p w14:paraId="65DC28A9" w14:textId="77777777" w:rsidR="0040167B" w:rsidRPr="002E4516" w:rsidRDefault="0040167B" w:rsidP="0040167B">
      <w:pPr>
        <w:autoSpaceDE w:val="0"/>
        <w:autoSpaceDN w:val="0"/>
        <w:adjustRightInd w:val="0"/>
        <w:spacing w:after="0" w:line="240" w:lineRule="auto"/>
        <w:jc w:val="both"/>
        <w:rPr>
          <w:rFonts w:asciiTheme="majorHAnsi" w:hAnsiTheme="majorHAnsi" w:cstheme="majorHAnsi"/>
          <w:noProof/>
        </w:rPr>
      </w:pPr>
      <w:r w:rsidRPr="002E4516">
        <w:rPr>
          <w:rFonts w:asciiTheme="majorHAnsi" w:hAnsiTheme="majorHAnsi" w:cstheme="majorHAnsi"/>
          <w:b/>
          <w:noProof/>
        </w:rPr>
        <w:t>Indicatorii de performanță financiari</w:t>
      </w:r>
      <w:r w:rsidRPr="002E4516">
        <w:rPr>
          <w:rFonts w:asciiTheme="majorHAnsi" w:hAnsiTheme="majorHAnsi" w:cstheme="majorHAnsi"/>
          <w:noProof/>
        </w:rPr>
        <w:t xml:space="preserve"> regăsiți în contractele de mandat ale </w:t>
      </w:r>
      <w:r w:rsidRPr="002E4516">
        <w:rPr>
          <w:rFonts w:asciiTheme="majorHAnsi" w:hAnsiTheme="majorHAnsi" w:cstheme="majorHAnsi"/>
          <w:b/>
          <w:noProof/>
        </w:rPr>
        <w:t>directorilor</w:t>
      </w:r>
      <w:r w:rsidRPr="002E4516">
        <w:rPr>
          <w:rFonts w:asciiTheme="majorHAnsi" w:hAnsiTheme="majorHAnsi" w:cstheme="majorHAnsi"/>
          <w:noProof/>
        </w:rPr>
        <w:t xml:space="preserve"> sunt grupați la rândul lor, în funcție de scopurile întreprinderilor publice, după cum urmează:</w:t>
      </w:r>
    </w:p>
    <w:p w14:paraId="4A10BD07"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1. </w:t>
      </w:r>
      <w:r w:rsidRPr="002E4516">
        <w:rPr>
          <w:rFonts w:asciiTheme="majorHAnsi" w:hAnsiTheme="majorHAnsi" w:cstheme="majorHAnsi"/>
          <w:b/>
          <w:noProof/>
        </w:rPr>
        <w:t>153</w:t>
      </w:r>
      <w:r w:rsidRPr="002E4516">
        <w:rPr>
          <w:rFonts w:asciiTheme="majorHAnsi" w:hAnsiTheme="majorHAnsi" w:cstheme="majorHAnsi"/>
          <w:noProof/>
        </w:rPr>
        <w:t xml:space="preserve"> indicatori privind </w:t>
      </w:r>
      <w:r w:rsidRPr="002E4516">
        <w:rPr>
          <w:rFonts w:asciiTheme="majorHAnsi" w:hAnsiTheme="majorHAnsi" w:cstheme="majorHAnsi"/>
          <w:b/>
          <w:noProof/>
        </w:rPr>
        <w:t>fluxul de numerar;</w:t>
      </w:r>
    </w:p>
    <w:p w14:paraId="7F308304"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2. </w:t>
      </w:r>
      <w:r w:rsidRPr="002E4516">
        <w:rPr>
          <w:rFonts w:asciiTheme="majorHAnsi" w:hAnsiTheme="majorHAnsi" w:cstheme="majorHAnsi"/>
          <w:b/>
          <w:noProof/>
        </w:rPr>
        <w:t>138</w:t>
      </w:r>
      <w:r w:rsidRPr="002E4516">
        <w:rPr>
          <w:rFonts w:asciiTheme="majorHAnsi" w:hAnsiTheme="majorHAnsi" w:cstheme="majorHAnsi"/>
          <w:noProof/>
        </w:rPr>
        <w:t xml:space="preserve"> indicatori privind </w:t>
      </w:r>
      <w:r w:rsidRPr="002E4516">
        <w:rPr>
          <w:rFonts w:asciiTheme="majorHAnsi" w:hAnsiTheme="majorHAnsi" w:cstheme="majorHAnsi"/>
          <w:b/>
          <w:noProof/>
        </w:rPr>
        <w:t>costurile</w:t>
      </w:r>
      <w:r w:rsidRPr="002E4516">
        <w:rPr>
          <w:rFonts w:asciiTheme="majorHAnsi" w:hAnsiTheme="majorHAnsi" w:cstheme="majorHAnsi"/>
          <w:noProof/>
        </w:rPr>
        <w:t>;</w:t>
      </w:r>
    </w:p>
    <w:p w14:paraId="031F299E"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3. </w:t>
      </w:r>
      <w:r w:rsidRPr="002E4516">
        <w:rPr>
          <w:rFonts w:asciiTheme="majorHAnsi" w:hAnsiTheme="majorHAnsi" w:cstheme="majorHAnsi"/>
          <w:b/>
          <w:noProof/>
        </w:rPr>
        <w:t>189</w:t>
      </w:r>
      <w:r w:rsidRPr="002E4516">
        <w:rPr>
          <w:rFonts w:asciiTheme="majorHAnsi" w:hAnsiTheme="majorHAnsi" w:cstheme="majorHAnsi"/>
          <w:noProof/>
        </w:rPr>
        <w:t xml:space="preserve"> indicatori privind </w:t>
      </w:r>
      <w:r w:rsidRPr="002E4516">
        <w:rPr>
          <w:rFonts w:asciiTheme="majorHAnsi" w:hAnsiTheme="majorHAnsi" w:cstheme="majorHAnsi"/>
          <w:b/>
          <w:noProof/>
        </w:rPr>
        <w:t>datoriile</w:t>
      </w:r>
      <w:r w:rsidRPr="002E4516">
        <w:rPr>
          <w:rFonts w:asciiTheme="majorHAnsi" w:hAnsiTheme="majorHAnsi" w:cstheme="majorHAnsi"/>
          <w:noProof/>
        </w:rPr>
        <w:t>;</w:t>
      </w:r>
    </w:p>
    <w:p w14:paraId="5D8C3AEF"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4. </w:t>
      </w:r>
      <w:r w:rsidRPr="002E4516">
        <w:rPr>
          <w:rFonts w:asciiTheme="majorHAnsi" w:hAnsiTheme="majorHAnsi" w:cstheme="majorHAnsi"/>
          <w:b/>
          <w:noProof/>
        </w:rPr>
        <w:t>64</w:t>
      </w:r>
      <w:r w:rsidRPr="002E4516">
        <w:rPr>
          <w:rFonts w:asciiTheme="majorHAnsi" w:hAnsiTheme="majorHAnsi" w:cstheme="majorHAnsi"/>
          <w:noProof/>
        </w:rPr>
        <w:t xml:space="preserve"> indicatori privind </w:t>
      </w:r>
      <w:r w:rsidRPr="002E4516">
        <w:rPr>
          <w:rFonts w:asciiTheme="majorHAnsi" w:hAnsiTheme="majorHAnsi" w:cstheme="majorHAnsi"/>
          <w:b/>
          <w:noProof/>
        </w:rPr>
        <w:t>investițiile</w:t>
      </w:r>
      <w:r w:rsidRPr="002E4516">
        <w:rPr>
          <w:rFonts w:asciiTheme="majorHAnsi" w:hAnsiTheme="majorHAnsi" w:cstheme="majorHAnsi"/>
          <w:noProof/>
        </w:rPr>
        <w:t>;</w:t>
      </w:r>
    </w:p>
    <w:p w14:paraId="67BDC6EE"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5. </w:t>
      </w:r>
      <w:r w:rsidRPr="002E4516">
        <w:rPr>
          <w:rFonts w:asciiTheme="majorHAnsi" w:hAnsiTheme="majorHAnsi" w:cstheme="majorHAnsi"/>
          <w:b/>
          <w:noProof/>
        </w:rPr>
        <w:t>169</w:t>
      </w:r>
      <w:r w:rsidRPr="002E4516">
        <w:rPr>
          <w:rFonts w:asciiTheme="majorHAnsi" w:hAnsiTheme="majorHAnsi" w:cstheme="majorHAnsi"/>
          <w:noProof/>
        </w:rPr>
        <w:t xml:space="preserve"> Indicatori privind </w:t>
      </w:r>
      <w:r w:rsidRPr="002E4516">
        <w:rPr>
          <w:rFonts w:asciiTheme="majorHAnsi" w:hAnsiTheme="majorHAnsi" w:cstheme="majorHAnsi"/>
          <w:b/>
          <w:noProof/>
        </w:rPr>
        <w:t>profitabilitatea</w:t>
      </w:r>
      <w:r w:rsidRPr="002E4516">
        <w:rPr>
          <w:rFonts w:asciiTheme="majorHAnsi" w:hAnsiTheme="majorHAnsi" w:cstheme="majorHAnsi"/>
          <w:noProof/>
        </w:rPr>
        <w:t>;</w:t>
      </w:r>
    </w:p>
    <w:p w14:paraId="76857CB6"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6. </w:t>
      </w:r>
      <w:r w:rsidRPr="002E4516">
        <w:rPr>
          <w:rFonts w:asciiTheme="majorHAnsi" w:hAnsiTheme="majorHAnsi" w:cstheme="majorHAnsi"/>
          <w:b/>
          <w:noProof/>
        </w:rPr>
        <w:t>162</w:t>
      </w:r>
      <w:r w:rsidRPr="002E4516">
        <w:rPr>
          <w:rFonts w:asciiTheme="majorHAnsi" w:hAnsiTheme="majorHAnsi" w:cstheme="majorHAnsi"/>
          <w:noProof/>
        </w:rPr>
        <w:t xml:space="preserve"> indicatori privind </w:t>
      </w:r>
      <w:r w:rsidRPr="002E4516">
        <w:rPr>
          <w:rFonts w:asciiTheme="majorHAnsi" w:hAnsiTheme="majorHAnsi" w:cstheme="majorHAnsi"/>
          <w:b/>
          <w:noProof/>
        </w:rPr>
        <w:t>veniturile</w:t>
      </w:r>
      <w:r w:rsidRPr="002E4516">
        <w:rPr>
          <w:rFonts w:asciiTheme="majorHAnsi" w:hAnsiTheme="majorHAnsi" w:cstheme="majorHAnsi"/>
          <w:noProof/>
        </w:rPr>
        <w:t>;</w:t>
      </w:r>
    </w:p>
    <w:p w14:paraId="7A0E53AA" w14:textId="77777777" w:rsidR="0040167B" w:rsidRPr="002E4516" w:rsidRDefault="0040167B" w:rsidP="0040167B">
      <w:pPr>
        <w:pStyle w:val="ListParagraph"/>
        <w:spacing w:before="0" w:after="160"/>
        <w:ind w:left="284"/>
        <w:jc w:val="both"/>
        <w:rPr>
          <w:rFonts w:asciiTheme="majorHAnsi" w:hAnsiTheme="majorHAnsi" w:cstheme="majorHAnsi"/>
          <w:noProof/>
        </w:rPr>
      </w:pPr>
      <w:r w:rsidRPr="002E4516">
        <w:rPr>
          <w:rFonts w:asciiTheme="majorHAnsi" w:hAnsiTheme="majorHAnsi" w:cstheme="majorHAnsi"/>
          <w:noProof/>
        </w:rPr>
        <w:t xml:space="preserve">7. </w:t>
      </w:r>
      <w:r w:rsidRPr="002E4516">
        <w:rPr>
          <w:rFonts w:asciiTheme="majorHAnsi" w:hAnsiTheme="majorHAnsi" w:cstheme="majorHAnsi"/>
          <w:b/>
          <w:noProof/>
        </w:rPr>
        <w:t xml:space="preserve">7  </w:t>
      </w:r>
      <w:r w:rsidRPr="002E4516">
        <w:rPr>
          <w:rFonts w:asciiTheme="majorHAnsi" w:hAnsiTheme="majorHAnsi" w:cstheme="majorHAnsi"/>
          <w:noProof/>
        </w:rPr>
        <w:t xml:space="preserve">indicatori privind </w:t>
      </w:r>
      <w:r w:rsidRPr="002E4516">
        <w:rPr>
          <w:rFonts w:asciiTheme="majorHAnsi" w:hAnsiTheme="majorHAnsi" w:cstheme="majorHAnsi"/>
          <w:b/>
          <w:noProof/>
        </w:rPr>
        <w:t>politica de dividende</w:t>
      </w:r>
      <w:r w:rsidRPr="002E4516">
        <w:rPr>
          <w:rFonts w:asciiTheme="majorHAnsi" w:hAnsiTheme="majorHAnsi" w:cstheme="majorHAnsi"/>
          <w:noProof/>
        </w:rPr>
        <w:t>;</w:t>
      </w:r>
    </w:p>
    <w:p w14:paraId="47EC3ECE" w14:textId="54441618" w:rsidR="0040167B" w:rsidRPr="007F4BA4" w:rsidRDefault="0040167B" w:rsidP="007F4BA4">
      <w:pPr>
        <w:pStyle w:val="ListParagraph"/>
        <w:spacing w:before="0" w:after="160"/>
        <w:ind w:left="284"/>
        <w:jc w:val="both"/>
        <w:rPr>
          <w:rFonts w:asciiTheme="majorHAnsi" w:hAnsiTheme="majorHAnsi" w:cstheme="majorHAnsi"/>
          <w:b/>
          <w:noProof/>
        </w:rPr>
      </w:pPr>
      <w:r w:rsidRPr="002E4516">
        <w:rPr>
          <w:rFonts w:asciiTheme="majorHAnsi" w:hAnsiTheme="majorHAnsi" w:cstheme="majorHAnsi"/>
          <w:noProof/>
        </w:rPr>
        <w:t xml:space="preserve">8. </w:t>
      </w:r>
      <w:r w:rsidRPr="002E4516">
        <w:rPr>
          <w:rFonts w:asciiTheme="majorHAnsi" w:hAnsiTheme="majorHAnsi" w:cstheme="majorHAnsi"/>
          <w:b/>
          <w:noProof/>
        </w:rPr>
        <w:t>239 alți indicatori.</w:t>
      </w:r>
    </w:p>
    <w:p w14:paraId="4D324F4F" w14:textId="53107880" w:rsidR="0040167B" w:rsidRPr="002E4516" w:rsidRDefault="00F20AC6" w:rsidP="0040167B">
      <w:pPr>
        <w:jc w:val="both"/>
        <w:rPr>
          <w:rFonts w:asciiTheme="majorHAnsi" w:hAnsiTheme="majorHAnsi" w:cstheme="majorHAnsi"/>
          <w:noProof/>
        </w:rPr>
      </w:pPr>
      <w:r w:rsidRPr="002E4516">
        <w:rPr>
          <w:rFonts w:asciiTheme="majorHAnsi" w:hAnsiTheme="majorHAnsi" w:cstheme="majorHAnsi"/>
          <w:noProof/>
          <w:lang w:val="en-US"/>
        </w:rPr>
        <w:drawing>
          <wp:inline distT="0" distB="0" distL="0" distR="0" wp14:anchorId="1E1967D0" wp14:editId="780C7B6F">
            <wp:extent cx="2838450" cy="3038475"/>
            <wp:effectExtent l="0" t="0" r="0" b="9525"/>
            <wp:docPr id="35" name="Chart 3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40167B" w:rsidRPr="002E4516">
        <w:rPr>
          <w:rFonts w:asciiTheme="majorHAnsi" w:hAnsiTheme="majorHAnsi" w:cstheme="majorHAnsi"/>
          <w:noProof/>
          <w:lang w:val="en-US"/>
        </w:rPr>
        <w:drawing>
          <wp:inline distT="0" distB="0" distL="0" distR="0" wp14:anchorId="39E429FE" wp14:editId="14A410BD">
            <wp:extent cx="2914650" cy="3048000"/>
            <wp:effectExtent l="0" t="0" r="0" b="0"/>
            <wp:docPr id="36" name="Chart 3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694E80D" w14:textId="77777777" w:rsidR="0040167B" w:rsidRPr="002E4516" w:rsidRDefault="0040167B" w:rsidP="0040167B">
      <w:pPr>
        <w:pStyle w:val="ListParagraph"/>
        <w:ind w:left="0"/>
        <w:jc w:val="both"/>
        <w:outlineLvl w:val="2"/>
        <w:rPr>
          <w:rFonts w:asciiTheme="majorHAnsi" w:hAnsiTheme="majorHAnsi" w:cstheme="majorHAnsi"/>
          <w:b/>
          <w:bCs/>
          <w:color w:val="0F6FC6" w:themeColor="accent1"/>
          <w:sz w:val="28"/>
          <w:szCs w:val="28"/>
        </w:rPr>
      </w:pPr>
      <w:bookmarkStart w:id="138" w:name="_Toc16518190"/>
      <w:bookmarkStart w:id="139" w:name="_Toc59451810"/>
      <w:bookmarkStart w:id="140" w:name="_Toc87875975"/>
      <w:r w:rsidRPr="002E4516">
        <w:rPr>
          <w:rFonts w:asciiTheme="majorHAnsi" w:hAnsiTheme="majorHAnsi" w:cstheme="majorHAnsi"/>
          <w:b/>
          <w:bCs/>
          <w:color w:val="0F6FC6" w:themeColor="accent1"/>
          <w:sz w:val="28"/>
          <w:szCs w:val="28"/>
        </w:rPr>
        <w:t>4.4 – Structura organelor de conducere ale întreprinderilor publice locale pe parcursul anului 20</w:t>
      </w:r>
      <w:bookmarkEnd w:id="138"/>
      <w:bookmarkEnd w:id="139"/>
      <w:r w:rsidRPr="002E4516">
        <w:rPr>
          <w:rFonts w:asciiTheme="majorHAnsi" w:hAnsiTheme="majorHAnsi" w:cstheme="majorHAnsi"/>
          <w:b/>
          <w:bCs/>
          <w:color w:val="0F6FC6" w:themeColor="accent1"/>
          <w:sz w:val="28"/>
          <w:szCs w:val="28"/>
        </w:rPr>
        <w:t>20</w:t>
      </w:r>
      <w:bookmarkEnd w:id="140"/>
    </w:p>
    <w:p w14:paraId="199700DC" w14:textId="77777777" w:rsidR="0040167B" w:rsidRPr="002E4516" w:rsidRDefault="0040167B" w:rsidP="0040167B">
      <w:pPr>
        <w:spacing w:before="0" w:after="0"/>
        <w:jc w:val="both"/>
        <w:rPr>
          <w:rFonts w:asciiTheme="majorHAnsi" w:hAnsiTheme="majorHAnsi" w:cstheme="majorHAnsi"/>
          <w:b/>
          <w:noProof/>
        </w:rPr>
      </w:pPr>
      <w:bookmarkStart w:id="141" w:name="_Toc490763884"/>
      <w:bookmarkStart w:id="142" w:name="_Toc490763716"/>
      <w:bookmarkStart w:id="143" w:name="_Toc490763535"/>
      <w:r w:rsidRPr="002E4516">
        <w:rPr>
          <w:rFonts w:asciiTheme="majorHAnsi" w:hAnsiTheme="majorHAnsi" w:cstheme="majorHAnsi"/>
          <w:noProof/>
        </w:rPr>
        <w:t xml:space="preserve">Ca urmare a analizei informațiilor desprinse din centralizarea formularelor transmise de către APTL, privind </w:t>
      </w:r>
      <w:r w:rsidRPr="002E4516">
        <w:rPr>
          <w:rFonts w:asciiTheme="majorHAnsi" w:hAnsiTheme="majorHAnsi" w:cstheme="majorHAnsi"/>
          <w:b/>
          <w:noProof/>
        </w:rPr>
        <w:t xml:space="preserve">structura consiliilor de administrație/supraveghere </w:t>
      </w:r>
      <w:r w:rsidRPr="002E4516">
        <w:rPr>
          <w:rFonts w:asciiTheme="majorHAnsi" w:hAnsiTheme="majorHAnsi" w:cstheme="majorHAnsi"/>
          <w:noProof/>
        </w:rPr>
        <w:t>la cele 479 ÎPL pentru care au fost îndeplinite obligațiile de raportare, se desprind următoarele concluzii</w:t>
      </w:r>
      <w:r w:rsidRPr="002E4516">
        <w:rPr>
          <w:rFonts w:asciiTheme="majorHAnsi" w:hAnsiTheme="majorHAnsi" w:cstheme="majorHAnsi"/>
          <w:noProof/>
          <w:lang w:val="en-US"/>
        </w:rPr>
        <w:t>:</w:t>
      </w:r>
    </w:p>
    <w:p w14:paraId="5108ABFF" w14:textId="77777777" w:rsidR="0040167B" w:rsidRPr="002E4516" w:rsidRDefault="0040167B" w:rsidP="0040167B">
      <w:pPr>
        <w:spacing w:before="0" w:after="0"/>
        <w:jc w:val="both"/>
        <w:rPr>
          <w:rFonts w:asciiTheme="majorHAnsi" w:hAnsiTheme="majorHAnsi" w:cstheme="majorHAnsi"/>
          <w:noProof/>
          <w:lang w:val="en-US"/>
        </w:rPr>
      </w:pPr>
    </w:p>
    <w:p w14:paraId="54BB38B1" w14:textId="77777777" w:rsidR="0040167B" w:rsidRPr="002E4516" w:rsidRDefault="0040167B" w:rsidP="00F17378">
      <w:pPr>
        <w:numPr>
          <w:ilvl w:val="0"/>
          <w:numId w:val="44"/>
        </w:numPr>
        <w:spacing w:before="0" w:after="0"/>
        <w:ind w:left="284" w:hanging="284"/>
        <w:contextualSpacing/>
        <w:jc w:val="both"/>
        <w:rPr>
          <w:rFonts w:asciiTheme="majorHAnsi" w:hAnsiTheme="majorHAnsi" w:cstheme="majorHAnsi"/>
          <w:noProof/>
        </w:rPr>
      </w:pPr>
      <w:r w:rsidRPr="002E4516">
        <w:rPr>
          <w:rFonts w:asciiTheme="majorHAnsi" w:hAnsiTheme="majorHAnsi" w:cstheme="majorHAnsi"/>
          <w:noProof/>
        </w:rPr>
        <w:t>din totalul de 1.743 posturi de administrator ocupate:</w:t>
      </w:r>
    </w:p>
    <w:p w14:paraId="2D7ABD16" w14:textId="77777777" w:rsidR="0040167B" w:rsidRPr="002E4516" w:rsidRDefault="0040167B" w:rsidP="00F17378">
      <w:pPr>
        <w:pStyle w:val="ListParagraph"/>
        <w:numPr>
          <w:ilvl w:val="0"/>
          <w:numId w:val="48"/>
        </w:numPr>
        <w:spacing w:before="0" w:after="0"/>
        <w:jc w:val="both"/>
        <w:rPr>
          <w:rFonts w:asciiTheme="majorHAnsi" w:hAnsiTheme="majorHAnsi" w:cstheme="majorHAnsi"/>
          <w:noProof/>
        </w:rPr>
      </w:pPr>
      <w:r w:rsidRPr="002E4516">
        <w:rPr>
          <w:rFonts w:asciiTheme="majorHAnsi" w:hAnsiTheme="majorHAnsi" w:cstheme="majorHAnsi"/>
          <w:noProof/>
        </w:rPr>
        <w:t xml:space="preserve">un număr de </w:t>
      </w:r>
      <w:r w:rsidRPr="002E4516">
        <w:rPr>
          <w:rFonts w:asciiTheme="majorHAnsi" w:hAnsiTheme="majorHAnsi" w:cstheme="majorHAnsi"/>
          <w:b/>
          <w:noProof/>
        </w:rPr>
        <w:t xml:space="preserve">1.428 </w:t>
      </w:r>
      <w:r w:rsidRPr="002E4516">
        <w:rPr>
          <w:rFonts w:asciiTheme="majorHAnsi" w:hAnsiTheme="majorHAnsi" w:cstheme="majorHAnsi"/>
          <w:noProof/>
        </w:rPr>
        <w:t xml:space="preserve">posturi sunt ocupate de administratori numiți </w:t>
      </w:r>
      <w:r w:rsidRPr="002E4516">
        <w:rPr>
          <w:rFonts w:asciiTheme="majorHAnsi" w:hAnsiTheme="majorHAnsi" w:cstheme="majorHAnsi"/>
          <w:b/>
          <w:noProof/>
        </w:rPr>
        <w:t>definitiv, din care:</w:t>
      </w:r>
    </w:p>
    <w:p w14:paraId="58B4C637" w14:textId="77777777" w:rsidR="0040167B" w:rsidRPr="002E4516" w:rsidRDefault="0040167B" w:rsidP="00F17378">
      <w:pPr>
        <w:pStyle w:val="ListParagraph"/>
        <w:numPr>
          <w:ilvl w:val="0"/>
          <w:numId w:val="49"/>
        </w:numPr>
        <w:spacing w:before="0" w:after="0"/>
        <w:jc w:val="both"/>
        <w:rPr>
          <w:rFonts w:asciiTheme="majorHAnsi" w:hAnsiTheme="majorHAnsi" w:cstheme="majorHAnsi"/>
          <w:noProof/>
        </w:rPr>
      </w:pPr>
      <w:r w:rsidRPr="002E4516">
        <w:rPr>
          <w:rFonts w:asciiTheme="majorHAnsi" w:hAnsiTheme="majorHAnsi" w:cstheme="majorHAnsi"/>
          <w:b/>
          <w:noProof/>
        </w:rPr>
        <w:t>1.270 au fost numiți conform prevederilor O.U.G. nr. 109/2011;</w:t>
      </w:r>
    </w:p>
    <w:p w14:paraId="2A2501ED" w14:textId="77777777" w:rsidR="0040167B" w:rsidRPr="002E4516" w:rsidRDefault="0040167B" w:rsidP="00F17378">
      <w:pPr>
        <w:pStyle w:val="ListParagraph"/>
        <w:numPr>
          <w:ilvl w:val="0"/>
          <w:numId w:val="48"/>
        </w:numPr>
        <w:spacing w:before="0" w:after="0"/>
        <w:jc w:val="both"/>
        <w:rPr>
          <w:rFonts w:asciiTheme="majorHAnsi" w:hAnsiTheme="majorHAnsi" w:cstheme="majorHAnsi"/>
          <w:noProof/>
        </w:rPr>
      </w:pPr>
      <w:r w:rsidRPr="002E4516">
        <w:rPr>
          <w:rFonts w:asciiTheme="majorHAnsi" w:hAnsiTheme="majorHAnsi" w:cstheme="majorHAnsi"/>
          <w:b/>
          <w:noProof/>
        </w:rPr>
        <w:t>315</w:t>
      </w:r>
      <w:r w:rsidRPr="002E4516">
        <w:rPr>
          <w:rFonts w:asciiTheme="majorHAnsi" w:hAnsiTheme="majorHAnsi" w:cstheme="majorHAnsi"/>
          <w:noProof/>
        </w:rPr>
        <w:t xml:space="preserve"> posturi sunt ocupate de administratori numiți </w:t>
      </w:r>
      <w:r w:rsidRPr="002E4516">
        <w:rPr>
          <w:rFonts w:asciiTheme="majorHAnsi" w:hAnsiTheme="majorHAnsi" w:cstheme="majorHAnsi"/>
          <w:b/>
          <w:noProof/>
        </w:rPr>
        <w:t>provizoriu</w:t>
      </w:r>
      <w:r w:rsidRPr="002E4516">
        <w:rPr>
          <w:rFonts w:asciiTheme="majorHAnsi" w:hAnsiTheme="majorHAnsi" w:cstheme="majorHAnsi"/>
          <w:noProof/>
        </w:rPr>
        <w:t>;</w:t>
      </w:r>
    </w:p>
    <w:p w14:paraId="68C7A1AF" w14:textId="77777777" w:rsidR="0040167B" w:rsidRPr="002E4516" w:rsidRDefault="0040167B" w:rsidP="0040167B">
      <w:pPr>
        <w:spacing w:before="0" w:after="0"/>
        <w:ind w:left="284"/>
        <w:contextualSpacing/>
        <w:jc w:val="both"/>
        <w:rPr>
          <w:rFonts w:asciiTheme="majorHAnsi" w:hAnsiTheme="majorHAnsi" w:cstheme="majorHAnsi"/>
          <w:noProof/>
        </w:rPr>
      </w:pPr>
      <w:r w:rsidRPr="002E4516">
        <w:rPr>
          <w:rFonts w:asciiTheme="majorHAnsi" w:hAnsiTheme="majorHAnsi" w:cstheme="majorHAnsi"/>
          <w:noProof/>
        </w:rPr>
        <w:t>Faţă de anul 2019, se remarcă o scădere a numărului administratorilor numiţi conform prevederilor O.U.G. nr. 109/2011 cu un procent de 11%.</w:t>
      </w:r>
    </w:p>
    <w:p w14:paraId="4D92A671" w14:textId="77777777" w:rsidR="0040167B" w:rsidRPr="002E4516" w:rsidRDefault="0040167B" w:rsidP="0040167B">
      <w:pPr>
        <w:spacing w:before="0" w:after="0"/>
        <w:contextualSpacing/>
        <w:jc w:val="both"/>
        <w:rPr>
          <w:rFonts w:asciiTheme="majorHAnsi" w:hAnsiTheme="majorHAnsi" w:cstheme="majorHAnsi"/>
          <w:noProof/>
        </w:rPr>
      </w:pPr>
    </w:p>
    <w:p w14:paraId="0E081E29" w14:textId="77777777" w:rsidR="0040167B" w:rsidRPr="002E4516" w:rsidRDefault="0040167B" w:rsidP="00F17378">
      <w:pPr>
        <w:numPr>
          <w:ilvl w:val="0"/>
          <w:numId w:val="44"/>
        </w:numPr>
        <w:spacing w:before="0" w:after="0"/>
        <w:ind w:left="284" w:hanging="284"/>
        <w:contextualSpacing/>
        <w:jc w:val="both"/>
        <w:rPr>
          <w:rFonts w:asciiTheme="majorHAnsi" w:hAnsiTheme="majorHAnsi" w:cstheme="majorHAnsi"/>
          <w:noProof/>
        </w:rPr>
      </w:pPr>
      <w:r w:rsidRPr="002E4516">
        <w:rPr>
          <w:rFonts w:asciiTheme="majorHAnsi" w:hAnsiTheme="majorHAnsi" w:cstheme="majorHAnsi"/>
          <w:noProof/>
        </w:rPr>
        <w:t>din totalul de 1.743 administratori în funcţie:</w:t>
      </w:r>
    </w:p>
    <w:p w14:paraId="6879CDF4" w14:textId="77777777" w:rsidR="0040167B" w:rsidRPr="002E4516" w:rsidRDefault="0040167B" w:rsidP="00F17378">
      <w:pPr>
        <w:pStyle w:val="ListParagraph"/>
        <w:numPr>
          <w:ilvl w:val="0"/>
          <w:numId w:val="48"/>
        </w:numPr>
        <w:spacing w:before="0" w:after="0"/>
        <w:jc w:val="both"/>
        <w:rPr>
          <w:rFonts w:asciiTheme="majorHAnsi" w:hAnsiTheme="majorHAnsi" w:cstheme="majorHAnsi"/>
          <w:noProof/>
        </w:rPr>
      </w:pPr>
      <w:r w:rsidRPr="002E4516">
        <w:rPr>
          <w:rFonts w:asciiTheme="majorHAnsi" w:hAnsiTheme="majorHAnsi" w:cstheme="majorHAnsi"/>
          <w:noProof/>
        </w:rPr>
        <w:t xml:space="preserve">505 </w:t>
      </w:r>
      <w:r w:rsidRPr="002E4516">
        <w:rPr>
          <w:rFonts w:asciiTheme="majorHAnsi" w:hAnsiTheme="majorHAnsi" w:cstheme="majorHAnsi"/>
          <w:b/>
          <w:noProof/>
          <w:lang w:val="en-US"/>
        </w:rPr>
        <w:t xml:space="preserve">administratori </w:t>
      </w:r>
      <w:r w:rsidRPr="002E4516">
        <w:rPr>
          <w:rFonts w:asciiTheme="majorHAnsi" w:hAnsiTheme="majorHAnsi" w:cstheme="majorHAnsi"/>
          <w:b/>
          <w:noProof/>
        </w:rPr>
        <w:t>dețin o funcție publică/sunt angajați în instituții publice;</w:t>
      </w:r>
    </w:p>
    <w:p w14:paraId="23DEF949" w14:textId="77777777" w:rsidR="0040167B" w:rsidRPr="002E4516" w:rsidRDefault="0040167B" w:rsidP="00F17378">
      <w:pPr>
        <w:pStyle w:val="ListParagraph"/>
        <w:numPr>
          <w:ilvl w:val="0"/>
          <w:numId w:val="48"/>
        </w:numPr>
        <w:spacing w:before="0" w:after="0"/>
        <w:jc w:val="both"/>
        <w:rPr>
          <w:rFonts w:asciiTheme="majorHAnsi" w:hAnsiTheme="majorHAnsi" w:cstheme="majorHAnsi"/>
          <w:noProof/>
        </w:rPr>
      </w:pPr>
      <w:r w:rsidRPr="002E4516">
        <w:rPr>
          <w:rFonts w:asciiTheme="majorHAnsi" w:hAnsiTheme="majorHAnsi" w:cstheme="majorHAnsi"/>
          <w:noProof/>
        </w:rPr>
        <w:t>533</w:t>
      </w:r>
      <w:r w:rsidRPr="002E4516">
        <w:rPr>
          <w:rFonts w:asciiTheme="majorHAnsi" w:hAnsiTheme="majorHAnsi" w:cstheme="majorHAnsi"/>
          <w:noProof/>
          <w:lang w:val="en-US"/>
        </w:rPr>
        <w:t xml:space="preserve"> posturi de administrator sunt ocupate de</w:t>
      </w:r>
      <w:r w:rsidRPr="002E4516">
        <w:rPr>
          <w:rFonts w:asciiTheme="majorHAnsi" w:hAnsiTheme="majorHAnsi" w:cstheme="majorHAnsi"/>
          <w:b/>
          <w:noProof/>
          <w:lang w:val="en-US"/>
        </w:rPr>
        <w:t xml:space="preserve"> persoane de gen feminin </w:t>
      </w:r>
      <w:r w:rsidRPr="002E4516">
        <w:rPr>
          <w:rFonts w:asciiTheme="majorHAnsi" w:hAnsiTheme="majorHAnsi" w:cstheme="majorHAnsi"/>
          <w:noProof/>
          <w:lang w:val="en-US"/>
        </w:rPr>
        <w:t>reprezentând o pondere de 31%</w:t>
      </w:r>
      <w:r w:rsidRPr="002E4516">
        <w:rPr>
          <w:rFonts w:asciiTheme="majorHAnsi" w:hAnsiTheme="majorHAnsi" w:cstheme="majorHAnsi"/>
          <w:b/>
          <w:noProof/>
          <w:lang w:val="en-US"/>
        </w:rPr>
        <w:t xml:space="preserve"> </w:t>
      </w:r>
      <w:r w:rsidRPr="002E4516">
        <w:rPr>
          <w:rFonts w:asciiTheme="majorHAnsi" w:hAnsiTheme="majorHAnsi" w:cstheme="majorHAnsi"/>
          <w:noProof/>
          <w:lang w:val="en-US"/>
        </w:rPr>
        <w:t>din totalul administratorilor.</w:t>
      </w:r>
    </w:p>
    <w:p w14:paraId="079655A3" w14:textId="77777777" w:rsidR="0040167B" w:rsidRPr="002E4516" w:rsidRDefault="0040167B" w:rsidP="0040167B">
      <w:pPr>
        <w:spacing w:before="0" w:after="0"/>
        <w:jc w:val="both"/>
        <w:rPr>
          <w:rFonts w:asciiTheme="majorHAnsi" w:hAnsiTheme="majorHAnsi" w:cstheme="majorHAnsi"/>
          <w:noProof/>
          <w:lang w:val="en-US"/>
        </w:rPr>
      </w:pPr>
      <w:r w:rsidRPr="002E4516">
        <w:rPr>
          <w:rFonts w:asciiTheme="majorHAnsi" w:hAnsiTheme="majorHAnsi" w:cstheme="majorHAnsi"/>
          <w:noProof/>
        </w:rPr>
        <w:t xml:space="preserve">Ca urmare a analizei informațiilor desprinse din centralizarea formularelor transmise de către APTL, </w:t>
      </w:r>
      <w:r w:rsidRPr="002E4516">
        <w:rPr>
          <w:rFonts w:asciiTheme="majorHAnsi" w:hAnsiTheme="majorHAnsi" w:cstheme="majorHAnsi"/>
          <w:b/>
          <w:noProof/>
        </w:rPr>
        <w:t xml:space="preserve">privind structura directorilor/directoratului </w:t>
      </w:r>
      <w:r w:rsidRPr="002E4516">
        <w:rPr>
          <w:rFonts w:asciiTheme="majorHAnsi" w:hAnsiTheme="majorHAnsi" w:cstheme="majorHAnsi"/>
          <w:noProof/>
        </w:rPr>
        <w:t>la cele 479 ÎPL pentru care au fost îndeplinite obligațiile de raportare, se desprind următoarele concluzii</w:t>
      </w:r>
      <w:r w:rsidRPr="002E4516">
        <w:rPr>
          <w:rFonts w:asciiTheme="majorHAnsi" w:hAnsiTheme="majorHAnsi" w:cstheme="majorHAnsi"/>
          <w:noProof/>
          <w:lang w:val="en-US"/>
        </w:rPr>
        <w:t>:</w:t>
      </w:r>
    </w:p>
    <w:p w14:paraId="2D5FF002" w14:textId="77777777" w:rsidR="0040167B" w:rsidRPr="002E4516" w:rsidRDefault="0040167B" w:rsidP="00F17378">
      <w:pPr>
        <w:numPr>
          <w:ilvl w:val="0"/>
          <w:numId w:val="45"/>
        </w:numPr>
        <w:spacing w:before="0" w:after="0"/>
        <w:ind w:left="284" w:hanging="284"/>
        <w:jc w:val="both"/>
        <w:rPr>
          <w:rFonts w:asciiTheme="majorHAnsi" w:hAnsiTheme="majorHAnsi" w:cstheme="majorHAnsi"/>
        </w:rPr>
      </w:pPr>
      <w:r w:rsidRPr="002E4516">
        <w:rPr>
          <w:rFonts w:asciiTheme="majorHAnsi" w:hAnsiTheme="majorHAnsi" w:cstheme="majorHAnsi"/>
          <w:b/>
        </w:rPr>
        <w:t>din totalul de 550 posturi de director ocupate:</w:t>
      </w:r>
    </w:p>
    <w:p w14:paraId="5487537E" w14:textId="77777777" w:rsidR="0040167B" w:rsidRPr="002E4516" w:rsidRDefault="0040167B" w:rsidP="00F17378">
      <w:pPr>
        <w:pStyle w:val="ListParagraph"/>
        <w:numPr>
          <w:ilvl w:val="0"/>
          <w:numId w:val="50"/>
        </w:numPr>
        <w:spacing w:before="0" w:after="0"/>
        <w:jc w:val="both"/>
        <w:rPr>
          <w:rFonts w:asciiTheme="majorHAnsi" w:hAnsiTheme="majorHAnsi" w:cstheme="majorHAnsi"/>
        </w:rPr>
      </w:pPr>
      <w:r w:rsidRPr="002E4516">
        <w:rPr>
          <w:rFonts w:asciiTheme="majorHAnsi" w:hAnsiTheme="majorHAnsi" w:cstheme="majorHAnsi"/>
        </w:rPr>
        <w:t>un număr de</w:t>
      </w:r>
      <w:r w:rsidRPr="002E4516">
        <w:rPr>
          <w:rFonts w:asciiTheme="majorHAnsi" w:hAnsiTheme="majorHAnsi" w:cstheme="majorHAnsi"/>
          <w:b/>
        </w:rPr>
        <w:t xml:space="preserve"> 449 </w:t>
      </w:r>
      <w:r w:rsidRPr="002E4516">
        <w:rPr>
          <w:rFonts w:asciiTheme="majorHAnsi" w:hAnsiTheme="majorHAnsi" w:cstheme="majorHAnsi"/>
        </w:rPr>
        <w:t xml:space="preserve">posturi sunt ocupate de directori numiți </w:t>
      </w:r>
      <w:r w:rsidRPr="002E4516">
        <w:rPr>
          <w:rFonts w:asciiTheme="majorHAnsi" w:hAnsiTheme="majorHAnsi" w:cstheme="majorHAnsi"/>
          <w:b/>
        </w:rPr>
        <w:t>definitiv</w:t>
      </w:r>
      <w:r w:rsidRPr="002E4516">
        <w:rPr>
          <w:rFonts w:asciiTheme="majorHAnsi" w:hAnsiTheme="majorHAnsi" w:cstheme="majorHAnsi"/>
        </w:rPr>
        <w:t xml:space="preserve"> din care:</w:t>
      </w:r>
    </w:p>
    <w:p w14:paraId="669AEFA6" w14:textId="77777777" w:rsidR="0040167B" w:rsidRPr="002E4516" w:rsidRDefault="0040167B" w:rsidP="00F17378">
      <w:pPr>
        <w:pStyle w:val="ListParagraph"/>
        <w:numPr>
          <w:ilvl w:val="0"/>
          <w:numId w:val="49"/>
        </w:numPr>
        <w:spacing w:before="0" w:after="0"/>
        <w:jc w:val="both"/>
        <w:rPr>
          <w:rFonts w:asciiTheme="majorHAnsi" w:hAnsiTheme="majorHAnsi" w:cstheme="majorHAnsi"/>
        </w:rPr>
      </w:pPr>
      <w:r w:rsidRPr="002E4516">
        <w:rPr>
          <w:rFonts w:asciiTheme="majorHAnsi" w:hAnsiTheme="majorHAnsi" w:cstheme="majorHAnsi"/>
          <w:b/>
          <w:bCs/>
        </w:rPr>
        <w:t xml:space="preserve">379 </w:t>
      </w:r>
      <w:r w:rsidRPr="002E4516">
        <w:rPr>
          <w:rFonts w:asciiTheme="majorHAnsi" w:hAnsiTheme="majorHAnsi" w:cstheme="majorHAnsi"/>
        </w:rPr>
        <w:t xml:space="preserve">au fost numiți </w:t>
      </w:r>
      <w:r w:rsidRPr="002E4516">
        <w:rPr>
          <w:rFonts w:asciiTheme="majorHAnsi" w:hAnsiTheme="majorHAnsi" w:cstheme="majorHAnsi"/>
          <w:b/>
          <w:bCs/>
        </w:rPr>
        <w:t>conform prevederilor O.U.G. nr. 109/2011</w:t>
      </w:r>
      <w:r w:rsidRPr="002E4516">
        <w:rPr>
          <w:rFonts w:asciiTheme="majorHAnsi" w:hAnsiTheme="majorHAnsi" w:cstheme="majorHAnsi"/>
        </w:rPr>
        <w:t xml:space="preserve"> ;</w:t>
      </w:r>
    </w:p>
    <w:p w14:paraId="60E89C34" w14:textId="77777777" w:rsidR="0040167B" w:rsidRPr="002E4516" w:rsidRDefault="0040167B" w:rsidP="00F17378">
      <w:pPr>
        <w:pStyle w:val="ListParagraph"/>
        <w:numPr>
          <w:ilvl w:val="0"/>
          <w:numId w:val="50"/>
        </w:numPr>
        <w:spacing w:before="0" w:after="0"/>
        <w:jc w:val="both"/>
        <w:rPr>
          <w:rFonts w:asciiTheme="majorHAnsi" w:hAnsiTheme="majorHAnsi" w:cstheme="majorHAnsi"/>
        </w:rPr>
      </w:pPr>
      <w:r w:rsidRPr="002E4516">
        <w:rPr>
          <w:rFonts w:asciiTheme="majorHAnsi" w:hAnsiTheme="majorHAnsi" w:cstheme="majorHAnsi"/>
          <w:b/>
          <w:bCs/>
        </w:rPr>
        <w:t>101</w:t>
      </w:r>
      <w:r w:rsidRPr="002E4516">
        <w:rPr>
          <w:rFonts w:asciiTheme="majorHAnsi" w:hAnsiTheme="majorHAnsi" w:cstheme="majorHAnsi"/>
        </w:rPr>
        <w:t xml:space="preserve"> de posturi sunt ocupate de directori numiți </w:t>
      </w:r>
      <w:r w:rsidRPr="002E4516">
        <w:rPr>
          <w:rFonts w:asciiTheme="majorHAnsi" w:hAnsiTheme="majorHAnsi" w:cstheme="majorHAnsi"/>
          <w:b/>
        </w:rPr>
        <w:t>provizoriu</w:t>
      </w:r>
      <w:r w:rsidRPr="002E4516">
        <w:rPr>
          <w:rFonts w:asciiTheme="majorHAnsi" w:hAnsiTheme="majorHAnsi" w:cstheme="majorHAnsi"/>
        </w:rPr>
        <w:t>;</w:t>
      </w:r>
    </w:p>
    <w:p w14:paraId="56BD5C1E" w14:textId="77777777" w:rsidR="0040167B" w:rsidRPr="002E4516" w:rsidRDefault="0040167B" w:rsidP="0040167B">
      <w:pPr>
        <w:spacing w:before="0" w:after="0"/>
        <w:ind w:left="284"/>
        <w:jc w:val="both"/>
        <w:rPr>
          <w:rFonts w:asciiTheme="majorHAnsi" w:hAnsiTheme="majorHAnsi" w:cstheme="majorHAnsi"/>
        </w:rPr>
      </w:pPr>
      <w:r w:rsidRPr="002E4516">
        <w:rPr>
          <w:rFonts w:asciiTheme="majorHAnsi" w:hAnsiTheme="majorHAnsi" w:cstheme="majorHAnsi"/>
        </w:rPr>
        <w:t>Faţă de anul 2019, se remarcă o scadere a numărului directorilor numiţi conform prevederilor O.U.G. nr. 109/2011 cu un procent de 10%.</w:t>
      </w:r>
    </w:p>
    <w:p w14:paraId="3983D3F3" w14:textId="77777777" w:rsidR="0040167B" w:rsidRPr="002E4516" w:rsidRDefault="0040167B" w:rsidP="00F17378">
      <w:pPr>
        <w:numPr>
          <w:ilvl w:val="0"/>
          <w:numId w:val="45"/>
        </w:numPr>
        <w:spacing w:before="0" w:after="0"/>
        <w:ind w:left="284"/>
        <w:jc w:val="both"/>
        <w:rPr>
          <w:rFonts w:asciiTheme="majorHAnsi" w:hAnsiTheme="majorHAnsi" w:cstheme="majorHAnsi"/>
        </w:rPr>
      </w:pPr>
      <w:r w:rsidRPr="002E4516">
        <w:rPr>
          <w:rFonts w:asciiTheme="majorHAnsi" w:hAnsiTheme="majorHAnsi" w:cstheme="majorHAnsi"/>
        </w:rPr>
        <w:t xml:space="preserve">din totalul de 550  posturi de director ocupate, un număr de </w:t>
      </w:r>
      <w:r w:rsidRPr="002E4516">
        <w:rPr>
          <w:rFonts w:asciiTheme="majorHAnsi" w:hAnsiTheme="majorHAnsi" w:cstheme="majorHAnsi"/>
          <w:b/>
          <w:noProof/>
        </w:rPr>
        <w:t>126</w:t>
      </w:r>
      <w:r w:rsidRPr="002E4516">
        <w:rPr>
          <w:rFonts w:asciiTheme="majorHAnsi" w:hAnsiTheme="majorHAnsi" w:cstheme="majorHAnsi"/>
          <w:b/>
          <w:noProof/>
          <w:lang w:val="en-US"/>
        </w:rPr>
        <w:t xml:space="preserve"> </w:t>
      </w:r>
      <w:r w:rsidRPr="002E4516">
        <w:rPr>
          <w:rFonts w:asciiTheme="majorHAnsi" w:hAnsiTheme="majorHAnsi" w:cstheme="majorHAnsi"/>
          <w:noProof/>
          <w:lang w:val="en-US"/>
        </w:rPr>
        <w:t>posturi de director sunt ocupate de persoane</w:t>
      </w:r>
      <w:r w:rsidRPr="002E4516">
        <w:rPr>
          <w:rFonts w:asciiTheme="majorHAnsi" w:hAnsiTheme="majorHAnsi" w:cstheme="majorHAnsi"/>
          <w:b/>
          <w:noProof/>
          <w:lang w:val="en-US"/>
        </w:rPr>
        <w:t xml:space="preserve"> de gen feminin </w:t>
      </w:r>
      <w:r w:rsidRPr="002E4516">
        <w:rPr>
          <w:rFonts w:asciiTheme="majorHAnsi" w:hAnsiTheme="majorHAnsi" w:cstheme="majorHAnsi"/>
          <w:noProof/>
          <w:lang w:val="en-US"/>
        </w:rPr>
        <w:t>reprezent</w:t>
      </w:r>
      <w:r w:rsidRPr="002E4516">
        <w:rPr>
          <w:rFonts w:asciiTheme="majorHAnsi" w:hAnsiTheme="majorHAnsi" w:cstheme="majorHAnsi"/>
          <w:noProof/>
        </w:rPr>
        <w:t>ând o pondere de</w:t>
      </w:r>
      <w:r w:rsidRPr="002E4516">
        <w:rPr>
          <w:rFonts w:asciiTheme="majorHAnsi" w:hAnsiTheme="majorHAnsi" w:cstheme="majorHAnsi"/>
          <w:noProof/>
          <w:lang w:val="en-US"/>
        </w:rPr>
        <w:t xml:space="preserve"> 23% din totalul directorilor</w:t>
      </w:r>
      <w:r w:rsidRPr="002E4516">
        <w:rPr>
          <w:rFonts w:asciiTheme="majorHAnsi" w:hAnsiTheme="majorHAnsi" w:cstheme="majorHAnsi"/>
          <w:b/>
          <w:noProof/>
          <w:lang w:val="en-US"/>
        </w:rPr>
        <w:t>.</w:t>
      </w:r>
    </w:p>
    <w:p w14:paraId="1166DE15" w14:textId="77777777" w:rsidR="0040167B" w:rsidRPr="002E4516" w:rsidRDefault="0040167B" w:rsidP="0040167B">
      <w:pPr>
        <w:spacing w:before="0" w:after="0"/>
        <w:jc w:val="both"/>
        <w:rPr>
          <w:rFonts w:asciiTheme="majorHAnsi" w:hAnsiTheme="majorHAnsi" w:cstheme="majorHAnsi"/>
        </w:rPr>
      </w:pPr>
    </w:p>
    <w:p w14:paraId="32628613" w14:textId="77777777" w:rsidR="0040167B" w:rsidRPr="002E4516" w:rsidRDefault="0040167B" w:rsidP="0040167B">
      <w:pPr>
        <w:pStyle w:val="ListParagraph"/>
        <w:ind w:left="0"/>
        <w:jc w:val="both"/>
        <w:outlineLvl w:val="2"/>
        <w:rPr>
          <w:rFonts w:asciiTheme="majorHAnsi" w:hAnsiTheme="majorHAnsi" w:cstheme="majorHAnsi"/>
          <w:b/>
          <w:bCs/>
          <w:color w:val="0F6FC6" w:themeColor="accent1"/>
          <w:sz w:val="28"/>
          <w:szCs w:val="28"/>
        </w:rPr>
      </w:pPr>
      <w:bookmarkStart w:id="144" w:name="_Toc16518191"/>
      <w:bookmarkStart w:id="145" w:name="_Toc59451811"/>
      <w:bookmarkStart w:id="146" w:name="_Toc87875976"/>
      <w:r w:rsidRPr="002E4516">
        <w:rPr>
          <w:rFonts w:asciiTheme="majorHAnsi" w:hAnsiTheme="majorHAnsi" w:cstheme="majorHAnsi"/>
          <w:b/>
          <w:bCs/>
          <w:color w:val="0F6FC6" w:themeColor="accent1"/>
          <w:sz w:val="28"/>
          <w:szCs w:val="28"/>
        </w:rPr>
        <w:t xml:space="preserve">4.5 – Evoluția aplicării prevederilor și principiilor de transparență la </w:t>
      </w:r>
      <w:bookmarkEnd w:id="141"/>
      <w:bookmarkEnd w:id="142"/>
      <w:bookmarkEnd w:id="143"/>
      <w:r w:rsidRPr="002E4516">
        <w:rPr>
          <w:rFonts w:asciiTheme="majorHAnsi" w:hAnsiTheme="majorHAnsi" w:cstheme="majorHAnsi"/>
          <w:b/>
          <w:bCs/>
          <w:color w:val="0F6FC6" w:themeColor="accent1"/>
          <w:sz w:val="28"/>
          <w:szCs w:val="28"/>
        </w:rPr>
        <w:t>întreprinderile publice locale</w:t>
      </w:r>
      <w:bookmarkEnd w:id="144"/>
      <w:bookmarkEnd w:id="145"/>
      <w:bookmarkEnd w:id="146"/>
    </w:p>
    <w:p w14:paraId="08BE5475" w14:textId="77777777" w:rsidR="0040167B" w:rsidRPr="002E4516" w:rsidRDefault="0040167B" w:rsidP="0040167B">
      <w:pPr>
        <w:pStyle w:val="ListParagraph"/>
        <w:ind w:left="0"/>
        <w:jc w:val="both"/>
        <w:rPr>
          <w:rFonts w:asciiTheme="majorHAnsi" w:hAnsiTheme="majorHAnsi" w:cstheme="majorHAnsi"/>
          <w:bCs/>
          <w:szCs w:val="28"/>
        </w:rPr>
      </w:pPr>
    </w:p>
    <w:p w14:paraId="08BABFE9" w14:textId="3BAA1E75" w:rsidR="0040167B" w:rsidRPr="002E4516" w:rsidRDefault="0040167B" w:rsidP="0040167B">
      <w:pPr>
        <w:pStyle w:val="ListParagraph"/>
        <w:ind w:left="0"/>
        <w:jc w:val="both"/>
        <w:rPr>
          <w:rFonts w:asciiTheme="majorHAnsi" w:hAnsiTheme="majorHAnsi" w:cstheme="majorHAnsi"/>
          <w:bCs/>
          <w:szCs w:val="28"/>
        </w:rPr>
      </w:pPr>
      <w:r w:rsidRPr="002E4516">
        <w:rPr>
          <w:rFonts w:asciiTheme="majorHAnsi" w:hAnsiTheme="majorHAnsi" w:cstheme="majorHAnsi"/>
          <w:bCs/>
          <w:szCs w:val="28"/>
        </w:rPr>
        <w:t xml:space="preserve">În conformitate cu prevederile Capitolului V – Transparență. Obligații de raportare- din O.U.G. nr. 109/2011, </w:t>
      </w:r>
      <w:r w:rsidRPr="002E4516">
        <w:rPr>
          <w:rFonts w:asciiTheme="majorHAnsi" w:hAnsiTheme="majorHAnsi" w:cstheme="majorHAnsi"/>
          <w:b/>
          <w:bCs/>
          <w:szCs w:val="28"/>
        </w:rPr>
        <w:t>ÎPL</w:t>
      </w:r>
      <w:r w:rsidRPr="002E4516">
        <w:rPr>
          <w:rFonts w:asciiTheme="majorHAnsi" w:hAnsiTheme="majorHAnsi" w:cstheme="majorHAnsi"/>
          <w:bCs/>
          <w:szCs w:val="28"/>
        </w:rPr>
        <w:t xml:space="preserve">, prin grija consiliului de administrație sau, după caz, a directorilor, </w:t>
      </w:r>
      <w:r w:rsidRPr="002E4516">
        <w:rPr>
          <w:rFonts w:asciiTheme="majorHAnsi" w:hAnsiTheme="majorHAnsi" w:cstheme="majorHAnsi"/>
          <w:b/>
          <w:bCs/>
          <w:szCs w:val="28"/>
        </w:rPr>
        <w:t>trebuie să publice pe pagina proprie de internet următoarele documente și informații:</w:t>
      </w:r>
      <w:r w:rsidRPr="002E4516">
        <w:rPr>
          <w:rFonts w:asciiTheme="majorHAnsi" w:hAnsiTheme="majorHAnsi" w:cstheme="majorHAnsi"/>
          <w:bCs/>
          <w:szCs w:val="28"/>
        </w:rPr>
        <w:t xml:space="preserve"> componența organelor de conducere și CV-urile acestora, raportările contabile semestriale, raportul anual al CA/CS și anexa privind remunerațiile acordate, Codul de Etică, </w:t>
      </w:r>
      <w:r w:rsidR="00F20AC6">
        <w:rPr>
          <w:rFonts w:asciiTheme="majorHAnsi" w:hAnsiTheme="majorHAnsi" w:cstheme="majorHAnsi"/>
          <w:bCs/>
          <w:szCs w:val="28"/>
        </w:rPr>
        <w:t>h</w:t>
      </w:r>
      <w:r w:rsidRPr="002E4516">
        <w:rPr>
          <w:rFonts w:asciiTheme="majorHAnsi" w:hAnsiTheme="majorHAnsi" w:cstheme="majorHAnsi"/>
          <w:bCs/>
          <w:szCs w:val="28"/>
        </w:rPr>
        <w:t>otărârile AGA, situațiile financiare anuale și raportul de audit anual.</w:t>
      </w:r>
    </w:p>
    <w:p w14:paraId="45302E0F" w14:textId="77777777" w:rsidR="0040167B" w:rsidRPr="002E4516" w:rsidRDefault="0040167B" w:rsidP="0040167B">
      <w:pPr>
        <w:pStyle w:val="ListParagraph"/>
        <w:ind w:left="0"/>
        <w:jc w:val="both"/>
        <w:rPr>
          <w:rFonts w:asciiTheme="majorHAnsi" w:hAnsiTheme="majorHAnsi" w:cstheme="majorHAnsi"/>
          <w:bCs/>
          <w:szCs w:val="28"/>
        </w:rPr>
      </w:pPr>
      <w:r w:rsidRPr="002E4516">
        <w:rPr>
          <w:rFonts w:asciiTheme="majorHAnsi" w:hAnsiTheme="majorHAnsi" w:cstheme="majorHAnsi"/>
          <w:bCs/>
          <w:szCs w:val="28"/>
        </w:rPr>
        <w:t>Situația privind aplicarea prevederilor și principiilor de transparență, la cele  479 ÎPL pentru care APTL și-au îndeplinit obligațiile de raportare se prezintă după cum urmează:</w:t>
      </w:r>
    </w:p>
    <w:p w14:paraId="066FC179" w14:textId="77777777" w:rsidR="0040167B" w:rsidRPr="002E4516" w:rsidRDefault="0040167B" w:rsidP="0040167B">
      <w:pPr>
        <w:spacing w:before="0" w:after="0" w:line="240" w:lineRule="auto"/>
        <w:ind w:left="-108"/>
        <w:jc w:val="both"/>
        <w:rPr>
          <w:rFonts w:asciiTheme="majorHAnsi" w:eastAsia="Times New Roman" w:hAnsiTheme="majorHAnsi" w:cstheme="majorHAnsi"/>
          <w:color w:val="0F6FC6" w:themeColor="accent1"/>
          <w:lang w:eastAsia="ro-RO"/>
        </w:rPr>
      </w:pPr>
      <w:r w:rsidRPr="002E4516">
        <w:rPr>
          <w:rFonts w:asciiTheme="majorHAnsi" w:eastAsia="Times New Roman" w:hAnsiTheme="majorHAnsi" w:cstheme="majorHAnsi"/>
          <w:color w:val="0F6FC6" w:themeColor="accent1"/>
          <w:lang w:eastAsia="ro-RO"/>
        </w:rPr>
        <w:t>Situația îndeplinirii obligațiilor de transparență conform prevederilor O.U.G. nr. 109/2011 la nivelul ÎPL</w:t>
      </w:r>
    </w:p>
    <w:tbl>
      <w:tblPr>
        <w:tblW w:w="9743" w:type="dxa"/>
        <w:tblInd w:w="-5" w:type="dxa"/>
        <w:tblLayout w:type="fixed"/>
        <w:tblLook w:val="04A0" w:firstRow="1" w:lastRow="0" w:firstColumn="1" w:lastColumn="0" w:noHBand="0" w:noVBand="1"/>
      </w:tblPr>
      <w:tblGrid>
        <w:gridCol w:w="7301"/>
        <w:gridCol w:w="236"/>
        <w:gridCol w:w="492"/>
        <w:gridCol w:w="236"/>
        <w:gridCol w:w="621"/>
        <w:gridCol w:w="621"/>
        <w:gridCol w:w="236"/>
      </w:tblGrid>
      <w:tr w:rsidR="0040167B" w:rsidRPr="002E4516" w14:paraId="663CAFD1" w14:textId="77777777" w:rsidTr="00B06C32">
        <w:trPr>
          <w:gridAfter w:val="1"/>
          <w:wAfter w:w="236" w:type="dxa"/>
          <w:trHeight w:val="197"/>
        </w:trPr>
        <w:tc>
          <w:tcPr>
            <w:tcW w:w="7301" w:type="dxa"/>
            <w:tcBorders>
              <w:top w:val="single" w:sz="4" w:space="0" w:color="9BC2E6"/>
              <w:left w:val="single" w:sz="4" w:space="0" w:color="FFFFFF"/>
              <w:bottom w:val="single" w:sz="4" w:space="0" w:color="9BC2E6"/>
              <w:right w:val="single" w:sz="4" w:space="0" w:color="FFFFFF"/>
            </w:tcBorders>
            <w:shd w:val="clear" w:color="auto" w:fill="FFFFFF"/>
            <w:noWrap/>
            <w:hideMark/>
          </w:tcPr>
          <w:p w14:paraId="085DF79B"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Anul</w:t>
            </w:r>
          </w:p>
        </w:tc>
        <w:tc>
          <w:tcPr>
            <w:tcW w:w="236" w:type="dxa"/>
            <w:tcBorders>
              <w:top w:val="single" w:sz="4" w:space="0" w:color="9BC2E6"/>
              <w:left w:val="nil"/>
              <w:bottom w:val="single" w:sz="4" w:space="0" w:color="9BC2E6"/>
              <w:right w:val="single" w:sz="4" w:space="0" w:color="FFFFFF"/>
            </w:tcBorders>
            <w:noWrap/>
          </w:tcPr>
          <w:p w14:paraId="17F0B51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single" w:sz="4" w:space="0" w:color="9BC2E6"/>
              <w:left w:val="nil"/>
              <w:bottom w:val="single" w:sz="4" w:space="0" w:color="9BC2E6"/>
              <w:right w:val="single" w:sz="4" w:space="0" w:color="FFFFFF"/>
            </w:tcBorders>
            <w:hideMark/>
          </w:tcPr>
          <w:p w14:paraId="085F637C"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2018</w:t>
            </w:r>
          </w:p>
        </w:tc>
        <w:tc>
          <w:tcPr>
            <w:tcW w:w="236" w:type="dxa"/>
            <w:tcBorders>
              <w:top w:val="single" w:sz="4" w:space="0" w:color="9BC2E6"/>
              <w:left w:val="nil"/>
              <w:bottom w:val="single" w:sz="4" w:space="0" w:color="9BC2E6"/>
              <w:right w:val="single" w:sz="4" w:space="0" w:color="FFFFFF"/>
            </w:tcBorders>
          </w:tcPr>
          <w:p w14:paraId="4E784DC2"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single" w:sz="4" w:space="0" w:color="9BC2E6"/>
              <w:left w:val="nil"/>
              <w:bottom w:val="single" w:sz="4" w:space="0" w:color="9BC2E6"/>
              <w:right w:val="single" w:sz="4" w:space="0" w:color="FFFFFF"/>
            </w:tcBorders>
          </w:tcPr>
          <w:p w14:paraId="784BF0C7"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2019</w:t>
            </w:r>
          </w:p>
        </w:tc>
        <w:tc>
          <w:tcPr>
            <w:tcW w:w="621" w:type="dxa"/>
            <w:tcBorders>
              <w:top w:val="single" w:sz="4" w:space="0" w:color="9BC2E6"/>
              <w:left w:val="nil"/>
              <w:bottom w:val="single" w:sz="4" w:space="0" w:color="9BC2E6"/>
              <w:right w:val="single" w:sz="4" w:space="0" w:color="FFFFFF"/>
            </w:tcBorders>
          </w:tcPr>
          <w:p w14:paraId="1460F25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2020</w:t>
            </w:r>
          </w:p>
        </w:tc>
      </w:tr>
      <w:tr w:rsidR="0040167B" w:rsidRPr="002E4516" w14:paraId="539553CC" w14:textId="77777777" w:rsidTr="00B06C32">
        <w:trPr>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4131CD14" w14:textId="77777777" w:rsidR="0040167B" w:rsidRPr="002E4516" w:rsidRDefault="0040167B" w:rsidP="00B06C32">
            <w:pPr>
              <w:spacing w:before="0" w:after="0" w:line="240" w:lineRule="auto"/>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U.M.</w:t>
            </w:r>
          </w:p>
        </w:tc>
        <w:tc>
          <w:tcPr>
            <w:tcW w:w="236" w:type="dxa"/>
            <w:tcBorders>
              <w:top w:val="nil"/>
              <w:left w:val="nil"/>
              <w:bottom w:val="single" w:sz="4" w:space="0" w:color="9BC2E6"/>
              <w:right w:val="single" w:sz="4" w:space="0" w:color="FFFFFF"/>
            </w:tcBorders>
            <w:noWrap/>
          </w:tcPr>
          <w:p w14:paraId="2E953E2D"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c>
          <w:tcPr>
            <w:tcW w:w="492" w:type="dxa"/>
            <w:tcBorders>
              <w:top w:val="nil"/>
              <w:left w:val="nil"/>
              <w:bottom w:val="single" w:sz="4" w:space="0" w:color="9BC2E6"/>
              <w:right w:val="single" w:sz="4" w:space="0" w:color="FFFFFF"/>
            </w:tcBorders>
          </w:tcPr>
          <w:p w14:paraId="2E7F09E2" w14:textId="77777777" w:rsidR="0040167B" w:rsidRPr="002E4516" w:rsidRDefault="0040167B" w:rsidP="00B06C32">
            <w:pPr>
              <w:spacing w:before="0" w:after="0" w:line="240" w:lineRule="auto"/>
              <w:ind w:right="-66"/>
              <w:jc w:val="right"/>
              <w:rPr>
                <w:rFonts w:asciiTheme="majorHAnsi" w:eastAsia="Times New Roman" w:hAnsiTheme="majorHAnsi" w:cstheme="majorHAnsi"/>
                <w:i/>
                <w:iCs/>
                <w:color w:val="0F6FC6" w:themeColor="accent1"/>
                <w:sz w:val="14"/>
                <w:szCs w:val="14"/>
                <w:lang w:eastAsia="ro-RO"/>
              </w:rPr>
            </w:pPr>
          </w:p>
        </w:tc>
        <w:tc>
          <w:tcPr>
            <w:tcW w:w="236" w:type="dxa"/>
            <w:tcBorders>
              <w:top w:val="nil"/>
              <w:left w:val="nil"/>
              <w:bottom w:val="single" w:sz="4" w:space="0" w:color="9BC2E6"/>
              <w:right w:val="single" w:sz="4" w:space="0" w:color="FFFFFF"/>
            </w:tcBorders>
          </w:tcPr>
          <w:p w14:paraId="5AAAEC28"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c>
          <w:tcPr>
            <w:tcW w:w="621" w:type="dxa"/>
            <w:tcBorders>
              <w:top w:val="nil"/>
              <w:left w:val="nil"/>
              <w:bottom w:val="single" w:sz="4" w:space="0" w:color="9BC2E6"/>
              <w:right w:val="single" w:sz="4" w:space="0" w:color="FFFFFF"/>
            </w:tcBorders>
          </w:tcPr>
          <w:p w14:paraId="6A329830" w14:textId="77777777" w:rsidR="0040167B" w:rsidRPr="002E4516" w:rsidRDefault="0040167B" w:rsidP="00B06C32">
            <w:pPr>
              <w:spacing w:before="0" w:after="0" w:line="240" w:lineRule="auto"/>
              <w:ind w:right="-66"/>
              <w:jc w:val="right"/>
              <w:rPr>
                <w:rFonts w:asciiTheme="majorHAnsi" w:eastAsia="Times New Roman" w:hAnsiTheme="majorHAnsi" w:cstheme="majorHAnsi"/>
                <w:i/>
                <w:iCs/>
                <w:color w:val="0F6FC6" w:themeColor="accent1"/>
                <w:sz w:val="14"/>
                <w:szCs w:val="14"/>
                <w:lang w:eastAsia="ro-RO"/>
              </w:rPr>
            </w:pPr>
            <w:r w:rsidRPr="002E4516">
              <w:rPr>
                <w:rFonts w:asciiTheme="majorHAnsi" w:eastAsia="Times New Roman" w:hAnsiTheme="majorHAnsi" w:cstheme="majorHAnsi"/>
                <w:i/>
                <w:iCs/>
                <w:color w:val="0F6FC6" w:themeColor="accent1"/>
                <w:sz w:val="14"/>
                <w:szCs w:val="14"/>
                <w:lang w:eastAsia="ro-RO"/>
              </w:rPr>
              <w:t>nr. ÎPL</w:t>
            </w:r>
          </w:p>
        </w:tc>
        <w:tc>
          <w:tcPr>
            <w:tcW w:w="621" w:type="dxa"/>
          </w:tcPr>
          <w:p w14:paraId="32056B97"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c>
          <w:tcPr>
            <w:tcW w:w="236" w:type="dxa"/>
          </w:tcPr>
          <w:p w14:paraId="14FD46E4"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4"/>
                <w:szCs w:val="14"/>
                <w:lang w:eastAsia="ro-RO"/>
              </w:rPr>
            </w:pPr>
          </w:p>
        </w:tc>
      </w:tr>
      <w:tr w:rsidR="0040167B" w:rsidRPr="002E4516" w14:paraId="2D217802" w14:textId="77777777" w:rsidTr="00B06C32">
        <w:trPr>
          <w:gridAfter w:val="1"/>
          <w:wAfter w:w="236" w:type="dxa"/>
          <w:trHeight w:val="22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22BC9114" w14:textId="77777777" w:rsidR="0040167B" w:rsidRPr="002E4516" w:rsidRDefault="0040167B" w:rsidP="00B06C32">
            <w:pPr>
              <w:spacing w:before="0" w:after="0" w:line="240" w:lineRule="auto"/>
              <w:rPr>
                <w:rFonts w:asciiTheme="majorHAnsi" w:eastAsia="Times New Roman" w:hAnsiTheme="majorHAnsi" w:cstheme="majorHAnsi"/>
                <w:b/>
                <w:bCs/>
                <w:color w:val="0F6FC6" w:themeColor="accent1"/>
                <w:sz w:val="16"/>
                <w:szCs w:val="16"/>
                <w:lang w:eastAsia="ro-RO"/>
              </w:rPr>
            </w:pPr>
            <w:r w:rsidRPr="002E4516">
              <w:rPr>
                <w:rFonts w:asciiTheme="majorHAnsi" w:eastAsia="Times New Roman" w:hAnsiTheme="majorHAnsi" w:cstheme="majorHAnsi"/>
                <w:b/>
                <w:bCs/>
                <w:color w:val="0F6FC6" w:themeColor="accent1"/>
                <w:sz w:val="16"/>
                <w:szCs w:val="16"/>
                <w:lang w:eastAsia="ro-RO"/>
              </w:rPr>
              <w:t>Număr total ÎPL obligate la aplicarea prevederilor OUG nr. 109/2011 care au transmis informații, din care:</w:t>
            </w:r>
          </w:p>
        </w:tc>
        <w:tc>
          <w:tcPr>
            <w:tcW w:w="236" w:type="dxa"/>
            <w:tcBorders>
              <w:top w:val="nil"/>
              <w:left w:val="nil"/>
              <w:bottom w:val="single" w:sz="4" w:space="0" w:color="9BC2E6"/>
              <w:right w:val="single" w:sz="4" w:space="0" w:color="FFFFFF"/>
            </w:tcBorders>
            <w:noWrap/>
          </w:tcPr>
          <w:p w14:paraId="3716692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71CDFD66"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756</w:t>
            </w:r>
          </w:p>
        </w:tc>
        <w:tc>
          <w:tcPr>
            <w:tcW w:w="236" w:type="dxa"/>
            <w:tcBorders>
              <w:top w:val="nil"/>
              <w:left w:val="nil"/>
              <w:bottom w:val="single" w:sz="4" w:space="0" w:color="9BC2E6"/>
              <w:right w:val="single" w:sz="4" w:space="0" w:color="FFFFFF"/>
            </w:tcBorders>
          </w:tcPr>
          <w:p w14:paraId="067F1D48"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559303E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549</w:t>
            </w:r>
          </w:p>
        </w:tc>
        <w:tc>
          <w:tcPr>
            <w:tcW w:w="621" w:type="dxa"/>
            <w:tcBorders>
              <w:top w:val="nil"/>
              <w:left w:val="nil"/>
              <w:bottom w:val="single" w:sz="4" w:space="0" w:color="9BC2E6"/>
              <w:right w:val="single" w:sz="4" w:space="0" w:color="FFFFFF"/>
            </w:tcBorders>
          </w:tcPr>
          <w:p w14:paraId="040ACB2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479</w:t>
            </w:r>
          </w:p>
        </w:tc>
      </w:tr>
      <w:tr w:rsidR="0040167B" w:rsidRPr="002E4516" w14:paraId="1306D809" w14:textId="77777777" w:rsidTr="00B06C32">
        <w:trPr>
          <w:gridAfter w:val="1"/>
          <w:wAfter w:w="236" w:type="dxa"/>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7805A576"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pagină de internet proprie</w:t>
            </w:r>
          </w:p>
        </w:tc>
        <w:tc>
          <w:tcPr>
            <w:tcW w:w="236" w:type="dxa"/>
            <w:tcBorders>
              <w:top w:val="nil"/>
              <w:left w:val="nil"/>
              <w:bottom w:val="single" w:sz="4" w:space="0" w:color="9BC2E6"/>
              <w:right w:val="single" w:sz="4" w:space="0" w:color="FFFFFF"/>
            </w:tcBorders>
            <w:noWrap/>
          </w:tcPr>
          <w:p w14:paraId="0BA99DAD"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0512A86E"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528</w:t>
            </w:r>
          </w:p>
        </w:tc>
        <w:tc>
          <w:tcPr>
            <w:tcW w:w="236" w:type="dxa"/>
            <w:tcBorders>
              <w:top w:val="nil"/>
              <w:left w:val="nil"/>
              <w:bottom w:val="single" w:sz="4" w:space="0" w:color="9BC2E6"/>
              <w:right w:val="single" w:sz="4" w:space="0" w:color="FFFFFF"/>
            </w:tcBorders>
          </w:tcPr>
          <w:p w14:paraId="37D4286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611DCF5A"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446</w:t>
            </w:r>
          </w:p>
        </w:tc>
        <w:tc>
          <w:tcPr>
            <w:tcW w:w="621" w:type="dxa"/>
            <w:tcBorders>
              <w:top w:val="nil"/>
              <w:left w:val="nil"/>
              <w:bottom w:val="single" w:sz="4" w:space="0" w:color="9BC2E6"/>
              <w:right w:val="single" w:sz="4" w:space="0" w:color="FFFFFF"/>
            </w:tcBorders>
          </w:tcPr>
          <w:p w14:paraId="4FA89FCA"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395</w:t>
            </w:r>
          </w:p>
        </w:tc>
      </w:tr>
      <w:tr w:rsidR="0040167B" w:rsidRPr="002E4516" w14:paraId="54C2DF6E" w14:textId="77777777" w:rsidTr="00B06C32">
        <w:trPr>
          <w:gridAfter w:val="1"/>
          <w:wAfter w:w="236" w:type="dxa"/>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089A87F9"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Raportul de audit la situațiile financiare anuale</w:t>
            </w:r>
          </w:p>
        </w:tc>
        <w:tc>
          <w:tcPr>
            <w:tcW w:w="236" w:type="dxa"/>
            <w:tcBorders>
              <w:top w:val="nil"/>
              <w:left w:val="nil"/>
              <w:bottom w:val="single" w:sz="4" w:space="0" w:color="9BC2E6"/>
              <w:right w:val="single" w:sz="4" w:space="0" w:color="FFFFFF"/>
            </w:tcBorders>
            <w:noWrap/>
          </w:tcPr>
          <w:p w14:paraId="2B5EFF8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767C9322"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305</w:t>
            </w:r>
          </w:p>
        </w:tc>
        <w:tc>
          <w:tcPr>
            <w:tcW w:w="236" w:type="dxa"/>
            <w:tcBorders>
              <w:top w:val="nil"/>
              <w:left w:val="nil"/>
              <w:bottom w:val="single" w:sz="4" w:space="0" w:color="9BC2E6"/>
              <w:right w:val="single" w:sz="4" w:space="0" w:color="FFFFFF"/>
            </w:tcBorders>
          </w:tcPr>
          <w:p w14:paraId="2425840D"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4E47B49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349</w:t>
            </w:r>
          </w:p>
        </w:tc>
        <w:tc>
          <w:tcPr>
            <w:tcW w:w="621" w:type="dxa"/>
            <w:tcBorders>
              <w:top w:val="nil"/>
              <w:left w:val="nil"/>
              <w:bottom w:val="single" w:sz="4" w:space="0" w:color="9BC2E6"/>
              <w:right w:val="single" w:sz="4" w:space="0" w:color="FFFFFF"/>
            </w:tcBorders>
          </w:tcPr>
          <w:p w14:paraId="2FE73AAE"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327</w:t>
            </w:r>
          </w:p>
        </w:tc>
      </w:tr>
      <w:tr w:rsidR="0040167B" w:rsidRPr="002E4516" w14:paraId="5A4D0EEC" w14:textId="77777777" w:rsidTr="00B06C32">
        <w:trPr>
          <w:gridAfter w:val="1"/>
          <w:wAfter w:w="236" w:type="dxa"/>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53025DF8"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raportările contabile semestriale</w:t>
            </w:r>
          </w:p>
        </w:tc>
        <w:tc>
          <w:tcPr>
            <w:tcW w:w="236" w:type="dxa"/>
            <w:tcBorders>
              <w:top w:val="nil"/>
              <w:left w:val="nil"/>
              <w:bottom w:val="single" w:sz="4" w:space="0" w:color="9BC2E6"/>
              <w:right w:val="single" w:sz="4" w:space="0" w:color="FFFFFF"/>
            </w:tcBorders>
            <w:noWrap/>
          </w:tcPr>
          <w:p w14:paraId="1CDBD939"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3929294A"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419</w:t>
            </w:r>
          </w:p>
        </w:tc>
        <w:tc>
          <w:tcPr>
            <w:tcW w:w="236" w:type="dxa"/>
            <w:tcBorders>
              <w:top w:val="nil"/>
              <w:left w:val="nil"/>
              <w:bottom w:val="single" w:sz="4" w:space="0" w:color="9BC2E6"/>
              <w:right w:val="single" w:sz="4" w:space="0" w:color="FFFFFF"/>
            </w:tcBorders>
          </w:tcPr>
          <w:p w14:paraId="7B21BD97"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58735585"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372</w:t>
            </w:r>
          </w:p>
        </w:tc>
        <w:tc>
          <w:tcPr>
            <w:tcW w:w="621" w:type="dxa"/>
            <w:tcBorders>
              <w:top w:val="nil"/>
              <w:left w:val="nil"/>
              <w:bottom w:val="single" w:sz="4" w:space="0" w:color="9BC2E6"/>
              <w:right w:val="single" w:sz="4" w:space="0" w:color="FFFFFF"/>
            </w:tcBorders>
          </w:tcPr>
          <w:p w14:paraId="5BA4BF55"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455</w:t>
            </w:r>
          </w:p>
        </w:tc>
      </w:tr>
      <w:tr w:rsidR="0040167B" w:rsidRPr="002E4516" w14:paraId="51A77AAF" w14:textId="77777777" w:rsidTr="00B06C32">
        <w:trPr>
          <w:gridAfter w:val="1"/>
          <w:wAfter w:w="236" w:type="dxa"/>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594254EA"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Raportul administratorilor (CA/CS)</w:t>
            </w:r>
          </w:p>
        </w:tc>
        <w:tc>
          <w:tcPr>
            <w:tcW w:w="236" w:type="dxa"/>
            <w:tcBorders>
              <w:top w:val="nil"/>
              <w:left w:val="nil"/>
              <w:bottom w:val="single" w:sz="4" w:space="0" w:color="9BC2E6"/>
              <w:right w:val="single" w:sz="4" w:space="0" w:color="FFFFFF"/>
            </w:tcBorders>
            <w:noWrap/>
          </w:tcPr>
          <w:p w14:paraId="60C08566"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54CA8593"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384</w:t>
            </w:r>
          </w:p>
        </w:tc>
        <w:tc>
          <w:tcPr>
            <w:tcW w:w="236" w:type="dxa"/>
            <w:tcBorders>
              <w:top w:val="nil"/>
              <w:left w:val="nil"/>
              <w:bottom w:val="single" w:sz="4" w:space="0" w:color="9BC2E6"/>
              <w:right w:val="single" w:sz="4" w:space="0" w:color="FFFFFF"/>
            </w:tcBorders>
          </w:tcPr>
          <w:p w14:paraId="78734B57"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7A1E3ADE"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349</w:t>
            </w:r>
          </w:p>
        </w:tc>
        <w:tc>
          <w:tcPr>
            <w:tcW w:w="621" w:type="dxa"/>
            <w:tcBorders>
              <w:top w:val="nil"/>
              <w:left w:val="nil"/>
              <w:bottom w:val="single" w:sz="4" w:space="0" w:color="9BC2E6"/>
              <w:right w:val="single" w:sz="4" w:space="0" w:color="FFFFFF"/>
            </w:tcBorders>
          </w:tcPr>
          <w:p w14:paraId="74C556F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366</w:t>
            </w:r>
          </w:p>
        </w:tc>
      </w:tr>
      <w:tr w:rsidR="0040167B" w:rsidRPr="002E4516" w14:paraId="6E168C32" w14:textId="77777777" w:rsidTr="00B06C32">
        <w:trPr>
          <w:gridAfter w:val="1"/>
          <w:wAfter w:w="236" w:type="dxa"/>
          <w:trHeight w:val="60"/>
        </w:trPr>
        <w:tc>
          <w:tcPr>
            <w:tcW w:w="7301" w:type="dxa"/>
            <w:tcBorders>
              <w:top w:val="nil"/>
              <w:left w:val="single" w:sz="4" w:space="0" w:color="FFFFFF"/>
              <w:bottom w:val="single" w:sz="4" w:space="0" w:color="9BC2E6"/>
              <w:right w:val="single" w:sz="4" w:space="0" w:color="FFFFFF"/>
            </w:tcBorders>
            <w:shd w:val="clear" w:color="auto" w:fill="FFFFFF"/>
            <w:noWrap/>
            <w:hideMark/>
          </w:tcPr>
          <w:p w14:paraId="211A63C4"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Codul de conduită etică și profesională</w:t>
            </w:r>
          </w:p>
        </w:tc>
        <w:tc>
          <w:tcPr>
            <w:tcW w:w="236" w:type="dxa"/>
            <w:tcBorders>
              <w:top w:val="nil"/>
              <w:left w:val="nil"/>
              <w:bottom w:val="single" w:sz="4" w:space="0" w:color="9BC2E6"/>
              <w:right w:val="single" w:sz="4" w:space="0" w:color="FFFFFF"/>
            </w:tcBorders>
            <w:noWrap/>
          </w:tcPr>
          <w:p w14:paraId="0C722807"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12765582"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394</w:t>
            </w:r>
          </w:p>
        </w:tc>
        <w:tc>
          <w:tcPr>
            <w:tcW w:w="236" w:type="dxa"/>
            <w:tcBorders>
              <w:top w:val="nil"/>
              <w:left w:val="nil"/>
              <w:bottom w:val="single" w:sz="4" w:space="0" w:color="9BC2E6"/>
              <w:right w:val="single" w:sz="4" w:space="0" w:color="FFFFFF"/>
            </w:tcBorders>
          </w:tcPr>
          <w:p w14:paraId="60BB2235"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061C3E1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355</w:t>
            </w:r>
          </w:p>
        </w:tc>
        <w:tc>
          <w:tcPr>
            <w:tcW w:w="621" w:type="dxa"/>
            <w:tcBorders>
              <w:top w:val="nil"/>
              <w:left w:val="nil"/>
              <w:bottom w:val="single" w:sz="4" w:space="0" w:color="9BC2E6"/>
              <w:right w:val="single" w:sz="4" w:space="0" w:color="FFFFFF"/>
            </w:tcBorders>
          </w:tcPr>
          <w:p w14:paraId="0487F03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440</w:t>
            </w:r>
          </w:p>
        </w:tc>
      </w:tr>
      <w:tr w:rsidR="0040167B" w:rsidRPr="002E4516" w14:paraId="5EAC8904" w14:textId="77777777" w:rsidTr="00B06C32">
        <w:trPr>
          <w:gridAfter w:val="1"/>
          <w:wAfter w:w="236" w:type="dxa"/>
          <w:trHeight w:val="218"/>
        </w:trPr>
        <w:tc>
          <w:tcPr>
            <w:tcW w:w="7301" w:type="dxa"/>
            <w:tcBorders>
              <w:top w:val="nil"/>
              <w:left w:val="single" w:sz="4" w:space="0" w:color="FFFFFF"/>
              <w:bottom w:val="single" w:sz="4" w:space="0" w:color="9BC2E6"/>
              <w:right w:val="single" w:sz="4" w:space="0" w:color="FFFFFF"/>
            </w:tcBorders>
            <w:shd w:val="clear" w:color="auto" w:fill="FFFFFF"/>
            <w:noWrap/>
            <w:hideMark/>
          </w:tcPr>
          <w:p w14:paraId="720D58CA"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Lista administratorilor și CV-urile acestora</w:t>
            </w:r>
          </w:p>
        </w:tc>
        <w:tc>
          <w:tcPr>
            <w:tcW w:w="236" w:type="dxa"/>
            <w:tcBorders>
              <w:top w:val="nil"/>
              <w:left w:val="nil"/>
              <w:bottom w:val="single" w:sz="4" w:space="0" w:color="9BC2E6"/>
              <w:right w:val="single" w:sz="4" w:space="0" w:color="FFFFFF"/>
            </w:tcBorders>
            <w:noWrap/>
          </w:tcPr>
          <w:p w14:paraId="05143CB1"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7468F6CA"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424</w:t>
            </w:r>
          </w:p>
        </w:tc>
        <w:tc>
          <w:tcPr>
            <w:tcW w:w="236" w:type="dxa"/>
            <w:tcBorders>
              <w:top w:val="nil"/>
              <w:left w:val="nil"/>
              <w:bottom w:val="single" w:sz="4" w:space="0" w:color="9BC2E6"/>
              <w:right w:val="single" w:sz="4" w:space="0" w:color="FFFFFF"/>
            </w:tcBorders>
          </w:tcPr>
          <w:p w14:paraId="79D08ED4"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5104472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380</w:t>
            </w:r>
          </w:p>
        </w:tc>
        <w:tc>
          <w:tcPr>
            <w:tcW w:w="621" w:type="dxa"/>
            <w:tcBorders>
              <w:top w:val="nil"/>
              <w:left w:val="nil"/>
              <w:bottom w:val="single" w:sz="4" w:space="0" w:color="9BC2E6"/>
              <w:right w:val="single" w:sz="4" w:space="0" w:color="FFFFFF"/>
            </w:tcBorders>
          </w:tcPr>
          <w:p w14:paraId="2C29E7C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457</w:t>
            </w:r>
          </w:p>
        </w:tc>
      </w:tr>
      <w:tr w:rsidR="0040167B" w:rsidRPr="002E4516" w14:paraId="2F12F569" w14:textId="77777777" w:rsidTr="00B06C32">
        <w:trPr>
          <w:gridAfter w:val="1"/>
          <w:wAfter w:w="236" w:type="dxa"/>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1C11373F"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remunerațiile administratorilor și directorilor/directoratului</w:t>
            </w:r>
          </w:p>
        </w:tc>
        <w:tc>
          <w:tcPr>
            <w:tcW w:w="236" w:type="dxa"/>
            <w:tcBorders>
              <w:top w:val="nil"/>
              <w:left w:val="nil"/>
              <w:bottom w:val="single" w:sz="4" w:space="0" w:color="9BC2E6"/>
              <w:right w:val="single" w:sz="4" w:space="0" w:color="FFFFFF"/>
            </w:tcBorders>
            <w:noWrap/>
          </w:tcPr>
          <w:p w14:paraId="5B8128BA"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0504544C"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348</w:t>
            </w:r>
          </w:p>
        </w:tc>
        <w:tc>
          <w:tcPr>
            <w:tcW w:w="236" w:type="dxa"/>
            <w:tcBorders>
              <w:top w:val="nil"/>
              <w:left w:val="nil"/>
              <w:bottom w:val="single" w:sz="4" w:space="0" w:color="9BC2E6"/>
              <w:right w:val="single" w:sz="4" w:space="0" w:color="FFFFFF"/>
            </w:tcBorders>
          </w:tcPr>
          <w:p w14:paraId="12228A3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521DA9C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318</w:t>
            </w:r>
          </w:p>
        </w:tc>
        <w:tc>
          <w:tcPr>
            <w:tcW w:w="621" w:type="dxa"/>
            <w:tcBorders>
              <w:top w:val="nil"/>
              <w:left w:val="nil"/>
              <w:bottom w:val="single" w:sz="4" w:space="0" w:color="9BC2E6"/>
              <w:right w:val="single" w:sz="4" w:space="0" w:color="FFFFFF"/>
            </w:tcBorders>
          </w:tcPr>
          <w:p w14:paraId="57067DB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403</w:t>
            </w:r>
          </w:p>
        </w:tc>
      </w:tr>
      <w:tr w:rsidR="0040167B" w:rsidRPr="002E4516" w14:paraId="6F3FF85E" w14:textId="77777777" w:rsidTr="00B06C32">
        <w:trPr>
          <w:gridAfter w:val="1"/>
          <w:wAfter w:w="236" w:type="dxa"/>
          <w:trHeight w:val="155"/>
        </w:trPr>
        <w:tc>
          <w:tcPr>
            <w:tcW w:w="7301" w:type="dxa"/>
            <w:tcBorders>
              <w:top w:val="nil"/>
              <w:left w:val="single" w:sz="4" w:space="0" w:color="FFFFFF"/>
              <w:bottom w:val="single" w:sz="4" w:space="0" w:color="9BC2E6"/>
              <w:right w:val="single" w:sz="4" w:space="0" w:color="FFFFFF"/>
            </w:tcBorders>
            <w:shd w:val="clear" w:color="auto" w:fill="FFFFFF"/>
            <w:noWrap/>
            <w:hideMark/>
          </w:tcPr>
          <w:p w14:paraId="055D7BA3"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au publicat hotărârile A.G.A.</w:t>
            </w:r>
          </w:p>
        </w:tc>
        <w:tc>
          <w:tcPr>
            <w:tcW w:w="236" w:type="dxa"/>
            <w:tcBorders>
              <w:top w:val="nil"/>
              <w:left w:val="nil"/>
              <w:bottom w:val="single" w:sz="4" w:space="0" w:color="9BC2E6"/>
              <w:right w:val="single" w:sz="4" w:space="0" w:color="FFFFFF"/>
            </w:tcBorders>
            <w:noWrap/>
          </w:tcPr>
          <w:p w14:paraId="6E5CE26C"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492" w:type="dxa"/>
            <w:tcBorders>
              <w:top w:val="nil"/>
              <w:left w:val="nil"/>
              <w:bottom w:val="single" w:sz="4" w:space="0" w:color="9BC2E6"/>
              <w:right w:val="single" w:sz="4" w:space="0" w:color="FFFFFF"/>
            </w:tcBorders>
            <w:hideMark/>
          </w:tcPr>
          <w:p w14:paraId="7C672AA3" w14:textId="77777777" w:rsidR="0040167B" w:rsidRPr="002E4516" w:rsidRDefault="0040167B" w:rsidP="00B06C32">
            <w:pPr>
              <w:spacing w:before="0" w:after="0" w:line="240" w:lineRule="auto"/>
              <w:ind w:right="-66"/>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410</w:t>
            </w:r>
          </w:p>
        </w:tc>
        <w:tc>
          <w:tcPr>
            <w:tcW w:w="236" w:type="dxa"/>
            <w:tcBorders>
              <w:top w:val="nil"/>
              <w:left w:val="nil"/>
              <w:bottom w:val="single" w:sz="4" w:space="0" w:color="9BC2E6"/>
              <w:right w:val="single" w:sz="4" w:space="0" w:color="FFFFFF"/>
            </w:tcBorders>
          </w:tcPr>
          <w:p w14:paraId="1CDBB484"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621" w:type="dxa"/>
            <w:tcBorders>
              <w:top w:val="nil"/>
              <w:left w:val="nil"/>
              <w:bottom w:val="single" w:sz="4" w:space="0" w:color="9BC2E6"/>
              <w:right w:val="single" w:sz="4" w:space="0" w:color="FFFFFF"/>
            </w:tcBorders>
          </w:tcPr>
          <w:p w14:paraId="33A8E4D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366</w:t>
            </w:r>
          </w:p>
        </w:tc>
        <w:tc>
          <w:tcPr>
            <w:tcW w:w="621" w:type="dxa"/>
            <w:tcBorders>
              <w:top w:val="nil"/>
              <w:left w:val="nil"/>
              <w:bottom w:val="single" w:sz="4" w:space="0" w:color="9BC2E6"/>
              <w:right w:val="single" w:sz="4" w:space="0" w:color="FFFFFF"/>
            </w:tcBorders>
          </w:tcPr>
          <w:p w14:paraId="715F4752"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446</w:t>
            </w:r>
          </w:p>
        </w:tc>
      </w:tr>
    </w:tbl>
    <w:p w14:paraId="11176C05" w14:textId="77777777" w:rsidR="0040167B" w:rsidRPr="002E4516" w:rsidRDefault="0040167B" w:rsidP="0040167B">
      <w:p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lastRenderedPageBreak/>
        <w:t xml:space="preserve">Analizând datele de mai sus, se poate observa că deși a scăzut numarul  </w:t>
      </w:r>
      <w:r w:rsidRPr="002E4516">
        <w:rPr>
          <w:rFonts w:asciiTheme="majorHAnsi" w:hAnsiTheme="majorHAnsi" w:cstheme="majorHAnsi"/>
          <w:b/>
          <w:noProof/>
        </w:rPr>
        <w:t>ÎPL obligate la respectarea obligațiilor de transparență</w:t>
      </w:r>
      <w:r w:rsidRPr="002E4516">
        <w:rPr>
          <w:rFonts w:asciiTheme="majorHAnsi" w:hAnsiTheme="majorHAnsi" w:cstheme="majorHAnsi"/>
          <w:noProof/>
        </w:rPr>
        <w:t xml:space="preserve"> conform art. 51 din Ordonanța de Urgență a Guvernului nr. 109/2011, de la 549 ÎPL la 479 ÎPL, se înregistrează un grad de conformare mai mare în ce privește respectarea obligațiilor de transparență, după cum urmează:</w:t>
      </w:r>
    </w:p>
    <w:p w14:paraId="4A97B0DE" w14:textId="77777777"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pondere de 82% ÎPL  au pagină proprie de internet, față de 80 % în 2019;</w:t>
      </w:r>
    </w:p>
    <w:p w14:paraId="3868FF34" w14:textId="77777777"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pondere de 83% au publicat raportările/ situațiile financiare anuale și raportul de audit al situațiilor financiare anuale, față de 63% în 2019;</w:t>
      </w:r>
    </w:p>
    <w:p w14:paraId="2F133D77" w14:textId="77777777"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pondere de 95% au publicat raportările contabile semestriale, față de 68% în 2019;</w:t>
      </w:r>
    </w:p>
    <w:p w14:paraId="1029D454" w14:textId="77777777"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pondere de 76% au publicat  Raportul administratorilor, față de 63% în 2019;</w:t>
      </w:r>
    </w:p>
    <w:p w14:paraId="2FC342AE" w14:textId="77777777"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pondere de 92% au publicat  Codul de conduită și etică profesională, în creștere cu 27% față de anul 2019;</w:t>
      </w:r>
    </w:p>
    <w:p w14:paraId="70E1CE79" w14:textId="77777777"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pondere de 84% au publicat  informații privind remunerațiile administratorilor/directorilor, mai mult cu 26%  față de anul 2019;</w:t>
      </w:r>
    </w:p>
    <w:p w14:paraId="21BAD9D1" w14:textId="4711700D" w:rsidR="0040167B" w:rsidRPr="002E4516" w:rsidRDefault="0040167B" w:rsidP="00F17378">
      <w:pPr>
        <w:pStyle w:val="ListParagraph"/>
        <w:numPr>
          <w:ilvl w:val="0"/>
          <w:numId w:val="46"/>
        </w:num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 xml:space="preserve">pondere de 93%  au publicat </w:t>
      </w:r>
      <w:r w:rsidR="00F20AC6">
        <w:rPr>
          <w:rFonts w:asciiTheme="majorHAnsi" w:hAnsiTheme="majorHAnsi" w:cstheme="majorHAnsi"/>
          <w:noProof/>
        </w:rPr>
        <w:t>h</w:t>
      </w:r>
      <w:r w:rsidRPr="002E4516">
        <w:rPr>
          <w:rFonts w:asciiTheme="majorHAnsi" w:hAnsiTheme="majorHAnsi" w:cstheme="majorHAnsi"/>
          <w:noProof/>
        </w:rPr>
        <w:t>otărârile AGA, față de 67% în 2019.</w:t>
      </w:r>
    </w:p>
    <w:p w14:paraId="1842E319" w14:textId="77777777" w:rsidR="0040167B" w:rsidRPr="002E4516" w:rsidRDefault="0040167B" w:rsidP="0040167B">
      <w:pPr>
        <w:pStyle w:val="ListParagraph"/>
        <w:autoSpaceDE w:val="0"/>
        <w:autoSpaceDN w:val="0"/>
        <w:adjustRightInd w:val="0"/>
        <w:spacing w:before="0" w:after="0"/>
        <w:ind w:left="1440"/>
        <w:jc w:val="both"/>
        <w:rPr>
          <w:rFonts w:asciiTheme="majorHAnsi" w:hAnsiTheme="majorHAnsi" w:cstheme="majorHAnsi"/>
          <w:noProof/>
        </w:rPr>
      </w:pPr>
    </w:p>
    <w:p w14:paraId="590EE416" w14:textId="77777777" w:rsidR="0040167B" w:rsidRPr="002E4516" w:rsidRDefault="0040167B" w:rsidP="0040167B">
      <w:p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Pe viitor este necesară creșterea gradului de conformare astfel încât  ÎPL să îndeplinească obligațiile de transparență care le revin potrivit prevederilor legale în vigoare.</w:t>
      </w:r>
    </w:p>
    <w:p w14:paraId="2B510E10" w14:textId="5CECF135" w:rsidR="0040167B" w:rsidRDefault="0040167B" w:rsidP="0040167B">
      <w:pPr>
        <w:autoSpaceDE w:val="0"/>
        <w:autoSpaceDN w:val="0"/>
        <w:adjustRightInd w:val="0"/>
        <w:spacing w:before="0" w:after="0"/>
        <w:jc w:val="both"/>
        <w:rPr>
          <w:rFonts w:asciiTheme="majorHAnsi" w:hAnsiTheme="majorHAnsi" w:cstheme="majorHAnsi"/>
          <w:noProof/>
          <w:lang w:val="en-US"/>
        </w:rPr>
      </w:pPr>
      <w:r w:rsidRPr="002E4516">
        <w:rPr>
          <w:rFonts w:asciiTheme="majorHAnsi" w:hAnsiTheme="majorHAnsi" w:cstheme="majorHAnsi"/>
          <w:noProof/>
        </w:rPr>
        <w:t>În privința obligațiilor privind auditul situațiilor financiare anuale situația se prezintă după cum urmează</w:t>
      </w:r>
      <w:r w:rsidRPr="002E4516">
        <w:rPr>
          <w:rFonts w:asciiTheme="majorHAnsi" w:hAnsiTheme="majorHAnsi" w:cstheme="majorHAnsi"/>
          <w:noProof/>
          <w:lang w:val="en-US"/>
        </w:rPr>
        <w:t>:</w:t>
      </w:r>
    </w:p>
    <w:p w14:paraId="5F954F22" w14:textId="77777777" w:rsidR="0040167B" w:rsidRPr="002E4516" w:rsidRDefault="0040167B" w:rsidP="0040167B">
      <w:pPr>
        <w:autoSpaceDE w:val="0"/>
        <w:autoSpaceDN w:val="0"/>
        <w:adjustRightInd w:val="0"/>
        <w:spacing w:before="0" w:after="0"/>
        <w:jc w:val="both"/>
        <w:rPr>
          <w:rFonts w:asciiTheme="majorHAnsi" w:hAnsiTheme="majorHAnsi" w:cstheme="majorHAnsi"/>
          <w:noProof/>
          <w:lang w:val="en-US"/>
        </w:rPr>
      </w:pPr>
    </w:p>
    <w:tbl>
      <w:tblPr>
        <w:tblW w:w="9129" w:type="dxa"/>
        <w:tblInd w:w="-5" w:type="dxa"/>
        <w:tblLook w:val="04A0" w:firstRow="1" w:lastRow="0" w:firstColumn="1" w:lastColumn="0" w:noHBand="0" w:noVBand="1"/>
      </w:tblPr>
      <w:tblGrid>
        <w:gridCol w:w="713"/>
        <w:gridCol w:w="2409"/>
        <w:gridCol w:w="1767"/>
        <w:gridCol w:w="1339"/>
        <w:gridCol w:w="1274"/>
        <w:gridCol w:w="1627"/>
      </w:tblGrid>
      <w:tr w:rsidR="0040167B" w:rsidRPr="002E4516" w14:paraId="65D0FB87" w14:textId="77777777" w:rsidTr="00B06C32">
        <w:trPr>
          <w:trHeight w:val="372"/>
        </w:trPr>
        <w:tc>
          <w:tcPr>
            <w:tcW w:w="713" w:type="dxa"/>
            <w:vMerge w:val="restart"/>
            <w:tcBorders>
              <w:top w:val="single" w:sz="4" w:space="0" w:color="9BC2E6"/>
              <w:left w:val="single" w:sz="4" w:space="0" w:color="FFFFFF"/>
              <w:bottom w:val="single" w:sz="4" w:space="0" w:color="9BC2E6"/>
              <w:right w:val="single" w:sz="4" w:space="0" w:color="FFFFFF"/>
            </w:tcBorders>
            <w:hideMark/>
          </w:tcPr>
          <w:p w14:paraId="7E09A496" w14:textId="77777777" w:rsidR="0040167B" w:rsidRPr="002E4516" w:rsidRDefault="0040167B" w:rsidP="00B06C32">
            <w:pPr>
              <w:spacing w:before="0" w:after="0" w:line="240" w:lineRule="auto"/>
              <w:jc w:val="center"/>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Anul</w:t>
            </w:r>
          </w:p>
        </w:tc>
        <w:tc>
          <w:tcPr>
            <w:tcW w:w="2409" w:type="dxa"/>
            <w:vMerge w:val="restart"/>
            <w:tcBorders>
              <w:top w:val="single" w:sz="4" w:space="0" w:color="9BC2E6"/>
              <w:left w:val="single" w:sz="4" w:space="0" w:color="FFFFFF"/>
              <w:bottom w:val="single" w:sz="4" w:space="0" w:color="9BC2E6"/>
              <w:right w:val="single" w:sz="4" w:space="0" w:color="FFFFFF"/>
            </w:tcBorders>
            <w:hideMark/>
          </w:tcPr>
          <w:p w14:paraId="52FC1B82"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Nr. de ÎPL care au transmis informații privind Raportul de audit la situațiile financiare anuale</w:t>
            </w:r>
          </w:p>
        </w:tc>
        <w:tc>
          <w:tcPr>
            <w:tcW w:w="1767" w:type="dxa"/>
            <w:vMerge w:val="restart"/>
            <w:tcBorders>
              <w:top w:val="single" w:sz="4" w:space="0" w:color="9BC2E6"/>
              <w:left w:val="single" w:sz="4" w:space="0" w:color="FFFFFF"/>
              <w:bottom w:val="single" w:sz="4" w:space="0" w:color="9BC2E6"/>
              <w:right w:val="single" w:sz="4" w:space="0" w:color="FFFFFF"/>
            </w:tcBorders>
            <w:hideMark/>
          </w:tcPr>
          <w:p w14:paraId="2CB81E5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Nr. ÎPL care au publicat Raport de audit la situațiile financiare anuale</w:t>
            </w:r>
          </w:p>
        </w:tc>
        <w:tc>
          <w:tcPr>
            <w:tcW w:w="4240" w:type="dxa"/>
            <w:gridSpan w:val="3"/>
            <w:tcBorders>
              <w:top w:val="single" w:sz="4" w:space="0" w:color="9BC2E6"/>
              <w:left w:val="nil"/>
              <w:bottom w:val="single" w:sz="4" w:space="0" w:color="9BC2E6"/>
              <w:right w:val="single" w:sz="4" w:space="0" w:color="FFFFFF"/>
            </w:tcBorders>
            <w:hideMark/>
          </w:tcPr>
          <w:p w14:paraId="2E71FBAE" w14:textId="77777777" w:rsidR="0040167B" w:rsidRPr="002E4516" w:rsidRDefault="0040167B" w:rsidP="00B06C32">
            <w:pPr>
              <w:spacing w:before="0" w:after="0" w:line="240" w:lineRule="auto"/>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din care opinia formulată de audit la situațiile financiare anuale este:</w:t>
            </w:r>
          </w:p>
        </w:tc>
      </w:tr>
      <w:tr w:rsidR="0040167B" w:rsidRPr="002E4516" w14:paraId="16AC54D9" w14:textId="77777777" w:rsidTr="00B06C32">
        <w:trPr>
          <w:trHeight w:val="429"/>
        </w:trPr>
        <w:tc>
          <w:tcPr>
            <w:tcW w:w="0" w:type="auto"/>
            <w:vMerge/>
            <w:tcBorders>
              <w:top w:val="single" w:sz="4" w:space="0" w:color="9BC2E6"/>
              <w:left w:val="single" w:sz="4" w:space="0" w:color="FFFFFF"/>
              <w:bottom w:val="single" w:sz="4" w:space="0" w:color="9BC2E6"/>
              <w:right w:val="single" w:sz="4" w:space="0" w:color="FFFFFF"/>
            </w:tcBorders>
            <w:vAlign w:val="center"/>
            <w:hideMark/>
          </w:tcPr>
          <w:p w14:paraId="1D4E6886"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0" w:type="auto"/>
            <w:vMerge/>
            <w:tcBorders>
              <w:top w:val="single" w:sz="4" w:space="0" w:color="9BC2E6"/>
              <w:left w:val="single" w:sz="4" w:space="0" w:color="FFFFFF"/>
              <w:bottom w:val="single" w:sz="4" w:space="0" w:color="9BC2E6"/>
              <w:right w:val="single" w:sz="4" w:space="0" w:color="FFFFFF"/>
            </w:tcBorders>
            <w:vAlign w:val="center"/>
            <w:hideMark/>
          </w:tcPr>
          <w:p w14:paraId="640CA788"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0" w:type="auto"/>
            <w:vMerge/>
            <w:tcBorders>
              <w:top w:val="single" w:sz="4" w:space="0" w:color="9BC2E6"/>
              <w:left w:val="single" w:sz="4" w:space="0" w:color="FFFFFF"/>
              <w:bottom w:val="single" w:sz="4" w:space="0" w:color="9BC2E6"/>
              <w:right w:val="single" w:sz="4" w:space="0" w:color="FFFFFF"/>
            </w:tcBorders>
            <w:vAlign w:val="center"/>
            <w:hideMark/>
          </w:tcPr>
          <w:p w14:paraId="5483F7DA"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1339" w:type="dxa"/>
            <w:tcBorders>
              <w:top w:val="nil"/>
              <w:left w:val="nil"/>
              <w:bottom w:val="single" w:sz="4" w:space="0" w:color="9BC2E6"/>
              <w:right w:val="single" w:sz="4" w:space="0" w:color="FFFFFF"/>
            </w:tcBorders>
            <w:hideMark/>
          </w:tcPr>
          <w:p w14:paraId="65C8522A"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Fără rezerve</w:t>
            </w:r>
          </w:p>
        </w:tc>
        <w:tc>
          <w:tcPr>
            <w:tcW w:w="1274" w:type="dxa"/>
            <w:tcBorders>
              <w:top w:val="nil"/>
              <w:left w:val="nil"/>
              <w:bottom w:val="single" w:sz="4" w:space="0" w:color="9BC2E6"/>
              <w:right w:val="single" w:sz="4" w:space="0" w:color="FFFFFF"/>
            </w:tcBorders>
            <w:hideMark/>
          </w:tcPr>
          <w:p w14:paraId="51050BA5"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Cu rezerve</w:t>
            </w:r>
          </w:p>
        </w:tc>
        <w:tc>
          <w:tcPr>
            <w:tcW w:w="1626" w:type="dxa"/>
            <w:tcBorders>
              <w:top w:val="nil"/>
              <w:left w:val="nil"/>
              <w:bottom w:val="single" w:sz="4" w:space="0" w:color="9BC2E6"/>
              <w:right w:val="single" w:sz="4" w:space="0" w:color="FFFFFF"/>
            </w:tcBorders>
            <w:hideMark/>
          </w:tcPr>
          <w:p w14:paraId="499C927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Imposibilitatea exprimării opiniei de audit</w:t>
            </w:r>
          </w:p>
        </w:tc>
      </w:tr>
      <w:tr w:rsidR="0040167B" w:rsidRPr="002E4516" w14:paraId="33703D04" w14:textId="77777777" w:rsidTr="00B06C32">
        <w:trPr>
          <w:trHeight w:val="191"/>
        </w:trPr>
        <w:tc>
          <w:tcPr>
            <w:tcW w:w="0" w:type="auto"/>
            <w:vMerge/>
            <w:tcBorders>
              <w:top w:val="single" w:sz="4" w:space="0" w:color="9BC2E6"/>
              <w:left w:val="single" w:sz="4" w:space="0" w:color="FFFFFF"/>
              <w:bottom w:val="single" w:sz="4" w:space="0" w:color="9BC2E6"/>
              <w:right w:val="single" w:sz="4" w:space="0" w:color="FFFFFF"/>
            </w:tcBorders>
            <w:vAlign w:val="center"/>
            <w:hideMark/>
          </w:tcPr>
          <w:p w14:paraId="6C3FCC57" w14:textId="77777777" w:rsidR="0040167B" w:rsidRPr="002E4516" w:rsidRDefault="0040167B" w:rsidP="00B06C32">
            <w:pPr>
              <w:spacing w:before="0" w:after="0"/>
              <w:rPr>
                <w:rFonts w:asciiTheme="majorHAnsi" w:eastAsia="Times New Roman" w:hAnsiTheme="majorHAnsi" w:cstheme="majorHAnsi"/>
                <w:color w:val="0F6FC6" w:themeColor="accent1"/>
                <w:sz w:val="16"/>
                <w:szCs w:val="16"/>
                <w:lang w:eastAsia="ro-RO"/>
              </w:rPr>
            </w:pPr>
          </w:p>
        </w:tc>
        <w:tc>
          <w:tcPr>
            <w:tcW w:w="2409" w:type="dxa"/>
            <w:tcBorders>
              <w:top w:val="nil"/>
              <w:left w:val="nil"/>
              <w:bottom w:val="single" w:sz="4" w:space="0" w:color="9BC2E6"/>
              <w:right w:val="single" w:sz="4" w:space="0" w:color="FFFFFF"/>
            </w:tcBorders>
            <w:hideMark/>
          </w:tcPr>
          <w:p w14:paraId="668F18B1"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6"/>
                <w:szCs w:val="16"/>
                <w:lang w:eastAsia="ro-RO"/>
              </w:rPr>
            </w:pPr>
            <w:r w:rsidRPr="002E4516">
              <w:rPr>
                <w:rFonts w:asciiTheme="majorHAnsi" w:eastAsia="Times New Roman" w:hAnsiTheme="majorHAnsi" w:cstheme="majorHAnsi"/>
                <w:i/>
                <w:iCs/>
                <w:color w:val="0F6FC6" w:themeColor="accent1"/>
                <w:sz w:val="16"/>
                <w:szCs w:val="16"/>
                <w:lang w:eastAsia="ro-RO"/>
              </w:rPr>
              <w:t>nr ÎPL</w:t>
            </w:r>
          </w:p>
        </w:tc>
        <w:tc>
          <w:tcPr>
            <w:tcW w:w="1767" w:type="dxa"/>
            <w:tcBorders>
              <w:top w:val="nil"/>
              <w:left w:val="nil"/>
              <w:bottom w:val="single" w:sz="4" w:space="0" w:color="9BC2E6"/>
              <w:right w:val="single" w:sz="4" w:space="0" w:color="FFFFFF"/>
            </w:tcBorders>
            <w:hideMark/>
          </w:tcPr>
          <w:p w14:paraId="1AB33E81"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6"/>
                <w:szCs w:val="16"/>
                <w:lang w:eastAsia="ro-RO"/>
              </w:rPr>
            </w:pPr>
            <w:r w:rsidRPr="002E4516">
              <w:rPr>
                <w:rFonts w:asciiTheme="majorHAnsi" w:eastAsia="Times New Roman" w:hAnsiTheme="majorHAnsi" w:cstheme="majorHAnsi"/>
                <w:i/>
                <w:iCs/>
                <w:color w:val="0F6FC6" w:themeColor="accent1"/>
                <w:sz w:val="16"/>
                <w:szCs w:val="16"/>
                <w:lang w:eastAsia="ro-RO"/>
              </w:rPr>
              <w:t>nr ÎPL</w:t>
            </w:r>
          </w:p>
        </w:tc>
        <w:tc>
          <w:tcPr>
            <w:tcW w:w="1339" w:type="dxa"/>
            <w:tcBorders>
              <w:top w:val="nil"/>
              <w:left w:val="nil"/>
              <w:bottom w:val="single" w:sz="4" w:space="0" w:color="9BC2E6"/>
              <w:right w:val="single" w:sz="4" w:space="0" w:color="FFFFFF"/>
            </w:tcBorders>
            <w:hideMark/>
          </w:tcPr>
          <w:p w14:paraId="6971AC88"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6"/>
                <w:szCs w:val="16"/>
                <w:lang w:eastAsia="ro-RO"/>
              </w:rPr>
            </w:pPr>
            <w:r w:rsidRPr="002E4516">
              <w:rPr>
                <w:rFonts w:asciiTheme="majorHAnsi" w:eastAsia="Times New Roman" w:hAnsiTheme="majorHAnsi" w:cstheme="majorHAnsi"/>
                <w:i/>
                <w:iCs/>
                <w:color w:val="0F6FC6" w:themeColor="accent1"/>
                <w:sz w:val="16"/>
                <w:szCs w:val="16"/>
                <w:lang w:eastAsia="ro-RO"/>
              </w:rPr>
              <w:t>nr ÎPL</w:t>
            </w:r>
          </w:p>
        </w:tc>
        <w:tc>
          <w:tcPr>
            <w:tcW w:w="1274" w:type="dxa"/>
            <w:tcBorders>
              <w:top w:val="nil"/>
              <w:left w:val="nil"/>
              <w:bottom w:val="single" w:sz="4" w:space="0" w:color="9BC2E6"/>
              <w:right w:val="single" w:sz="4" w:space="0" w:color="FFFFFF"/>
            </w:tcBorders>
            <w:hideMark/>
          </w:tcPr>
          <w:p w14:paraId="48F4DD29"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6"/>
                <w:szCs w:val="16"/>
                <w:lang w:eastAsia="ro-RO"/>
              </w:rPr>
            </w:pPr>
            <w:r w:rsidRPr="002E4516">
              <w:rPr>
                <w:rFonts w:asciiTheme="majorHAnsi" w:eastAsia="Times New Roman" w:hAnsiTheme="majorHAnsi" w:cstheme="majorHAnsi"/>
                <w:i/>
                <w:iCs/>
                <w:color w:val="0F6FC6" w:themeColor="accent1"/>
                <w:sz w:val="16"/>
                <w:szCs w:val="16"/>
                <w:lang w:eastAsia="ro-RO"/>
              </w:rPr>
              <w:t>nr ÎPL</w:t>
            </w:r>
          </w:p>
        </w:tc>
        <w:tc>
          <w:tcPr>
            <w:tcW w:w="1626" w:type="dxa"/>
            <w:tcBorders>
              <w:top w:val="nil"/>
              <w:left w:val="nil"/>
              <w:bottom w:val="single" w:sz="4" w:space="0" w:color="9BC2E6"/>
              <w:right w:val="single" w:sz="4" w:space="0" w:color="FFFFFF"/>
            </w:tcBorders>
            <w:hideMark/>
          </w:tcPr>
          <w:p w14:paraId="74D53C1E" w14:textId="77777777" w:rsidR="0040167B" w:rsidRPr="002E4516" w:rsidRDefault="0040167B" w:rsidP="00B06C32">
            <w:pPr>
              <w:spacing w:before="0" w:after="0" w:line="240" w:lineRule="auto"/>
              <w:jc w:val="right"/>
              <w:rPr>
                <w:rFonts w:asciiTheme="majorHAnsi" w:eastAsia="Times New Roman" w:hAnsiTheme="majorHAnsi" w:cstheme="majorHAnsi"/>
                <w:i/>
                <w:iCs/>
                <w:color w:val="0F6FC6" w:themeColor="accent1"/>
                <w:sz w:val="16"/>
                <w:szCs w:val="16"/>
                <w:lang w:eastAsia="ro-RO"/>
              </w:rPr>
            </w:pPr>
            <w:r w:rsidRPr="002E4516">
              <w:rPr>
                <w:rFonts w:asciiTheme="majorHAnsi" w:eastAsia="Times New Roman" w:hAnsiTheme="majorHAnsi" w:cstheme="majorHAnsi"/>
                <w:i/>
                <w:iCs/>
                <w:color w:val="0F6FC6" w:themeColor="accent1"/>
                <w:sz w:val="16"/>
                <w:szCs w:val="16"/>
                <w:lang w:eastAsia="ro-RO"/>
              </w:rPr>
              <w:t>nr ÎPL</w:t>
            </w:r>
          </w:p>
        </w:tc>
      </w:tr>
      <w:tr w:rsidR="0040167B" w:rsidRPr="002E4516" w14:paraId="5926CDE3" w14:textId="77777777" w:rsidTr="00B06C32">
        <w:trPr>
          <w:trHeight w:val="191"/>
        </w:trPr>
        <w:tc>
          <w:tcPr>
            <w:tcW w:w="713" w:type="dxa"/>
            <w:tcBorders>
              <w:top w:val="nil"/>
              <w:left w:val="single" w:sz="4" w:space="0" w:color="FFFFFF"/>
              <w:bottom w:val="nil"/>
              <w:right w:val="single" w:sz="4" w:space="0" w:color="FFFFFF"/>
            </w:tcBorders>
            <w:shd w:val="clear" w:color="auto" w:fill="FFFFFF"/>
            <w:noWrap/>
            <w:hideMark/>
          </w:tcPr>
          <w:p w14:paraId="73E18E81"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2018</w:t>
            </w:r>
          </w:p>
        </w:tc>
        <w:tc>
          <w:tcPr>
            <w:tcW w:w="2409" w:type="dxa"/>
            <w:tcBorders>
              <w:top w:val="nil"/>
              <w:left w:val="nil"/>
              <w:bottom w:val="nil"/>
              <w:right w:val="single" w:sz="4" w:space="0" w:color="FFFFFF"/>
            </w:tcBorders>
            <w:shd w:val="clear" w:color="auto" w:fill="FFFFFF"/>
            <w:noWrap/>
            <w:hideMark/>
          </w:tcPr>
          <w:p w14:paraId="2F24D2B7"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305</w:t>
            </w:r>
          </w:p>
        </w:tc>
        <w:tc>
          <w:tcPr>
            <w:tcW w:w="1767" w:type="dxa"/>
            <w:tcBorders>
              <w:top w:val="nil"/>
              <w:left w:val="nil"/>
              <w:bottom w:val="nil"/>
              <w:right w:val="single" w:sz="4" w:space="0" w:color="FFFFFF"/>
            </w:tcBorders>
            <w:shd w:val="clear" w:color="auto" w:fill="FFFFFF"/>
            <w:noWrap/>
            <w:hideMark/>
          </w:tcPr>
          <w:p w14:paraId="32B48708"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305</w:t>
            </w:r>
          </w:p>
        </w:tc>
        <w:tc>
          <w:tcPr>
            <w:tcW w:w="1339" w:type="dxa"/>
            <w:tcBorders>
              <w:top w:val="nil"/>
              <w:left w:val="nil"/>
              <w:bottom w:val="nil"/>
              <w:right w:val="single" w:sz="4" w:space="0" w:color="FFFFFF"/>
            </w:tcBorders>
            <w:shd w:val="clear" w:color="auto" w:fill="FFFFFF"/>
            <w:noWrap/>
            <w:hideMark/>
          </w:tcPr>
          <w:p w14:paraId="52ACFB7F"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261</w:t>
            </w:r>
          </w:p>
        </w:tc>
        <w:tc>
          <w:tcPr>
            <w:tcW w:w="1274" w:type="dxa"/>
            <w:tcBorders>
              <w:top w:val="nil"/>
              <w:left w:val="nil"/>
              <w:bottom w:val="nil"/>
              <w:right w:val="single" w:sz="4" w:space="0" w:color="FFFFFF"/>
            </w:tcBorders>
            <w:shd w:val="clear" w:color="auto" w:fill="FFFFFF"/>
            <w:noWrap/>
            <w:hideMark/>
          </w:tcPr>
          <w:p w14:paraId="51391CD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43</w:t>
            </w:r>
          </w:p>
        </w:tc>
        <w:tc>
          <w:tcPr>
            <w:tcW w:w="1626" w:type="dxa"/>
            <w:tcBorders>
              <w:top w:val="nil"/>
              <w:left w:val="nil"/>
              <w:bottom w:val="nil"/>
              <w:right w:val="single" w:sz="4" w:space="0" w:color="FFFFFF"/>
            </w:tcBorders>
            <w:shd w:val="clear" w:color="auto" w:fill="FFFFFF"/>
            <w:noWrap/>
            <w:hideMark/>
          </w:tcPr>
          <w:p w14:paraId="1713441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1</w:t>
            </w:r>
          </w:p>
        </w:tc>
      </w:tr>
      <w:tr w:rsidR="0040167B" w:rsidRPr="002E4516" w14:paraId="0DBE67C0" w14:textId="77777777" w:rsidTr="00B06C32">
        <w:trPr>
          <w:trHeight w:val="191"/>
        </w:trPr>
        <w:tc>
          <w:tcPr>
            <w:tcW w:w="713" w:type="dxa"/>
            <w:tcBorders>
              <w:top w:val="nil"/>
              <w:left w:val="single" w:sz="4" w:space="0" w:color="FFFFFF"/>
              <w:bottom w:val="single" w:sz="4" w:space="0" w:color="9BC2E6"/>
              <w:right w:val="single" w:sz="4" w:space="0" w:color="FFFFFF"/>
            </w:tcBorders>
            <w:shd w:val="clear" w:color="auto" w:fill="FFFFFF"/>
            <w:noWrap/>
          </w:tcPr>
          <w:p w14:paraId="40B56085"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2019</w:t>
            </w:r>
          </w:p>
          <w:p w14:paraId="0944AD1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2020</w:t>
            </w:r>
          </w:p>
        </w:tc>
        <w:tc>
          <w:tcPr>
            <w:tcW w:w="2409" w:type="dxa"/>
            <w:tcBorders>
              <w:top w:val="nil"/>
              <w:left w:val="nil"/>
              <w:bottom w:val="single" w:sz="4" w:space="0" w:color="9BC2E6"/>
              <w:right w:val="single" w:sz="4" w:space="0" w:color="FFFFFF"/>
            </w:tcBorders>
            <w:shd w:val="clear" w:color="auto" w:fill="FFFFFF"/>
            <w:noWrap/>
          </w:tcPr>
          <w:p w14:paraId="2AB18FA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349</w:t>
            </w:r>
          </w:p>
          <w:p w14:paraId="78E1691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327</w:t>
            </w:r>
          </w:p>
        </w:tc>
        <w:tc>
          <w:tcPr>
            <w:tcW w:w="1767" w:type="dxa"/>
            <w:tcBorders>
              <w:top w:val="nil"/>
              <w:left w:val="nil"/>
              <w:bottom w:val="single" w:sz="4" w:space="0" w:color="9BC2E6"/>
              <w:right w:val="single" w:sz="4" w:space="0" w:color="FFFFFF"/>
            </w:tcBorders>
            <w:shd w:val="clear" w:color="auto" w:fill="FFFFFF"/>
            <w:noWrap/>
          </w:tcPr>
          <w:p w14:paraId="7A8871C3"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349</w:t>
            </w:r>
          </w:p>
          <w:p w14:paraId="5F8135D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327</w:t>
            </w:r>
          </w:p>
        </w:tc>
        <w:tc>
          <w:tcPr>
            <w:tcW w:w="1339" w:type="dxa"/>
            <w:tcBorders>
              <w:top w:val="nil"/>
              <w:left w:val="nil"/>
              <w:bottom w:val="single" w:sz="4" w:space="0" w:color="9BC2E6"/>
              <w:right w:val="single" w:sz="4" w:space="0" w:color="FFFFFF"/>
            </w:tcBorders>
            <w:shd w:val="clear" w:color="auto" w:fill="FFFFFF"/>
            <w:noWrap/>
          </w:tcPr>
          <w:p w14:paraId="7AFC01AD"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303</w:t>
            </w:r>
          </w:p>
          <w:p w14:paraId="30D9320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281</w:t>
            </w:r>
          </w:p>
        </w:tc>
        <w:tc>
          <w:tcPr>
            <w:tcW w:w="1274" w:type="dxa"/>
            <w:tcBorders>
              <w:top w:val="nil"/>
              <w:left w:val="nil"/>
              <w:bottom w:val="single" w:sz="4" w:space="0" w:color="9BC2E6"/>
              <w:right w:val="single" w:sz="4" w:space="0" w:color="FFFFFF"/>
            </w:tcBorders>
            <w:shd w:val="clear" w:color="auto" w:fill="FFFFFF"/>
            <w:noWrap/>
          </w:tcPr>
          <w:p w14:paraId="175FF01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45</w:t>
            </w:r>
          </w:p>
          <w:p w14:paraId="568942EB"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42</w:t>
            </w:r>
          </w:p>
          <w:p w14:paraId="6AD9188C"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p>
        </w:tc>
        <w:tc>
          <w:tcPr>
            <w:tcW w:w="1626" w:type="dxa"/>
            <w:tcBorders>
              <w:top w:val="nil"/>
              <w:left w:val="nil"/>
              <w:bottom w:val="single" w:sz="4" w:space="0" w:color="9BC2E6"/>
              <w:right w:val="single" w:sz="4" w:space="0" w:color="FFFFFF"/>
            </w:tcBorders>
            <w:shd w:val="clear" w:color="auto" w:fill="FFFFFF"/>
            <w:noWrap/>
          </w:tcPr>
          <w:p w14:paraId="258F9145"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1</w:t>
            </w:r>
          </w:p>
          <w:p w14:paraId="0FC4D8D0" w14:textId="77777777" w:rsidR="0040167B" w:rsidRPr="002E4516" w:rsidRDefault="0040167B" w:rsidP="00B06C32">
            <w:pPr>
              <w:spacing w:before="0" w:after="0" w:line="240" w:lineRule="auto"/>
              <w:jc w:val="right"/>
              <w:rPr>
                <w:rFonts w:asciiTheme="majorHAnsi" w:eastAsia="Times New Roman" w:hAnsiTheme="majorHAnsi" w:cstheme="majorHAnsi"/>
                <w:color w:val="0F6FC6" w:themeColor="accent1"/>
                <w:sz w:val="16"/>
                <w:szCs w:val="16"/>
                <w:lang w:eastAsia="ro-RO"/>
              </w:rPr>
            </w:pPr>
            <w:r w:rsidRPr="002E4516">
              <w:rPr>
                <w:rFonts w:asciiTheme="majorHAnsi" w:eastAsia="Times New Roman" w:hAnsiTheme="majorHAnsi" w:cstheme="majorHAnsi"/>
                <w:color w:val="0F6FC6" w:themeColor="accent1"/>
                <w:sz w:val="16"/>
                <w:szCs w:val="16"/>
                <w:lang w:eastAsia="ro-RO"/>
              </w:rPr>
              <w:t>4</w:t>
            </w:r>
          </w:p>
        </w:tc>
      </w:tr>
    </w:tbl>
    <w:p w14:paraId="5C9EEF77" w14:textId="77777777" w:rsidR="0040167B" w:rsidRPr="002E4516" w:rsidRDefault="0040167B" w:rsidP="0040167B">
      <w:pPr>
        <w:autoSpaceDE w:val="0"/>
        <w:autoSpaceDN w:val="0"/>
        <w:adjustRightInd w:val="0"/>
        <w:spacing w:before="0" w:after="0"/>
        <w:jc w:val="both"/>
        <w:rPr>
          <w:rFonts w:asciiTheme="majorHAnsi" w:hAnsiTheme="majorHAnsi" w:cstheme="majorHAnsi"/>
          <w:noProof/>
          <w:color w:val="0F6FC6" w:themeColor="accent1"/>
        </w:rPr>
      </w:pPr>
    </w:p>
    <w:p w14:paraId="58558358" w14:textId="77777777" w:rsidR="0040167B" w:rsidRPr="002E4516" w:rsidRDefault="0040167B" w:rsidP="0040167B">
      <w:pPr>
        <w:autoSpaceDE w:val="0"/>
        <w:autoSpaceDN w:val="0"/>
        <w:adjustRightInd w:val="0"/>
        <w:spacing w:before="0" w:after="0"/>
        <w:jc w:val="both"/>
        <w:rPr>
          <w:rFonts w:asciiTheme="majorHAnsi" w:hAnsiTheme="majorHAnsi" w:cstheme="majorHAnsi"/>
          <w:noProof/>
        </w:rPr>
      </w:pPr>
      <w:r w:rsidRPr="002E4516">
        <w:rPr>
          <w:rFonts w:asciiTheme="majorHAnsi" w:hAnsiTheme="majorHAnsi" w:cstheme="majorHAnsi"/>
          <w:noProof/>
        </w:rPr>
        <w:t xml:space="preserve">Din cele 1.193 ÎPL monitorizate, un număr de 327 ÎPL au declarat publicarea </w:t>
      </w:r>
      <w:r w:rsidRPr="002E4516">
        <w:rPr>
          <w:rFonts w:asciiTheme="majorHAnsi" w:hAnsiTheme="majorHAnsi" w:cstheme="majorHAnsi"/>
          <w:b/>
          <w:noProof/>
        </w:rPr>
        <w:t>rapoartelor de audit la situațiile financiare anuale</w:t>
      </w:r>
      <w:r w:rsidRPr="002E4516">
        <w:rPr>
          <w:rFonts w:asciiTheme="majorHAnsi" w:hAnsiTheme="majorHAnsi" w:cstheme="majorHAnsi"/>
          <w:noProof/>
        </w:rPr>
        <w:t>, din care</w:t>
      </w:r>
      <w:r w:rsidRPr="002E4516">
        <w:rPr>
          <w:rFonts w:asciiTheme="majorHAnsi" w:hAnsiTheme="majorHAnsi" w:cstheme="majorHAnsi"/>
          <w:noProof/>
          <w:lang w:val="en-US"/>
        </w:rPr>
        <w:t xml:space="preserve">: </w:t>
      </w:r>
    </w:p>
    <w:p w14:paraId="639C9C03" w14:textId="77777777" w:rsidR="0040167B" w:rsidRPr="002E4516" w:rsidRDefault="0040167B" w:rsidP="00F17378">
      <w:pPr>
        <w:numPr>
          <w:ilvl w:val="0"/>
          <w:numId w:val="47"/>
        </w:numPr>
        <w:autoSpaceDE w:val="0"/>
        <w:autoSpaceDN w:val="0"/>
        <w:adjustRightInd w:val="0"/>
        <w:spacing w:before="0" w:after="0"/>
        <w:ind w:left="567" w:hanging="283"/>
        <w:jc w:val="both"/>
        <w:rPr>
          <w:rFonts w:asciiTheme="majorHAnsi" w:hAnsiTheme="majorHAnsi" w:cstheme="majorHAnsi"/>
          <w:noProof/>
        </w:rPr>
      </w:pPr>
      <w:r w:rsidRPr="002E4516">
        <w:rPr>
          <w:rFonts w:asciiTheme="majorHAnsi" w:hAnsiTheme="majorHAnsi" w:cstheme="majorHAnsi"/>
          <w:noProof/>
          <w:lang w:val="en-US"/>
        </w:rPr>
        <w:t xml:space="preserve">pentru un număr de </w:t>
      </w:r>
      <w:r w:rsidRPr="002E4516">
        <w:rPr>
          <w:rFonts w:asciiTheme="majorHAnsi" w:hAnsiTheme="majorHAnsi" w:cstheme="majorHAnsi"/>
          <w:b/>
          <w:bCs/>
          <w:noProof/>
          <w:lang w:val="en-US"/>
        </w:rPr>
        <w:t xml:space="preserve">281 </w:t>
      </w:r>
      <w:r w:rsidRPr="002E4516">
        <w:rPr>
          <w:rFonts w:asciiTheme="majorHAnsi" w:hAnsiTheme="majorHAnsi" w:cstheme="majorHAnsi"/>
          <w:noProof/>
        </w:rPr>
        <w:t xml:space="preserve">ÎPL opinia de audit a fost </w:t>
      </w:r>
      <w:r w:rsidRPr="002E4516">
        <w:rPr>
          <w:rFonts w:asciiTheme="majorHAnsi" w:hAnsiTheme="majorHAnsi" w:cstheme="majorHAnsi"/>
          <w:b/>
          <w:noProof/>
        </w:rPr>
        <w:t>exprimată fără rezerve, reprezent</w:t>
      </w:r>
      <w:r w:rsidRPr="002E4516">
        <w:rPr>
          <w:rFonts w:asciiTheme="majorHAnsi" w:hAnsiTheme="majorHAnsi" w:cstheme="majorHAnsi"/>
          <w:noProof/>
        </w:rPr>
        <w:t>ând</w:t>
      </w:r>
      <w:r w:rsidRPr="002E4516">
        <w:rPr>
          <w:rFonts w:asciiTheme="majorHAnsi" w:hAnsiTheme="majorHAnsi" w:cstheme="majorHAnsi"/>
          <w:b/>
          <w:noProof/>
        </w:rPr>
        <w:t xml:space="preserve"> </w:t>
      </w:r>
      <w:r w:rsidRPr="002E4516">
        <w:rPr>
          <w:rFonts w:asciiTheme="majorHAnsi" w:hAnsiTheme="majorHAnsi" w:cstheme="majorHAnsi"/>
          <w:bCs/>
          <w:noProof/>
        </w:rPr>
        <w:t>ceea ce reprezintă că o pondere de</w:t>
      </w:r>
      <w:r w:rsidRPr="002E4516">
        <w:rPr>
          <w:rFonts w:asciiTheme="majorHAnsi" w:hAnsiTheme="majorHAnsi" w:cstheme="majorHAnsi"/>
          <w:b/>
          <w:noProof/>
        </w:rPr>
        <w:t xml:space="preserve"> 86%</w:t>
      </w:r>
      <w:r w:rsidRPr="002E4516">
        <w:rPr>
          <w:rFonts w:asciiTheme="majorHAnsi" w:hAnsiTheme="majorHAnsi" w:cstheme="majorHAnsi"/>
          <w:bCs/>
          <w:noProof/>
        </w:rPr>
        <w:t xml:space="preserve"> din totalul de 327 ÎPL</w:t>
      </w:r>
      <w:r w:rsidRPr="002E4516">
        <w:rPr>
          <w:rFonts w:asciiTheme="majorHAnsi" w:hAnsiTheme="majorHAnsi" w:cstheme="majorHAnsi"/>
          <w:noProof/>
          <w:lang w:val="en-US"/>
        </w:rPr>
        <w:t>;</w:t>
      </w:r>
      <w:r w:rsidRPr="002E4516">
        <w:rPr>
          <w:rFonts w:asciiTheme="majorHAnsi" w:hAnsiTheme="majorHAnsi" w:cstheme="majorHAnsi"/>
          <w:noProof/>
        </w:rPr>
        <w:t xml:space="preserve"> </w:t>
      </w:r>
    </w:p>
    <w:p w14:paraId="0A19FF27" w14:textId="77777777" w:rsidR="0040167B" w:rsidRPr="002E4516" w:rsidRDefault="0040167B" w:rsidP="00F17378">
      <w:pPr>
        <w:numPr>
          <w:ilvl w:val="0"/>
          <w:numId w:val="47"/>
        </w:numPr>
        <w:autoSpaceDE w:val="0"/>
        <w:autoSpaceDN w:val="0"/>
        <w:adjustRightInd w:val="0"/>
        <w:spacing w:before="0" w:after="0"/>
        <w:ind w:left="567" w:hanging="283"/>
        <w:jc w:val="both"/>
        <w:rPr>
          <w:rFonts w:asciiTheme="majorHAnsi" w:hAnsiTheme="majorHAnsi" w:cstheme="majorHAnsi"/>
          <w:noProof/>
        </w:rPr>
      </w:pPr>
      <w:r w:rsidRPr="002E4516">
        <w:rPr>
          <w:rFonts w:asciiTheme="majorHAnsi" w:hAnsiTheme="majorHAnsi" w:cstheme="majorHAnsi"/>
          <w:noProof/>
          <w:lang w:val="en-US"/>
        </w:rPr>
        <w:t>pentru</w:t>
      </w:r>
      <w:r w:rsidRPr="002E4516">
        <w:rPr>
          <w:rFonts w:asciiTheme="majorHAnsi" w:hAnsiTheme="majorHAnsi" w:cstheme="majorHAnsi"/>
          <w:noProof/>
        </w:rPr>
        <w:t xml:space="preserve"> un număr de 42 ÎPL opinia de audit a fost </w:t>
      </w:r>
      <w:r w:rsidRPr="002E4516">
        <w:rPr>
          <w:rFonts w:asciiTheme="majorHAnsi" w:hAnsiTheme="majorHAnsi" w:cstheme="majorHAnsi"/>
          <w:b/>
          <w:noProof/>
        </w:rPr>
        <w:t>exprimată cu rezerve</w:t>
      </w:r>
      <w:r w:rsidRPr="002E4516">
        <w:rPr>
          <w:rFonts w:asciiTheme="majorHAnsi" w:hAnsiTheme="majorHAnsi" w:cstheme="majorHAnsi"/>
          <w:noProof/>
        </w:rPr>
        <w:t>. Dintre cele mai întâlnite justificări care au condus la această opinie, enumerăm</w:t>
      </w:r>
      <w:r w:rsidRPr="002E4516">
        <w:rPr>
          <w:rFonts w:asciiTheme="majorHAnsi" w:hAnsiTheme="majorHAnsi" w:cstheme="majorHAnsi"/>
          <w:noProof/>
          <w:lang w:val="en-US"/>
        </w:rPr>
        <w:t>: auditorul nu a participat la inventarierea faptică a patrimoniului, neconstituirea de provizioane, caracterul incert al unor venituri rezultate din facturile emise pentru servicii prestate;</w:t>
      </w:r>
    </w:p>
    <w:p w14:paraId="225E2967" w14:textId="131D6313" w:rsidR="0040167B" w:rsidRDefault="0040167B" w:rsidP="0040167B">
      <w:pPr>
        <w:spacing w:before="0" w:after="0" w:line="240" w:lineRule="auto"/>
        <w:jc w:val="both"/>
        <w:rPr>
          <w:rFonts w:asciiTheme="majorHAnsi" w:eastAsia="Times New Roman" w:hAnsiTheme="majorHAnsi" w:cstheme="majorHAnsi"/>
          <w:b/>
          <w:bCs/>
          <w:color w:val="000000"/>
          <w:sz w:val="22"/>
          <w:szCs w:val="22"/>
          <w:lang w:eastAsia="ro-RO"/>
        </w:rPr>
      </w:pPr>
      <w:r w:rsidRPr="002E4516">
        <w:rPr>
          <w:rFonts w:asciiTheme="majorHAnsi" w:hAnsiTheme="majorHAnsi" w:cstheme="majorHAnsi"/>
          <w:noProof/>
        </w:rPr>
        <w:t xml:space="preserve">pentru un număr de 4 ÎPL </w:t>
      </w:r>
      <w:r w:rsidRPr="002E4516">
        <w:rPr>
          <w:rFonts w:asciiTheme="majorHAnsi" w:hAnsiTheme="majorHAnsi" w:cstheme="majorHAnsi"/>
          <w:b/>
          <w:noProof/>
        </w:rPr>
        <w:t>nu s-a putut exprima opinia de audit</w:t>
      </w:r>
      <w:r w:rsidRPr="002E4516">
        <w:rPr>
          <w:rFonts w:asciiTheme="majorHAnsi" w:hAnsiTheme="majorHAnsi" w:cstheme="majorHAnsi"/>
          <w:noProof/>
        </w:rPr>
        <w:t xml:space="preserve"> </w:t>
      </w:r>
      <w:r w:rsidRPr="002E4516">
        <w:rPr>
          <w:rFonts w:asciiTheme="majorHAnsi" w:hAnsiTheme="majorHAnsi" w:cstheme="majorHAnsi"/>
          <w:b/>
          <w:bCs/>
          <w:noProof/>
        </w:rPr>
        <w:t>(</w:t>
      </w:r>
      <w:r w:rsidRPr="002E4516">
        <w:rPr>
          <w:rFonts w:asciiTheme="majorHAnsi" w:eastAsia="Times New Roman" w:hAnsiTheme="majorHAnsi" w:cstheme="majorHAnsi"/>
          <w:b/>
          <w:bCs/>
          <w:color w:val="000000"/>
          <w:sz w:val="22"/>
          <w:szCs w:val="22"/>
          <w:lang w:eastAsia="ro-RO"/>
        </w:rPr>
        <w:t>Service Cons Prest SRL</w:t>
      </w:r>
      <w:r w:rsidR="00E63820">
        <w:rPr>
          <w:rFonts w:asciiTheme="majorHAnsi" w:eastAsia="Times New Roman" w:hAnsiTheme="majorHAnsi" w:cstheme="majorHAnsi"/>
          <w:b/>
          <w:bCs/>
          <w:color w:val="000000"/>
          <w:sz w:val="22"/>
          <w:szCs w:val="22"/>
          <w:lang w:eastAsia="ro-RO"/>
        </w:rPr>
        <w:t xml:space="preserve"> Timișoara</w:t>
      </w:r>
      <w:r w:rsidRPr="002E4516">
        <w:rPr>
          <w:rFonts w:asciiTheme="majorHAnsi" w:eastAsia="Times New Roman" w:hAnsiTheme="majorHAnsi" w:cstheme="majorHAnsi"/>
          <w:b/>
          <w:bCs/>
          <w:color w:val="000000"/>
          <w:sz w:val="22"/>
          <w:szCs w:val="22"/>
          <w:lang w:eastAsia="ro-RO"/>
        </w:rPr>
        <w:t>, Salubritate Craiova SRL,  Parc Industrial Alexandria SRL,  Hidro-Sal Com SRL.</w:t>
      </w:r>
      <w:r w:rsidR="00E63820">
        <w:rPr>
          <w:rFonts w:asciiTheme="majorHAnsi" w:eastAsia="Times New Roman" w:hAnsiTheme="majorHAnsi" w:cstheme="majorHAnsi"/>
          <w:b/>
          <w:bCs/>
          <w:color w:val="000000"/>
          <w:sz w:val="22"/>
          <w:szCs w:val="22"/>
          <w:lang w:eastAsia="ro-RO"/>
        </w:rPr>
        <w:t xml:space="preserve"> Prejmer</w:t>
      </w:r>
      <w:r w:rsidRPr="002E4516">
        <w:rPr>
          <w:rFonts w:asciiTheme="majorHAnsi" w:eastAsia="Times New Roman" w:hAnsiTheme="majorHAnsi" w:cstheme="majorHAnsi"/>
          <w:b/>
          <w:bCs/>
          <w:color w:val="000000"/>
          <w:sz w:val="22"/>
          <w:szCs w:val="22"/>
          <w:lang w:eastAsia="ro-RO"/>
        </w:rPr>
        <w:t>).</w:t>
      </w:r>
    </w:p>
    <w:p w14:paraId="696E7ECE" w14:textId="38D9D29F"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1771DE34" w14:textId="02F0061C"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4D271EE3" w14:textId="521D0C83"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3F75D5DB" w14:textId="39DB3C54"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2AA62906" w14:textId="175F3B64"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3B763548" w14:textId="37543DA1"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35CD0AAD" w14:textId="1DE35DB4"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368E8860" w14:textId="572D7968"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06977795" w14:textId="521AB32F"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6558FD25" w14:textId="4CF908E2"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08D6B6F2" w14:textId="22A40701"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09AD752D" w14:textId="2EA48E1D"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79ECC3A7" w14:textId="36E0EF51"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6E49BE94" w14:textId="47346642"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4043DCD3" w14:textId="18BF482E" w:rsidR="00B06C32" w:rsidRDefault="00B06C32" w:rsidP="0040167B">
      <w:pPr>
        <w:spacing w:before="0" w:after="0" w:line="240" w:lineRule="auto"/>
        <w:jc w:val="both"/>
        <w:rPr>
          <w:rFonts w:asciiTheme="majorHAnsi" w:eastAsia="Times New Roman" w:hAnsiTheme="majorHAnsi" w:cstheme="majorHAnsi"/>
          <w:b/>
          <w:bCs/>
          <w:color w:val="000000"/>
          <w:sz w:val="22"/>
          <w:szCs w:val="22"/>
          <w:lang w:eastAsia="ro-RO"/>
        </w:rPr>
      </w:pPr>
    </w:p>
    <w:p w14:paraId="38909196" w14:textId="7B8A9905" w:rsidR="00676BD2" w:rsidRPr="00D95C57" w:rsidRDefault="00676BD2" w:rsidP="00676BD2">
      <w:pPr>
        <w:pStyle w:val="ListParagraph"/>
        <w:ind w:left="0"/>
        <w:outlineLvl w:val="0"/>
        <w:rPr>
          <w:rFonts w:asciiTheme="majorHAnsi" w:hAnsiTheme="majorHAnsi"/>
          <w:b/>
          <w:bCs/>
          <w:color w:val="0F6FC6" w:themeColor="accent1"/>
          <w:sz w:val="36"/>
          <w:szCs w:val="36"/>
        </w:rPr>
      </w:pPr>
      <w:bookmarkStart w:id="147" w:name="_Toc87875977"/>
      <w:r>
        <w:rPr>
          <w:rFonts w:asciiTheme="majorHAnsi" w:hAnsiTheme="majorHAnsi"/>
          <w:b/>
          <w:bCs/>
          <w:color w:val="0F6FC6" w:themeColor="accent1"/>
          <w:sz w:val="36"/>
          <w:szCs w:val="36"/>
        </w:rPr>
        <w:t>Recomandări</w:t>
      </w:r>
      <w:bookmarkEnd w:id="147"/>
    </w:p>
    <w:p w14:paraId="31EC085F" w14:textId="1D2E0561" w:rsidR="00676BD2" w:rsidRPr="00676BD2" w:rsidRDefault="00676BD2" w:rsidP="00676BD2">
      <w:pPr>
        <w:pStyle w:val="Listparagraf"/>
        <w:numPr>
          <w:ilvl w:val="0"/>
          <w:numId w:val="51"/>
        </w:numPr>
        <w:tabs>
          <w:tab w:val="clear" w:pos="0"/>
        </w:tabs>
        <w:suppressAutoHyphens w:val="0"/>
        <w:spacing w:before="100" w:after="200"/>
        <w:ind w:left="360"/>
        <w:contextualSpacing/>
        <w:jc w:val="both"/>
        <w:rPr>
          <w:rFonts w:asciiTheme="majorHAnsi" w:hAnsiTheme="majorHAnsi" w:cstheme="majorHAnsi"/>
        </w:rPr>
      </w:pPr>
      <w:r w:rsidRPr="00676BD2">
        <w:rPr>
          <w:rFonts w:asciiTheme="majorHAnsi" w:hAnsiTheme="majorHAnsi" w:cstheme="majorHAnsi"/>
          <w:kern w:val="2"/>
          <w:lang w:val="ro-RO" w:eastAsia="ja-JP"/>
        </w:rPr>
        <w:t xml:space="preserve"> </w:t>
      </w:r>
      <w:r w:rsidRPr="00676BD2">
        <w:rPr>
          <w:rFonts w:asciiTheme="majorHAnsi" w:hAnsiTheme="majorHAnsi" w:cstheme="majorHAnsi"/>
          <w:kern w:val="2"/>
          <w:lang w:val="ro-RO" w:eastAsia="ja-JP"/>
        </w:rPr>
        <w:t>Luarea de măsuri concrete de către autoritățile publice tutelare pentru reducerea/eliminarea pierderilor înregistrate de întreprinderile publice aflate în subordinea, în coordonarea, sub autoritatea ori în portofoliul acestora;</w:t>
      </w:r>
    </w:p>
    <w:p w14:paraId="4709F7C2" w14:textId="77777777" w:rsidR="00676BD2" w:rsidRPr="00676BD2" w:rsidRDefault="00676BD2" w:rsidP="00676BD2">
      <w:pPr>
        <w:pStyle w:val="Listparagraf"/>
        <w:numPr>
          <w:ilvl w:val="0"/>
          <w:numId w:val="51"/>
        </w:numPr>
        <w:tabs>
          <w:tab w:val="clear" w:pos="0"/>
        </w:tabs>
        <w:suppressAutoHyphens w:val="0"/>
        <w:spacing w:before="100" w:after="200"/>
        <w:ind w:left="360"/>
        <w:contextualSpacing/>
        <w:jc w:val="both"/>
        <w:rPr>
          <w:rFonts w:asciiTheme="majorHAnsi" w:hAnsiTheme="majorHAnsi" w:cstheme="majorHAnsi"/>
        </w:rPr>
      </w:pPr>
      <w:r w:rsidRPr="00676BD2">
        <w:rPr>
          <w:rFonts w:asciiTheme="majorHAnsi" w:hAnsiTheme="majorHAnsi" w:cstheme="majorHAnsi"/>
          <w:kern w:val="2"/>
          <w:lang w:val="ro-RO" w:eastAsia="ja-JP"/>
        </w:rPr>
        <w:t>Adoptarea unor măsuri concrete pentru reducerea plăților restante în vederea evitării blocajelor financiare din economie, precum: eșalonarea la plată, conversia plăților restante în acțiuni, creșterea numărului de contracte/comenzi, valorificarea prin vânzare a activelor; închirirerea spațiilor de producție devenite excedentare, eșalonarea datoriilor către bugetul de stat, identificarea de resurse financiare atrase pentru realizarea de investiții noi, efectuarea de acțiuni în instanță în vederea recuperării sumelor, încasarea creanțelor restante, amânarea la plată a dobânzilor, penalităților și a tuturor accesoriilor aferente obligațiilor</w:t>
      </w:r>
      <w:r w:rsidRPr="00676BD2">
        <w:rPr>
          <w:rFonts w:asciiTheme="majorHAnsi" w:hAnsiTheme="majorHAnsi" w:cstheme="majorHAnsi"/>
          <w:kern w:val="2"/>
          <w:lang w:val="en-US" w:eastAsia="ja-JP"/>
        </w:rPr>
        <w:t>;</w:t>
      </w:r>
    </w:p>
    <w:p w14:paraId="64729FBF" w14:textId="77777777" w:rsidR="00676BD2" w:rsidRPr="00676BD2" w:rsidRDefault="00676BD2" w:rsidP="00676BD2">
      <w:pPr>
        <w:pStyle w:val="Listparagraf"/>
        <w:numPr>
          <w:ilvl w:val="0"/>
          <w:numId w:val="51"/>
        </w:numPr>
        <w:tabs>
          <w:tab w:val="clear" w:pos="0"/>
        </w:tabs>
        <w:spacing w:before="100" w:after="200"/>
        <w:ind w:left="360"/>
        <w:contextualSpacing/>
        <w:jc w:val="both"/>
        <w:rPr>
          <w:rFonts w:asciiTheme="majorHAnsi" w:hAnsiTheme="majorHAnsi" w:cstheme="majorHAnsi"/>
          <w:lang w:val="ro-RO"/>
        </w:rPr>
      </w:pPr>
      <w:r w:rsidRPr="00676BD2">
        <w:rPr>
          <w:rFonts w:asciiTheme="majorHAnsi" w:hAnsiTheme="majorHAnsi" w:cstheme="majorHAnsi"/>
          <w:lang w:val="ro-RO"/>
        </w:rPr>
        <w:t>Restructurarea societăților/companiilor naționale prin aprobarea unor proiecte de fuziune prin absorbție a subsidiarelor, condiționate de oportunitate și eficiență din punct de vedere tehnic și economic și în conformitate cu prevederile legale;</w:t>
      </w:r>
    </w:p>
    <w:p w14:paraId="1C674D29" w14:textId="77777777" w:rsidR="00676BD2" w:rsidRPr="00676BD2" w:rsidRDefault="00676BD2" w:rsidP="00676BD2">
      <w:pPr>
        <w:pStyle w:val="Listparagraf"/>
        <w:numPr>
          <w:ilvl w:val="0"/>
          <w:numId w:val="51"/>
        </w:numPr>
        <w:tabs>
          <w:tab w:val="clear" w:pos="0"/>
        </w:tabs>
        <w:spacing w:before="100" w:after="200"/>
        <w:ind w:left="360"/>
        <w:contextualSpacing/>
        <w:jc w:val="both"/>
        <w:rPr>
          <w:rFonts w:asciiTheme="majorHAnsi" w:hAnsiTheme="majorHAnsi" w:cstheme="majorHAnsi"/>
          <w:lang w:val="ro-RO"/>
        </w:rPr>
      </w:pPr>
      <w:r w:rsidRPr="00676BD2">
        <w:rPr>
          <w:rFonts w:asciiTheme="majorHAnsi" w:hAnsiTheme="majorHAnsi" w:cstheme="majorHAnsi"/>
          <w:lang w:val="ro-RO"/>
        </w:rPr>
        <w:t>Recrutarea de consultanți specializați în restructurare pentru întreprinderile care sunt viabile, dar sub-performante;</w:t>
      </w:r>
    </w:p>
    <w:p w14:paraId="4207F184" w14:textId="77777777" w:rsidR="00676BD2" w:rsidRPr="00676BD2" w:rsidRDefault="00676BD2" w:rsidP="00676BD2">
      <w:pPr>
        <w:pStyle w:val="Listparagraf"/>
        <w:numPr>
          <w:ilvl w:val="0"/>
          <w:numId w:val="51"/>
        </w:numPr>
        <w:tabs>
          <w:tab w:val="clear" w:pos="0"/>
        </w:tabs>
        <w:spacing w:before="100" w:after="200"/>
        <w:ind w:left="360"/>
        <w:contextualSpacing/>
        <w:jc w:val="both"/>
        <w:rPr>
          <w:rFonts w:asciiTheme="majorHAnsi" w:hAnsiTheme="majorHAnsi" w:cstheme="majorHAnsi"/>
          <w:lang w:val="ro-RO"/>
        </w:rPr>
      </w:pPr>
      <w:r w:rsidRPr="00676BD2">
        <w:rPr>
          <w:rFonts w:asciiTheme="majorHAnsi" w:hAnsiTheme="majorHAnsi" w:cstheme="majorHAnsi"/>
          <w:lang w:val="ro-RO"/>
        </w:rPr>
        <w:t>Absorbția și utilizarea fondurilor europene pentru dezvoltarea și conectarea infrastructurii publice de transport cu țările partenere din uniunea europeană precum și pentru îndeplinirea țintelor climatice;</w:t>
      </w:r>
    </w:p>
    <w:p w14:paraId="45C923B4" w14:textId="77777777" w:rsidR="00676BD2" w:rsidRPr="00676BD2" w:rsidRDefault="00676BD2" w:rsidP="00676BD2">
      <w:pPr>
        <w:pStyle w:val="Listparagraf"/>
        <w:numPr>
          <w:ilvl w:val="0"/>
          <w:numId w:val="51"/>
        </w:numPr>
        <w:tabs>
          <w:tab w:val="clear" w:pos="0"/>
        </w:tabs>
        <w:suppressAutoHyphens w:val="0"/>
        <w:spacing w:before="100" w:after="200"/>
        <w:ind w:left="360"/>
        <w:contextualSpacing/>
        <w:jc w:val="both"/>
        <w:rPr>
          <w:rFonts w:asciiTheme="majorHAnsi" w:hAnsiTheme="majorHAnsi" w:cstheme="majorHAnsi"/>
          <w:lang w:val="ro-RO"/>
        </w:rPr>
      </w:pPr>
      <w:r w:rsidRPr="00676BD2">
        <w:rPr>
          <w:rFonts w:asciiTheme="majorHAnsi" w:hAnsiTheme="majorHAnsi" w:cstheme="majorHAnsi"/>
          <w:lang w:val="ro-RO"/>
        </w:rPr>
        <w:t>Întărirea disciplinei financiare a întreprinderilor publice prin implementarea recomandărilor formulate de către auditorii independenți în cadrul rapoartelor anuale de audit.</w:t>
      </w:r>
    </w:p>
    <w:p w14:paraId="506B868F" w14:textId="77777777" w:rsidR="00676BD2" w:rsidRPr="00676BD2" w:rsidRDefault="00676BD2" w:rsidP="00676BD2">
      <w:pPr>
        <w:pStyle w:val="Listparagraf"/>
        <w:numPr>
          <w:ilvl w:val="0"/>
          <w:numId w:val="51"/>
        </w:numPr>
        <w:suppressAutoHyphens w:val="0"/>
        <w:spacing w:before="100" w:after="200"/>
        <w:ind w:left="284" w:hanging="284"/>
        <w:contextualSpacing/>
        <w:jc w:val="both"/>
        <w:rPr>
          <w:rFonts w:asciiTheme="majorHAnsi" w:hAnsiTheme="majorHAnsi" w:cstheme="majorHAnsi"/>
        </w:rPr>
      </w:pPr>
      <w:r w:rsidRPr="00676BD2">
        <w:rPr>
          <w:rFonts w:asciiTheme="majorHAnsi" w:hAnsiTheme="majorHAnsi" w:cstheme="majorHAnsi"/>
          <w:kern w:val="2"/>
          <w:lang w:val="ro-RO" w:eastAsia="ja-JP"/>
        </w:rPr>
        <w:t>Continuarea și intensificarea activităților de recrutare a administratorilor și directorilor conform prevederilor Ordonanței de Urgență a Guvernului nr. 109/2011.</w:t>
      </w:r>
    </w:p>
    <w:p w14:paraId="4D32B998" w14:textId="6B8BB81D" w:rsidR="00676BD2" w:rsidRDefault="00676BD2" w:rsidP="0040167B">
      <w:pPr>
        <w:rPr>
          <w:rFonts w:asciiTheme="majorHAnsi" w:hAnsiTheme="majorHAnsi" w:cstheme="majorHAnsi"/>
          <w:b/>
          <w:bCs/>
        </w:rPr>
      </w:pPr>
    </w:p>
    <w:p w14:paraId="6A23244C" w14:textId="77777777" w:rsidR="00676BD2" w:rsidRPr="002E4516" w:rsidRDefault="00676BD2" w:rsidP="0040167B">
      <w:pPr>
        <w:rPr>
          <w:rFonts w:asciiTheme="majorHAnsi" w:hAnsiTheme="majorHAnsi" w:cstheme="majorHAnsi"/>
          <w:b/>
          <w:bCs/>
        </w:rPr>
      </w:pPr>
    </w:p>
    <w:p w14:paraId="325B5541" w14:textId="77777777" w:rsidR="0040167B" w:rsidRPr="00A71CEF" w:rsidRDefault="0040167B" w:rsidP="000D6A07">
      <w:pPr>
        <w:jc w:val="both"/>
        <w:rPr>
          <w:rFonts w:asciiTheme="majorHAnsi" w:hAnsiTheme="majorHAnsi"/>
        </w:rPr>
      </w:pPr>
    </w:p>
    <w:p w14:paraId="4EA9632C" w14:textId="77777777" w:rsidR="00AA57F8" w:rsidRPr="00D95C57" w:rsidRDefault="00AA57F8" w:rsidP="0022099B">
      <w:pPr>
        <w:jc w:val="both"/>
        <w:rPr>
          <w:rFonts w:asciiTheme="majorHAnsi" w:hAnsiTheme="majorHAnsi"/>
        </w:rPr>
      </w:pPr>
    </w:p>
    <w:p w14:paraId="534E5C03" w14:textId="77777777" w:rsidR="00951515" w:rsidRPr="00D95C57" w:rsidRDefault="00951515"/>
    <w:p w14:paraId="002CAE71" w14:textId="77777777" w:rsidR="00951515" w:rsidRPr="00B330D6" w:rsidRDefault="00951515">
      <w:pPr>
        <w:rPr>
          <w:lang w:val="en-US"/>
        </w:rPr>
      </w:pPr>
    </w:p>
    <w:p w14:paraId="4D2CE63D" w14:textId="77777777" w:rsidR="00951515" w:rsidRPr="00D95C57" w:rsidRDefault="00951515"/>
    <w:p w14:paraId="4E898D0D" w14:textId="77777777" w:rsidR="00951515" w:rsidRPr="00D95C57" w:rsidRDefault="00951515"/>
    <w:p w14:paraId="0DF4FA40" w14:textId="77777777" w:rsidR="00951515" w:rsidRPr="00D95C57" w:rsidRDefault="00951515"/>
    <w:p w14:paraId="0A312A84" w14:textId="77777777" w:rsidR="00951515" w:rsidRPr="00D95C57" w:rsidRDefault="00951515"/>
    <w:p w14:paraId="1B38C573" w14:textId="77777777" w:rsidR="00951515" w:rsidRPr="00D95C57" w:rsidRDefault="00951515"/>
    <w:p w14:paraId="6BFB88CB" w14:textId="77777777" w:rsidR="00951515" w:rsidRPr="00D95C57" w:rsidRDefault="00951515"/>
    <w:p w14:paraId="2BBBC08B" w14:textId="77777777" w:rsidR="00951515" w:rsidRPr="00D95C57" w:rsidRDefault="00951515"/>
    <w:p w14:paraId="5CD66471" w14:textId="77777777" w:rsidR="00951515" w:rsidRPr="00D95C57" w:rsidRDefault="00951515"/>
    <w:p w14:paraId="27D83BFD" w14:textId="77777777" w:rsidR="00951515" w:rsidRPr="00D95C57" w:rsidRDefault="00951515"/>
    <w:p w14:paraId="2D8212D5" w14:textId="77777777" w:rsidR="00951515" w:rsidRPr="00D95C57" w:rsidRDefault="00951515"/>
    <w:p w14:paraId="72193883" w14:textId="77777777" w:rsidR="00951515" w:rsidRPr="00D95C57" w:rsidRDefault="00951515"/>
    <w:p w14:paraId="4C99F033" w14:textId="77777777" w:rsidR="00951515" w:rsidRPr="00D95C57" w:rsidRDefault="00951515"/>
    <w:p w14:paraId="48A0C30C" w14:textId="77777777" w:rsidR="00951515" w:rsidRPr="00D95C57" w:rsidRDefault="00951515"/>
    <w:p w14:paraId="5A677A20" w14:textId="77777777" w:rsidR="00951515" w:rsidRPr="00D95C57" w:rsidRDefault="00951515"/>
    <w:p w14:paraId="4EC50480" w14:textId="77777777" w:rsidR="00951515" w:rsidRPr="00D95C57" w:rsidRDefault="00951515"/>
    <w:p w14:paraId="774A8B66" w14:textId="77777777" w:rsidR="00951515" w:rsidRPr="00D95C57" w:rsidRDefault="00951515"/>
    <w:p w14:paraId="01D2AD49" w14:textId="77777777" w:rsidR="00951515" w:rsidRPr="00D95C57" w:rsidRDefault="00951515"/>
    <w:p w14:paraId="0A4E8C49" w14:textId="77777777" w:rsidR="00951515" w:rsidRPr="00D95C57" w:rsidRDefault="00951515"/>
    <w:p w14:paraId="026879EF" w14:textId="77777777" w:rsidR="00951515" w:rsidRPr="00D95C57" w:rsidRDefault="00951515"/>
    <w:p w14:paraId="7D1A6CC6" w14:textId="77777777" w:rsidR="00951515" w:rsidRPr="00D95C57" w:rsidRDefault="00951515"/>
    <w:p w14:paraId="79CBEA42" w14:textId="77777777" w:rsidR="00951515" w:rsidRPr="00D95C57" w:rsidRDefault="00951515"/>
    <w:p w14:paraId="1EE6D972" w14:textId="77777777" w:rsidR="00951515" w:rsidRPr="00D95C57" w:rsidRDefault="00951515"/>
    <w:p w14:paraId="19309A72" w14:textId="77777777" w:rsidR="00951515" w:rsidRPr="00D95C57" w:rsidRDefault="00951515"/>
    <w:p w14:paraId="78A1CB72" w14:textId="77777777" w:rsidR="00951515" w:rsidRPr="00D95C57" w:rsidRDefault="00951515"/>
    <w:p w14:paraId="7206D1EB" w14:textId="77777777" w:rsidR="00951515" w:rsidRPr="00D95C57" w:rsidRDefault="00951515"/>
    <w:p w14:paraId="0AB007CE" w14:textId="77777777" w:rsidR="00951515" w:rsidRPr="00D95C57" w:rsidRDefault="00951515">
      <w:r w:rsidRPr="00D95C57">
        <w:rPr>
          <w:rFonts w:ascii="Calibri Light" w:eastAsia="Times New Roman" w:hAnsi="Calibri Light"/>
          <w:noProof/>
          <w:sz w:val="28"/>
          <w:szCs w:val="28"/>
          <w:lang w:val="en-US"/>
        </w:rPr>
        <w:drawing>
          <wp:anchor distT="0" distB="0" distL="114300" distR="114300" simplePos="0" relativeHeight="251669504" behindDoc="1" locked="0" layoutInCell="1" allowOverlap="1" wp14:anchorId="6E1970E0" wp14:editId="610C39C8">
            <wp:simplePos x="0" y="0"/>
            <wp:positionH relativeFrom="page">
              <wp:align>left</wp:align>
            </wp:positionH>
            <wp:positionV relativeFrom="page">
              <wp:align>top</wp:align>
            </wp:positionV>
            <wp:extent cx="7553739" cy="10980420"/>
            <wp:effectExtent l="0" t="0" r="952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ctor-Abstract-Wallpapers-9.jpg"/>
                    <pic:cNvPicPr/>
                  </pic:nvPicPr>
                  <pic:blipFill>
                    <a:blip r:embed="rId76">
                      <a:extLst>
                        <a:ext uri="{28A0092B-C50C-407E-A947-70E740481C1C}">
                          <a14:useLocalDpi xmlns:a14="http://schemas.microsoft.com/office/drawing/2010/main" val="0"/>
                        </a:ext>
                      </a:extLst>
                    </a:blip>
                    <a:stretch>
                      <a:fillRect/>
                    </a:stretch>
                  </pic:blipFill>
                  <pic:spPr>
                    <a:xfrm rot="10800000">
                      <a:off x="0" y="0"/>
                      <a:ext cx="7553739" cy="10980420"/>
                    </a:xfrm>
                    <a:prstGeom prst="rect">
                      <a:avLst/>
                    </a:prstGeom>
                  </pic:spPr>
                </pic:pic>
              </a:graphicData>
            </a:graphic>
            <wp14:sizeRelH relativeFrom="margin">
              <wp14:pctWidth>0</wp14:pctWidth>
            </wp14:sizeRelH>
            <wp14:sizeRelV relativeFrom="margin">
              <wp14:pctHeight>0</wp14:pctHeight>
            </wp14:sizeRelV>
          </wp:anchor>
        </w:drawing>
      </w:r>
    </w:p>
    <w:sectPr w:rsidR="00951515" w:rsidRPr="00D95C57" w:rsidSect="00884C3F">
      <w:type w:val="continuous"/>
      <w:pgSz w:w="11906" w:h="16838" w:code="9"/>
      <w:pgMar w:top="1134" w:right="1418" w:bottom="851" w:left="1418"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B041E" w14:textId="77777777" w:rsidR="00B06C32" w:rsidRDefault="00B06C32" w:rsidP="00471638">
      <w:pPr>
        <w:spacing w:before="0" w:after="0" w:line="240" w:lineRule="auto"/>
      </w:pPr>
      <w:r>
        <w:separator/>
      </w:r>
    </w:p>
  </w:endnote>
  <w:endnote w:type="continuationSeparator" w:id="0">
    <w:p w14:paraId="12E79AA6" w14:textId="77777777" w:rsidR="00B06C32" w:rsidRDefault="00B06C32" w:rsidP="004716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ndale Sans UI">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Open Sans">
    <w:altName w:val="DejaVu Sans Condensed"/>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1A9F7" w14:textId="77777777" w:rsidR="00B06C32" w:rsidRDefault="00B06C32" w:rsidP="00471638">
      <w:pPr>
        <w:spacing w:before="0" w:after="0" w:line="240" w:lineRule="auto"/>
      </w:pPr>
      <w:r>
        <w:separator/>
      </w:r>
    </w:p>
  </w:footnote>
  <w:footnote w:type="continuationSeparator" w:id="0">
    <w:p w14:paraId="62E7F84B" w14:textId="77777777" w:rsidR="00B06C32" w:rsidRDefault="00B06C32" w:rsidP="00471638">
      <w:pPr>
        <w:spacing w:before="0" w:after="0" w:line="240" w:lineRule="auto"/>
      </w:pPr>
      <w:r>
        <w:continuationSeparator/>
      </w:r>
    </w:p>
  </w:footnote>
  <w:footnote w:id="1">
    <w:p w14:paraId="3E8711BC" w14:textId="77777777" w:rsidR="00B06C32" w:rsidRPr="005913DE" w:rsidRDefault="00B06C32" w:rsidP="00C205D0">
      <w:pPr>
        <w:pStyle w:val="FootnoteText"/>
        <w:jc w:val="both"/>
        <w:rPr>
          <w:rFonts w:asciiTheme="majorHAnsi" w:hAnsiTheme="majorHAnsi"/>
          <w:sz w:val="16"/>
          <w:szCs w:val="16"/>
        </w:rPr>
      </w:pPr>
      <w:r w:rsidRPr="005913DE">
        <w:rPr>
          <w:rStyle w:val="FootnoteReference"/>
          <w:rFonts w:asciiTheme="majorHAnsi" w:hAnsiTheme="majorHAnsi"/>
          <w:color w:val="595959" w:themeColor="text1" w:themeTint="A6"/>
          <w:sz w:val="16"/>
          <w:szCs w:val="16"/>
        </w:rPr>
        <w:footnoteRef/>
      </w:r>
      <w:r w:rsidRPr="005913DE">
        <w:rPr>
          <w:rFonts w:asciiTheme="majorHAnsi" w:hAnsiTheme="majorHAnsi"/>
          <w:color w:val="595959" w:themeColor="text1" w:themeTint="A6"/>
          <w:sz w:val="16"/>
          <w:szCs w:val="16"/>
        </w:rPr>
        <w:t xml:space="preserve"> Ordinului Ministerului Finanțelor Publice nr. 470/2018 - privind principalele aspecte legate de întocmirea și depunerea situațiilor financiare anuale și a raportărilor contabile anuale ale operatorilor economici la unitățile teritoriale ale Ministerului Finanțelor, precum și pentru modificarea și completarea unor reglementări contabile</w:t>
      </w:r>
      <w:r w:rsidRPr="005913DE">
        <w:rPr>
          <w:rFonts w:asciiTheme="majorHAnsi" w:hAnsiTheme="majorHAnsi"/>
          <w:color w:val="595959" w:themeColor="text1" w:themeTint="A6"/>
          <w:sz w:val="16"/>
          <w:szCs w:val="16"/>
          <w:lang w:val="en-US"/>
        </w:rPr>
        <w:t>;</w:t>
      </w:r>
    </w:p>
  </w:footnote>
  <w:footnote w:id="2">
    <w:p w14:paraId="5EC01FA7" w14:textId="77777777" w:rsidR="00B06C32" w:rsidRDefault="00B06C32" w:rsidP="00366C04">
      <w:pPr>
        <w:pStyle w:val="FootnoteText"/>
        <w:jc w:val="both"/>
      </w:pPr>
      <w:r w:rsidRPr="00B9580E">
        <w:rPr>
          <w:rStyle w:val="FootnoteReference"/>
          <w:rFonts w:asciiTheme="majorHAnsi" w:hAnsiTheme="majorHAnsi" w:cstheme="majorHAnsi"/>
          <w:sz w:val="16"/>
        </w:rPr>
        <w:footnoteRef/>
      </w:r>
      <w:r>
        <w:t xml:space="preserve"> </w:t>
      </w:r>
      <w:r w:rsidRPr="00366C04">
        <w:rPr>
          <w:rFonts w:asciiTheme="majorHAnsi" w:hAnsiTheme="majorHAnsi" w:cstheme="majorHAnsi"/>
          <w:color w:val="262626" w:themeColor="text1" w:themeTint="D9"/>
          <w:sz w:val="16"/>
          <w:szCs w:val="16"/>
        </w:rPr>
        <w:t xml:space="preserve">Date preluate de pe pagina de internet a Comisiei Naţionale de Strategie şi Prognoză – Proiecția principalilor indicatori macroeconomici – varianta de vară 2021 (http://cnp.ro/ro/prognoze)  </w:t>
      </w:r>
    </w:p>
  </w:footnote>
  <w:footnote w:id="3">
    <w:p w14:paraId="0B8B3904" w14:textId="77777777" w:rsidR="00B06C32" w:rsidRPr="00D95C57" w:rsidRDefault="00B06C32" w:rsidP="00C7702D">
      <w:pPr>
        <w:pStyle w:val="FootnoteText"/>
        <w:jc w:val="both"/>
        <w:rPr>
          <w:sz w:val="16"/>
          <w:szCs w:val="16"/>
        </w:rPr>
      </w:pPr>
      <w:r w:rsidRPr="00D95C57">
        <w:rPr>
          <w:rStyle w:val="FootnoteReference"/>
          <w:sz w:val="16"/>
          <w:szCs w:val="16"/>
        </w:rPr>
        <w:t>4</w:t>
      </w:r>
      <w:r w:rsidRPr="00D95C57">
        <w:rPr>
          <w:sz w:val="16"/>
          <w:szCs w:val="16"/>
        </w:rPr>
        <w:t xml:space="preserve"> *</w:t>
      </w:r>
      <w:r w:rsidRPr="00D95C57">
        <w:rPr>
          <w:rFonts w:asciiTheme="majorHAnsi" w:hAnsiTheme="majorHAnsi"/>
          <w:bCs/>
          <w:sz w:val="16"/>
          <w:szCs w:val="16"/>
        </w:rPr>
        <w:t>În prezentul raport ÎPC inactive nu vor fi evidențiate întrucât acestea se află în proceduri prevăzute prin Legea nr. 85/2014 ș</w:t>
      </w:r>
      <w:r>
        <w:rPr>
          <w:rFonts w:asciiTheme="majorHAnsi" w:hAnsiTheme="majorHAnsi"/>
          <w:bCs/>
          <w:sz w:val="16"/>
          <w:szCs w:val="16"/>
        </w:rPr>
        <w:t>i nu pot fi monitorizate de MF</w:t>
      </w:r>
      <w:r w:rsidRPr="00D95C57">
        <w:rPr>
          <w:rFonts w:asciiTheme="majorHAnsi" w:hAnsiTheme="majorHAnsi"/>
          <w:bCs/>
          <w:sz w:val="16"/>
          <w:szCs w:val="16"/>
        </w:rPr>
        <w:t xml:space="preserve"> în temeiul O.G. nr. 26/2013 acestea având numiți administratori speciali sau lichidatori judiciari care se ocupă de administrarea acestora pe perioada insolvenței</w:t>
      </w:r>
    </w:p>
  </w:footnote>
  <w:footnote w:id="4">
    <w:p w14:paraId="7716FEC7" w14:textId="77777777" w:rsidR="00B06C32" w:rsidRDefault="00B06C32" w:rsidP="007B25D5">
      <w:pPr>
        <w:pStyle w:val="FootnoteText"/>
      </w:pPr>
      <w:r w:rsidRPr="007F2B41">
        <w:rPr>
          <w:rStyle w:val="FootnoteReference"/>
          <w:rFonts w:asciiTheme="majorHAnsi" w:hAnsiTheme="majorHAnsi"/>
          <w:color w:val="595959" w:themeColor="text1" w:themeTint="A6"/>
          <w:sz w:val="16"/>
          <w:szCs w:val="16"/>
        </w:rPr>
        <w:footnoteRef/>
      </w:r>
      <w:r w:rsidRPr="007F2B41">
        <w:rPr>
          <w:rFonts w:asciiTheme="majorHAnsi" w:hAnsiTheme="majorHAnsi"/>
          <w:color w:val="595959" w:themeColor="text1" w:themeTint="A6"/>
          <w:sz w:val="16"/>
          <w:szCs w:val="16"/>
        </w:rPr>
        <w:t xml:space="preserve"> Ordonanța </w:t>
      </w:r>
      <w:r w:rsidRPr="00D15635">
        <w:rPr>
          <w:rFonts w:asciiTheme="majorHAnsi" w:hAnsiTheme="majorHAnsi"/>
          <w:color w:val="595959" w:themeColor="text1" w:themeTint="A6"/>
          <w:sz w:val="16"/>
          <w:szCs w:val="16"/>
        </w:rPr>
        <w:t>Guvernului nr. 26/2013 privind întărirea disciplinei financiare la nivelul unor operatori economici la care statul sau unitățile administrativ-teritoriale sunt acționari unici ori majoritari sau dețin direct ori indirect o participație majoritară</w:t>
      </w:r>
    </w:p>
  </w:footnote>
  <w:footnote w:id="5">
    <w:p w14:paraId="48391E90" w14:textId="77777777" w:rsidR="00B06C32" w:rsidRPr="00AF2322" w:rsidRDefault="00B06C32" w:rsidP="00FD6E69">
      <w:pPr>
        <w:pStyle w:val="FootnoteText"/>
        <w:jc w:val="both"/>
        <w:rPr>
          <w:rFonts w:asciiTheme="majorHAnsi" w:hAnsiTheme="majorHAnsi" w:cstheme="majorHAnsi"/>
          <w:sz w:val="16"/>
          <w:szCs w:val="16"/>
        </w:rPr>
      </w:pPr>
      <w:r w:rsidRPr="00AF2322">
        <w:rPr>
          <w:rStyle w:val="FootnoteReference"/>
          <w:rFonts w:asciiTheme="majorHAnsi" w:hAnsiTheme="majorHAnsi" w:cstheme="majorHAnsi"/>
          <w:color w:val="595959" w:themeColor="text1" w:themeTint="A6"/>
          <w:sz w:val="16"/>
          <w:szCs w:val="16"/>
        </w:rPr>
        <w:footnoteRef/>
      </w:r>
      <w:r w:rsidRPr="00AF2322">
        <w:rPr>
          <w:rFonts w:asciiTheme="majorHAnsi" w:hAnsiTheme="majorHAnsi" w:cstheme="majorHAnsi"/>
          <w:color w:val="595959" w:themeColor="text1" w:themeTint="A6"/>
          <w:sz w:val="16"/>
          <w:szCs w:val="16"/>
        </w:rPr>
        <w:t xml:space="preserve"> Conform datelor preluate de pe pagina de internet a Comisie naționale de prognoză (</w:t>
      </w:r>
      <w:hyperlink r:id="rId1" w:history="1">
        <w:r w:rsidRPr="00AF2322">
          <w:rPr>
            <w:rStyle w:val="Hyperlink"/>
            <w:rFonts w:asciiTheme="majorHAnsi" w:hAnsiTheme="majorHAnsi" w:cstheme="majorHAnsi"/>
            <w:color w:val="595959" w:themeColor="text1" w:themeTint="A6"/>
            <w:sz w:val="16"/>
            <w:szCs w:val="16"/>
          </w:rPr>
          <w:t>http://www.cnp.ro/ro/prognoze</w:t>
        </w:r>
      </w:hyperlink>
      <w:r w:rsidRPr="00AF2322">
        <w:rPr>
          <w:rFonts w:asciiTheme="majorHAnsi" w:hAnsiTheme="majorHAnsi" w:cstheme="majorHAnsi"/>
          <w:color w:val="595959" w:themeColor="text1" w:themeTint="A6"/>
          <w:sz w:val="16"/>
          <w:szCs w:val="16"/>
        </w:rPr>
        <w:t>) – Prognoza principalilor indicatori macroeconomici - varianta de vara 202</w:t>
      </w:r>
      <w:r>
        <w:rPr>
          <w:rFonts w:asciiTheme="majorHAnsi" w:hAnsiTheme="majorHAnsi" w:cstheme="majorHAnsi"/>
          <w:color w:val="595959" w:themeColor="text1" w:themeTint="A6"/>
          <w:sz w:val="16"/>
          <w:szCs w:val="16"/>
        </w:rPr>
        <w:t>1</w:t>
      </w:r>
      <w:r w:rsidRPr="00AF2322">
        <w:rPr>
          <w:rFonts w:asciiTheme="majorHAnsi" w:hAnsiTheme="majorHAnsi" w:cstheme="majorHAnsi"/>
          <w:color w:val="595959" w:themeColor="text1" w:themeTint="A6"/>
          <w:sz w:val="16"/>
          <w:szCs w:val="16"/>
        </w:rPr>
        <w:t xml:space="preserve"> valoarea PIB pentru anul 20</w:t>
      </w:r>
      <w:r>
        <w:rPr>
          <w:rFonts w:asciiTheme="majorHAnsi" w:hAnsiTheme="majorHAnsi" w:cstheme="majorHAnsi"/>
          <w:color w:val="595959" w:themeColor="text1" w:themeTint="A6"/>
          <w:sz w:val="16"/>
          <w:szCs w:val="16"/>
        </w:rPr>
        <w:t>20</w:t>
      </w:r>
      <w:r w:rsidRPr="00AF2322">
        <w:rPr>
          <w:rFonts w:asciiTheme="majorHAnsi" w:hAnsiTheme="majorHAnsi" w:cstheme="majorHAnsi"/>
          <w:color w:val="595959" w:themeColor="text1" w:themeTint="A6"/>
          <w:sz w:val="16"/>
          <w:szCs w:val="16"/>
        </w:rPr>
        <w:t xml:space="preserve"> este de 1.05</w:t>
      </w:r>
      <w:r>
        <w:rPr>
          <w:rFonts w:asciiTheme="majorHAnsi" w:hAnsiTheme="majorHAnsi" w:cstheme="majorHAnsi"/>
          <w:color w:val="595959" w:themeColor="text1" w:themeTint="A6"/>
          <w:sz w:val="16"/>
          <w:szCs w:val="16"/>
        </w:rPr>
        <w:t>5</w:t>
      </w:r>
      <w:r w:rsidRPr="00AF2322">
        <w:rPr>
          <w:rFonts w:asciiTheme="majorHAnsi" w:hAnsiTheme="majorHAnsi" w:cstheme="majorHAnsi"/>
          <w:color w:val="595959" w:themeColor="text1" w:themeTint="A6"/>
          <w:sz w:val="16"/>
          <w:szCs w:val="16"/>
        </w:rPr>
        <w:t>,</w:t>
      </w:r>
      <w:r>
        <w:rPr>
          <w:rFonts w:asciiTheme="majorHAnsi" w:hAnsiTheme="majorHAnsi" w:cstheme="majorHAnsi"/>
          <w:color w:val="595959" w:themeColor="text1" w:themeTint="A6"/>
          <w:sz w:val="16"/>
          <w:szCs w:val="16"/>
        </w:rPr>
        <w:t>5</w:t>
      </w:r>
      <w:r w:rsidRPr="00AF2322">
        <w:rPr>
          <w:rFonts w:asciiTheme="majorHAnsi" w:hAnsiTheme="majorHAnsi" w:cstheme="majorHAnsi"/>
          <w:color w:val="595959" w:themeColor="text1" w:themeTint="A6"/>
          <w:sz w:val="16"/>
          <w:szCs w:val="16"/>
        </w:rPr>
        <w:t xml:space="preserve"> mld. Lei.</w:t>
      </w:r>
    </w:p>
  </w:footnote>
  <w:footnote w:id="6">
    <w:p w14:paraId="65C48070" w14:textId="77777777" w:rsidR="00B06C32" w:rsidRDefault="00B06C32" w:rsidP="004A1E2B">
      <w:pPr>
        <w:pStyle w:val="FootnoteText"/>
        <w:jc w:val="both"/>
      </w:pPr>
      <w:r>
        <w:rPr>
          <w:rStyle w:val="FootnoteCharacters"/>
        </w:rPr>
        <w:footnoteRef/>
      </w:r>
      <w:r>
        <w:rPr>
          <w:rFonts w:asciiTheme="majorHAnsi" w:hAnsiTheme="majorHAnsi"/>
          <w:color w:val="595959" w:themeColor="text1" w:themeTint="A6"/>
          <w:sz w:val="16"/>
          <w:szCs w:val="16"/>
        </w:rPr>
        <w:t xml:space="preserve"> Prin denumirea de administrator/directori ne referim inclusiv la membrii Consiliului de administrație / Consiliului de supraveghere  și respectiv directori / directorat</w:t>
      </w:r>
    </w:p>
  </w:footnote>
  <w:footnote w:id="7">
    <w:p w14:paraId="3E80351C" w14:textId="77777777" w:rsidR="00B06C32" w:rsidRDefault="00B06C32" w:rsidP="004A1E2B">
      <w:pPr>
        <w:pStyle w:val="FootnoteText"/>
      </w:pPr>
      <w:r>
        <w:rPr>
          <w:rStyle w:val="FootnoteCharacters"/>
        </w:rPr>
        <w:footnoteRef/>
      </w:r>
      <w:r>
        <w:rPr>
          <w:color w:val="7F7F7F" w:themeColor="text1" w:themeTint="80"/>
        </w:rPr>
        <w:t xml:space="preserve"> </w:t>
      </w:r>
      <w:r>
        <w:rPr>
          <w:rFonts w:asciiTheme="majorHAnsi" w:hAnsiTheme="majorHAnsi"/>
          <w:color w:val="7F7F7F" w:themeColor="text1" w:themeTint="80"/>
          <w:sz w:val="16"/>
          <w:szCs w:val="16"/>
        </w:rPr>
        <w:t>P</w:t>
      </w:r>
      <w:r>
        <w:rPr>
          <w:rFonts w:asciiTheme="majorHAnsi" w:hAnsiTheme="majorHAnsi"/>
          <w:color w:val="595959" w:themeColor="text1" w:themeTint="A6"/>
          <w:sz w:val="16"/>
          <w:szCs w:val="16"/>
        </w:rPr>
        <w:t xml:space="preserve">rin denumirea de administratori ne referim inclusiv la membrii Consiliului de administrație / Consiliului de supraveghere, iar prin denumirea de  </w:t>
      </w:r>
      <w:r w:rsidRPr="005B70E0">
        <w:rPr>
          <w:rFonts w:asciiTheme="majorHAnsi" w:hAnsiTheme="majorHAnsi"/>
          <w:color w:val="595959" w:themeColor="text1" w:themeTint="A6"/>
          <w:sz w:val="16"/>
          <w:szCs w:val="16"/>
        </w:rPr>
        <w:t>directori</w:t>
      </w:r>
      <w:r>
        <w:rPr>
          <w:rFonts w:asciiTheme="majorHAnsi" w:hAnsiTheme="majorHAnsi"/>
          <w:color w:val="595959" w:themeColor="text1" w:themeTint="A6"/>
          <w:sz w:val="16"/>
          <w:szCs w:val="16"/>
        </w:rPr>
        <w:t xml:space="preserve"> la</w:t>
      </w:r>
      <w:r w:rsidRPr="005B70E0">
        <w:rPr>
          <w:rFonts w:asciiTheme="majorHAnsi" w:hAnsiTheme="majorHAnsi"/>
          <w:color w:val="595959" w:themeColor="text1" w:themeTint="A6"/>
          <w:sz w:val="16"/>
          <w:szCs w:val="16"/>
        </w:rPr>
        <w:t xml:space="preserve"> </w:t>
      </w:r>
      <w:r>
        <w:rPr>
          <w:rFonts w:asciiTheme="majorHAnsi" w:hAnsiTheme="majorHAnsi"/>
          <w:color w:val="595959" w:themeColor="text1" w:themeTint="A6"/>
          <w:sz w:val="16"/>
          <w:szCs w:val="16"/>
        </w:rPr>
        <w:t xml:space="preserve"> directori/ membri ai directoratului</w:t>
      </w:r>
    </w:p>
  </w:footnote>
  <w:footnote w:id="8">
    <w:p w14:paraId="578246A4" w14:textId="77777777" w:rsidR="00B06C32" w:rsidRDefault="00B06C32" w:rsidP="004A1E2B">
      <w:pPr>
        <w:pStyle w:val="FootnoteText"/>
        <w:jc w:val="both"/>
        <w:rPr>
          <w:rFonts w:asciiTheme="majorHAnsi" w:hAnsiTheme="majorHAnsi"/>
          <w:sz w:val="16"/>
          <w:szCs w:val="16"/>
        </w:rPr>
      </w:pPr>
      <w:r>
        <w:rPr>
          <w:rStyle w:val="FootnoteCharacters"/>
        </w:rPr>
        <w:footnoteRef/>
      </w:r>
      <w:r>
        <w:rPr>
          <w:rFonts w:asciiTheme="majorHAnsi" w:hAnsiTheme="majorHAnsi"/>
          <w:sz w:val="16"/>
          <w:szCs w:val="16"/>
        </w:rPr>
        <w:t xml:space="preserve"> art. 2 din Legea nr. 544/2001  privind liberul acces la informațiile de interes public, cu modificările și completările ulterioare</w:t>
      </w:r>
    </w:p>
    <w:p w14:paraId="3BDCE8C1" w14:textId="77777777" w:rsidR="00B06C32" w:rsidRDefault="00B06C32" w:rsidP="004A1E2B">
      <w:pPr>
        <w:pStyle w:val="FootnoteText"/>
        <w:jc w:val="both"/>
        <w:rPr>
          <w:rFonts w:asciiTheme="majorHAnsi" w:hAnsiTheme="majorHAnsi"/>
          <w:sz w:val="16"/>
          <w:szCs w:val="16"/>
        </w:rPr>
      </w:pPr>
      <w:r>
        <w:rPr>
          <w:rFonts w:asciiTheme="majorHAnsi" w:hAnsiTheme="majorHAnsi"/>
          <w:sz w:val="16"/>
          <w:szCs w:val="16"/>
        </w:rPr>
        <w:t>În sensul prezentei legi:</w:t>
      </w:r>
    </w:p>
    <w:p w14:paraId="24DA1286" w14:textId="77777777" w:rsidR="00B06C32" w:rsidRDefault="00B06C32" w:rsidP="004A1E2B">
      <w:pPr>
        <w:pStyle w:val="FootnoteText"/>
        <w:jc w:val="both"/>
        <w:rPr>
          <w:rFonts w:asciiTheme="majorHAnsi" w:hAnsiTheme="majorHAnsi"/>
          <w:sz w:val="16"/>
          <w:szCs w:val="16"/>
        </w:rPr>
      </w:pPr>
      <w:r>
        <w:rPr>
          <w:rFonts w:asciiTheme="majorHAnsi" w:hAnsiTheme="majorHAnsi"/>
          <w:sz w:val="16"/>
          <w:szCs w:val="16"/>
        </w:rPr>
        <w:t xml:space="preserve">    a) prin autoritate sau instituție publică se înțelege orice autoritate ori instituție publică ce utilizează sau administrează resurse financiare publice, orice regie autonomă, societate reglementată de Legea societăților nr. 31/1990, republicată, cu modificările și completările ulterioare, aflată sub autoritatea sau, după caz, în coordonarea ori în subordinea unei autorități publice centrale sau locale și la care statul român sau, după caz, o unitate administrativ-teritorială este acționar unic ori majoritar, precum și orice operator sau operator regional, astfel cum aceștia sunt definiți în Legea serviciilor comunitare de utilități publice nr. 51/2006, republicată, cu modificările și completările ulterioare. De asemenea, se supun prevederilor prezentei legi partidele politice, federațiile sportive și organizațiile neguvernamentale de utilitate publică, care beneficiază de finanțare din bani publici;</w:t>
      </w:r>
    </w:p>
    <w:p w14:paraId="5D05736C" w14:textId="77777777" w:rsidR="00B06C32" w:rsidRDefault="00B06C32" w:rsidP="004A1E2B">
      <w:pPr>
        <w:pStyle w:val="FootnoteText"/>
        <w:jc w:val="both"/>
        <w:rPr>
          <w:rFonts w:asciiTheme="majorHAnsi" w:hAnsiTheme="majorHAnsi"/>
          <w:sz w:val="16"/>
          <w:szCs w:val="16"/>
        </w:rPr>
      </w:pPr>
      <w:r>
        <w:rPr>
          <w:rFonts w:asciiTheme="majorHAnsi" w:hAnsiTheme="majorHAnsi"/>
          <w:sz w:val="16"/>
          <w:szCs w:val="16"/>
        </w:rPr>
        <w:t xml:space="preserve">    b) prin informație de interes public se înțelege orice informație care privește activitățile sau rezultă din activitățile unei autorități publice sau instituții publice, indiferent de suportul ori de forma sau de modul de exprimare a informației;</w:t>
      </w:r>
    </w:p>
    <w:p w14:paraId="3529E0C9" w14:textId="77777777" w:rsidR="00B06C32" w:rsidRDefault="00B06C32" w:rsidP="004A1E2B">
      <w:pPr>
        <w:pStyle w:val="FootnoteText"/>
        <w:jc w:val="both"/>
      </w:pPr>
      <w:r>
        <w:rPr>
          <w:rFonts w:asciiTheme="majorHAnsi" w:hAnsiTheme="majorHAnsi"/>
          <w:sz w:val="16"/>
          <w:szCs w:val="16"/>
        </w:rPr>
        <w:t xml:space="preserve">    c) prin informație cu privire la datele personale se înțelege orice informație privind o persoană fizică identificată sau identificabilă.</w:t>
      </w:r>
    </w:p>
  </w:footnote>
  <w:footnote w:id="9">
    <w:p w14:paraId="52566755" w14:textId="77777777" w:rsidR="00B06C32" w:rsidRPr="00AF2322" w:rsidRDefault="00B06C32" w:rsidP="00AF2322">
      <w:pPr>
        <w:pStyle w:val="ListParagraph"/>
        <w:ind w:left="0"/>
        <w:jc w:val="both"/>
        <w:rPr>
          <w:rFonts w:asciiTheme="majorHAnsi" w:hAnsiTheme="majorHAnsi"/>
          <w:color w:val="595959" w:themeColor="text1" w:themeTint="A6"/>
          <w:sz w:val="16"/>
          <w:szCs w:val="16"/>
        </w:rPr>
      </w:pPr>
      <w:r w:rsidRPr="005E32C4">
        <w:rPr>
          <w:rFonts w:asciiTheme="majorHAnsi" w:hAnsiTheme="majorHAnsi"/>
          <w:sz w:val="16"/>
          <w:szCs w:val="16"/>
          <w:vertAlign w:val="superscript"/>
        </w:rPr>
        <w:t>*</w:t>
      </w:r>
      <w:r w:rsidRPr="005E32C4">
        <w:rPr>
          <w:rFonts w:asciiTheme="majorHAnsi" w:hAnsiTheme="majorHAnsi"/>
          <w:sz w:val="16"/>
          <w:szCs w:val="16"/>
          <w:vertAlign w:val="superscript"/>
        </w:rPr>
        <w:footnoteRef/>
      </w:r>
      <w:r w:rsidRPr="005E32C4">
        <w:rPr>
          <w:rFonts w:asciiTheme="majorHAnsi" w:hAnsiTheme="majorHAnsi"/>
          <w:sz w:val="16"/>
          <w:szCs w:val="16"/>
          <w:vertAlign w:val="superscript"/>
        </w:rPr>
        <w:t xml:space="preserve"> </w:t>
      </w:r>
      <w:r w:rsidRPr="005E32C4">
        <w:rPr>
          <w:rFonts w:asciiTheme="majorHAnsi" w:hAnsiTheme="majorHAnsi"/>
          <w:sz w:val="16"/>
          <w:szCs w:val="16"/>
        </w:rPr>
        <w:t>În prezentul raport ÎPL inactive nu vor fi evidențiate întrucât acestea se află în proceduri prevăzute prin Legea nr. 85/2014 și nu pot fi monitorizate de MF în temeiul sau O.G. nr. 26/2013 acestea având numiți administratori speciali sau lichidatori judiciari care se ocupă de administrarea acestora pe perioada insolvenței.</w:t>
      </w:r>
    </w:p>
  </w:footnote>
  <w:footnote w:id="10">
    <w:p w14:paraId="57C70CBB" w14:textId="77777777" w:rsidR="00B06C32" w:rsidRPr="008617A1" w:rsidRDefault="00B06C32" w:rsidP="00CF4E49">
      <w:pPr>
        <w:pStyle w:val="FootnoteText"/>
        <w:jc w:val="both"/>
        <w:rPr>
          <w:rFonts w:asciiTheme="majorHAnsi" w:hAnsiTheme="majorHAnsi"/>
          <w:color w:val="595959" w:themeColor="text1" w:themeTint="A6"/>
          <w:sz w:val="16"/>
          <w:szCs w:val="16"/>
        </w:rPr>
      </w:pPr>
      <w:r w:rsidRPr="008617A1">
        <w:rPr>
          <w:rStyle w:val="FootnoteReference"/>
          <w:rFonts w:asciiTheme="majorHAnsi" w:hAnsiTheme="majorHAnsi"/>
          <w:color w:val="595959" w:themeColor="text1" w:themeTint="A6"/>
          <w:sz w:val="16"/>
          <w:szCs w:val="16"/>
        </w:rPr>
        <w:footnoteRef/>
      </w:r>
      <w:r w:rsidRPr="008617A1">
        <w:rPr>
          <w:rFonts w:asciiTheme="majorHAnsi" w:hAnsiTheme="majorHAnsi"/>
          <w:color w:val="595959" w:themeColor="text1" w:themeTint="A6"/>
          <w:sz w:val="16"/>
          <w:szCs w:val="16"/>
        </w:rPr>
        <w:t xml:space="preserve"> </w:t>
      </w:r>
      <w:r w:rsidRPr="00AF2322">
        <w:rPr>
          <w:rFonts w:asciiTheme="majorHAnsi" w:hAnsiTheme="majorHAnsi"/>
          <w:color w:val="595959" w:themeColor="text1" w:themeTint="A6"/>
          <w:sz w:val="16"/>
          <w:szCs w:val="16"/>
        </w:rPr>
        <w:t>Ordonanța Guvernului nr. 26/2013  privind întărirea disciplinei financiare la nivelul unor operatori economici la care statul sau unitățile administrativ-teritoriale sunt acționari unici ori majoritari sau dețin direct ori indirect o participație majoritară</w:t>
      </w:r>
    </w:p>
  </w:footnote>
  <w:footnote w:id="11">
    <w:p w14:paraId="0C0739A1" w14:textId="77777777" w:rsidR="00B06C32" w:rsidRDefault="00B06C32" w:rsidP="0040167B">
      <w:pPr>
        <w:pStyle w:val="FootnoteText"/>
        <w:jc w:val="both"/>
        <w:rPr>
          <w:rFonts w:asciiTheme="majorHAnsi" w:hAnsiTheme="majorHAnsi"/>
          <w:color w:val="595959" w:themeColor="text1" w:themeTint="A6"/>
          <w:sz w:val="16"/>
          <w:szCs w:val="16"/>
          <w:lang w:val="en-US"/>
        </w:rPr>
      </w:pPr>
      <w:r>
        <w:rPr>
          <w:rStyle w:val="FootnoteReference"/>
          <w:rFonts w:asciiTheme="majorHAnsi" w:hAnsiTheme="majorHAnsi"/>
          <w:color w:val="595959" w:themeColor="text1" w:themeTint="A6"/>
          <w:sz w:val="16"/>
          <w:szCs w:val="16"/>
        </w:rPr>
        <w:footnoteRef/>
      </w:r>
      <w:r>
        <w:rPr>
          <w:rFonts w:asciiTheme="majorHAnsi" w:hAnsiTheme="majorHAnsi"/>
          <w:color w:val="595959" w:themeColor="text1" w:themeTint="A6"/>
          <w:sz w:val="16"/>
          <w:szCs w:val="16"/>
        </w:rPr>
        <w:t xml:space="preserve"> Prin denumirea de administratori/directori ne referim inclusiv la membrii Consiliului de administrație / Consiliului de supraveghere / directori / directorat</w:t>
      </w:r>
      <w:r>
        <w:rPr>
          <w:rFonts w:asciiTheme="majorHAnsi" w:hAnsiTheme="majorHAnsi"/>
          <w:color w:val="595959" w:themeColor="text1" w:themeTint="A6"/>
          <w:sz w:val="16"/>
          <w:szCs w:val="16"/>
          <w:lang w:val="en-US"/>
        </w:rPr>
        <w:t>;</w:t>
      </w:r>
    </w:p>
  </w:footnote>
  <w:footnote w:id="12">
    <w:p w14:paraId="0C3A8106" w14:textId="77777777" w:rsidR="00B06C32" w:rsidRDefault="00B06C32" w:rsidP="0040167B">
      <w:pPr>
        <w:pStyle w:val="FootnoteText"/>
        <w:jc w:val="both"/>
        <w:rPr>
          <w:rFonts w:asciiTheme="majorHAnsi" w:hAnsiTheme="majorHAnsi"/>
        </w:rPr>
      </w:pPr>
      <w:r>
        <w:rPr>
          <w:rStyle w:val="FootnoteReference"/>
          <w:rFonts w:asciiTheme="majorHAnsi" w:hAnsiTheme="majorHAnsi"/>
          <w:color w:val="595959" w:themeColor="text1" w:themeTint="A6"/>
          <w:sz w:val="16"/>
          <w:szCs w:val="16"/>
        </w:rPr>
        <w:footnoteRef/>
      </w:r>
      <w:r>
        <w:rPr>
          <w:rFonts w:asciiTheme="majorHAnsi" w:hAnsiTheme="majorHAnsi"/>
          <w:color w:val="595959" w:themeColor="text1" w:themeTint="A6"/>
          <w:sz w:val="16"/>
          <w:szCs w:val="16"/>
        </w:rPr>
        <w:t xml:space="preserve"> prevederile art. 60, alin. (2) din O.U.G. nr. 109/2011 , „Prin derogare de la prevederile art. 28 alin. (1), art. 29 și art. 34, în cazul societăților înființate conform Legii nr. 31/1990, republicată, cu modificările și completările ulterioare, care nu sunt organizate ca societăți pe acțiuni, numărul administratorilor și procedura de selecție a acestora, precum și constituirea unor comitete ale administratorilor sunt stabilite de autoritatea publică tutelară prin actul constitutiv al societăților respective”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6" w:type="dxa"/>
      <w:tblBorders>
        <w:top w:val="none" w:sz="0" w:space="0" w:color="auto"/>
        <w:left w:val="none" w:sz="0" w:space="0" w:color="auto"/>
        <w:bottom w:val="single" w:sz="4" w:space="0" w:color="21B2C9" w:themeColor="background2" w:themeShade="80"/>
        <w:right w:val="none" w:sz="0" w:space="0" w:color="auto"/>
        <w:insideH w:val="single" w:sz="4" w:space="0" w:color="21B2C9" w:themeColor="background2" w:themeShade="80"/>
        <w:insideV w:val="none" w:sz="0" w:space="0" w:color="auto"/>
      </w:tblBorders>
      <w:tblLook w:val="04A0" w:firstRow="1" w:lastRow="0" w:firstColumn="1" w:lastColumn="0" w:noHBand="0" w:noVBand="1"/>
    </w:tblPr>
    <w:tblGrid>
      <w:gridCol w:w="1645"/>
      <w:gridCol w:w="335"/>
      <w:gridCol w:w="7376"/>
    </w:tblGrid>
    <w:tr w:rsidR="00B06C32" w:rsidRPr="00366C04" w14:paraId="490249C3" w14:textId="77777777" w:rsidTr="00D720D9">
      <w:trPr>
        <w:trHeight w:val="510"/>
      </w:trPr>
      <w:tc>
        <w:tcPr>
          <w:tcW w:w="1701" w:type="dxa"/>
          <w:tcBorders>
            <w:top w:val="nil"/>
            <w:bottom w:val="single" w:sz="4" w:space="0" w:color="404040" w:themeColor="text1" w:themeTint="BF"/>
          </w:tcBorders>
          <w:vAlign w:val="bottom"/>
        </w:tcPr>
        <w:sdt>
          <w:sdtPr>
            <w:rPr>
              <w:rFonts w:asciiTheme="majorHAnsi" w:eastAsiaTheme="majorEastAsia" w:hAnsiTheme="majorHAnsi" w:cstheme="majorBidi"/>
              <w:sz w:val="48"/>
              <w:szCs w:val="48"/>
            </w:rPr>
            <w:id w:val="1721707204"/>
            <w:docPartObj>
              <w:docPartGallery w:val="Page Numbers (Margins)"/>
              <w:docPartUnique/>
            </w:docPartObj>
          </w:sdtPr>
          <w:sdtContent>
            <w:sdt>
              <w:sdtPr>
                <w:rPr>
                  <w:rFonts w:asciiTheme="majorHAnsi" w:eastAsiaTheme="majorEastAsia" w:hAnsiTheme="majorHAnsi" w:cstheme="majorBidi"/>
                  <w:sz w:val="48"/>
                  <w:szCs w:val="48"/>
                </w:rPr>
                <w:id w:val="-451856644"/>
                <w:docPartObj>
                  <w:docPartGallery w:val="Page Numbers (Margins)"/>
                  <w:docPartUnique/>
                </w:docPartObj>
              </w:sdtPr>
              <w:sdtContent>
                <w:p w14:paraId="450AC864" w14:textId="67967BA7" w:rsidR="00B06C32" w:rsidRPr="00D628CF" w:rsidRDefault="00B06C32" w:rsidP="00D628CF">
                  <w:pPr>
                    <w:jc w:val="center"/>
                    <w:rPr>
                      <w:rFonts w:asciiTheme="majorHAnsi" w:eastAsiaTheme="majorEastAsia" w:hAnsiTheme="majorHAnsi" w:cstheme="majorBidi"/>
                      <w:sz w:val="48"/>
                      <w:szCs w:val="48"/>
                    </w:rPr>
                  </w:pPr>
                  <w:r w:rsidRPr="00366C04">
                    <w:rPr>
                      <w:rFonts w:eastAsiaTheme="minorEastAsia" w:cs="Times New Roman"/>
                      <w:sz w:val="22"/>
                      <w:szCs w:val="22"/>
                    </w:rPr>
                    <w:fldChar w:fldCharType="begin"/>
                  </w:r>
                  <w:r w:rsidRPr="00366C04">
                    <w:instrText xml:space="preserve"> PAGE   \* MERGEFORMAT </w:instrText>
                  </w:r>
                  <w:r w:rsidRPr="00366C04">
                    <w:rPr>
                      <w:rFonts w:eastAsiaTheme="minorEastAsia" w:cs="Times New Roman"/>
                      <w:sz w:val="22"/>
                      <w:szCs w:val="22"/>
                    </w:rPr>
                    <w:fldChar w:fldCharType="separate"/>
                  </w:r>
                  <w:r w:rsidR="00DE60B1" w:rsidRPr="00DE60B1">
                    <w:rPr>
                      <w:rFonts w:asciiTheme="majorHAnsi" w:eastAsiaTheme="majorEastAsia" w:hAnsiTheme="majorHAnsi" w:cstheme="majorBidi"/>
                      <w:noProof/>
                      <w:sz w:val="48"/>
                      <w:szCs w:val="48"/>
                    </w:rPr>
                    <w:t>2</w:t>
                  </w:r>
                  <w:r w:rsidRPr="00366C04">
                    <w:rPr>
                      <w:rFonts w:asciiTheme="majorHAnsi" w:eastAsiaTheme="majorEastAsia" w:hAnsiTheme="majorHAnsi" w:cstheme="majorBidi"/>
                      <w:noProof/>
                      <w:sz w:val="48"/>
                      <w:szCs w:val="48"/>
                    </w:rPr>
                    <w:fldChar w:fldCharType="end"/>
                  </w:r>
                </w:p>
              </w:sdtContent>
            </w:sdt>
          </w:sdtContent>
        </w:sdt>
      </w:tc>
      <w:tc>
        <w:tcPr>
          <w:tcW w:w="340" w:type="dxa"/>
          <w:tcBorders>
            <w:top w:val="nil"/>
            <w:bottom w:val="nil"/>
          </w:tcBorders>
        </w:tcPr>
        <w:p w14:paraId="49B677F3" w14:textId="77777777" w:rsidR="00B06C32" w:rsidRDefault="00B06C32">
          <w:pPr>
            <w:pStyle w:val="Header"/>
          </w:pPr>
        </w:p>
      </w:tc>
      <w:tc>
        <w:tcPr>
          <w:tcW w:w="7654" w:type="dxa"/>
          <w:tcBorders>
            <w:top w:val="nil"/>
            <w:bottom w:val="single" w:sz="4" w:space="0" w:color="404040" w:themeColor="text1" w:themeTint="BF"/>
          </w:tcBorders>
          <w:vAlign w:val="bottom"/>
        </w:tcPr>
        <w:p w14:paraId="78247406" w14:textId="77777777" w:rsidR="00B06C32" w:rsidRPr="00366C04" w:rsidRDefault="00B06C32" w:rsidP="005C2C5F">
          <w:pPr>
            <w:pStyle w:val="Header"/>
            <w:jc w:val="right"/>
          </w:pPr>
          <w:r w:rsidRPr="00366C04">
            <w:t>Raport privind activitatea întreprinderilor publice</w:t>
          </w:r>
        </w:p>
        <w:p w14:paraId="298406B6" w14:textId="77777777" w:rsidR="00B06C32" w:rsidRPr="00366C04" w:rsidRDefault="00B06C32" w:rsidP="00E25344">
          <w:pPr>
            <w:pStyle w:val="Header"/>
            <w:jc w:val="right"/>
          </w:pPr>
          <w:r w:rsidRPr="00366C04">
            <w:t>în anul 2020</w:t>
          </w:r>
        </w:p>
      </w:tc>
    </w:tr>
  </w:tbl>
  <w:p w14:paraId="77D488EA" w14:textId="77777777" w:rsidR="00B06C32" w:rsidRDefault="00B06C3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6" w:type="dxa"/>
      <w:tblBorders>
        <w:top w:val="none" w:sz="0" w:space="0" w:color="auto"/>
        <w:left w:val="none" w:sz="0" w:space="0" w:color="auto"/>
        <w:bottom w:val="single" w:sz="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7376"/>
      <w:gridCol w:w="335"/>
      <w:gridCol w:w="1645"/>
    </w:tblGrid>
    <w:tr w:rsidR="00B06C32" w:rsidRPr="00D95C57" w14:paraId="5FE23154" w14:textId="77777777" w:rsidTr="00D720D9">
      <w:trPr>
        <w:trHeight w:val="510"/>
      </w:trPr>
      <w:tc>
        <w:tcPr>
          <w:tcW w:w="7654" w:type="dxa"/>
          <w:vAlign w:val="bottom"/>
        </w:tcPr>
        <w:p w14:paraId="145D9E1C" w14:textId="77777777" w:rsidR="00B06C32" w:rsidRPr="00366C04" w:rsidRDefault="00B06C32" w:rsidP="00364339">
          <w:pPr>
            <w:pStyle w:val="Header"/>
          </w:pPr>
          <w:r w:rsidRPr="00366C04">
            <w:t xml:space="preserve">Raport privind activitatea întreprinderilor publice </w:t>
          </w:r>
        </w:p>
        <w:p w14:paraId="668749EC" w14:textId="77777777" w:rsidR="00B06C32" w:rsidRPr="00D95C57" w:rsidRDefault="00B06C32" w:rsidP="000873CD">
          <w:pPr>
            <w:pStyle w:val="Header"/>
          </w:pPr>
          <w:r w:rsidRPr="00366C04">
            <w:t xml:space="preserve">în anul 2020                                                              </w:t>
          </w:r>
        </w:p>
      </w:tc>
      <w:tc>
        <w:tcPr>
          <w:tcW w:w="340" w:type="dxa"/>
          <w:tcBorders>
            <w:bottom w:val="nil"/>
          </w:tcBorders>
        </w:tcPr>
        <w:p w14:paraId="6F2BD3F3" w14:textId="77777777" w:rsidR="00B06C32" w:rsidRPr="00D95C57" w:rsidRDefault="00B06C32" w:rsidP="00F62324">
          <w:pPr>
            <w:pStyle w:val="Header"/>
          </w:pPr>
        </w:p>
      </w:tc>
      <w:tc>
        <w:tcPr>
          <w:tcW w:w="1701" w:type="dxa"/>
          <w:vAlign w:val="bottom"/>
        </w:tcPr>
        <w:sdt>
          <w:sdtPr>
            <w:rPr>
              <w:rFonts w:asciiTheme="majorHAnsi" w:eastAsiaTheme="majorEastAsia" w:hAnsiTheme="majorHAnsi" w:cstheme="majorBidi"/>
              <w:sz w:val="48"/>
              <w:szCs w:val="48"/>
            </w:rPr>
            <w:id w:val="-1108500563"/>
            <w:docPartObj>
              <w:docPartGallery w:val="Page Numbers (Margins)"/>
              <w:docPartUnique/>
            </w:docPartObj>
          </w:sdtPr>
          <w:sdtContent>
            <w:sdt>
              <w:sdtPr>
                <w:rPr>
                  <w:rFonts w:asciiTheme="majorHAnsi" w:eastAsiaTheme="majorEastAsia" w:hAnsiTheme="majorHAnsi" w:cstheme="majorBidi"/>
                  <w:sz w:val="48"/>
                  <w:szCs w:val="48"/>
                </w:rPr>
                <w:id w:val="513271275"/>
                <w:docPartObj>
                  <w:docPartGallery w:val="Page Numbers (Margins)"/>
                  <w:docPartUnique/>
                </w:docPartObj>
              </w:sdtPr>
              <w:sdtContent>
                <w:p w14:paraId="7F6EFCB9" w14:textId="05503D0F" w:rsidR="00B06C32" w:rsidRPr="00D95C57" w:rsidRDefault="00B06C32" w:rsidP="00D628CF">
                  <w:pPr>
                    <w:jc w:val="center"/>
                    <w:rPr>
                      <w:rFonts w:asciiTheme="majorHAnsi" w:eastAsiaTheme="majorEastAsia" w:hAnsiTheme="majorHAnsi" w:cstheme="majorBidi"/>
                      <w:sz w:val="48"/>
                      <w:szCs w:val="44"/>
                    </w:rPr>
                  </w:pPr>
                  <w:r w:rsidRPr="00D95C57">
                    <w:rPr>
                      <w:rFonts w:eastAsiaTheme="minorEastAsia" w:cs="Times New Roman"/>
                      <w:sz w:val="22"/>
                      <w:szCs w:val="22"/>
                    </w:rPr>
                    <w:fldChar w:fldCharType="begin"/>
                  </w:r>
                  <w:r w:rsidRPr="00D95C57">
                    <w:instrText xml:space="preserve"> PAGE   \* MERGEFORMAT </w:instrText>
                  </w:r>
                  <w:r w:rsidRPr="00D95C57">
                    <w:rPr>
                      <w:rFonts w:eastAsiaTheme="minorEastAsia" w:cs="Times New Roman"/>
                      <w:sz w:val="22"/>
                      <w:szCs w:val="22"/>
                    </w:rPr>
                    <w:fldChar w:fldCharType="separate"/>
                  </w:r>
                  <w:r w:rsidR="00DE60B1" w:rsidRPr="00DE60B1">
                    <w:rPr>
                      <w:rFonts w:asciiTheme="majorHAnsi" w:eastAsiaTheme="majorEastAsia" w:hAnsiTheme="majorHAnsi" w:cstheme="majorBidi"/>
                      <w:noProof/>
                      <w:sz w:val="48"/>
                      <w:szCs w:val="48"/>
                    </w:rPr>
                    <w:t>19</w:t>
                  </w:r>
                  <w:r w:rsidRPr="00D95C57">
                    <w:rPr>
                      <w:rFonts w:asciiTheme="majorHAnsi" w:eastAsiaTheme="majorEastAsia" w:hAnsiTheme="majorHAnsi" w:cstheme="majorBidi"/>
                      <w:noProof/>
                      <w:sz w:val="48"/>
                      <w:szCs w:val="48"/>
                    </w:rPr>
                    <w:fldChar w:fldCharType="end"/>
                  </w:r>
                </w:p>
              </w:sdtContent>
            </w:sdt>
          </w:sdtContent>
        </w:sdt>
      </w:tc>
    </w:tr>
  </w:tbl>
  <w:p w14:paraId="038B418E" w14:textId="77777777" w:rsidR="00B06C32" w:rsidRPr="00F62324" w:rsidRDefault="00B06C32" w:rsidP="00D628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hint="default"/>
        <w:color w:val="000000"/>
        <w:kern w:val="2"/>
        <w:sz w:val="20"/>
        <w:szCs w:val="20"/>
        <w:lang w:val="ro-RO" w:eastAsia="ja-JP"/>
      </w:rPr>
    </w:lvl>
  </w:abstractNum>
  <w:abstractNum w:abstractNumId="1" w15:restartNumberingAfterBreak="0">
    <w:nsid w:val="020C4305"/>
    <w:multiLevelType w:val="hybridMultilevel"/>
    <w:tmpl w:val="9D3A391E"/>
    <w:lvl w:ilvl="0" w:tplc="0418000D">
      <w:start w:val="1"/>
      <w:numFmt w:val="bullet"/>
      <w:lvlText w:val=""/>
      <w:lvlJc w:val="left"/>
      <w:pPr>
        <w:tabs>
          <w:tab w:val="num" w:pos="1080"/>
        </w:tabs>
        <w:ind w:left="1080" w:hanging="360"/>
      </w:pPr>
      <w:rPr>
        <w:rFonts w:ascii="Wingdings" w:hAnsi="Wingdings" w:hint="default"/>
      </w:rPr>
    </w:lvl>
    <w:lvl w:ilvl="1" w:tplc="0418000D">
      <w:start w:val="1"/>
      <w:numFmt w:val="bullet"/>
      <w:lvlText w:val=""/>
      <w:lvlJc w:val="left"/>
      <w:pPr>
        <w:ind w:left="1800" w:hanging="360"/>
      </w:pPr>
      <w:rPr>
        <w:rFonts w:ascii="Wingdings" w:hAnsi="Wingdings" w:hint="default"/>
      </w:rPr>
    </w:lvl>
    <w:lvl w:ilvl="2" w:tplc="B300B806">
      <w:start w:val="1"/>
      <w:numFmt w:val="bullet"/>
      <w:lvlText w:val=""/>
      <w:lvlJc w:val="left"/>
      <w:pPr>
        <w:ind w:left="2865" w:hanging="705"/>
      </w:pPr>
      <w:rPr>
        <w:rFonts w:ascii="Wingdings" w:hAnsi="Wingdings" w:hint="default"/>
        <w:color w:val="0F6FC6" w:themeColor="accent1"/>
        <w:sz w:val="16"/>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FA1658"/>
    <w:multiLevelType w:val="hybridMultilevel"/>
    <w:tmpl w:val="EC1CB78C"/>
    <w:lvl w:ilvl="0" w:tplc="ED50AE5A">
      <w:start w:val="1"/>
      <w:numFmt w:val="upperLetter"/>
      <w:lvlText w:val="%1."/>
      <w:lvlJc w:val="left"/>
      <w:pPr>
        <w:ind w:left="720" w:hanging="360"/>
      </w:pPr>
      <w:rPr>
        <w:rFonts w:hint="default"/>
        <w:b/>
        <w:color w:val="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0502B"/>
    <w:multiLevelType w:val="hybridMultilevel"/>
    <w:tmpl w:val="935CA426"/>
    <w:lvl w:ilvl="0" w:tplc="BFFEE722">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84F0219"/>
    <w:multiLevelType w:val="hybridMultilevel"/>
    <w:tmpl w:val="3DEC0556"/>
    <w:lvl w:ilvl="0" w:tplc="0418000F">
      <w:start w:val="1"/>
      <w:numFmt w:val="decimal"/>
      <w:lvlText w:val="%1."/>
      <w:lvlJc w:val="left"/>
      <w:pPr>
        <w:ind w:left="1490" w:hanging="360"/>
      </w:pPr>
    </w:lvl>
    <w:lvl w:ilvl="1" w:tplc="04090019">
      <w:start w:val="1"/>
      <w:numFmt w:val="lowerLetter"/>
      <w:lvlText w:val="%2."/>
      <w:lvlJc w:val="left"/>
      <w:pPr>
        <w:ind w:left="2210" w:hanging="360"/>
      </w:pPr>
    </w:lvl>
    <w:lvl w:ilvl="2" w:tplc="0409001B">
      <w:start w:val="1"/>
      <w:numFmt w:val="lowerRoman"/>
      <w:lvlText w:val="%3."/>
      <w:lvlJc w:val="right"/>
      <w:pPr>
        <w:ind w:left="2930" w:hanging="180"/>
      </w:pPr>
    </w:lvl>
    <w:lvl w:ilvl="3" w:tplc="0409000F">
      <w:start w:val="1"/>
      <w:numFmt w:val="decimal"/>
      <w:lvlText w:val="%4."/>
      <w:lvlJc w:val="left"/>
      <w:pPr>
        <w:ind w:left="3650" w:hanging="360"/>
      </w:pPr>
    </w:lvl>
    <w:lvl w:ilvl="4" w:tplc="04090019">
      <w:start w:val="1"/>
      <w:numFmt w:val="lowerLetter"/>
      <w:lvlText w:val="%5."/>
      <w:lvlJc w:val="left"/>
      <w:pPr>
        <w:ind w:left="4370" w:hanging="360"/>
      </w:pPr>
    </w:lvl>
    <w:lvl w:ilvl="5" w:tplc="0409001B">
      <w:start w:val="1"/>
      <w:numFmt w:val="lowerRoman"/>
      <w:lvlText w:val="%6."/>
      <w:lvlJc w:val="right"/>
      <w:pPr>
        <w:ind w:left="5090" w:hanging="180"/>
      </w:pPr>
    </w:lvl>
    <w:lvl w:ilvl="6" w:tplc="0409000F">
      <w:start w:val="1"/>
      <w:numFmt w:val="decimal"/>
      <w:lvlText w:val="%7."/>
      <w:lvlJc w:val="left"/>
      <w:pPr>
        <w:ind w:left="5810" w:hanging="360"/>
      </w:pPr>
    </w:lvl>
    <w:lvl w:ilvl="7" w:tplc="04090019">
      <w:start w:val="1"/>
      <w:numFmt w:val="lowerLetter"/>
      <w:lvlText w:val="%8."/>
      <w:lvlJc w:val="left"/>
      <w:pPr>
        <w:ind w:left="6530" w:hanging="360"/>
      </w:pPr>
    </w:lvl>
    <w:lvl w:ilvl="8" w:tplc="0409001B">
      <w:start w:val="1"/>
      <w:numFmt w:val="lowerRoman"/>
      <w:lvlText w:val="%9."/>
      <w:lvlJc w:val="right"/>
      <w:pPr>
        <w:ind w:left="7250" w:hanging="180"/>
      </w:pPr>
    </w:lvl>
  </w:abstractNum>
  <w:abstractNum w:abstractNumId="5" w15:restartNumberingAfterBreak="0">
    <w:nsid w:val="0BB41F03"/>
    <w:multiLevelType w:val="multilevel"/>
    <w:tmpl w:val="D3EA2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E3661B5"/>
    <w:multiLevelType w:val="hybridMultilevel"/>
    <w:tmpl w:val="6CEC15F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6CA08CC"/>
    <w:multiLevelType w:val="hybridMultilevel"/>
    <w:tmpl w:val="B29A32C4"/>
    <w:lvl w:ilvl="0" w:tplc="04180017">
      <w:start w:val="1"/>
      <w:numFmt w:val="lowerLetter"/>
      <w:lvlText w:val="%1)"/>
      <w:lvlJc w:val="left"/>
      <w:pPr>
        <w:ind w:left="720" w:hanging="360"/>
      </w:pPr>
    </w:lvl>
    <w:lvl w:ilvl="1" w:tplc="20BADC1E">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8EC54CE"/>
    <w:multiLevelType w:val="multilevel"/>
    <w:tmpl w:val="4B44BC92"/>
    <w:lvl w:ilvl="0">
      <w:start w:val="1"/>
      <w:numFmt w:val="bullet"/>
      <w:lvlText w:val=""/>
      <w:lvlJc w:val="left"/>
      <w:pPr>
        <w:ind w:left="1004" w:hanging="360"/>
      </w:pPr>
      <w:rPr>
        <w:rFonts w:ascii="Wingdings" w:hAnsi="Wingdings" w:cs="Wingdings" w:hint="default"/>
        <w:color w:val="595959"/>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9" w15:restartNumberingAfterBreak="0">
    <w:nsid w:val="1A9D4021"/>
    <w:multiLevelType w:val="hybridMultilevel"/>
    <w:tmpl w:val="F274E43E"/>
    <w:lvl w:ilvl="0" w:tplc="B300B806">
      <w:start w:val="1"/>
      <w:numFmt w:val="bullet"/>
      <w:lvlText w:val=""/>
      <w:lvlJc w:val="left"/>
      <w:pPr>
        <w:ind w:left="720" w:hanging="360"/>
      </w:pPr>
      <w:rPr>
        <w:rFonts w:ascii="Wingdings" w:hAnsi="Wingdings" w:hint="default"/>
        <w:color w:val="0F6FC6" w:themeColor="accent1"/>
        <w:sz w:val="16"/>
      </w:rPr>
    </w:lvl>
    <w:lvl w:ilvl="1" w:tplc="B300B806">
      <w:start w:val="1"/>
      <w:numFmt w:val="bullet"/>
      <w:lvlText w:val=""/>
      <w:lvlJc w:val="left"/>
      <w:pPr>
        <w:ind w:left="1440" w:hanging="360"/>
      </w:pPr>
      <w:rPr>
        <w:rFonts w:ascii="Wingdings" w:hAnsi="Wingdings" w:hint="default"/>
        <w:color w:val="0F6FC6" w:themeColor="accent1"/>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6394F"/>
    <w:multiLevelType w:val="hybridMultilevel"/>
    <w:tmpl w:val="56E405AA"/>
    <w:lvl w:ilvl="0" w:tplc="8BE2C52C">
      <w:start w:val="1"/>
      <w:numFmt w:val="bullet"/>
      <w:lvlText w:val=""/>
      <w:lvlJc w:val="left"/>
      <w:pPr>
        <w:ind w:left="720" w:hanging="360"/>
      </w:pPr>
      <w:rPr>
        <w:rFonts w:ascii="Wingdings" w:hAnsi="Wingdings" w:hint="default"/>
        <w:color w:val="0F6FC6" w:themeColor="accent1"/>
        <w:sz w:val="16"/>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46A50"/>
    <w:multiLevelType w:val="hybridMultilevel"/>
    <w:tmpl w:val="87CE6A84"/>
    <w:lvl w:ilvl="0" w:tplc="B300B806">
      <w:start w:val="1"/>
      <w:numFmt w:val="bullet"/>
      <w:lvlText w:val=""/>
      <w:lvlJc w:val="left"/>
      <w:pPr>
        <w:ind w:left="720" w:hanging="360"/>
      </w:pPr>
      <w:rPr>
        <w:rFonts w:ascii="Wingdings" w:hAnsi="Wingdings" w:hint="default"/>
        <w:color w:val="0F6FC6" w:themeColor="accent1"/>
        <w:sz w:val="16"/>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17C4C9F"/>
    <w:multiLevelType w:val="multilevel"/>
    <w:tmpl w:val="7B3639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210795D"/>
    <w:multiLevelType w:val="hybridMultilevel"/>
    <w:tmpl w:val="23C00716"/>
    <w:lvl w:ilvl="0" w:tplc="477E1BD8">
      <w:start w:val="1"/>
      <w:numFmt w:val="bullet"/>
      <w:lvlText w:val=""/>
      <w:lvlJc w:val="left"/>
      <w:pPr>
        <w:ind w:left="720" w:hanging="360"/>
      </w:pPr>
      <w:rPr>
        <w:rFonts w:ascii="Wingdings" w:hAnsi="Wingdings" w:hint="default"/>
        <w:color w:val="0F6FC6" w:themeColor="accent1"/>
        <w:sz w:val="16"/>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3C02ED3"/>
    <w:multiLevelType w:val="hybridMultilevel"/>
    <w:tmpl w:val="3AA07F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B82C11"/>
    <w:multiLevelType w:val="hybridMultilevel"/>
    <w:tmpl w:val="EB3C0024"/>
    <w:lvl w:ilvl="0" w:tplc="C400AB7C">
      <w:start w:val="1"/>
      <w:numFmt w:val="bullet"/>
      <w:lvlText w:val=""/>
      <w:lvlJc w:val="left"/>
      <w:pPr>
        <w:ind w:left="1004" w:hanging="360"/>
      </w:pPr>
      <w:rPr>
        <w:rFonts w:ascii="Wingdings" w:hAnsi="Wingdings" w:hint="default"/>
        <w:color w:val="0F6FC6" w:themeColor="accent1"/>
        <w:sz w:val="16"/>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6" w15:restartNumberingAfterBreak="0">
    <w:nsid w:val="28631D37"/>
    <w:multiLevelType w:val="hybridMultilevel"/>
    <w:tmpl w:val="2C2CFFAC"/>
    <w:lvl w:ilvl="0" w:tplc="2C1EC23A">
      <w:start w:val="1"/>
      <w:numFmt w:val="bullet"/>
      <w:lvlText w:val=""/>
      <w:lvlJc w:val="left"/>
      <w:pPr>
        <w:ind w:left="720" w:hanging="360"/>
      </w:pPr>
      <w:rPr>
        <w:rFonts w:ascii="Wingdings" w:hAnsi="Wingdings" w:hint="default"/>
        <w:color w:val="0F6FC6" w:themeColor="accent1"/>
        <w:sz w:val="16"/>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ABE6DCC"/>
    <w:multiLevelType w:val="hybridMultilevel"/>
    <w:tmpl w:val="69265F76"/>
    <w:lvl w:ilvl="0" w:tplc="477E1BD8">
      <w:start w:val="1"/>
      <w:numFmt w:val="bullet"/>
      <w:lvlText w:val=""/>
      <w:lvlJc w:val="left"/>
      <w:pPr>
        <w:ind w:left="720" w:hanging="360"/>
      </w:pPr>
      <w:rPr>
        <w:rFonts w:ascii="Wingdings" w:hAnsi="Wingdings" w:hint="default"/>
        <w:color w:val="0F6FC6" w:themeColor="accent1"/>
        <w:sz w:val="16"/>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FCC6FFC"/>
    <w:multiLevelType w:val="hybridMultilevel"/>
    <w:tmpl w:val="A3D245AE"/>
    <w:lvl w:ilvl="0" w:tplc="AF946DF6">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2FD53245"/>
    <w:multiLevelType w:val="multilevel"/>
    <w:tmpl w:val="7054AC50"/>
    <w:lvl w:ilvl="0">
      <w:start w:val="1"/>
      <w:numFmt w:val="decimal"/>
      <w:lvlText w:val="%1."/>
      <w:lvlJc w:val="left"/>
      <w:pPr>
        <w:ind w:left="1410" w:hanging="690"/>
      </w:pPr>
    </w:lvl>
    <w:lvl w:ilvl="1">
      <w:start w:val="1"/>
      <w:numFmt w:val="bullet"/>
      <w:lvlText w:val=""/>
      <w:lvlJc w:val="left"/>
      <w:pPr>
        <w:ind w:left="1800" w:hanging="360"/>
      </w:pPr>
      <w:rPr>
        <w:rFonts w:ascii="Wingdings" w:hAnsi="Wingdings" w:cs="Wingdings" w:hint="default"/>
        <w:color w:val="595959"/>
        <w:sz w:val="20"/>
        <w:szCs w:val="2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2FB76D4"/>
    <w:multiLevelType w:val="hybridMultilevel"/>
    <w:tmpl w:val="2AC88AA6"/>
    <w:lvl w:ilvl="0" w:tplc="7CF09900">
      <w:start w:val="1"/>
      <w:numFmt w:val="bullet"/>
      <w:lvlText w:val=""/>
      <w:lvlJc w:val="left"/>
      <w:pPr>
        <w:ind w:left="1004" w:hanging="360"/>
      </w:pPr>
      <w:rPr>
        <w:rFonts w:ascii="Wingdings" w:hAnsi="Wingdings" w:hint="default"/>
        <w:color w:val="595959" w:themeColor="text1" w:themeTint="A6"/>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1" w15:restartNumberingAfterBreak="0">
    <w:nsid w:val="33C30863"/>
    <w:multiLevelType w:val="hybridMultilevel"/>
    <w:tmpl w:val="B08A4688"/>
    <w:lvl w:ilvl="0" w:tplc="561828B6">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4171255"/>
    <w:multiLevelType w:val="hybridMultilevel"/>
    <w:tmpl w:val="29BC687E"/>
    <w:lvl w:ilvl="0" w:tplc="017A21AC">
      <w:start w:val="1"/>
      <w:numFmt w:val="decimal"/>
      <w:lvlText w:val="%1."/>
      <w:lvlJc w:val="left"/>
      <w:pPr>
        <w:ind w:left="720" w:hanging="360"/>
      </w:pPr>
      <w:rPr>
        <w:rFonts w:hint="default"/>
        <w:b/>
        <w:color w:val="0F6FC6" w:themeColor="accent1"/>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55C55E3"/>
    <w:multiLevelType w:val="hybridMultilevel"/>
    <w:tmpl w:val="B1FEDCB4"/>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24" w15:restartNumberingAfterBreak="0">
    <w:nsid w:val="36FE600E"/>
    <w:multiLevelType w:val="hybridMultilevel"/>
    <w:tmpl w:val="E6B694EE"/>
    <w:lvl w:ilvl="0" w:tplc="DCDCA418">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97458B1"/>
    <w:multiLevelType w:val="hybridMultilevel"/>
    <w:tmpl w:val="67280B0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A9C20E3C">
      <w:start w:val="1"/>
      <w:numFmt w:val="bullet"/>
      <w:lvlText w:val=""/>
      <w:lvlJc w:val="left"/>
      <w:pPr>
        <w:ind w:left="2160" w:hanging="360"/>
      </w:pPr>
      <w:rPr>
        <w:rFonts w:ascii="Wingdings" w:hAnsi="Wingdings" w:hint="default"/>
        <w:color w:val="0F6FC6" w:themeColor="accent1"/>
        <w:sz w:val="16"/>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9942677"/>
    <w:multiLevelType w:val="hybridMultilevel"/>
    <w:tmpl w:val="DFDA55F0"/>
    <w:lvl w:ilvl="0" w:tplc="413278C2">
      <w:start w:val="1"/>
      <w:numFmt w:val="bullet"/>
      <w:lvlText w:val=""/>
      <w:lvlJc w:val="left"/>
      <w:pPr>
        <w:ind w:left="720" w:hanging="360"/>
      </w:pPr>
      <w:rPr>
        <w:rFonts w:ascii="Wingdings" w:hAnsi="Wingdings" w:hint="default"/>
        <w:color w:val="0F6FC6" w:themeColor="accent1"/>
        <w:sz w:val="16"/>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3B822FAE"/>
    <w:multiLevelType w:val="hybridMultilevel"/>
    <w:tmpl w:val="65E8D464"/>
    <w:lvl w:ilvl="0" w:tplc="9236B030">
      <w:start w:val="2"/>
      <w:numFmt w:val="bullet"/>
      <w:lvlText w:val="-"/>
      <w:lvlJc w:val="left"/>
      <w:pPr>
        <w:ind w:left="1775" w:hanging="360"/>
      </w:pPr>
      <w:rPr>
        <w:rFonts w:ascii="Arial" w:eastAsia="Calibri" w:hAnsi="Arial" w:cs="Arial" w:hint="default"/>
      </w:rPr>
    </w:lvl>
    <w:lvl w:ilvl="1" w:tplc="04180003" w:tentative="1">
      <w:start w:val="1"/>
      <w:numFmt w:val="bullet"/>
      <w:lvlText w:val="o"/>
      <w:lvlJc w:val="left"/>
      <w:pPr>
        <w:ind w:left="2495" w:hanging="360"/>
      </w:pPr>
      <w:rPr>
        <w:rFonts w:ascii="Courier New" w:hAnsi="Courier New" w:cs="Courier New" w:hint="default"/>
      </w:rPr>
    </w:lvl>
    <w:lvl w:ilvl="2" w:tplc="04180005" w:tentative="1">
      <w:start w:val="1"/>
      <w:numFmt w:val="bullet"/>
      <w:lvlText w:val=""/>
      <w:lvlJc w:val="left"/>
      <w:pPr>
        <w:ind w:left="3215" w:hanging="360"/>
      </w:pPr>
      <w:rPr>
        <w:rFonts w:ascii="Wingdings" w:hAnsi="Wingdings" w:hint="default"/>
      </w:rPr>
    </w:lvl>
    <w:lvl w:ilvl="3" w:tplc="04180001" w:tentative="1">
      <w:start w:val="1"/>
      <w:numFmt w:val="bullet"/>
      <w:lvlText w:val=""/>
      <w:lvlJc w:val="left"/>
      <w:pPr>
        <w:ind w:left="3935" w:hanging="360"/>
      </w:pPr>
      <w:rPr>
        <w:rFonts w:ascii="Symbol" w:hAnsi="Symbol" w:hint="default"/>
      </w:rPr>
    </w:lvl>
    <w:lvl w:ilvl="4" w:tplc="04180003" w:tentative="1">
      <w:start w:val="1"/>
      <w:numFmt w:val="bullet"/>
      <w:lvlText w:val="o"/>
      <w:lvlJc w:val="left"/>
      <w:pPr>
        <w:ind w:left="4655" w:hanging="360"/>
      </w:pPr>
      <w:rPr>
        <w:rFonts w:ascii="Courier New" w:hAnsi="Courier New" w:cs="Courier New" w:hint="default"/>
      </w:rPr>
    </w:lvl>
    <w:lvl w:ilvl="5" w:tplc="04180005" w:tentative="1">
      <w:start w:val="1"/>
      <w:numFmt w:val="bullet"/>
      <w:lvlText w:val=""/>
      <w:lvlJc w:val="left"/>
      <w:pPr>
        <w:ind w:left="5375" w:hanging="360"/>
      </w:pPr>
      <w:rPr>
        <w:rFonts w:ascii="Wingdings" w:hAnsi="Wingdings" w:hint="default"/>
      </w:rPr>
    </w:lvl>
    <w:lvl w:ilvl="6" w:tplc="04180001" w:tentative="1">
      <w:start w:val="1"/>
      <w:numFmt w:val="bullet"/>
      <w:lvlText w:val=""/>
      <w:lvlJc w:val="left"/>
      <w:pPr>
        <w:ind w:left="6095" w:hanging="360"/>
      </w:pPr>
      <w:rPr>
        <w:rFonts w:ascii="Symbol" w:hAnsi="Symbol" w:hint="default"/>
      </w:rPr>
    </w:lvl>
    <w:lvl w:ilvl="7" w:tplc="04180003" w:tentative="1">
      <w:start w:val="1"/>
      <w:numFmt w:val="bullet"/>
      <w:lvlText w:val="o"/>
      <w:lvlJc w:val="left"/>
      <w:pPr>
        <w:ind w:left="6815" w:hanging="360"/>
      </w:pPr>
      <w:rPr>
        <w:rFonts w:ascii="Courier New" w:hAnsi="Courier New" w:cs="Courier New" w:hint="default"/>
      </w:rPr>
    </w:lvl>
    <w:lvl w:ilvl="8" w:tplc="04180005" w:tentative="1">
      <w:start w:val="1"/>
      <w:numFmt w:val="bullet"/>
      <w:lvlText w:val=""/>
      <w:lvlJc w:val="left"/>
      <w:pPr>
        <w:ind w:left="7535" w:hanging="360"/>
      </w:pPr>
      <w:rPr>
        <w:rFonts w:ascii="Wingdings" w:hAnsi="Wingdings" w:hint="default"/>
      </w:rPr>
    </w:lvl>
  </w:abstractNum>
  <w:abstractNum w:abstractNumId="28" w15:restartNumberingAfterBreak="0">
    <w:nsid w:val="3C1C486D"/>
    <w:multiLevelType w:val="hybridMultilevel"/>
    <w:tmpl w:val="220225D6"/>
    <w:lvl w:ilvl="0" w:tplc="B3EE4E18">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C1E171E"/>
    <w:multiLevelType w:val="hybridMultilevel"/>
    <w:tmpl w:val="6824C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2E0079"/>
    <w:multiLevelType w:val="hybridMultilevel"/>
    <w:tmpl w:val="14149456"/>
    <w:lvl w:ilvl="0" w:tplc="04180001">
      <w:start w:val="1"/>
      <w:numFmt w:val="bullet"/>
      <w:lvlText w:val=""/>
      <w:lvlJc w:val="left"/>
      <w:pPr>
        <w:ind w:left="1055" w:hanging="360"/>
      </w:pPr>
      <w:rPr>
        <w:rFonts w:ascii="Symbol" w:hAnsi="Symbol" w:hint="default"/>
      </w:rPr>
    </w:lvl>
    <w:lvl w:ilvl="1" w:tplc="04180003" w:tentative="1">
      <w:start w:val="1"/>
      <w:numFmt w:val="bullet"/>
      <w:lvlText w:val="o"/>
      <w:lvlJc w:val="left"/>
      <w:pPr>
        <w:ind w:left="1775" w:hanging="360"/>
      </w:pPr>
      <w:rPr>
        <w:rFonts w:ascii="Courier New" w:hAnsi="Courier New" w:cs="Courier New" w:hint="default"/>
      </w:rPr>
    </w:lvl>
    <w:lvl w:ilvl="2" w:tplc="04180005" w:tentative="1">
      <w:start w:val="1"/>
      <w:numFmt w:val="bullet"/>
      <w:lvlText w:val=""/>
      <w:lvlJc w:val="left"/>
      <w:pPr>
        <w:ind w:left="2495" w:hanging="360"/>
      </w:pPr>
      <w:rPr>
        <w:rFonts w:ascii="Wingdings" w:hAnsi="Wingdings" w:hint="default"/>
      </w:rPr>
    </w:lvl>
    <w:lvl w:ilvl="3" w:tplc="04180001" w:tentative="1">
      <w:start w:val="1"/>
      <w:numFmt w:val="bullet"/>
      <w:lvlText w:val=""/>
      <w:lvlJc w:val="left"/>
      <w:pPr>
        <w:ind w:left="3215" w:hanging="360"/>
      </w:pPr>
      <w:rPr>
        <w:rFonts w:ascii="Symbol" w:hAnsi="Symbol" w:hint="default"/>
      </w:rPr>
    </w:lvl>
    <w:lvl w:ilvl="4" w:tplc="04180003" w:tentative="1">
      <w:start w:val="1"/>
      <w:numFmt w:val="bullet"/>
      <w:lvlText w:val="o"/>
      <w:lvlJc w:val="left"/>
      <w:pPr>
        <w:ind w:left="3935" w:hanging="360"/>
      </w:pPr>
      <w:rPr>
        <w:rFonts w:ascii="Courier New" w:hAnsi="Courier New" w:cs="Courier New" w:hint="default"/>
      </w:rPr>
    </w:lvl>
    <w:lvl w:ilvl="5" w:tplc="04180005" w:tentative="1">
      <w:start w:val="1"/>
      <w:numFmt w:val="bullet"/>
      <w:lvlText w:val=""/>
      <w:lvlJc w:val="left"/>
      <w:pPr>
        <w:ind w:left="4655" w:hanging="360"/>
      </w:pPr>
      <w:rPr>
        <w:rFonts w:ascii="Wingdings" w:hAnsi="Wingdings" w:hint="default"/>
      </w:rPr>
    </w:lvl>
    <w:lvl w:ilvl="6" w:tplc="04180001" w:tentative="1">
      <w:start w:val="1"/>
      <w:numFmt w:val="bullet"/>
      <w:lvlText w:val=""/>
      <w:lvlJc w:val="left"/>
      <w:pPr>
        <w:ind w:left="5375" w:hanging="360"/>
      </w:pPr>
      <w:rPr>
        <w:rFonts w:ascii="Symbol" w:hAnsi="Symbol" w:hint="default"/>
      </w:rPr>
    </w:lvl>
    <w:lvl w:ilvl="7" w:tplc="04180003" w:tentative="1">
      <w:start w:val="1"/>
      <w:numFmt w:val="bullet"/>
      <w:lvlText w:val="o"/>
      <w:lvlJc w:val="left"/>
      <w:pPr>
        <w:ind w:left="6095" w:hanging="360"/>
      </w:pPr>
      <w:rPr>
        <w:rFonts w:ascii="Courier New" w:hAnsi="Courier New" w:cs="Courier New" w:hint="default"/>
      </w:rPr>
    </w:lvl>
    <w:lvl w:ilvl="8" w:tplc="04180005" w:tentative="1">
      <w:start w:val="1"/>
      <w:numFmt w:val="bullet"/>
      <w:lvlText w:val=""/>
      <w:lvlJc w:val="left"/>
      <w:pPr>
        <w:ind w:left="6815" w:hanging="360"/>
      </w:pPr>
      <w:rPr>
        <w:rFonts w:ascii="Wingdings" w:hAnsi="Wingdings" w:hint="default"/>
      </w:rPr>
    </w:lvl>
  </w:abstractNum>
  <w:abstractNum w:abstractNumId="31" w15:restartNumberingAfterBreak="0">
    <w:nsid w:val="40FF40F2"/>
    <w:multiLevelType w:val="hybridMultilevel"/>
    <w:tmpl w:val="C42075E6"/>
    <w:lvl w:ilvl="0" w:tplc="FD506B38">
      <w:start w:val="1"/>
      <w:numFmt w:val="lowerLetter"/>
      <w:lvlText w:val="%1)"/>
      <w:lvlJc w:val="left"/>
      <w:pPr>
        <w:ind w:left="644" w:hanging="360"/>
      </w:pPr>
      <w:rPr>
        <w:rFonts w:asciiTheme="majorHAnsi" w:hAnsiTheme="majorHAnsi"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2" w15:restartNumberingAfterBreak="0">
    <w:nsid w:val="4132697C"/>
    <w:multiLevelType w:val="hybridMultilevel"/>
    <w:tmpl w:val="B0AC46CA"/>
    <w:lvl w:ilvl="0" w:tplc="04180001">
      <w:start w:val="1"/>
      <w:numFmt w:val="bullet"/>
      <w:lvlText w:val=""/>
      <w:lvlJc w:val="left"/>
      <w:pPr>
        <w:ind w:left="1050" w:hanging="360"/>
      </w:pPr>
      <w:rPr>
        <w:rFonts w:ascii="Symbol" w:hAnsi="Symbol" w:hint="default"/>
      </w:rPr>
    </w:lvl>
    <w:lvl w:ilvl="1" w:tplc="04180003" w:tentative="1">
      <w:start w:val="1"/>
      <w:numFmt w:val="bullet"/>
      <w:lvlText w:val="o"/>
      <w:lvlJc w:val="left"/>
      <w:pPr>
        <w:ind w:left="1770" w:hanging="360"/>
      </w:pPr>
      <w:rPr>
        <w:rFonts w:ascii="Courier New" w:hAnsi="Courier New" w:cs="Courier New"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33" w15:restartNumberingAfterBreak="0">
    <w:nsid w:val="41F646D7"/>
    <w:multiLevelType w:val="multilevel"/>
    <w:tmpl w:val="E5741CDA"/>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2E21E4D"/>
    <w:multiLevelType w:val="multilevel"/>
    <w:tmpl w:val="6278F5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2FD3490"/>
    <w:multiLevelType w:val="hybridMultilevel"/>
    <w:tmpl w:val="45308E46"/>
    <w:lvl w:ilvl="0" w:tplc="8B165132">
      <w:start w:val="1"/>
      <w:numFmt w:val="lowerLetter"/>
      <w:lvlText w:val="%1)"/>
      <w:lvlJc w:val="left"/>
      <w:pPr>
        <w:ind w:left="360" w:hanging="360"/>
      </w:pPr>
      <w:rPr>
        <w:b w:val="0"/>
        <w:bCs w:val="0"/>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36" w15:restartNumberingAfterBreak="0">
    <w:nsid w:val="438809AB"/>
    <w:multiLevelType w:val="hybridMultilevel"/>
    <w:tmpl w:val="FB7096BE"/>
    <w:lvl w:ilvl="0" w:tplc="9236B030">
      <w:start w:val="2"/>
      <w:numFmt w:val="bullet"/>
      <w:lvlText w:val="-"/>
      <w:lvlJc w:val="left"/>
      <w:pPr>
        <w:ind w:left="1770" w:hanging="360"/>
      </w:pPr>
      <w:rPr>
        <w:rFonts w:ascii="Arial" w:eastAsia="Calibri" w:hAnsi="Arial" w:cs="Arial" w:hint="default"/>
      </w:rPr>
    </w:lvl>
    <w:lvl w:ilvl="1" w:tplc="04180003" w:tentative="1">
      <w:start w:val="1"/>
      <w:numFmt w:val="bullet"/>
      <w:lvlText w:val="o"/>
      <w:lvlJc w:val="left"/>
      <w:pPr>
        <w:ind w:left="2490" w:hanging="360"/>
      </w:pPr>
      <w:rPr>
        <w:rFonts w:ascii="Courier New" w:hAnsi="Courier New" w:cs="Courier New" w:hint="default"/>
      </w:rPr>
    </w:lvl>
    <w:lvl w:ilvl="2" w:tplc="04180005" w:tentative="1">
      <w:start w:val="1"/>
      <w:numFmt w:val="bullet"/>
      <w:lvlText w:val=""/>
      <w:lvlJc w:val="left"/>
      <w:pPr>
        <w:ind w:left="3210" w:hanging="360"/>
      </w:pPr>
      <w:rPr>
        <w:rFonts w:ascii="Wingdings" w:hAnsi="Wingdings" w:hint="default"/>
      </w:rPr>
    </w:lvl>
    <w:lvl w:ilvl="3" w:tplc="04180001" w:tentative="1">
      <w:start w:val="1"/>
      <w:numFmt w:val="bullet"/>
      <w:lvlText w:val=""/>
      <w:lvlJc w:val="left"/>
      <w:pPr>
        <w:ind w:left="3930" w:hanging="360"/>
      </w:pPr>
      <w:rPr>
        <w:rFonts w:ascii="Symbol" w:hAnsi="Symbol" w:hint="default"/>
      </w:rPr>
    </w:lvl>
    <w:lvl w:ilvl="4" w:tplc="04180003" w:tentative="1">
      <w:start w:val="1"/>
      <w:numFmt w:val="bullet"/>
      <w:lvlText w:val="o"/>
      <w:lvlJc w:val="left"/>
      <w:pPr>
        <w:ind w:left="4650" w:hanging="360"/>
      </w:pPr>
      <w:rPr>
        <w:rFonts w:ascii="Courier New" w:hAnsi="Courier New" w:cs="Courier New" w:hint="default"/>
      </w:rPr>
    </w:lvl>
    <w:lvl w:ilvl="5" w:tplc="04180005" w:tentative="1">
      <w:start w:val="1"/>
      <w:numFmt w:val="bullet"/>
      <w:lvlText w:val=""/>
      <w:lvlJc w:val="left"/>
      <w:pPr>
        <w:ind w:left="5370" w:hanging="360"/>
      </w:pPr>
      <w:rPr>
        <w:rFonts w:ascii="Wingdings" w:hAnsi="Wingdings" w:hint="default"/>
      </w:rPr>
    </w:lvl>
    <w:lvl w:ilvl="6" w:tplc="04180001" w:tentative="1">
      <w:start w:val="1"/>
      <w:numFmt w:val="bullet"/>
      <w:lvlText w:val=""/>
      <w:lvlJc w:val="left"/>
      <w:pPr>
        <w:ind w:left="6090" w:hanging="360"/>
      </w:pPr>
      <w:rPr>
        <w:rFonts w:ascii="Symbol" w:hAnsi="Symbol" w:hint="default"/>
      </w:rPr>
    </w:lvl>
    <w:lvl w:ilvl="7" w:tplc="04180003" w:tentative="1">
      <w:start w:val="1"/>
      <w:numFmt w:val="bullet"/>
      <w:lvlText w:val="o"/>
      <w:lvlJc w:val="left"/>
      <w:pPr>
        <w:ind w:left="6810" w:hanging="360"/>
      </w:pPr>
      <w:rPr>
        <w:rFonts w:ascii="Courier New" w:hAnsi="Courier New" w:cs="Courier New" w:hint="default"/>
      </w:rPr>
    </w:lvl>
    <w:lvl w:ilvl="8" w:tplc="04180005" w:tentative="1">
      <w:start w:val="1"/>
      <w:numFmt w:val="bullet"/>
      <w:lvlText w:val=""/>
      <w:lvlJc w:val="left"/>
      <w:pPr>
        <w:ind w:left="7530" w:hanging="360"/>
      </w:pPr>
      <w:rPr>
        <w:rFonts w:ascii="Wingdings" w:hAnsi="Wingdings" w:hint="default"/>
      </w:rPr>
    </w:lvl>
  </w:abstractNum>
  <w:abstractNum w:abstractNumId="37" w15:restartNumberingAfterBreak="0">
    <w:nsid w:val="47C92CEC"/>
    <w:multiLevelType w:val="hybridMultilevel"/>
    <w:tmpl w:val="0C98A3CA"/>
    <w:lvl w:ilvl="0" w:tplc="B300B806">
      <w:start w:val="1"/>
      <w:numFmt w:val="bullet"/>
      <w:lvlText w:val=""/>
      <w:lvlJc w:val="left"/>
      <w:pPr>
        <w:ind w:left="720" w:hanging="360"/>
      </w:pPr>
      <w:rPr>
        <w:rFonts w:ascii="Wingdings" w:hAnsi="Wingdings" w:hint="default"/>
        <w:color w:val="0F6FC6" w:themeColor="accent1"/>
        <w:sz w:val="16"/>
      </w:rPr>
    </w:lvl>
    <w:lvl w:ilvl="1" w:tplc="B300B806">
      <w:start w:val="1"/>
      <w:numFmt w:val="bullet"/>
      <w:lvlText w:val=""/>
      <w:lvlJc w:val="left"/>
      <w:pPr>
        <w:ind w:left="1440" w:hanging="360"/>
      </w:pPr>
      <w:rPr>
        <w:rFonts w:ascii="Wingdings" w:hAnsi="Wingdings" w:hint="default"/>
        <w:color w:val="0F6FC6" w:themeColor="accent1"/>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146D36"/>
    <w:multiLevelType w:val="multilevel"/>
    <w:tmpl w:val="A9744786"/>
    <w:lvl w:ilvl="0">
      <w:start w:val="1"/>
      <w:numFmt w:val="bullet"/>
      <w:lvlText w:val=""/>
      <w:lvlJc w:val="left"/>
      <w:pPr>
        <w:ind w:left="720" w:hanging="360"/>
      </w:pPr>
      <w:rPr>
        <w:rFonts w:ascii="Wingdings" w:hAnsi="Wingdings" w:hint="default"/>
        <w:color w:val="0F6FC6" w:themeColor="accent1"/>
        <w:sz w:val="16"/>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4A7E18F7"/>
    <w:multiLevelType w:val="hybridMultilevel"/>
    <w:tmpl w:val="072456C6"/>
    <w:lvl w:ilvl="0" w:tplc="B300B806">
      <w:start w:val="1"/>
      <w:numFmt w:val="bullet"/>
      <w:lvlText w:val=""/>
      <w:lvlJc w:val="left"/>
      <w:pPr>
        <w:ind w:left="720" w:hanging="360"/>
      </w:pPr>
      <w:rPr>
        <w:rFonts w:ascii="Wingdings" w:hAnsi="Wingdings" w:hint="default"/>
        <w:color w:val="0F6FC6" w:themeColor="accent1"/>
        <w:sz w:val="16"/>
      </w:rPr>
    </w:lvl>
    <w:lvl w:ilvl="1" w:tplc="B300B806">
      <w:start w:val="1"/>
      <w:numFmt w:val="bullet"/>
      <w:lvlText w:val=""/>
      <w:lvlJc w:val="left"/>
      <w:pPr>
        <w:ind w:left="1440" w:hanging="360"/>
      </w:pPr>
      <w:rPr>
        <w:rFonts w:ascii="Wingdings" w:hAnsi="Wingdings" w:hint="default"/>
        <w:color w:val="0F6FC6" w:themeColor="accent1"/>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E479C6"/>
    <w:multiLevelType w:val="hybridMultilevel"/>
    <w:tmpl w:val="D4FA0610"/>
    <w:lvl w:ilvl="0" w:tplc="0418000D">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41" w15:restartNumberingAfterBreak="0">
    <w:nsid w:val="5ADD1E59"/>
    <w:multiLevelType w:val="hybridMultilevel"/>
    <w:tmpl w:val="DBD2ABB2"/>
    <w:lvl w:ilvl="0" w:tplc="67C43E84">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5BB31B75"/>
    <w:multiLevelType w:val="multilevel"/>
    <w:tmpl w:val="3C4CAF6C"/>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3" w15:restartNumberingAfterBreak="0">
    <w:nsid w:val="5EE83F1D"/>
    <w:multiLevelType w:val="hybridMultilevel"/>
    <w:tmpl w:val="9796C192"/>
    <w:lvl w:ilvl="0" w:tplc="B3EE4E18">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5FDF45D3"/>
    <w:multiLevelType w:val="hybridMultilevel"/>
    <w:tmpl w:val="1F04346E"/>
    <w:lvl w:ilvl="0" w:tplc="04180001">
      <w:start w:val="1"/>
      <w:numFmt w:val="bullet"/>
      <w:lvlText w:val=""/>
      <w:lvlJc w:val="left"/>
      <w:pPr>
        <w:ind w:left="1050" w:hanging="360"/>
      </w:pPr>
      <w:rPr>
        <w:rFonts w:ascii="Symbol" w:hAnsi="Symbol" w:hint="default"/>
      </w:rPr>
    </w:lvl>
    <w:lvl w:ilvl="1" w:tplc="04180003" w:tentative="1">
      <w:start w:val="1"/>
      <w:numFmt w:val="bullet"/>
      <w:lvlText w:val="o"/>
      <w:lvlJc w:val="left"/>
      <w:pPr>
        <w:ind w:left="1770" w:hanging="360"/>
      </w:pPr>
      <w:rPr>
        <w:rFonts w:ascii="Courier New" w:hAnsi="Courier New" w:cs="Courier New"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45" w15:restartNumberingAfterBreak="0">
    <w:nsid w:val="61EE3EFE"/>
    <w:multiLevelType w:val="multilevel"/>
    <w:tmpl w:val="9BC2F6E6"/>
    <w:lvl w:ilvl="0">
      <w:start w:val="2"/>
      <w:numFmt w:val="bullet"/>
      <w:lvlText w:val="-"/>
      <w:lvlJc w:val="left"/>
      <w:pPr>
        <w:ind w:left="1004" w:hanging="360"/>
      </w:pPr>
      <w:rPr>
        <w:rFonts w:ascii="Calibri Light" w:hAnsi="Calibri Light" w:cs="Calibri Light" w:hint="default"/>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6" w15:restartNumberingAfterBreak="0">
    <w:nsid w:val="671E30D7"/>
    <w:multiLevelType w:val="hybridMultilevel"/>
    <w:tmpl w:val="E068730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68A71F5A"/>
    <w:multiLevelType w:val="hybridMultilevel"/>
    <w:tmpl w:val="2BD61A22"/>
    <w:lvl w:ilvl="0" w:tplc="1EFCED06">
      <w:start w:val="1"/>
      <w:numFmt w:val="bullet"/>
      <w:lvlText w:val=""/>
      <w:lvlJc w:val="left"/>
      <w:pPr>
        <w:ind w:left="720" w:hanging="360"/>
      </w:pPr>
      <w:rPr>
        <w:rFonts w:ascii="Wingdings" w:hAnsi="Wingdings" w:hint="default"/>
        <w:color w:val="0F6FC6" w:themeColor="accent1"/>
        <w:sz w:val="16"/>
      </w:rPr>
    </w:lvl>
    <w:lvl w:ilvl="1" w:tplc="FF260AE2">
      <w:numFmt w:val="bullet"/>
      <w:lvlText w:val="-"/>
      <w:lvlJc w:val="left"/>
      <w:pPr>
        <w:ind w:left="1440" w:hanging="360"/>
      </w:pPr>
      <w:rPr>
        <w:rFonts w:ascii="Calibri Light" w:eastAsia="Andale Sans UI" w:hAnsi="Calibri Light" w:cs="Calibri Light"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69CE5351"/>
    <w:multiLevelType w:val="hybridMultilevel"/>
    <w:tmpl w:val="E43EB2DC"/>
    <w:lvl w:ilvl="0" w:tplc="A5C272B8">
      <w:start w:val="1"/>
      <w:numFmt w:val="bullet"/>
      <w:lvlText w:val=""/>
      <w:lvlJc w:val="left"/>
      <w:pPr>
        <w:ind w:left="720" w:hanging="360"/>
      </w:pPr>
      <w:rPr>
        <w:rFonts w:ascii="Wingdings" w:hAnsi="Wingdings" w:hint="default"/>
        <w:color w:val="0F6FC6" w:themeColor="accent1"/>
        <w:sz w:val="16"/>
      </w:rPr>
    </w:lvl>
    <w:lvl w:ilvl="1" w:tplc="04180003" w:tentative="1">
      <w:start w:val="1"/>
      <w:numFmt w:val="bullet"/>
      <w:lvlText w:val="o"/>
      <w:lvlJc w:val="left"/>
      <w:pPr>
        <w:ind w:left="1440" w:hanging="360"/>
      </w:pPr>
      <w:rPr>
        <w:rFonts w:ascii="Courier New" w:hAnsi="Courier New" w:cs="Courier New" w:hint="default"/>
      </w:rPr>
    </w:lvl>
    <w:lvl w:ilvl="2" w:tplc="1BE456B8">
      <w:start w:val="1"/>
      <w:numFmt w:val="bullet"/>
      <w:lvlText w:val=""/>
      <w:lvlJc w:val="left"/>
      <w:pPr>
        <w:ind w:left="2160" w:hanging="360"/>
      </w:pPr>
      <w:rPr>
        <w:rFonts w:ascii="Wingdings" w:hAnsi="Wingdings" w:hint="default"/>
        <w:color w:val="0F6FC6" w:themeColor="accent1"/>
        <w:sz w:val="16"/>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85B1773"/>
    <w:multiLevelType w:val="hybridMultilevel"/>
    <w:tmpl w:val="7898D20A"/>
    <w:lvl w:ilvl="0" w:tplc="04180001">
      <w:start w:val="1"/>
      <w:numFmt w:val="bullet"/>
      <w:lvlText w:val=""/>
      <w:lvlJc w:val="left"/>
      <w:pPr>
        <w:ind w:left="1055" w:hanging="360"/>
      </w:pPr>
      <w:rPr>
        <w:rFonts w:ascii="Symbol" w:hAnsi="Symbol" w:hint="default"/>
      </w:rPr>
    </w:lvl>
    <w:lvl w:ilvl="1" w:tplc="04180003" w:tentative="1">
      <w:start w:val="1"/>
      <w:numFmt w:val="bullet"/>
      <w:lvlText w:val="o"/>
      <w:lvlJc w:val="left"/>
      <w:pPr>
        <w:ind w:left="1775" w:hanging="360"/>
      </w:pPr>
      <w:rPr>
        <w:rFonts w:ascii="Courier New" w:hAnsi="Courier New" w:cs="Courier New" w:hint="default"/>
      </w:rPr>
    </w:lvl>
    <w:lvl w:ilvl="2" w:tplc="04180005" w:tentative="1">
      <w:start w:val="1"/>
      <w:numFmt w:val="bullet"/>
      <w:lvlText w:val=""/>
      <w:lvlJc w:val="left"/>
      <w:pPr>
        <w:ind w:left="2495" w:hanging="360"/>
      </w:pPr>
      <w:rPr>
        <w:rFonts w:ascii="Wingdings" w:hAnsi="Wingdings" w:hint="default"/>
      </w:rPr>
    </w:lvl>
    <w:lvl w:ilvl="3" w:tplc="04180001" w:tentative="1">
      <w:start w:val="1"/>
      <w:numFmt w:val="bullet"/>
      <w:lvlText w:val=""/>
      <w:lvlJc w:val="left"/>
      <w:pPr>
        <w:ind w:left="3215" w:hanging="360"/>
      </w:pPr>
      <w:rPr>
        <w:rFonts w:ascii="Symbol" w:hAnsi="Symbol" w:hint="default"/>
      </w:rPr>
    </w:lvl>
    <w:lvl w:ilvl="4" w:tplc="04180003" w:tentative="1">
      <w:start w:val="1"/>
      <w:numFmt w:val="bullet"/>
      <w:lvlText w:val="o"/>
      <w:lvlJc w:val="left"/>
      <w:pPr>
        <w:ind w:left="3935" w:hanging="360"/>
      </w:pPr>
      <w:rPr>
        <w:rFonts w:ascii="Courier New" w:hAnsi="Courier New" w:cs="Courier New" w:hint="default"/>
      </w:rPr>
    </w:lvl>
    <w:lvl w:ilvl="5" w:tplc="04180005" w:tentative="1">
      <w:start w:val="1"/>
      <w:numFmt w:val="bullet"/>
      <w:lvlText w:val=""/>
      <w:lvlJc w:val="left"/>
      <w:pPr>
        <w:ind w:left="4655" w:hanging="360"/>
      </w:pPr>
      <w:rPr>
        <w:rFonts w:ascii="Wingdings" w:hAnsi="Wingdings" w:hint="default"/>
      </w:rPr>
    </w:lvl>
    <w:lvl w:ilvl="6" w:tplc="04180001" w:tentative="1">
      <w:start w:val="1"/>
      <w:numFmt w:val="bullet"/>
      <w:lvlText w:val=""/>
      <w:lvlJc w:val="left"/>
      <w:pPr>
        <w:ind w:left="5375" w:hanging="360"/>
      </w:pPr>
      <w:rPr>
        <w:rFonts w:ascii="Symbol" w:hAnsi="Symbol" w:hint="default"/>
      </w:rPr>
    </w:lvl>
    <w:lvl w:ilvl="7" w:tplc="04180003" w:tentative="1">
      <w:start w:val="1"/>
      <w:numFmt w:val="bullet"/>
      <w:lvlText w:val="o"/>
      <w:lvlJc w:val="left"/>
      <w:pPr>
        <w:ind w:left="6095" w:hanging="360"/>
      </w:pPr>
      <w:rPr>
        <w:rFonts w:ascii="Courier New" w:hAnsi="Courier New" w:cs="Courier New" w:hint="default"/>
      </w:rPr>
    </w:lvl>
    <w:lvl w:ilvl="8" w:tplc="04180005" w:tentative="1">
      <w:start w:val="1"/>
      <w:numFmt w:val="bullet"/>
      <w:lvlText w:val=""/>
      <w:lvlJc w:val="left"/>
      <w:pPr>
        <w:ind w:left="6815" w:hanging="360"/>
      </w:pPr>
      <w:rPr>
        <w:rFonts w:ascii="Wingdings" w:hAnsi="Wingdings" w:hint="default"/>
      </w:rPr>
    </w:lvl>
  </w:abstractNum>
  <w:abstractNum w:abstractNumId="50" w15:restartNumberingAfterBreak="0">
    <w:nsid w:val="79DA7492"/>
    <w:multiLevelType w:val="multilevel"/>
    <w:tmpl w:val="BCFA54E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5"/>
  </w:num>
  <w:num w:numId="2">
    <w:abstractNumId w:val="7"/>
  </w:num>
  <w:num w:numId="3">
    <w:abstractNumId w:val="46"/>
  </w:num>
  <w:num w:numId="4">
    <w:abstractNumId w:val="22"/>
  </w:num>
  <w:num w:numId="5">
    <w:abstractNumId w:val="13"/>
  </w:num>
  <w:num w:numId="6">
    <w:abstractNumId w:val="26"/>
  </w:num>
  <w:num w:numId="7">
    <w:abstractNumId w:val="38"/>
  </w:num>
  <w:num w:numId="8">
    <w:abstractNumId w:val="1"/>
  </w:num>
  <w:num w:numId="9">
    <w:abstractNumId w:val="21"/>
  </w:num>
  <w:num w:numId="10">
    <w:abstractNumId w:val="3"/>
  </w:num>
  <w:num w:numId="11">
    <w:abstractNumId w:val="29"/>
  </w:num>
  <w:num w:numId="12">
    <w:abstractNumId w:val="48"/>
  </w:num>
  <w:num w:numId="13">
    <w:abstractNumId w:val="25"/>
  </w:num>
  <w:num w:numId="14">
    <w:abstractNumId w:val="47"/>
  </w:num>
  <w:num w:numId="15">
    <w:abstractNumId w:val="24"/>
  </w:num>
  <w:num w:numId="16">
    <w:abstractNumId w:val="16"/>
  </w:num>
  <w:num w:numId="17">
    <w:abstractNumId w:val="17"/>
  </w:num>
  <w:num w:numId="18">
    <w:abstractNumId w:val="15"/>
  </w:num>
  <w:num w:numId="19">
    <w:abstractNumId w:val="41"/>
  </w:num>
  <w:num w:numId="20">
    <w:abstractNumId w:val="28"/>
  </w:num>
  <w:num w:numId="21">
    <w:abstractNumId w:val="10"/>
  </w:num>
  <w:num w:numId="22">
    <w:abstractNumId w:val="43"/>
  </w:num>
  <w:num w:numId="23">
    <w:abstractNumId w:val="18"/>
  </w:num>
  <w:num w:numId="24">
    <w:abstractNumId w:val="2"/>
  </w:num>
  <w:num w:numId="25">
    <w:abstractNumId w:val="37"/>
  </w:num>
  <w:num w:numId="26">
    <w:abstractNumId w:val="11"/>
  </w:num>
  <w:num w:numId="27">
    <w:abstractNumId w:val="39"/>
  </w:num>
  <w:num w:numId="28">
    <w:abstractNumId w:val="9"/>
  </w:num>
  <w:num w:numId="29">
    <w:abstractNumId w:val="34"/>
  </w:num>
  <w:num w:numId="30">
    <w:abstractNumId w:val="45"/>
  </w:num>
  <w:num w:numId="31">
    <w:abstractNumId w:val="33"/>
  </w:num>
  <w:num w:numId="32">
    <w:abstractNumId w:val="8"/>
  </w:num>
  <w:num w:numId="33">
    <w:abstractNumId w:val="42"/>
  </w:num>
  <w:num w:numId="34">
    <w:abstractNumId w:val="19"/>
  </w:num>
  <w:num w:numId="35">
    <w:abstractNumId w:val="50"/>
  </w:num>
  <w:num w:numId="36">
    <w:abstractNumId w:val="5"/>
  </w:num>
  <w:num w:numId="37">
    <w:abstractNumId w:val="12"/>
  </w:num>
  <w:num w:numId="38">
    <w:abstractNumId w:val="31"/>
  </w:num>
  <w:num w:numId="39">
    <w:abstractNumId w:val="30"/>
  </w:num>
  <w:num w:numId="40">
    <w:abstractNumId w:val="27"/>
  </w:num>
  <w:num w:numId="41">
    <w:abstractNumId w:val="49"/>
  </w:num>
  <w:num w:numId="42">
    <w:abstractNumId w:val="6"/>
  </w:num>
  <w:num w:numId="43">
    <w:abstractNumId w:val="14"/>
  </w:num>
  <w:num w:numId="44">
    <w:abstractNumId w:val="20"/>
  </w:num>
  <w:num w:numId="45">
    <w:abstractNumId w:val="23"/>
  </w:num>
  <w:num w:numId="46">
    <w:abstractNumId w:val="40"/>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36"/>
  </w:num>
  <w:num w:numId="50">
    <w:abstractNumId w:val="32"/>
  </w:num>
  <w:num w:numId="51">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proofState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5E0"/>
    <w:rsid w:val="00000374"/>
    <w:rsid w:val="00001063"/>
    <w:rsid w:val="000014F9"/>
    <w:rsid w:val="00001A13"/>
    <w:rsid w:val="00002497"/>
    <w:rsid w:val="00002555"/>
    <w:rsid w:val="0000289C"/>
    <w:rsid w:val="00003127"/>
    <w:rsid w:val="000047FF"/>
    <w:rsid w:val="00004C48"/>
    <w:rsid w:val="00006BB4"/>
    <w:rsid w:val="00007024"/>
    <w:rsid w:val="00010ACD"/>
    <w:rsid w:val="00012B0A"/>
    <w:rsid w:val="0001541D"/>
    <w:rsid w:val="00017DC9"/>
    <w:rsid w:val="0002056A"/>
    <w:rsid w:val="000208E0"/>
    <w:rsid w:val="00020C07"/>
    <w:rsid w:val="000226A4"/>
    <w:rsid w:val="00022A30"/>
    <w:rsid w:val="00023267"/>
    <w:rsid w:val="00023D67"/>
    <w:rsid w:val="00024C62"/>
    <w:rsid w:val="0002681B"/>
    <w:rsid w:val="00026919"/>
    <w:rsid w:val="00026A79"/>
    <w:rsid w:val="00026F0D"/>
    <w:rsid w:val="00030D96"/>
    <w:rsid w:val="00031225"/>
    <w:rsid w:val="000315E0"/>
    <w:rsid w:val="00031C66"/>
    <w:rsid w:val="00031E67"/>
    <w:rsid w:val="00032116"/>
    <w:rsid w:val="000330F1"/>
    <w:rsid w:val="00033EB0"/>
    <w:rsid w:val="0003487B"/>
    <w:rsid w:val="00035590"/>
    <w:rsid w:val="000359D7"/>
    <w:rsid w:val="00035F28"/>
    <w:rsid w:val="000361C7"/>
    <w:rsid w:val="00036608"/>
    <w:rsid w:val="0003694D"/>
    <w:rsid w:val="00036D78"/>
    <w:rsid w:val="00037571"/>
    <w:rsid w:val="000408EC"/>
    <w:rsid w:val="00041218"/>
    <w:rsid w:val="00041B80"/>
    <w:rsid w:val="00042451"/>
    <w:rsid w:val="00042BA9"/>
    <w:rsid w:val="00042DD1"/>
    <w:rsid w:val="00044239"/>
    <w:rsid w:val="000460B3"/>
    <w:rsid w:val="00050981"/>
    <w:rsid w:val="0005285B"/>
    <w:rsid w:val="00052A43"/>
    <w:rsid w:val="00052EDC"/>
    <w:rsid w:val="00052F19"/>
    <w:rsid w:val="00055118"/>
    <w:rsid w:val="00055170"/>
    <w:rsid w:val="00055539"/>
    <w:rsid w:val="00055688"/>
    <w:rsid w:val="00056D93"/>
    <w:rsid w:val="0005713C"/>
    <w:rsid w:val="00060CAC"/>
    <w:rsid w:val="000625DB"/>
    <w:rsid w:val="0006329F"/>
    <w:rsid w:val="00063D58"/>
    <w:rsid w:val="0006518B"/>
    <w:rsid w:val="000672EC"/>
    <w:rsid w:val="00070948"/>
    <w:rsid w:val="00072209"/>
    <w:rsid w:val="00072830"/>
    <w:rsid w:val="00073A54"/>
    <w:rsid w:val="00073CCC"/>
    <w:rsid w:val="00073F98"/>
    <w:rsid w:val="00074983"/>
    <w:rsid w:val="00074C22"/>
    <w:rsid w:val="00077F3B"/>
    <w:rsid w:val="00080516"/>
    <w:rsid w:val="00080BB3"/>
    <w:rsid w:val="00080CA1"/>
    <w:rsid w:val="00083504"/>
    <w:rsid w:val="00085102"/>
    <w:rsid w:val="0008559F"/>
    <w:rsid w:val="0008642F"/>
    <w:rsid w:val="00086DBE"/>
    <w:rsid w:val="000873CD"/>
    <w:rsid w:val="00090D6D"/>
    <w:rsid w:val="00092540"/>
    <w:rsid w:val="00092C26"/>
    <w:rsid w:val="00092CE9"/>
    <w:rsid w:val="00092E15"/>
    <w:rsid w:val="00093223"/>
    <w:rsid w:val="00093CB4"/>
    <w:rsid w:val="00094108"/>
    <w:rsid w:val="00095067"/>
    <w:rsid w:val="00095079"/>
    <w:rsid w:val="00096997"/>
    <w:rsid w:val="00096FE9"/>
    <w:rsid w:val="00097A52"/>
    <w:rsid w:val="00097F9E"/>
    <w:rsid w:val="000A02B1"/>
    <w:rsid w:val="000A11CF"/>
    <w:rsid w:val="000A333C"/>
    <w:rsid w:val="000A35CA"/>
    <w:rsid w:val="000A39E6"/>
    <w:rsid w:val="000A3EA8"/>
    <w:rsid w:val="000A46AC"/>
    <w:rsid w:val="000A4D3F"/>
    <w:rsid w:val="000A6542"/>
    <w:rsid w:val="000A74C6"/>
    <w:rsid w:val="000B1E36"/>
    <w:rsid w:val="000B201E"/>
    <w:rsid w:val="000B2866"/>
    <w:rsid w:val="000B29FA"/>
    <w:rsid w:val="000B32DB"/>
    <w:rsid w:val="000B5796"/>
    <w:rsid w:val="000B62D9"/>
    <w:rsid w:val="000B68D7"/>
    <w:rsid w:val="000B6C61"/>
    <w:rsid w:val="000B71EC"/>
    <w:rsid w:val="000B732F"/>
    <w:rsid w:val="000C021E"/>
    <w:rsid w:val="000C045A"/>
    <w:rsid w:val="000C0CB1"/>
    <w:rsid w:val="000C0F3E"/>
    <w:rsid w:val="000C11C5"/>
    <w:rsid w:val="000C12A7"/>
    <w:rsid w:val="000C132F"/>
    <w:rsid w:val="000C1D39"/>
    <w:rsid w:val="000C1DFE"/>
    <w:rsid w:val="000C24C0"/>
    <w:rsid w:val="000C24DB"/>
    <w:rsid w:val="000C30BC"/>
    <w:rsid w:val="000C5426"/>
    <w:rsid w:val="000C6CE2"/>
    <w:rsid w:val="000C7FBF"/>
    <w:rsid w:val="000D1216"/>
    <w:rsid w:val="000D13FD"/>
    <w:rsid w:val="000D1445"/>
    <w:rsid w:val="000D188E"/>
    <w:rsid w:val="000D1AF4"/>
    <w:rsid w:val="000D1FF8"/>
    <w:rsid w:val="000D4111"/>
    <w:rsid w:val="000D47A8"/>
    <w:rsid w:val="000D4CD0"/>
    <w:rsid w:val="000D613D"/>
    <w:rsid w:val="000D6A07"/>
    <w:rsid w:val="000D771F"/>
    <w:rsid w:val="000E2231"/>
    <w:rsid w:val="000E34FC"/>
    <w:rsid w:val="000E5064"/>
    <w:rsid w:val="000E512B"/>
    <w:rsid w:val="000E5F23"/>
    <w:rsid w:val="000F06E7"/>
    <w:rsid w:val="000F0CAA"/>
    <w:rsid w:val="000F178A"/>
    <w:rsid w:val="000F2E2D"/>
    <w:rsid w:val="000F385D"/>
    <w:rsid w:val="000F405D"/>
    <w:rsid w:val="00102671"/>
    <w:rsid w:val="00102DF8"/>
    <w:rsid w:val="00102FDA"/>
    <w:rsid w:val="00103E27"/>
    <w:rsid w:val="00106089"/>
    <w:rsid w:val="0010704E"/>
    <w:rsid w:val="00110AFD"/>
    <w:rsid w:val="00111882"/>
    <w:rsid w:val="0011190E"/>
    <w:rsid w:val="00111F1F"/>
    <w:rsid w:val="00112705"/>
    <w:rsid w:val="001135E8"/>
    <w:rsid w:val="001138C6"/>
    <w:rsid w:val="0011419A"/>
    <w:rsid w:val="001141AB"/>
    <w:rsid w:val="0011523D"/>
    <w:rsid w:val="00116D10"/>
    <w:rsid w:val="001172B6"/>
    <w:rsid w:val="00122DC2"/>
    <w:rsid w:val="0012307D"/>
    <w:rsid w:val="00124C36"/>
    <w:rsid w:val="001255B0"/>
    <w:rsid w:val="00126729"/>
    <w:rsid w:val="00126A01"/>
    <w:rsid w:val="00127951"/>
    <w:rsid w:val="00130D8C"/>
    <w:rsid w:val="00132D1E"/>
    <w:rsid w:val="00134A4D"/>
    <w:rsid w:val="00134CB9"/>
    <w:rsid w:val="0013601D"/>
    <w:rsid w:val="001362D0"/>
    <w:rsid w:val="00137747"/>
    <w:rsid w:val="00140056"/>
    <w:rsid w:val="0014016C"/>
    <w:rsid w:val="00140ED8"/>
    <w:rsid w:val="00141DEE"/>
    <w:rsid w:val="0014228F"/>
    <w:rsid w:val="001437FD"/>
    <w:rsid w:val="00143C0D"/>
    <w:rsid w:val="00143D24"/>
    <w:rsid w:val="00144DBD"/>
    <w:rsid w:val="00146159"/>
    <w:rsid w:val="001469A1"/>
    <w:rsid w:val="001470A9"/>
    <w:rsid w:val="00147491"/>
    <w:rsid w:val="001477D3"/>
    <w:rsid w:val="0015021E"/>
    <w:rsid w:val="0015110F"/>
    <w:rsid w:val="00151122"/>
    <w:rsid w:val="00152807"/>
    <w:rsid w:val="001561F9"/>
    <w:rsid w:val="00156292"/>
    <w:rsid w:val="00156B1E"/>
    <w:rsid w:val="00156E8E"/>
    <w:rsid w:val="00157002"/>
    <w:rsid w:val="0016021D"/>
    <w:rsid w:val="0016027A"/>
    <w:rsid w:val="00160C6C"/>
    <w:rsid w:val="0016240D"/>
    <w:rsid w:val="00163122"/>
    <w:rsid w:val="00165FF7"/>
    <w:rsid w:val="00166C06"/>
    <w:rsid w:val="00166E72"/>
    <w:rsid w:val="00167444"/>
    <w:rsid w:val="00170262"/>
    <w:rsid w:val="001705C4"/>
    <w:rsid w:val="001728BF"/>
    <w:rsid w:val="001728E4"/>
    <w:rsid w:val="00172E78"/>
    <w:rsid w:val="00173FA3"/>
    <w:rsid w:val="00174D72"/>
    <w:rsid w:val="00177687"/>
    <w:rsid w:val="0018492A"/>
    <w:rsid w:val="00185430"/>
    <w:rsid w:val="0018789C"/>
    <w:rsid w:val="001913CD"/>
    <w:rsid w:val="00193CB5"/>
    <w:rsid w:val="00195F85"/>
    <w:rsid w:val="00196475"/>
    <w:rsid w:val="00196AC5"/>
    <w:rsid w:val="001979F1"/>
    <w:rsid w:val="001A0A25"/>
    <w:rsid w:val="001A26AF"/>
    <w:rsid w:val="001A2E67"/>
    <w:rsid w:val="001A33E9"/>
    <w:rsid w:val="001A36B7"/>
    <w:rsid w:val="001A4727"/>
    <w:rsid w:val="001A6110"/>
    <w:rsid w:val="001A62FD"/>
    <w:rsid w:val="001A65CB"/>
    <w:rsid w:val="001A772E"/>
    <w:rsid w:val="001A7B6C"/>
    <w:rsid w:val="001B08EB"/>
    <w:rsid w:val="001B1228"/>
    <w:rsid w:val="001B2CD8"/>
    <w:rsid w:val="001B30C6"/>
    <w:rsid w:val="001B30FB"/>
    <w:rsid w:val="001B4189"/>
    <w:rsid w:val="001B43EA"/>
    <w:rsid w:val="001B55B0"/>
    <w:rsid w:val="001B665D"/>
    <w:rsid w:val="001B77E7"/>
    <w:rsid w:val="001C0AE1"/>
    <w:rsid w:val="001C4309"/>
    <w:rsid w:val="001C4338"/>
    <w:rsid w:val="001C5E12"/>
    <w:rsid w:val="001C60DA"/>
    <w:rsid w:val="001C6135"/>
    <w:rsid w:val="001C682B"/>
    <w:rsid w:val="001C6D06"/>
    <w:rsid w:val="001C7431"/>
    <w:rsid w:val="001C775C"/>
    <w:rsid w:val="001D0E33"/>
    <w:rsid w:val="001D30B3"/>
    <w:rsid w:val="001D43BD"/>
    <w:rsid w:val="001D48D9"/>
    <w:rsid w:val="001D4DEA"/>
    <w:rsid w:val="001D54C1"/>
    <w:rsid w:val="001E0B94"/>
    <w:rsid w:val="001E2617"/>
    <w:rsid w:val="001E5166"/>
    <w:rsid w:val="001E5883"/>
    <w:rsid w:val="001E6CFA"/>
    <w:rsid w:val="001E6E3A"/>
    <w:rsid w:val="001E7938"/>
    <w:rsid w:val="001E796D"/>
    <w:rsid w:val="001F003D"/>
    <w:rsid w:val="001F011D"/>
    <w:rsid w:val="001F0215"/>
    <w:rsid w:val="001F0508"/>
    <w:rsid w:val="001F269F"/>
    <w:rsid w:val="001F37A8"/>
    <w:rsid w:val="001F3ABB"/>
    <w:rsid w:val="001F4D83"/>
    <w:rsid w:val="001F67C6"/>
    <w:rsid w:val="001F76E2"/>
    <w:rsid w:val="00202B07"/>
    <w:rsid w:val="002033CD"/>
    <w:rsid w:val="00203E06"/>
    <w:rsid w:val="00206B12"/>
    <w:rsid w:val="00207B3A"/>
    <w:rsid w:val="002114EB"/>
    <w:rsid w:val="002123E6"/>
    <w:rsid w:val="0021305A"/>
    <w:rsid w:val="0021421C"/>
    <w:rsid w:val="002150E8"/>
    <w:rsid w:val="002154D0"/>
    <w:rsid w:val="00215BA9"/>
    <w:rsid w:val="00216165"/>
    <w:rsid w:val="00216F37"/>
    <w:rsid w:val="002179E7"/>
    <w:rsid w:val="00217AE3"/>
    <w:rsid w:val="00217EBE"/>
    <w:rsid w:val="0022099B"/>
    <w:rsid w:val="00221526"/>
    <w:rsid w:val="00221A2E"/>
    <w:rsid w:val="00221A8C"/>
    <w:rsid w:val="00222229"/>
    <w:rsid w:val="00222390"/>
    <w:rsid w:val="002241DA"/>
    <w:rsid w:val="00224DD9"/>
    <w:rsid w:val="0022519A"/>
    <w:rsid w:val="002258EE"/>
    <w:rsid w:val="00230349"/>
    <w:rsid w:val="002341CF"/>
    <w:rsid w:val="002367E6"/>
    <w:rsid w:val="00236B05"/>
    <w:rsid w:val="002435C7"/>
    <w:rsid w:val="00244E0E"/>
    <w:rsid w:val="00245523"/>
    <w:rsid w:val="00245C71"/>
    <w:rsid w:val="00245F1F"/>
    <w:rsid w:val="00247236"/>
    <w:rsid w:val="00247401"/>
    <w:rsid w:val="00247F0A"/>
    <w:rsid w:val="00251E2F"/>
    <w:rsid w:val="0025230F"/>
    <w:rsid w:val="002529B6"/>
    <w:rsid w:val="00254110"/>
    <w:rsid w:val="002545E8"/>
    <w:rsid w:val="00257B8F"/>
    <w:rsid w:val="002611ED"/>
    <w:rsid w:val="00263B0C"/>
    <w:rsid w:val="00264FA1"/>
    <w:rsid w:val="00265BDA"/>
    <w:rsid w:val="00270FF4"/>
    <w:rsid w:val="0027194F"/>
    <w:rsid w:val="002751FF"/>
    <w:rsid w:val="002755D9"/>
    <w:rsid w:val="00276128"/>
    <w:rsid w:val="00276872"/>
    <w:rsid w:val="00276BFB"/>
    <w:rsid w:val="00280BD0"/>
    <w:rsid w:val="00282304"/>
    <w:rsid w:val="002824D4"/>
    <w:rsid w:val="002839F3"/>
    <w:rsid w:val="00283C9C"/>
    <w:rsid w:val="00284926"/>
    <w:rsid w:val="00286EA8"/>
    <w:rsid w:val="002870A4"/>
    <w:rsid w:val="0029060C"/>
    <w:rsid w:val="00290855"/>
    <w:rsid w:val="002929A3"/>
    <w:rsid w:val="002931B8"/>
    <w:rsid w:val="00293CB7"/>
    <w:rsid w:val="00295C68"/>
    <w:rsid w:val="0029684A"/>
    <w:rsid w:val="00297141"/>
    <w:rsid w:val="002974A1"/>
    <w:rsid w:val="00297A71"/>
    <w:rsid w:val="002A1618"/>
    <w:rsid w:val="002A37DC"/>
    <w:rsid w:val="002A437F"/>
    <w:rsid w:val="002A440E"/>
    <w:rsid w:val="002A5E77"/>
    <w:rsid w:val="002A7186"/>
    <w:rsid w:val="002B0A60"/>
    <w:rsid w:val="002B1833"/>
    <w:rsid w:val="002B4C7D"/>
    <w:rsid w:val="002B61D2"/>
    <w:rsid w:val="002B6A73"/>
    <w:rsid w:val="002B75E4"/>
    <w:rsid w:val="002B75EF"/>
    <w:rsid w:val="002B781E"/>
    <w:rsid w:val="002C0AC8"/>
    <w:rsid w:val="002C1EF8"/>
    <w:rsid w:val="002C240B"/>
    <w:rsid w:val="002C5618"/>
    <w:rsid w:val="002C5B5D"/>
    <w:rsid w:val="002C6B5D"/>
    <w:rsid w:val="002D0A29"/>
    <w:rsid w:val="002D34E2"/>
    <w:rsid w:val="002D4DA5"/>
    <w:rsid w:val="002D4F19"/>
    <w:rsid w:val="002D5781"/>
    <w:rsid w:val="002D5D55"/>
    <w:rsid w:val="002D69C2"/>
    <w:rsid w:val="002D6EA5"/>
    <w:rsid w:val="002D74C9"/>
    <w:rsid w:val="002E0FC0"/>
    <w:rsid w:val="002E1AED"/>
    <w:rsid w:val="002E23E5"/>
    <w:rsid w:val="002E2536"/>
    <w:rsid w:val="002E2C11"/>
    <w:rsid w:val="002E2C40"/>
    <w:rsid w:val="002E4B9C"/>
    <w:rsid w:val="002E4D52"/>
    <w:rsid w:val="002E6A53"/>
    <w:rsid w:val="002E6ED1"/>
    <w:rsid w:val="002F0C5C"/>
    <w:rsid w:val="002F1AEB"/>
    <w:rsid w:val="002F31C3"/>
    <w:rsid w:val="002F401E"/>
    <w:rsid w:val="002F4299"/>
    <w:rsid w:val="002F562B"/>
    <w:rsid w:val="002F5F5B"/>
    <w:rsid w:val="003000ED"/>
    <w:rsid w:val="00302415"/>
    <w:rsid w:val="00302B8B"/>
    <w:rsid w:val="00302EC5"/>
    <w:rsid w:val="00304433"/>
    <w:rsid w:val="00305132"/>
    <w:rsid w:val="00306A0C"/>
    <w:rsid w:val="003071A5"/>
    <w:rsid w:val="003076C8"/>
    <w:rsid w:val="00307999"/>
    <w:rsid w:val="00307C4D"/>
    <w:rsid w:val="00310DEA"/>
    <w:rsid w:val="00311EDE"/>
    <w:rsid w:val="003120D2"/>
    <w:rsid w:val="00312716"/>
    <w:rsid w:val="00312A57"/>
    <w:rsid w:val="003132A0"/>
    <w:rsid w:val="0031405E"/>
    <w:rsid w:val="0031410D"/>
    <w:rsid w:val="003144E7"/>
    <w:rsid w:val="00314503"/>
    <w:rsid w:val="003146B7"/>
    <w:rsid w:val="00314F9F"/>
    <w:rsid w:val="00315A11"/>
    <w:rsid w:val="003254E1"/>
    <w:rsid w:val="00327547"/>
    <w:rsid w:val="003277E4"/>
    <w:rsid w:val="003310EA"/>
    <w:rsid w:val="003326E4"/>
    <w:rsid w:val="00332B05"/>
    <w:rsid w:val="00334686"/>
    <w:rsid w:val="003347E8"/>
    <w:rsid w:val="003348B7"/>
    <w:rsid w:val="00334BE8"/>
    <w:rsid w:val="00335244"/>
    <w:rsid w:val="00335755"/>
    <w:rsid w:val="00335D60"/>
    <w:rsid w:val="00337D8B"/>
    <w:rsid w:val="00340002"/>
    <w:rsid w:val="0034066C"/>
    <w:rsid w:val="00340F84"/>
    <w:rsid w:val="00341E23"/>
    <w:rsid w:val="00342023"/>
    <w:rsid w:val="0034210E"/>
    <w:rsid w:val="003421B9"/>
    <w:rsid w:val="00345A15"/>
    <w:rsid w:val="003503D8"/>
    <w:rsid w:val="00350BFD"/>
    <w:rsid w:val="003514FE"/>
    <w:rsid w:val="003527DD"/>
    <w:rsid w:val="00352CF6"/>
    <w:rsid w:val="00352E09"/>
    <w:rsid w:val="0035306D"/>
    <w:rsid w:val="003550C0"/>
    <w:rsid w:val="00355C6A"/>
    <w:rsid w:val="003563A0"/>
    <w:rsid w:val="00356DE3"/>
    <w:rsid w:val="003613E0"/>
    <w:rsid w:val="00363E87"/>
    <w:rsid w:val="00364339"/>
    <w:rsid w:val="00364C7B"/>
    <w:rsid w:val="00365D13"/>
    <w:rsid w:val="00365FC9"/>
    <w:rsid w:val="0036672D"/>
    <w:rsid w:val="00366733"/>
    <w:rsid w:val="00366C04"/>
    <w:rsid w:val="00367FC3"/>
    <w:rsid w:val="00370800"/>
    <w:rsid w:val="00370CFA"/>
    <w:rsid w:val="00370FD9"/>
    <w:rsid w:val="00371306"/>
    <w:rsid w:val="0037167B"/>
    <w:rsid w:val="00371E80"/>
    <w:rsid w:val="003738CF"/>
    <w:rsid w:val="00376696"/>
    <w:rsid w:val="00377FEC"/>
    <w:rsid w:val="0038101F"/>
    <w:rsid w:val="0038112A"/>
    <w:rsid w:val="00382498"/>
    <w:rsid w:val="00383238"/>
    <w:rsid w:val="00383BD4"/>
    <w:rsid w:val="00385168"/>
    <w:rsid w:val="003858D7"/>
    <w:rsid w:val="00386420"/>
    <w:rsid w:val="00386887"/>
    <w:rsid w:val="00387046"/>
    <w:rsid w:val="003870D1"/>
    <w:rsid w:val="003913C0"/>
    <w:rsid w:val="00391748"/>
    <w:rsid w:val="0039269F"/>
    <w:rsid w:val="00394757"/>
    <w:rsid w:val="00394B58"/>
    <w:rsid w:val="00394E0D"/>
    <w:rsid w:val="003976FC"/>
    <w:rsid w:val="00397F04"/>
    <w:rsid w:val="003A06B1"/>
    <w:rsid w:val="003A0889"/>
    <w:rsid w:val="003A0A71"/>
    <w:rsid w:val="003A0B6A"/>
    <w:rsid w:val="003A1B00"/>
    <w:rsid w:val="003A2ED1"/>
    <w:rsid w:val="003A3534"/>
    <w:rsid w:val="003A3B86"/>
    <w:rsid w:val="003A5814"/>
    <w:rsid w:val="003A78D3"/>
    <w:rsid w:val="003B0740"/>
    <w:rsid w:val="003B265B"/>
    <w:rsid w:val="003B357A"/>
    <w:rsid w:val="003B3E3E"/>
    <w:rsid w:val="003B6848"/>
    <w:rsid w:val="003B6B16"/>
    <w:rsid w:val="003B6F3E"/>
    <w:rsid w:val="003B6F9E"/>
    <w:rsid w:val="003B7590"/>
    <w:rsid w:val="003B7B13"/>
    <w:rsid w:val="003B7EA3"/>
    <w:rsid w:val="003C0DF4"/>
    <w:rsid w:val="003C20B5"/>
    <w:rsid w:val="003C2F43"/>
    <w:rsid w:val="003C2FD2"/>
    <w:rsid w:val="003C44B2"/>
    <w:rsid w:val="003C4641"/>
    <w:rsid w:val="003C4E28"/>
    <w:rsid w:val="003C4F07"/>
    <w:rsid w:val="003C549D"/>
    <w:rsid w:val="003C57CB"/>
    <w:rsid w:val="003C57EB"/>
    <w:rsid w:val="003C5E31"/>
    <w:rsid w:val="003C6A9E"/>
    <w:rsid w:val="003C7556"/>
    <w:rsid w:val="003C7587"/>
    <w:rsid w:val="003D0356"/>
    <w:rsid w:val="003D1C3C"/>
    <w:rsid w:val="003D2EDF"/>
    <w:rsid w:val="003D358B"/>
    <w:rsid w:val="003D4337"/>
    <w:rsid w:val="003D46B7"/>
    <w:rsid w:val="003D4E1D"/>
    <w:rsid w:val="003D501D"/>
    <w:rsid w:val="003D50F4"/>
    <w:rsid w:val="003E03C9"/>
    <w:rsid w:val="003E0EDE"/>
    <w:rsid w:val="003E176D"/>
    <w:rsid w:val="003E19E5"/>
    <w:rsid w:val="003E28F6"/>
    <w:rsid w:val="003E3891"/>
    <w:rsid w:val="003E3979"/>
    <w:rsid w:val="003E65A5"/>
    <w:rsid w:val="003E67F0"/>
    <w:rsid w:val="003E7606"/>
    <w:rsid w:val="003E7A5C"/>
    <w:rsid w:val="003E7F5B"/>
    <w:rsid w:val="003F015D"/>
    <w:rsid w:val="003F0480"/>
    <w:rsid w:val="003F083B"/>
    <w:rsid w:val="003F2B6F"/>
    <w:rsid w:val="003F2FE2"/>
    <w:rsid w:val="003F308B"/>
    <w:rsid w:val="003F3E35"/>
    <w:rsid w:val="003F4F46"/>
    <w:rsid w:val="003F5644"/>
    <w:rsid w:val="003F5825"/>
    <w:rsid w:val="003F592E"/>
    <w:rsid w:val="003F7019"/>
    <w:rsid w:val="003F7C14"/>
    <w:rsid w:val="0040167B"/>
    <w:rsid w:val="00401D01"/>
    <w:rsid w:val="00401D90"/>
    <w:rsid w:val="00402879"/>
    <w:rsid w:val="00403A45"/>
    <w:rsid w:val="00403F20"/>
    <w:rsid w:val="004065E7"/>
    <w:rsid w:val="004075A6"/>
    <w:rsid w:val="004102CA"/>
    <w:rsid w:val="00410C6E"/>
    <w:rsid w:val="00410C81"/>
    <w:rsid w:val="00412A72"/>
    <w:rsid w:val="00415D70"/>
    <w:rsid w:val="00416ABF"/>
    <w:rsid w:val="00416F5D"/>
    <w:rsid w:val="0042169C"/>
    <w:rsid w:val="00421D63"/>
    <w:rsid w:val="00422C95"/>
    <w:rsid w:val="00424255"/>
    <w:rsid w:val="00424CAE"/>
    <w:rsid w:val="004255E0"/>
    <w:rsid w:val="00425A19"/>
    <w:rsid w:val="0042623E"/>
    <w:rsid w:val="00426EE3"/>
    <w:rsid w:val="0042739B"/>
    <w:rsid w:val="0042756A"/>
    <w:rsid w:val="004277AF"/>
    <w:rsid w:val="00427AEB"/>
    <w:rsid w:val="00430A7D"/>
    <w:rsid w:val="00431568"/>
    <w:rsid w:val="00434082"/>
    <w:rsid w:val="0043462E"/>
    <w:rsid w:val="00434A3D"/>
    <w:rsid w:val="00434D63"/>
    <w:rsid w:val="004351E9"/>
    <w:rsid w:val="004357AD"/>
    <w:rsid w:val="00435FFA"/>
    <w:rsid w:val="004400E5"/>
    <w:rsid w:val="0044328F"/>
    <w:rsid w:val="00444B36"/>
    <w:rsid w:val="0044544D"/>
    <w:rsid w:val="00446026"/>
    <w:rsid w:val="00447853"/>
    <w:rsid w:val="00451819"/>
    <w:rsid w:val="004522A5"/>
    <w:rsid w:val="004541D3"/>
    <w:rsid w:val="00457BAA"/>
    <w:rsid w:val="0046054B"/>
    <w:rsid w:val="00461CED"/>
    <w:rsid w:val="00462ADA"/>
    <w:rsid w:val="00463ED8"/>
    <w:rsid w:val="004649B8"/>
    <w:rsid w:val="00466473"/>
    <w:rsid w:val="0046783E"/>
    <w:rsid w:val="004705C6"/>
    <w:rsid w:val="00471588"/>
    <w:rsid w:val="00471638"/>
    <w:rsid w:val="00472CC4"/>
    <w:rsid w:val="00476E1F"/>
    <w:rsid w:val="00477021"/>
    <w:rsid w:val="0047703A"/>
    <w:rsid w:val="00477669"/>
    <w:rsid w:val="00477B04"/>
    <w:rsid w:val="004810BA"/>
    <w:rsid w:val="0048252C"/>
    <w:rsid w:val="00483C8D"/>
    <w:rsid w:val="00484E2D"/>
    <w:rsid w:val="00486B9E"/>
    <w:rsid w:val="0048782A"/>
    <w:rsid w:val="0049097F"/>
    <w:rsid w:val="0049262B"/>
    <w:rsid w:val="00494389"/>
    <w:rsid w:val="0049440E"/>
    <w:rsid w:val="004946DF"/>
    <w:rsid w:val="00494BAA"/>
    <w:rsid w:val="004971EE"/>
    <w:rsid w:val="004978AD"/>
    <w:rsid w:val="004A00C1"/>
    <w:rsid w:val="004A0328"/>
    <w:rsid w:val="004A19B1"/>
    <w:rsid w:val="004A1A6F"/>
    <w:rsid w:val="004A1E2B"/>
    <w:rsid w:val="004A296F"/>
    <w:rsid w:val="004A3178"/>
    <w:rsid w:val="004A3927"/>
    <w:rsid w:val="004A5085"/>
    <w:rsid w:val="004A6DAE"/>
    <w:rsid w:val="004A7535"/>
    <w:rsid w:val="004B221D"/>
    <w:rsid w:val="004B2705"/>
    <w:rsid w:val="004B270E"/>
    <w:rsid w:val="004B2F14"/>
    <w:rsid w:val="004B37C7"/>
    <w:rsid w:val="004B3E61"/>
    <w:rsid w:val="004B46E4"/>
    <w:rsid w:val="004B4C1E"/>
    <w:rsid w:val="004B50FC"/>
    <w:rsid w:val="004B6DE0"/>
    <w:rsid w:val="004B7BE8"/>
    <w:rsid w:val="004C01A4"/>
    <w:rsid w:val="004C0B96"/>
    <w:rsid w:val="004C1B6E"/>
    <w:rsid w:val="004C1EA4"/>
    <w:rsid w:val="004C2105"/>
    <w:rsid w:val="004C2E35"/>
    <w:rsid w:val="004C3260"/>
    <w:rsid w:val="004C3311"/>
    <w:rsid w:val="004C37E6"/>
    <w:rsid w:val="004C45FF"/>
    <w:rsid w:val="004C4C1A"/>
    <w:rsid w:val="004C5ADA"/>
    <w:rsid w:val="004C7E6F"/>
    <w:rsid w:val="004D21A4"/>
    <w:rsid w:val="004D2493"/>
    <w:rsid w:val="004D2939"/>
    <w:rsid w:val="004D35EE"/>
    <w:rsid w:val="004D406A"/>
    <w:rsid w:val="004D4ADF"/>
    <w:rsid w:val="004D5E17"/>
    <w:rsid w:val="004D646A"/>
    <w:rsid w:val="004D7139"/>
    <w:rsid w:val="004E0189"/>
    <w:rsid w:val="004E0F20"/>
    <w:rsid w:val="004E0FEB"/>
    <w:rsid w:val="004E1C87"/>
    <w:rsid w:val="004E1EA4"/>
    <w:rsid w:val="004E52A9"/>
    <w:rsid w:val="004F0014"/>
    <w:rsid w:val="004F13A7"/>
    <w:rsid w:val="004F1465"/>
    <w:rsid w:val="004F167A"/>
    <w:rsid w:val="004F406E"/>
    <w:rsid w:val="004F40A5"/>
    <w:rsid w:val="004F45A3"/>
    <w:rsid w:val="004F6B1C"/>
    <w:rsid w:val="004F72CC"/>
    <w:rsid w:val="00500D2F"/>
    <w:rsid w:val="00500F08"/>
    <w:rsid w:val="005010E7"/>
    <w:rsid w:val="00501905"/>
    <w:rsid w:val="00501DCC"/>
    <w:rsid w:val="00502114"/>
    <w:rsid w:val="0050215B"/>
    <w:rsid w:val="0050221D"/>
    <w:rsid w:val="00502707"/>
    <w:rsid w:val="0050335A"/>
    <w:rsid w:val="00504755"/>
    <w:rsid w:val="0050652B"/>
    <w:rsid w:val="00507659"/>
    <w:rsid w:val="005104C4"/>
    <w:rsid w:val="00511D45"/>
    <w:rsid w:val="00514FC5"/>
    <w:rsid w:val="00516751"/>
    <w:rsid w:val="00522CC8"/>
    <w:rsid w:val="005245E3"/>
    <w:rsid w:val="005264F4"/>
    <w:rsid w:val="00526757"/>
    <w:rsid w:val="00526960"/>
    <w:rsid w:val="00526E59"/>
    <w:rsid w:val="00533337"/>
    <w:rsid w:val="00533895"/>
    <w:rsid w:val="00533B1D"/>
    <w:rsid w:val="005356E4"/>
    <w:rsid w:val="00535961"/>
    <w:rsid w:val="00536A3E"/>
    <w:rsid w:val="00537024"/>
    <w:rsid w:val="0053748C"/>
    <w:rsid w:val="00540851"/>
    <w:rsid w:val="005430E5"/>
    <w:rsid w:val="00543FFB"/>
    <w:rsid w:val="005456B5"/>
    <w:rsid w:val="00545D19"/>
    <w:rsid w:val="0054644F"/>
    <w:rsid w:val="005464EE"/>
    <w:rsid w:val="005506EF"/>
    <w:rsid w:val="00550A56"/>
    <w:rsid w:val="00551F80"/>
    <w:rsid w:val="0055297F"/>
    <w:rsid w:val="00553402"/>
    <w:rsid w:val="00554A29"/>
    <w:rsid w:val="0055520C"/>
    <w:rsid w:val="00555409"/>
    <w:rsid w:val="005556C4"/>
    <w:rsid w:val="00556025"/>
    <w:rsid w:val="005561AD"/>
    <w:rsid w:val="00556657"/>
    <w:rsid w:val="005567D7"/>
    <w:rsid w:val="00560DF9"/>
    <w:rsid w:val="00561B4B"/>
    <w:rsid w:val="0056251B"/>
    <w:rsid w:val="005628DC"/>
    <w:rsid w:val="0056353E"/>
    <w:rsid w:val="00564BC3"/>
    <w:rsid w:val="005655E1"/>
    <w:rsid w:val="00566CB5"/>
    <w:rsid w:val="005708E8"/>
    <w:rsid w:val="00571A9D"/>
    <w:rsid w:val="00571B84"/>
    <w:rsid w:val="00572105"/>
    <w:rsid w:val="00572970"/>
    <w:rsid w:val="00573432"/>
    <w:rsid w:val="0057420A"/>
    <w:rsid w:val="005755DB"/>
    <w:rsid w:val="00575D5E"/>
    <w:rsid w:val="0057670C"/>
    <w:rsid w:val="005769E1"/>
    <w:rsid w:val="00577B69"/>
    <w:rsid w:val="00581DF9"/>
    <w:rsid w:val="00582395"/>
    <w:rsid w:val="00582EE5"/>
    <w:rsid w:val="00583BC6"/>
    <w:rsid w:val="00583F00"/>
    <w:rsid w:val="005844B2"/>
    <w:rsid w:val="00585E19"/>
    <w:rsid w:val="0058635C"/>
    <w:rsid w:val="0058693E"/>
    <w:rsid w:val="00586CD4"/>
    <w:rsid w:val="00586EFE"/>
    <w:rsid w:val="005903C8"/>
    <w:rsid w:val="005913DE"/>
    <w:rsid w:val="00592861"/>
    <w:rsid w:val="00592D0A"/>
    <w:rsid w:val="00592F61"/>
    <w:rsid w:val="00593775"/>
    <w:rsid w:val="00594486"/>
    <w:rsid w:val="0059472A"/>
    <w:rsid w:val="005951F8"/>
    <w:rsid w:val="005960AD"/>
    <w:rsid w:val="005965B9"/>
    <w:rsid w:val="005A0D4A"/>
    <w:rsid w:val="005A2188"/>
    <w:rsid w:val="005A27B1"/>
    <w:rsid w:val="005A4223"/>
    <w:rsid w:val="005A519F"/>
    <w:rsid w:val="005A64CB"/>
    <w:rsid w:val="005A673C"/>
    <w:rsid w:val="005B099D"/>
    <w:rsid w:val="005B0A70"/>
    <w:rsid w:val="005B0C1E"/>
    <w:rsid w:val="005B14BA"/>
    <w:rsid w:val="005B3366"/>
    <w:rsid w:val="005B5486"/>
    <w:rsid w:val="005C0D8A"/>
    <w:rsid w:val="005C15A6"/>
    <w:rsid w:val="005C1A36"/>
    <w:rsid w:val="005C1E15"/>
    <w:rsid w:val="005C2C5F"/>
    <w:rsid w:val="005C3073"/>
    <w:rsid w:val="005C38F8"/>
    <w:rsid w:val="005C44A9"/>
    <w:rsid w:val="005C5AB5"/>
    <w:rsid w:val="005C5B99"/>
    <w:rsid w:val="005D2267"/>
    <w:rsid w:val="005D2325"/>
    <w:rsid w:val="005D2E7D"/>
    <w:rsid w:val="005D3C86"/>
    <w:rsid w:val="005D6097"/>
    <w:rsid w:val="005D61FE"/>
    <w:rsid w:val="005D6726"/>
    <w:rsid w:val="005D6BEA"/>
    <w:rsid w:val="005D6DD2"/>
    <w:rsid w:val="005D7205"/>
    <w:rsid w:val="005E0D64"/>
    <w:rsid w:val="005E1D54"/>
    <w:rsid w:val="005E2B5C"/>
    <w:rsid w:val="005E31C1"/>
    <w:rsid w:val="005E32C4"/>
    <w:rsid w:val="005E4009"/>
    <w:rsid w:val="005E475E"/>
    <w:rsid w:val="005E4E8E"/>
    <w:rsid w:val="005E525F"/>
    <w:rsid w:val="005E5545"/>
    <w:rsid w:val="005E5822"/>
    <w:rsid w:val="005E72C2"/>
    <w:rsid w:val="005E7946"/>
    <w:rsid w:val="005F0318"/>
    <w:rsid w:val="005F13AD"/>
    <w:rsid w:val="005F3ADC"/>
    <w:rsid w:val="005F447E"/>
    <w:rsid w:val="005F49CA"/>
    <w:rsid w:val="005F51C3"/>
    <w:rsid w:val="005F609E"/>
    <w:rsid w:val="005F70EF"/>
    <w:rsid w:val="00600DFA"/>
    <w:rsid w:val="00601DAA"/>
    <w:rsid w:val="006027E7"/>
    <w:rsid w:val="00604722"/>
    <w:rsid w:val="006058FC"/>
    <w:rsid w:val="006059C5"/>
    <w:rsid w:val="0060608E"/>
    <w:rsid w:val="00606D91"/>
    <w:rsid w:val="00606E03"/>
    <w:rsid w:val="00607AD1"/>
    <w:rsid w:val="00611DE5"/>
    <w:rsid w:val="006123B0"/>
    <w:rsid w:val="0061332F"/>
    <w:rsid w:val="006148A9"/>
    <w:rsid w:val="00614A7C"/>
    <w:rsid w:val="00614C5A"/>
    <w:rsid w:val="00616814"/>
    <w:rsid w:val="00617AE3"/>
    <w:rsid w:val="00620663"/>
    <w:rsid w:val="0062154B"/>
    <w:rsid w:val="00621CE6"/>
    <w:rsid w:val="006231EB"/>
    <w:rsid w:val="00623A94"/>
    <w:rsid w:val="006259F2"/>
    <w:rsid w:val="006261CF"/>
    <w:rsid w:val="00626422"/>
    <w:rsid w:val="00627925"/>
    <w:rsid w:val="00627E0B"/>
    <w:rsid w:val="00630B1F"/>
    <w:rsid w:val="006311AD"/>
    <w:rsid w:val="0063173C"/>
    <w:rsid w:val="00631932"/>
    <w:rsid w:val="00631CD0"/>
    <w:rsid w:val="0063280E"/>
    <w:rsid w:val="0063356F"/>
    <w:rsid w:val="00633DFA"/>
    <w:rsid w:val="00633F8E"/>
    <w:rsid w:val="00634ED2"/>
    <w:rsid w:val="00635DE9"/>
    <w:rsid w:val="00636245"/>
    <w:rsid w:val="00637A75"/>
    <w:rsid w:val="00640421"/>
    <w:rsid w:val="00641522"/>
    <w:rsid w:val="00642BB3"/>
    <w:rsid w:val="00642FCD"/>
    <w:rsid w:val="006440C6"/>
    <w:rsid w:val="00645572"/>
    <w:rsid w:val="00645A82"/>
    <w:rsid w:val="00645F0D"/>
    <w:rsid w:val="0064779B"/>
    <w:rsid w:val="0064793E"/>
    <w:rsid w:val="0065083E"/>
    <w:rsid w:val="00650F31"/>
    <w:rsid w:val="006510CE"/>
    <w:rsid w:val="00651101"/>
    <w:rsid w:val="006515B1"/>
    <w:rsid w:val="00652848"/>
    <w:rsid w:val="00653E41"/>
    <w:rsid w:val="00654298"/>
    <w:rsid w:val="006543A2"/>
    <w:rsid w:val="00654C0B"/>
    <w:rsid w:val="006552A3"/>
    <w:rsid w:val="00656478"/>
    <w:rsid w:val="00656EE5"/>
    <w:rsid w:val="00657A01"/>
    <w:rsid w:val="006613C4"/>
    <w:rsid w:val="006619D9"/>
    <w:rsid w:val="006631C5"/>
    <w:rsid w:val="0066439B"/>
    <w:rsid w:val="006644A1"/>
    <w:rsid w:val="006645CA"/>
    <w:rsid w:val="006658FD"/>
    <w:rsid w:val="006668B6"/>
    <w:rsid w:val="006703E8"/>
    <w:rsid w:val="0067059E"/>
    <w:rsid w:val="006709FA"/>
    <w:rsid w:val="006713A0"/>
    <w:rsid w:val="00671475"/>
    <w:rsid w:val="00671523"/>
    <w:rsid w:val="006737FA"/>
    <w:rsid w:val="00673BAD"/>
    <w:rsid w:val="00674202"/>
    <w:rsid w:val="006754B7"/>
    <w:rsid w:val="00675C3E"/>
    <w:rsid w:val="00675ECD"/>
    <w:rsid w:val="00676061"/>
    <w:rsid w:val="00676BD2"/>
    <w:rsid w:val="00676C50"/>
    <w:rsid w:val="00677B76"/>
    <w:rsid w:val="00677DDF"/>
    <w:rsid w:val="00677FE9"/>
    <w:rsid w:val="0068036B"/>
    <w:rsid w:val="00681E02"/>
    <w:rsid w:val="006823DE"/>
    <w:rsid w:val="006825DE"/>
    <w:rsid w:val="00682A64"/>
    <w:rsid w:val="00682D2A"/>
    <w:rsid w:val="006846D6"/>
    <w:rsid w:val="00684B37"/>
    <w:rsid w:val="006867F8"/>
    <w:rsid w:val="00686E6B"/>
    <w:rsid w:val="00687014"/>
    <w:rsid w:val="00691288"/>
    <w:rsid w:val="00692035"/>
    <w:rsid w:val="00692477"/>
    <w:rsid w:val="00693D04"/>
    <w:rsid w:val="00694068"/>
    <w:rsid w:val="00694C92"/>
    <w:rsid w:val="00695347"/>
    <w:rsid w:val="00695B02"/>
    <w:rsid w:val="00697AD5"/>
    <w:rsid w:val="00697D25"/>
    <w:rsid w:val="006A072A"/>
    <w:rsid w:val="006A0E1B"/>
    <w:rsid w:val="006A4068"/>
    <w:rsid w:val="006A4D2A"/>
    <w:rsid w:val="006A5445"/>
    <w:rsid w:val="006A70B2"/>
    <w:rsid w:val="006A7531"/>
    <w:rsid w:val="006A76EB"/>
    <w:rsid w:val="006B02CB"/>
    <w:rsid w:val="006B0B16"/>
    <w:rsid w:val="006B0CB2"/>
    <w:rsid w:val="006B117A"/>
    <w:rsid w:val="006B128B"/>
    <w:rsid w:val="006B31B5"/>
    <w:rsid w:val="006B3BC3"/>
    <w:rsid w:val="006B7C38"/>
    <w:rsid w:val="006C22BA"/>
    <w:rsid w:val="006C2EF7"/>
    <w:rsid w:val="006C3652"/>
    <w:rsid w:val="006C3ECB"/>
    <w:rsid w:val="006C4D61"/>
    <w:rsid w:val="006C71B9"/>
    <w:rsid w:val="006D05AE"/>
    <w:rsid w:val="006D0C31"/>
    <w:rsid w:val="006D2680"/>
    <w:rsid w:val="006D3994"/>
    <w:rsid w:val="006D76F4"/>
    <w:rsid w:val="006D79B3"/>
    <w:rsid w:val="006D7C90"/>
    <w:rsid w:val="006E0C11"/>
    <w:rsid w:val="006E1F3C"/>
    <w:rsid w:val="006E1FA7"/>
    <w:rsid w:val="006E2291"/>
    <w:rsid w:val="006E5395"/>
    <w:rsid w:val="006E548E"/>
    <w:rsid w:val="006E64A6"/>
    <w:rsid w:val="006E68AF"/>
    <w:rsid w:val="006E7D67"/>
    <w:rsid w:val="006E7F8A"/>
    <w:rsid w:val="006F1337"/>
    <w:rsid w:val="006F14E7"/>
    <w:rsid w:val="006F1FE2"/>
    <w:rsid w:val="006F2436"/>
    <w:rsid w:val="006F305D"/>
    <w:rsid w:val="006F3599"/>
    <w:rsid w:val="006F386D"/>
    <w:rsid w:val="006F3C39"/>
    <w:rsid w:val="006F5015"/>
    <w:rsid w:val="006F52CC"/>
    <w:rsid w:val="006F5F3B"/>
    <w:rsid w:val="007006EB"/>
    <w:rsid w:val="00702372"/>
    <w:rsid w:val="0070313D"/>
    <w:rsid w:val="0070335B"/>
    <w:rsid w:val="00703CB9"/>
    <w:rsid w:val="007044FF"/>
    <w:rsid w:val="0070532D"/>
    <w:rsid w:val="00705962"/>
    <w:rsid w:val="00705C98"/>
    <w:rsid w:val="00706D58"/>
    <w:rsid w:val="007101DE"/>
    <w:rsid w:val="00712229"/>
    <w:rsid w:val="007131F6"/>
    <w:rsid w:val="007137FC"/>
    <w:rsid w:val="007150F9"/>
    <w:rsid w:val="0072197B"/>
    <w:rsid w:val="00724D44"/>
    <w:rsid w:val="00726118"/>
    <w:rsid w:val="007267AA"/>
    <w:rsid w:val="00727672"/>
    <w:rsid w:val="00732308"/>
    <w:rsid w:val="00732DE8"/>
    <w:rsid w:val="00733467"/>
    <w:rsid w:val="00733A4B"/>
    <w:rsid w:val="00734CDB"/>
    <w:rsid w:val="00736607"/>
    <w:rsid w:val="007406FA"/>
    <w:rsid w:val="00740BE1"/>
    <w:rsid w:val="00741861"/>
    <w:rsid w:val="00742250"/>
    <w:rsid w:val="00744593"/>
    <w:rsid w:val="00744AA9"/>
    <w:rsid w:val="00744BBB"/>
    <w:rsid w:val="007450E2"/>
    <w:rsid w:val="00746639"/>
    <w:rsid w:val="00746E66"/>
    <w:rsid w:val="00747D4C"/>
    <w:rsid w:val="0075258C"/>
    <w:rsid w:val="00752EE7"/>
    <w:rsid w:val="00753032"/>
    <w:rsid w:val="0075406A"/>
    <w:rsid w:val="0075412C"/>
    <w:rsid w:val="0075511C"/>
    <w:rsid w:val="00756487"/>
    <w:rsid w:val="0075662A"/>
    <w:rsid w:val="007607C5"/>
    <w:rsid w:val="00760951"/>
    <w:rsid w:val="00760D88"/>
    <w:rsid w:val="007619D8"/>
    <w:rsid w:val="0076272E"/>
    <w:rsid w:val="00762B6D"/>
    <w:rsid w:val="00762E62"/>
    <w:rsid w:val="00763201"/>
    <w:rsid w:val="007632E6"/>
    <w:rsid w:val="0076356C"/>
    <w:rsid w:val="00767E6B"/>
    <w:rsid w:val="00770677"/>
    <w:rsid w:val="007717A7"/>
    <w:rsid w:val="00771DA2"/>
    <w:rsid w:val="00772509"/>
    <w:rsid w:val="00772563"/>
    <w:rsid w:val="007732C5"/>
    <w:rsid w:val="007734B2"/>
    <w:rsid w:val="00774471"/>
    <w:rsid w:val="0077790A"/>
    <w:rsid w:val="00781F4E"/>
    <w:rsid w:val="007823D3"/>
    <w:rsid w:val="00783508"/>
    <w:rsid w:val="00783783"/>
    <w:rsid w:val="00785296"/>
    <w:rsid w:val="00785B91"/>
    <w:rsid w:val="0078677E"/>
    <w:rsid w:val="00786B64"/>
    <w:rsid w:val="00786E43"/>
    <w:rsid w:val="007909E4"/>
    <w:rsid w:val="00790A91"/>
    <w:rsid w:val="007919B7"/>
    <w:rsid w:val="0079212F"/>
    <w:rsid w:val="007928FE"/>
    <w:rsid w:val="0079387E"/>
    <w:rsid w:val="00793A36"/>
    <w:rsid w:val="00793D2A"/>
    <w:rsid w:val="0079499F"/>
    <w:rsid w:val="00795655"/>
    <w:rsid w:val="0079676D"/>
    <w:rsid w:val="007A109A"/>
    <w:rsid w:val="007A1BDF"/>
    <w:rsid w:val="007A6011"/>
    <w:rsid w:val="007A6487"/>
    <w:rsid w:val="007A6A77"/>
    <w:rsid w:val="007A736A"/>
    <w:rsid w:val="007A7E18"/>
    <w:rsid w:val="007B0030"/>
    <w:rsid w:val="007B0175"/>
    <w:rsid w:val="007B06E2"/>
    <w:rsid w:val="007B0AE6"/>
    <w:rsid w:val="007B1518"/>
    <w:rsid w:val="007B1CED"/>
    <w:rsid w:val="007B25D5"/>
    <w:rsid w:val="007B2F3F"/>
    <w:rsid w:val="007B539D"/>
    <w:rsid w:val="007B5BAB"/>
    <w:rsid w:val="007B5C73"/>
    <w:rsid w:val="007B7094"/>
    <w:rsid w:val="007C12DC"/>
    <w:rsid w:val="007C1F65"/>
    <w:rsid w:val="007C3B1A"/>
    <w:rsid w:val="007C3EE9"/>
    <w:rsid w:val="007C4D0B"/>
    <w:rsid w:val="007C5C24"/>
    <w:rsid w:val="007C6101"/>
    <w:rsid w:val="007C73D3"/>
    <w:rsid w:val="007D0076"/>
    <w:rsid w:val="007D0631"/>
    <w:rsid w:val="007D42C5"/>
    <w:rsid w:val="007D4338"/>
    <w:rsid w:val="007D4EEB"/>
    <w:rsid w:val="007D5368"/>
    <w:rsid w:val="007D729F"/>
    <w:rsid w:val="007D7E1D"/>
    <w:rsid w:val="007E0ABB"/>
    <w:rsid w:val="007E1CC2"/>
    <w:rsid w:val="007E2512"/>
    <w:rsid w:val="007E351F"/>
    <w:rsid w:val="007E55FD"/>
    <w:rsid w:val="007E6353"/>
    <w:rsid w:val="007F1AE5"/>
    <w:rsid w:val="007F1F4E"/>
    <w:rsid w:val="007F2722"/>
    <w:rsid w:val="007F2B41"/>
    <w:rsid w:val="007F41F8"/>
    <w:rsid w:val="007F4BA4"/>
    <w:rsid w:val="007F6BD0"/>
    <w:rsid w:val="007F6CD7"/>
    <w:rsid w:val="007F7058"/>
    <w:rsid w:val="007F72E6"/>
    <w:rsid w:val="00800632"/>
    <w:rsid w:val="00800DA6"/>
    <w:rsid w:val="00802546"/>
    <w:rsid w:val="00804014"/>
    <w:rsid w:val="00805FA1"/>
    <w:rsid w:val="0080744F"/>
    <w:rsid w:val="00810D45"/>
    <w:rsid w:val="00811ABE"/>
    <w:rsid w:val="00813BA4"/>
    <w:rsid w:val="00816918"/>
    <w:rsid w:val="008169C5"/>
    <w:rsid w:val="00816C5A"/>
    <w:rsid w:val="00816D7D"/>
    <w:rsid w:val="00817496"/>
    <w:rsid w:val="0082125C"/>
    <w:rsid w:val="008224DD"/>
    <w:rsid w:val="00823301"/>
    <w:rsid w:val="00823A9A"/>
    <w:rsid w:val="00824C6E"/>
    <w:rsid w:val="00826471"/>
    <w:rsid w:val="008276FF"/>
    <w:rsid w:val="00831FA0"/>
    <w:rsid w:val="00834CA2"/>
    <w:rsid w:val="00835655"/>
    <w:rsid w:val="00837115"/>
    <w:rsid w:val="0084034E"/>
    <w:rsid w:val="00842052"/>
    <w:rsid w:val="0084215F"/>
    <w:rsid w:val="008463EC"/>
    <w:rsid w:val="00847504"/>
    <w:rsid w:val="00847BE6"/>
    <w:rsid w:val="00847C9D"/>
    <w:rsid w:val="0085125D"/>
    <w:rsid w:val="0085243D"/>
    <w:rsid w:val="00852460"/>
    <w:rsid w:val="008526D9"/>
    <w:rsid w:val="00854595"/>
    <w:rsid w:val="008546B5"/>
    <w:rsid w:val="0085510B"/>
    <w:rsid w:val="00855357"/>
    <w:rsid w:val="008566AA"/>
    <w:rsid w:val="0085706D"/>
    <w:rsid w:val="00860356"/>
    <w:rsid w:val="00860BDD"/>
    <w:rsid w:val="00860E2E"/>
    <w:rsid w:val="00860F34"/>
    <w:rsid w:val="008614D8"/>
    <w:rsid w:val="008617A1"/>
    <w:rsid w:val="00861A75"/>
    <w:rsid w:val="0086272E"/>
    <w:rsid w:val="008631EE"/>
    <w:rsid w:val="00863A97"/>
    <w:rsid w:val="00864006"/>
    <w:rsid w:val="00864FB5"/>
    <w:rsid w:val="008654A8"/>
    <w:rsid w:val="0086656A"/>
    <w:rsid w:val="008672EC"/>
    <w:rsid w:val="00867CAD"/>
    <w:rsid w:val="00871107"/>
    <w:rsid w:val="008736BA"/>
    <w:rsid w:val="00873818"/>
    <w:rsid w:val="00873FD1"/>
    <w:rsid w:val="00874037"/>
    <w:rsid w:val="00875176"/>
    <w:rsid w:val="0087608D"/>
    <w:rsid w:val="0087711F"/>
    <w:rsid w:val="00880B14"/>
    <w:rsid w:val="008840C2"/>
    <w:rsid w:val="00884361"/>
    <w:rsid w:val="00884B04"/>
    <w:rsid w:val="00884C3F"/>
    <w:rsid w:val="00885391"/>
    <w:rsid w:val="00885785"/>
    <w:rsid w:val="008857E7"/>
    <w:rsid w:val="00885B30"/>
    <w:rsid w:val="00887CB0"/>
    <w:rsid w:val="00887E5E"/>
    <w:rsid w:val="00890F03"/>
    <w:rsid w:val="00890F76"/>
    <w:rsid w:val="008919B6"/>
    <w:rsid w:val="00894633"/>
    <w:rsid w:val="00894C0E"/>
    <w:rsid w:val="00895516"/>
    <w:rsid w:val="00896BD9"/>
    <w:rsid w:val="00896E55"/>
    <w:rsid w:val="00897336"/>
    <w:rsid w:val="008975DC"/>
    <w:rsid w:val="008A0616"/>
    <w:rsid w:val="008A11E8"/>
    <w:rsid w:val="008A28B3"/>
    <w:rsid w:val="008A4268"/>
    <w:rsid w:val="008A5A15"/>
    <w:rsid w:val="008A5EBC"/>
    <w:rsid w:val="008A7215"/>
    <w:rsid w:val="008A752C"/>
    <w:rsid w:val="008B0AF2"/>
    <w:rsid w:val="008B2169"/>
    <w:rsid w:val="008B37CE"/>
    <w:rsid w:val="008B4084"/>
    <w:rsid w:val="008B599D"/>
    <w:rsid w:val="008B734C"/>
    <w:rsid w:val="008B74A0"/>
    <w:rsid w:val="008B78A0"/>
    <w:rsid w:val="008C1AB2"/>
    <w:rsid w:val="008C2C9C"/>
    <w:rsid w:val="008C2E55"/>
    <w:rsid w:val="008C44EC"/>
    <w:rsid w:val="008C46AA"/>
    <w:rsid w:val="008D0240"/>
    <w:rsid w:val="008D13B0"/>
    <w:rsid w:val="008D1942"/>
    <w:rsid w:val="008D2967"/>
    <w:rsid w:val="008D3D3C"/>
    <w:rsid w:val="008D4874"/>
    <w:rsid w:val="008D5778"/>
    <w:rsid w:val="008D72AF"/>
    <w:rsid w:val="008D7A26"/>
    <w:rsid w:val="008D7E06"/>
    <w:rsid w:val="008E0C75"/>
    <w:rsid w:val="008E0F34"/>
    <w:rsid w:val="008E0F8D"/>
    <w:rsid w:val="008E14A9"/>
    <w:rsid w:val="008E1CA5"/>
    <w:rsid w:val="008E401B"/>
    <w:rsid w:val="008E4E70"/>
    <w:rsid w:val="008E5921"/>
    <w:rsid w:val="008F2978"/>
    <w:rsid w:val="008F4EBB"/>
    <w:rsid w:val="008F4EF2"/>
    <w:rsid w:val="008F6B05"/>
    <w:rsid w:val="008F6DF5"/>
    <w:rsid w:val="008F7143"/>
    <w:rsid w:val="009009AC"/>
    <w:rsid w:val="009018D2"/>
    <w:rsid w:val="00901979"/>
    <w:rsid w:val="00902AF6"/>
    <w:rsid w:val="00903310"/>
    <w:rsid w:val="009051B7"/>
    <w:rsid w:val="009116E9"/>
    <w:rsid w:val="00912B64"/>
    <w:rsid w:val="009139AB"/>
    <w:rsid w:val="00915604"/>
    <w:rsid w:val="00915763"/>
    <w:rsid w:val="00915BA1"/>
    <w:rsid w:val="00915BE1"/>
    <w:rsid w:val="009161DA"/>
    <w:rsid w:val="009161FC"/>
    <w:rsid w:val="009164B8"/>
    <w:rsid w:val="00917CDE"/>
    <w:rsid w:val="00921650"/>
    <w:rsid w:val="00922691"/>
    <w:rsid w:val="00925AE5"/>
    <w:rsid w:val="0092678C"/>
    <w:rsid w:val="00926CAE"/>
    <w:rsid w:val="00927CC8"/>
    <w:rsid w:val="00927E21"/>
    <w:rsid w:val="00927FFC"/>
    <w:rsid w:val="00930530"/>
    <w:rsid w:val="0093089F"/>
    <w:rsid w:val="009324EF"/>
    <w:rsid w:val="00932B82"/>
    <w:rsid w:val="00934861"/>
    <w:rsid w:val="00934BE1"/>
    <w:rsid w:val="00934E1B"/>
    <w:rsid w:val="0094306B"/>
    <w:rsid w:val="00944299"/>
    <w:rsid w:val="00946541"/>
    <w:rsid w:val="00946E6B"/>
    <w:rsid w:val="00947C0F"/>
    <w:rsid w:val="00950A3E"/>
    <w:rsid w:val="00951515"/>
    <w:rsid w:val="009517A3"/>
    <w:rsid w:val="0095332F"/>
    <w:rsid w:val="00953BA7"/>
    <w:rsid w:val="00953FE4"/>
    <w:rsid w:val="0095406E"/>
    <w:rsid w:val="00954200"/>
    <w:rsid w:val="00954669"/>
    <w:rsid w:val="00955342"/>
    <w:rsid w:val="009568F5"/>
    <w:rsid w:val="0095778B"/>
    <w:rsid w:val="00957FEE"/>
    <w:rsid w:val="00960BC9"/>
    <w:rsid w:val="00960E2D"/>
    <w:rsid w:val="00963752"/>
    <w:rsid w:val="00963AC9"/>
    <w:rsid w:val="00963BD2"/>
    <w:rsid w:val="0096613A"/>
    <w:rsid w:val="0096645C"/>
    <w:rsid w:val="0097060A"/>
    <w:rsid w:val="00971392"/>
    <w:rsid w:val="00973130"/>
    <w:rsid w:val="009731CB"/>
    <w:rsid w:val="0097347B"/>
    <w:rsid w:val="009739F9"/>
    <w:rsid w:val="009741E4"/>
    <w:rsid w:val="00975A34"/>
    <w:rsid w:val="00976CCC"/>
    <w:rsid w:val="00981041"/>
    <w:rsid w:val="00981147"/>
    <w:rsid w:val="0098174C"/>
    <w:rsid w:val="00983968"/>
    <w:rsid w:val="00990646"/>
    <w:rsid w:val="00990985"/>
    <w:rsid w:val="009910DC"/>
    <w:rsid w:val="00991E7D"/>
    <w:rsid w:val="0099246A"/>
    <w:rsid w:val="009935AE"/>
    <w:rsid w:val="009956DC"/>
    <w:rsid w:val="009975C9"/>
    <w:rsid w:val="009A1E2E"/>
    <w:rsid w:val="009A1E6B"/>
    <w:rsid w:val="009A275D"/>
    <w:rsid w:val="009A2D52"/>
    <w:rsid w:val="009A31FB"/>
    <w:rsid w:val="009A7A43"/>
    <w:rsid w:val="009B0787"/>
    <w:rsid w:val="009B2494"/>
    <w:rsid w:val="009B2B2C"/>
    <w:rsid w:val="009B66CB"/>
    <w:rsid w:val="009B6E01"/>
    <w:rsid w:val="009C0C35"/>
    <w:rsid w:val="009C0CE9"/>
    <w:rsid w:val="009C0D07"/>
    <w:rsid w:val="009C269B"/>
    <w:rsid w:val="009C38A9"/>
    <w:rsid w:val="009C3CDA"/>
    <w:rsid w:val="009C4C3B"/>
    <w:rsid w:val="009C5AF7"/>
    <w:rsid w:val="009C67C8"/>
    <w:rsid w:val="009D110C"/>
    <w:rsid w:val="009D2BCF"/>
    <w:rsid w:val="009D561E"/>
    <w:rsid w:val="009D6979"/>
    <w:rsid w:val="009E1051"/>
    <w:rsid w:val="009E1C89"/>
    <w:rsid w:val="009E2EBE"/>
    <w:rsid w:val="009E48C7"/>
    <w:rsid w:val="009E7E45"/>
    <w:rsid w:val="009E7E7A"/>
    <w:rsid w:val="009F0038"/>
    <w:rsid w:val="009F00E4"/>
    <w:rsid w:val="009F05AD"/>
    <w:rsid w:val="009F20AD"/>
    <w:rsid w:val="009F282E"/>
    <w:rsid w:val="009F3B11"/>
    <w:rsid w:val="009F3BD1"/>
    <w:rsid w:val="009F4D48"/>
    <w:rsid w:val="009F52B6"/>
    <w:rsid w:val="009F7A34"/>
    <w:rsid w:val="00A00549"/>
    <w:rsid w:val="00A007EE"/>
    <w:rsid w:val="00A02D35"/>
    <w:rsid w:val="00A05358"/>
    <w:rsid w:val="00A06393"/>
    <w:rsid w:val="00A07282"/>
    <w:rsid w:val="00A07B8A"/>
    <w:rsid w:val="00A11216"/>
    <w:rsid w:val="00A11911"/>
    <w:rsid w:val="00A12A68"/>
    <w:rsid w:val="00A12BEA"/>
    <w:rsid w:val="00A15FDA"/>
    <w:rsid w:val="00A15FF6"/>
    <w:rsid w:val="00A16C00"/>
    <w:rsid w:val="00A17D34"/>
    <w:rsid w:val="00A21224"/>
    <w:rsid w:val="00A21841"/>
    <w:rsid w:val="00A21916"/>
    <w:rsid w:val="00A221ED"/>
    <w:rsid w:val="00A228A3"/>
    <w:rsid w:val="00A22BC3"/>
    <w:rsid w:val="00A24209"/>
    <w:rsid w:val="00A248BB"/>
    <w:rsid w:val="00A26494"/>
    <w:rsid w:val="00A30780"/>
    <w:rsid w:val="00A3154D"/>
    <w:rsid w:val="00A32CA0"/>
    <w:rsid w:val="00A33DB9"/>
    <w:rsid w:val="00A33E0F"/>
    <w:rsid w:val="00A34164"/>
    <w:rsid w:val="00A3624E"/>
    <w:rsid w:val="00A37339"/>
    <w:rsid w:val="00A41C52"/>
    <w:rsid w:val="00A42228"/>
    <w:rsid w:val="00A446AD"/>
    <w:rsid w:val="00A44CA6"/>
    <w:rsid w:val="00A45717"/>
    <w:rsid w:val="00A50008"/>
    <w:rsid w:val="00A504D8"/>
    <w:rsid w:val="00A50D6D"/>
    <w:rsid w:val="00A50EF1"/>
    <w:rsid w:val="00A510DF"/>
    <w:rsid w:val="00A527F8"/>
    <w:rsid w:val="00A53921"/>
    <w:rsid w:val="00A569FD"/>
    <w:rsid w:val="00A57218"/>
    <w:rsid w:val="00A57227"/>
    <w:rsid w:val="00A576C6"/>
    <w:rsid w:val="00A57F6F"/>
    <w:rsid w:val="00A60584"/>
    <w:rsid w:val="00A60A6B"/>
    <w:rsid w:val="00A60AC7"/>
    <w:rsid w:val="00A61226"/>
    <w:rsid w:val="00A63AB5"/>
    <w:rsid w:val="00A643C1"/>
    <w:rsid w:val="00A64725"/>
    <w:rsid w:val="00A65317"/>
    <w:rsid w:val="00A6766E"/>
    <w:rsid w:val="00A71CEF"/>
    <w:rsid w:val="00A71F69"/>
    <w:rsid w:val="00A74126"/>
    <w:rsid w:val="00A7522A"/>
    <w:rsid w:val="00A75FCD"/>
    <w:rsid w:val="00A772CD"/>
    <w:rsid w:val="00A7771A"/>
    <w:rsid w:val="00A815FB"/>
    <w:rsid w:val="00A82654"/>
    <w:rsid w:val="00A82944"/>
    <w:rsid w:val="00A83EBC"/>
    <w:rsid w:val="00A846E4"/>
    <w:rsid w:val="00A850F6"/>
    <w:rsid w:val="00A860EF"/>
    <w:rsid w:val="00A87257"/>
    <w:rsid w:val="00A8754D"/>
    <w:rsid w:val="00A90CF1"/>
    <w:rsid w:val="00A91136"/>
    <w:rsid w:val="00A92377"/>
    <w:rsid w:val="00A92A2F"/>
    <w:rsid w:val="00A92AB3"/>
    <w:rsid w:val="00A92CC2"/>
    <w:rsid w:val="00A93541"/>
    <w:rsid w:val="00A9439A"/>
    <w:rsid w:val="00A95F48"/>
    <w:rsid w:val="00A97FE8"/>
    <w:rsid w:val="00AA0B1A"/>
    <w:rsid w:val="00AA0E62"/>
    <w:rsid w:val="00AA0ECC"/>
    <w:rsid w:val="00AA17D6"/>
    <w:rsid w:val="00AA1B4A"/>
    <w:rsid w:val="00AA2954"/>
    <w:rsid w:val="00AA3E2E"/>
    <w:rsid w:val="00AA4317"/>
    <w:rsid w:val="00AA4AD8"/>
    <w:rsid w:val="00AA57F8"/>
    <w:rsid w:val="00AA5D29"/>
    <w:rsid w:val="00AA5E6C"/>
    <w:rsid w:val="00AA6409"/>
    <w:rsid w:val="00AA6486"/>
    <w:rsid w:val="00AA6875"/>
    <w:rsid w:val="00AA7C9B"/>
    <w:rsid w:val="00AB0422"/>
    <w:rsid w:val="00AB1FEC"/>
    <w:rsid w:val="00AB2268"/>
    <w:rsid w:val="00AB4759"/>
    <w:rsid w:val="00AB6191"/>
    <w:rsid w:val="00AB65F5"/>
    <w:rsid w:val="00AB6AA1"/>
    <w:rsid w:val="00AB761C"/>
    <w:rsid w:val="00AC02C1"/>
    <w:rsid w:val="00AC1359"/>
    <w:rsid w:val="00AC1594"/>
    <w:rsid w:val="00AC1DDC"/>
    <w:rsid w:val="00AC1ED7"/>
    <w:rsid w:val="00AC278A"/>
    <w:rsid w:val="00AC3A55"/>
    <w:rsid w:val="00AC6551"/>
    <w:rsid w:val="00AC7C0F"/>
    <w:rsid w:val="00AD0E7E"/>
    <w:rsid w:val="00AD115E"/>
    <w:rsid w:val="00AD4123"/>
    <w:rsid w:val="00AD4685"/>
    <w:rsid w:val="00AD4847"/>
    <w:rsid w:val="00AD530E"/>
    <w:rsid w:val="00AE0A65"/>
    <w:rsid w:val="00AE1372"/>
    <w:rsid w:val="00AE21FA"/>
    <w:rsid w:val="00AE3345"/>
    <w:rsid w:val="00AE41F0"/>
    <w:rsid w:val="00AF0218"/>
    <w:rsid w:val="00AF2322"/>
    <w:rsid w:val="00AF2B47"/>
    <w:rsid w:val="00AF3521"/>
    <w:rsid w:val="00AF4ED9"/>
    <w:rsid w:val="00AF4F8D"/>
    <w:rsid w:val="00AF5BD7"/>
    <w:rsid w:val="00AF767E"/>
    <w:rsid w:val="00B00311"/>
    <w:rsid w:val="00B00E71"/>
    <w:rsid w:val="00B0303F"/>
    <w:rsid w:val="00B03B99"/>
    <w:rsid w:val="00B045D0"/>
    <w:rsid w:val="00B04AC9"/>
    <w:rsid w:val="00B053AB"/>
    <w:rsid w:val="00B05F35"/>
    <w:rsid w:val="00B06C32"/>
    <w:rsid w:val="00B1052D"/>
    <w:rsid w:val="00B10A19"/>
    <w:rsid w:val="00B10A59"/>
    <w:rsid w:val="00B10AF4"/>
    <w:rsid w:val="00B1206C"/>
    <w:rsid w:val="00B12E4A"/>
    <w:rsid w:val="00B12E5F"/>
    <w:rsid w:val="00B13143"/>
    <w:rsid w:val="00B1445F"/>
    <w:rsid w:val="00B14DEC"/>
    <w:rsid w:val="00B15726"/>
    <w:rsid w:val="00B16696"/>
    <w:rsid w:val="00B218E5"/>
    <w:rsid w:val="00B21F55"/>
    <w:rsid w:val="00B22CC2"/>
    <w:rsid w:val="00B2472E"/>
    <w:rsid w:val="00B250E3"/>
    <w:rsid w:val="00B2546C"/>
    <w:rsid w:val="00B27954"/>
    <w:rsid w:val="00B30A03"/>
    <w:rsid w:val="00B310ED"/>
    <w:rsid w:val="00B3142D"/>
    <w:rsid w:val="00B31AE6"/>
    <w:rsid w:val="00B330D6"/>
    <w:rsid w:val="00B34AD5"/>
    <w:rsid w:val="00B35235"/>
    <w:rsid w:val="00B355B2"/>
    <w:rsid w:val="00B36EA1"/>
    <w:rsid w:val="00B3777B"/>
    <w:rsid w:val="00B377D7"/>
    <w:rsid w:val="00B4085D"/>
    <w:rsid w:val="00B42839"/>
    <w:rsid w:val="00B42D15"/>
    <w:rsid w:val="00B46BE8"/>
    <w:rsid w:val="00B52838"/>
    <w:rsid w:val="00B539F2"/>
    <w:rsid w:val="00B60A75"/>
    <w:rsid w:val="00B61D98"/>
    <w:rsid w:val="00B62DFA"/>
    <w:rsid w:val="00B63244"/>
    <w:rsid w:val="00B63C86"/>
    <w:rsid w:val="00B6510F"/>
    <w:rsid w:val="00B651E0"/>
    <w:rsid w:val="00B661EB"/>
    <w:rsid w:val="00B67F74"/>
    <w:rsid w:val="00B705A8"/>
    <w:rsid w:val="00B706A9"/>
    <w:rsid w:val="00B72505"/>
    <w:rsid w:val="00B7305F"/>
    <w:rsid w:val="00B73147"/>
    <w:rsid w:val="00B73865"/>
    <w:rsid w:val="00B73FA2"/>
    <w:rsid w:val="00B76055"/>
    <w:rsid w:val="00B7682D"/>
    <w:rsid w:val="00B77F1B"/>
    <w:rsid w:val="00B8100E"/>
    <w:rsid w:val="00B81F2C"/>
    <w:rsid w:val="00B826B4"/>
    <w:rsid w:val="00B832B2"/>
    <w:rsid w:val="00B836E6"/>
    <w:rsid w:val="00B84A4F"/>
    <w:rsid w:val="00B850E8"/>
    <w:rsid w:val="00B85680"/>
    <w:rsid w:val="00B85685"/>
    <w:rsid w:val="00B857CC"/>
    <w:rsid w:val="00B867CC"/>
    <w:rsid w:val="00B86F09"/>
    <w:rsid w:val="00B875B6"/>
    <w:rsid w:val="00B905AC"/>
    <w:rsid w:val="00B92A4D"/>
    <w:rsid w:val="00B93C86"/>
    <w:rsid w:val="00B93FC1"/>
    <w:rsid w:val="00B945A0"/>
    <w:rsid w:val="00B94684"/>
    <w:rsid w:val="00B947D9"/>
    <w:rsid w:val="00B94F74"/>
    <w:rsid w:val="00B9621A"/>
    <w:rsid w:val="00B973F9"/>
    <w:rsid w:val="00BA0662"/>
    <w:rsid w:val="00BA0A7F"/>
    <w:rsid w:val="00BA2D0A"/>
    <w:rsid w:val="00BA4BEF"/>
    <w:rsid w:val="00BA4FBF"/>
    <w:rsid w:val="00BA66D3"/>
    <w:rsid w:val="00BA6873"/>
    <w:rsid w:val="00BB0FC5"/>
    <w:rsid w:val="00BB1A50"/>
    <w:rsid w:val="00BB26F8"/>
    <w:rsid w:val="00BB2B9A"/>
    <w:rsid w:val="00BB3529"/>
    <w:rsid w:val="00BB5AB8"/>
    <w:rsid w:val="00BB5C00"/>
    <w:rsid w:val="00BC149D"/>
    <w:rsid w:val="00BC1C07"/>
    <w:rsid w:val="00BC22B9"/>
    <w:rsid w:val="00BC3ED9"/>
    <w:rsid w:val="00BC58CB"/>
    <w:rsid w:val="00BC5DE4"/>
    <w:rsid w:val="00BC6288"/>
    <w:rsid w:val="00BC6446"/>
    <w:rsid w:val="00BC6881"/>
    <w:rsid w:val="00BC6E9D"/>
    <w:rsid w:val="00BD1CFB"/>
    <w:rsid w:val="00BD275C"/>
    <w:rsid w:val="00BD30D9"/>
    <w:rsid w:val="00BD3296"/>
    <w:rsid w:val="00BD4091"/>
    <w:rsid w:val="00BD486F"/>
    <w:rsid w:val="00BD5342"/>
    <w:rsid w:val="00BD62A1"/>
    <w:rsid w:val="00BD71BC"/>
    <w:rsid w:val="00BD724B"/>
    <w:rsid w:val="00BE1BB8"/>
    <w:rsid w:val="00BE1FC3"/>
    <w:rsid w:val="00BE40B3"/>
    <w:rsid w:val="00BE4DF7"/>
    <w:rsid w:val="00BE6011"/>
    <w:rsid w:val="00BE63E5"/>
    <w:rsid w:val="00BE6893"/>
    <w:rsid w:val="00BE73E6"/>
    <w:rsid w:val="00BE7798"/>
    <w:rsid w:val="00BE77AE"/>
    <w:rsid w:val="00BE79B1"/>
    <w:rsid w:val="00BE7F67"/>
    <w:rsid w:val="00BF2091"/>
    <w:rsid w:val="00BF21B5"/>
    <w:rsid w:val="00BF29D0"/>
    <w:rsid w:val="00BF65BC"/>
    <w:rsid w:val="00BF69E6"/>
    <w:rsid w:val="00BF6C08"/>
    <w:rsid w:val="00BF7020"/>
    <w:rsid w:val="00BF7822"/>
    <w:rsid w:val="00BF7B5F"/>
    <w:rsid w:val="00C01BA9"/>
    <w:rsid w:val="00C0257F"/>
    <w:rsid w:val="00C030E8"/>
    <w:rsid w:val="00C047A9"/>
    <w:rsid w:val="00C049B0"/>
    <w:rsid w:val="00C05128"/>
    <w:rsid w:val="00C054D6"/>
    <w:rsid w:val="00C065EA"/>
    <w:rsid w:val="00C07DF3"/>
    <w:rsid w:val="00C10B54"/>
    <w:rsid w:val="00C11430"/>
    <w:rsid w:val="00C11689"/>
    <w:rsid w:val="00C11A19"/>
    <w:rsid w:val="00C12844"/>
    <w:rsid w:val="00C12E86"/>
    <w:rsid w:val="00C14854"/>
    <w:rsid w:val="00C15A08"/>
    <w:rsid w:val="00C17745"/>
    <w:rsid w:val="00C17B28"/>
    <w:rsid w:val="00C17B35"/>
    <w:rsid w:val="00C17D9F"/>
    <w:rsid w:val="00C17F69"/>
    <w:rsid w:val="00C20597"/>
    <w:rsid w:val="00C205D0"/>
    <w:rsid w:val="00C21395"/>
    <w:rsid w:val="00C2141A"/>
    <w:rsid w:val="00C214E2"/>
    <w:rsid w:val="00C22538"/>
    <w:rsid w:val="00C23020"/>
    <w:rsid w:val="00C235B3"/>
    <w:rsid w:val="00C2440D"/>
    <w:rsid w:val="00C24EDD"/>
    <w:rsid w:val="00C27054"/>
    <w:rsid w:val="00C271CB"/>
    <w:rsid w:val="00C27361"/>
    <w:rsid w:val="00C316E1"/>
    <w:rsid w:val="00C32FBD"/>
    <w:rsid w:val="00C34015"/>
    <w:rsid w:val="00C34433"/>
    <w:rsid w:val="00C34C74"/>
    <w:rsid w:val="00C34D1B"/>
    <w:rsid w:val="00C36153"/>
    <w:rsid w:val="00C3730B"/>
    <w:rsid w:val="00C37C34"/>
    <w:rsid w:val="00C404F7"/>
    <w:rsid w:val="00C4067A"/>
    <w:rsid w:val="00C40F07"/>
    <w:rsid w:val="00C4131A"/>
    <w:rsid w:val="00C4152D"/>
    <w:rsid w:val="00C416AE"/>
    <w:rsid w:val="00C41ADD"/>
    <w:rsid w:val="00C41D18"/>
    <w:rsid w:val="00C41E5C"/>
    <w:rsid w:val="00C4205B"/>
    <w:rsid w:val="00C44E77"/>
    <w:rsid w:val="00C45440"/>
    <w:rsid w:val="00C45E63"/>
    <w:rsid w:val="00C468CE"/>
    <w:rsid w:val="00C46B04"/>
    <w:rsid w:val="00C471B7"/>
    <w:rsid w:val="00C4756F"/>
    <w:rsid w:val="00C5068B"/>
    <w:rsid w:val="00C50940"/>
    <w:rsid w:val="00C51472"/>
    <w:rsid w:val="00C51B80"/>
    <w:rsid w:val="00C52FBB"/>
    <w:rsid w:val="00C5496F"/>
    <w:rsid w:val="00C553E8"/>
    <w:rsid w:val="00C553FE"/>
    <w:rsid w:val="00C55D7B"/>
    <w:rsid w:val="00C570D3"/>
    <w:rsid w:val="00C57281"/>
    <w:rsid w:val="00C57523"/>
    <w:rsid w:val="00C57BDE"/>
    <w:rsid w:val="00C605C2"/>
    <w:rsid w:val="00C60C95"/>
    <w:rsid w:val="00C6175D"/>
    <w:rsid w:val="00C6186C"/>
    <w:rsid w:val="00C62137"/>
    <w:rsid w:val="00C62589"/>
    <w:rsid w:val="00C62C5B"/>
    <w:rsid w:val="00C64123"/>
    <w:rsid w:val="00C6509D"/>
    <w:rsid w:val="00C65BFB"/>
    <w:rsid w:val="00C65E36"/>
    <w:rsid w:val="00C66966"/>
    <w:rsid w:val="00C66EA5"/>
    <w:rsid w:val="00C670A6"/>
    <w:rsid w:val="00C67589"/>
    <w:rsid w:val="00C67F79"/>
    <w:rsid w:val="00C71BCA"/>
    <w:rsid w:val="00C7218F"/>
    <w:rsid w:val="00C73098"/>
    <w:rsid w:val="00C73EBE"/>
    <w:rsid w:val="00C76E45"/>
    <w:rsid w:val="00C7702D"/>
    <w:rsid w:val="00C77A8E"/>
    <w:rsid w:val="00C80195"/>
    <w:rsid w:val="00C80682"/>
    <w:rsid w:val="00C81DC0"/>
    <w:rsid w:val="00C82FC6"/>
    <w:rsid w:val="00C83C07"/>
    <w:rsid w:val="00C84819"/>
    <w:rsid w:val="00C84DDB"/>
    <w:rsid w:val="00C8637C"/>
    <w:rsid w:val="00C864A1"/>
    <w:rsid w:val="00C8720F"/>
    <w:rsid w:val="00C90067"/>
    <w:rsid w:val="00C904D2"/>
    <w:rsid w:val="00C92082"/>
    <w:rsid w:val="00C92502"/>
    <w:rsid w:val="00C92549"/>
    <w:rsid w:val="00C932A2"/>
    <w:rsid w:val="00C94083"/>
    <w:rsid w:val="00C95A32"/>
    <w:rsid w:val="00C96ABA"/>
    <w:rsid w:val="00C97A1D"/>
    <w:rsid w:val="00CA019B"/>
    <w:rsid w:val="00CA09DD"/>
    <w:rsid w:val="00CA28DF"/>
    <w:rsid w:val="00CA3967"/>
    <w:rsid w:val="00CA3BC9"/>
    <w:rsid w:val="00CA4151"/>
    <w:rsid w:val="00CA5F47"/>
    <w:rsid w:val="00CA65B7"/>
    <w:rsid w:val="00CA6CEF"/>
    <w:rsid w:val="00CB1737"/>
    <w:rsid w:val="00CB4509"/>
    <w:rsid w:val="00CB4C32"/>
    <w:rsid w:val="00CB764F"/>
    <w:rsid w:val="00CB766A"/>
    <w:rsid w:val="00CB7B37"/>
    <w:rsid w:val="00CB7BC5"/>
    <w:rsid w:val="00CC0600"/>
    <w:rsid w:val="00CC0B35"/>
    <w:rsid w:val="00CC0CD8"/>
    <w:rsid w:val="00CC19AF"/>
    <w:rsid w:val="00CC1B02"/>
    <w:rsid w:val="00CC1EC8"/>
    <w:rsid w:val="00CC1ED3"/>
    <w:rsid w:val="00CC2737"/>
    <w:rsid w:val="00CC3866"/>
    <w:rsid w:val="00CC3A5F"/>
    <w:rsid w:val="00CC57D7"/>
    <w:rsid w:val="00CC7915"/>
    <w:rsid w:val="00CD32E9"/>
    <w:rsid w:val="00CD432A"/>
    <w:rsid w:val="00CD46C4"/>
    <w:rsid w:val="00CD4994"/>
    <w:rsid w:val="00CD57CA"/>
    <w:rsid w:val="00CD68D2"/>
    <w:rsid w:val="00CD7CB2"/>
    <w:rsid w:val="00CE0236"/>
    <w:rsid w:val="00CE3B7E"/>
    <w:rsid w:val="00CE499F"/>
    <w:rsid w:val="00CE4ACE"/>
    <w:rsid w:val="00CE50CF"/>
    <w:rsid w:val="00CE67DD"/>
    <w:rsid w:val="00CE6F0E"/>
    <w:rsid w:val="00CE7960"/>
    <w:rsid w:val="00CE797E"/>
    <w:rsid w:val="00CF0B05"/>
    <w:rsid w:val="00CF14C4"/>
    <w:rsid w:val="00CF15FA"/>
    <w:rsid w:val="00CF3217"/>
    <w:rsid w:val="00CF3D98"/>
    <w:rsid w:val="00CF4905"/>
    <w:rsid w:val="00CF4E49"/>
    <w:rsid w:val="00CF728D"/>
    <w:rsid w:val="00CF7725"/>
    <w:rsid w:val="00D018DD"/>
    <w:rsid w:val="00D0248A"/>
    <w:rsid w:val="00D02A30"/>
    <w:rsid w:val="00D02B46"/>
    <w:rsid w:val="00D02B59"/>
    <w:rsid w:val="00D0626F"/>
    <w:rsid w:val="00D10CCE"/>
    <w:rsid w:val="00D11853"/>
    <w:rsid w:val="00D1242C"/>
    <w:rsid w:val="00D12CE7"/>
    <w:rsid w:val="00D141FC"/>
    <w:rsid w:val="00D15635"/>
    <w:rsid w:val="00D17930"/>
    <w:rsid w:val="00D17A09"/>
    <w:rsid w:val="00D20944"/>
    <w:rsid w:val="00D20E71"/>
    <w:rsid w:val="00D22078"/>
    <w:rsid w:val="00D221D6"/>
    <w:rsid w:val="00D22326"/>
    <w:rsid w:val="00D230B7"/>
    <w:rsid w:val="00D23F00"/>
    <w:rsid w:val="00D25AA8"/>
    <w:rsid w:val="00D26791"/>
    <w:rsid w:val="00D30741"/>
    <w:rsid w:val="00D30CC3"/>
    <w:rsid w:val="00D31331"/>
    <w:rsid w:val="00D3187F"/>
    <w:rsid w:val="00D31E64"/>
    <w:rsid w:val="00D345EE"/>
    <w:rsid w:val="00D34825"/>
    <w:rsid w:val="00D34E60"/>
    <w:rsid w:val="00D350A6"/>
    <w:rsid w:val="00D352A7"/>
    <w:rsid w:val="00D35A6D"/>
    <w:rsid w:val="00D40630"/>
    <w:rsid w:val="00D40659"/>
    <w:rsid w:val="00D40890"/>
    <w:rsid w:val="00D41840"/>
    <w:rsid w:val="00D43958"/>
    <w:rsid w:val="00D44014"/>
    <w:rsid w:val="00D447BC"/>
    <w:rsid w:val="00D44979"/>
    <w:rsid w:val="00D44DAE"/>
    <w:rsid w:val="00D46455"/>
    <w:rsid w:val="00D468AA"/>
    <w:rsid w:val="00D4731E"/>
    <w:rsid w:val="00D476B4"/>
    <w:rsid w:val="00D50F38"/>
    <w:rsid w:val="00D51871"/>
    <w:rsid w:val="00D51BBF"/>
    <w:rsid w:val="00D53BDE"/>
    <w:rsid w:val="00D55E01"/>
    <w:rsid w:val="00D55F16"/>
    <w:rsid w:val="00D56523"/>
    <w:rsid w:val="00D56779"/>
    <w:rsid w:val="00D57903"/>
    <w:rsid w:val="00D57B59"/>
    <w:rsid w:val="00D6172B"/>
    <w:rsid w:val="00D61ECB"/>
    <w:rsid w:val="00D623A9"/>
    <w:rsid w:val="00D628CF"/>
    <w:rsid w:val="00D63147"/>
    <w:rsid w:val="00D647B4"/>
    <w:rsid w:val="00D65D02"/>
    <w:rsid w:val="00D66114"/>
    <w:rsid w:val="00D66733"/>
    <w:rsid w:val="00D720D9"/>
    <w:rsid w:val="00D80293"/>
    <w:rsid w:val="00D81297"/>
    <w:rsid w:val="00D82153"/>
    <w:rsid w:val="00D842AE"/>
    <w:rsid w:val="00D844F3"/>
    <w:rsid w:val="00D845FD"/>
    <w:rsid w:val="00D849FD"/>
    <w:rsid w:val="00D867C9"/>
    <w:rsid w:val="00D87C3D"/>
    <w:rsid w:val="00D90FD6"/>
    <w:rsid w:val="00D914FF"/>
    <w:rsid w:val="00D91ABA"/>
    <w:rsid w:val="00D939C4"/>
    <w:rsid w:val="00D93C72"/>
    <w:rsid w:val="00D93E40"/>
    <w:rsid w:val="00D95C57"/>
    <w:rsid w:val="00D96C5B"/>
    <w:rsid w:val="00DA1932"/>
    <w:rsid w:val="00DA32AC"/>
    <w:rsid w:val="00DA4151"/>
    <w:rsid w:val="00DA6C19"/>
    <w:rsid w:val="00DB06E0"/>
    <w:rsid w:val="00DB20BA"/>
    <w:rsid w:val="00DB2A7B"/>
    <w:rsid w:val="00DB3314"/>
    <w:rsid w:val="00DB370F"/>
    <w:rsid w:val="00DB483B"/>
    <w:rsid w:val="00DB4BBE"/>
    <w:rsid w:val="00DB5225"/>
    <w:rsid w:val="00DB5BCC"/>
    <w:rsid w:val="00DC04FF"/>
    <w:rsid w:val="00DC09BD"/>
    <w:rsid w:val="00DC134C"/>
    <w:rsid w:val="00DC1641"/>
    <w:rsid w:val="00DC2562"/>
    <w:rsid w:val="00DC3F61"/>
    <w:rsid w:val="00DC61A7"/>
    <w:rsid w:val="00DC654C"/>
    <w:rsid w:val="00DC6CAD"/>
    <w:rsid w:val="00DC6F62"/>
    <w:rsid w:val="00DC7A9A"/>
    <w:rsid w:val="00DD27FF"/>
    <w:rsid w:val="00DD29BD"/>
    <w:rsid w:val="00DD5615"/>
    <w:rsid w:val="00DD5FD3"/>
    <w:rsid w:val="00DE0AE8"/>
    <w:rsid w:val="00DE2087"/>
    <w:rsid w:val="00DE317E"/>
    <w:rsid w:val="00DE3306"/>
    <w:rsid w:val="00DE3E72"/>
    <w:rsid w:val="00DE4941"/>
    <w:rsid w:val="00DE5BF6"/>
    <w:rsid w:val="00DE60B1"/>
    <w:rsid w:val="00DE617D"/>
    <w:rsid w:val="00DF2405"/>
    <w:rsid w:val="00DF2BF1"/>
    <w:rsid w:val="00DF4296"/>
    <w:rsid w:val="00DF49C0"/>
    <w:rsid w:val="00DF4EBE"/>
    <w:rsid w:val="00DF4EED"/>
    <w:rsid w:val="00DF7511"/>
    <w:rsid w:val="00E00517"/>
    <w:rsid w:val="00E005A3"/>
    <w:rsid w:val="00E01CF4"/>
    <w:rsid w:val="00E02027"/>
    <w:rsid w:val="00E04063"/>
    <w:rsid w:val="00E045A4"/>
    <w:rsid w:val="00E04C4D"/>
    <w:rsid w:val="00E053BA"/>
    <w:rsid w:val="00E053E8"/>
    <w:rsid w:val="00E06740"/>
    <w:rsid w:val="00E06F1E"/>
    <w:rsid w:val="00E06F6F"/>
    <w:rsid w:val="00E0714C"/>
    <w:rsid w:val="00E10570"/>
    <w:rsid w:val="00E110BE"/>
    <w:rsid w:val="00E11466"/>
    <w:rsid w:val="00E11AD9"/>
    <w:rsid w:val="00E12A96"/>
    <w:rsid w:val="00E1406F"/>
    <w:rsid w:val="00E1460B"/>
    <w:rsid w:val="00E1488E"/>
    <w:rsid w:val="00E1556D"/>
    <w:rsid w:val="00E168C6"/>
    <w:rsid w:val="00E171B5"/>
    <w:rsid w:val="00E1725D"/>
    <w:rsid w:val="00E211F1"/>
    <w:rsid w:val="00E21E98"/>
    <w:rsid w:val="00E22225"/>
    <w:rsid w:val="00E229F9"/>
    <w:rsid w:val="00E246BC"/>
    <w:rsid w:val="00E25344"/>
    <w:rsid w:val="00E25A1A"/>
    <w:rsid w:val="00E27CBD"/>
    <w:rsid w:val="00E307B4"/>
    <w:rsid w:val="00E30A86"/>
    <w:rsid w:val="00E30DD8"/>
    <w:rsid w:val="00E31D1F"/>
    <w:rsid w:val="00E32236"/>
    <w:rsid w:val="00E34194"/>
    <w:rsid w:val="00E342B5"/>
    <w:rsid w:val="00E361B4"/>
    <w:rsid w:val="00E37130"/>
    <w:rsid w:val="00E404E5"/>
    <w:rsid w:val="00E4449F"/>
    <w:rsid w:val="00E45A8D"/>
    <w:rsid w:val="00E4743D"/>
    <w:rsid w:val="00E47AE6"/>
    <w:rsid w:val="00E47E02"/>
    <w:rsid w:val="00E50A9D"/>
    <w:rsid w:val="00E50FEB"/>
    <w:rsid w:val="00E51395"/>
    <w:rsid w:val="00E524FA"/>
    <w:rsid w:val="00E545E7"/>
    <w:rsid w:val="00E54A68"/>
    <w:rsid w:val="00E56F27"/>
    <w:rsid w:val="00E579A2"/>
    <w:rsid w:val="00E57A48"/>
    <w:rsid w:val="00E61909"/>
    <w:rsid w:val="00E62282"/>
    <w:rsid w:val="00E62459"/>
    <w:rsid w:val="00E63820"/>
    <w:rsid w:val="00E63B13"/>
    <w:rsid w:val="00E63E17"/>
    <w:rsid w:val="00E64C81"/>
    <w:rsid w:val="00E659D1"/>
    <w:rsid w:val="00E67E3A"/>
    <w:rsid w:val="00E67F14"/>
    <w:rsid w:val="00E70C9A"/>
    <w:rsid w:val="00E70F4C"/>
    <w:rsid w:val="00E7289C"/>
    <w:rsid w:val="00E74339"/>
    <w:rsid w:val="00E74D86"/>
    <w:rsid w:val="00E74EEA"/>
    <w:rsid w:val="00E77D08"/>
    <w:rsid w:val="00E81444"/>
    <w:rsid w:val="00E81590"/>
    <w:rsid w:val="00E81EC3"/>
    <w:rsid w:val="00E82191"/>
    <w:rsid w:val="00E85C14"/>
    <w:rsid w:val="00E87EAE"/>
    <w:rsid w:val="00E90C4E"/>
    <w:rsid w:val="00E91178"/>
    <w:rsid w:val="00E91195"/>
    <w:rsid w:val="00E9158D"/>
    <w:rsid w:val="00E97D40"/>
    <w:rsid w:val="00EA0C40"/>
    <w:rsid w:val="00EA191F"/>
    <w:rsid w:val="00EA2737"/>
    <w:rsid w:val="00EA319C"/>
    <w:rsid w:val="00EA4416"/>
    <w:rsid w:val="00EA47D1"/>
    <w:rsid w:val="00EA4D5A"/>
    <w:rsid w:val="00EA5850"/>
    <w:rsid w:val="00EA5C6C"/>
    <w:rsid w:val="00EA684F"/>
    <w:rsid w:val="00EA6AA4"/>
    <w:rsid w:val="00EB07C1"/>
    <w:rsid w:val="00EB20A1"/>
    <w:rsid w:val="00EB2CE1"/>
    <w:rsid w:val="00EB2E9C"/>
    <w:rsid w:val="00EB2F67"/>
    <w:rsid w:val="00EB30A7"/>
    <w:rsid w:val="00EB34D4"/>
    <w:rsid w:val="00EB4253"/>
    <w:rsid w:val="00EB77FC"/>
    <w:rsid w:val="00EC0FDB"/>
    <w:rsid w:val="00EC2A1A"/>
    <w:rsid w:val="00EC2BA7"/>
    <w:rsid w:val="00EC39FE"/>
    <w:rsid w:val="00EC4099"/>
    <w:rsid w:val="00EC4F51"/>
    <w:rsid w:val="00EC614D"/>
    <w:rsid w:val="00EC79F1"/>
    <w:rsid w:val="00ED0AB2"/>
    <w:rsid w:val="00ED19D1"/>
    <w:rsid w:val="00ED4722"/>
    <w:rsid w:val="00ED472B"/>
    <w:rsid w:val="00ED4DBC"/>
    <w:rsid w:val="00ED611D"/>
    <w:rsid w:val="00ED672E"/>
    <w:rsid w:val="00EE00A6"/>
    <w:rsid w:val="00EE1AD1"/>
    <w:rsid w:val="00EE2A75"/>
    <w:rsid w:val="00EE332D"/>
    <w:rsid w:val="00EE4CD2"/>
    <w:rsid w:val="00EE52C4"/>
    <w:rsid w:val="00EE5C2A"/>
    <w:rsid w:val="00EE6E43"/>
    <w:rsid w:val="00EE6F74"/>
    <w:rsid w:val="00EE7B34"/>
    <w:rsid w:val="00EF36B1"/>
    <w:rsid w:val="00EF6202"/>
    <w:rsid w:val="00EF6B4B"/>
    <w:rsid w:val="00F00DCE"/>
    <w:rsid w:val="00F00FB3"/>
    <w:rsid w:val="00F025F2"/>
    <w:rsid w:val="00F02A07"/>
    <w:rsid w:val="00F03AEC"/>
    <w:rsid w:val="00F05850"/>
    <w:rsid w:val="00F062E9"/>
    <w:rsid w:val="00F06499"/>
    <w:rsid w:val="00F071C4"/>
    <w:rsid w:val="00F07594"/>
    <w:rsid w:val="00F11E60"/>
    <w:rsid w:val="00F12FC5"/>
    <w:rsid w:val="00F1304F"/>
    <w:rsid w:val="00F136A7"/>
    <w:rsid w:val="00F1374E"/>
    <w:rsid w:val="00F13A96"/>
    <w:rsid w:val="00F13CB5"/>
    <w:rsid w:val="00F16E51"/>
    <w:rsid w:val="00F17378"/>
    <w:rsid w:val="00F20398"/>
    <w:rsid w:val="00F20AC6"/>
    <w:rsid w:val="00F20DD9"/>
    <w:rsid w:val="00F215D3"/>
    <w:rsid w:val="00F21A7A"/>
    <w:rsid w:val="00F21A96"/>
    <w:rsid w:val="00F21FF5"/>
    <w:rsid w:val="00F2297C"/>
    <w:rsid w:val="00F22F3D"/>
    <w:rsid w:val="00F23832"/>
    <w:rsid w:val="00F23AC2"/>
    <w:rsid w:val="00F24065"/>
    <w:rsid w:val="00F26763"/>
    <w:rsid w:val="00F27F5F"/>
    <w:rsid w:val="00F34C6D"/>
    <w:rsid w:val="00F34DF9"/>
    <w:rsid w:val="00F3500E"/>
    <w:rsid w:val="00F35F37"/>
    <w:rsid w:val="00F360CD"/>
    <w:rsid w:val="00F37917"/>
    <w:rsid w:val="00F408E2"/>
    <w:rsid w:val="00F40DD6"/>
    <w:rsid w:val="00F414D8"/>
    <w:rsid w:val="00F42035"/>
    <w:rsid w:val="00F4258F"/>
    <w:rsid w:val="00F44AD8"/>
    <w:rsid w:val="00F4562D"/>
    <w:rsid w:val="00F4656E"/>
    <w:rsid w:val="00F470C3"/>
    <w:rsid w:val="00F51359"/>
    <w:rsid w:val="00F51A33"/>
    <w:rsid w:val="00F53224"/>
    <w:rsid w:val="00F533D8"/>
    <w:rsid w:val="00F5392A"/>
    <w:rsid w:val="00F53F87"/>
    <w:rsid w:val="00F541A7"/>
    <w:rsid w:val="00F55A85"/>
    <w:rsid w:val="00F55D81"/>
    <w:rsid w:val="00F601D9"/>
    <w:rsid w:val="00F62324"/>
    <w:rsid w:val="00F627C5"/>
    <w:rsid w:val="00F62DBA"/>
    <w:rsid w:val="00F65105"/>
    <w:rsid w:val="00F652C7"/>
    <w:rsid w:val="00F65582"/>
    <w:rsid w:val="00F70241"/>
    <w:rsid w:val="00F70403"/>
    <w:rsid w:val="00F712D6"/>
    <w:rsid w:val="00F7130D"/>
    <w:rsid w:val="00F7293C"/>
    <w:rsid w:val="00F73500"/>
    <w:rsid w:val="00F74A9B"/>
    <w:rsid w:val="00F7582F"/>
    <w:rsid w:val="00F75953"/>
    <w:rsid w:val="00F8192E"/>
    <w:rsid w:val="00F81951"/>
    <w:rsid w:val="00F81B7B"/>
    <w:rsid w:val="00F8309A"/>
    <w:rsid w:val="00F8339D"/>
    <w:rsid w:val="00F83C9D"/>
    <w:rsid w:val="00F83DE8"/>
    <w:rsid w:val="00F84EA6"/>
    <w:rsid w:val="00F84EC9"/>
    <w:rsid w:val="00F851CB"/>
    <w:rsid w:val="00F85E55"/>
    <w:rsid w:val="00F86025"/>
    <w:rsid w:val="00F912BA"/>
    <w:rsid w:val="00F92053"/>
    <w:rsid w:val="00F93C0D"/>
    <w:rsid w:val="00F93E5F"/>
    <w:rsid w:val="00F94F16"/>
    <w:rsid w:val="00F95662"/>
    <w:rsid w:val="00F956BD"/>
    <w:rsid w:val="00F96AA2"/>
    <w:rsid w:val="00F97BF5"/>
    <w:rsid w:val="00FA03BB"/>
    <w:rsid w:val="00FA0976"/>
    <w:rsid w:val="00FA12D9"/>
    <w:rsid w:val="00FA160B"/>
    <w:rsid w:val="00FA2666"/>
    <w:rsid w:val="00FA3611"/>
    <w:rsid w:val="00FA36D5"/>
    <w:rsid w:val="00FA4DF0"/>
    <w:rsid w:val="00FA68FF"/>
    <w:rsid w:val="00FA6A52"/>
    <w:rsid w:val="00FA71B4"/>
    <w:rsid w:val="00FA7CA6"/>
    <w:rsid w:val="00FB0914"/>
    <w:rsid w:val="00FB0A2E"/>
    <w:rsid w:val="00FB2784"/>
    <w:rsid w:val="00FB341E"/>
    <w:rsid w:val="00FB46AD"/>
    <w:rsid w:val="00FB4A99"/>
    <w:rsid w:val="00FB53B6"/>
    <w:rsid w:val="00FB5A19"/>
    <w:rsid w:val="00FB5E64"/>
    <w:rsid w:val="00FB6449"/>
    <w:rsid w:val="00FB7051"/>
    <w:rsid w:val="00FC132E"/>
    <w:rsid w:val="00FC241A"/>
    <w:rsid w:val="00FC2876"/>
    <w:rsid w:val="00FC32CA"/>
    <w:rsid w:val="00FC50C2"/>
    <w:rsid w:val="00FC6219"/>
    <w:rsid w:val="00FC7512"/>
    <w:rsid w:val="00FD067A"/>
    <w:rsid w:val="00FD0756"/>
    <w:rsid w:val="00FD1615"/>
    <w:rsid w:val="00FD2CCB"/>
    <w:rsid w:val="00FD4137"/>
    <w:rsid w:val="00FD4BD1"/>
    <w:rsid w:val="00FD669C"/>
    <w:rsid w:val="00FD69BB"/>
    <w:rsid w:val="00FD6D08"/>
    <w:rsid w:val="00FD6D13"/>
    <w:rsid w:val="00FD6E69"/>
    <w:rsid w:val="00FD7B1C"/>
    <w:rsid w:val="00FE0573"/>
    <w:rsid w:val="00FE365B"/>
    <w:rsid w:val="00FE4012"/>
    <w:rsid w:val="00FE47A4"/>
    <w:rsid w:val="00FE67F1"/>
    <w:rsid w:val="00FE7976"/>
    <w:rsid w:val="00FF1060"/>
    <w:rsid w:val="00FF1DA1"/>
    <w:rsid w:val="00FF2AC8"/>
    <w:rsid w:val="00FF2BA2"/>
    <w:rsid w:val="00FF33BF"/>
    <w:rsid w:val="00FF3A21"/>
    <w:rsid w:val="00FF4311"/>
    <w:rsid w:val="00FF6467"/>
    <w:rsid w:val="00FF65BB"/>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3A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o-R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662"/>
  </w:style>
  <w:style w:type="paragraph" w:styleId="Heading1">
    <w:name w:val="heading 1"/>
    <w:basedOn w:val="Normal"/>
    <w:next w:val="Normal"/>
    <w:link w:val="Heading1Char"/>
    <w:uiPriority w:val="9"/>
    <w:qFormat/>
    <w:rsid w:val="00675C3E"/>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75C3E"/>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75C3E"/>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unhideWhenUsed/>
    <w:qFormat/>
    <w:rsid w:val="00675C3E"/>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675C3E"/>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675C3E"/>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675C3E"/>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675C3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75C3E"/>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C3E"/>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rsid w:val="00675C3E"/>
    <w:rPr>
      <w:caps/>
      <w:spacing w:val="15"/>
      <w:shd w:val="clear" w:color="auto" w:fill="C7E2FA" w:themeFill="accent1" w:themeFillTint="33"/>
    </w:rPr>
  </w:style>
  <w:style w:type="character" w:customStyle="1" w:styleId="Heading3Char">
    <w:name w:val="Heading 3 Char"/>
    <w:basedOn w:val="DefaultParagraphFont"/>
    <w:link w:val="Heading3"/>
    <w:uiPriority w:val="9"/>
    <w:rsid w:val="00675C3E"/>
    <w:rPr>
      <w:caps/>
      <w:color w:val="073662" w:themeColor="accent1" w:themeShade="7F"/>
      <w:spacing w:val="15"/>
    </w:rPr>
  </w:style>
  <w:style w:type="character" w:customStyle="1" w:styleId="Heading4Char">
    <w:name w:val="Heading 4 Char"/>
    <w:basedOn w:val="DefaultParagraphFont"/>
    <w:link w:val="Heading4"/>
    <w:uiPriority w:val="9"/>
    <w:rsid w:val="00675C3E"/>
    <w:rPr>
      <w:caps/>
      <w:color w:val="0B5294" w:themeColor="accent1" w:themeShade="BF"/>
      <w:spacing w:val="10"/>
    </w:rPr>
  </w:style>
  <w:style w:type="character" w:customStyle="1" w:styleId="Heading5Char">
    <w:name w:val="Heading 5 Char"/>
    <w:basedOn w:val="DefaultParagraphFont"/>
    <w:link w:val="Heading5"/>
    <w:uiPriority w:val="9"/>
    <w:semiHidden/>
    <w:rsid w:val="00675C3E"/>
    <w:rPr>
      <w:caps/>
      <w:color w:val="0B5294" w:themeColor="accent1" w:themeShade="BF"/>
      <w:spacing w:val="10"/>
    </w:rPr>
  </w:style>
  <w:style w:type="character" w:customStyle="1" w:styleId="Heading6Char">
    <w:name w:val="Heading 6 Char"/>
    <w:basedOn w:val="DefaultParagraphFont"/>
    <w:link w:val="Heading6"/>
    <w:uiPriority w:val="9"/>
    <w:semiHidden/>
    <w:rsid w:val="00675C3E"/>
    <w:rPr>
      <w:caps/>
      <w:color w:val="0B5294" w:themeColor="accent1" w:themeShade="BF"/>
      <w:spacing w:val="10"/>
    </w:rPr>
  </w:style>
  <w:style w:type="character" w:customStyle="1" w:styleId="Heading7Char">
    <w:name w:val="Heading 7 Char"/>
    <w:basedOn w:val="DefaultParagraphFont"/>
    <w:link w:val="Heading7"/>
    <w:uiPriority w:val="9"/>
    <w:semiHidden/>
    <w:rsid w:val="00675C3E"/>
    <w:rPr>
      <w:caps/>
      <w:color w:val="0B5294" w:themeColor="accent1" w:themeShade="BF"/>
      <w:spacing w:val="10"/>
    </w:rPr>
  </w:style>
  <w:style w:type="character" w:customStyle="1" w:styleId="Heading8Char">
    <w:name w:val="Heading 8 Char"/>
    <w:basedOn w:val="DefaultParagraphFont"/>
    <w:link w:val="Heading8"/>
    <w:uiPriority w:val="9"/>
    <w:semiHidden/>
    <w:rsid w:val="00675C3E"/>
    <w:rPr>
      <w:caps/>
      <w:spacing w:val="10"/>
      <w:sz w:val="18"/>
      <w:szCs w:val="18"/>
    </w:rPr>
  </w:style>
  <w:style w:type="character" w:customStyle="1" w:styleId="Heading9Char">
    <w:name w:val="Heading 9 Char"/>
    <w:basedOn w:val="DefaultParagraphFont"/>
    <w:link w:val="Heading9"/>
    <w:uiPriority w:val="9"/>
    <w:semiHidden/>
    <w:rsid w:val="00675C3E"/>
    <w:rPr>
      <w:i/>
      <w:iCs/>
      <w:caps/>
      <w:spacing w:val="10"/>
      <w:sz w:val="18"/>
      <w:szCs w:val="18"/>
    </w:rPr>
  </w:style>
  <w:style w:type="paragraph" w:styleId="Caption">
    <w:name w:val="caption"/>
    <w:basedOn w:val="Normal"/>
    <w:next w:val="Normal"/>
    <w:unhideWhenUsed/>
    <w:qFormat/>
    <w:rsid w:val="00675C3E"/>
    <w:rPr>
      <w:b/>
      <w:bCs/>
      <w:color w:val="0B5294" w:themeColor="accent1" w:themeShade="BF"/>
      <w:sz w:val="16"/>
      <w:szCs w:val="16"/>
    </w:rPr>
  </w:style>
  <w:style w:type="paragraph" w:styleId="Title">
    <w:name w:val="Title"/>
    <w:basedOn w:val="Normal"/>
    <w:next w:val="Normal"/>
    <w:link w:val="TitleChar"/>
    <w:uiPriority w:val="10"/>
    <w:qFormat/>
    <w:rsid w:val="00675C3E"/>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675C3E"/>
    <w:rPr>
      <w:rFonts w:asciiTheme="majorHAnsi" w:eastAsiaTheme="majorEastAsia" w:hAnsiTheme="majorHAnsi" w:cstheme="majorBidi"/>
      <w:caps/>
      <w:color w:val="0F6FC6" w:themeColor="accent1"/>
      <w:spacing w:val="10"/>
      <w:sz w:val="52"/>
      <w:szCs w:val="52"/>
    </w:rPr>
  </w:style>
  <w:style w:type="paragraph" w:styleId="Subtitle">
    <w:name w:val="Subtitle"/>
    <w:basedOn w:val="Normal"/>
    <w:next w:val="Normal"/>
    <w:link w:val="SubtitleChar"/>
    <w:uiPriority w:val="11"/>
    <w:qFormat/>
    <w:rsid w:val="00675C3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75C3E"/>
    <w:rPr>
      <w:caps/>
      <w:color w:val="595959" w:themeColor="text1" w:themeTint="A6"/>
      <w:spacing w:val="10"/>
      <w:sz w:val="21"/>
      <w:szCs w:val="21"/>
    </w:rPr>
  </w:style>
  <w:style w:type="character" w:styleId="Strong">
    <w:name w:val="Strong"/>
    <w:uiPriority w:val="22"/>
    <w:qFormat/>
    <w:rsid w:val="00675C3E"/>
    <w:rPr>
      <w:b/>
      <w:bCs/>
    </w:rPr>
  </w:style>
  <w:style w:type="character" w:styleId="Emphasis">
    <w:name w:val="Emphasis"/>
    <w:uiPriority w:val="20"/>
    <w:qFormat/>
    <w:rsid w:val="00675C3E"/>
    <w:rPr>
      <w:caps/>
      <w:color w:val="073662" w:themeColor="accent1" w:themeShade="7F"/>
      <w:spacing w:val="5"/>
    </w:rPr>
  </w:style>
  <w:style w:type="paragraph" w:styleId="NoSpacing">
    <w:name w:val="No Spacing"/>
    <w:link w:val="NoSpacingChar"/>
    <w:uiPriority w:val="1"/>
    <w:qFormat/>
    <w:rsid w:val="00675C3E"/>
    <w:pPr>
      <w:spacing w:after="0" w:line="240" w:lineRule="auto"/>
    </w:pPr>
  </w:style>
  <w:style w:type="character" w:customStyle="1" w:styleId="NoSpacingChar">
    <w:name w:val="No Spacing Char"/>
    <w:basedOn w:val="DefaultParagraphFont"/>
    <w:link w:val="NoSpacing"/>
    <w:uiPriority w:val="1"/>
    <w:qFormat/>
    <w:rsid w:val="00471638"/>
  </w:style>
  <w:style w:type="paragraph" w:styleId="Quote">
    <w:name w:val="Quote"/>
    <w:basedOn w:val="Normal"/>
    <w:next w:val="Normal"/>
    <w:link w:val="QuoteChar"/>
    <w:uiPriority w:val="29"/>
    <w:qFormat/>
    <w:rsid w:val="00675C3E"/>
    <w:rPr>
      <w:i/>
      <w:iCs/>
      <w:sz w:val="24"/>
      <w:szCs w:val="24"/>
    </w:rPr>
  </w:style>
  <w:style w:type="character" w:customStyle="1" w:styleId="QuoteChar">
    <w:name w:val="Quote Char"/>
    <w:basedOn w:val="DefaultParagraphFont"/>
    <w:link w:val="Quote"/>
    <w:uiPriority w:val="29"/>
    <w:rsid w:val="00675C3E"/>
    <w:rPr>
      <w:i/>
      <w:iCs/>
      <w:sz w:val="24"/>
      <w:szCs w:val="24"/>
    </w:rPr>
  </w:style>
  <w:style w:type="paragraph" w:styleId="IntenseQuote">
    <w:name w:val="Intense Quote"/>
    <w:basedOn w:val="Normal"/>
    <w:next w:val="Normal"/>
    <w:link w:val="IntenseQuoteChar"/>
    <w:uiPriority w:val="30"/>
    <w:qFormat/>
    <w:rsid w:val="00675C3E"/>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675C3E"/>
    <w:rPr>
      <w:color w:val="0F6FC6" w:themeColor="accent1"/>
      <w:sz w:val="24"/>
      <w:szCs w:val="24"/>
    </w:rPr>
  </w:style>
  <w:style w:type="character" w:styleId="SubtleEmphasis">
    <w:name w:val="Subtle Emphasis"/>
    <w:uiPriority w:val="19"/>
    <w:qFormat/>
    <w:rsid w:val="00675C3E"/>
    <w:rPr>
      <w:i/>
      <w:iCs/>
      <w:color w:val="073662" w:themeColor="accent1" w:themeShade="7F"/>
    </w:rPr>
  </w:style>
  <w:style w:type="character" w:styleId="IntenseEmphasis">
    <w:name w:val="Intense Emphasis"/>
    <w:uiPriority w:val="21"/>
    <w:qFormat/>
    <w:rsid w:val="00675C3E"/>
    <w:rPr>
      <w:b/>
      <w:bCs/>
      <w:caps/>
      <w:color w:val="073662" w:themeColor="accent1" w:themeShade="7F"/>
      <w:spacing w:val="10"/>
    </w:rPr>
  </w:style>
  <w:style w:type="character" w:styleId="SubtleReference">
    <w:name w:val="Subtle Reference"/>
    <w:uiPriority w:val="31"/>
    <w:qFormat/>
    <w:rsid w:val="00675C3E"/>
    <w:rPr>
      <w:b/>
      <w:bCs/>
      <w:color w:val="0F6FC6" w:themeColor="accent1"/>
    </w:rPr>
  </w:style>
  <w:style w:type="character" w:styleId="IntenseReference">
    <w:name w:val="Intense Reference"/>
    <w:uiPriority w:val="32"/>
    <w:qFormat/>
    <w:rsid w:val="00675C3E"/>
    <w:rPr>
      <w:b/>
      <w:bCs/>
      <w:i/>
      <w:iCs/>
      <w:caps/>
      <w:color w:val="0F6FC6" w:themeColor="accent1"/>
    </w:rPr>
  </w:style>
  <w:style w:type="character" w:styleId="BookTitle">
    <w:name w:val="Book Title"/>
    <w:uiPriority w:val="33"/>
    <w:qFormat/>
    <w:rsid w:val="00675C3E"/>
    <w:rPr>
      <w:b/>
      <w:bCs/>
      <w:i/>
      <w:iCs/>
      <w:spacing w:val="0"/>
    </w:rPr>
  </w:style>
  <w:style w:type="paragraph" w:styleId="TOCHeading">
    <w:name w:val="TOC Heading"/>
    <w:basedOn w:val="Heading1"/>
    <w:next w:val="Normal"/>
    <w:uiPriority w:val="39"/>
    <w:unhideWhenUsed/>
    <w:qFormat/>
    <w:rsid w:val="00675C3E"/>
    <w:pPr>
      <w:outlineLvl w:val="9"/>
    </w:pPr>
  </w:style>
  <w:style w:type="paragraph" w:styleId="Header">
    <w:name w:val="header"/>
    <w:basedOn w:val="Normal"/>
    <w:link w:val="HeaderChar"/>
    <w:uiPriority w:val="99"/>
    <w:unhideWhenUsed/>
    <w:rsid w:val="00471638"/>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471638"/>
  </w:style>
  <w:style w:type="paragraph" w:styleId="Footer">
    <w:name w:val="footer"/>
    <w:basedOn w:val="Normal"/>
    <w:link w:val="FooterChar"/>
    <w:uiPriority w:val="99"/>
    <w:unhideWhenUsed/>
    <w:rsid w:val="00471638"/>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471638"/>
  </w:style>
  <w:style w:type="table" w:styleId="TableGrid">
    <w:name w:val="Table Grid"/>
    <w:basedOn w:val="TableNormal"/>
    <w:uiPriority w:val="39"/>
    <w:rsid w:val="00566CB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7951"/>
    <w:rPr>
      <w:color w:val="F49100" w:themeColor="hyperlink"/>
      <w:u w:val="single"/>
    </w:rPr>
  </w:style>
  <w:style w:type="paragraph" w:styleId="TOC1">
    <w:name w:val="toc 1"/>
    <w:basedOn w:val="Normal"/>
    <w:next w:val="Normal"/>
    <w:autoRedefine/>
    <w:uiPriority w:val="39"/>
    <w:unhideWhenUsed/>
    <w:rsid w:val="001B08EB"/>
    <w:pPr>
      <w:tabs>
        <w:tab w:val="right" w:pos="9070"/>
      </w:tabs>
      <w:spacing w:before="120" w:after="0"/>
      <w:jc w:val="both"/>
    </w:pPr>
    <w:rPr>
      <w:rFonts w:asciiTheme="majorHAnsi" w:hAnsiTheme="majorHAnsi" w:cs="Times New Roman"/>
      <w:b/>
      <w:bCs/>
      <w:caps/>
      <w:noProof/>
      <w:color w:val="7F7F7F" w:themeColor="text1" w:themeTint="80"/>
      <w:szCs w:val="22"/>
    </w:rPr>
  </w:style>
  <w:style w:type="paragraph" w:styleId="TOC2">
    <w:name w:val="toc 2"/>
    <w:basedOn w:val="Normal"/>
    <w:next w:val="Normal"/>
    <w:autoRedefine/>
    <w:uiPriority w:val="39"/>
    <w:unhideWhenUsed/>
    <w:rsid w:val="00E50FEB"/>
    <w:pPr>
      <w:tabs>
        <w:tab w:val="right" w:pos="9060"/>
      </w:tabs>
      <w:spacing w:before="60" w:after="0"/>
      <w:jc w:val="both"/>
    </w:pPr>
    <w:rPr>
      <w:rFonts w:asciiTheme="majorHAnsi" w:hAnsiTheme="majorHAnsi" w:cs="Times New Roman"/>
      <w:b/>
      <w:bCs/>
      <w:noProof/>
      <w:color w:val="7F7F7F" w:themeColor="text1" w:themeTint="80"/>
      <w:sz w:val="16"/>
      <w:szCs w:val="16"/>
    </w:rPr>
  </w:style>
  <w:style w:type="paragraph" w:styleId="TOC3">
    <w:name w:val="toc 3"/>
    <w:basedOn w:val="Normal"/>
    <w:next w:val="Normal"/>
    <w:autoRedefine/>
    <w:uiPriority w:val="39"/>
    <w:unhideWhenUsed/>
    <w:rsid w:val="00F02A07"/>
    <w:pPr>
      <w:tabs>
        <w:tab w:val="right" w:pos="9060"/>
      </w:tabs>
      <w:spacing w:before="0" w:after="0"/>
      <w:ind w:left="200"/>
    </w:pPr>
    <w:rPr>
      <w:rFonts w:asciiTheme="majorHAnsi" w:hAnsiTheme="majorHAnsi" w:cs="Times New Roman"/>
      <w:noProof/>
      <w:color w:val="808080" w:themeColor="background1" w:themeShade="80"/>
      <w:sz w:val="16"/>
      <w:szCs w:val="16"/>
    </w:rPr>
  </w:style>
  <w:style w:type="paragraph" w:styleId="TOC4">
    <w:name w:val="toc 4"/>
    <w:basedOn w:val="Normal"/>
    <w:next w:val="Normal"/>
    <w:autoRedefine/>
    <w:uiPriority w:val="39"/>
    <w:unhideWhenUsed/>
    <w:rsid w:val="00AC1DDC"/>
    <w:pPr>
      <w:spacing w:before="0" w:after="0"/>
      <w:ind w:left="400"/>
    </w:pPr>
    <w:rPr>
      <w:rFonts w:cs="Times New Roman"/>
      <w:szCs w:val="24"/>
    </w:rPr>
  </w:style>
  <w:style w:type="paragraph" w:styleId="TOC5">
    <w:name w:val="toc 5"/>
    <w:basedOn w:val="Normal"/>
    <w:next w:val="Normal"/>
    <w:autoRedefine/>
    <w:uiPriority w:val="39"/>
    <w:unhideWhenUsed/>
    <w:rsid w:val="00AC1DDC"/>
    <w:pPr>
      <w:spacing w:before="0" w:after="0"/>
      <w:ind w:left="600"/>
    </w:pPr>
    <w:rPr>
      <w:rFonts w:cs="Times New Roman"/>
      <w:szCs w:val="24"/>
    </w:rPr>
  </w:style>
  <w:style w:type="paragraph" w:styleId="TOC6">
    <w:name w:val="toc 6"/>
    <w:basedOn w:val="Normal"/>
    <w:next w:val="Normal"/>
    <w:autoRedefine/>
    <w:uiPriority w:val="39"/>
    <w:unhideWhenUsed/>
    <w:rsid w:val="00AC1DDC"/>
    <w:pPr>
      <w:spacing w:before="0" w:after="0"/>
      <w:ind w:left="800"/>
    </w:pPr>
    <w:rPr>
      <w:rFonts w:cs="Times New Roman"/>
      <w:szCs w:val="24"/>
    </w:rPr>
  </w:style>
  <w:style w:type="paragraph" w:styleId="TOC7">
    <w:name w:val="toc 7"/>
    <w:basedOn w:val="Normal"/>
    <w:next w:val="Normal"/>
    <w:autoRedefine/>
    <w:uiPriority w:val="39"/>
    <w:unhideWhenUsed/>
    <w:rsid w:val="00AC1DDC"/>
    <w:pPr>
      <w:spacing w:before="0" w:after="0"/>
      <w:ind w:left="1000"/>
    </w:pPr>
    <w:rPr>
      <w:rFonts w:cs="Times New Roman"/>
      <w:szCs w:val="24"/>
    </w:rPr>
  </w:style>
  <w:style w:type="paragraph" w:styleId="TOC8">
    <w:name w:val="toc 8"/>
    <w:basedOn w:val="Normal"/>
    <w:next w:val="Normal"/>
    <w:autoRedefine/>
    <w:uiPriority w:val="39"/>
    <w:unhideWhenUsed/>
    <w:rsid w:val="00AC1DDC"/>
    <w:pPr>
      <w:spacing w:before="0" w:after="0"/>
      <w:ind w:left="1200"/>
    </w:pPr>
    <w:rPr>
      <w:rFonts w:cs="Times New Roman"/>
      <w:szCs w:val="24"/>
    </w:rPr>
  </w:style>
  <w:style w:type="paragraph" w:styleId="TOC9">
    <w:name w:val="toc 9"/>
    <w:basedOn w:val="Normal"/>
    <w:next w:val="Normal"/>
    <w:autoRedefine/>
    <w:uiPriority w:val="39"/>
    <w:unhideWhenUsed/>
    <w:rsid w:val="00AC1DDC"/>
    <w:pPr>
      <w:spacing w:before="0" w:after="0"/>
      <w:ind w:left="1400"/>
    </w:pPr>
    <w:rPr>
      <w:rFonts w:cs="Times New Roman"/>
      <w:szCs w:val="24"/>
    </w:rPr>
  </w:style>
  <w:style w:type="paragraph" w:customStyle="1" w:styleId="Style1">
    <w:name w:val="Style1"/>
    <w:basedOn w:val="Title"/>
    <w:link w:val="Style1Char"/>
    <w:qFormat/>
    <w:rsid w:val="00C34015"/>
    <w:pPr>
      <w:outlineLvl w:val="0"/>
    </w:pPr>
    <w:rPr>
      <w:rFonts w:ascii="Palatino Linotype" w:hAnsi="Palatino Linotype"/>
      <w:noProof/>
      <w:sz w:val="56"/>
      <w:lang w:eastAsia="ro-RO"/>
    </w:rPr>
  </w:style>
  <w:style w:type="character" w:customStyle="1" w:styleId="Style1Char">
    <w:name w:val="Style1 Char"/>
    <w:basedOn w:val="TitleChar"/>
    <w:link w:val="Style1"/>
    <w:rsid w:val="00C34015"/>
    <w:rPr>
      <w:rFonts w:ascii="Palatino Linotype" w:eastAsiaTheme="majorEastAsia" w:hAnsi="Palatino Linotype" w:cstheme="majorBidi"/>
      <w:caps/>
      <w:noProof/>
      <w:color w:val="0F6FC6" w:themeColor="accent1"/>
      <w:spacing w:val="10"/>
      <w:sz w:val="56"/>
      <w:szCs w:val="52"/>
      <w:lang w:eastAsia="ro-RO"/>
    </w:rPr>
  </w:style>
  <w:style w:type="paragraph" w:styleId="EndnoteText">
    <w:name w:val="endnote text"/>
    <w:basedOn w:val="Normal"/>
    <w:link w:val="EndnoteTextChar"/>
    <w:uiPriority w:val="99"/>
    <w:semiHidden/>
    <w:unhideWhenUsed/>
    <w:rsid w:val="00677FE9"/>
    <w:pPr>
      <w:spacing w:before="0" w:after="0" w:line="240" w:lineRule="auto"/>
    </w:pPr>
  </w:style>
  <w:style w:type="character" w:customStyle="1" w:styleId="EndnoteTextChar">
    <w:name w:val="Endnote Text Char"/>
    <w:basedOn w:val="DefaultParagraphFont"/>
    <w:link w:val="EndnoteText"/>
    <w:uiPriority w:val="99"/>
    <w:semiHidden/>
    <w:rsid w:val="00677FE9"/>
  </w:style>
  <w:style w:type="character" w:styleId="EndnoteReference">
    <w:name w:val="endnote reference"/>
    <w:basedOn w:val="DefaultParagraphFont"/>
    <w:uiPriority w:val="99"/>
    <w:semiHidden/>
    <w:unhideWhenUsed/>
    <w:rsid w:val="00677FE9"/>
    <w:rPr>
      <w:vertAlign w:val="superscript"/>
    </w:rPr>
  </w:style>
  <w:style w:type="paragraph" w:styleId="ListParagraph">
    <w:name w:val="List Paragraph"/>
    <w:basedOn w:val="Normal"/>
    <w:link w:val="ListParagraphChar"/>
    <w:uiPriority w:val="34"/>
    <w:qFormat/>
    <w:rsid w:val="00C41ADD"/>
    <w:pPr>
      <w:ind w:left="720"/>
      <w:contextualSpacing/>
    </w:pPr>
  </w:style>
  <w:style w:type="character" w:customStyle="1" w:styleId="ListParagraphChar">
    <w:name w:val="List Paragraph Char"/>
    <w:link w:val="ListParagraph"/>
    <w:uiPriority w:val="34"/>
    <w:qFormat/>
    <w:locked/>
    <w:rsid w:val="00823301"/>
  </w:style>
  <w:style w:type="paragraph" w:styleId="FootnoteText">
    <w:name w:val="footnote text"/>
    <w:basedOn w:val="Normal"/>
    <w:link w:val="FootnoteTextChar"/>
    <w:unhideWhenUsed/>
    <w:rsid w:val="00085102"/>
    <w:pPr>
      <w:spacing w:before="0" w:after="0" w:line="240" w:lineRule="auto"/>
    </w:pPr>
  </w:style>
  <w:style w:type="character" w:customStyle="1" w:styleId="FootnoteTextChar">
    <w:name w:val="Footnote Text Char"/>
    <w:basedOn w:val="DefaultParagraphFont"/>
    <w:link w:val="FootnoteText"/>
    <w:qFormat/>
    <w:rsid w:val="00085102"/>
  </w:style>
  <w:style w:type="character" w:styleId="FootnoteReference">
    <w:name w:val="footnote reference"/>
    <w:basedOn w:val="DefaultParagraphFont"/>
    <w:uiPriority w:val="99"/>
    <w:unhideWhenUsed/>
    <w:rsid w:val="00085102"/>
    <w:rPr>
      <w:vertAlign w:val="superscript"/>
    </w:rPr>
  </w:style>
  <w:style w:type="paragraph" w:styleId="NormalWeb">
    <w:name w:val="Normal (Web)"/>
    <w:basedOn w:val="Normal"/>
    <w:uiPriority w:val="99"/>
    <w:semiHidden/>
    <w:unhideWhenUsed/>
    <w:rsid w:val="00771DA2"/>
    <w:pPr>
      <w:spacing w:beforeAutospacing="1" w:after="100" w:afterAutospacing="1" w:line="240" w:lineRule="auto"/>
    </w:pPr>
    <w:rPr>
      <w:rFonts w:ascii="Times New Roman" w:eastAsiaTheme="minorEastAsia" w:hAnsi="Times New Roman" w:cs="Times New Roman"/>
      <w:sz w:val="24"/>
      <w:szCs w:val="24"/>
      <w:lang w:eastAsia="ro-RO"/>
    </w:rPr>
  </w:style>
  <w:style w:type="paragraph" w:customStyle="1" w:styleId="Default">
    <w:name w:val="Default"/>
    <w:rsid w:val="00957FEE"/>
    <w:pPr>
      <w:autoSpaceDE w:val="0"/>
      <w:autoSpaceDN w:val="0"/>
      <w:adjustRightInd w:val="0"/>
      <w:spacing w:before="0"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1C43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338"/>
    <w:rPr>
      <w:rFonts w:ascii="Segoe UI" w:hAnsi="Segoe UI" w:cs="Segoe UI"/>
      <w:sz w:val="18"/>
      <w:szCs w:val="18"/>
    </w:rPr>
  </w:style>
  <w:style w:type="paragraph" w:customStyle="1" w:styleId="xl71">
    <w:name w:val="xl71"/>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72">
    <w:name w:val="xl72"/>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73">
    <w:name w:val="xl73"/>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74">
    <w:name w:val="xl74"/>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75">
    <w:name w:val="xl75"/>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76">
    <w:name w:val="xl76"/>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77">
    <w:name w:val="xl77"/>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78">
    <w:name w:val="xl78"/>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79">
    <w:name w:val="xl79"/>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80">
    <w:name w:val="xl80"/>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81">
    <w:name w:val="xl81"/>
    <w:basedOn w:val="Normal"/>
    <w:rsid w:val="007C6101"/>
    <w:pPr>
      <w:pBdr>
        <w:top w:val="single" w:sz="4" w:space="0" w:color="95B3D7"/>
        <w:bottom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i/>
      <w:iCs/>
      <w:color w:val="4F81BD"/>
      <w:sz w:val="14"/>
      <w:szCs w:val="14"/>
      <w:lang w:eastAsia="ro-RO"/>
    </w:rPr>
  </w:style>
  <w:style w:type="paragraph" w:customStyle="1" w:styleId="xl82">
    <w:name w:val="xl82"/>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color w:val="4F81BD"/>
      <w:sz w:val="14"/>
      <w:szCs w:val="14"/>
      <w:lang w:eastAsia="ro-RO"/>
    </w:rPr>
  </w:style>
  <w:style w:type="paragraph" w:customStyle="1" w:styleId="xl83">
    <w:name w:val="xl83"/>
    <w:basedOn w:val="Normal"/>
    <w:rsid w:val="007C6101"/>
    <w:pPr>
      <w:pBdr>
        <w:top w:val="single" w:sz="4" w:space="0" w:color="95B3D7"/>
        <w:bottom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i/>
      <w:iCs/>
      <w:color w:val="4F81BD"/>
      <w:sz w:val="14"/>
      <w:szCs w:val="14"/>
      <w:lang w:eastAsia="ro-RO"/>
    </w:rPr>
  </w:style>
  <w:style w:type="paragraph" w:customStyle="1" w:styleId="xl84">
    <w:name w:val="xl84"/>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i/>
      <w:iCs/>
      <w:color w:val="595959"/>
      <w:sz w:val="14"/>
      <w:szCs w:val="14"/>
      <w:lang w:eastAsia="ro-RO"/>
    </w:rPr>
  </w:style>
  <w:style w:type="paragraph" w:customStyle="1" w:styleId="xl85">
    <w:name w:val="xl85"/>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b/>
      <w:bCs/>
      <w:i/>
      <w:iCs/>
      <w:color w:val="4F81BD"/>
      <w:sz w:val="14"/>
      <w:szCs w:val="14"/>
      <w:lang w:eastAsia="ro-RO"/>
    </w:rPr>
  </w:style>
  <w:style w:type="paragraph" w:customStyle="1" w:styleId="xl86">
    <w:name w:val="xl86"/>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i/>
      <w:iCs/>
      <w:color w:val="595959"/>
      <w:sz w:val="14"/>
      <w:szCs w:val="14"/>
      <w:lang w:eastAsia="ro-RO"/>
    </w:rPr>
  </w:style>
  <w:style w:type="paragraph" w:customStyle="1" w:styleId="xl87">
    <w:name w:val="xl87"/>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i/>
      <w:iCs/>
      <w:color w:val="4F81BD"/>
      <w:sz w:val="14"/>
      <w:szCs w:val="14"/>
      <w:lang w:eastAsia="ro-RO"/>
    </w:rPr>
  </w:style>
  <w:style w:type="paragraph" w:customStyle="1" w:styleId="xl88">
    <w:name w:val="xl88"/>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i/>
      <w:iCs/>
      <w:color w:val="4F81BD"/>
      <w:sz w:val="14"/>
      <w:szCs w:val="14"/>
      <w:lang w:eastAsia="ro-RO"/>
    </w:rPr>
  </w:style>
  <w:style w:type="paragraph" w:customStyle="1" w:styleId="xl89">
    <w:name w:val="xl89"/>
    <w:basedOn w:val="Normal"/>
    <w:rsid w:val="007C6101"/>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595959"/>
      <w:sz w:val="14"/>
      <w:szCs w:val="14"/>
      <w:lang w:eastAsia="ro-RO"/>
    </w:rPr>
  </w:style>
  <w:style w:type="paragraph" w:customStyle="1" w:styleId="xl90">
    <w:name w:val="xl90"/>
    <w:basedOn w:val="Normal"/>
    <w:rsid w:val="007C6101"/>
    <w:pPr>
      <w:pBdr>
        <w:top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91">
    <w:name w:val="xl91"/>
    <w:basedOn w:val="Normal"/>
    <w:rsid w:val="007C6101"/>
    <w:pP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92">
    <w:name w:val="xl92"/>
    <w:basedOn w:val="Normal"/>
    <w:rsid w:val="007C6101"/>
    <w:pPr>
      <w:pBdr>
        <w:bottom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93">
    <w:name w:val="xl93"/>
    <w:basedOn w:val="Normal"/>
    <w:rsid w:val="007C6101"/>
    <w:pPr>
      <w:pBdr>
        <w:top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94">
    <w:name w:val="xl94"/>
    <w:basedOn w:val="Normal"/>
    <w:rsid w:val="007C6101"/>
    <w:pP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95">
    <w:name w:val="xl95"/>
    <w:basedOn w:val="Normal"/>
    <w:rsid w:val="007C6101"/>
    <w:pPr>
      <w:pBdr>
        <w:bottom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96">
    <w:name w:val="xl96"/>
    <w:basedOn w:val="Normal"/>
    <w:rsid w:val="007C6101"/>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top"/>
    </w:pPr>
    <w:rPr>
      <w:rFonts w:ascii="Calibri" w:eastAsia="Times New Roman" w:hAnsi="Calibri" w:cs="Times New Roman"/>
      <w:b/>
      <w:bCs/>
      <w:color w:val="595959"/>
      <w:sz w:val="14"/>
      <w:szCs w:val="14"/>
      <w:lang w:eastAsia="ro-RO"/>
    </w:rPr>
  </w:style>
  <w:style w:type="paragraph" w:customStyle="1" w:styleId="xl97">
    <w:name w:val="xl97"/>
    <w:basedOn w:val="Normal"/>
    <w:rsid w:val="007C6101"/>
    <w:pPr>
      <w:pBdr>
        <w:top w:val="single" w:sz="4" w:space="0" w:color="FFFFFF"/>
        <w:left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98">
    <w:name w:val="xl98"/>
    <w:basedOn w:val="Normal"/>
    <w:rsid w:val="007C6101"/>
    <w:pPr>
      <w:pBdr>
        <w:top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99">
    <w:name w:val="xl99"/>
    <w:basedOn w:val="Normal"/>
    <w:rsid w:val="007C6101"/>
    <w:pPr>
      <w:pBdr>
        <w:top w:val="single" w:sz="4" w:space="0" w:color="FFFFFF"/>
        <w:right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00">
    <w:name w:val="xl100"/>
    <w:basedOn w:val="Normal"/>
    <w:rsid w:val="007C6101"/>
    <w:pPr>
      <w:pBdr>
        <w:left w:val="single" w:sz="4" w:space="0" w:color="FFFFFF"/>
        <w:bottom w:val="single" w:sz="4" w:space="0" w:color="95B3D7"/>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01">
    <w:name w:val="xl101"/>
    <w:basedOn w:val="Normal"/>
    <w:rsid w:val="007C6101"/>
    <w:pPr>
      <w:pBdr>
        <w:bottom w:val="single" w:sz="4" w:space="0" w:color="95B3D7"/>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02">
    <w:name w:val="xl102"/>
    <w:basedOn w:val="Normal"/>
    <w:rsid w:val="007C6101"/>
    <w:pPr>
      <w:pBdr>
        <w:bottom w:val="single" w:sz="4" w:space="0" w:color="95B3D7"/>
        <w:right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03">
    <w:name w:val="xl103"/>
    <w:basedOn w:val="Normal"/>
    <w:rsid w:val="007C6101"/>
    <w:pPr>
      <w:pBdr>
        <w:top w:val="single" w:sz="4" w:space="0" w:color="95B3D7"/>
        <w:left w:val="single" w:sz="4" w:space="0" w:color="FFFFFF"/>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04">
    <w:name w:val="xl104"/>
    <w:basedOn w:val="Normal"/>
    <w:rsid w:val="007C6101"/>
    <w:pPr>
      <w:pBdr>
        <w:left w:val="single" w:sz="4" w:space="0" w:color="FFFFFF"/>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05">
    <w:name w:val="xl105"/>
    <w:basedOn w:val="Normal"/>
    <w:rsid w:val="007C6101"/>
    <w:pPr>
      <w:pBdr>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06">
    <w:name w:val="xl106"/>
    <w:basedOn w:val="Normal"/>
    <w:rsid w:val="007C6101"/>
    <w:pPr>
      <w:pBdr>
        <w:top w:val="single" w:sz="4" w:space="0" w:color="95B3D7"/>
        <w:left w:val="single" w:sz="4" w:space="0" w:color="FFFFFF"/>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07">
    <w:name w:val="xl107"/>
    <w:basedOn w:val="Normal"/>
    <w:rsid w:val="007C6101"/>
    <w:pPr>
      <w:pBdr>
        <w:left w:val="single" w:sz="4" w:space="0" w:color="FFFFFF"/>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08">
    <w:name w:val="xl108"/>
    <w:basedOn w:val="Normal"/>
    <w:rsid w:val="007C6101"/>
    <w:pPr>
      <w:pBdr>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character" w:customStyle="1" w:styleId="Mention1">
    <w:name w:val="Mention1"/>
    <w:basedOn w:val="DefaultParagraphFont"/>
    <w:uiPriority w:val="99"/>
    <w:semiHidden/>
    <w:unhideWhenUsed/>
    <w:rsid w:val="00E04C4D"/>
    <w:rPr>
      <w:color w:val="2B579A"/>
      <w:shd w:val="clear" w:color="auto" w:fill="E6E6E6"/>
    </w:rPr>
  </w:style>
  <w:style w:type="paragraph" w:customStyle="1" w:styleId="xl109">
    <w:name w:val="xl109"/>
    <w:basedOn w:val="Normal"/>
    <w:rsid w:val="00AC1ED7"/>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110">
    <w:name w:val="xl110"/>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i/>
      <w:iCs/>
      <w:color w:val="595959"/>
      <w:sz w:val="14"/>
      <w:szCs w:val="14"/>
      <w:lang w:eastAsia="ro-RO"/>
    </w:rPr>
  </w:style>
  <w:style w:type="paragraph" w:customStyle="1" w:styleId="xl111">
    <w:name w:val="xl111"/>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112">
    <w:name w:val="xl112"/>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113">
    <w:name w:val="xl113"/>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114">
    <w:name w:val="xl114"/>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i/>
      <w:iCs/>
      <w:color w:val="4F81BD"/>
      <w:sz w:val="14"/>
      <w:szCs w:val="14"/>
      <w:lang w:eastAsia="ro-RO"/>
    </w:rPr>
  </w:style>
  <w:style w:type="paragraph" w:customStyle="1" w:styleId="xl115">
    <w:name w:val="xl115"/>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116">
    <w:name w:val="xl116"/>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center"/>
    </w:pPr>
    <w:rPr>
      <w:rFonts w:ascii="Calibri" w:eastAsia="Times New Roman" w:hAnsi="Calibri" w:cs="Times New Roman"/>
      <w:b/>
      <w:bCs/>
      <w:color w:val="4F81BD"/>
      <w:sz w:val="14"/>
      <w:szCs w:val="14"/>
      <w:lang w:eastAsia="ro-RO"/>
    </w:rPr>
  </w:style>
  <w:style w:type="paragraph" w:customStyle="1" w:styleId="xl117">
    <w:name w:val="xl117"/>
    <w:basedOn w:val="Normal"/>
    <w:rsid w:val="00AC1ED7"/>
    <w:pPr>
      <w:pBdr>
        <w:top w:val="single" w:sz="4" w:space="0" w:color="95B3D7"/>
        <w:left w:val="single" w:sz="4" w:space="0" w:color="DCE6F1"/>
        <w:bottom w:val="single" w:sz="4" w:space="0" w:color="95B3D7"/>
        <w:right w:val="single" w:sz="4" w:space="0" w:color="DCE6F1"/>
      </w:pBdr>
      <w:shd w:val="clear" w:color="000000" w:fill="DCE6F1"/>
      <w:spacing w:beforeAutospacing="1" w:after="100" w:afterAutospacing="1" w:line="240" w:lineRule="auto"/>
      <w:jc w:val="right"/>
      <w:textAlignment w:val="center"/>
    </w:pPr>
    <w:rPr>
      <w:rFonts w:ascii="Calibri" w:eastAsia="Times New Roman" w:hAnsi="Calibri" w:cs="Times New Roman"/>
      <w:color w:val="595959"/>
      <w:sz w:val="14"/>
      <w:szCs w:val="14"/>
      <w:lang w:eastAsia="ro-RO"/>
    </w:rPr>
  </w:style>
  <w:style w:type="paragraph" w:customStyle="1" w:styleId="xl118">
    <w:name w:val="xl118"/>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19">
    <w:name w:val="xl119"/>
    <w:basedOn w:val="Normal"/>
    <w:rsid w:val="00AC1ED7"/>
    <w:pPr>
      <w:pBdr>
        <w:top w:val="single" w:sz="4" w:space="0" w:color="FFFFFF"/>
        <w:left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20">
    <w:name w:val="xl120"/>
    <w:basedOn w:val="Normal"/>
    <w:rsid w:val="00AC1ED7"/>
    <w:pPr>
      <w:pBdr>
        <w:top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21">
    <w:name w:val="xl121"/>
    <w:basedOn w:val="Normal"/>
    <w:rsid w:val="00AC1ED7"/>
    <w:pPr>
      <w:pBdr>
        <w:top w:val="single" w:sz="4" w:space="0" w:color="FFFFFF"/>
        <w:right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22">
    <w:name w:val="xl122"/>
    <w:basedOn w:val="Normal"/>
    <w:rsid w:val="00AC1ED7"/>
    <w:pPr>
      <w:pBdr>
        <w:left w:val="single" w:sz="4" w:space="0" w:color="FFFFFF"/>
        <w:bottom w:val="single" w:sz="4" w:space="0" w:color="95B3D7"/>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23">
    <w:name w:val="xl123"/>
    <w:basedOn w:val="Normal"/>
    <w:rsid w:val="00AC1ED7"/>
    <w:pPr>
      <w:pBdr>
        <w:bottom w:val="single" w:sz="4" w:space="0" w:color="95B3D7"/>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24">
    <w:name w:val="xl124"/>
    <w:basedOn w:val="Normal"/>
    <w:rsid w:val="00AC1ED7"/>
    <w:pPr>
      <w:pBdr>
        <w:bottom w:val="single" w:sz="4" w:space="0" w:color="95B3D7"/>
        <w:right w:val="single" w:sz="4" w:space="0" w:color="FFFFFF"/>
      </w:pBdr>
      <w:spacing w:beforeAutospacing="1" w:after="100" w:afterAutospacing="1" w:line="240" w:lineRule="auto"/>
      <w:textAlignment w:val="top"/>
    </w:pPr>
    <w:rPr>
      <w:rFonts w:ascii="Calibri" w:eastAsia="Times New Roman" w:hAnsi="Calibri" w:cs="Times New Roman"/>
      <w:b/>
      <w:bCs/>
      <w:color w:val="4F81BD"/>
      <w:lang w:eastAsia="ro-RO"/>
    </w:rPr>
  </w:style>
  <w:style w:type="paragraph" w:customStyle="1" w:styleId="xl125">
    <w:name w:val="xl125"/>
    <w:basedOn w:val="Normal"/>
    <w:rsid w:val="00AC1ED7"/>
    <w:pPr>
      <w:pBdr>
        <w:top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26">
    <w:name w:val="xl126"/>
    <w:basedOn w:val="Normal"/>
    <w:rsid w:val="00AC1ED7"/>
    <w:pP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27">
    <w:name w:val="xl127"/>
    <w:basedOn w:val="Normal"/>
    <w:rsid w:val="00AC1ED7"/>
    <w:pPr>
      <w:pBdr>
        <w:bottom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28">
    <w:name w:val="xl128"/>
    <w:basedOn w:val="Normal"/>
    <w:rsid w:val="00AC1ED7"/>
    <w:pPr>
      <w:pBdr>
        <w:top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29">
    <w:name w:val="xl129"/>
    <w:basedOn w:val="Normal"/>
    <w:rsid w:val="00AC1ED7"/>
    <w:pP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30">
    <w:name w:val="xl130"/>
    <w:basedOn w:val="Normal"/>
    <w:rsid w:val="00AC1ED7"/>
    <w:pPr>
      <w:pBdr>
        <w:bottom w:val="single" w:sz="4" w:space="0" w:color="95B3D7"/>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31">
    <w:name w:val="xl131"/>
    <w:basedOn w:val="Normal"/>
    <w:rsid w:val="00AC1ED7"/>
    <w:pPr>
      <w:pBdr>
        <w:top w:val="single" w:sz="4" w:space="0" w:color="95B3D7"/>
        <w:left w:val="single" w:sz="4" w:space="0" w:color="FFFFFF"/>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32">
    <w:name w:val="xl132"/>
    <w:basedOn w:val="Normal"/>
    <w:rsid w:val="00AC1ED7"/>
    <w:pPr>
      <w:pBdr>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4F81BD"/>
      <w:sz w:val="14"/>
      <w:szCs w:val="14"/>
      <w:lang w:eastAsia="ro-RO"/>
    </w:rPr>
  </w:style>
  <w:style w:type="paragraph" w:customStyle="1" w:styleId="xl133">
    <w:name w:val="xl133"/>
    <w:basedOn w:val="Normal"/>
    <w:rsid w:val="00AC1ED7"/>
    <w:pPr>
      <w:pBdr>
        <w:top w:val="single" w:sz="4" w:space="0" w:color="95B3D7"/>
        <w:left w:val="single" w:sz="4" w:space="0" w:color="FFFFFF"/>
        <w:bottom w:val="single" w:sz="4" w:space="0" w:color="95B3D7"/>
        <w:right w:val="single" w:sz="4" w:space="0" w:color="FFFFFF"/>
      </w:pBdr>
      <w:shd w:val="clear" w:color="000000" w:fill="FFFFFF"/>
      <w:spacing w:beforeAutospacing="1" w:after="100" w:afterAutospacing="1" w:line="240" w:lineRule="auto"/>
      <w:jc w:val="right"/>
      <w:textAlignment w:val="top"/>
    </w:pPr>
    <w:rPr>
      <w:rFonts w:ascii="Calibri" w:eastAsia="Times New Roman" w:hAnsi="Calibri" w:cs="Times New Roman"/>
      <w:b/>
      <w:bCs/>
      <w:color w:val="595959"/>
      <w:sz w:val="14"/>
      <w:szCs w:val="14"/>
      <w:lang w:eastAsia="ro-RO"/>
    </w:rPr>
  </w:style>
  <w:style w:type="paragraph" w:customStyle="1" w:styleId="xl134">
    <w:name w:val="xl134"/>
    <w:basedOn w:val="Normal"/>
    <w:rsid w:val="00AC1ED7"/>
    <w:pPr>
      <w:pBdr>
        <w:top w:val="single" w:sz="4" w:space="0" w:color="95B3D7"/>
        <w:right w:val="single" w:sz="4" w:space="0" w:color="DCE6F1"/>
      </w:pBdr>
      <w:shd w:val="clear" w:color="000000" w:fill="DCE6F1"/>
      <w:spacing w:beforeAutospacing="1" w:after="100" w:afterAutospacing="1" w:line="240" w:lineRule="auto"/>
      <w:jc w:val="right"/>
      <w:textAlignment w:val="top"/>
    </w:pPr>
    <w:rPr>
      <w:rFonts w:ascii="Calibri" w:eastAsia="Times New Roman" w:hAnsi="Calibri" w:cs="Times New Roman"/>
      <w:b/>
      <w:bCs/>
      <w:color w:val="595959"/>
      <w:sz w:val="14"/>
      <w:szCs w:val="14"/>
      <w:lang w:eastAsia="ro-RO"/>
    </w:rPr>
  </w:style>
  <w:style w:type="paragraph" w:customStyle="1" w:styleId="xl135">
    <w:name w:val="xl135"/>
    <w:basedOn w:val="Normal"/>
    <w:rsid w:val="00AC1ED7"/>
    <w:pPr>
      <w:pBdr>
        <w:right w:val="single" w:sz="4" w:space="0" w:color="DCE6F1"/>
      </w:pBdr>
      <w:shd w:val="clear" w:color="000000" w:fill="DCE6F1"/>
      <w:spacing w:beforeAutospacing="1" w:after="100" w:afterAutospacing="1" w:line="240" w:lineRule="auto"/>
      <w:jc w:val="right"/>
      <w:textAlignment w:val="top"/>
    </w:pPr>
    <w:rPr>
      <w:rFonts w:ascii="Calibri" w:eastAsia="Times New Roman" w:hAnsi="Calibri" w:cs="Times New Roman"/>
      <w:b/>
      <w:bCs/>
      <w:color w:val="595959"/>
      <w:sz w:val="14"/>
      <w:szCs w:val="14"/>
      <w:lang w:eastAsia="ro-RO"/>
    </w:rPr>
  </w:style>
  <w:style w:type="paragraph" w:customStyle="1" w:styleId="xl136">
    <w:name w:val="xl136"/>
    <w:basedOn w:val="Normal"/>
    <w:rsid w:val="00AC1ED7"/>
    <w:pPr>
      <w:pBdr>
        <w:bottom w:val="single" w:sz="4" w:space="0" w:color="95B3D7"/>
        <w:right w:val="single" w:sz="4" w:space="0" w:color="DCE6F1"/>
      </w:pBdr>
      <w:shd w:val="clear" w:color="000000" w:fill="DCE6F1"/>
      <w:spacing w:beforeAutospacing="1" w:after="100" w:afterAutospacing="1" w:line="240" w:lineRule="auto"/>
      <w:jc w:val="right"/>
      <w:textAlignment w:val="top"/>
    </w:pPr>
    <w:rPr>
      <w:rFonts w:ascii="Calibri" w:eastAsia="Times New Roman" w:hAnsi="Calibri" w:cs="Times New Roman"/>
      <w:b/>
      <w:bCs/>
      <w:color w:val="595959"/>
      <w:sz w:val="14"/>
      <w:szCs w:val="14"/>
      <w:lang w:eastAsia="ro-RO"/>
    </w:rPr>
  </w:style>
  <w:style w:type="character" w:customStyle="1" w:styleId="InternetLink">
    <w:name w:val="Internet Link"/>
    <w:basedOn w:val="DefaultParagraphFont"/>
    <w:uiPriority w:val="99"/>
    <w:semiHidden/>
    <w:unhideWhenUsed/>
    <w:rsid w:val="004A1E2B"/>
    <w:rPr>
      <w:color w:val="F49100" w:themeColor="hyperlink"/>
      <w:u w:val="single"/>
    </w:rPr>
  </w:style>
  <w:style w:type="character" w:customStyle="1" w:styleId="FootnoteCharacters">
    <w:name w:val="Footnote Characters"/>
    <w:basedOn w:val="DefaultParagraphFont"/>
    <w:uiPriority w:val="99"/>
    <w:semiHidden/>
    <w:unhideWhenUsed/>
    <w:qFormat/>
    <w:rsid w:val="004A1E2B"/>
    <w:rPr>
      <w:vertAlign w:val="superscript"/>
    </w:rPr>
  </w:style>
  <w:style w:type="character" w:customStyle="1" w:styleId="FootnoteAnchor">
    <w:name w:val="Footnote Anchor"/>
    <w:rsid w:val="004A1E2B"/>
    <w:rPr>
      <w:vertAlign w:val="superscript"/>
    </w:rPr>
  </w:style>
  <w:style w:type="character" w:customStyle="1" w:styleId="ListLabel1">
    <w:name w:val="ListLabel 1"/>
    <w:qFormat/>
    <w:rsid w:val="004A1E2B"/>
    <w:rPr>
      <w:rFonts w:cs="Courier New"/>
    </w:rPr>
  </w:style>
  <w:style w:type="character" w:customStyle="1" w:styleId="ListLabel2">
    <w:name w:val="ListLabel 2"/>
    <w:qFormat/>
    <w:rsid w:val="004A1E2B"/>
    <w:rPr>
      <w:rFonts w:cs="Courier New"/>
    </w:rPr>
  </w:style>
  <w:style w:type="character" w:customStyle="1" w:styleId="ListLabel3">
    <w:name w:val="ListLabel 3"/>
    <w:qFormat/>
    <w:rsid w:val="004A1E2B"/>
    <w:rPr>
      <w:rFonts w:cs="Courier New"/>
    </w:rPr>
  </w:style>
  <w:style w:type="character" w:customStyle="1" w:styleId="ListLabel4">
    <w:name w:val="ListLabel 4"/>
    <w:qFormat/>
    <w:rsid w:val="004A1E2B"/>
    <w:rPr>
      <w:rFonts w:eastAsia="Calibri"/>
      <w:sz w:val="20"/>
      <w:szCs w:val="20"/>
    </w:rPr>
  </w:style>
  <w:style w:type="character" w:customStyle="1" w:styleId="ListLabel5">
    <w:name w:val="ListLabel 5"/>
    <w:qFormat/>
    <w:rsid w:val="004A1E2B"/>
    <w:rPr>
      <w:rFonts w:cs="Courier New"/>
    </w:rPr>
  </w:style>
  <w:style w:type="character" w:customStyle="1" w:styleId="ListLabel6">
    <w:name w:val="ListLabel 6"/>
    <w:qFormat/>
    <w:rsid w:val="004A1E2B"/>
    <w:rPr>
      <w:rFonts w:cs="Courier New"/>
    </w:rPr>
  </w:style>
  <w:style w:type="character" w:customStyle="1" w:styleId="ListLabel7">
    <w:name w:val="ListLabel 7"/>
    <w:qFormat/>
    <w:rsid w:val="004A1E2B"/>
    <w:rPr>
      <w:rFonts w:cs="Courier New"/>
    </w:rPr>
  </w:style>
  <w:style w:type="character" w:customStyle="1" w:styleId="ListLabel8">
    <w:name w:val="ListLabel 8"/>
    <w:qFormat/>
    <w:rsid w:val="004A1E2B"/>
    <w:rPr>
      <w:color w:val="595959"/>
    </w:rPr>
  </w:style>
  <w:style w:type="character" w:customStyle="1" w:styleId="ListLabel9">
    <w:name w:val="ListLabel 9"/>
    <w:qFormat/>
    <w:rsid w:val="004A1E2B"/>
    <w:rPr>
      <w:rFonts w:cs="Courier New"/>
    </w:rPr>
  </w:style>
  <w:style w:type="character" w:customStyle="1" w:styleId="ListLabel10">
    <w:name w:val="ListLabel 10"/>
    <w:qFormat/>
    <w:rsid w:val="004A1E2B"/>
    <w:rPr>
      <w:rFonts w:cs="Courier New"/>
    </w:rPr>
  </w:style>
  <w:style w:type="character" w:customStyle="1" w:styleId="ListLabel11">
    <w:name w:val="ListLabel 11"/>
    <w:qFormat/>
    <w:rsid w:val="004A1E2B"/>
    <w:rPr>
      <w:rFonts w:cs="Courier New"/>
    </w:rPr>
  </w:style>
  <w:style w:type="character" w:customStyle="1" w:styleId="ListLabel12">
    <w:name w:val="ListLabel 12"/>
    <w:qFormat/>
    <w:rsid w:val="004A1E2B"/>
    <w:rPr>
      <w:rFonts w:cs="Courier New"/>
    </w:rPr>
  </w:style>
  <w:style w:type="character" w:customStyle="1" w:styleId="ListLabel13">
    <w:name w:val="ListLabel 13"/>
    <w:qFormat/>
    <w:rsid w:val="004A1E2B"/>
    <w:rPr>
      <w:rFonts w:cs="Courier New"/>
    </w:rPr>
  </w:style>
  <w:style w:type="character" w:customStyle="1" w:styleId="ListLabel14">
    <w:name w:val="ListLabel 14"/>
    <w:qFormat/>
    <w:rsid w:val="004A1E2B"/>
    <w:rPr>
      <w:rFonts w:cs="Courier New"/>
    </w:rPr>
  </w:style>
  <w:style w:type="character" w:customStyle="1" w:styleId="ListLabel15">
    <w:name w:val="ListLabel 15"/>
    <w:qFormat/>
    <w:rsid w:val="004A1E2B"/>
    <w:rPr>
      <w:color w:val="595959"/>
      <w:sz w:val="20"/>
      <w:szCs w:val="20"/>
    </w:rPr>
  </w:style>
  <w:style w:type="character" w:customStyle="1" w:styleId="ListLabel16">
    <w:name w:val="ListLabel 16"/>
    <w:qFormat/>
    <w:rsid w:val="004A1E2B"/>
    <w:rPr>
      <w:rFonts w:cs="Courier New"/>
    </w:rPr>
  </w:style>
  <w:style w:type="character" w:customStyle="1" w:styleId="ListLabel17">
    <w:name w:val="ListLabel 17"/>
    <w:qFormat/>
    <w:rsid w:val="004A1E2B"/>
    <w:rPr>
      <w:rFonts w:cs="Courier New"/>
    </w:rPr>
  </w:style>
  <w:style w:type="character" w:customStyle="1" w:styleId="ListLabel18">
    <w:name w:val="ListLabel 18"/>
    <w:qFormat/>
    <w:rsid w:val="004A1E2B"/>
    <w:rPr>
      <w:rFonts w:cs="Courier New"/>
    </w:rPr>
  </w:style>
  <w:style w:type="character" w:customStyle="1" w:styleId="ListLabel19">
    <w:name w:val="ListLabel 19"/>
    <w:qFormat/>
    <w:rsid w:val="004A1E2B"/>
    <w:rPr>
      <w:rFonts w:cs="Courier New"/>
    </w:rPr>
  </w:style>
  <w:style w:type="character" w:customStyle="1" w:styleId="ListLabel20">
    <w:name w:val="ListLabel 20"/>
    <w:qFormat/>
    <w:rsid w:val="004A1E2B"/>
    <w:rPr>
      <w:rFonts w:cs="Courier New"/>
    </w:rPr>
  </w:style>
  <w:style w:type="character" w:customStyle="1" w:styleId="ListLabel21">
    <w:name w:val="ListLabel 21"/>
    <w:qFormat/>
    <w:rsid w:val="004A1E2B"/>
    <w:rPr>
      <w:rFonts w:cs="Courier New"/>
    </w:rPr>
  </w:style>
  <w:style w:type="character" w:customStyle="1" w:styleId="ListLabel22">
    <w:name w:val="ListLabel 22"/>
    <w:qFormat/>
    <w:rsid w:val="004A1E2B"/>
    <w:rPr>
      <w:rFonts w:cs="Courier New"/>
    </w:rPr>
  </w:style>
  <w:style w:type="character" w:customStyle="1" w:styleId="ListLabel23">
    <w:name w:val="ListLabel 23"/>
    <w:qFormat/>
    <w:rsid w:val="004A1E2B"/>
    <w:rPr>
      <w:rFonts w:cs="Courier New"/>
    </w:rPr>
  </w:style>
  <w:style w:type="character" w:customStyle="1" w:styleId="ListLabel24">
    <w:name w:val="ListLabel 24"/>
    <w:qFormat/>
    <w:rsid w:val="004A1E2B"/>
    <w:rPr>
      <w:rFonts w:cs="Courier New"/>
    </w:rPr>
  </w:style>
  <w:style w:type="character" w:customStyle="1" w:styleId="ListLabel25">
    <w:name w:val="ListLabel 25"/>
    <w:qFormat/>
    <w:rsid w:val="004A1E2B"/>
    <w:rPr>
      <w:rFonts w:asciiTheme="majorHAnsi" w:eastAsia="Times New Roman" w:hAnsiTheme="majorHAnsi" w:cs="Arial"/>
    </w:rPr>
  </w:style>
  <w:style w:type="character" w:customStyle="1" w:styleId="EndnoteAnchor">
    <w:name w:val="Endnote Anchor"/>
    <w:rsid w:val="004A1E2B"/>
    <w:rPr>
      <w:vertAlign w:val="superscript"/>
    </w:rPr>
  </w:style>
  <w:style w:type="character" w:customStyle="1" w:styleId="EndnoteCharacters">
    <w:name w:val="Endnote Characters"/>
    <w:qFormat/>
    <w:rsid w:val="004A1E2B"/>
  </w:style>
  <w:style w:type="paragraph" w:customStyle="1" w:styleId="Heading">
    <w:name w:val="Heading"/>
    <w:basedOn w:val="Normal"/>
    <w:next w:val="BodyText"/>
    <w:qFormat/>
    <w:rsid w:val="004A1E2B"/>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4A1E2B"/>
    <w:pPr>
      <w:spacing w:before="0" w:after="140"/>
    </w:pPr>
  </w:style>
  <w:style w:type="character" w:customStyle="1" w:styleId="BodyTextChar">
    <w:name w:val="Body Text Char"/>
    <w:basedOn w:val="DefaultParagraphFont"/>
    <w:link w:val="BodyText"/>
    <w:rsid w:val="004A1E2B"/>
  </w:style>
  <w:style w:type="paragraph" w:styleId="List">
    <w:name w:val="List"/>
    <w:basedOn w:val="BodyText"/>
    <w:rsid w:val="004A1E2B"/>
    <w:rPr>
      <w:rFonts w:cs="Arial"/>
    </w:rPr>
  </w:style>
  <w:style w:type="paragraph" w:customStyle="1" w:styleId="Index">
    <w:name w:val="Index"/>
    <w:basedOn w:val="Normal"/>
    <w:qFormat/>
    <w:rsid w:val="004A1E2B"/>
    <w:pPr>
      <w:suppressLineNumbers/>
    </w:pPr>
    <w:rPr>
      <w:rFonts w:cs="Arial"/>
    </w:rPr>
  </w:style>
  <w:style w:type="paragraph" w:customStyle="1" w:styleId="Listparagraf">
    <w:name w:val="Listă paragraf"/>
    <w:basedOn w:val="Normal"/>
    <w:rsid w:val="00676BD2"/>
    <w:pPr>
      <w:suppressAutoHyphens/>
      <w:spacing w:before="0" w:after="0" w:line="240" w:lineRule="auto"/>
      <w:ind w:left="708"/>
    </w:pPr>
    <w:rPr>
      <w:rFonts w:ascii="Times New Roman" w:eastAsia="Times New Roman" w:hAnsi="Times New Roman" w:cs="Times New Roma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541">
      <w:bodyDiv w:val="1"/>
      <w:marLeft w:val="0"/>
      <w:marRight w:val="0"/>
      <w:marTop w:val="0"/>
      <w:marBottom w:val="0"/>
      <w:divBdr>
        <w:top w:val="none" w:sz="0" w:space="0" w:color="auto"/>
        <w:left w:val="none" w:sz="0" w:space="0" w:color="auto"/>
        <w:bottom w:val="none" w:sz="0" w:space="0" w:color="auto"/>
        <w:right w:val="none" w:sz="0" w:space="0" w:color="auto"/>
      </w:divBdr>
    </w:div>
    <w:div w:id="10567885">
      <w:bodyDiv w:val="1"/>
      <w:marLeft w:val="0"/>
      <w:marRight w:val="0"/>
      <w:marTop w:val="0"/>
      <w:marBottom w:val="0"/>
      <w:divBdr>
        <w:top w:val="none" w:sz="0" w:space="0" w:color="auto"/>
        <w:left w:val="none" w:sz="0" w:space="0" w:color="auto"/>
        <w:bottom w:val="none" w:sz="0" w:space="0" w:color="auto"/>
        <w:right w:val="none" w:sz="0" w:space="0" w:color="auto"/>
      </w:divBdr>
    </w:div>
    <w:div w:id="11105184">
      <w:bodyDiv w:val="1"/>
      <w:marLeft w:val="0"/>
      <w:marRight w:val="0"/>
      <w:marTop w:val="0"/>
      <w:marBottom w:val="0"/>
      <w:divBdr>
        <w:top w:val="none" w:sz="0" w:space="0" w:color="auto"/>
        <w:left w:val="none" w:sz="0" w:space="0" w:color="auto"/>
        <w:bottom w:val="none" w:sz="0" w:space="0" w:color="auto"/>
        <w:right w:val="none" w:sz="0" w:space="0" w:color="auto"/>
      </w:divBdr>
    </w:div>
    <w:div w:id="38096729">
      <w:bodyDiv w:val="1"/>
      <w:marLeft w:val="0"/>
      <w:marRight w:val="0"/>
      <w:marTop w:val="0"/>
      <w:marBottom w:val="0"/>
      <w:divBdr>
        <w:top w:val="none" w:sz="0" w:space="0" w:color="auto"/>
        <w:left w:val="none" w:sz="0" w:space="0" w:color="auto"/>
        <w:bottom w:val="none" w:sz="0" w:space="0" w:color="auto"/>
        <w:right w:val="none" w:sz="0" w:space="0" w:color="auto"/>
      </w:divBdr>
    </w:div>
    <w:div w:id="43215641">
      <w:bodyDiv w:val="1"/>
      <w:marLeft w:val="0"/>
      <w:marRight w:val="0"/>
      <w:marTop w:val="0"/>
      <w:marBottom w:val="0"/>
      <w:divBdr>
        <w:top w:val="none" w:sz="0" w:space="0" w:color="auto"/>
        <w:left w:val="none" w:sz="0" w:space="0" w:color="auto"/>
        <w:bottom w:val="none" w:sz="0" w:space="0" w:color="auto"/>
        <w:right w:val="none" w:sz="0" w:space="0" w:color="auto"/>
      </w:divBdr>
    </w:div>
    <w:div w:id="52969295">
      <w:bodyDiv w:val="1"/>
      <w:marLeft w:val="0"/>
      <w:marRight w:val="0"/>
      <w:marTop w:val="0"/>
      <w:marBottom w:val="0"/>
      <w:divBdr>
        <w:top w:val="none" w:sz="0" w:space="0" w:color="auto"/>
        <w:left w:val="none" w:sz="0" w:space="0" w:color="auto"/>
        <w:bottom w:val="none" w:sz="0" w:space="0" w:color="auto"/>
        <w:right w:val="none" w:sz="0" w:space="0" w:color="auto"/>
      </w:divBdr>
    </w:div>
    <w:div w:id="55324895">
      <w:bodyDiv w:val="1"/>
      <w:marLeft w:val="0"/>
      <w:marRight w:val="0"/>
      <w:marTop w:val="0"/>
      <w:marBottom w:val="0"/>
      <w:divBdr>
        <w:top w:val="none" w:sz="0" w:space="0" w:color="auto"/>
        <w:left w:val="none" w:sz="0" w:space="0" w:color="auto"/>
        <w:bottom w:val="none" w:sz="0" w:space="0" w:color="auto"/>
        <w:right w:val="none" w:sz="0" w:space="0" w:color="auto"/>
      </w:divBdr>
    </w:div>
    <w:div w:id="75447102">
      <w:bodyDiv w:val="1"/>
      <w:marLeft w:val="0"/>
      <w:marRight w:val="0"/>
      <w:marTop w:val="0"/>
      <w:marBottom w:val="0"/>
      <w:divBdr>
        <w:top w:val="none" w:sz="0" w:space="0" w:color="auto"/>
        <w:left w:val="none" w:sz="0" w:space="0" w:color="auto"/>
        <w:bottom w:val="none" w:sz="0" w:space="0" w:color="auto"/>
        <w:right w:val="none" w:sz="0" w:space="0" w:color="auto"/>
      </w:divBdr>
    </w:div>
    <w:div w:id="79107657">
      <w:bodyDiv w:val="1"/>
      <w:marLeft w:val="0"/>
      <w:marRight w:val="0"/>
      <w:marTop w:val="0"/>
      <w:marBottom w:val="0"/>
      <w:divBdr>
        <w:top w:val="none" w:sz="0" w:space="0" w:color="auto"/>
        <w:left w:val="none" w:sz="0" w:space="0" w:color="auto"/>
        <w:bottom w:val="none" w:sz="0" w:space="0" w:color="auto"/>
        <w:right w:val="none" w:sz="0" w:space="0" w:color="auto"/>
      </w:divBdr>
    </w:div>
    <w:div w:id="81729313">
      <w:bodyDiv w:val="1"/>
      <w:marLeft w:val="0"/>
      <w:marRight w:val="0"/>
      <w:marTop w:val="0"/>
      <w:marBottom w:val="0"/>
      <w:divBdr>
        <w:top w:val="none" w:sz="0" w:space="0" w:color="auto"/>
        <w:left w:val="none" w:sz="0" w:space="0" w:color="auto"/>
        <w:bottom w:val="none" w:sz="0" w:space="0" w:color="auto"/>
        <w:right w:val="none" w:sz="0" w:space="0" w:color="auto"/>
      </w:divBdr>
    </w:div>
    <w:div w:id="81731721">
      <w:bodyDiv w:val="1"/>
      <w:marLeft w:val="0"/>
      <w:marRight w:val="0"/>
      <w:marTop w:val="0"/>
      <w:marBottom w:val="0"/>
      <w:divBdr>
        <w:top w:val="none" w:sz="0" w:space="0" w:color="auto"/>
        <w:left w:val="none" w:sz="0" w:space="0" w:color="auto"/>
        <w:bottom w:val="none" w:sz="0" w:space="0" w:color="auto"/>
        <w:right w:val="none" w:sz="0" w:space="0" w:color="auto"/>
      </w:divBdr>
    </w:div>
    <w:div w:id="84811742">
      <w:bodyDiv w:val="1"/>
      <w:marLeft w:val="0"/>
      <w:marRight w:val="0"/>
      <w:marTop w:val="0"/>
      <w:marBottom w:val="0"/>
      <w:divBdr>
        <w:top w:val="none" w:sz="0" w:space="0" w:color="auto"/>
        <w:left w:val="none" w:sz="0" w:space="0" w:color="auto"/>
        <w:bottom w:val="none" w:sz="0" w:space="0" w:color="auto"/>
        <w:right w:val="none" w:sz="0" w:space="0" w:color="auto"/>
      </w:divBdr>
    </w:div>
    <w:div w:id="94909881">
      <w:bodyDiv w:val="1"/>
      <w:marLeft w:val="0"/>
      <w:marRight w:val="0"/>
      <w:marTop w:val="0"/>
      <w:marBottom w:val="0"/>
      <w:divBdr>
        <w:top w:val="none" w:sz="0" w:space="0" w:color="auto"/>
        <w:left w:val="none" w:sz="0" w:space="0" w:color="auto"/>
        <w:bottom w:val="none" w:sz="0" w:space="0" w:color="auto"/>
        <w:right w:val="none" w:sz="0" w:space="0" w:color="auto"/>
      </w:divBdr>
    </w:div>
    <w:div w:id="108663738">
      <w:bodyDiv w:val="1"/>
      <w:marLeft w:val="0"/>
      <w:marRight w:val="0"/>
      <w:marTop w:val="0"/>
      <w:marBottom w:val="0"/>
      <w:divBdr>
        <w:top w:val="none" w:sz="0" w:space="0" w:color="auto"/>
        <w:left w:val="none" w:sz="0" w:space="0" w:color="auto"/>
        <w:bottom w:val="none" w:sz="0" w:space="0" w:color="auto"/>
        <w:right w:val="none" w:sz="0" w:space="0" w:color="auto"/>
      </w:divBdr>
    </w:div>
    <w:div w:id="109519897">
      <w:bodyDiv w:val="1"/>
      <w:marLeft w:val="0"/>
      <w:marRight w:val="0"/>
      <w:marTop w:val="0"/>
      <w:marBottom w:val="0"/>
      <w:divBdr>
        <w:top w:val="none" w:sz="0" w:space="0" w:color="auto"/>
        <w:left w:val="none" w:sz="0" w:space="0" w:color="auto"/>
        <w:bottom w:val="none" w:sz="0" w:space="0" w:color="auto"/>
        <w:right w:val="none" w:sz="0" w:space="0" w:color="auto"/>
      </w:divBdr>
    </w:div>
    <w:div w:id="112988116">
      <w:bodyDiv w:val="1"/>
      <w:marLeft w:val="0"/>
      <w:marRight w:val="0"/>
      <w:marTop w:val="0"/>
      <w:marBottom w:val="0"/>
      <w:divBdr>
        <w:top w:val="none" w:sz="0" w:space="0" w:color="auto"/>
        <w:left w:val="none" w:sz="0" w:space="0" w:color="auto"/>
        <w:bottom w:val="none" w:sz="0" w:space="0" w:color="auto"/>
        <w:right w:val="none" w:sz="0" w:space="0" w:color="auto"/>
      </w:divBdr>
      <w:divsChild>
        <w:div w:id="772021901">
          <w:marLeft w:val="547"/>
          <w:marRight w:val="0"/>
          <w:marTop w:val="0"/>
          <w:marBottom w:val="0"/>
          <w:divBdr>
            <w:top w:val="none" w:sz="0" w:space="0" w:color="auto"/>
            <w:left w:val="none" w:sz="0" w:space="0" w:color="auto"/>
            <w:bottom w:val="none" w:sz="0" w:space="0" w:color="auto"/>
            <w:right w:val="none" w:sz="0" w:space="0" w:color="auto"/>
          </w:divBdr>
        </w:div>
      </w:divsChild>
    </w:div>
    <w:div w:id="134689816">
      <w:bodyDiv w:val="1"/>
      <w:marLeft w:val="0"/>
      <w:marRight w:val="0"/>
      <w:marTop w:val="0"/>
      <w:marBottom w:val="0"/>
      <w:divBdr>
        <w:top w:val="none" w:sz="0" w:space="0" w:color="auto"/>
        <w:left w:val="none" w:sz="0" w:space="0" w:color="auto"/>
        <w:bottom w:val="none" w:sz="0" w:space="0" w:color="auto"/>
        <w:right w:val="none" w:sz="0" w:space="0" w:color="auto"/>
      </w:divBdr>
    </w:div>
    <w:div w:id="167840380">
      <w:bodyDiv w:val="1"/>
      <w:marLeft w:val="0"/>
      <w:marRight w:val="0"/>
      <w:marTop w:val="0"/>
      <w:marBottom w:val="0"/>
      <w:divBdr>
        <w:top w:val="none" w:sz="0" w:space="0" w:color="auto"/>
        <w:left w:val="none" w:sz="0" w:space="0" w:color="auto"/>
        <w:bottom w:val="none" w:sz="0" w:space="0" w:color="auto"/>
        <w:right w:val="none" w:sz="0" w:space="0" w:color="auto"/>
      </w:divBdr>
    </w:div>
    <w:div w:id="171342186">
      <w:bodyDiv w:val="1"/>
      <w:marLeft w:val="0"/>
      <w:marRight w:val="0"/>
      <w:marTop w:val="0"/>
      <w:marBottom w:val="0"/>
      <w:divBdr>
        <w:top w:val="none" w:sz="0" w:space="0" w:color="auto"/>
        <w:left w:val="none" w:sz="0" w:space="0" w:color="auto"/>
        <w:bottom w:val="none" w:sz="0" w:space="0" w:color="auto"/>
        <w:right w:val="none" w:sz="0" w:space="0" w:color="auto"/>
      </w:divBdr>
    </w:div>
    <w:div w:id="185288250">
      <w:bodyDiv w:val="1"/>
      <w:marLeft w:val="0"/>
      <w:marRight w:val="0"/>
      <w:marTop w:val="0"/>
      <w:marBottom w:val="0"/>
      <w:divBdr>
        <w:top w:val="none" w:sz="0" w:space="0" w:color="auto"/>
        <w:left w:val="none" w:sz="0" w:space="0" w:color="auto"/>
        <w:bottom w:val="none" w:sz="0" w:space="0" w:color="auto"/>
        <w:right w:val="none" w:sz="0" w:space="0" w:color="auto"/>
      </w:divBdr>
    </w:div>
    <w:div w:id="187184471">
      <w:bodyDiv w:val="1"/>
      <w:marLeft w:val="0"/>
      <w:marRight w:val="0"/>
      <w:marTop w:val="0"/>
      <w:marBottom w:val="0"/>
      <w:divBdr>
        <w:top w:val="none" w:sz="0" w:space="0" w:color="auto"/>
        <w:left w:val="none" w:sz="0" w:space="0" w:color="auto"/>
        <w:bottom w:val="none" w:sz="0" w:space="0" w:color="auto"/>
        <w:right w:val="none" w:sz="0" w:space="0" w:color="auto"/>
      </w:divBdr>
    </w:div>
    <w:div w:id="190461513">
      <w:bodyDiv w:val="1"/>
      <w:marLeft w:val="0"/>
      <w:marRight w:val="0"/>
      <w:marTop w:val="0"/>
      <w:marBottom w:val="0"/>
      <w:divBdr>
        <w:top w:val="none" w:sz="0" w:space="0" w:color="auto"/>
        <w:left w:val="none" w:sz="0" w:space="0" w:color="auto"/>
        <w:bottom w:val="none" w:sz="0" w:space="0" w:color="auto"/>
        <w:right w:val="none" w:sz="0" w:space="0" w:color="auto"/>
      </w:divBdr>
    </w:div>
    <w:div w:id="191113701">
      <w:bodyDiv w:val="1"/>
      <w:marLeft w:val="0"/>
      <w:marRight w:val="0"/>
      <w:marTop w:val="0"/>
      <w:marBottom w:val="0"/>
      <w:divBdr>
        <w:top w:val="none" w:sz="0" w:space="0" w:color="auto"/>
        <w:left w:val="none" w:sz="0" w:space="0" w:color="auto"/>
        <w:bottom w:val="none" w:sz="0" w:space="0" w:color="auto"/>
        <w:right w:val="none" w:sz="0" w:space="0" w:color="auto"/>
      </w:divBdr>
    </w:div>
    <w:div w:id="200171717">
      <w:bodyDiv w:val="1"/>
      <w:marLeft w:val="0"/>
      <w:marRight w:val="0"/>
      <w:marTop w:val="0"/>
      <w:marBottom w:val="0"/>
      <w:divBdr>
        <w:top w:val="none" w:sz="0" w:space="0" w:color="auto"/>
        <w:left w:val="none" w:sz="0" w:space="0" w:color="auto"/>
        <w:bottom w:val="none" w:sz="0" w:space="0" w:color="auto"/>
        <w:right w:val="none" w:sz="0" w:space="0" w:color="auto"/>
      </w:divBdr>
    </w:div>
    <w:div w:id="214659966">
      <w:bodyDiv w:val="1"/>
      <w:marLeft w:val="0"/>
      <w:marRight w:val="0"/>
      <w:marTop w:val="0"/>
      <w:marBottom w:val="0"/>
      <w:divBdr>
        <w:top w:val="none" w:sz="0" w:space="0" w:color="auto"/>
        <w:left w:val="none" w:sz="0" w:space="0" w:color="auto"/>
        <w:bottom w:val="none" w:sz="0" w:space="0" w:color="auto"/>
        <w:right w:val="none" w:sz="0" w:space="0" w:color="auto"/>
      </w:divBdr>
      <w:divsChild>
        <w:div w:id="394472401">
          <w:marLeft w:val="547"/>
          <w:marRight w:val="0"/>
          <w:marTop w:val="0"/>
          <w:marBottom w:val="0"/>
          <w:divBdr>
            <w:top w:val="none" w:sz="0" w:space="0" w:color="auto"/>
            <w:left w:val="none" w:sz="0" w:space="0" w:color="auto"/>
            <w:bottom w:val="none" w:sz="0" w:space="0" w:color="auto"/>
            <w:right w:val="none" w:sz="0" w:space="0" w:color="auto"/>
          </w:divBdr>
        </w:div>
      </w:divsChild>
    </w:div>
    <w:div w:id="215704704">
      <w:bodyDiv w:val="1"/>
      <w:marLeft w:val="0"/>
      <w:marRight w:val="0"/>
      <w:marTop w:val="0"/>
      <w:marBottom w:val="0"/>
      <w:divBdr>
        <w:top w:val="none" w:sz="0" w:space="0" w:color="auto"/>
        <w:left w:val="none" w:sz="0" w:space="0" w:color="auto"/>
        <w:bottom w:val="none" w:sz="0" w:space="0" w:color="auto"/>
        <w:right w:val="none" w:sz="0" w:space="0" w:color="auto"/>
      </w:divBdr>
    </w:div>
    <w:div w:id="224805186">
      <w:bodyDiv w:val="1"/>
      <w:marLeft w:val="0"/>
      <w:marRight w:val="0"/>
      <w:marTop w:val="0"/>
      <w:marBottom w:val="0"/>
      <w:divBdr>
        <w:top w:val="none" w:sz="0" w:space="0" w:color="auto"/>
        <w:left w:val="none" w:sz="0" w:space="0" w:color="auto"/>
        <w:bottom w:val="none" w:sz="0" w:space="0" w:color="auto"/>
        <w:right w:val="none" w:sz="0" w:space="0" w:color="auto"/>
      </w:divBdr>
    </w:div>
    <w:div w:id="229006145">
      <w:bodyDiv w:val="1"/>
      <w:marLeft w:val="0"/>
      <w:marRight w:val="0"/>
      <w:marTop w:val="0"/>
      <w:marBottom w:val="0"/>
      <w:divBdr>
        <w:top w:val="none" w:sz="0" w:space="0" w:color="auto"/>
        <w:left w:val="none" w:sz="0" w:space="0" w:color="auto"/>
        <w:bottom w:val="none" w:sz="0" w:space="0" w:color="auto"/>
        <w:right w:val="none" w:sz="0" w:space="0" w:color="auto"/>
      </w:divBdr>
    </w:div>
    <w:div w:id="234627249">
      <w:bodyDiv w:val="1"/>
      <w:marLeft w:val="0"/>
      <w:marRight w:val="0"/>
      <w:marTop w:val="0"/>
      <w:marBottom w:val="0"/>
      <w:divBdr>
        <w:top w:val="none" w:sz="0" w:space="0" w:color="auto"/>
        <w:left w:val="none" w:sz="0" w:space="0" w:color="auto"/>
        <w:bottom w:val="none" w:sz="0" w:space="0" w:color="auto"/>
        <w:right w:val="none" w:sz="0" w:space="0" w:color="auto"/>
      </w:divBdr>
    </w:div>
    <w:div w:id="235826423">
      <w:bodyDiv w:val="1"/>
      <w:marLeft w:val="0"/>
      <w:marRight w:val="0"/>
      <w:marTop w:val="0"/>
      <w:marBottom w:val="0"/>
      <w:divBdr>
        <w:top w:val="none" w:sz="0" w:space="0" w:color="auto"/>
        <w:left w:val="none" w:sz="0" w:space="0" w:color="auto"/>
        <w:bottom w:val="none" w:sz="0" w:space="0" w:color="auto"/>
        <w:right w:val="none" w:sz="0" w:space="0" w:color="auto"/>
      </w:divBdr>
    </w:div>
    <w:div w:id="238250241">
      <w:bodyDiv w:val="1"/>
      <w:marLeft w:val="0"/>
      <w:marRight w:val="0"/>
      <w:marTop w:val="0"/>
      <w:marBottom w:val="0"/>
      <w:divBdr>
        <w:top w:val="none" w:sz="0" w:space="0" w:color="auto"/>
        <w:left w:val="none" w:sz="0" w:space="0" w:color="auto"/>
        <w:bottom w:val="none" w:sz="0" w:space="0" w:color="auto"/>
        <w:right w:val="none" w:sz="0" w:space="0" w:color="auto"/>
      </w:divBdr>
    </w:div>
    <w:div w:id="243301742">
      <w:bodyDiv w:val="1"/>
      <w:marLeft w:val="0"/>
      <w:marRight w:val="0"/>
      <w:marTop w:val="0"/>
      <w:marBottom w:val="0"/>
      <w:divBdr>
        <w:top w:val="none" w:sz="0" w:space="0" w:color="auto"/>
        <w:left w:val="none" w:sz="0" w:space="0" w:color="auto"/>
        <w:bottom w:val="none" w:sz="0" w:space="0" w:color="auto"/>
        <w:right w:val="none" w:sz="0" w:space="0" w:color="auto"/>
      </w:divBdr>
    </w:div>
    <w:div w:id="243883791">
      <w:bodyDiv w:val="1"/>
      <w:marLeft w:val="0"/>
      <w:marRight w:val="0"/>
      <w:marTop w:val="0"/>
      <w:marBottom w:val="0"/>
      <w:divBdr>
        <w:top w:val="none" w:sz="0" w:space="0" w:color="auto"/>
        <w:left w:val="none" w:sz="0" w:space="0" w:color="auto"/>
        <w:bottom w:val="none" w:sz="0" w:space="0" w:color="auto"/>
        <w:right w:val="none" w:sz="0" w:space="0" w:color="auto"/>
      </w:divBdr>
    </w:div>
    <w:div w:id="245313319">
      <w:bodyDiv w:val="1"/>
      <w:marLeft w:val="0"/>
      <w:marRight w:val="0"/>
      <w:marTop w:val="0"/>
      <w:marBottom w:val="0"/>
      <w:divBdr>
        <w:top w:val="none" w:sz="0" w:space="0" w:color="auto"/>
        <w:left w:val="none" w:sz="0" w:space="0" w:color="auto"/>
        <w:bottom w:val="none" w:sz="0" w:space="0" w:color="auto"/>
        <w:right w:val="none" w:sz="0" w:space="0" w:color="auto"/>
      </w:divBdr>
    </w:div>
    <w:div w:id="276835255">
      <w:bodyDiv w:val="1"/>
      <w:marLeft w:val="0"/>
      <w:marRight w:val="0"/>
      <w:marTop w:val="0"/>
      <w:marBottom w:val="0"/>
      <w:divBdr>
        <w:top w:val="none" w:sz="0" w:space="0" w:color="auto"/>
        <w:left w:val="none" w:sz="0" w:space="0" w:color="auto"/>
        <w:bottom w:val="none" w:sz="0" w:space="0" w:color="auto"/>
        <w:right w:val="none" w:sz="0" w:space="0" w:color="auto"/>
      </w:divBdr>
    </w:div>
    <w:div w:id="280109750">
      <w:bodyDiv w:val="1"/>
      <w:marLeft w:val="0"/>
      <w:marRight w:val="0"/>
      <w:marTop w:val="0"/>
      <w:marBottom w:val="0"/>
      <w:divBdr>
        <w:top w:val="none" w:sz="0" w:space="0" w:color="auto"/>
        <w:left w:val="none" w:sz="0" w:space="0" w:color="auto"/>
        <w:bottom w:val="none" w:sz="0" w:space="0" w:color="auto"/>
        <w:right w:val="none" w:sz="0" w:space="0" w:color="auto"/>
      </w:divBdr>
    </w:div>
    <w:div w:id="281426859">
      <w:bodyDiv w:val="1"/>
      <w:marLeft w:val="0"/>
      <w:marRight w:val="0"/>
      <w:marTop w:val="0"/>
      <w:marBottom w:val="0"/>
      <w:divBdr>
        <w:top w:val="none" w:sz="0" w:space="0" w:color="auto"/>
        <w:left w:val="none" w:sz="0" w:space="0" w:color="auto"/>
        <w:bottom w:val="none" w:sz="0" w:space="0" w:color="auto"/>
        <w:right w:val="none" w:sz="0" w:space="0" w:color="auto"/>
      </w:divBdr>
    </w:div>
    <w:div w:id="282662270">
      <w:bodyDiv w:val="1"/>
      <w:marLeft w:val="0"/>
      <w:marRight w:val="0"/>
      <w:marTop w:val="0"/>
      <w:marBottom w:val="0"/>
      <w:divBdr>
        <w:top w:val="none" w:sz="0" w:space="0" w:color="auto"/>
        <w:left w:val="none" w:sz="0" w:space="0" w:color="auto"/>
        <w:bottom w:val="none" w:sz="0" w:space="0" w:color="auto"/>
        <w:right w:val="none" w:sz="0" w:space="0" w:color="auto"/>
      </w:divBdr>
    </w:div>
    <w:div w:id="290135189">
      <w:bodyDiv w:val="1"/>
      <w:marLeft w:val="0"/>
      <w:marRight w:val="0"/>
      <w:marTop w:val="0"/>
      <w:marBottom w:val="0"/>
      <w:divBdr>
        <w:top w:val="none" w:sz="0" w:space="0" w:color="auto"/>
        <w:left w:val="none" w:sz="0" w:space="0" w:color="auto"/>
        <w:bottom w:val="none" w:sz="0" w:space="0" w:color="auto"/>
        <w:right w:val="none" w:sz="0" w:space="0" w:color="auto"/>
      </w:divBdr>
    </w:div>
    <w:div w:id="290525114">
      <w:bodyDiv w:val="1"/>
      <w:marLeft w:val="0"/>
      <w:marRight w:val="0"/>
      <w:marTop w:val="0"/>
      <w:marBottom w:val="0"/>
      <w:divBdr>
        <w:top w:val="none" w:sz="0" w:space="0" w:color="auto"/>
        <w:left w:val="none" w:sz="0" w:space="0" w:color="auto"/>
        <w:bottom w:val="none" w:sz="0" w:space="0" w:color="auto"/>
        <w:right w:val="none" w:sz="0" w:space="0" w:color="auto"/>
      </w:divBdr>
    </w:div>
    <w:div w:id="310642469">
      <w:bodyDiv w:val="1"/>
      <w:marLeft w:val="0"/>
      <w:marRight w:val="0"/>
      <w:marTop w:val="0"/>
      <w:marBottom w:val="0"/>
      <w:divBdr>
        <w:top w:val="none" w:sz="0" w:space="0" w:color="auto"/>
        <w:left w:val="none" w:sz="0" w:space="0" w:color="auto"/>
        <w:bottom w:val="none" w:sz="0" w:space="0" w:color="auto"/>
        <w:right w:val="none" w:sz="0" w:space="0" w:color="auto"/>
      </w:divBdr>
    </w:div>
    <w:div w:id="312759116">
      <w:bodyDiv w:val="1"/>
      <w:marLeft w:val="0"/>
      <w:marRight w:val="0"/>
      <w:marTop w:val="0"/>
      <w:marBottom w:val="0"/>
      <w:divBdr>
        <w:top w:val="none" w:sz="0" w:space="0" w:color="auto"/>
        <w:left w:val="none" w:sz="0" w:space="0" w:color="auto"/>
        <w:bottom w:val="none" w:sz="0" w:space="0" w:color="auto"/>
        <w:right w:val="none" w:sz="0" w:space="0" w:color="auto"/>
      </w:divBdr>
    </w:div>
    <w:div w:id="316300813">
      <w:bodyDiv w:val="1"/>
      <w:marLeft w:val="0"/>
      <w:marRight w:val="0"/>
      <w:marTop w:val="0"/>
      <w:marBottom w:val="0"/>
      <w:divBdr>
        <w:top w:val="none" w:sz="0" w:space="0" w:color="auto"/>
        <w:left w:val="none" w:sz="0" w:space="0" w:color="auto"/>
        <w:bottom w:val="none" w:sz="0" w:space="0" w:color="auto"/>
        <w:right w:val="none" w:sz="0" w:space="0" w:color="auto"/>
      </w:divBdr>
    </w:div>
    <w:div w:id="317659091">
      <w:bodyDiv w:val="1"/>
      <w:marLeft w:val="0"/>
      <w:marRight w:val="0"/>
      <w:marTop w:val="0"/>
      <w:marBottom w:val="0"/>
      <w:divBdr>
        <w:top w:val="none" w:sz="0" w:space="0" w:color="auto"/>
        <w:left w:val="none" w:sz="0" w:space="0" w:color="auto"/>
        <w:bottom w:val="none" w:sz="0" w:space="0" w:color="auto"/>
        <w:right w:val="none" w:sz="0" w:space="0" w:color="auto"/>
      </w:divBdr>
    </w:div>
    <w:div w:id="346247985">
      <w:bodyDiv w:val="1"/>
      <w:marLeft w:val="0"/>
      <w:marRight w:val="0"/>
      <w:marTop w:val="0"/>
      <w:marBottom w:val="0"/>
      <w:divBdr>
        <w:top w:val="none" w:sz="0" w:space="0" w:color="auto"/>
        <w:left w:val="none" w:sz="0" w:space="0" w:color="auto"/>
        <w:bottom w:val="none" w:sz="0" w:space="0" w:color="auto"/>
        <w:right w:val="none" w:sz="0" w:space="0" w:color="auto"/>
      </w:divBdr>
    </w:div>
    <w:div w:id="350840198">
      <w:bodyDiv w:val="1"/>
      <w:marLeft w:val="0"/>
      <w:marRight w:val="0"/>
      <w:marTop w:val="0"/>
      <w:marBottom w:val="0"/>
      <w:divBdr>
        <w:top w:val="none" w:sz="0" w:space="0" w:color="auto"/>
        <w:left w:val="none" w:sz="0" w:space="0" w:color="auto"/>
        <w:bottom w:val="none" w:sz="0" w:space="0" w:color="auto"/>
        <w:right w:val="none" w:sz="0" w:space="0" w:color="auto"/>
      </w:divBdr>
    </w:div>
    <w:div w:id="366566138">
      <w:bodyDiv w:val="1"/>
      <w:marLeft w:val="0"/>
      <w:marRight w:val="0"/>
      <w:marTop w:val="0"/>
      <w:marBottom w:val="0"/>
      <w:divBdr>
        <w:top w:val="none" w:sz="0" w:space="0" w:color="auto"/>
        <w:left w:val="none" w:sz="0" w:space="0" w:color="auto"/>
        <w:bottom w:val="none" w:sz="0" w:space="0" w:color="auto"/>
        <w:right w:val="none" w:sz="0" w:space="0" w:color="auto"/>
      </w:divBdr>
    </w:div>
    <w:div w:id="402148569">
      <w:bodyDiv w:val="1"/>
      <w:marLeft w:val="0"/>
      <w:marRight w:val="0"/>
      <w:marTop w:val="0"/>
      <w:marBottom w:val="0"/>
      <w:divBdr>
        <w:top w:val="none" w:sz="0" w:space="0" w:color="auto"/>
        <w:left w:val="none" w:sz="0" w:space="0" w:color="auto"/>
        <w:bottom w:val="none" w:sz="0" w:space="0" w:color="auto"/>
        <w:right w:val="none" w:sz="0" w:space="0" w:color="auto"/>
      </w:divBdr>
    </w:div>
    <w:div w:id="406808754">
      <w:bodyDiv w:val="1"/>
      <w:marLeft w:val="0"/>
      <w:marRight w:val="0"/>
      <w:marTop w:val="0"/>
      <w:marBottom w:val="0"/>
      <w:divBdr>
        <w:top w:val="none" w:sz="0" w:space="0" w:color="auto"/>
        <w:left w:val="none" w:sz="0" w:space="0" w:color="auto"/>
        <w:bottom w:val="none" w:sz="0" w:space="0" w:color="auto"/>
        <w:right w:val="none" w:sz="0" w:space="0" w:color="auto"/>
      </w:divBdr>
    </w:div>
    <w:div w:id="420761468">
      <w:bodyDiv w:val="1"/>
      <w:marLeft w:val="0"/>
      <w:marRight w:val="0"/>
      <w:marTop w:val="0"/>
      <w:marBottom w:val="0"/>
      <w:divBdr>
        <w:top w:val="none" w:sz="0" w:space="0" w:color="auto"/>
        <w:left w:val="none" w:sz="0" w:space="0" w:color="auto"/>
        <w:bottom w:val="none" w:sz="0" w:space="0" w:color="auto"/>
        <w:right w:val="none" w:sz="0" w:space="0" w:color="auto"/>
      </w:divBdr>
    </w:div>
    <w:div w:id="424960159">
      <w:bodyDiv w:val="1"/>
      <w:marLeft w:val="0"/>
      <w:marRight w:val="0"/>
      <w:marTop w:val="0"/>
      <w:marBottom w:val="0"/>
      <w:divBdr>
        <w:top w:val="none" w:sz="0" w:space="0" w:color="auto"/>
        <w:left w:val="none" w:sz="0" w:space="0" w:color="auto"/>
        <w:bottom w:val="none" w:sz="0" w:space="0" w:color="auto"/>
        <w:right w:val="none" w:sz="0" w:space="0" w:color="auto"/>
      </w:divBdr>
    </w:div>
    <w:div w:id="429857682">
      <w:bodyDiv w:val="1"/>
      <w:marLeft w:val="0"/>
      <w:marRight w:val="0"/>
      <w:marTop w:val="0"/>
      <w:marBottom w:val="0"/>
      <w:divBdr>
        <w:top w:val="none" w:sz="0" w:space="0" w:color="auto"/>
        <w:left w:val="none" w:sz="0" w:space="0" w:color="auto"/>
        <w:bottom w:val="none" w:sz="0" w:space="0" w:color="auto"/>
        <w:right w:val="none" w:sz="0" w:space="0" w:color="auto"/>
      </w:divBdr>
    </w:div>
    <w:div w:id="446582326">
      <w:bodyDiv w:val="1"/>
      <w:marLeft w:val="0"/>
      <w:marRight w:val="0"/>
      <w:marTop w:val="0"/>
      <w:marBottom w:val="0"/>
      <w:divBdr>
        <w:top w:val="none" w:sz="0" w:space="0" w:color="auto"/>
        <w:left w:val="none" w:sz="0" w:space="0" w:color="auto"/>
        <w:bottom w:val="none" w:sz="0" w:space="0" w:color="auto"/>
        <w:right w:val="none" w:sz="0" w:space="0" w:color="auto"/>
      </w:divBdr>
    </w:div>
    <w:div w:id="451284178">
      <w:bodyDiv w:val="1"/>
      <w:marLeft w:val="0"/>
      <w:marRight w:val="0"/>
      <w:marTop w:val="0"/>
      <w:marBottom w:val="0"/>
      <w:divBdr>
        <w:top w:val="none" w:sz="0" w:space="0" w:color="auto"/>
        <w:left w:val="none" w:sz="0" w:space="0" w:color="auto"/>
        <w:bottom w:val="none" w:sz="0" w:space="0" w:color="auto"/>
        <w:right w:val="none" w:sz="0" w:space="0" w:color="auto"/>
      </w:divBdr>
    </w:div>
    <w:div w:id="451755418">
      <w:bodyDiv w:val="1"/>
      <w:marLeft w:val="0"/>
      <w:marRight w:val="0"/>
      <w:marTop w:val="0"/>
      <w:marBottom w:val="0"/>
      <w:divBdr>
        <w:top w:val="none" w:sz="0" w:space="0" w:color="auto"/>
        <w:left w:val="none" w:sz="0" w:space="0" w:color="auto"/>
        <w:bottom w:val="none" w:sz="0" w:space="0" w:color="auto"/>
        <w:right w:val="none" w:sz="0" w:space="0" w:color="auto"/>
      </w:divBdr>
    </w:div>
    <w:div w:id="452944513">
      <w:bodyDiv w:val="1"/>
      <w:marLeft w:val="0"/>
      <w:marRight w:val="0"/>
      <w:marTop w:val="0"/>
      <w:marBottom w:val="0"/>
      <w:divBdr>
        <w:top w:val="none" w:sz="0" w:space="0" w:color="auto"/>
        <w:left w:val="none" w:sz="0" w:space="0" w:color="auto"/>
        <w:bottom w:val="none" w:sz="0" w:space="0" w:color="auto"/>
        <w:right w:val="none" w:sz="0" w:space="0" w:color="auto"/>
      </w:divBdr>
    </w:div>
    <w:div w:id="459037001">
      <w:bodyDiv w:val="1"/>
      <w:marLeft w:val="0"/>
      <w:marRight w:val="0"/>
      <w:marTop w:val="0"/>
      <w:marBottom w:val="0"/>
      <w:divBdr>
        <w:top w:val="none" w:sz="0" w:space="0" w:color="auto"/>
        <w:left w:val="none" w:sz="0" w:space="0" w:color="auto"/>
        <w:bottom w:val="none" w:sz="0" w:space="0" w:color="auto"/>
        <w:right w:val="none" w:sz="0" w:space="0" w:color="auto"/>
      </w:divBdr>
    </w:div>
    <w:div w:id="460001816">
      <w:bodyDiv w:val="1"/>
      <w:marLeft w:val="0"/>
      <w:marRight w:val="0"/>
      <w:marTop w:val="0"/>
      <w:marBottom w:val="0"/>
      <w:divBdr>
        <w:top w:val="none" w:sz="0" w:space="0" w:color="auto"/>
        <w:left w:val="none" w:sz="0" w:space="0" w:color="auto"/>
        <w:bottom w:val="none" w:sz="0" w:space="0" w:color="auto"/>
        <w:right w:val="none" w:sz="0" w:space="0" w:color="auto"/>
      </w:divBdr>
    </w:div>
    <w:div w:id="467600004">
      <w:bodyDiv w:val="1"/>
      <w:marLeft w:val="0"/>
      <w:marRight w:val="0"/>
      <w:marTop w:val="0"/>
      <w:marBottom w:val="0"/>
      <w:divBdr>
        <w:top w:val="none" w:sz="0" w:space="0" w:color="auto"/>
        <w:left w:val="none" w:sz="0" w:space="0" w:color="auto"/>
        <w:bottom w:val="none" w:sz="0" w:space="0" w:color="auto"/>
        <w:right w:val="none" w:sz="0" w:space="0" w:color="auto"/>
      </w:divBdr>
    </w:div>
    <w:div w:id="468787421">
      <w:bodyDiv w:val="1"/>
      <w:marLeft w:val="0"/>
      <w:marRight w:val="0"/>
      <w:marTop w:val="0"/>
      <w:marBottom w:val="0"/>
      <w:divBdr>
        <w:top w:val="none" w:sz="0" w:space="0" w:color="auto"/>
        <w:left w:val="none" w:sz="0" w:space="0" w:color="auto"/>
        <w:bottom w:val="none" w:sz="0" w:space="0" w:color="auto"/>
        <w:right w:val="none" w:sz="0" w:space="0" w:color="auto"/>
      </w:divBdr>
      <w:divsChild>
        <w:div w:id="1807697862">
          <w:marLeft w:val="547"/>
          <w:marRight w:val="0"/>
          <w:marTop w:val="0"/>
          <w:marBottom w:val="0"/>
          <w:divBdr>
            <w:top w:val="none" w:sz="0" w:space="0" w:color="auto"/>
            <w:left w:val="none" w:sz="0" w:space="0" w:color="auto"/>
            <w:bottom w:val="none" w:sz="0" w:space="0" w:color="auto"/>
            <w:right w:val="none" w:sz="0" w:space="0" w:color="auto"/>
          </w:divBdr>
        </w:div>
      </w:divsChild>
    </w:div>
    <w:div w:id="469709170">
      <w:bodyDiv w:val="1"/>
      <w:marLeft w:val="0"/>
      <w:marRight w:val="0"/>
      <w:marTop w:val="0"/>
      <w:marBottom w:val="0"/>
      <w:divBdr>
        <w:top w:val="none" w:sz="0" w:space="0" w:color="auto"/>
        <w:left w:val="none" w:sz="0" w:space="0" w:color="auto"/>
        <w:bottom w:val="none" w:sz="0" w:space="0" w:color="auto"/>
        <w:right w:val="none" w:sz="0" w:space="0" w:color="auto"/>
      </w:divBdr>
    </w:div>
    <w:div w:id="473177723">
      <w:bodyDiv w:val="1"/>
      <w:marLeft w:val="0"/>
      <w:marRight w:val="0"/>
      <w:marTop w:val="0"/>
      <w:marBottom w:val="0"/>
      <w:divBdr>
        <w:top w:val="none" w:sz="0" w:space="0" w:color="auto"/>
        <w:left w:val="none" w:sz="0" w:space="0" w:color="auto"/>
        <w:bottom w:val="none" w:sz="0" w:space="0" w:color="auto"/>
        <w:right w:val="none" w:sz="0" w:space="0" w:color="auto"/>
      </w:divBdr>
    </w:div>
    <w:div w:id="483162527">
      <w:bodyDiv w:val="1"/>
      <w:marLeft w:val="0"/>
      <w:marRight w:val="0"/>
      <w:marTop w:val="0"/>
      <w:marBottom w:val="0"/>
      <w:divBdr>
        <w:top w:val="none" w:sz="0" w:space="0" w:color="auto"/>
        <w:left w:val="none" w:sz="0" w:space="0" w:color="auto"/>
        <w:bottom w:val="none" w:sz="0" w:space="0" w:color="auto"/>
        <w:right w:val="none" w:sz="0" w:space="0" w:color="auto"/>
      </w:divBdr>
    </w:div>
    <w:div w:id="491680249">
      <w:bodyDiv w:val="1"/>
      <w:marLeft w:val="0"/>
      <w:marRight w:val="0"/>
      <w:marTop w:val="0"/>
      <w:marBottom w:val="0"/>
      <w:divBdr>
        <w:top w:val="none" w:sz="0" w:space="0" w:color="auto"/>
        <w:left w:val="none" w:sz="0" w:space="0" w:color="auto"/>
        <w:bottom w:val="none" w:sz="0" w:space="0" w:color="auto"/>
        <w:right w:val="none" w:sz="0" w:space="0" w:color="auto"/>
      </w:divBdr>
    </w:div>
    <w:div w:id="493911530">
      <w:bodyDiv w:val="1"/>
      <w:marLeft w:val="0"/>
      <w:marRight w:val="0"/>
      <w:marTop w:val="0"/>
      <w:marBottom w:val="0"/>
      <w:divBdr>
        <w:top w:val="none" w:sz="0" w:space="0" w:color="auto"/>
        <w:left w:val="none" w:sz="0" w:space="0" w:color="auto"/>
        <w:bottom w:val="none" w:sz="0" w:space="0" w:color="auto"/>
        <w:right w:val="none" w:sz="0" w:space="0" w:color="auto"/>
      </w:divBdr>
    </w:div>
    <w:div w:id="504978477">
      <w:bodyDiv w:val="1"/>
      <w:marLeft w:val="0"/>
      <w:marRight w:val="0"/>
      <w:marTop w:val="0"/>
      <w:marBottom w:val="0"/>
      <w:divBdr>
        <w:top w:val="none" w:sz="0" w:space="0" w:color="auto"/>
        <w:left w:val="none" w:sz="0" w:space="0" w:color="auto"/>
        <w:bottom w:val="none" w:sz="0" w:space="0" w:color="auto"/>
        <w:right w:val="none" w:sz="0" w:space="0" w:color="auto"/>
      </w:divBdr>
    </w:div>
    <w:div w:id="507670107">
      <w:bodyDiv w:val="1"/>
      <w:marLeft w:val="0"/>
      <w:marRight w:val="0"/>
      <w:marTop w:val="0"/>
      <w:marBottom w:val="0"/>
      <w:divBdr>
        <w:top w:val="none" w:sz="0" w:space="0" w:color="auto"/>
        <w:left w:val="none" w:sz="0" w:space="0" w:color="auto"/>
        <w:bottom w:val="none" w:sz="0" w:space="0" w:color="auto"/>
        <w:right w:val="none" w:sz="0" w:space="0" w:color="auto"/>
      </w:divBdr>
    </w:div>
    <w:div w:id="518786065">
      <w:bodyDiv w:val="1"/>
      <w:marLeft w:val="0"/>
      <w:marRight w:val="0"/>
      <w:marTop w:val="0"/>
      <w:marBottom w:val="0"/>
      <w:divBdr>
        <w:top w:val="none" w:sz="0" w:space="0" w:color="auto"/>
        <w:left w:val="none" w:sz="0" w:space="0" w:color="auto"/>
        <w:bottom w:val="none" w:sz="0" w:space="0" w:color="auto"/>
        <w:right w:val="none" w:sz="0" w:space="0" w:color="auto"/>
      </w:divBdr>
    </w:div>
    <w:div w:id="526256275">
      <w:bodyDiv w:val="1"/>
      <w:marLeft w:val="0"/>
      <w:marRight w:val="0"/>
      <w:marTop w:val="0"/>
      <w:marBottom w:val="0"/>
      <w:divBdr>
        <w:top w:val="none" w:sz="0" w:space="0" w:color="auto"/>
        <w:left w:val="none" w:sz="0" w:space="0" w:color="auto"/>
        <w:bottom w:val="none" w:sz="0" w:space="0" w:color="auto"/>
        <w:right w:val="none" w:sz="0" w:space="0" w:color="auto"/>
      </w:divBdr>
    </w:div>
    <w:div w:id="540365240">
      <w:bodyDiv w:val="1"/>
      <w:marLeft w:val="0"/>
      <w:marRight w:val="0"/>
      <w:marTop w:val="0"/>
      <w:marBottom w:val="0"/>
      <w:divBdr>
        <w:top w:val="none" w:sz="0" w:space="0" w:color="auto"/>
        <w:left w:val="none" w:sz="0" w:space="0" w:color="auto"/>
        <w:bottom w:val="none" w:sz="0" w:space="0" w:color="auto"/>
        <w:right w:val="none" w:sz="0" w:space="0" w:color="auto"/>
      </w:divBdr>
    </w:div>
    <w:div w:id="545223383">
      <w:bodyDiv w:val="1"/>
      <w:marLeft w:val="0"/>
      <w:marRight w:val="0"/>
      <w:marTop w:val="0"/>
      <w:marBottom w:val="0"/>
      <w:divBdr>
        <w:top w:val="none" w:sz="0" w:space="0" w:color="auto"/>
        <w:left w:val="none" w:sz="0" w:space="0" w:color="auto"/>
        <w:bottom w:val="none" w:sz="0" w:space="0" w:color="auto"/>
        <w:right w:val="none" w:sz="0" w:space="0" w:color="auto"/>
      </w:divBdr>
    </w:div>
    <w:div w:id="547448153">
      <w:bodyDiv w:val="1"/>
      <w:marLeft w:val="0"/>
      <w:marRight w:val="0"/>
      <w:marTop w:val="0"/>
      <w:marBottom w:val="0"/>
      <w:divBdr>
        <w:top w:val="none" w:sz="0" w:space="0" w:color="auto"/>
        <w:left w:val="none" w:sz="0" w:space="0" w:color="auto"/>
        <w:bottom w:val="none" w:sz="0" w:space="0" w:color="auto"/>
        <w:right w:val="none" w:sz="0" w:space="0" w:color="auto"/>
      </w:divBdr>
    </w:div>
    <w:div w:id="564225551">
      <w:bodyDiv w:val="1"/>
      <w:marLeft w:val="0"/>
      <w:marRight w:val="0"/>
      <w:marTop w:val="0"/>
      <w:marBottom w:val="0"/>
      <w:divBdr>
        <w:top w:val="none" w:sz="0" w:space="0" w:color="auto"/>
        <w:left w:val="none" w:sz="0" w:space="0" w:color="auto"/>
        <w:bottom w:val="none" w:sz="0" w:space="0" w:color="auto"/>
        <w:right w:val="none" w:sz="0" w:space="0" w:color="auto"/>
      </w:divBdr>
    </w:div>
    <w:div w:id="582102497">
      <w:bodyDiv w:val="1"/>
      <w:marLeft w:val="0"/>
      <w:marRight w:val="0"/>
      <w:marTop w:val="0"/>
      <w:marBottom w:val="0"/>
      <w:divBdr>
        <w:top w:val="none" w:sz="0" w:space="0" w:color="auto"/>
        <w:left w:val="none" w:sz="0" w:space="0" w:color="auto"/>
        <w:bottom w:val="none" w:sz="0" w:space="0" w:color="auto"/>
        <w:right w:val="none" w:sz="0" w:space="0" w:color="auto"/>
      </w:divBdr>
    </w:div>
    <w:div w:id="584189863">
      <w:bodyDiv w:val="1"/>
      <w:marLeft w:val="0"/>
      <w:marRight w:val="0"/>
      <w:marTop w:val="0"/>
      <w:marBottom w:val="0"/>
      <w:divBdr>
        <w:top w:val="none" w:sz="0" w:space="0" w:color="auto"/>
        <w:left w:val="none" w:sz="0" w:space="0" w:color="auto"/>
        <w:bottom w:val="none" w:sz="0" w:space="0" w:color="auto"/>
        <w:right w:val="none" w:sz="0" w:space="0" w:color="auto"/>
      </w:divBdr>
    </w:div>
    <w:div w:id="588467779">
      <w:bodyDiv w:val="1"/>
      <w:marLeft w:val="0"/>
      <w:marRight w:val="0"/>
      <w:marTop w:val="0"/>
      <w:marBottom w:val="0"/>
      <w:divBdr>
        <w:top w:val="none" w:sz="0" w:space="0" w:color="auto"/>
        <w:left w:val="none" w:sz="0" w:space="0" w:color="auto"/>
        <w:bottom w:val="none" w:sz="0" w:space="0" w:color="auto"/>
        <w:right w:val="none" w:sz="0" w:space="0" w:color="auto"/>
      </w:divBdr>
    </w:div>
    <w:div w:id="591624982">
      <w:bodyDiv w:val="1"/>
      <w:marLeft w:val="0"/>
      <w:marRight w:val="0"/>
      <w:marTop w:val="0"/>
      <w:marBottom w:val="0"/>
      <w:divBdr>
        <w:top w:val="none" w:sz="0" w:space="0" w:color="auto"/>
        <w:left w:val="none" w:sz="0" w:space="0" w:color="auto"/>
        <w:bottom w:val="none" w:sz="0" w:space="0" w:color="auto"/>
        <w:right w:val="none" w:sz="0" w:space="0" w:color="auto"/>
      </w:divBdr>
    </w:div>
    <w:div w:id="603809896">
      <w:bodyDiv w:val="1"/>
      <w:marLeft w:val="0"/>
      <w:marRight w:val="0"/>
      <w:marTop w:val="0"/>
      <w:marBottom w:val="0"/>
      <w:divBdr>
        <w:top w:val="none" w:sz="0" w:space="0" w:color="auto"/>
        <w:left w:val="none" w:sz="0" w:space="0" w:color="auto"/>
        <w:bottom w:val="none" w:sz="0" w:space="0" w:color="auto"/>
        <w:right w:val="none" w:sz="0" w:space="0" w:color="auto"/>
      </w:divBdr>
    </w:div>
    <w:div w:id="604507791">
      <w:bodyDiv w:val="1"/>
      <w:marLeft w:val="0"/>
      <w:marRight w:val="0"/>
      <w:marTop w:val="0"/>
      <w:marBottom w:val="0"/>
      <w:divBdr>
        <w:top w:val="none" w:sz="0" w:space="0" w:color="auto"/>
        <w:left w:val="none" w:sz="0" w:space="0" w:color="auto"/>
        <w:bottom w:val="none" w:sz="0" w:space="0" w:color="auto"/>
        <w:right w:val="none" w:sz="0" w:space="0" w:color="auto"/>
      </w:divBdr>
    </w:div>
    <w:div w:id="608662743">
      <w:bodyDiv w:val="1"/>
      <w:marLeft w:val="0"/>
      <w:marRight w:val="0"/>
      <w:marTop w:val="0"/>
      <w:marBottom w:val="0"/>
      <w:divBdr>
        <w:top w:val="none" w:sz="0" w:space="0" w:color="auto"/>
        <w:left w:val="none" w:sz="0" w:space="0" w:color="auto"/>
        <w:bottom w:val="none" w:sz="0" w:space="0" w:color="auto"/>
        <w:right w:val="none" w:sz="0" w:space="0" w:color="auto"/>
      </w:divBdr>
    </w:div>
    <w:div w:id="616134594">
      <w:bodyDiv w:val="1"/>
      <w:marLeft w:val="0"/>
      <w:marRight w:val="0"/>
      <w:marTop w:val="0"/>
      <w:marBottom w:val="0"/>
      <w:divBdr>
        <w:top w:val="none" w:sz="0" w:space="0" w:color="auto"/>
        <w:left w:val="none" w:sz="0" w:space="0" w:color="auto"/>
        <w:bottom w:val="none" w:sz="0" w:space="0" w:color="auto"/>
        <w:right w:val="none" w:sz="0" w:space="0" w:color="auto"/>
      </w:divBdr>
    </w:div>
    <w:div w:id="618685730">
      <w:bodyDiv w:val="1"/>
      <w:marLeft w:val="0"/>
      <w:marRight w:val="0"/>
      <w:marTop w:val="0"/>
      <w:marBottom w:val="0"/>
      <w:divBdr>
        <w:top w:val="none" w:sz="0" w:space="0" w:color="auto"/>
        <w:left w:val="none" w:sz="0" w:space="0" w:color="auto"/>
        <w:bottom w:val="none" w:sz="0" w:space="0" w:color="auto"/>
        <w:right w:val="none" w:sz="0" w:space="0" w:color="auto"/>
      </w:divBdr>
    </w:div>
    <w:div w:id="619412854">
      <w:bodyDiv w:val="1"/>
      <w:marLeft w:val="0"/>
      <w:marRight w:val="0"/>
      <w:marTop w:val="0"/>
      <w:marBottom w:val="0"/>
      <w:divBdr>
        <w:top w:val="none" w:sz="0" w:space="0" w:color="auto"/>
        <w:left w:val="none" w:sz="0" w:space="0" w:color="auto"/>
        <w:bottom w:val="none" w:sz="0" w:space="0" w:color="auto"/>
        <w:right w:val="none" w:sz="0" w:space="0" w:color="auto"/>
      </w:divBdr>
    </w:div>
    <w:div w:id="623123461">
      <w:bodyDiv w:val="1"/>
      <w:marLeft w:val="0"/>
      <w:marRight w:val="0"/>
      <w:marTop w:val="0"/>
      <w:marBottom w:val="0"/>
      <w:divBdr>
        <w:top w:val="none" w:sz="0" w:space="0" w:color="auto"/>
        <w:left w:val="none" w:sz="0" w:space="0" w:color="auto"/>
        <w:bottom w:val="none" w:sz="0" w:space="0" w:color="auto"/>
        <w:right w:val="none" w:sz="0" w:space="0" w:color="auto"/>
      </w:divBdr>
    </w:div>
    <w:div w:id="631252313">
      <w:bodyDiv w:val="1"/>
      <w:marLeft w:val="0"/>
      <w:marRight w:val="0"/>
      <w:marTop w:val="0"/>
      <w:marBottom w:val="0"/>
      <w:divBdr>
        <w:top w:val="none" w:sz="0" w:space="0" w:color="auto"/>
        <w:left w:val="none" w:sz="0" w:space="0" w:color="auto"/>
        <w:bottom w:val="none" w:sz="0" w:space="0" w:color="auto"/>
        <w:right w:val="none" w:sz="0" w:space="0" w:color="auto"/>
      </w:divBdr>
    </w:div>
    <w:div w:id="635336268">
      <w:bodyDiv w:val="1"/>
      <w:marLeft w:val="0"/>
      <w:marRight w:val="0"/>
      <w:marTop w:val="0"/>
      <w:marBottom w:val="0"/>
      <w:divBdr>
        <w:top w:val="none" w:sz="0" w:space="0" w:color="auto"/>
        <w:left w:val="none" w:sz="0" w:space="0" w:color="auto"/>
        <w:bottom w:val="none" w:sz="0" w:space="0" w:color="auto"/>
        <w:right w:val="none" w:sz="0" w:space="0" w:color="auto"/>
      </w:divBdr>
    </w:div>
    <w:div w:id="653727197">
      <w:bodyDiv w:val="1"/>
      <w:marLeft w:val="0"/>
      <w:marRight w:val="0"/>
      <w:marTop w:val="0"/>
      <w:marBottom w:val="0"/>
      <w:divBdr>
        <w:top w:val="none" w:sz="0" w:space="0" w:color="auto"/>
        <w:left w:val="none" w:sz="0" w:space="0" w:color="auto"/>
        <w:bottom w:val="none" w:sz="0" w:space="0" w:color="auto"/>
        <w:right w:val="none" w:sz="0" w:space="0" w:color="auto"/>
      </w:divBdr>
    </w:div>
    <w:div w:id="675380941">
      <w:bodyDiv w:val="1"/>
      <w:marLeft w:val="0"/>
      <w:marRight w:val="0"/>
      <w:marTop w:val="0"/>
      <w:marBottom w:val="0"/>
      <w:divBdr>
        <w:top w:val="none" w:sz="0" w:space="0" w:color="auto"/>
        <w:left w:val="none" w:sz="0" w:space="0" w:color="auto"/>
        <w:bottom w:val="none" w:sz="0" w:space="0" w:color="auto"/>
        <w:right w:val="none" w:sz="0" w:space="0" w:color="auto"/>
      </w:divBdr>
    </w:div>
    <w:div w:id="684478305">
      <w:bodyDiv w:val="1"/>
      <w:marLeft w:val="0"/>
      <w:marRight w:val="0"/>
      <w:marTop w:val="0"/>
      <w:marBottom w:val="0"/>
      <w:divBdr>
        <w:top w:val="none" w:sz="0" w:space="0" w:color="auto"/>
        <w:left w:val="none" w:sz="0" w:space="0" w:color="auto"/>
        <w:bottom w:val="none" w:sz="0" w:space="0" w:color="auto"/>
        <w:right w:val="none" w:sz="0" w:space="0" w:color="auto"/>
      </w:divBdr>
    </w:div>
    <w:div w:id="686642298">
      <w:bodyDiv w:val="1"/>
      <w:marLeft w:val="0"/>
      <w:marRight w:val="0"/>
      <w:marTop w:val="0"/>
      <w:marBottom w:val="0"/>
      <w:divBdr>
        <w:top w:val="none" w:sz="0" w:space="0" w:color="auto"/>
        <w:left w:val="none" w:sz="0" w:space="0" w:color="auto"/>
        <w:bottom w:val="none" w:sz="0" w:space="0" w:color="auto"/>
        <w:right w:val="none" w:sz="0" w:space="0" w:color="auto"/>
      </w:divBdr>
    </w:div>
    <w:div w:id="691035166">
      <w:bodyDiv w:val="1"/>
      <w:marLeft w:val="0"/>
      <w:marRight w:val="0"/>
      <w:marTop w:val="0"/>
      <w:marBottom w:val="0"/>
      <w:divBdr>
        <w:top w:val="none" w:sz="0" w:space="0" w:color="auto"/>
        <w:left w:val="none" w:sz="0" w:space="0" w:color="auto"/>
        <w:bottom w:val="none" w:sz="0" w:space="0" w:color="auto"/>
        <w:right w:val="none" w:sz="0" w:space="0" w:color="auto"/>
      </w:divBdr>
    </w:div>
    <w:div w:id="723797310">
      <w:bodyDiv w:val="1"/>
      <w:marLeft w:val="0"/>
      <w:marRight w:val="0"/>
      <w:marTop w:val="0"/>
      <w:marBottom w:val="0"/>
      <w:divBdr>
        <w:top w:val="none" w:sz="0" w:space="0" w:color="auto"/>
        <w:left w:val="none" w:sz="0" w:space="0" w:color="auto"/>
        <w:bottom w:val="none" w:sz="0" w:space="0" w:color="auto"/>
        <w:right w:val="none" w:sz="0" w:space="0" w:color="auto"/>
      </w:divBdr>
    </w:div>
    <w:div w:id="725109149">
      <w:bodyDiv w:val="1"/>
      <w:marLeft w:val="0"/>
      <w:marRight w:val="0"/>
      <w:marTop w:val="0"/>
      <w:marBottom w:val="0"/>
      <w:divBdr>
        <w:top w:val="none" w:sz="0" w:space="0" w:color="auto"/>
        <w:left w:val="none" w:sz="0" w:space="0" w:color="auto"/>
        <w:bottom w:val="none" w:sz="0" w:space="0" w:color="auto"/>
        <w:right w:val="none" w:sz="0" w:space="0" w:color="auto"/>
      </w:divBdr>
    </w:div>
    <w:div w:id="732971888">
      <w:bodyDiv w:val="1"/>
      <w:marLeft w:val="0"/>
      <w:marRight w:val="0"/>
      <w:marTop w:val="0"/>
      <w:marBottom w:val="0"/>
      <w:divBdr>
        <w:top w:val="none" w:sz="0" w:space="0" w:color="auto"/>
        <w:left w:val="none" w:sz="0" w:space="0" w:color="auto"/>
        <w:bottom w:val="none" w:sz="0" w:space="0" w:color="auto"/>
        <w:right w:val="none" w:sz="0" w:space="0" w:color="auto"/>
      </w:divBdr>
    </w:div>
    <w:div w:id="744693409">
      <w:bodyDiv w:val="1"/>
      <w:marLeft w:val="0"/>
      <w:marRight w:val="0"/>
      <w:marTop w:val="0"/>
      <w:marBottom w:val="0"/>
      <w:divBdr>
        <w:top w:val="none" w:sz="0" w:space="0" w:color="auto"/>
        <w:left w:val="none" w:sz="0" w:space="0" w:color="auto"/>
        <w:bottom w:val="none" w:sz="0" w:space="0" w:color="auto"/>
        <w:right w:val="none" w:sz="0" w:space="0" w:color="auto"/>
      </w:divBdr>
    </w:div>
    <w:div w:id="759180887">
      <w:bodyDiv w:val="1"/>
      <w:marLeft w:val="0"/>
      <w:marRight w:val="0"/>
      <w:marTop w:val="0"/>
      <w:marBottom w:val="0"/>
      <w:divBdr>
        <w:top w:val="none" w:sz="0" w:space="0" w:color="auto"/>
        <w:left w:val="none" w:sz="0" w:space="0" w:color="auto"/>
        <w:bottom w:val="none" w:sz="0" w:space="0" w:color="auto"/>
        <w:right w:val="none" w:sz="0" w:space="0" w:color="auto"/>
      </w:divBdr>
    </w:div>
    <w:div w:id="769398491">
      <w:bodyDiv w:val="1"/>
      <w:marLeft w:val="0"/>
      <w:marRight w:val="0"/>
      <w:marTop w:val="0"/>
      <w:marBottom w:val="0"/>
      <w:divBdr>
        <w:top w:val="none" w:sz="0" w:space="0" w:color="auto"/>
        <w:left w:val="none" w:sz="0" w:space="0" w:color="auto"/>
        <w:bottom w:val="none" w:sz="0" w:space="0" w:color="auto"/>
        <w:right w:val="none" w:sz="0" w:space="0" w:color="auto"/>
      </w:divBdr>
    </w:div>
    <w:div w:id="776676375">
      <w:bodyDiv w:val="1"/>
      <w:marLeft w:val="0"/>
      <w:marRight w:val="0"/>
      <w:marTop w:val="0"/>
      <w:marBottom w:val="0"/>
      <w:divBdr>
        <w:top w:val="none" w:sz="0" w:space="0" w:color="auto"/>
        <w:left w:val="none" w:sz="0" w:space="0" w:color="auto"/>
        <w:bottom w:val="none" w:sz="0" w:space="0" w:color="auto"/>
        <w:right w:val="none" w:sz="0" w:space="0" w:color="auto"/>
      </w:divBdr>
    </w:div>
    <w:div w:id="781145130">
      <w:bodyDiv w:val="1"/>
      <w:marLeft w:val="0"/>
      <w:marRight w:val="0"/>
      <w:marTop w:val="0"/>
      <w:marBottom w:val="0"/>
      <w:divBdr>
        <w:top w:val="none" w:sz="0" w:space="0" w:color="auto"/>
        <w:left w:val="none" w:sz="0" w:space="0" w:color="auto"/>
        <w:bottom w:val="none" w:sz="0" w:space="0" w:color="auto"/>
        <w:right w:val="none" w:sz="0" w:space="0" w:color="auto"/>
      </w:divBdr>
    </w:div>
    <w:div w:id="781462857">
      <w:bodyDiv w:val="1"/>
      <w:marLeft w:val="0"/>
      <w:marRight w:val="0"/>
      <w:marTop w:val="0"/>
      <w:marBottom w:val="0"/>
      <w:divBdr>
        <w:top w:val="none" w:sz="0" w:space="0" w:color="auto"/>
        <w:left w:val="none" w:sz="0" w:space="0" w:color="auto"/>
        <w:bottom w:val="none" w:sz="0" w:space="0" w:color="auto"/>
        <w:right w:val="none" w:sz="0" w:space="0" w:color="auto"/>
      </w:divBdr>
    </w:div>
    <w:div w:id="792285521">
      <w:bodyDiv w:val="1"/>
      <w:marLeft w:val="0"/>
      <w:marRight w:val="0"/>
      <w:marTop w:val="0"/>
      <w:marBottom w:val="0"/>
      <w:divBdr>
        <w:top w:val="none" w:sz="0" w:space="0" w:color="auto"/>
        <w:left w:val="none" w:sz="0" w:space="0" w:color="auto"/>
        <w:bottom w:val="none" w:sz="0" w:space="0" w:color="auto"/>
        <w:right w:val="none" w:sz="0" w:space="0" w:color="auto"/>
      </w:divBdr>
    </w:div>
    <w:div w:id="795639467">
      <w:bodyDiv w:val="1"/>
      <w:marLeft w:val="0"/>
      <w:marRight w:val="0"/>
      <w:marTop w:val="0"/>
      <w:marBottom w:val="0"/>
      <w:divBdr>
        <w:top w:val="none" w:sz="0" w:space="0" w:color="auto"/>
        <w:left w:val="none" w:sz="0" w:space="0" w:color="auto"/>
        <w:bottom w:val="none" w:sz="0" w:space="0" w:color="auto"/>
        <w:right w:val="none" w:sz="0" w:space="0" w:color="auto"/>
      </w:divBdr>
    </w:div>
    <w:div w:id="805658622">
      <w:bodyDiv w:val="1"/>
      <w:marLeft w:val="0"/>
      <w:marRight w:val="0"/>
      <w:marTop w:val="0"/>
      <w:marBottom w:val="0"/>
      <w:divBdr>
        <w:top w:val="none" w:sz="0" w:space="0" w:color="auto"/>
        <w:left w:val="none" w:sz="0" w:space="0" w:color="auto"/>
        <w:bottom w:val="none" w:sz="0" w:space="0" w:color="auto"/>
        <w:right w:val="none" w:sz="0" w:space="0" w:color="auto"/>
      </w:divBdr>
    </w:div>
    <w:div w:id="805899935">
      <w:bodyDiv w:val="1"/>
      <w:marLeft w:val="0"/>
      <w:marRight w:val="0"/>
      <w:marTop w:val="0"/>
      <w:marBottom w:val="0"/>
      <w:divBdr>
        <w:top w:val="none" w:sz="0" w:space="0" w:color="auto"/>
        <w:left w:val="none" w:sz="0" w:space="0" w:color="auto"/>
        <w:bottom w:val="none" w:sz="0" w:space="0" w:color="auto"/>
        <w:right w:val="none" w:sz="0" w:space="0" w:color="auto"/>
      </w:divBdr>
    </w:div>
    <w:div w:id="818881593">
      <w:bodyDiv w:val="1"/>
      <w:marLeft w:val="0"/>
      <w:marRight w:val="0"/>
      <w:marTop w:val="0"/>
      <w:marBottom w:val="0"/>
      <w:divBdr>
        <w:top w:val="none" w:sz="0" w:space="0" w:color="auto"/>
        <w:left w:val="none" w:sz="0" w:space="0" w:color="auto"/>
        <w:bottom w:val="none" w:sz="0" w:space="0" w:color="auto"/>
        <w:right w:val="none" w:sz="0" w:space="0" w:color="auto"/>
      </w:divBdr>
    </w:div>
    <w:div w:id="819811536">
      <w:bodyDiv w:val="1"/>
      <w:marLeft w:val="0"/>
      <w:marRight w:val="0"/>
      <w:marTop w:val="0"/>
      <w:marBottom w:val="0"/>
      <w:divBdr>
        <w:top w:val="none" w:sz="0" w:space="0" w:color="auto"/>
        <w:left w:val="none" w:sz="0" w:space="0" w:color="auto"/>
        <w:bottom w:val="none" w:sz="0" w:space="0" w:color="auto"/>
        <w:right w:val="none" w:sz="0" w:space="0" w:color="auto"/>
      </w:divBdr>
    </w:div>
    <w:div w:id="822890338">
      <w:bodyDiv w:val="1"/>
      <w:marLeft w:val="0"/>
      <w:marRight w:val="0"/>
      <w:marTop w:val="0"/>
      <w:marBottom w:val="0"/>
      <w:divBdr>
        <w:top w:val="none" w:sz="0" w:space="0" w:color="auto"/>
        <w:left w:val="none" w:sz="0" w:space="0" w:color="auto"/>
        <w:bottom w:val="none" w:sz="0" w:space="0" w:color="auto"/>
        <w:right w:val="none" w:sz="0" w:space="0" w:color="auto"/>
      </w:divBdr>
    </w:div>
    <w:div w:id="823622875">
      <w:bodyDiv w:val="1"/>
      <w:marLeft w:val="0"/>
      <w:marRight w:val="0"/>
      <w:marTop w:val="0"/>
      <w:marBottom w:val="0"/>
      <w:divBdr>
        <w:top w:val="none" w:sz="0" w:space="0" w:color="auto"/>
        <w:left w:val="none" w:sz="0" w:space="0" w:color="auto"/>
        <w:bottom w:val="none" w:sz="0" w:space="0" w:color="auto"/>
        <w:right w:val="none" w:sz="0" w:space="0" w:color="auto"/>
      </w:divBdr>
    </w:div>
    <w:div w:id="843974307">
      <w:bodyDiv w:val="1"/>
      <w:marLeft w:val="0"/>
      <w:marRight w:val="0"/>
      <w:marTop w:val="0"/>
      <w:marBottom w:val="0"/>
      <w:divBdr>
        <w:top w:val="none" w:sz="0" w:space="0" w:color="auto"/>
        <w:left w:val="none" w:sz="0" w:space="0" w:color="auto"/>
        <w:bottom w:val="none" w:sz="0" w:space="0" w:color="auto"/>
        <w:right w:val="none" w:sz="0" w:space="0" w:color="auto"/>
      </w:divBdr>
    </w:div>
    <w:div w:id="847256300">
      <w:bodyDiv w:val="1"/>
      <w:marLeft w:val="0"/>
      <w:marRight w:val="0"/>
      <w:marTop w:val="0"/>
      <w:marBottom w:val="0"/>
      <w:divBdr>
        <w:top w:val="none" w:sz="0" w:space="0" w:color="auto"/>
        <w:left w:val="none" w:sz="0" w:space="0" w:color="auto"/>
        <w:bottom w:val="none" w:sz="0" w:space="0" w:color="auto"/>
        <w:right w:val="none" w:sz="0" w:space="0" w:color="auto"/>
      </w:divBdr>
    </w:div>
    <w:div w:id="848954278">
      <w:bodyDiv w:val="1"/>
      <w:marLeft w:val="0"/>
      <w:marRight w:val="0"/>
      <w:marTop w:val="0"/>
      <w:marBottom w:val="0"/>
      <w:divBdr>
        <w:top w:val="none" w:sz="0" w:space="0" w:color="auto"/>
        <w:left w:val="none" w:sz="0" w:space="0" w:color="auto"/>
        <w:bottom w:val="none" w:sz="0" w:space="0" w:color="auto"/>
        <w:right w:val="none" w:sz="0" w:space="0" w:color="auto"/>
      </w:divBdr>
    </w:div>
    <w:div w:id="859051525">
      <w:bodyDiv w:val="1"/>
      <w:marLeft w:val="0"/>
      <w:marRight w:val="0"/>
      <w:marTop w:val="0"/>
      <w:marBottom w:val="0"/>
      <w:divBdr>
        <w:top w:val="none" w:sz="0" w:space="0" w:color="auto"/>
        <w:left w:val="none" w:sz="0" w:space="0" w:color="auto"/>
        <w:bottom w:val="none" w:sz="0" w:space="0" w:color="auto"/>
        <w:right w:val="none" w:sz="0" w:space="0" w:color="auto"/>
      </w:divBdr>
    </w:div>
    <w:div w:id="880750860">
      <w:bodyDiv w:val="1"/>
      <w:marLeft w:val="0"/>
      <w:marRight w:val="0"/>
      <w:marTop w:val="0"/>
      <w:marBottom w:val="0"/>
      <w:divBdr>
        <w:top w:val="none" w:sz="0" w:space="0" w:color="auto"/>
        <w:left w:val="none" w:sz="0" w:space="0" w:color="auto"/>
        <w:bottom w:val="none" w:sz="0" w:space="0" w:color="auto"/>
        <w:right w:val="none" w:sz="0" w:space="0" w:color="auto"/>
      </w:divBdr>
    </w:div>
    <w:div w:id="881090751">
      <w:bodyDiv w:val="1"/>
      <w:marLeft w:val="0"/>
      <w:marRight w:val="0"/>
      <w:marTop w:val="0"/>
      <w:marBottom w:val="0"/>
      <w:divBdr>
        <w:top w:val="none" w:sz="0" w:space="0" w:color="auto"/>
        <w:left w:val="none" w:sz="0" w:space="0" w:color="auto"/>
        <w:bottom w:val="none" w:sz="0" w:space="0" w:color="auto"/>
        <w:right w:val="none" w:sz="0" w:space="0" w:color="auto"/>
      </w:divBdr>
      <w:divsChild>
        <w:div w:id="2090882399">
          <w:marLeft w:val="547"/>
          <w:marRight w:val="0"/>
          <w:marTop w:val="0"/>
          <w:marBottom w:val="0"/>
          <w:divBdr>
            <w:top w:val="none" w:sz="0" w:space="0" w:color="auto"/>
            <w:left w:val="none" w:sz="0" w:space="0" w:color="auto"/>
            <w:bottom w:val="none" w:sz="0" w:space="0" w:color="auto"/>
            <w:right w:val="none" w:sz="0" w:space="0" w:color="auto"/>
          </w:divBdr>
        </w:div>
      </w:divsChild>
    </w:div>
    <w:div w:id="883098824">
      <w:bodyDiv w:val="1"/>
      <w:marLeft w:val="0"/>
      <w:marRight w:val="0"/>
      <w:marTop w:val="0"/>
      <w:marBottom w:val="0"/>
      <w:divBdr>
        <w:top w:val="none" w:sz="0" w:space="0" w:color="auto"/>
        <w:left w:val="none" w:sz="0" w:space="0" w:color="auto"/>
        <w:bottom w:val="none" w:sz="0" w:space="0" w:color="auto"/>
        <w:right w:val="none" w:sz="0" w:space="0" w:color="auto"/>
      </w:divBdr>
    </w:div>
    <w:div w:id="889995809">
      <w:bodyDiv w:val="1"/>
      <w:marLeft w:val="0"/>
      <w:marRight w:val="0"/>
      <w:marTop w:val="0"/>
      <w:marBottom w:val="0"/>
      <w:divBdr>
        <w:top w:val="none" w:sz="0" w:space="0" w:color="auto"/>
        <w:left w:val="none" w:sz="0" w:space="0" w:color="auto"/>
        <w:bottom w:val="none" w:sz="0" w:space="0" w:color="auto"/>
        <w:right w:val="none" w:sz="0" w:space="0" w:color="auto"/>
      </w:divBdr>
    </w:div>
    <w:div w:id="908150081">
      <w:bodyDiv w:val="1"/>
      <w:marLeft w:val="0"/>
      <w:marRight w:val="0"/>
      <w:marTop w:val="0"/>
      <w:marBottom w:val="0"/>
      <w:divBdr>
        <w:top w:val="none" w:sz="0" w:space="0" w:color="auto"/>
        <w:left w:val="none" w:sz="0" w:space="0" w:color="auto"/>
        <w:bottom w:val="none" w:sz="0" w:space="0" w:color="auto"/>
        <w:right w:val="none" w:sz="0" w:space="0" w:color="auto"/>
      </w:divBdr>
    </w:div>
    <w:div w:id="927540262">
      <w:bodyDiv w:val="1"/>
      <w:marLeft w:val="0"/>
      <w:marRight w:val="0"/>
      <w:marTop w:val="0"/>
      <w:marBottom w:val="0"/>
      <w:divBdr>
        <w:top w:val="none" w:sz="0" w:space="0" w:color="auto"/>
        <w:left w:val="none" w:sz="0" w:space="0" w:color="auto"/>
        <w:bottom w:val="none" w:sz="0" w:space="0" w:color="auto"/>
        <w:right w:val="none" w:sz="0" w:space="0" w:color="auto"/>
      </w:divBdr>
    </w:div>
    <w:div w:id="931275908">
      <w:bodyDiv w:val="1"/>
      <w:marLeft w:val="0"/>
      <w:marRight w:val="0"/>
      <w:marTop w:val="0"/>
      <w:marBottom w:val="0"/>
      <w:divBdr>
        <w:top w:val="none" w:sz="0" w:space="0" w:color="auto"/>
        <w:left w:val="none" w:sz="0" w:space="0" w:color="auto"/>
        <w:bottom w:val="none" w:sz="0" w:space="0" w:color="auto"/>
        <w:right w:val="none" w:sz="0" w:space="0" w:color="auto"/>
      </w:divBdr>
    </w:div>
    <w:div w:id="937179317">
      <w:bodyDiv w:val="1"/>
      <w:marLeft w:val="0"/>
      <w:marRight w:val="0"/>
      <w:marTop w:val="0"/>
      <w:marBottom w:val="0"/>
      <w:divBdr>
        <w:top w:val="none" w:sz="0" w:space="0" w:color="auto"/>
        <w:left w:val="none" w:sz="0" w:space="0" w:color="auto"/>
        <w:bottom w:val="none" w:sz="0" w:space="0" w:color="auto"/>
        <w:right w:val="none" w:sz="0" w:space="0" w:color="auto"/>
      </w:divBdr>
    </w:div>
    <w:div w:id="943004200">
      <w:bodyDiv w:val="1"/>
      <w:marLeft w:val="0"/>
      <w:marRight w:val="0"/>
      <w:marTop w:val="0"/>
      <w:marBottom w:val="0"/>
      <w:divBdr>
        <w:top w:val="none" w:sz="0" w:space="0" w:color="auto"/>
        <w:left w:val="none" w:sz="0" w:space="0" w:color="auto"/>
        <w:bottom w:val="none" w:sz="0" w:space="0" w:color="auto"/>
        <w:right w:val="none" w:sz="0" w:space="0" w:color="auto"/>
      </w:divBdr>
    </w:div>
    <w:div w:id="953050677">
      <w:bodyDiv w:val="1"/>
      <w:marLeft w:val="0"/>
      <w:marRight w:val="0"/>
      <w:marTop w:val="0"/>
      <w:marBottom w:val="0"/>
      <w:divBdr>
        <w:top w:val="none" w:sz="0" w:space="0" w:color="auto"/>
        <w:left w:val="none" w:sz="0" w:space="0" w:color="auto"/>
        <w:bottom w:val="none" w:sz="0" w:space="0" w:color="auto"/>
        <w:right w:val="none" w:sz="0" w:space="0" w:color="auto"/>
      </w:divBdr>
    </w:div>
    <w:div w:id="960186160">
      <w:bodyDiv w:val="1"/>
      <w:marLeft w:val="0"/>
      <w:marRight w:val="0"/>
      <w:marTop w:val="0"/>
      <w:marBottom w:val="0"/>
      <w:divBdr>
        <w:top w:val="none" w:sz="0" w:space="0" w:color="auto"/>
        <w:left w:val="none" w:sz="0" w:space="0" w:color="auto"/>
        <w:bottom w:val="none" w:sz="0" w:space="0" w:color="auto"/>
        <w:right w:val="none" w:sz="0" w:space="0" w:color="auto"/>
      </w:divBdr>
    </w:div>
    <w:div w:id="961232325">
      <w:bodyDiv w:val="1"/>
      <w:marLeft w:val="0"/>
      <w:marRight w:val="0"/>
      <w:marTop w:val="0"/>
      <w:marBottom w:val="0"/>
      <w:divBdr>
        <w:top w:val="none" w:sz="0" w:space="0" w:color="auto"/>
        <w:left w:val="none" w:sz="0" w:space="0" w:color="auto"/>
        <w:bottom w:val="none" w:sz="0" w:space="0" w:color="auto"/>
        <w:right w:val="none" w:sz="0" w:space="0" w:color="auto"/>
      </w:divBdr>
    </w:div>
    <w:div w:id="984969619">
      <w:bodyDiv w:val="1"/>
      <w:marLeft w:val="0"/>
      <w:marRight w:val="0"/>
      <w:marTop w:val="0"/>
      <w:marBottom w:val="0"/>
      <w:divBdr>
        <w:top w:val="none" w:sz="0" w:space="0" w:color="auto"/>
        <w:left w:val="none" w:sz="0" w:space="0" w:color="auto"/>
        <w:bottom w:val="none" w:sz="0" w:space="0" w:color="auto"/>
        <w:right w:val="none" w:sz="0" w:space="0" w:color="auto"/>
      </w:divBdr>
    </w:div>
    <w:div w:id="991526762">
      <w:bodyDiv w:val="1"/>
      <w:marLeft w:val="0"/>
      <w:marRight w:val="0"/>
      <w:marTop w:val="0"/>
      <w:marBottom w:val="0"/>
      <w:divBdr>
        <w:top w:val="none" w:sz="0" w:space="0" w:color="auto"/>
        <w:left w:val="none" w:sz="0" w:space="0" w:color="auto"/>
        <w:bottom w:val="none" w:sz="0" w:space="0" w:color="auto"/>
        <w:right w:val="none" w:sz="0" w:space="0" w:color="auto"/>
      </w:divBdr>
    </w:div>
    <w:div w:id="993949498">
      <w:bodyDiv w:val="1"/>
      <w:marLeft w:val="0"/>
      <w:marRight w:val="0"/>
      <w:marTop w:val="0"/>
      <w:marBottom w:val="0"/>
      <w:divBdr>
        <w:top w:val="none" w:sz="0" w:space="0" w:color="auto"/>
        <w:left w:val="none" w:sz="0" w:space="0" w:color="auto"/>
        <w:bottom w:val="none" w:sz="0" w:space="0" w:color="auto"/>
        <w:right w:val="none" w:sz="0" w:space="0" w:color="auto"/>
      </w:divBdr>
    </w:div>
    <w:div w:id="1006982718">
      <w:bodyDiv w:val="1"/>
      <w:marLeft w:val="0"/>
      <w:marRight w:val="0"/>
      <w:marTop w:val="0"/>
      <w:marBottom w:val="0"/>
      <w:divBdr>
        <w:top w:val="none" w:sz="0" w:space="0" w:color="auto"/>
        <w:left w:val="none" w:sz="0" w:space="0" w:color="auto"/>
        <w:bottom w:val="none" w:sz="0" w:space="0" w:color="auto"/>
        <w:right w:val="none" w:sz="0" w:space="0" w:color="auto"/>
      </w:divBdr>
    </w:div>
    <w:div w:id="1009216997">
      <w:bodyDiv w:val="1"/>
      <w:marLeft w:val="0"/>
      <w:marRight w:val="0"/>
      <w:marTop w:val="0"/>
      <w:marBottom w:val="0"/>
      <w:divBdr>
        <w:top w:val="none" w:sz="0" w:space="0" w:color="auto"/>
        <w:left w:val="none" w:sz="0" w:space="0" w:color="auto"/>
        <w:bottom w:val="none" w:sz="0" w:space="0" w:color="auto"/>
        <w:right w:val="none" w:sz="0" w:space="0" w:color="auto"/>
      </w:divBdr>
    </w:div>
    <w:div w:id="1026104456">
      <w:bodyDiv w:val="1"/>
      <w:marLeft w:val="0"/>
      <w:marRight w:val="0"/>
      <w:marTop w:val="0"/>
      <w:marBottom w:val="0"/>
      <w:divBdr>
        <w:top w:val="none" w:sz="0" w:space="0" w:color="auto"/>
        <w:left w:val="none" w:sz="0" w:space="0" w:color="auto"/>
        <w:bottom w:val="none" w:sz="0" w:space="0" w:color="auto"/>
        <w:right w:val="none" w:sz="0" w:space="0" w:color="auto"/>
      </w:divBdr>
      <w:divsChild>
        <w:div w:id="1324891912">
          <w:marLeft w:val="547"/>
          <w:marRight w:val="0"/>
          <w:marTop w:val="0"/>
          <w:marBottom w:val="0"/>
          <w:divBdr>
            <w:top w:val="none" w:sz="0" w:space="0" w:color="auto"/>
            <w:left w:val="none" w:sz="0" w:space="0" w:color="auto"/>
            <w:bottom w:val="none" w:sz="0" w:space="0" w:color="auto"/>
            <w:right w:val="none" w:sz="0" w:space="0" w:color="auto"/>
          </w:divBdr>
        </w:div>
      </w:divsChild>
    </w:div>
    <w:div w:id="1026441893">
      <w:bodyDiv w:val="1"/>
      <w:marLeft w:val="0"/>
      <w:marRight w:val="0"/>
      <w:marTop w:val="0"/>
      <w:marBottom w:val="0"/>
      <w:divBdr>
        <w:top w:val="none" w:sz="0" w:space="0" w:color="auto"/>
        <w:left w:val="none" w:sz="0" w:space="0" w:color="auto"/>
        <w:bottom w:val="none" w:sz="0" w:space="0" w:color="auto"/>
        <w:right w:val="none" w:sz="0" w:space="0" w:color="auto"/>
      </w:divBdr>
    </w:div>
    <w:div w:id="1027101144">
      <w:bodyDiv w:val="1"/>
      <w:marLeft w:val="0"/>
      <w:marRight w:val="0"/>
      <w:marTop w:val="0"/>
      <w:marBottom w:val="0"/>
      <w:divBdr>
        <w:top w:val="none" w:sz="0" w:space="0" w:color="auto"/>
        <w:left w:val="none" w:sz="0" w:space="0" w:color="auto"/>
        <w:bottom w:val="none" w:sz="0" w:space="0" w:color="auto"/>
        <w:right w:val="none" w:sz="0" w:space="0" w:color="auto"/>
      </w:divBdr>
    </w:div>
    <w:div w:id="1038122386">
      <w:bodyDiv w:val="1"/>
      <w:marLeft w:val="0"/>
      <w:marRight w:val="0"/>
      <w:marTop w:val="0"/>
      <w:marBottom w:val="0"/>
      <w:divBdr>
        <w:top w:val="none" w:sz="0" w:space="0" w:color="auto"/>
        <w:left w:val="none" w:sz="0" w:space="0" w:color="auto"/>
        <w:bottom w:val="none" w:sz="0" w:space="0" w:color="auto"/>
        <w:right w:val="none" w:sz="0" w:space="0" w:color="auto"/>
      </w:divBdr>
    </w:div>
    <w:div w:id="1042635614">
      <w:bodyDiv w:val="1"/>
      <w:marLeft w:val="0"/>
      <w:marRight w:val="0"/>
      <w:marTop w:val="0"/>
      <w:marBottom w:val="0"/>
      <w:divBdr>
        <w:top w:val="none" w:sz="0" w:space="0" w:color="auto"/>
        <w:left w:val="none" w:sz="0" w:space="0" w:color="auto"/>
        <w:bottom w:val="none" w:sz="0" w:space="0" w:color="auto"/>
        <w:right w:val="none" w:sz="0" w:space="0" w:color="auto"/>
      </w:divBdr>
    </w:div>
    <w:div w:id="1045180649">
      <w:bodyDiv w:val="1"/>
      <w:marLeft w:val="0"/>
      <w:marRight w:val="0"/>
      <w:marTop w:val="0"/>
      <w:marBottom w:val="0"/>
      <w:divBdr>
        <w:top w:val="none" w:sz="0" w:space="0" w:color="auto"/>
        <w:left w:val="none" w:sz="0" w:space="0" w:color="auto"/>
        <w:bottom w:val="none" w:sz="0" w:space="0" w:color="auto"/>
        <w:right w:val="none" w:sz="0" w:space="0" w:color="auto"/>
      </w:divBdr>
    </w:div>
    <w:div w:id="1050306995">
      <w:bodyDiv w:val="1"/>
      <w:marLeft w:val="0"/>
      <w:marRight w:val="0"/>
      <w:marTop w:val="0"/>
      <w:marBottom w:val="0"/>
      <w:divBdr>
        <w:top w:val="none" w:sz="0" w:space="0" w:color="auto"/>
        <w:left w:val="none" w:sz="0" w:space="0" w:color="auto"/>
        <w:bottom w:val="none" w:sz="0" w:space="0" w:color="auto"/>
        <w:right w:val="none" w:sz="0" w:space="0" w:color="auto"/>
      </w:divBdr>
    </w:div>
    <w:div w:id="1056513100">
      <w:bodyDiv w:val="1"/>
      <w:marLeft w:val="0"/>
      <w:marRight w:val="0"/>
      <w:marTop w:val="0"/>
      <w:marBottom w:val="0"/>
      <w:divBdr>
        <w:top w:val="none" w:sz="0" w:space="0" w:color="auto"/>
        <w:left w:val="none" w:sz="0" w:space="0" w:color="auto"/>
        <w:bottom w:val="none" w:sz="0" w:space="0" w:color="auto"/>
        <w:right w:val="none" w:sz="0" w:space="0" w:color="auto"/>
      </w:divBdr>
    </w:div>
    <w:div w:id="1066955453">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
    <w:div w:id="1094086698">
      <w:bodyDiv w:val="1"/>
      <w:marLeft w:val="0"/>
      <w:marRight w:val="0"/>
      <w:marTop w:val="0"/>
      <w:marBottom w:val="0"/>
      <w:divBdr>
        <w:top w:val="none" w:sz="0" w:space="0" w:color="auto"/>
        <w:left w:val="none" w:sz="0" w:space="0" w:color="auto"/>
        <w:bottom w:val="none" w:sz="0" w:space="0" w:color="auto"/>
        <w:right w:val="none" w:sz="0" w:space="0" w:color="auto"/>
      </w:divBdr>
    </w:div>
    <w:div w:id="1102648329">
      <w:bodyDiv w:val="1"/>
      <w:marLeft w:val="0"/>
      <w:marRight w:val="0"/>
      <w:marTop w:val="0"/>
      <w:marBottom w:val="0"/>
      <w:divBdr>
        <w:top w:val="none" w:sz="0" w:space="0" w:color="auto"/>
        <w:left w:val="none" w:sz="0" w:space="0" w:color="auto"/>
        <w:bottom w:val="none" w:sz="0" w:space="0" w:color="auto"/>
        <w:right w:val="none" w:sz="0" w:space="0" w:color="auto"/>
      </w:divBdr>
    </w:div>
    <w:div w:id="1103258941">
      <w:bodyDiv w:val="1"/>
      <w:marLeft w:val="0"/>
      <w:marRight w:val="0"/>
      <w:marTop w:val="0"/>
      <w:marBottom w:val="0"/>
      <w:divBdr>
        <w:top w:val="none" w:sz="0" w:space="0" w:color="auto"/>
        <w:left w:val="none" w:sz="0" w:space="0" w:color="auto"/>
        <w:bottom w:val="none" w:sz="0" w:space="0" w:color="auto"/>
        <w:right w:val="none" w:sz="0" w:space="0" w:color="auto"/>
      </w:divBdr>
    </w:div>
    <w:div w:id="1116215535">
      <w:bodyDiv w:val="1"/>
      <w:marLeft w:val="0"/>
      <w:marRight w:val="0"/>
      <w:marTop w:val="0"/>
      <w:marBottom w:val="0"/>
      <w:divBdr>
        <w:top w:val="none" w:sz="0" w:space="0" w:color="auto"/>
        <w:left w:val="none" w:sz="0" w:space="0" w:color="auto"/>
        <w:bottom w:val="none" w:sz="0" w:space="0" w:color="auto"/>
        <w:right w:val="none" w:sz="0" w:space="0" w:color="auto"/>
      </w:divBdr>
    </w:div>
    <w:div w:id="1117682326">
      <w:bodyDiv w:val="1"/>
      <w:marLeft w:val="0"/>
      <w:marRight w:val="0"/>
      <w:marTop w:val="0"/>
      <w:marBottom w:val="0"/>
      <w:divBdr>
        <w:top w:val="none" w:sz="0" w:space="0" w:color="auto"/>
        <w:left w:val="none" w:sz="0" w:space="0" w:color="auto"/>
        <w:bottom w:val="none" w:sz="0" w:space="0" w:color="auto"/>
        <w:right w:val="none" w:sz="0" w:space="0" w:color="auto"/>
      </w:divBdr>
    </w:div>
    <w:div w:id="1118530495">
      <w:bodyDiv w:val="1"/>
      <w:marLeft w:val="0"/>
      <w:marRight w:val="0"/>
      <w:marTop w:val="0"/>
      <w:marBottom w:val="0"/>
      <w:divBdr>
        <w:top w:val="none" w:sz="0" w:space="0" w:color="auto"/>
        <w:left w:val="none" w:sz="0" w:space="0" w:color="auto"/>
        <w:bottom w:val="none" w:sz="0" w:space="0" w:color="auto"/>
        <w:right w:val="none" w:sz="0" w:space="0" w:color="auto"/>
      </w:divBdr>
    </w:div>
    <w:div w:id="1122844782">
      <w:bodyDiv w:val="1"/>
      <w:marLeft w:val="0"/>
      <w:marRight w:val="0"/>
      <w:marTop w:val="0"/>
      <w:marBottom w:val="0"/>
      <w:divBdr>
        <w:top w:val="none" w:sz="0" w:space="0" w:color="auto"/>
        <w:left w:val="none" w:sz="0" w:space="0" w:color="auto"/>
        <w:bottom w:val="none" w:sz="0" w:space="0" w:color="auto"/>
        <w:right w:val="none" w:sz="0" w:space="0" w:color="auto"/>
      </w:divBdr>
    </w:div>
    <w:div w:id="1131360549">
      <w:bodyDiv w:val="1"/>
      <w:marLeft w:val="0"/>
      <w:marRight w:val="0"/>
      <w:marTop w:val="0"/>
      <w:marBottom w:val="0"/>
      <w:divBdr>
        <w:top w:val="none" w:sz="0" w:space="0" w:color="auto"/>
        <w:left w:val="none" w:sz="0" w:space="0" w:color="auto"/>
        <w:bottom w:val="none" w:sz="0" w:space="0" w:color="auto"/>
        <w:right w:val="none" w:sz="0" w:space="0" w:color="auto"/>
      </w:divBdr>
    </w:div>
    <w:div w:id="1134521607">
      <w:bodyDiv w:val="1"/>
      <w:marLeft w:val="0"/>
      <w:marRight w:val="0"/>
      <w:marTop w:val="0"/>
      <w:marBottom w:val="0"/>
      <w:divBdr>
        <w:top w:val="none" w:sz="0" w:space="0" w:color="auto"/>
        <w:left w:val="none" w:sz="0" w:space="0" w:color="auto"/>
        <w:bottom w:val="none" w:sz="0" w:space="0" w:color="auto"/>
        <w:right w:val="none" w:sz="0" w:space="0" w:color="auto"/>
      </w:divBdr>
    </w:div>
    <w:div w:id="1141196786">
      <w:bodyDiv w:val="1"/>
      <w:marLeft w:val="0"/>
      <w:marRight w:val="0"/>
      <w:marTop w:val="0"/>
      <w:marBottom w:val="0"/>
      <w:divBdr>
        <w:top w:val="none" w:sz="0" w:space="0" w:color="auto"/>
        <w:left w:val="none" w:sz="0" w:space="0" w:color="auto"/>
        <w:bottom w:val="none" w:sz="0" w:space="0" w:color="auto"/>
        <w:right w:val="none" w:sz="0" w:space="0" w:color="auto"/>
      </w:divBdr>
    </w:div>
    <w:div w:id="1142893307">
      <w:bodyDiv w:val="1"/>
      <w:marLeft w:val="0"/>
      <w:marRight w:val="0"/>
      <w:marTop w:val="0"/>
      <w:marBottom w:val="0"/>
      <w:divBdr>
        <w:top w:val="none" w:sz="0" w:space="0" w:color="auto"/>
        <w:left w:val="none" w:sz="0" w:space="0" w:color="auto"/>
        <w:bottom w:val="none" w:sz="0" w:space="0" w:color="auto"/>
        <w:right w:val="none" w:sz="0" w:space="0" w:color="auto"/>
      </w:divBdr>
      <w:divsChild>
        <w:div w:id="443041525">
          <w:marLeft w:val="547"/>
          <w:marRight w:val="0"/>
          <w:marTop w:val="0"/>
          <w:marBottom w:val="0"/>
          <w:divBdr>
            <w:top w:val="none" w:sz="0" w:space="0" w:color="auto"/>
            <w:left w:val="none" w:sz="0" w:space="0" w:color="auto"/>
            <w:bottom w:val="none" w:sz="0" w:space="0" w:color="auto"/>
            <w:right w:val="none" w:sz="0" w:space="0" w:color="auto"/>
          </w:divBdr>
        </w:div>
      </w:divsChild>
    </w:div>
    <w:div w:id="1144615529">
      <w:bodyDiv w:val="1"/>
      <w:marLeft w:val="0"/>
      <w:marRight w:val="0"/>
      <w:marTop w:val="0"/>
      <w:marBottom w:val="0"/>
      <w:divBdr>
        <w:top w:val="none" w:sz="0" w:space="0" w:color="auto"/>
        <w:left w:val="none" w:sz="0" w:space="0" w:color="auto"/>
        <w:bottom w:val="none" w:sz="0" w:space="0" w:color="auto"/>
        <w:right w:val="none" w:sz="0" w:space="0" w:color="auto"/>
      </w:divBdr>
    </w:div>
    <w:div w:id="1146119029">
      <w:bodyDiv w:val="1"/>
      <w:marLeft w:val="0"/>
      <w:marRight w:val="0"/>
      <w:marTop w:val="0"/>
      <w:marBottom w:val="0"/>
      <w:divBdr>
        <w:top w:val="none" w:sz="0" w:space="0" w:color="auto"/>
        <w:left w:val="none" w:sz="0" w:space="0" w:color="auto"/>
        <w:bottom w:val="none" w:sz="0" w:space="0" w:color="auto"/>
        <w:right w:val="none" w:sz="0" w:space="0" w:color="auto"/>
      </w:divBdr>
    </w:div>
    <w:div w:id="1160849039">
      <w:bodyDiv w:val="1"/>
      <w:marLeft w:val="0"/>
      <w:marRight w:val="0"/>
      <w:marTop w:val="0"/>
      <w:marBottom w:val="0"/>
      <w:divBdr>
        <w:top w:val="none" w:sz="0" w:space="0" w:color="auto"/>
        <w:left w:val="none" w:sz="0" w:space="0" w:color="auto"/>
        <w:bottom w:val="none" w:sz="0" w:space="0" w:color="auto"/>
        <w:right w:val="none" w:sz="0" w:space="0" w:color="auto"/>
      </w:divBdr>
    </w:div>
    <w:div w:id="1169255763">
      <w:bodyDiv w:val="1"/>
      <w:marLeft w:val="0"/>
      <w:marRight w:val="0"/>
      <w:marTop w:val="0"/>
      <w:marBottom w:val="0"/>
      <w:divBdr>
        <w:top w:val="none" w:sz="0" w:space="0" w:color="auto"/>
        <w:left w:val="none" w:sz="0" w:space="0" w:color="auto"/>
        <w:bottom w:val="none" w:sz="0" w:space="0" w:color="auto"/>
        <w:right w:val="none" w:sz="0" w:space="0" w:color="auto"/>
      </w:divBdr>
    </w:div>
    <w:div w:id="1177695493">
      <w:bodyDiv w:val="1"/>
      <w:marLeft w:val="0"/>
      <w:marRight w:val="0"/>
      <w:marTop w:val="0"/>
      <w:marBottom w:val="0"/>
      <w:divBdr>
        <w:top w:val="none" w:sz="0" w:space="0" w:color="auto"/>
        <w:left w:val="none" w:sz="0" w:space="0" w:color="auto"/>
        <w:bottom w:val="none" w:sz="0" w:space="0" w:color="auto"/>
        <w:right w:val="none" w:sz="0" w:space="0" w:color="auto"/>
      </w:divBdr>
    </w:div>
    <w:div w:id="1188370268">
      <w:bodyDiv w:val="1"/>
      <w:marLeft w:val="0"/>
      <w:marRight w:val="0"/>
      <w:marTop w:val="0"/>
      <w:marBottom w:val="0"/>
      <w:divBdr>
        <w:top w:val="none" w:sz="0" w:space="0" w:color="auto"/>
        <w:left w:val="none" w:sz="0" w:space="0" w:color="auto"/>
        <w:bottom w:val="none" w:sz="0" w:space="0" w:color="auto"/>
        <w:right w:val="none" w:sz="0" w:space="0" w:color="auto"/>
      </w:divBdr>
    </w:div>
    <w:div w:id="1188568415">
      <w:bodyDiv w:val="1"/>
      <w:marLeft w:val="0"/>
      <w:marRight w:val="0"/>
      <w:marTop w:val="0"/>
      <w:marBottom w:val="0"/>
      <w:divBdr>
        <w:top w:val="none" w:sz="0" w:space="0" w:color="auto"/>
        <w:left w:val="none" w:sz="0" w:space="0" w:color="auto"/>
        <w:bottom w:val="none" w:sz="0" w:space="0" w:color="auto"/>
        <w:right w:val="none" w:sz="0" w:space="0" w:color="auto"/>
      </w:divBdr>
    </w:div>
    <w:div w:id="1189030254">
      <w:bodyDiv w:val="1"/>
      <w:marLeft w:val="0"/>
      <w:marRight w:val="0"/>
      <w:marTop w:val="0"/>
      <w:marBottom w:val="0"/>
      <w:divBdr>
        <w:top w:val="none" w:sz="0" w:space="0" w:color="auto"/>
        <w:left w:val="none" w:sz="0" w:space="0" w:color="auto"/>
        <w:bottom w:val="none" w:sz="0" w:space="0" w:color="auto"/>
        <w:right w:val="none" w:sz="0" w:space="0" w:color="auto"/>
      </w:divBdr>
    </w:div>
    <w:div w:id="1201868273">
      <w:bodyDiv w:val="1"/>
      <w:marLeft w:val="0"/>
      <w:marRight w:val="0"/>
      <w:marTop w:val="0"/>
      <w:marBottom w:val="0"/>
      <w:divBdr>
        <w:top w:val="none" w:sz="0" w:space="0" w:color="auto"/>
        <w:left w:val="none" w:sz="0" w:space="0" w:color="auto"/>
        <w:bottom w:val="none" w:sz="0" w:space="0" w:color="auto"/>
        <w:right w:val="none" w:sz="0" w:space="0" w:color="auto"/>
      </w:divBdr>
    </w:div>
    <w:div w:id="1202324071">
      <w:bodyDiv w:val="1"/>
      <w:marLeft w:val="0"/>
      <w:marRight w:val="0"/>
      <w:marTop w:val="0"/>
      <w:marBottom w:val="0"/>
      <w:divBdr>
        <w:top w:val="none" w:sz="0" w:space="0" w:color="auto"/>
        <w:left w:val="none" w:sz="0" w:space="0" w:color="auto"/>
        <w:bottom w:val="none" w:sz="0" w:space="0" w:color="auto"/>
        <w:right w:val="none" w:sz="0" w:space="0" w:color="auto"/>
      </w:divBdr>
    </w:div>
    <w:div w:id="1220559364">
      <w:bodyDiv w:val="1"/>
      <w:marLeft w:val="0"/>
      <w:marRight w:val="0"/>
      <w:marTop w:val="0"/>
      <w:marBottom w:val="0"/>
      <w:divBdr>
        <w:top w:val="none" w:sz="0" w:space="0" w:color="auto"/>
        <w:left w:val="none" w:sz="0" w:space="0" w:color="auto"/>
        <w:bottom w:val="none" w:sz="0" w:space="0" w:color="auto"/>
        <w:right w:val="none" w:sz="0" w:space="0" w:color="auto"/>
      </w:divBdr>
    </w:div>
    <w:div w:id="1232039567">
      <w:bodyDiv w:val="1"/>
      <w:marLeft w:val="0"/>
      <w:marRight w:val="0"/>
      <w:marTop w:val="0"/>
      <w:marBottom w:val="0"/>
      <w:divBdr>
        <w:top w:val="none" w:sz="0" w:space="0" w:color="auto"/>
        <w:left w:val="none" w:sz="0" w:space="0" w:color="auto"/>
        <w:bottom w:val="none" w:sz="0" w:space="0" w:color="auto"/>
        <w:right w:val="none" w:sz="0" w:space="0" w:color="auto"/>
      </w:divBdr>
    </w:div>
    <w:div w:id="1240015442">
      <w:bodyDiv w:val="1"/>
      <w:marLeft w:val="0"/>
      <w:marRight w:val="0"/>
      <w:marTop w:val="0"/>
      <w:marBottom w:val="0"/>
      <w:divBdr>
        <w:top w:val="none" w:sz="0" w:space="0" w:color="auto"/>
        <w:left w:val="none" w:sz="0" w:space="0" w:color="auto"/>
        <w:bottom w:val="none" w:sz="0" w:space="0" w:color="auto"/>
        <w:right w:val="none" w:sz="0" w:space="0" w:color="auto"/>
      </w:divBdr>
    </w:div>
    <w:div w:id="1255289073">
      <w:bodyDiv w:val="1"/>
      <w:marLeft w:val="0"/>
      <w:marRight w:val="0"/>
      <w:marTop w:val="0"/>
      <w:marBottom w:val="0"/>
      <w:divBdr>
        <w:top w:val="none" w:sz="0" w:space="0" w:color="auto"/>
        <w:left w:val="none" w:sz="0" w:space="0" w:color="auto"/>
        <w:bottom w:val="none" w:sz="0" w:space="0" w:color="auto"/>
        <w:right w:val="none" w:sz="0" w:space="0" w:color="auto"/>
      </w:divBdr>
    </w:div>
    <w:div w:id="1263221819">
      <w:bodyDiv w:val="1"/>
      <w:marLeft w:val="0"/>
      <w:marRight w:val="0"/>
      <w:marTop w:val="0"/>
      <w:marBottom w:val="0"/>
      <w:divBdr>
        <w:top w:val="none" w:sz="0" w:space="0" w:color="auto"/>
        <w:left w:val="none" w:sz="0" w:space="0" w:color="auto"/>
        <w:bottom w:val="none" w:sz="0" w:space="0" w:color="auto"/>
        <w:right w:val="none" w:sz="0" w:space="0" w:color="auto"/>
      </w:divBdr>
    </w:div>
    <w:div w:id="1270435687">
      <w:bodyDiv w:val="1"/>
      <w:marLeft w:val="0"/>
      <w:marRight w:val="0"/>
      <w:marTop w:val="0"/>
      <w:marBottom w:val="0"/>
      <w:divBdr>
        <w:top w:val="none" w:sz="0" w:space="0" w:color="auto"/>
        <w:left w:val="none" w:sz="0" w:space="0" w:color="auto"/>
        <w:bottom w:val="none" w:sz="0" w:space="0" w:color="auto"/>
        <w:right w:val="none" w:sz="0" w:space="0" w:color="auto"/>
      </w:divBdr>
    </w:div>
    <w:div w:id="1279722255">
      <w:bodyDiv w:val="1"/>
      <w:marLeft w:val="0"/>
      <w:marRight w:val="0"/>
      <w:marTop w:val="0"/>
      <w:marBottom w:val="0"/>
      <w:divBdr>
        <w:top w:val="none" w:sz="0" w:space="0" w:color="auto"/>
        <w:left w:val="none" w:sz="0" w:space="0" w:color="auto"/>
        <w:bottom w:val="none" w:sz="0" w:space="0" w:color="auto"/>
        <w:right w:val="none" w:sz="0" w:space="0" w:color="auto"/>
      </w:divBdr>
    </w:div>
    <w:div w:id="1280453961">
      <w:bodyDiv w:val="1"/>
      <w:marLeft w:val="0"/>
      <w:marRight w:val="0"/>
      <w:marTop w:val="0"/>
      <w:marBottom w:val="0"/>
      <w:divBdr>
        <w:top w:val="none" w:sz="0" w:space="0" w:color="auto"/>
        <w:left w:val="none" w:sz="0" w:space="0" w:color="auto"/>
        <w:bottom w:val="none" w:sz="0" w:space="0" w:color="auto"/>
        <w:right w:val="none" w:sz="0" w:space="0" w:color="auto"/>
      </w:divBdr>
    </w:div>
    <w:div w:id="1280456089">
      <w:bodyDiv w:val="1"/>
      <w:marLeft w:val="0"/>
      <w:marRight w:val="0"/>
      <w:marTop w:val="0"/>
      <w:marBottom w:val="0"/>
      <w:divBdr>
        <w:top w:val="none" w:sz="0" w:space="0" w:color="auto"/>
        <w:left w:val="none" w:sz="0" w:space="0" w:color="auto"/>
        <w:bottom w:val="none" w:sz="0" w:space="0" w:color="auto"/>
        <w:right w:val="none" w:sz="0" w:space="0" w:color="auto"/>
      </w:divBdr>
    </w:div>
    <w:div w:id="1311786154">
      <w:bodyDiv w:val="1"/>
      <w:marLeft w:val="0"/>
      <w:marRight w:val="0"/>
      <w:marTop w:val="0"/>
      <w:marBottom w:val="0"/>
      <w:divBdr>
        <w:top w:val="none" w:sz="0" w:space="0" w:color="auto"/>
        <w:left w:val="none" w:sz="0" w:space="0" w:color="auto"/>
        <w:bottom w:val="none" w:sz="0" w:space="0" w:color="auto"/>
        <w:right w:val="none" w:sz="0" w:space="0" w:color="auto"/>
      </w:divBdr>
    </w:div>
    <w:div w:id="1314872577">
      <w:bodyDiv w:val="1"/>
      <w:marLeft w:val="0"/>
      <w:marRight w:val="0"/>
      <w:marTop w:val="0"/>
      <w:marBottom w:val="0"/>
      <w:divBdr>
        <w:top w:val="none" w:sz="0" w:space="0" w:color="auto"/>
        <w:left w:val="none" w:sz="0" w:space="0" w:color="auto"/>
        <w:bottom w:val="none" w:sz="0" w:space="0" w:color="auto"/>
        <w:right w:val="none" w:sz="0" w:space="0" w:color="auto"/>
      </w:divBdr>
    </w:div>
    <w:div w:id="1332874585">
      <w:bodyDiv w:val="1"/>
      <w:marLeft w:val="0"/>
      <w:marRight w:val="0"/>
      <w:marTop w:val="0"/>
      <w:marBottom w:val="0"/>
      <w:divBdr>
        <w:top w:val="none" w:sz="0" w:space="0" w:color="auto"/>
        <w:left w:val="none" w:sz="0" w:space="0" w:color="auto"/>
        <w:bottom w:val="none" w:sz="0" w:space="0" w:color="auto"/>
        <w:right w:val="none" w:sz="0" w:space="0" w:color="auto"/>
      </w:divBdr>
    </w:div>
    <w:div w:id="1336224021">
      <w:bodyDiv w:val="1"/>
      <w:marLeft w:val="0"/>
      <w:marRight w:val="0"/>
      <w:marTop w:val="0"/>
      <w:marBottom w:val="0"/>
      <w:divBdr>
        <w:top w:val="none" w:sz="0" w:space="0" w:color="auto"/>
        <w:left w:val="none" w:sz="0" w:space="0" w:color="auto"/>
        <w:bottom w:val="none" w:sz="0" w:space="0" w:color="auto"/>
        <w:right w:val="none" w:sz="0" w:space="0" w:color="auto"/>
      </w:divBdr>
    </w:div>
    <w:div w:id="1356881437">
      <w:bodyDiv w:val="1"/>
      <w:marLeft w:val="0"/>
      <w:marRight w:val="0"/>
      <w:marTop w:val="0"/>
      <w:marBottom w:val="0"/>
      <w:divBdr>
        <w:top w:val="none" w:sz="0" w:space="0" w:color="auto"/>
        <w:left w:val="none" w:sz="0" w:space="0" w:color="auto"/>
        <w:bottom w:val="none" w:sz="0" w:space="0" w:color="auto"/>
        <w:right w:val="none" w:sz="0" w:space="0" w:color="auto"/>
      </w:divBdr>
    </w:div>
    <w:div w:id="1367409395">
      <w:bodyDiv w:val="1"/>
      <w:marLeft w:val="0"/>
      <w:marRight w:val="0"/>
      <w:marTop w:val="0"/>
      <w:marBottom w:val="0"/>
      <w:divBdr>
        <w:top w:val="none" w:sz="0" w:space="0" w:color="auto"/>
        <w:left w:val="none" w:sz="0" w:space="0" w:color="auto"/>
        <w:bottom w:val="none" w:sz="0" w:space="0" w:color="auto"/>
        <w:right w:val="none" w:sz="0" w:space="0" w:color="auto"/>
      </w:divBdr>
    </w:div>
    <w:div w:id="1385983216">
      <w:bodyDiv w:val="1"/>
      <w:marLeft w:val="0"/>
      <w:marRight w:val="0"/>
      <w:marTop w:val="0"/>
      <w:marBottom w:val="0"/>
      <w:divBdr>
        <w:top w:val="none" w:sz="0" w:space="0" w:color="auto"/>
        <w:left w:val="none" w:sz="0" w:space="0" w:color="auto"/>
        <w:bottom w:val="none" w:sz="0" w:space="0" w:color="auto"/>
        <w:right w:val="none" w:sz="0" w:space="0" w:color="auto"/>
      </w:divBdr>
    </w:div>
    <w:div w:id="1389962647">
      <w:bodyDiv w:val="1"/>
      <w:marLeft w:val="0"/>
      <w:marRight w:val="0"/>
      <w:marTop w:val="0"/>
      <w:marBottom w:val="0"/>
      <w:divBdr>
        <w:top w:val="none" w:sz="0" w:space="0" w:color="auto"/>
        <w:left w:val="none" w:sz="0" w:space="0" w:color="auto"/>
        <w:bottom w:val="none" w:sz="0" w:space="0" w:color="auto"/>
        <w:right w:val="none" w:sz="0" w:space="0" w:color="auto"/>
      </w:divBdr>
    </w:div>
    <w:div w:id="1390497656">
      <w:bodyDiv w:val="1"/>
      <w:marLeft w:val="0"/>
      <w:marRight w:val="0"/>
      <w:marTop w:val="0"/>
      <w:marBottom w:val="0"/>
      <w:divBdr>
        <w:top w:val="none" w:sz="0" w:space="0" w:color="auto"/>
        <w:left w:val="none" w:sz="0" w:space="0" w:color="auto"/>
        <w:bottom w:val="none" w:sz="0" w:space="0" w:color="auto"/>
        <w:right w:val="none" w:sz="0" w:space="0" w:color="auto"/>
      </w:divBdr>
    </w:div>
    <w:div w:id="1390762259">
      <w:bodyDiv w:val="1"/>
      <w:marLeft w:val="0"/>
      <w:marRight w:val="0"/>
      <w:marTop w:val="0"/>
      <w:marBottom w:val="0"/>
      <w:divBdr>
        <w:top w:val="none" w:sz="0" w:space="0" w:color="auto"/>
        <w:left w:val="none" w:sz="0" w:space="0" w:color="auto"/>
        <w:bottom w:val="none" w:sz="0" w:space="0" w:color="auto"/>
        <w:right w:val="none" w:sz="0" w:space="0" w:color="auto"/>
      </w:divBdr>
    </w:div>
    <w:div w:id="1396199085">
      <w:bodyDiv w:val="1"/>
      <w:marLeft w:val="0"/>
      <w:marRight w:val="0"/>
      <w:marTop w:val="0"/>
      <w:marBottom w:val="0"/>
      <w:divBdr>
        <w:top w:val="none" w:sz="0" w:space="0" w:color="auto"/>
        <w:left w:val="none" w:sz="0" w:space="0" w:color="auto"/>
        <w:bottom w:val="none" w:sz="0" w:space="0" w:color="auto"/>
        <w:right w:val="none" w:sz="0" w:space="0" w:color="auto"/>
      </w:divBdr>
    </w:div>
    <w:div w:id="1397313725">
      <w:bodyDiv w:val="1"/>
      <w:marLeft w:val="0"/>
      <w:marRight w:val="0"/>
      <w:marTop w:val="0"/>
      <w:marBottom w:val="0"/>
      <w:divBdr>
        <w:top w:val="none" w:sz="0" w:space="0" w:color="auto"/>
        <w:left w:val="none" w:sz="0" w:space="0" w:color="auto"/>
        <w:bottom w:val="none" w:sz="0" w:space="0" w:color="auto"/>
        <w:right w:val="none" w:sz="0" w:space="0" w:color="auto"/>
      </w:divBdr>
    </w:div>
    <w:div w:id="1404450575">
      <w:bodyDiv w:val="1"/>
      <w:marLeft w:val="0"/>
      <w:marRight w:val="0"/>
      <w:marTop w:val="0"/>
      <w:marBottom w:val="0"/>
      <w:divBdr>
        <w:top w:val="none" w:sz="0" w:space="0" w:color="auto"/>
        <w:left w:val="none" w:sz="0" w:space="0" w:color="auto"/>
        <w:bottom w:val="none" w:sz="0" w:space="0" w:color="auto"/>
        <w:right w:val="none" w:sz="0" w:space="0" w:color="auto"/>
      </w:divBdr>
    </w:div>
    <w:div w:id="1419715560">
      <w:bodyDiv w:val="1"/>
      <w:marLeft w:val="0"/>
      <w:marRight w:val="0"/>
      <w:marTop w:val="0"/>
      <w:marBottom w:val="0"/>
      <w:divBdr>
        <w:top w:val="none" w:sz="0" w:space="0" w:color="auto"/>
        <w:left w:val="none" w:sz="0" w:space="0" w:color="auto"/>
        <w:bottom w:val="none" w:sz="0" w:space="0" w:color="auto"/>
        <w:right w:val="none" w:sz="0" w:space="0" w:color="auto"/>
      </w:divBdr>
    </w:div>
    <w:div w:id="1425295972">
      <w:bodyDiv w:val="1"/>
      <w:marLeft w:val="0"/>
      <w:marRight w:val="0"/>
      <w:marTop w:val="0"/>
      <w:marBottom w:val="0"/>
      <w:divBdr>
        <w:top w:val="none" w:sz="0" w:space="0" w:color="auto"/>
        <w:left w:val="none" w:sz="0" w:space="0" w:color="auto"/>
        <w:bottom w:val="none" w:sz="0" w:space="0" w:color="auto"/>
        <w:right w:val="none" w:sz="0" w:space="0" w:color="auto"/>
      </w:divBdr>
    </w:div>
    <w:div w:id="1432361901">
      <w:bodyDiv w:val="1"/>
      <w:marLeft w:val="0"/>
      <w:marRight w:val="0"/>
      <w:marTop w:val="0"/>
      <w:marBottom w:val="0"/>
      <w:divBdr>
        <w:top w:val="none" w:sz="0" w:space="0" w:color="auto"/>
        <w:left w:val="none" w:sz="0" w:space="0" w:color="auto"/>
        <w:bottom w:val="none" w:sz="0" w:space="0" w:color="auto"/>
        <w:right w:val="none" w:sz="0" w:space="0" w:color="auto"/>
      </w:divBdr>
    </w:div>
    <w:div w:id="1454784298">
      <w:bodyDiv w:val="1"/>
      <w:marLeft w:val="0"/>
      <w:marRight w:val="0"/>
      <w:marTop w:val="0"/>
      <w:marBottom w:val="0"/>
      <w:divBdr>
        <w:top w:val="none" w:sz="0" w:space="0" w:color="auto"/>
        <w:left w:val="none" w:sz="0" w:space="0" w:color="auto"/>
        <w:bottom w:val="none" w:sz="0" w:space="0" w:color="auto"/>
        <w:right w:val="none" w:sz="0" w:space="0" w:color="auto"/>
      </w:divBdr>
    </w:div>
    <w:div w:id="1454979176">
      <w:bodyDiv w:val="1"/>
      <w:marLeft w:val="0"/>
      <w:marRight w:val="0"/>
      <w:marTop w:val="0"/>
      <w:marBottom w:val="0"/>
      <w:divBdr>
        <w:top w:val="none" w:sz="0" w:space="0" w:color="auto"/>
        <w:left w:val="none" w:sz="0" w:space="0" w:color="auto"/>
        <w:bottom w:val="none" w:sz="0" w:space="0" w:color="auto"/>
        <w:right w:val="none" w:sz="0" w:space="0" w:color="auto"/>
      </w:divBdr>
    </w:div>
    <w:div w:id="1475830772">
      <w:bodyDiv w:val="1"/>
      <w:marLeft w:val="0"/>
      <w:marRight w:val="0"/>
      <w:marTop w:val="0"/>
      <w:marBottom w:val="0"/>
      <w:divBdr>
        <w:top w:val="none" w:sz="0" w:space="0" w:color="auto"/>
        <w:left w:val="none" w:sz="0" w:space="0" w:color="auto"/>
        <w:bottom w:val="none" w:sz="0" w:space="0" w:color="auto"/>
        <w:right w:val="none" w:sz="0" w:space="0" w:color="auto"/>
      </w:divBdr>
    </w:div>
    <w:div w:id="1483765933">
      <w:bodyDiv w:val="1"/>
      <w:marLeft w:val="0"/>
      <w:marRight w:val="0"/>
      <w:marTop w:val="0"/>
      <w:marBottom w:val="0"/>
      <w:divBdr>
        <w:top w:val="none" w:sz="0" w:space="0" w:color="auto"/>
        <w:left w:val="none" w:sz="0" w:space="0" w:color="auto"/>
        <w:bottom w:val="none" w:sz="0" w:space="0" w:color="auto"/>
        <w:right w:val="none" w:sz="0" w:space="0" w:color="auto"/>
      </w:divBdr>
    </w:div>
    <w:div w:id="1496729409">
      <w:bodyDiv w:val="1"/>
      <w:marLeft w:val="0"/>
      <w:marRight w:val="0"/>
      <w:marTop w:val="0"/>
      <w:marBottom w:val="0"/>
      <w:divBdr>
        <w:top w:val="none" w:sz="0" w:space="0" w:color="auto"/>
        <w:left w:val="none" w:sz="0" w:space="0" w:color="auto"/>
        <w:bottom w:val="none" w:sz="0" w:space="0" w:color="auto"/>
        <w:right w:val="none" w:sz="0" w:space="0" w:color="auto"/>
      </w:divBdr>
    </w:div>
    <w:div w:id="1510295498">
      <w:bodyDiv w:val="1"/>
      <w:marLeft w:val="0"/>
      <w:marRight w:val="0"/>
      <w:marTop w:val="0"/>
      <w:marBottom w:val="0"/>
      <w:divBdr>
        <w:top w:val="none" w:sz="0" w:space="0" w:color="auto"/>
        <w:left w:val="none" w:sz="0" w:space="0" w:color="auto"/>
        <w:bottom w:val="none" w:sz="0" w:space="0" w:color="auto"/>
        <w:right w:val="none" w:sz="0" w:space="0" w:color="auto"/>
      </w:divBdr>
    </w:div>
    <w:div w:id="1511874024">
      <w:bodyDiv w:val="1"/>
      <w:marLeft w:val="0"/>
      <w:marRight w:val="0"/>
      <w:marTop w:val="0"/>
      <w:marBottom w:val="0"/>
      <w:divBdr>
        <w:top w:val="none" w:sz="0" w:space="0" w:color="auto"/>
        <w:left w:val="none" w:sz="0" w:space="0" w:color="auto"/>
        <w:bottom w:val="none" w:sz="0" w:space="0" w:color="auto"/>
        <w:right w:val="none" w:sz="0" w:space="0" w:color="auto"/>
      </w:divBdr>
    </w:div>
    <w:div w:id="1513303532">
      <w:bodyDiv w:val="1"/>
      <w:marLeft w:val="0"/>
      <w:marRight w:val="0"/>
      <w:marTop w:val="0"/>
      <w:marBottom w:val="0"/>
      <w:divBdr>
        <w:top w:val="none" w:sz="0" w:space="0" w:color="auto"/>
        <w:left w:val="none" w:sz="0" w:space="0" w:color="auto"/>
        <w:bottom w:val="none" w:sz="0" w:space="0" w:color="auto"/>
        <w:right w:val="none" w:sz="0" w:space="0" w:color="auto"/>
      </w:divBdr>
    </w:div>
    <w:div w:id="1520243570">
      <w:bodyDiv w:val="1"/>
      <w:marLeft w:val="0"/>
      <w:marRight w:val="0"/>
      <w:marTop w:val="0"/>
      <w:marBottom w:val="0"/>
      <w:divBdr>
        <w:top w:val="none" w:sz="0" w:space="0" w:color="auto"/>
        <w:left w:val="none" w:sz="0" w:space="0" w:color="auto"/>
        <w:bottom w:val="none" w:sz="0" w:space="0" w:color="auto"/>
        <w:right w:val="none" w:sz="0" w:space="0" w:color="auto"/>
      </w:divBdr>
    </w:div>
    <w:div w:id="1534228420">
      <w:bodyDiv w:val="1"/>
      <w:marLeft w:val="0"/>
      <w:marRight w:val="0"/>
      <w:marTop w:val="0"/>
      <w:marBottom w:val="0"/>
      <w:divBdr>
        <w:top w:val="none" w:sz="0" w:space="0" w:color="auto"/>
        <w:left w:val="none" w:sz="0" w:space="0" w:color="auto"/>
        <w:bottom w:val="none" w:sz="0" w:space="0" w:color="auto"/>
        <w:right w:val="none" w:sz="0" w:space="0" w:color="auto"/>
      </w:divBdr>
    </w:div>
    <w:div w:id="1540124588">
      <w:bodyDiv w:val="1"/>
      <w:marLeft w:val="0"/>
      <w:marRight w:val="0"/>
      <w:marTop w:val="0"/>
      <w:marBottom w:val="0"/>
      <w:divBdr>
        <w:top w:val="none" w:sz="0" w:space="0" w:color="auto"/>
        <w:left w:val="none" w:sz="0" w:space="0" w:color="auto"/>
        <w:bottom w:val="none" w:sz="0" w:space="0" w:color="auto"/>
        <w:right w:val="none" w:sz="0" w:space="0" w:color="auto"/>
      </w:divBdr>
    </w:div>
    <w:div w:id="1541043645">
      <w:bodyDiv w:val="1"/>
      <w:marLeft w:val="0"/>
      <w:marRight w:val="0"/>
      <w:marTop w:val="0"/>
      <w:marBottom w:val="0"/>
      <w:divBdr>
        <w:top w:val="none" w:sz="0" w:space="0" w:color="auto"/>
        <w:left w:val="none" w:sz="0" w:space="0" w:color="auto"/>
        <w:bottom w:val="none" w:sz="0" w:space="0" w:color="auto"/>
        <w:right w:val="none" w:sz="0" w:space="0" w:color="auto"/>
      </w:divBdr>
    </w:div>
    <w:div w:id="1548225628">
      <w:bodyDiv w:val="1"/>
      <w:marLeft w:val="0"/>
      <w:marRight w:val="0"/>
      <w:marTop w:val="0"/>
      <w:marBottom w:val="0"/>
      <w:divBdr>
        <w:top w:val="none" w:sz="0" w:space="0" w:color="auto"/>
        <w:left w:val="none" w:sz="0" w:space="0" w:color="auto"/>
        <w:bottom w:val="none" w:sz="0" w:space="0" w:color="auto"/>
        <w:right w:val="none" w:sz="0" w:space="0" w:color="auto"/>
      </w:divBdr>
    </w:div>
    <w:div w:id="1549026969">
      <w:bodyDiv w:val="1"/>
      <w:marLeft w:val="0"/>
      <w:marRight w:val="0"/>
      <w:marTop w:val="0"/>
      <w:marBottom w:val="0"/>
      <w:divBdr>
        <w:top w:val="none" w:sz="0" w:space="0" w:color="auto"/>
        <w:left w:val="none" w:sz="0" w:space="0" w:color="auto"/>
        <w:bottom w:val="none" w:sz="0" w:space="0" w:color="auto"/>
        <w:right w:val="none" w:sz="0" w:space="0" w:color="auto"/>
      </w:divBdr>
    </w:div>
    <w:div w:id="1566062992">
      <w:bodyDiv w:val="1"/>
      <w:marLeft w:val="0"/>
      <w:marRight w:val="0"/>
      <w:marTop w:val="0"/>
      <w:marBottom w:val="0"/>
      <w:divBdr>
        <w:top w:val="none" w:sz="0" w:space="0" w:color="auto"/>
        <w:left w:val="none" w:sz="0" w:space="0" w:color="auto"/>
        <w:bottom w:val="none" w:sz="0" w:space="0" w:color="auto"/>
        <w:right w:val="none" w:sz="0" w:space="0" w:color="auto"/>
      </w:divBdr>
    </w:div>
    <w:div w:id="1579825750">
      <w:bodyDiv w:val="1"/>
      <w:marLeft w:val="0"/>
      <w:marRight w:val="0"/>
      <w:marTop w:val="0"/>
      <w:marBottom w:val="0"/>
      <w:divBdr>
        <w:top w:val="none" w:sz="0" w:space="0" w:color="auto"/>
        <w:left w:val="none" w:sz="0" w:space="0" w:color="auto"/>
        <w:bottom w:val="none" w:sz="0" w:space="0" w:color="auto"/>
        <w:right w:val="none" w:sz="0" w:space="0" w:color="auto"/>
      </w:divBdr>
      <w:divsChild>
        <w:div w:id="406923372">
          <w:marLeft w:val="547"/>
          <w:marRight w:val="0"/>
          <w:marTop w:val="0"/>
          <w:marBottom w:val="0"/>
          <w:divBdr>
            <w:top w:val="none" w:sz="0" w:space="0" w:color="auto"/>
            <w:left w:val="none" w:sz="0" w:space="0" w:color="auto"/>
            <w:bottom w:val="none" w:sz="0" w:space="0" w:color="auto"/>
            <w:right w:val="none" w:sz="0" w:space="0" w:color="auto"/>
          </w:divBdr>
        </w:div>
      </w:divsChild>
    </w:div>
    <w:div w:id="1584143865">
      <w:bodyDiv w:val="1"/>
      <w:marLeft w:val="0"/>
      <w:marRight w:val="0"/>
      <w:marTop w:val="0"/>
      <w:marBottom w:val="0"/>
      <w:divBdr>
        <w:top w:val="none" w:sz="0" w:space="0" w:color="auto"/>
        <w:left w:val="none" w:sz="0" w:space="0" w:color="auto"/>
        <w:bottom w:val="none" w:sz="0" w:space="0" w:color="auto"/>
        <w:right w:val="none" w:sz="0" w:space="0" w:color="auto"/>
      </w:divBdr>
    </w:div>
    <w:div w:id="1585333894">
      <w:bodyDiv w:val="1"/>
      <w:marLeft w:val="0"/>
      <w:marRight w:val="0"/>
      <w:marTop w:val="0"/>
      <w:marBottom w:val="0"/>
      <w:divBdr>
        <w:top w:val="none" w:sz="0" w:space="0" w:color="auto"/>
        <w:left w:val="none" w:sz="0" w:space="0" w:color="auto"/>
        <w:bottom w:val="none" w:sz="0" w:space="0" w:color="auto"/>
        <w:right w:val="none" w:sz="0" w:space="0" w:color="auto"/>
      </w:divBdr>
    </w:div>
    <w:div w:id="1590430880">
      <w:bodyDiv w:val="1"/>
      <w:marLeft w:val="0"/>
      <w:marRight w:val="0"/>
      <w:marTop w:val="0"/>
      <w:marBottom w:val="0"/>
      <w:divBdr>
        <w:top w:val="none" w:sz="0" w:space="0" w:color="auto"/>
        <w:left w:val="none" w:sz="0" w:space="0" w:color="auto"/>
        <w:bottom w:val="none" w:sz="0" w:space="0" w:color="auto"/>
        <w:right w:val="none" w:sz="0" w:space="0" w:color="auto"/>
      </w:divBdr>
    </w:div>
    <w:div w:id="1594320016">
      <w:bodyDiv w:val="1"/>
      <w:marLeft w:val="0"/>
      <w:marRight w:val="0"/>
      <w:marTop w:val="0"/>
      <w:marBottom w:val="0"/>
      <w:divBdr>
        <w:top w:val="none" w:sz="0" w:space="0" w:color="auto"/>
        <w:left w:val="none" w:sz="0" w:space="0" w:color="auto"/>
        <w:bottom w:val="none" w:sz="0" w:space="0" w:color="auto"/>
        <w:right w:val="none" w:sz="0" w:space="0" w:color="auto"/>
      </w:divBdr>
    </w:div>
    <w:div w:id="1607075368">
      <w:bodyDiv w:val="1"/>
      <w:marLeft w:val="0"/>
      <w:marRight w:val="0"/>
      <w:marTop w:val="0"/>
      <w:marBottom w:val="0"/>
      <w:divBdr>
        <w:top w:val="none" w:sz="0" w:space="0" w:color="auto"/>
        <w:left w:val="none" w:sz="0" w:space="0" w:color="auto"/>
        <w:bottom w:val="none" w:sz="0" w:space="0" w:color="auto"/>
        <w:right w:val="none" w:sz="0" w:space="0" w:color="auto"/>
      </w:divBdr>
    </w:div>
    <w:div w:id="1611474559">
      <w:bodyDiv w:val="1"/>
      <w:marLeft w:val="0"/>
      <w:marRight w:val="0"/>
      <w:marTop w:val="0"/>
      <w:marBottom w:val="0"/>
      <w:divBdr>
        <w:top w:val="none" w:sz="0" w:space="0" w:color="auto"/>
        <w:left w:val="none" w:sz="0" w:space="0" w:color="auto"/>
        <w:bottom w:val="none" w:sz="0" w:space="0" w:color="auto"/>
        <w:right w:val="none" w:sz="0" w:space="0" w:color="auto"/>
      </w:divBdr>
    </w:div>
    <w:div w:id="1611668140">
      <w:bodyDiv w:val="1"/>
      <w:marLeft w:val="0"/>
      <w:marRight w:val="0"/>
      <w:marTop w:val="0"/>
      <w:marBottom w:val="0"/>
      <w:divBdr>
        <w:top w:val="none" w:sz="0" w:space="0" w:color="auto"/>
        <w:left w:val="none" w:sz="0" w:space="0" w:color="auto"/>
        <w:bottom w:val="none" w:sz="0" w:space="0" w:color="auto"/>
        <w:right w:val="none" w:sz="0" w:space="0" w:color="auto"/>
      </w:divBdr>
    </w:div>
    <w:div w:id="1616983104">
      <w:bodyDiv w:val="1"/>
      <w:marLeft w:val="0"/>
      <w:marRight w:val="0"/>
      <w:marTop w:val="0"/>
      <w:marBottom w:val="0"/>
      <w:divBdr>
        <w:top w:val="none" w:sz="0" w:space="0" w:color="auto"/>
        <w:left w:val="none" w:sz="0" w:space="0" w:color="auto"/>
        <w:bottom w:val="none" w:sz="0" w:space="0" w:color="auto"/>
        <w:right w:val="none" w:sz="0" w:space="0" w:color="auto"/>
      </w:divBdr>
    </w:div>
    <w:div w:id="1630240597">
      <w:bodyDiv w:val="1"/>
      <w:marLeft w:val="0"/>
      <w:marRight w:val="0"/>
      <w:marTop w:val="0"/>
      <w:marBottom w:val="0"/>
      <w:divBdr>
        <w:top w:val="none" w:sz="0" w:space="0" w:color="auto"/>
        <w:left w:val="none" w:sz="0" w:space="0" w:color="auto"/>
        <w:bottom w:val="none" w:sz="0" w:space="0" w:color="auto"/>
        <w:right w:val="none" w:sz="0" w:space="0" w:color="auto"/>
      </w:divBdr>
    </w:div>
    <w:div w:id="1634017415">
      <w:bodyDiv w:val="1"/>
      <w:marLeft w:val="0"/>
      <w:marRight w:val="0"/>
      <w:marTop w:val="0"/>
      <w:marBottom w:val="0"/>
      <w:divBdr>
        <w:top w:val="none" w:sz="0" w:space="0" w:color="auto"/>
        <w:left w:val="none" w:sz="0" w:space="0" w:color="auto"/>
        <w:bottom w:val="none" w:sz="0" w:space="0" w:color="auto"/>
        <w:right w:val="none" w:sz="0" w:space="0" w:color="auto"/>
      </w:divBdr>
    </w:div>
    <w:div w:id="1639652702">
      <w:bodyDiv w:val="1"/>
      <w:marLeft w:val="0"/>
      <w:marRight w:val="0"/>
      <w:marTop w:val="0"/>
      <w:marBottom w:val="0"/>
      <w:divBdr>
        <w:top w:val="none" w:sz="0" w:space="0" w:color="auto"/>
        <w:left w:val="none" w:sz="0" w:space="0" w:color="auto"/>
        <w:bottom w:val="none" w:sz="0" w:space="0" w:color="auto"/>
        <w:right w:val="none" w:sz="0" w:space="0" w:color="auto"/>
      </w:divBdr>
    </w:div>
    <w:div w:id="1648632249">
      <w:bodyDiv w:val="1"/>
      <w:marLeft w:val="0"/>
      <w:marRight w:val="0"/>
      <w:marTop w:val="0"/>
      <w:marBottom w:val="0"/>
      <w:divBdr>
        <w:top w:val="none" w:sz="0" w:space="0" w:color="auto"/>
        <w:left w:val="none" w:sz="0" w:space="0" w:color="auto"/>
        <w:bottom w:val="none" w:sz="0" w:space="0" w:color="auto"/>
        <w:right w:val="none" w:sz="0" w:space="0" w:color="auto"/>
      </w:divBdr>
    </w:div>
    <w:div w:id="1658681648">
      <w:bodyDiv w:val="1"/>
      <w:marLeft w:val="0"/>
      <w:marRight w:val="0"/>
      <w:marTop w:val="0"/>
      <w:marBottom w:val="0"/>
      <w:divBdr>
        <w:top w:val="none" w:sz="0" w:space="0" w:color="auto"/>
        <w:left w:val="none" w:sz="0" w:space="0" w:color="auto"/>
        <w:bottom w:val="none" w:sz="0" w:space="0" w:color="auto"/>
        <w:right w:val="none" w:sz="0" w:space="0" w:color="auto"/>
      </w:divBdr>
    </w:div>
    <w:div w:id="1660379363">
      <w:bodyDiv w:val="1"/>
      <w:marLeft w:val="0"/>
      <w:marRight w:val="0"/>
      <w:marTop w:val="0"/>
      <w:marBottom w:val="0"/>
      <w:divBdr>
        <w:top w:val="none" w:sz="0" w:space="0" w:color="auto"/>
        <w:left w:val="none" w:sz="0" w:space="0" w:color="auto"/>
        <w:bottom w:val="none" w:sz="0" w:space="0" w:color="auto"/>
        <w:right w:val="none" w:sz="0" w:space="0" w:color="auto"/>
      </w:divBdr>
    </w:div>
    <w:div w:id="1668094478">
      <w:bodyDiv w:val="1"/>
      <w:marLeft w:val="0"/>
      <w:marRight w:val="0"/>
      <w:marTop w:val="0"/>
      <w:marBottom w:val="0"/>
      <w:divBdr>
        <w:top w:val="none" w:sz="0" w:space="0" w:color="auto"/>
        <w:left w:val="none" w:sz="0" w:space="0" w:color="auto"/>
        <w:bottom w:val="none" w:sz="0" w:space="0" w:color="auto"/>
        <w:right w:val="none" w:sz="0" w:space="0" w:color="auto"/>
      </w:divBdr>
    </w:div>
    <w:div w:id="1670326473">
      <w:bodyDiv w:val="1"/>
      <w:marLeft w:val="0"/>
      <w:marRight w:val="0"/>
      <w:marTop w:val="0"/>
      <w:marBottom w:val="0"/>
      <w:divBdr>
        <w:top w:val="none" w:sz="0" w:space="0" w:color="auto"/>
        <w:left w:val="none" w:sz="0" w:space="0" w:color="auto"/>
        <w:bottom w:val="none" w:sz="0" w:space="0" w:color="auto"/>
        <w:right w:val="none" w:sz="0" w:space="0" w:color="auto"/>
      </w:divBdr>
    </w:div>
    <w:div w:id="1680498562">
      <w:bodyDiv w:val="1"/>
      <w:marLeft w:val="0"/>
      <w:marRight w:val="0"/>
      <w:marTop w:val="0"/>
      <w:marBottom w:val="0"/>
      <w:divBdr>
        <w:top w:val="none" w:sz="0" w:space="0" w:color="auto"/>
        <w:left w:val="none" w:sz="0" w:space="0" w:color="auto"/>
        <w:bottom w:val="none" w:sz="0" w:space="0" w:color="auto"/>
        <w:right w:val="none" w:sz="0" w:space="0" w:color="auto"/>
      </w:divBdr>
    </w:div>
    <w:div w:id="1684088144">
      <w:bodyDiv w:val="1"/>
      <w:marLeft w:val="0"/>
      <w:marRight w:val="0"/>
      <w:marTop w:val="0"/>
      <w:marBottom w:val="0"/>
      <w:divBdr>
        <w:top w:val="none" w:sz="0" w:space="0" w:color="auto"/>
        <w:left w:val="none" w:sz="0" w:space="0" w:color="auto"/>
        <w:bottom w:val="none" w:sz="0" w:space="0" w:color="auto"/>
        <w:right w:val="none" w:sz="0" w:space="0" w:color="auto"/>
      </w:divBdr>
    </w:div>
    <w:div w:id="1693144408">
      <w:bodyDiv w:val="1"/>
      <w:marLeft w:val="0"/>
      <w:marRight w:val="0"/>
      <w:marTop w:val="0"/>
      <w:marBottom w:val="0"/>
      <w:divBdr>
        <w:top w:val="none" w:sz="0" w:space="0" w:color="auto"/>
        <w:left w:val="none" w:sz="0" w:space="0" w:color="auto"/>
        <w:bottom w:val="none" w:sz="0" w:space="0" w:color="auto"/>
        <w:right w:val="none" w:sz="0" w:space="0" w:color="auto"/>
      </w:divBdr>
    </w:div>
    <w:div w:id="1693728450">
      <w:bodyDiv w:val="1"/>
      <w:marLeft w:val="0"/>
      <w:marRight w:val="0"/>
      <w:marTop w:val="0"/>
      <w:marBottom w:val="0"/>
      <w:divBdr>
        <w:top w:val="none" w:sz="0" w:space="0" w:color="auto"/>
        <w:left w:val="none" w:sz="0" w:space="0" w:color="auto"/>
        <w:bottom w:val="none" w:sz="0" w:space="0" w:color="auto"/>
        <w:right w:val="none" w:sz="0" w:space="0" w:color="auto"/>
      </w:divBdr>
    </w:div>
    <w:div w:id="1709334559">
      <w:bodyDiv w:val="1"/>
      <w:marLeft w:val="0"/>
      <w:marRight w:val="0"/>
      <w:marTop w:val="0"/>
      <w:marBottom w:val="0"/>
      <w:divBdr>
        <w:top w:val="none" w:sz="0" w:space="0" w:color="auto"/>
        <w:left w:val="none" w:sz="0" w:space="0" w:color="auto"/>
        <w:bottom w:val="none" w:sz="0" w:space="0" w:color="auto"/>
        <w:right w:val="none" w:sz="0" w:space="0" w:color="auto"/>
      </w:divBdr>
    </w:div>
    <w:div w:id="1711683750">
      <w:bodyDiv w:val="1"/>
      <w:marLeft w:val="0"/>
      <w:marRight w:val="0"/>
      <w:marTop w:val="0"/>
      <w:marBottom w:val="0"/>
      <w:divBdr>
        <w:top w:val="none" w:sz="0" w:space="0" w:color="auto"/>
        <w:left w:val="none" w:sz="0" w:space="0" w:color="auto"/>
        <w:bottom w:val="none" w:sz="0" w:space="0" w:color="auto"/>
        <w:right w:val="none" w:sz="0" w:space="0" w:color="auto"/>
      </w:divBdr>
    </w:div>
    <w:div w:id="1714034814">
      <w:bodyDiv w:val="1"/>
      <w:marLeft w:val="0"/>
      <w:marRight w:val="0"/>
      <w:marTop w:val="0"/>
      <w:marBottom w:val="0"/>
      <w:divBdr>
        <w:top w:val="none" w:sz="0" w:space="0" w:color="auto"/>
        <w:left w:val="none" w:sz="0" w:space="0" w:color="auto"/>
        <w:bottom w:val="none" w:sz="0" w:space="0" w:color="auto"/>
        <w:right w:val="none" w:sz="0" w:space="0" w:color="auto"/>
      </w:divBdr>
    </w:div>
    <w:div w:id="1718629468">
      <w:bodyDiv w:val="1"/>
      <w:marLeft w:val="0"/>
      <w:marRight w:val="0"/>
      <w:marTop w:val="0"/>
      <w:marBottom w:val="0"/>
      <w:divBdr>
        <w:top w:val="none" w:sz="0" w:space="0" w:color="auto"/>
        <w:left w:val="none" w:sz="0" w:space="0" w:color="auto"/>
        <w:bottom w:val="none" w:sz="0" w:space="0" w:color="auto"/>
        <w:right w:val="none" w:sz="0" w:space="0" w:color="auto"/>
      </w:divBdr>
    </w:div>
    <w:div w:id="1724478650">
      <w:bodyDiv w:val="1"/>
      <w:marLeft w:val="0"/>
      <w:marRight w:val="0"/>
      <w:marTop w:val="0"/>
      <w:marBottom w:val="0"/>
      <w:divBdr>
        <w:top w:val="none" w:sz="0" w:space="0" w:color="auto"/>
        <w:left w:val="none" w:sz="0" w:space="0" w:color="auto"/>
        <w:bottom w:val="none" w:sz="0" w:space="0" w:color="auto"/>
        <w:right w:val="none" w:sz="0" w:space="0" w:color="auto"/>
      </w:divBdr>
    </w:div>
    <w:div w:id="1724672441">
      <w:bodyDiv w:val="1"/>
      <w:marLeft w:val="0"/>
      <w:marRight w:val="0"/>
      <w:marTop w:val="0"/>
      <w:marBottom w:val="0"/>
      <w:divBdr>
        <w:top w:val="none" w:sz="0" w:space="0" w:color="auto"/>
        <w:left w:val="none" w:sz="0" w:space="0" w:color="auto"/>
        <w:bottom w:val="none" w:sz="0" w:space="0" w:color="auto"/>
        <w:right w:val="none" w:sz="0" w:space="0" w:color="auto"/>
      </w:divBdr>
    </w:div>
    <w:div w:id="1726030952">
      <w:bodyDiv w:val="1"/>
      <w:marLeft w:val="0"/>
      <w:marRight w:val="0"/>
      <w:marTop w:val="0"/>
      <w:marBottom w:val="0"/>
      <w:divBdr>
        <w:top w:val="none" w:sz="0" w:space="0" w:color="auto"/>
        <w:left w:val="none" w:sz="0" w:space="0" w:color="auto"/>
        <w:bottom w:val="none" w:sz="0" w:space="0" w:color="auto"/>
        <w:right w:val="none" w:sz="0" w:space="0" w:color="auto"/>
      </w:divBdr>
    </w:div>
    <w:div w:id="1729307679">
      <w:bodyDiv w:val="1"/>
      <w:marLeft w:val="0"/>
      <w:marRight w:val="0"/>
      <w:marTop w:val="0"/>
      <w:marBottom w:val="0"/>
      <w:divBdr>
        <w:top w:val="none" w:sz="0" w:space="0" w:color="auto"/>
        <w:left w:val="none" w:sz="0" w:space="0" w:color="auto"/>
        <w:bottom w:val="none" w:sz="0" w:space="0" w:color="auto"/>
        <w:right w:val="none" w:sz="0" w:space="0" w:color="auto"/>
      </w:divBdr>
    </w:div>
    <w:div w:id="1729765602">
      <w:bodyDiv w:val="1"/>
      <w:marLeft w:val="0"/>
      <w:marRight w:val="0"/>
      <w:marTop w:val="0"/>
      <w:marBottom w:val="0"/>
      <w:divBdr>
        <w:top w:val="none" w:sz="0" w:space="0" w:color="auto"/>
        <w:left w:val="none" w:sz="0" w:space="0" w:color="auto"/>
        <w:bottom w:val="none" w:sz="0" w:space="0" w:color="auto"/>
        <w:right w:val="none" w:sz="0" w:space="0" w:color="auto"/>
      </w:divBdr>
    </w:div>
    <w:div w:id="1730151246">
      <w:bodyDiv w:val="1"/>
      <w:marLeft w:val="0"/>
      <w:marRight w:val="0"/>
      <w:marTop w:val="0"/>
      <w:marBottom w:val="0"/>
      <w:divBdr>
        <w:top w:val="none" w:sz="0" w:space="0" w:color="auto"/>
        <w:left w:val="none" w:sz="0" w:space="0" w:color="auto"/>
        <w:bottom w:val="none" w:sz="0" w:space="0" w:color="auto"/>
        <w:right w:val="none" w:sz="0" w:space="0" w:color="auto"/>
      </w:divBdr>
    </w:div>
    <w:div w:id="1734619950">
      <w:bodyDiv w:val="1"/>
      <w:marLeft w:val="0"/>
      <w:marRight w:val="0"/>
      <w:marTop w:val="0"/>
      <w:marBottom w:val="0"/>
      <w:divBdr>
        <w:top w:val="none" w:sz="0" w:space="0" w:color="auto"/>
        <w:left w:val="none" w:sz="0" w:space="0" w:color="auto"/>
        <w:bottom w:val="none" w:sz="0" w:space="0" w:color="auto"/>
        <w:right w:val="none" w:sz="0" w:space="0" w:color="auto"/>
      </w:divBdr>
    </w:div>
    <w:div w:id="1739472113">
      <w:bodyDiv w:val="1"/>
      <w:marLeft w:val="0"/>
      <w:marRight w:val="0"/>
      <w:marTop w:val="0"/>
      <w:marBottom w:val="0"/>
      <w:divBdr>
        <w:top w:val="none" w:sz="0" w:space="0" w:color="auto"/>
        <w:left w:val="none" w:sz="0" w:space="0" w:color="auto"/>
        <w:bottom w:val="none" w:sz="0" w:space="0" w:color="auto"/>
        <w:right w:val="none" w:sz="0" w:space="0" w:color="auto"/>
      </w:divBdr>
    </w:div>
    <w:div w:id="1747729397">
      <w:bodyDiv w:val="1"/>
      <w:marLeft w:val="0"/>
      <w:marRight w:val="0"/>
      <w:marTop w:val="0"/>
      <w:marBottom w:val="0"/>
      <w:divBdr>
        <w:top w:val="none" w:sz="0" w:space="0" w:color="auto"/>
        <w:left w:val="none" w:sz="0" w:space="0" w:color="auto"/>
        <w:bottom w:val="none" w:sz="0" w:space="0" w:color="auto"/>
        <w:right w:val="none" w:sz="0" w:space="0" w:color="auto"/>
      </w:divBdr>
    </w:div>
    <w:div w:id="1754812504">
      <w:bodyDiv w:val="1"/>
      <w:marLeft w:val="0"/>
      <w:marRight w:val="0"/>
      <w:marTop w:val="0"/>
      <w:marBottom w:val="0"/>
      <w:divBdr>
        <w:top w:val="none" w:sz="0" w:space="0" w:color="auto"/>
        <w:left w:val="none" w:sz="0" w:space="0" w:color="auto"/>
        <w:bottom w:val="none" w:sz="0" w:space="0" w:color="auto"/>
        <w:right w:val="none" w:sz="0" w:space="0" w:color="auto"/>
      </w:divBdr>
    </w:div>
    <w:div w:id="1755591989">
      <w:bodyDiv w:val="1"/>
      <w:marLeft w:val="0"/>
      <w:marRight w:val="0"/>
      <w:marTop w:val="0"/>
      <w:marBottom w:val="0"/>
      <w:divBdr>
        <w:top w:val="none" w:sz="0" w:space="0" w:color="auto"/>
        <w:left w:val="none" w:sz="0" w:space="0" w:color="auto"/>
        <w:bottom w:val="none" w:sz="0" w:space="0" w:color="auto"/>
        <w:right w:val="none" w:sz="0" w:space="0" w:color="auto"/>
      </w:divBdr>
    </w:div>
    <w:div w:id="1765295257">
      <w:bodyDiv w:val="1"/>
      <w:marLeft w:val="0"/>
      <w:marRight w:val="0"/>
      <w:marTop w:val="0"/>
      <w:marBottom w:val="0"/>
      <w:divBdr>
        <w:top w:val="none" w:sz="0" w:space="0" w:color="auto"/>
        <w:left w:val="none" w:sz="0" w:space="0" w:color="auto"/>
        <w:bottom w:val="none" w:sz="0" w:space="0" w:color="auto"/>
        <w:right w:val="none" w:sz="0" w:space="0" w:color="auto"/>
      </w:divBdr>
    </w:div>
    <w:div w:id="1765296932">
      <w:bodyDiv w:val="1"/>
      <w:marLeft w:val="0"/>
      <w:marRight w:val="0"/>
      <w:marTop w:val="0"/>
      <w:marBottom w:val="0"/>
      <w:divBdr>
        <w:top w:val="none" w:sz="0" w:space="0" w:color="auto"/>
        <w:left w:val="none" w:sz="0" w:space="0" w:color="auto"/>
        <w:bottom w:val="none" w:sz="0" w:space="0" w:color="auto"/>
        <w:right w:val="none" w:sz="0" w:space="0" w:color="auto"/>
      </w:divBdr>
    </w:div>
    <w:div w:id="1768186765">
      <w:bodyDiv w:val="1"/>
      <w:marLeft w:val="0"/>
      <w:marRight w:val="0"/>
      <w:marTop w:val="0"/>
      <w:marBottom w:val="0"/>
      <w:divBdr>
        <w:top w:val="none" w:sz="0" w:space="0" w:color="auto"/>
        <w:left w:val="none" w:sz="0" w:space="0" w:color="auto"/>
        <w:bottom w:val="none" w:sz="0" w:space="0" w:color="auto"/>
        <w:right w:val="none" w:sz="0" w:space="0" w:color="auto"/>
      </w:divBdr>
    </w:div>
    <w:div w:id="1775899957">
      <w:bodyDiv w:val="1"/>
      <w:marLeft w:val="0"/>
      <w:marRight w:val="0"/>
      <w:marTop w:val="0"/>
      <w:marBottom w:val="0"/>
      <w:divBdr>
        <w:top w:val="none" w:sz="0" w:space="0" w:color="auto"/>
        <w:left w:val="none" w:sz="0" w:space="0" w:color="auto"/>
        <w:bottom w:val="none" w:sz="0" w:space="0" w:color="auto"/>
        <w:right w:val="none" w:sz="0" w:space="0" w:color="auto"/>
      </w:divBdr>
    </w:div>
    <w:div w:id="1801920887">
      <w:bodyDiv w:val="1"/>
      <w:marLeft w:val="0"/>
      <w:marRight w:val="0"/>
      <w:marTop w:val="0"/>
      <w:marBottom w:val="0"/>
      <w:divBdr>
        <w:top w:val="none" w:sz="0" w:space="0" w:color="auto"/>
        <w:left w:val="none" w:sz="0" w:space="0" w:color="auto"/>
        <w:bottom w:val="none" w:sz="0" w:space="0" w:color="auto"/>
        <w:right w:val="none" w:sz="0" w:space="0" w:color="auto"/>
      </w:divBdr>
    </w:div>
    <w:div w:id="1811708259">
      <w:bodyDiv w:val="1"/>
      <w:marLeft w:val="0"/>
      <w:marRight w:val="0"/>
      <w:marTop w:val="0"/>
      <w:marBottom w:val="0"/>
      <w:divBdr>
        <w:top w:val="none" w:sz="0" w:space="0" w:color="auto"/>
        <w:left w:val="none" w:sz="0" w:space="0" w:color="auto"/>
        <w:bottom w:val="none" w:sz="0" w:space="0" w:color="auto"/>
        <w:right w:val="none" w:sz="0" w:space="0" w:color="auto"/>
      </w:divBdr>
    </w:div>
    <w:div w:id="1812597744">
      <w:bodyDiv w:val="1"/>
      <w:marLeft w:val="0"/>
      <w:marRight w:val="0"/>
      <w:marTop w:val="0"/>
      <w:marBottom w:val="0"/>
      <w:divBdr>
        <w:top w:val="none" w:sz="0" w:space="0" w:color="auto"/>
        <w:left w:val="none" w:sz="0" w:space="0" w:color="auto"/>
        <w:bottom w:val="none" w:sz="0" w:space="0" w:color="auto"/>
        <w:right w:val="none" w:sz="0" w:space="0" w:color="auto"/>
      </w:divBdr>
    </w:div>
    <w:div w:id="1813523781">
      <w:bodyDiv w:val="1"/>
      <w:marLeft w:val="0"/>
      <w:marRight w:val="0"/>
      <w:marTop w:val="0"/>
      <w:marBottom w:val="0"/>
      <w:divBdr>
        <w:top w:val="none" w:sz="0" w:space="0" w:color="auto"/>
        <w:left w:val="none" w:sz="0" w:space="0" w:color="auto"/>
        <w:bottom w:val="none" w:sz="0" w:space="0" w:color="auto"/>
        <w:right w:val="none" w:sz="0" w:space="0" w:color="auto"/>
      </w:divBdr>
    </w:div>
    <w:div w:id="1825781680">
      <w:bodyDiv w:val="1"/>
      <w:marLeft w:val="0"/>
      <w:marRight w:val="0"/>
      <w:marTop w:val="0"/>
      <w:marBottom w:val="0"/>
      <w:divBdr>
        <w:top w:val="none" w:sz="0" w:space="0" w:color="auto"/>
        <w:left w:val="none" w:sz="0" w:space="0" w:color="auto"/>
        <w:bottom w:val="none" w:sz="0" w:space="0" w:color="auto"/>
        <w:right w:val="none" w:sz="0" w:space="0" w:color="auto"/>
      </w:divBdr>
    </w:div>
    <w:div w:id="1826434839">
      <w:bodyDiv w:val="1"/>
      <w:marLeft w:val="0"/>
      <w:marRight w:val="0"/>
      <w:marTop w:val="0"/>
      <w:marBottom w:val="0"/>
      <w:divBdr>
        <w:top w:val="none" w:sz="0" w:space="0" w:color="auto"/>
        <w:left w:val="none" w:sz="0" w:space="0" w:color="auto"/>
        <w:bottom w:val="none" w:sz="0" w:space="0" w:color="auto"/>
        <w:right w:val="none" w:sz="0" w:space="0" w:color="auto"/>
      </w:divBdr>
    </w:div>
    <w:div w:id="1832477697">
      <w:bodyDiv w:val="1"/>
      <w:marLeft w:val="0"/>
      <w:marRight w:val="0"/>
      <w:marTop w:val="0"/>
      <w:marBottom w:val="0"/>
      <w:divBdr>
        <w:top w:val="none" w:sz="0" w:space="0" w:color="auto"/>
        <w:left w:val="none" w:sz="0" w:space="0" w:color="auto"/>
        <w:bottom w:val="none" w:sz="0" w:space="0" w:color="auto"/>
        <w:right w:val="none" w:sz="0" w:space="0" w:color="auto"/>
      </w:divBdr>
    </w:div>
    <w:div w:id="1843474491">
      <w:bodyDiv w:val="1"/>
      <w:marLeft w:val="0"/>
      <w:marRight w:val="0"/>
      <w:marTop w:val="0"/>
      <w:marBottom w:val="0"/>
      <w:divBdr>
        <w:top w:val="none" w:sz="0" w:space="0" w:color="auto"/>
        <w:left w:val="none" w:sz="0" w:space="0" w:color="auto"/>
        <w:bottom w:val="none" w:sz="0" w:space="0" w:color="auto"/>
        <w:right w:val="none" w:sz="0" w:space="0" w:color="auto"/>
      </w:divBdr>
    </w:div>
    <w:div w:id="1850633498">
      <w:bodyDiv w:val="1"/>
      <w:marLeft w:val="0"/>
      <w:marRight w:val="0"/>
      <w:marTop w:val="0"/>
      <w:marBottom w:val="0"/>
      <w:divBdr>
        <w:top w:val="none" w:sz="0" w:space="0" w:color="auto"/>
        <w:left w:val="none" w:sz="0" w:space="0" w:color="auto"/>
        <w:bottom w:val="none" w:sz="0" w:space="0" w:color="auto"/>
        <w:right w:val="none" w:sz="0" w:space="0" w:color="auto"/>
      </w:divBdr>
    </w:div>
    <w:div w:id="1861550212">
      <w:bodyDiv w:val="1"/>
      <w:marLeft w:val="0"/>
      <w:marRight w:val="0"/>
      <w:marTop w:val="0"/>
      <w:marBottom w:val="0"/>
      <w:divBdr>
        <w:top w:val="none" w:sz="0" w:space="0" w:color="auto"/>
        <w:left w:val="none" w:sz="0" w:space="0" w:color="auto"/>
        <w:bottom w:val="none" w:sz="0" w:space="0" w:color="auto"/>
        <w:right w:val="none" w:sz="0" w:space="0" w:color="auto"/>
      </w:divBdr>
    </w:div>
    <w:div w:id="1867711920">
      <w:bodyDiv w:val="1"/>
      <w:marLeft w:val="0"/>
      <w:marRight w:val="0"/>
      <w:marTop w:val="0"/>
      <w:marBottom w:val="0"/>
      <w:divBdr>
        <w:top w:val="none" w:sz="0" w:space="0" w:color="auto"/>
        <w:left w:val="none" w:sz="0" w:space="0" w:color="auto"/>
        <w:bottom w:val="none" w:sz="0" w:space="0" w:color="auto"/>
        <w:right w:val="none" w:sz="0" w:space="0" w:color="auto"/>
      </w:divBdr>
    </w:div>
    <w:div w:id="1876960204">
      <w:bodyDiv w:val="1"/>
      <w:marLeft w:val="0"/>
      <w:marRight w:val="0"/>
      <w:marTop w:val="0"/>
      <w:marBottom w:val="0"/>
      <w:divBdr>
        <w:top w:val="none" w:sz="0" w:space="0" w:color="auto"/>
        <w:left w:val="none" w:sz="0" w:space="0" w:color="auto"/>
        <w:bottom w:val="none" w:sz="0" w:space="0" w:color="auto"/>
        <w:right w:val="none" w:sz="0" w:space="0" w:color="auto"/>
      </w:divBdr>
    </w:div>
    <w:div w:id="1889223144">
      <w:bodyDiv w:val="1"/>
      <w:marLeft w:val="0"/>
      <w:marRight w:val="0"/>
      <w:marTop w:val="0"/>
      <w:marBottom w:val="0"/>
      <w:divBdr>
        <w:top w:val="none" w:sz="0" w:space="0" w:color="auto"/>
        <w:left w:val="none" w:sz="0" w:space="0" w:color="auto"/>
        <w:bottom w:val="none" w:sz="0" w:space="0" w:color="auto"/>
        <w:right w:val="none" w:sz="0" w:space="0" w:color="auto"/>
      </w:divBdr>
    </w:div>
    <w:div w:id="1894538021">
      <w:bodyDiv w:val="1"/>
      <w:marLeft w:val="0"/>
      <w:marRight w:val="0"/>
      <w:marTop w:val="0"/>
      <w:marBottom w:val="0"/>
      <w:divBdr>
        <w:top w:val="none" w:sz="0" w:space="0" w:color="auto"/>
        <w:left w:val="none" w:sz="0" w:space="0" w:color="auto"/>
        <w:bottom w:val="none" w:sz="0" w:space="0" w:color="auto"/>
        <w:right w:val="none" w:sz="0" w:space="0" w:color="auto"/>
      </w:divBdr>
    </w:div>
    <w:div w:id="1895123095">
      <w:bodyDiv w:val="1"/>
      <w:marLeft w:val="0"/>
      <w:marRight w:val="0"/>
      <w:marTop w:val="0"/>
      <w:marBottom w:val="0"/>
      <w:divBdr>
        <w:top w:val="none" w:sz="0" w:space="0" w:color="auto"/>
        <w:left w:val="none" w:sz="0" w:space="0" w:color="auto"/>
        <w:bottom w:val="none" w:sz="0" w:space="0" w:color="auto"/>
        <w:right w:val="none" w:sz="0" w:space="0" w:color="auto"/>
      </w:divBdr>
    </w:div>
    <w:div w:id="1920363388">
      <w:bodyDiv w:val="1"/>
      <w:marLeft w:val="0"/>
      <w:marRight w:val="0"/>
      <w:marTop w:val="0"/>
      <w:marBottom w:val="0"/>
      <w:divBdr>
        <w:top w:val="none" w:sz="0" w:space="0" w:color="auto"/>
        <w:left w:val="none" w:sz="0" w:space="0" w:color="auto"/>
        <w:bottom w:val="none" w:sz="0" w:space="0" w:color="auto"/>
        <w:right w:val="none" w:sz="0" w:space="0" w:color="auto"/>
      </w:divBdr>
    </w:div>
    <w:div w:id="1943293564">
      <w:bodyDiv w:val="1"/>
      <w:marLeft w:val="0"/>
      <w:marRight w:val="0"/>
      <w:marTop w:val="0"/>
      <w:marBottom w:val="0"/>
      <w:divBdr>
        <w:top w:val="none" w:sz="0" w:space="0" w:color="auto"/>
        <w:left w:val="none" w:sz="0" w:space="0" w:color="auto"/>
        <w:bottom w:val="none" w:sz="0" w:space="0" w:color="auto"/>
        <w:right w:val="none" w:sz="0" w:space="0" w:color="auto"/>
      </w:divBdr>
    </w:div>
    <w:div w:id="1947039717">
      <w:bodyDiv w:val="1"/>
      <w:marLeft w:val="0"/>
      <w:marRight w:val="0"/>
      <w:marTop w:val="0"/>
      <w:marBottom w:val="0"/>
      <w:divBdr>
        <w:top w:val="none" w:sz="0" w:space="0" w:color="auto"/>
        <w:left w:val="none" w:sz="0" w:space="0" w:color="auto"/>
        <w:bottom w:val="none" w:sz="0" w:space="0" w:color="auto"/>
        <w:right w:val="none" w:sz="0" w:space="0" w:color="auto"/>
      </w:divBdr>
      <w:divsChild>
        <w:div w:id="1174805128">
          <w:marLeft w:val="547"/>
          <w:marRight w:val="0"/>
          <w:marTop w:val="0"/>
          <w:marBottom w:val="0"/>
          <w:divBdr>
            <w:top w:val="none" w:sz="0" w:space="0" w:color="auto"/>
            <w:left w:val="none" w:sz="0" w:space="0" w:color="auto"/>
            <w:bottom w:val="none" w:sz="0" w:space="0" w:color="auto"/>
            <w:right w:val="none" w:sz="0" w:space="0" w:color="auto"/>
          </w:divBdr>
        </w:div>
      </w:divsChild>
    </w:div>
    <w:div w:id="1954362827">
      <w:bodyDiv w:val="1"/>
      <w:marLeft w:val="0"/>
      <w:marRight w:val="0"/>
      <w:marTop w:val="0"/>
      <w:marBottom w:val="0"/>
      <w:divBdr>
        <w:top w:val="none" w:sz="0" w:space="0" w:color="auto"/>
        <w:left w:val="none" w:sz="0" w:space="0" w:color="auto"/>
        <w:bottom w:val="none" w:sz="0" w:space="0" w:color="auto"/>
        <w:right w:val="none" w:sz="0" w:space="0" w:color="auto"/>
      </w:divBdr>
    </w:div>
    <w:div w:id="1976176846">
      <w:bodyDiv w:val="1"/>
      <w:marLeft w:val="0"/>
      <w:marRight w:val="0"/>
      <w:marTop w:val="0"/>
      <w:marBottom w:val="0"/>
      <w:divBdr>
        <w:top w:val="none" w:sz="0" w:space="0" w:color="auto"/>
        <w:left w:val="none" w:sz="0" w:space="0" w:color="auto"/>
        <w:bottom w:val="none" w:sz="0" w:space="0" w:color="auto"/>
        <w:right w:val="none" w:sz="0" w:space="0" w:color="auto"/>
      </w:divBdr>
    </w:div>
    <w:div w:id="1986426845">
      <w:bodyDiv w:val="1"/>
      <w:marLeft w:val="0"/>
      <w:marRight w:val="0"/>
      <w:marTop w:val="0"/>
      <w:marBottom w:val="0"/>
      <w:divBdr>
        <w:top w:val="none" w:sz="0" w:space="0" w:color="auto"/>
        <w:left w:val="none" w:sz="0" w:space="0" w:color="auto"/>
        <w:bottom w:val="none" w:sz="0" w:space="0" w:color="auto"/>
        <w:right w:val="none" w:sz="0" w:space="0" w:color="auto"/>
      </w:divBdr>
    </w:div>
    <w:div w:id="1996640266">
      <w:bodyDiv w:val="1"/>
      <w:marLeft w:val="0"/>
      <w:marRight w:val="0"/>
      <w:marTop w:val="0"/>
      <w:marBottom w:val="0"/>
      <w:divBdr>
        <w:top w:val="none" w:sz="0" w:space="0" w:color="auto"/>
        <w:left w:val="none" w:sz="0" w:space="0" w:color="auto"/>
        <w:bottom w:val="none" w:sz="0" w:space="0" w:color="auto"/>
        <w:right w:val="none" w:sz="0" w:space="0" w:color="auto"/>
      </w:divBdr>
    </w:div>
    <w:div w:id="2000960638">
      <w:bodyDiv w:val="1"/>
      <w:marLeft w:val="0"/>
      <w:marRight w:val="0"/>
      <w:marTop w:val="0"/>
      <w:marBottom w:val="0"/>
      <w:divBdr>
        <w:top w:val="none" w:sz="0" w:space="0" w:color="auto"/>
        <w:left w:val="none" w:sz="0" w:space="0" w:color="auto"/>
        <w:bottom w:val="none" w:sz="0" w:space="0" w:color="auto"/>
        <w:right w:val="none" w:sz="0" w:space="0" w:color="auto"/>
      </w:divBdr>
    </w:div>
    <w:div w:id="2009094823">
      <w:bodyDiv w:val="1"/>
      <w:marLeft w:val="0"/>
      <w:marRight w:val="0"/>
      <w:marTop w:val="0"/>
      <w:marBottom w:val="0"/>
      <w:divBdr>
        <w:top w:val="none" w:sz="0" w:space="0" w:color="auto"/>
        <w:left w:val="none" w:sz="0" w:space="0" w:color="auto"/>
        <w:bottom w:val="none" w:sz="0" w:space="0" w:color="auto"/>
        <w:right w:val="none" w:sz="0" w:space="0" w:color="auto"/>
      </w:divBdr>
    </w:div>
    <w:div w:id="2012558139">
      <w:bodyDiv w:val="1"/>
      <w:marLeft w:val="0"/>
      <w:marRight w:val="0"/>
      <w:marTop w:val="0"/>
      <w:marBottom w:val="0"/>
      <w:divBdr>
        <w:top w:val="none" w:sz="0" w:space="0" w:color="auto"/>
        <w:left w:val="none" w:sz="0" w:space="0" w:color="auto"/>
        <w:bottom w:val="none" w:sz="0" w:space="0" w:color="auto"/>
        <w:right w:val="none" w:sz="0" w:space="0" w:color="auto"/>
      </w:divBdr>
    </w:div>
    <w:div w:id="2063168660">
      <w:bodyDiv w:val="1"/>
      <w:marLeft w:val="0"/>
      <w:marRight w:val="0"/>
      <w:marTop w:val="0"/>
      <w:marBottom w:val="0"/>
      <w:divBdr>
        <w:top w:val="none" w:sz="0" w:space="0" w:color="auto"/>
        <w:left w:val="none" w:sz="0" w:space="0" w:color="auto"/>
        <w:bottom w:val="none" w:sz="0" w:space="0" w:color="auto"/>
        <w:right w:val="none" w:sz="0" w:space="0" w:color="auto"/>
      </w:divBdr>
      <w:divsChild>
        <w:div w:id="1334337956">
          <w:marLeft w:val="547"/>
          <w:marRight w:val="0"/>
          <w:marTop w:val="0"/>
          <w:marBottom w:val="0"/>
          <w:divBdr>
            <w:top w:val="none" w:sz="0" w:space="0" w:color="auto"/>
            <w:left w:val="none" w:sz="0" w:space="0" w:color="auto"/>
            <w:bottom w:val="none" w:sz="0" w:space="0" w:color="auto"/>
            <w:right w:val="none" w:sz="0" w:space="0" w:color="auto"/>
          </w:divBdr>
        </w:div>
      </w:divsChild>
    </w:div>
    <w:div w:id="2065983407">
      <w:bodyDiv w:val="1"/>
      <w:marLeft w:val="0"/>
      <w:marRight w:val="0"/>
      <w:marTop w:val="0"/>
      <w:marBottom w:val="0"/>
      <w:divBdr>
        <w:top w:val="none" w:sz="0" w:space="0" w:color="auto"/>
        <w:left w:val="none" w:sz="0" w:space="0" w:color="auto"/>
        <w:bottom w:val="none" w:sz="0" w:space="0" w:color="auto"/>
        <w:right w:val="none" w:sz="0" w:space="0" w:color="auto"/>
      </w:divBdr>
    </w:div>
    <w:div w:id="2067411950">
      <w:bodyDiv w:val="1"/>
      <w:marLeft w:val="0"/>
      <w:marRight w:val="0"/>
      <w:marTop w:val="0"/>
      <w:marBottom w:val="0"/>
      <w:divBdr>
        <w:top w:val="none" w:sz="0" w:space="0" w:color="auto"/>
        <w:left w:val="none" w:sz="0" w:space="0" w:color="auto"/>
        <w:bottom w:val="none" w:sz="0" w:space="0" w:color="auto"/>
        <w:right w:val="none" w:sz="0" w:space="0" w:color="auto"/>
      </w:divBdr>
    </w:div>
    <w:div w:id="2073430187">
      <w:bodyDiv w:val="1"/>
      <w:marLeft w:val="0"/>
      <w:marRight w:val="0"/>
      <w:marTop w:val="0"/>
      <w:marBottom w:val="0"/>
      <w:divBdr>
        <w:top w:val="none" w:sz="0" w:space="0" w:color="auto"/>
        <w:left w:val="none" w:sz="0" w:space="0" w:color="auto"/>
        <w:bottom w:val="none" w:sz="0" w:space="0" w:color="auto"/>
        <w:right w:val="none" w:sz="0" w:space="0" w:color="auto"/>
      </w:divBdr>
    </w:div>
    <w:div w:id="2078084658">
      <w:bodyDiv w:val="1"/>
      <w:marLeft w:val="0"/>
      <w:marRight w:val="0"/>
      <w:marTop w:val="0"/>
      <w:marBottom w:val="0"/>
      <w:divBdr>
        <w:top w:val="none" w:sz="0" w:space="0" w:color="auto"/>
        <w:left w:val="none" w:sz="0" w:space="0" w:color="auto"/>
        <w:bottom w:val="none" w:sz="0" w:space="0" w:color="auto"/>
        <w:right w:val="none" w:sz="0" w:space="0" w:color="auto"/>
      </w:divBdr>
    </w:div>
    <w:div w:id="2079401567">
      <w:bodyDiv w:val="1"/>
      <w:marLeft w:val="0"/>
      <w:marRight w:val="0"/>
      <w:marTop w:val="0"/>
      <w:marBottom w:val="0"/>
      <w:divBdr>
        <w:top w:val="none" w:sz="0" w:space="0" w:color="auto"/>
        <w:left w:val="none" w:sz="0" w:space="0" w:color="auto"/>
        <w:bottom w:val="none" w:sz="0" w:space="0" w:color="auto"/>
        <w:right w:val="none" w:sz="0" w:space="0" w:color="auto"/>
      </w:divBdr>
    </w:div>
    <w:div w:id="2095856240">
      <w:bodyDiv w:val="1"/>
      <w:marLeft w:val="0"/>
      <w:marRight w:val="0"/>
      <w:marTop w:val="0"/>
      <w:marBottom w:val="0"/>
      <w:divBdr>
        <w:top w:val="none" w:sz="0" w:space="0" w:color="auto"/>
        <w:left w:val="none" w:sz="0" w:space="0" w:color="auto"/>
        <w:bottom w:val="none" w:sz="0" w:space="0" w:color="auto"/>
        <w:right w:val="none" w:sz="0" w:space="0" w:color="auto"/>
      </w:divBdr>
    </w:div>
    <w:div w:id="2129885163">
      <w:bodyDiv w:val="1"/>
      <w:marLeft w:val="0"/>
      <w:marRight w:val="0"/>
      <w:marTop w:val="0"/>
      <w:marBottom w:val="0"/>
      <w:divBdr>
        <w:top w:val="none" w:sz="0" w:space="0" w:color="auto"/>
        <w:left w:val="none" w:sz="0" w:space="0" w:color="auto"/>
        <w:bottom w:val="none" w:sz="0" w:space="0" w:color="auto"/>
        <w:right w:val="none" w:sz="0" w:space="0" w:color="auto"/>
      </w:divBdr>
    </w:div>
    <w:div w:id="214002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chart" Target="charts/chart6.xml"/><Relationship Id="rId47" Type="http://schemas.openxmlformats.org/officeDocument/2006/relationships/diagramData" Target="diagrams/data2.xml"/><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chart" Target="charts/chart15.xml"/><Relationship Id="rId5" Type="http://schemas.openxmlformats.org/officeDocument/2006/relationships/webSettings" Target="webSettings.xml"/><Relationship Id="rId61" Type="http://schemas.openxmlformats.org/officeDocument/2006/relationships/image" Target="media/image31.png"/><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7.xml"/><Relationship Id="rId48" Type="http://schemas.openxmlformats.org/officeDocument/2006/relationships/diagramLayout" Target="diagrams/layout2.xm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chart" Target="charts/chart10.xml"/><Relationship Id="rId77" Type="http://schemas.openxmlformats.org/officeDocument/2006/relationships/fontTable" Target="fontTable.xml"/><Relationship Id="rId8" Type="http://schemas.openxmlformats.org/officeDocument/2006/relationships/image" Target="media/image1.jpeg"/><Relationship Id="rId51" Type="http://schemas.microsoft.com/office/2007/relationships/diagramDrawing" Target="diagrams/drawing2.xml"/><Relationship Id="rId72"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2.xml"/><Relationship Id="rId46" Type="http://schemas.openxmlformats.org/officeDocument/2006/relationships/hyperlink" Target="http://www.mfinante.gov.ro/echipa.html?pagina=domenii"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chart" Target="charts/chart5.xm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chart" Target="charts/chart11.xml"/><Relationship Id="rId75"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diagramQuickStyle" Target="diagrams/quickStyle2.xml"/><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chart" Target="charts/chart8.xm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chart" Target="charts/chart14.xml"/><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chart" Target="charts/chart3.xml"/><Relationship Id="rId34" Type="http://schemas.openxmlformats.org/officeDocument/2006/relationships/image" Target="media/image19.png"/><Relationship Id="rId50" Type="http://schemas.openxmlformats.org/officeDocument/2006/relationships/diagramColors" Target="diagrams/colors2.xml"/><Relationship Id="rId55" Type="http://schemas.openxmlformats.org/officeDocument/2006/relationships/image" Target="media/image25.png"/><Relationship Id="rId76" Type="http://schemas.openxmlformats.org/officeDocument/2006/relationships/image" Target="media/image39.jpg"/><Relationship Id="rId7" Type="http://schemas.openxmlformats.org/officeDocument/2006/relationships/endnotes" Target="endnotes.xml"/><Relationship Id="rId71"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cnp.ro/ro/prognoz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SUS\AppData\Local\Temp\notesE97E9E\grafice_explicatii%20Raport2018.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5.xml.rels><?xml version="1.0" encoding="UTF-8" standalone="yes"?>
<Relationships xmlns="http://schemas.openxmlformats.org/package/2006/relationships"><Relationship Id="rId1" Type="http://schemas.openxmlformats.org/officeDocument/2006/relationships/oleObject" Target="file:///D:\ASUS\Downloads\date%20ptr%20tabele%20si%20grafice%20%20IP%20CENTRAL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ASUS\Downloads\date%20ptr%20tabele%20si%20grafice%20%20IP%20CENTRAL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E:\raport%20locale\raport%20laptop%20personal\grafice_explicatii%20Raport2018.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E:\raport%20locale\raport%20laptop%20personal\LUCRAT%20LA%20NICOLETA\Copy%20of%20total%20IP%20monitorizare%20S110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1" Type="http://schemas.openxmlformats.org/officeDocument/2006/relationships/oleObject" Target="file:///D:\ASUS\Downloads\date%20ptr%20tabele%20si%20grafice%20%20IP%20CENTRA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SUS\Downloads\date%20ptr%20tabele%20si%20grafice%20%20IP%20CENTRA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SUS\Downloads\date%20ptr%20tabele%20si%20grafice%20%20IP%20CENTRAL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SUS\Downloads\date%20ptr%20tabele%20si%20grafice%20%20IP%20CENTR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544549266247386"/>
          <c:y val="0.13854361849357233"/>
          <c:w val="0.421417105852608"/>
          <c:h val="0.68844102123675799"/>
        </c:manualLayout>
      </c:layout>
      <c:barChart>
        <c:barDir val="bar"/>
        <c:grouping val="percentStacked"/>
        <c:varyColors val="0"/>
        <c:ser>
          <c:idx val="1"/>
          <c:order val="1"/>
          <c:tx>
            <c:strRef>
              <c:f>'Grafic nr 1'!$D$1</c:f>
              <c:strCache>
                <c:ptCount val="1"/>
                <c:pt idx="0">
                  <c:v>Nr IPS pt care APTC a transmis informatii </c:v>
                </c:pt>
              </c:strCache>
            </c:strRef>
          </c:tx>
          <c:spPr>
            <a:solidFill>
              <a:schemeClr val="accent1"/>
            </a:solidFill>
            <a:ln>
              <a:noFill/>
            </a:ln>
            <a:effectLst/>
          </c:spPr>
          <c:invertIfNegative val="0"/>
          <c:cat>
            <c:strRef>
              <c:f>'Grafic nr 1'!$B$2:$B$17</c:f>
              <c:strCache>
                <c:ptCount val="16"/>
                <c:pt idx="0">
                  <c:v>BANCA NATIONALĂ A ROMÂNIEI</c:v>
                </c:pt>
                <c:pt idx="1">
                  <c:v>MINISTERUL CULTURII</c:v>
                </c:pt>
                <c:pt idx="2">
                  <c:v>MINISTERUL AGRICULTURII SI DEZVOLTARII RURALE</c:v>
                </c:pt>
                <c:pt idx="3">
                  <c:v>MINISTERUL FINANTELOR PUBLICE</c:v>
                </c:pt>
                <c:pt idx="4">
                  <c:v>CAMERA DEPUTATILOR</c:v>
                </c:pt>
                <c:pt idx="5">
                  <c:v>MINISTERUL SANATATII</c:v>
                </c:pt>
                <c:pt idx="6">
                  <c:v>SECRETARIATUL GENERAL AL GUVERNULUI</c:v>
                </c:pt>
                <c:pt idx="7">
                  <c:v>MINISTERUL APARARII NATIONALE</c:v>
                </c:pt>
                <c:pt idx="8">
                  <c:v>AUTORITATEA PENTRU ADMINISTRAREA ACTIVELOR STATULUI</c:v>
                </c:pt>
                <c:pt idx="9">
                  <c:v>MINISTERUL TRANSPORTURILOR, INFRASTRUCTURII SI COMUNICATIILOR</c:v>
                </c:pt>
                <c:pt idx="10">
                  <c:v>MINISTERUL EDUCATIEI SI CERCETARII</c:v>
                </c:pt>
                <c:pt idx="11">
                  <c:v>AGENTIA DOMENIILOR STATULUI</c:v>
                </c:pt>
                <c:pt idx="12">
                  <c:v>MINISTERUL MEDIULUI APELOR SI PADURILOR</c:v>
                </c:pt>
                <c:pt idx="13">
                  <c:v>MINISTERUL ECONOMIEI, ENERGIEI SI MEDIULUI DE AFACERI</c:v>
                </c:pt>
                <c:pt idx="14">
                  <c:v>MINISTERUL LUCRARILOR PUBLICE, DEZVOLTARII SI ADMINISTRATIEI PUBLICE</c:v>
                </c:pt>
                <c:pt idx="15">
                  <c:v>MINISTERUL TINERETULUI SI SPORTULUI</c:v>
                </c:pt>
              </c:strCache>
            </c:strRef>
          </c:cat>
          <c:val>
            <c:numRef>
              <c:f>'Grafic nr 1'!$D$2:$D$17</c:f>
              <c:numCache>
                <c:formatCode>General</c:formatCode>
                <c:ptCount val="16"/>
                <c:pt idx="0">
                  <c:v>2</c:v>
                </c:pt>
                <c:pt idx="1">
                  <c:v>1</c:v>
                </c:pt>
                <c:pt idx="2">
                  <c:v>1</c:v>
                </c:pt>
                <c:pt idx="3">
                  <c:v>7</c:v>
                </c:pt>
                <c:pt idx="4">
                  <c:v>1</c:v>
                </c:pt>
                <c:pt idx="5">
                  <c:v>2</c:v>
                </c:pt>
                <c:pt idx="6">
                  <c:v>7</c:v>
                </c:pt>
                <c:pt idx="7">
                  <c:v>2</c:v>
                </c:pt>
                <c:pt idx="8">
                  <c:v>9</c:v>
                </c:pt>
                <c:pt idx="9">
                  <c:v>32</c:v>
                </c:pt>
                <c:pt idx="10">
                  <c:v>7</c:v>
                </c:pt>
                <c:pt idx="11">
                  <c:v>0</c:v>
                </c:pt>
                <c:pt idx="12">
                  <c:v>3</c:v>
                </c:pt>
                <c:pt idx="13">
                  <c:v>66</c:v>
                </c:pt>
                <c:pt idx="14">
                  <c:v>0</c:v>
                </c:pt>
                <c:pt idx="15">
                  <c:v>2</c:v>
                </c:pt>
              </c:numCache>
            </c:numRef>
          </c:val>
          <c:extLst>
            <c:ext xmlns:c16="http://schemas.microsoft.com/office/drawing/2014/chart" uri="{C3380CC4-5D6E-409C-BE32-E72D297353CC}">
              <c16:uniqueId val="{00000000-6A57-4168-86CE-EB91D0AA7537}"/>
            </c:ext>
          </c:extLst>
        </c:ser>
        <c:ser>
          <c:idx val="2"/>
          <c:order val="2"/>
          <c:tx>
            <c:strRef>
              <c:f>'Grafic nr 1'!$E$1</c:f>
              <c:strCache>
                <c:ptCount val="1"/>
                <c:pt idx="0">
                  <c:v>Nr IPS pt care APTC nu a transmis informatii</c:v>
                </c:pt>
              </c:strCache>
            </c:strRef>
          </c:tx>
          <c:spPr>
            <a:solidFill>
              <a:schemeClr val="accent1">
                <a:tint val="65000"/>
              </a:schemeClr>
            </a:solidFill>
            <a:ln>
              <a:noFill/>
            </a:ln>
            <a:effectLst/>
          </c:spPr>
          <c:invertIfNegative val="0"/>
          <c:cat>
            <c:strRef>
              <c:f>'Grafic nr 1'!$B$2:$B$17</c:f>
              <c:strCache>
                <c:ptCount val="16"/>
                <c:pt idx="0">
                  <c:v>BANCA NATIONALĂ A ROMÂNIEI</c:v>
                </c:pt>
                <c:pt idx="1">
                  <c:v>MINISTERUL CULTURII</c:v>
                </c:pt>
                <c:pt idx="2">
                  <c:v>MINISTERUL AGRICULTURII SI DEZVOLTARII RURALE</c:v>
                </c:pt>
                <c:pt idx="3">
                  <c:v>MINISTERUL FINANTELOR PUBLICE</c:v>
                </c:pt>
                <c:pt idx="4">
                  <c:v>CAMERA DEPUTATILOR</c:v>
                </c:pt>
                <c:pt idx="5">
                  <c:v>MINISTERUL SANATATII</c:v>
                </c:pt>
                <c:pt idx="6">
                  <c:v>SECRETARIATUL GENERAL AL GUVERNULUI</c:v>
                </c:pt>
                <c:pt idx="7">
                  <c:v>MINISTERUL APARARII NATIONALE</c:v>
                </c:pt>
                <c:pt idx="8">
                  <c:v>AUTORITATEA PENTRU ADMINISTRAREA ACTIVELOR STATULUI</c:v>
                </c:pt>
                <c:pt idx="9">
                  <c:v>MINISTERUL TRANSPORTURILOR, INFRASTRUCTURII SI COMUNICATIILOR</c:v>
                </c:pt>
                <c:pt idx="10">
                  <c:v>MINISTERUL EDUCATIEI SI CERCETARII</c:v>
                </c:pt>
                <c:pt idx="11">
                  <c:v>AGENTIA DOMENIILOR STATULUI</c:v>
                </c:pt>
                <c:pt idx="12">
                  <c:v>MINISTERUL MEDIULUI APELOR SI PADURILOR</c:v>
                </c:pt>
                <c:pt idx="13">
                  <c:v>MINISTERUL ECONOMIEI, ENERGIEI SI MEDIULUI DE AFACERI</c:v>
                </c:pt>
                <c:pt idx="14">
                  <c:v>MINISTERUL LUCRARILOR PUBLICE, DEZVOLTARII SI ADMINISTRATIEI PUBLICE</c:v>
                </c:pt>
                <c:pt idx="15">
                  <c:v>MINISTERUL TINERETULUI SI SPORTULUI</c:v>
                </c:pt>
              </c:strCache>
            </c:strRef>
          </c:cat>
          <c:val>
            <c:numRef>
              <c:f>'Grafic nr 1'!$E$2:$E$17</c:f>
              <c:numCache>
                <c:formatCode>General</c:formatCode>
                <c:ptCount val="16"/>
                <c:pt idx="0">
                  <c:v>0</c:v>
                </c:pt>
                <c:pt idx="1">
                  <c:v>0</c:v>
                </c:pt>
                <c:pt idx="2">
                  <c:v>1</c:v>
                </c:pt>
                <c:pt idx="3">
                  <c:v>0</c:v>
                </c:pt>
                <c:pt idx="4">
                  <c:v>0</c:v>
                </c:pt>
                <c:pt idx="5">
                  <c:v>0</c:v>
                </c:pt>
                <c:pt idx="6">
                  <c:v>0</c:v>
                </c:pt>
                <c:pt idx="7">
                  <c:v>0</c:v>
                </c:pt>
                <c:pt idx="8">
                  <c:v>2</c:v>
                </c:pt>
                <c:pt idx="9">
                  <c:v>0</c:v>
                </c:pt>
                <c:pt idx="10">
                  <c:v>2</c:v>
                </c:pt>
                <c:pt idx="11">
                  <c:v>3</c:v>
                </c:pt>
                <c:pt idx="12">
                  <c:v>0</c:v>
                </c:pt>
                <c:pt idx="13">
                  <c:v>0</c:v>
                </c:pt>
                <c:pt idx="14">
                  <c:v>1</c:v>
                </c:pt>
                <c:pt idx="15">
                  <c:v>0</c:v>
                </c:pt>
              </c:numCache>
            </c:numRef>
          </c:val>
          <c:extLst>
            <c:ext xmlns:c16="http://schemas.microsoft.com/office/drawing/2014/chart" uri="{C3380CC4-5D6E-409C-BE32-E72D297353CC}">
              <c16:uniqueId val="{00000001-6A57-4168-86CE-EB91D0AA7537}"/>
            </c:ext>
          </c:extLst>
        </c:ser>
        <c:dLbls>
          <c:showLegendKey val="0"/>
          <c:showVal val="0"/>
          <c:showCatName val="0"/>
          <c:showSerName val="0"/>
          <c:showPercent val="0"/>
          <c:showBubbleSize val="0"/>
        </c:dLbls>
        <c:gapWidth val="150"/>
        <c:overlap val="100"/>
        <c:axId val="-292303808"/>
        <c:axId val="-292303264"/>
        <c:extLst>
          <c:ext xmlns:c15="http://schemas.microsoft.com/office/drawing/2012/chart" uri="{02D57815-91ED-43cb-92C2-25804820EDAC}">
            <c15:filteredBarSeries>
              <c15:ser>
                <c:idx val="0"/>
                <c:order val="0"/>
                <c:tx>
                  <c:strRef>
                    <c:extLst>
                      <c:ext uri="{02D57815-91ED-43cb-92C2-25804820EDAC}">
                        <c15:formulaRef>
                          <c15:sqref>'Grafic nr 1'!$C$1</c15:sqref>
                        </c15:formulaRef>
                      </c:ext>
                    </c:extLst>
                    <c:strCache>
                      <c:ptCount val="1"/>
                      <c:pt idx="0">
                        <c:v>NR IPS obligate la aplicarea prevederilor OUG nr 109/2011</c:v>
                      </c:pt>
                    </c:strCache>
                  </c:strRef>
                </c:tx>
                <c:spPr>
                  <a:solidFill>
                    <a:schemeClr val="accent1">
                      <a:shade val="65000"/>
                    </a:schemeClr>
                  </a:solidFill>
                  <a:ln>
                    <a:noFill/>
                  </a:ln>
                  <a:effectLst/>
                </c:spPr>
                <c:invertIfNegative val="0"/>
                <c:cat>
                  <c:strRef>
                    <c:extLst>
                      <c:ext uri="{02D57815-91ED-43cb-92C2-25804820EDAC}">
                        <c15:formulaRef>
                          <c15:sqref>'Grafic nr 1'!$B$2:$B$17</c15:sqref>
                        </c15:formulaRef>
                      </c:ext>
                    </c:extLst>
                    <c:strCache>
                      <c:ptCount val="16"/>
                      <c:pt idx="0">
                        <c:v>BANCA NATIONALĂ A ROMÂNIEI</c:v>
                      </c:pt>
                      <c:pt idx="1">
                        <c:v>MINISTERUL CULTURII</c:v>
                      </c:pt>
                      <c:pt idx="2">
                        <c:v>MINISTERUL AGRICULTURII SI DEZVOLTARII RURALE</c:v>
                      </c:pt>
                      <c:pt idx="3">
                        <c:v>MINISTERUL FINANTELOR PUBLICE</c:v>
                      </c:pt>
                      <c:pt idx="4">
                        <c:v>CAMERA DEPUTATILOR</c:v>
                      </c:pt>
                      <c:pt idx="5">
                        <c:v>MINISTERUL SANATATII</c:v>
                      </c:pt>
                      <c:pt idx="6">
                        <c:v>SECRETARIATUL GENERAL AL GUVERNULUI</c:v>
                      </c:pt>
                      <c:pt idx="7">
                        <c:v>MINISTERUL APARARII NATIONALE</c:v>
                      </c:pt>
                      <c:pt idx="8">
                        <c:v>AUTORITATEA PENTRU ADMINISTRAREA ACTIVELOR STATULUI</c:v>
                      </c:pt>
                      <c:pt idx="9">
                        <c:v>MINISTERUL TRANSPORTURILOR, INFRASTRUCTURII SI COMUNICATIILOR</c:v>
                      </c:pt>
                      <c:pt idx="10">
                        <c:v>MINISTERUL EDUCATIEI SI CERCETARII</c:v>
                      </c:pt>
                      <c:pt idx="11">
                        <c:v>AGENTIA DOMENIILOR STATULUI</c:v>
                      </c:pt>
                      <c:pt idx="12">
                        <c:v>MINISTERUL MEDIULUI APELOR SI PADURILOR</c:v>
                      </c:pt>
                      <c:pt idx="13">
                        <c:v>MINISTERUL ECONOMIEI, ENERGIEI SI MEDIULUI DE AFACERI</c:v>
                      </c:pt>
                      <c:pt idx="14">
                        <c:v>MINISTERUL LUCRARILOR PUBLICE, DEZVOLTARII SI ADMINISTRATIEI PUBLICE</c:v>
                      </c:pt>
                      <c:pt idx="15">
                        <c:v>MINISTERUL TINERETULUI SI SPORTULUI</c:v>
                      </c:pt>
                    </c:strCache>
                  </c:strRef>
                </c:cat>
                <c:val>
                  <c:numRef>
                    <c:extLst>
                      <c:ext uri="{02D57815-91ED-43cb-92C2-25804820EDAC}">
                        <c15:formulaRef>
                          <c15:sqref>'Grafic nr 1'!$C$2:$C$17</c15:sqref>
                        </c15:formulaRef>
                      </c:ext>
                    </c:extLst>
                    <c:numCache>
                      <c:formatCode>General</c:formatCode>
                      <c:ptCount val="16"/>
                      <c:pt idx="0">
                        <c:v>2</c:v>
                      </c:pt>
                      <c:pt idx="1">
                        <c:v>1</c:v>
                      </c:pt>
                      <c:pt idx="2">
                        <c:v>2</c:v>
                      </c:pt>
                      <c:pt idx="3">
                        <c:v>7</c:v>
                      </c:pt>
                      <c:pt idx="4">
                        <c:v>1</c:v>
                      </c:pt>
                      <c:pt idx="5">
                        <c:v>2</c:v>
                      </c:pt>
                      <c:pt idx="6">
                        <c:v>7</c:v>
                      </c:pt>
                      <c:pt idx="7">
                        <c:v>2</c:v>
                      </c:pt>
                      <c:pt idx="8">
                        <c:v>11</c:v>
                      </c:pt>
                      <c:pt idx="9">
                        <c:v>32</c:v>
                      </c:pt>
                      <c:pt idx="10">
                        <c:v>9</c:v>
                      </c:pt>
                      <c:pt idx="11">
                        <c:v>3</c:v>
                      </c:pt>
                      <c:pt idx="12">
                        <c:v>3</c:v>
                      </c:pt>
                      <c:pt idx="13">
                        <c:v>66</c:v>
                      </c:pt>
                      <c:pt idx="14">
                        <c:v>1</c:v>
                      </c:pt>
                      <c:pt idx="15">
                        <c:v>2</c:v>
                      </c:pt>
                    </c:numCache>
                  </c:numRef>
                </c:val>
                <c:extLst>
                  <c:ext xmlns:c16="http://schemas.microsoft.com/office/drawing/2014/chart" uri="{C3380CC4-5D6E-409C-BE32-E72D297353CC}">
                    <c16:uniqueId val="{00000002-6A57-4168-86CE-EB91D0AA7537}"/>
                  </c:ext>
                </c:extLst>
              </c15:ser>
            </c15:filteredBarSeries>
          </c:ext>
        </c:extLst>
      </c:barChart>
      <c:catAx>
        <c:axId val="-292303808"/>
        <c:scaling>
          <c:orientation val="minMax"/>
        </c:scaling>
        <c:delete val="0"/>
        <c:axPos val="l"/>
        <c:title>
          <c:tx>
            <c:rich>
              <a:bodyPr rot="-5400000" spcFirstLastPara="1" vertOverflow="ellipsis" vert="horz" wrap="square" anchor="ctr" anchorCtr="1"/>
              <a:lstStyle/>
              <a:p>
                <a:pPr>
                  <a:defRPr sz="700" b="1" i="1" u="none" strike="noStrike" kern="1200" baseline="0">
                    <a:solidFill>
                      <a:schemeClr val="tx1">
                        <a:lumMod val="65000"/>
                        <a:lumOff val="35000"/>
                      </a:schemeClr>
                    </a:solidFill>
                    <a:latin typeface="+mn-lt"/>
                    <a:ea typeface="+mn-ea"/>
                    <a:cs typeface="+mn-cs"/>
                  </a:defRPr>
                </a:pPr>
                <a:r>
                  <a:rPr lang="en-US" sz="700" b="1" i="1"/>
                  <a:t>DENUMIRE</a:t>
                </a:r>
                <a:r>
                  <a:rPr lang="en-US" sz="700" b="1" i="1" baseline="0"/>
                  <a:t> APTC</a:t>
                </a:r>
                <a:endParaRPr lang="en-US" sz="700" b="1" i="1"/>
              </a:p>
            </c:rich>
          </c:tx>
          <c:layout>
            <c:manualLayout>
              <c:xMode val="edge"/>
              <c:yMode val="edge"/>
              <c:x val="1.0063009224824091E-2"/>
              <c:y val="0.3923838988813636"/>
            </c:manualLayout>
          </c:layout>
          <c:overlay val="0"/>
          <c:spPr>
            <a:noFill/>
            <a:ln>
              <a:noFill/>
            </a:ln>
            <a:effectLst/>
          </c:spPr>
          <c:txPr>
            <a:bodyPr rot="-5400000" spcFirstLastPara="1" vertOverflow="ellipsis" vert="horz" wrap="square" anchor="ctr" anchorCtr="1"/>
            <a:lstStyle/>
            <a:p>
              <a:pPr>
                <a:defRPr sz="7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303264"/>
        <c:crosses val="autoZero"/>
        <c:auto val="1"/>
        <c:lblAlgn val="ctr"/>
        <c:lblOffset val="100"/>
        <c:noMultiLvlLbl val="0"/>
      </c:catAx>
      <c:valAx>
        <c:axId val="-292303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sz="700" b="1" i="1"/>
                  <a:t>Ponderea </a:t>
                </a:r>
                <a:r>
                  <a:rPr lang="ro-RO" sz="700" b="1" i="1"/>
                  <a:t>îndeplinirii</a:t>
                </a:r>
                <a:r>
                  <a:rPr lang="ro-RO" sz="700" b="1" i="1" baseline="0"/>
                  <a:t> obligațiilor de raportare</a:t>
                </a:r>
                <a:endParaRPr lang="en-US" sz="700" b="1" i="1"/>
              </a:p>
            </c:rich>
          </c:tx>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303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31232638888891"/>
          <c:y val="0.12056962025316456"/>
          <c:w val="0.56879357638888883"/>
          <c:h val="0.61032278481012647"/>
        </c:manualLayout>
      </c:layout>
      <c:barChart>
        <c:barDir val="bar"/>
        <c:grouping val="clustered"/>
        <c:varyColors val="0"/>
        <c:ser>
          <c:idx val="0"/>
          <c:order val="0"/>
          <c:tx>
            <c:strRef>
              <c:f>'Grafic nr 2'!$J$2</c:f>
              <c:strCache>
                <c:ptCount val="1"/>
                <c:pt idx="0">
                  <c:v>Transmise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2'!$I$3:$I$5</c:f>
              <c:strCache>
                <c:ptCount val="3"/>
                <c:pt idx="0">
                  <c:v>Societati pe actiuni</c:v>
                </c:pt>
                <c:pt idx="1">
                  <c:v>Societati cu raspundere limitata</c:v>
                </c:pt>
                <c:pt idx="2">
                  <c:v>Regii Autonome</c:v>
                </c:pt>
              </c:strCache>
            </c:strRef>
          </c:cat>
          <c:val>
            <c:numRef>
              <c:f>'Grafic nr 2'!$J$3:$J$5</c:f>
              <c:numCache>
                <c:formatCode>General</c:formatCode>
                <c:ptCount val="3"/>
                <c:pt idx="0">
                  <c:v>222</c:v>
                </c:pt>
                <c:pt idx="1">
                  <c:v>207</c:v>
                </c:pt>
                <c:pt idx="2">
                  <c:v>50</c:v>
                </c:pt>
              </c:numCache>
            </c:numRef>
          </c:val>
          <c:extLst>
            <c:ext xmlns:c16="http://schemas.microsoft.com/office/drawing/2014/chart" uri="{C3380CC4-5D6E-409C-BE32-E72D297353CC}">
              <c16:uniqueId val="{00000000-A259-4A65-B14F-396A0969EEF8}"/>
            </c:ext>
          </c:extLst>
        </c:ser>
        <c:ser>
          <c:idx val="1"/>
          <c:order val="1"/>
          <c:tx>
            <c:strRef>
              <c:f>'Grafic nr 2'!$K$2</c:f>
              <c:strCache>
                <c:ptCount val="1"/>
                <c:pt idx="0">
                  <c:v>Obligate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2'!$I$3:$I$5</c:f>
              <c:strCache>
                <c:ptCount val="3"/>
                <c:pt idx="0">
                  <c:v>Societati pe actiuni</c:v>
                </c:pt>
                <c:pt idx="1">
                  <c:v>Societati cu raspundere limitata</c:v>
                </c:pt>
                <c:pt idx="2">
                  <c:v>Regii Autonome</c:v>
                </c:pt>
              </c:strCache>
            </c:strRef>
          </c:cat>
          <c:val>
            <c:numRef>
              <c:f>'Grafic nr 2'!$K$3:$K$5</c:f>
              <c:numCache>
                <c:formatCode>General</c:formatCode>
                <c:ptCount val="3"/>
                <c:pt idx="0">
                  <c:v>284</c:v>
                </c:pt>
                <c:pt idx="1">
                  <c:v>820</c:v>
                </c:pt>
                <c:pt idx="2">
                  <c:v>89</c:v>
                </c:pt>
              </c:numCache>
            </c:numRef>
          </c:val>
          <c:extLst>
            <c:ext xmlns:c16="http://schemas.microsoft.com/office/drawing/2014/chart" uri="{C3380CC4-5D6E-409C-BE32-E72D297353CC}">
              <c16:uniqueId val="{00000001-A259-4A65-B14F-396A0969EEF8}"/>
            </c:ext>
          </c:extLst>
        </c:ser>
        <c:dLbls>
          <c:dLblPos val="outEnd"/>
          <c:showLegendKey val="0"/>
          <c:showVal val="1"/>
          <c:showCatName val="0"/>
          <c:showSerName val="0"/>
          <c:showPercent val="0"/>
          <c:showBubbleSize val="0"/>
        </c:dLbls>
        <c:gapWidth val="182"/>
        <c:axId val="-292300544"/>
        <c:axId val="-292295104"/>
      </c:barChart>
      <c:catAx>
        <c:axId val="-29230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295104"/>
        <c:crosses val="autoZero"/>
        <c:auto val="1"/>
        <c:lblAlgn val="ctr"/>
        <c:lblOffset val="100"/>
        <c:noMultiLvlLbl val="0"/>
      </c:catAx>
      <c:valAx>
        <c:axId val="-292295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sz="700"/>
                  <a:t>Numărul</a:t>
                </a:r>
                <a:r>
                  <a:rPr lang="ro-RO" sz="700" baseline="0"/>
                  <a:t> ÎPL</a:t>
                </a:r>
                <a:endParaRPr lang="en-US" sz="700"/>
              </a:p>
            </c:rich>
          </c:tx>
          <c:layout>
            <c:manualLayout>
              <c:xMode val="edge"/>
              <c:yMode val="edge"/>
              <c:x val="0.51722829861111108"/>
              <c:y val="0.806130420054200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300544"/>
        <c:crosses val="autoZero"/>
        <c:crossBetween val="between"/>
      </c:valAx>
      <c:spPr>
        <a:noFill/>
        <a:ln>
          <a:noFill/>
        </a:ln>
        <a:effectLst/>
      </c:spPr>
    </c:plotArea>
    <c:legend>
      <c:legendPos val="r"/>
      <c:layout>
        <c:manualLayout>
          <c:xMode val="edge"/>
          <c:yMode val="edge"/>
          <c:x val="0.82701462317210361"/>
          <c:y val="0.42439483299881631"/>
          <c:w val="0.11584251968503936"/>
          <c:h val="0.151209922289125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o-RO" sz="900"/>
              <a:t>Forma juridică de organizare a</a:t>
            </a:r>
            <a:r>
              <a:rPr lang="en-US" sz="900"/>
              <a:t> </a:t>
            </a:r>
            <a:r>
              <a:rPr lang="ro-RO" sz="900"/>
              <a:t> celor</a:t>
            </a:r>
            <a:r>
              <a:rPr lang="ro-RO" sz="900" baseline="0"/>
              <a:t> </a:t>
            </a:r>
            <a:r>
              <a:rPr lang="en-US" sz="900"/>
              <a:t>1193 </a:t>
            </a:r>
            <a:r>
              <a:rPr lang="ro-RO" sz="900"/>
              <a:t>ÎPL obligate la aplicarea prevederilor O.U.G. nr.109/2011;</a:t>
            </a:r>
            <a:endParaRPr lang="en-US" sz="900"/>
          </a:p>
          <a:p>
            <a:pPr algn="l">
              <a:defRPr/>
            </a:pPr>
            <a:endParaRPr lang="ro-RO"/>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50-4C19-933F-6CF975FEE6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50-4C19-933F-6CF975FEE6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50-4C19-933F-6CF975FEE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'Grafic nr 2'!$I$3:$I$5</c:f>
              <c:strCache>
                <c:ptCount val="3"/>
                <c:pt idx="0">
                  <c:v>Societati pe actiuni</c:v>
                </c:pt>
                <c:pt idx="1">
                  <c:v>Societati cu raspundere limitata</c:v>
                </c:pt>
                <c:pt idx="2">
                  <c:v>Regii Autonome</c:v>
                </c:pt>
              </c:strCache>
            </c:strRef>
          </c:cat>
          <c:val>
            <c:numRef>
              <c:f>'Grafic nr 2'!$K$3:$K$5</c:f>
              <c:numCache>
                <c:formatCode>General</c:formatCode>
                <c:ptCount val="3"/>
                <c:pt idx="0">
                  <c:v>284</c:v>
                </c:pt>
                <c:pt idx="1">
                  <c:v>820</c:v>
                </c:pt>
                <c:pt idx="2">
                  <c:v>89</c:v>
                </c:pt>
              </c:numCache>
            </c:numRef>
          </c:val>
          <c:extLst>
            <c:ext xmlns:c16="http://schemas.microsoft.com/office/drawing/2014/chart" uri="{C3380CC4-5D6E-409C-BE32-E72D297353CC}">
              <c16:uniqueId val="{00000006-D650-4C19-933F-6CF975FEE65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59423347398033"/>
          <c:y val="0.19545886075949362"/>
          <c:w val="0.44252531645569626"/>
          <c:h val="0.66119690576652601"/>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1D4-47D9-A9B4-B41CA71AC722}"/>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3-11D4-47D9-A9B4-B41CA71AC72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11D4-47D9-A9B4-B41CA71AC7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'Forma juridică IPLocal'!$A$61:$A$64</c:f>
              <c:strCache>
                <c:ptCount val="3"/>
                <c:pt idx="0">
                  <c:v>Exclusiv prin Comisie de Selecție la nivelul APT</c:v>
                </c:pt>
                <c:pt idx="1">
                  <c:v>Prin Comisie de Selecție la nivelul APT, asistată de un expert independent</c:v>
                </c:pt>
                <c:pt idx="2">
                  <c:v>Prin Comitetul de Nominalizare și Remunerare din CA/CS</c:v>
                </c:pt>
              </c:strCache>
            </c:strRef>
          </c:cat>
          <c:val>
            <c:numRef>
              <c:f>'Forma juridică IPLocal'!$B$61:$B$64</c:f>
              <c:numCache>
                <c:formatCode>General</c:formatCode>
                <c:ptCount val="4"/>
                <c:pt idx="0">
                  <c:v>32</c:v>
                </c:pt>
                <c:pt idx="1">
                  <c:v>19</c:v>
                </c:pt>
                <c:pt idx="2">
                  <c:v>3</c:v>
                </c:pt>
              </c:numCache>
            </c:numRef>
          </c:val>
          <c:extLst>
            <c:ext xmlns:c16="http://schemas.microsoft.com/office/drawing/2014/chart" uri="{C3380CC4-5D6E-409C-BE32-E72D297353CC}">
              <c16:uniqueId val="{00000006-11D4-47D9-A9B4-B41CA71AC722}"/>
            </c:ext>
          </c:extLst>
        </c:ser>
        <c:dLbls>
          <c:dLblPos val="outEnd"/>
          <c:showLegendKey val="0"/>
          <c:showVal val="1"/>
          <c:showCatName val="0"/>
          <c:showSerName val="0"/>
          <c:showPercent val="0"/>
          <c:showBubbleSize val="0"/>
        </c:dLbls>
        <c:gapWidth val="182"/>
        <c:axId val="255092192"/>
        <c:axId val="255094272"/>
      </c:barChart>
      <c:catAx>
        <c:axId val="25509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5094272"/>
        <c:crosses val="autoZero"/>
        <c:auto val="1"/>
        <c:lblAlgn val="ctr"/>
        <c:lblOffset val="100"/>
        <c:noMultiLvlLbl val="0"/>
      </c:catAx>
      <c:valAx>
        <c:axId val="255094272"/>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5092192"/>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65988626421699"/>
          <c:y val="0.29166666666666669"/>
          <c:w val="0.3253468941382327"/>
          <c:h val="0.54224482356372117"/>
        </c:manualLayout>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06-4F3D-A6BF-C9644486A8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06-4F3D-A6BF-C9644486A867}"/>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DC06-4F3D-A6BF-C9644486A867}"/>
              </c:ext>
            </c:extLst>
          </c:dPt>
          <c:dLbls>
            <c:dLbl>
              <c:idx val="0"/>
              <c:layout>
                <c:manualLayout>
                  <c:x val="1.6666666666666666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C06-4F3D-A6BF-C9644486A867}"/>
                </c:ext>
              </c:extLst>
            </c:dLbl>
            <c:dLbl>
              <c:idx val="1"/>
              <c:layout>
                <c:manualLayout>
                  <c:x val="0.11666666666666667"/>
                  <c:y val="-0.1851851851851851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C06-4F3D-A6BF-C9644486A867}"/>
                </c:ext>
              </c:extLst>
            </c:dLbl>
            <c:dLbl>
              <c:idx val="2"/>
              <c:layout>
                <c:manualLayout>
                  <c:x val="-7.4999999999999997E-2"/>
                  <c:y val="8.333333333333328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C06-4F3D-A6BF-C9644486A86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'Forma juridică IPLocal'!$A$27:$A$29</c:f>
              <c:strCache>
                <c:ptCount val="3"/>
                <c:pt idx="0">
                  <c:v>Regii autonome</c:v>
                </c:pt>
                <c:pt idx="1">
                  <c:v>Societăți pe acțiuni</c:v>
                </c:pt>
                <c:pt idx="2">
                  <c:v>Societăți cu răspundere limitată</c:v>
                </c:pt>
              </c:strCache>
            </c:strRef>
          </c:cat>
          <c:val>
            <c:numRef>
              <c:f>'Forma juridică IPLocal'!$B$27:$B$29</c:f>
              <c:numCache>
                <c:formatCode>General</c:formatCode>
                <c:ptCount val="3"/>
                <c:pt idx="0">
                  <c:v>43</c:v>
                </c:pt>
                <c:pt idx="1">
                  <c:v>162</c:v>
                </c:pt>
                <c:pt idx="2">
                  <c:v>135</c:v>
                </c:pt>
              </c:numCache>
            </c:numRef>
          </c:val>
          <c:extLst>
            <c:ext xmlns:c16="http://schemas.microsoft.com/office/drawing/2014/chart" uri="{C3380CC4-5D6E-409C-BE32-E72D297353CC}">
              <c16:uniqueId val="{00000006-DC06-4F3D-A6BF-C9644486A86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20225694444454"/>
          <c:y val="0.14351851851851852"/>
          <c:w val="0.50536892361111108"/>
          <c:h val="0.65436242344706907"/>
        </c:manualLayout>
      </c:layout>
      <c:barChart>
        <c:barDir val="bar"/>
        <c:grouping val="percentStacked"/>
        <c:varyColors val="0"/>
        <c:ser>
          <c:idx val="0"/>
          <c:order val="0"/>
          <c:tx>
            <c:strRef>
              <c:f>Locale!$B$58</c:f>
              <c:strCache>
                <c:ptCount val="1"/>
                <c:pt idx="0">
                  <c:v>Nr. ÎPL care au finalizat etapa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Locale!$A$60:$A$70</c:f>
              <c:strCache>
                <c:ptCount val="11"/>
                <c:pt idx="0">
                  <c:v>11. Au declanșat procesul de selecție al directorilor</c:v>
                </c:pt>
                <c:pt idx="1">
                  <c:v>10. Au numit administratorii/încheiat contractul de mandat</c:v>
                </c:pt>
                <c:pt idx="2">
                  <c:v>9. Raportul pentru numirile finale a fost finzalizat</c:v>
                </c:pt>
                <c:pt idx="3">
                  <c:v>8.Intervievarea candidaților de pe lista scurtă </c:v>
                </c:pt>
                <c:pt idx="4">
                  <c:v>7. Alcătuirea listei scurte </c:v>
                </c:pt>
                <c:pt idx="5">
                  <c:v>6. Alcătuirea listei lungi </c:v>
                </c:pt>
                <c:pt idx="6">
                  <c:v>5. Planul de selecție integral</c:v>
                </c:pt>
                <c:pt idx="7">
                  <c:v>4. Anuntul de selecție a fost publicat</c:v>
                </c:pt>
                <c:pt idx="8">
                  <c:v>5. Matrice profilului consiliu</c:v>
                </c:pt>
                <c:pt idx="9">
                  <c:v>2. Elaborarea componenței inițiale a planului de selecție</c:v>
                </c:pt>
                <c:pt idx="10">
                  <c:v>1. ÎPL la care a fost declanșat procesul de selecție al CA/CS</c:v>
                </c:pt>
              </c:strCache>
              <c:extLst/>
            </c:strRef>
          </c:cat>
          <c:val>
            <c:numRef>
              <c:f>Locale!$B$60:$B$70</c:f>
              <c:numCache>
                <c:formatCode>General</c:formatCode>
                <c:ptCount val="11"/>
                <c:pt idx="0">
                  <c:v>4</c:v>
                </c:pt>
                <c:pt idx="1">
                  <c:v>24</c:v>
                </c:pt>
                <c:pt idx="2">
                  <c:v>8</c:v>
                </c:pt>
                <c:pt idx="3">
                  <c:v>9</c:v>
                </c:pt>
                <c:pt idx="4">
                  <c:v>27</c:v>
                </c:pt>
                <c:pt idx="5">
                  <c:v>28</c:v>
                </c:pt>
                <c:pt idx="6">
                  <c:v>16</c:v>
                </c:pt>
                <c:pt idx="7">
                  <c:v>38</c:v>
                </c:pt>
                <c:pt idx="8">
                  <c:v>33</c:v>
                </c:pt>
                <c:pt idx="9">
                  <c:v>48</c:v>
                </c:pt>
                <c:pt idx="10">
                  <c:v>54</c:v>
                </c:pt>
              </c:numCache>
              <c:extLst/>
            </c:numRef>
          </c:val>
          <c:extLst>
            <c:ext xmlns:c16="http://schemas.microsoft.com/office/drawing/2014/chart" uri="{C3380CC4-5D6E-409C-BE32-E72D297353CC}">
              <c16:uniqueId val="{00000000-1DA1-43A2-A86E-A0F272114192}"/>
            </c:ext>
          </c:extLst>
        </c:ser>
        <c:ser>
          <c:idx val="1"/>
          <c:order val="1"/>
          <c:tx>
            <c:strRef>
              <c:f>Locale!$C$58</c:f>
              <c:strCache>
                <c:ptCount val="1"/>
                <c:pt idx="0">
                  <c:v>Nr. ÎPL care nu au finalizat etapa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Locale!$A$60:$A$70</c:f>
              <c:strCache>
                <c:ptCount val="11"/>
                <c:pt idx="0">
                  <c:v>11. Au declanșat procesul de selecție al directorilor</c:v>
                </c:pt>
                <c:pt idx="1">
                  <c:v>10. Au numit administratorii/încheiat contractul de mandat</c:v>
                </c:pt>
                <c:pt idx="2">
                  <c:v>9. Raportul pentru numirile finale a fost finzalizat</c:v>
                </c:pt>
                <c:pt idx="3">
                  <c:v>8.Intervievarea candidaților de pe lista scurtă </c:v>
                </c:pt>
                <c:pt idx="4">
                  <c:v>7. Alcătuirea listei scurte </c:v>
                </c:pt>
                <c:pt idx="5">
                  <c:v>6. Alcătuirea listei lungi </c:v>
                </c:pt>
                <c:pt idx="6">
                  <c:v>5. Planul de selecție integral</c:v>
                </c:pt>
                <c:pt idx="7">
                  <c:v>4. Anuntul de selecție a fost publicat</c:v>
                </c:pt>
                <c:pt idx="8">
                  <c:v>5. Matrice profilului consiliu</c:v>
                </c:pt>
                <c:pt idx="9">
                  <c:v>2. Elaborarea componenței inițiale a planului de selecție</c:v>
                </c:pt>
                <c:pt idx="10">
                  <c:v>1. ÎPL la care a fost declanșat procesul de selecție al CA/CS</c:v>
                </c:pt>
              </c:strCache>
              <c:extLst/>
            </c:strRef>
          </c:cat>
          <c:val>
            <c:numRef>
              <c:f>Locale!$C$60:$C$70</c:f>
              <c:numCache>
                <c:formatCode>General</c:formatCode>
                <c:ptCount val="11"/>
                <c:pt idx="0">
                  <c:v>50</c:v>
                </c:pt>
                <c:pt idx="1">
                  <c:v>30</c:v>
                </c:pt>
                <c:pt idx="2">
                  <c:v>46</c:v>
                </c:pt>
                <c:pt idx="3">
                  <c:v>45</c:v>
                </c:pt>
                <c:pt idx="4">
                  <c:v>27</c:v>
                </c:pt>
                <c:pt idx="5">
                  <c:v>26</c:v>
                </c:pt>
                <c:pt idx="6">
                  <c:v>38</c:v>
                </c:pt>
                <c:pt idx="7">
                  <c:v>16</c:v>
                </c:pt>
                <c:pt idx="8">
                  <c:v>21</c:v>
                </c:pt>
                <c:pt idx="9">
                  <c:v>6</c:v>
                </c:pt>
              </c:numCache>
              <c:extLst/>
            </c:numRef>
          </c:val>
          <c:extLst>
            <c:ext xmlns:c16="http://schemas.microsoft.com/office/drawing/2014/chart" uri="{C3380CC4-5D6E-409C-BE32-E72D297353CC}">
              <c16:uniqueId val="{00000001-1DA1-43A2-A86E-A0F272114192}"/>
            </c:ext>
          </c:extLst>
        </c:ser>
        <c:dLbls>
          <c:dLblPos val="ctr"/>
          <c:showLegendKey val="0"/>
          <c:showVal val="1"/>
          <c:showCatName val="0"/>
          <c:showSerName val="0"/>
          <c:showPercent val="0"/>
          <c:showBubbleSize val="0"/>
        </c:dLbls>
        <c:gapWidth val="150"/>
        <c:overlap val="100"/>
        <c:axId val="-292304896"/>
        <c:axId val="-292304352"/>
      </c:barChart>
      <c:catAx>
        <c:axId val="-2923048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304352"/>
        <c:crosses val="autoZero"/>
        <c:auto val="1"/>
        <c:lblAlgn val="ctr"/>
        <c:lblOffset val="100"/>
        <c:noMultiLvlLbl val="0"/>
      </c:catAx>
      <c:valAx>
        <c:axId val="-2923043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92304896"/>
        <c:crosses val="autoZero"/>
        <c:crossBetween val="between"/>
      </c:valAx>
      <c:spPr>
        <a:noFill/>
        <a:ln>
          <a:noFill/>
        </a:ln>
        <a:effectLst/>
      </c:spPr>
    </c:plotArea>
    <c:legend>
      <c:legendPos val="b"/>
      <c:layout>
        <c:manualLayout>
          <c:xMode val="edge"/>
          <c:yMode val="edge"/>
          <c:x val="0.45055659722222213"/>
          <c:y val="0.8175647018970188"/>
          <c:w val="0.50458124999999998"/>
          <c:h val="6.566164381700341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050" b="1" strike="noStrike" spc="-1">
                <a:solidFill>
                  <a:srgbClr val="2E75B6"/>
                </a:solidFill>
                <a:latin typeface="Calibri"/>
              </a:defRPr>
            </a:pPr>
            <a:r>
              <a:rPr lang="ro-RO" sz="1050" b="1" strike="noStrike" spc="-1">
                <a:solidFill>
                  <a:srgbClr val="2E75B6"/>
                </a:solidFill>
                <a:latin typeface="Calibri"/>
              </a:rPr>
              <a:t>Gradul de îndeplinire a indicatorilor cheie de performanță din contractele de mandat ale administratorilor, pe categorii</a:t>
            </a:r>
          </a:p>
        </c:rich>
      </c:tx>
      <c:layout/>
      <c:overlay val="0"/>
      <c:spPr>
        <a:noFill/>
        <a:ln>
          <a:noFill/>
        </a:ln>
      </c:spPr>
    </c:title>
    <c:autoTitleDeleted val="0"/>
    <c:plotArea>
      <c:layout/>
      <c:barChart>
        <c:barDir val="bar"/>
        <c:grouping val="clustered"/>
        <c:varyColors val="0"/>
        <c:ser>
          <c:idx val="0"/>
          <c:order val="0"/>
          <c:tx>
            <c:strRef>
              <c:f>'Tabele și grafice CAP3.3 2018'!$E$56</c:f>
              <c:strCache>
                <c:ptCount val="1"/>
                <c:pt idx="0">
                  <c:v>Îndeplinit</c:v>
                </c:pt>
              </c:strCache>
            </c:strRef>
          </c:tx>
          <c:spPr>
            <a:solidFill>
              <a:srgbClr val="A9D18E"/>
            </a:solidFill>
            <a:ln>
              <a:no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2018'!$C$57:$C$64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2018'!$E$57:$E$64</c:f>
              <c:numCache>
                <c:formatCode>0%</c:formatCode>
                <c:ptCount val="8"/>
                <c:pt idx="0">
                  <c:v>0.85185185185185186</c:v>
                </c:pt>
                <c:pt idx="1">
                  <c:v>0.86486486486486491</c:v>
                </c:pt>
                <c:pt idx="2">
                  <c:v>0.88118811881188119</c:v>
                </c:pt>
                <c:pt idx="3">
                  <c:v>0.73684210526315785</c:v>
                </c:pt>
                <c:pt idx="4">
                  <c:v>0.80423280423280419</c:v>
                </c:pt>
                <c:pt idx="5">
                  <c:v>0.84</c:v>
                </c:pt>
                <c:pt idx="6">
                  <c:v>0.91666666666666663</c:v>
                </c:pt>
                <c:pt idx="7">
                  <c:v>0.84363636363636363</c:v>
                </c:pt>
              </c:numCache>
            </c:numRef>
          </c:val>
          <c:extLst>
            <c:ext xmlns:c16="http://schemas.microsoft.com/office/drawing/2014/chart" uri="{C3380CC4-5D6E-409C-BE32-E72D297353CC}">
              <c16:uniqueId val="{00000000-97E5-4106-A2FF-D4727754B912}"/>
            </c:ext>
          </c:extLst>
        </c:ser>
        <c:ser>
          <c:idx val="1"/>
          <c:order val="1"/>
          <c:tx>
            <c:strRef>
              <c:f>'Tabele și grafice CAP3.3 2018'!$F$56</c:f>
              <c:strCache>
                <c:ptCount val="1"/>
                <c:pt idx="0">
                  <c:v>Neîndeplinit</c:v>
                </c:pt>
              </c:strCache>
            </c:strRef>
          </c:tx>
          <c:spPr>
            <a:solidFill>
              <a:srgbClr val="2E75B6"/>
            </a:solidFill>
            <a:ln>
              <a:no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2018'!$C$57:$C$64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2018'!$F$57:$F$64</c:f>
              <c:numCache>
                <c:formatCode>0%</c:formatCode>
                <c:ptCount val="8"/>
                <c:pt idx="0">
                  <c:v>0.14814814814814814</c:v>
                </c:pt>
                <c:pt idx="1">
                  <c:v>0.13513513513513514</c:v>
                </c:pt>
                <c:pt idx="2">
                  <c:v>0.11881188118811881</c:v>
                </c:pt>
                <c:pt idx="3">
                  <c:v>0.26315789473684209</c:v>
                </c:pt>
                <c:pt idx="4">
                  <c:v>0.19576719576719576</c:v>
                </c:pt>
                <c:pt idx="5">
                  <c:v>0.16</c:v>
                </c:pt>
                <c:pt idx="6">
                  <c:v>8.3333333333333329E-2</c:v>
                </c:pt>
                <c:pt idx="7">
                  <c:v>0.15636363636363637</c:v>
                </c:pt>
              </c:numCache>
            </c:numRef>
          </c:val>
          <c:extLst>
            <c:ext xmlns:c16="http://schemas.microsoft.com/office/drawing/2014/chart" uri="{C3380CC4-5D6E-409C-BE32-E72D297353CC}">
              <c16:uniqueId val="{00000001-97E5-4106-A2FF-D4727754B912}"/>
            </c:ext>
          </c:extLst>
        </c:ser>
        <c:dLbls>
          <c:showLegendKey val="0"/>
          <c:showVal val="0"/>
          <c:showCatName val="0"/>
          <c:showSerName val="0"/>
          <c:showPercent val="0"/>
          <c:showBubbleSize val="0"/>
        </c:dLbls>
        <c:gapWidth val="182"/>
        <c:axId val="61712265"/>
        <c:axId val="39665864"/>
      </c:barChart>
      <c:catAx>
        <c:axId val="61712265"/>
        <c:scaling>
          <c:orientation val="minMax"/>
        </c:scaling>
        <c:delete val="0"/>
        <c:axPos val="l"/>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9665864"/>
        <c:crosses val="autoZero"/>
        <c:auto val="1"/>
        <c:lblAlgn val="l"/>
        <c:lblOffset val="100"/>
        <c:noMultiLvlLbl val="1"/>
      </c:catAx>
      <c:valAx>
        <c:axId val="39665864"/>
        <c:scaling>
          <c:orientation val="minMax"/>
        </c:scaling>
        <c:delete val="1"/>
        <c:axPos val="b"/>
        <c:majorGridlines>
          <c:spPr>
            <a:ln w="9360">
              <a:solidFill>
                <a:srgbClr val="D9D9D9"/>
              </a:solidFill>
              <a:round/>
            </a:ln>
          </c:spPr>
        </c:majorGridlines>
        <c:numFmt formatCode="0%" sourceLinked="0"/>
        <c:majorTickMark val="none"/>
        <c:minorTickMark val="none"/>
        <c:tickLblPos val="nextTo"/>
        <c:crossAx val="61712265"/>
        <c:crosses val="autoZero"/>
        <c:crossBetween val="between"/>
      </c:valAx>
      <c:spPr>
        <a:noFill/>
        <a:ln>
          <a:noFill/>
        </a:ln>
      </c:spPr>
    </c:plotArea>
    <c:legend>
      <c:legendPos val="b"/>
      <c:layout/>
      <c:overlay val="0"/>
      <c:spPr>
        <a:noFill/>
        <a:ln>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050" b="1" strike="noStrike" spc="-1">
                <a:solidFill>
                  <a:srgbClr val="2E75B6"/>
                </a:solidFill>
                <a:latin typeface="Calibri"/>
              </a:defRPr>
            </a:pPr>
            <a:r>
              <a:rPr lang="ro-RO" sz="1050" b="1" strike="noStrike" spc="-1">
                <a:solidFill>
                  <a:srgbClr val="2E75B6"/>
                </a:solidFill>
                <a:latin typeface="Calibri"/>
              </a:rPr>
              <a:t>Gradul de îndeplinire a indicatorilor cheie de performanță din contractele de mandat ale directorilor, pe categorii</a:t>
            </a:r>
          </a:p>
        </c:rich>
      </c:tx>
      <c:layout/>
      <c:overlay val="0"/>
      <c:spPr>
        <a:noFill/>
        <a:ln>
          <a:noFill/>
        </a:ln>
      </c:spPr>
    </c:title>
    <c:autoTitleDeleted val="0"/>
    <c:plotArea>
      <c:layout/>
      <c:barChart>
        <c:barDir val="bar"/>
        <c:grouping val="clustered"/>
        <c:varyColors val="0"/>
        <c:ser>
          <c:idx val="0"/>
          <c:order val="0"/>
          <c:tx>
            <c:strRef>
              <c:f>'Tabele și grafice CAP3.3 2018'!$J$56</c:f>
              <c:strCache>
                <c:ptCount val="1"/>
                <c:pt idx="0">
                  <c:v>Îndeplinit</c:v>
                </c:pt>
              </c:strCache>
            </c:strRef>
          </c:tx>
          <c:spPr>
            <a:solidFill>
              <a:srgbClr val="A9D18E"/>
            </a:solidFill>
            <a:ln>
              <a:solidFill>
                <a:srgbClr val="A9D18E"/>
              </a:solid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2018'!$H$57:$H$64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2018'!$J$57:$J$64</c:f>
              <c:numCache>
                <c:formatCode>0%</c:formatCode>
                <c:ptCount val="8"/>
                <c:pt idx="0">
                  <c:v>0.84967320261437906</c:v>
                </c:pt>
                <c:pt idx="1">
                  <c:v>0.90579710144927539</c:v>
                </c:pt>
                <c:pt idx="2">
                  <c:v>0.85185185185185186</c:v>
                </c:pt>
                <c:pt idx="3">
                  <c:v>0.796875</c:v>
                </c:pt>
                <c:pt idx="4">
                  <c:v>0.81656804733727806</c:v>
                </c:pt>
                <c:pt idx="5">
                  <c:v>0.87037037037037035</c:v>
                </c:pt>
                <c:pt idx="6">
                  <c:v>1</c:v>
                </c:pt>
                <c:pt idx="7">
                  <c:v>0.84518828451882844</c:v>
                </c:pt>
              </c:numCache>
            </c:numRef>
          </c:val>
          <c:extLst>
            <c:ext xmlns:c16="http://schemas.microsoft.com/office/drawing/2014/chart" uri="{C3380CC4-5D6E-409C-BE32-E72D297353CC}">
              <c16:uniqueId val="{00000000-6EBD-4E58-9E70-334B0F976F52}"/>
            </c:ext>
          </c:extLst>
        </c:ser>
        <c:ser>
          <c:idx val="1"/>
          <c:order val="1"/>
          <c:tx>
            <c:strRef>
              <c:f>'Tabele și grafice CAP3.3 2018'!$K$56</c:f>
              <c:strCache>
                <c:ptCount val="1"/>
                <c:pt idx="0">
                  <c:v>Neîndeplinit</c:v>
                </c:pt>
              </c:strCache>
            </c:strRef>
          </c:tx>
          <c:spPr>
            <a:solidFill>
              <a:srgbClr val="2E75B6"/>
            </a:solidFill>
            <a:ln>
              <a:no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2018'!$H$57:$H$64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2018'!$K$57:$K$64</c:f>
              <c:numCache>
                <c:formatCode>0%</c:formatCode>
                <c:ptCount val="8"/>
                <c:pt idx="0">
                  <c:v>0.15032679738562091</c:v>
                </c:pt>
                <c:pt idx="1">
                  <c:v>9.420289855072464E-2</c:v>
                </c:pt>
                <c:pt idx="2">
                  <c:v>0.14814814814814814</c:v>
                </c:pt>
                <c:pt idx="3">
                  <c:v>0.203125</c:v>
                </c:pt>
                <c:pt idx="4">
                  <c:v>0.18343195266272189</c:v>
                </c:pt>
                <c:pt idx="5">
                  <c:v>0.12962962962962962</c:v>
                </c:pt>
                <c:pt idx="6">
                  <c:v>0</c:v>
                </c:pt>
                <c:pt idx="7">
                  <c:v>0.15481171548117154</c:v>
                </c:pt>
              </c:numCache>
            </c:numRef>
          </c:val>
          <c:extLst>
            <c:ext xmlns:c16="http://schemas.microsoft.com/office/drawing/2014/chart" uri="{C3380CC4-5D6E-409C-BE32-E72D297353CC}">
              <c16:uniqueId val="{00000001-6EBD-4E58-9E70-334B0F976F52}"/>
            </c:ext>
          </c:extLst>
        </c:ser>
        <c:dLbls>
          <c:showLegendKey val="0"/>
          <c:showVal val="0"/>
          <c:showCatName val="0"/>
          <c:showSerName val="0"/>
          <c:showPercent val="0"/>
          <c:showBubbleSize val="0"/>
        </c:dLbls>
        <c:gapWidth val="182"/>
        <c:axId val="58964536"/>
        <c:axId val="47582570"/>
      </c:barChart>
      <c:catAx>
        <c:axId val="58964536"/>
        <c:scaling>
          <c:orientation val="minMax"/>
        </c:scaling>
        <c:delete val="0"/>
        <c:axPos val="l"/>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47582570"/>
        <c:crosses val="autoZero"/>
        <c:auto val="1"/>
        <c:lblAlgn val="ctr"/>
        <c:lblOffset val="100"/>
        <c:noMultiLvlLbl val="1"/>
      </c:catAx>
      <c:valAx>
        <c:axId val="47582570"/>
        <c:scaling>
          <c:orientation val="minMax"/>
        </c:scaling>
        <c:delete val="1"/>
        <c:axPos val="b"/>
        <c:majorGridlines>
          <c:spPr>
            <a:ln w="9360">
              <a:solidFill>
                <a:srgbClr val="D9D9D9"/>
              </a:solidFill>
              <a:round/>
            </a:ln>
          </c:spPr>
        </c:majorGridlines>
        <c:numFmt formatCode="0%" sourceLinked="0"/>
        <c:majorTickMark val="none"/>
        <c:minorTickMark val="none"/>
        <c:tickLblPos val="nextTo"/>
        <c:crossAx val="58964536"/>
        <c:crosses val="autoZero"/>
        <c:crossBetween val="between"/>
      </c:valAx>
      <c:spPr>
        <a:noFill/>
        <a:ln>
          <a:noFill/>
        </a:ln>
      </c:spPr>
    </c:plotArea>
    <c:legend>
      <c:legendPos val="b"/>
      <c:layout/>
      <c:overlay val="0"/>
      <c:spPr>
        <a:noFill/>
        <a:ln>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31232638888891"/>
          <c:y val="0.12056962025316456"/>
          <c:w val="0.56879357638888883"/>
          <c:h val="0.61032278481012647"/>
        </c:manualLayout>
      </c:layout>
      <c:barChart>
        <c:barDir val="bar"/>
        <c:grouping val="clustered"/>
        <c:varyColors val="0"/>
        <c:ser>
          <c:idx val="0"/>
          <c:order val="0"/>
          <c:tx>
            <c:strRef>
              <c:f>'Grafic nr 2'!$J$2</c:f>
              <c:strCache>
                <c:ptCount val="1"/>
                <c:pt idx="0">
                  <c:v>Transmise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2'!$I$3:$I$5</c:f>
              <c:strCache>
                <c:ptCount val="3"/>
                <c:pt idx="0">
                  <c:v>Filiale (SA)</c:v>
                </c:pt>
                <c:pt idx="1">
                  <c:v>societăți și companii </c:v>
                </c:pt>
                <c:pt idx="2">
                  <c:v>Regii Autonome</c:v>
                </c:pt>
              </c:strCache>
            </c:strRef>
          </c:cat>
          <c:val>
            <c:numRef>
              <c:f>'Grafic nr 2'!$J$3:$J$5</c:f>
              <c:numCache>
                <c:formatCode>General</c:formatCode>
                <c:ptCount val="3"/>
                <c:pt idx="0">
                  <c:v>22</c:v>
                </c:pt>
                <c:pt idx="1">
                  <c:v>108</c:v>
                </c:pt>
                <c:pt idx="2">
                  <c:v>12</c:v>
                </c:pt>
              </c:numCache>
            </c:numRef>
          </c:val>
          <c:extLst>
            <c:ext xmlns:c16="http://schemas.microsoft.com/office/drawing/2014/chart" uri="{C3380CC4-5D6E-409C-BE32-E72D297353CC}">
              <c16:uniqueId val="{00000000-06B6-48B0-8A01-B4119EABA8C6}"/>
            </c:ext>
          </c:extLst>
        </c:ser>
        <c:ser>
          <c:idx val="1"/>
          <c:order val="1"/>
          <c:tx>
            <c:strRef>
              <c:f>'Grafic nr 2'!$K$2</c:f>
              <c:strCache>
                <c:ptCount val="1"/>
                <c:pt idx="0">
                  <c:v>Obligate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2'!$I$3:$I$5</c:f>
              <c:strCache>
                <c:ptCount val="3"/>
                <c:pt idx="0">
                  <c:v>Filiale (SA)</c:v>
                </c:pt>
                <c:pt idx="1">
                  <c:v>societăți și companii </c:v>
                </c:pt>
                <c:pt idx="2">
                  <c:v>Regii Autonome</c:v>
                </c:pt>
              </c:strCache>
            </c:strRef>
          </c:cat>
          <c:val>
            <c:numRef>
              <c:f>'Grafic nr 2'!$K$3:$K$5</c:f>
              <c:numCache>
                <c:formatCode>General</c:formatCode>
                <c:ptCount val="3"/>
                <c:pt idx="0">
                  <c:v>24</c:v>
                </c:pt>
                <c:pt idx="1">
                  <c:v>115</c:v>
                </c:pt>
                <c:pt idx="2">
                  <c:v>12</c:v>
                </c:pt>
              </c:numCache>
            </c:numRef>
          </c:val>
          <c:extLst>
            <c:ext xmlns:c16="http://schemas.microsoft.com/office/drawing/2014/chart" uri="{C3380CC4-5D6E-409C-BE32-E72D297353CC}">
              <c16:uniqueId val="{00000001-06B6-48B0-8A01-B4119EABA8C6}"/>
            </c:ext>
          </c:extLst>
        </c:ser>
        <c:dLbls>
          <c:dLblPos val="outEnd"/>
          <c:showLegendKey val="0"/>
          <c:showVal val="1"/>
          <c:showCatName val="0"/>
          <c:showSerName val="0"/>
          <c:showPercent val="0"/>
          <c:showBubbleSize val="0"/>
        </c:dLbls>
        <c:gapWidth val="182"/>
        <c:axId val="-292300544"/>
        <c:axId val="-292295104"/>
      </c:barChart>
      <c:catAx>
        <c:axId val="-29230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295104"/>
        <c:crosses val="autoZero"/>
        <c:auto val="1"/>
        <c:lblAlgn val="ctr"/>
        <c:lblOffset val="100"/>
        <c:noMultiLvlLbl val="0"/>
      </c:catAx>
      <c:valAx>
        <c:axId val="-292295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sz="700"/>
                  <a:t>Numărul</a:t>
                </a:r>
                <a:r>
                  <a:rPr lang="ro-RO" sz="700" baseline="0"/>
                  <a:t> ÎP</a:t>
                </a:r>
                <a:r>
                  <a:rPr lang="en-US" sz="700" baseline="0"/>
                  <a:t>C</a:t>
                </a:r>
                <a:endParaRPr lang="en-US" sz="700"/>
              </a:p>
            </c:rich>
          </c:tx>
          <c:layout>
            <c:manualLayout>
              <c:xMode val="edge"/>
              <c:yMode val="edge"/>
              <c:x val="0.51722829861111108"/>
              <c:y val="0.806130420054200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3005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683090277777779"/>
          <c:y val="0.11026505421945845"/>
          <c:w val="0.86261354166666671"/>
          <c:h val="0.49568142554045252"/>
        </c:manualLayout>
      </c:layout>
      <c:barChart>
        <c:barDir val="col"/>
        <c:grouping val="clustered"/>
        <c:varyColors val="1"/>
        <c:ser>
          <c:idx val="0"/>
          <c:order val="0"/>
          <c:invertIfNegative val="0"/>
          <c:dPt>
            <c:idx val="0"/>
            <c:invertIfNegative val="0"/>
            <c:bubble3D val="0"/>
            <c:spPr>
              <a:solidFill>
                <a:schemeClr val="accent6">
                  <a:shade val="58000"/>
                </a:schemeClr>
              </a:solidFill>
              <a:ln>
                <a:noFill/>
              </a:ln>
              <a:effectLst/>
            </c:spPr>
            <c:extLst>
              <c:ext xmlns:c16="http://schemas.microsoft.com/office/drawing/2014/chart" uri="{C3380CC4-5D6E-409C-BE32-E72D297353CC}">
                <c16:uniqueId val="{00000001-AD80-4CD2-91A2-C84F5AB7E3AF}"/>
              </c:ext>
            </c:extLst>
          </c:dPt>
          <c:dPt>
            <c:idx val="1"/>
            <c:invertIfNegative val="0"/>
            <c:bubble3D val="0"/>
            <c:spPr>
              <a:solidFill>
                <a:schemeClr val="accent6">
                  <a:shade val="86000"/>
                </a:schemeClr>
              </a:solidFill>
              <a:ln>
                <a:noFill/>
              </a:ln>
              <a:effectLst/>
            </c:spPr>
            <c:extLst>
              <c:ext xmlns:c16="http://schemas.microsoft.com/office/drawing/2014/chart" uri="{C3380CC4-5D6E-409C-BE32-E72D297353CC}">
                <c16:uniqueId val="{00000003-AD80-4CD2-91A2-C84F5AB7E3AF}"/>
              </c:ext>
            </c:extLst>
          </c:dPt>
          <c:dPt>
            <c:idx val="2"/>
            <c:invertIfNegative val="0"/>
            <c:bubble3D val="0"/>
            <c:spPr>
              <a:solidFill>
                <a:schemeClr val="accent6">
                  <a:tint val="86000"/>
                </a:schemeClr>
              </a:solidFill>
              <a:ln>
                <a:noFill/>
              </a:ln>
              <a:effectLst/>
            </c:spPr>
            <c:extLst>
              <c:ext xmlns:c16="http://schemas.microsoft.com/office/drawing/2014/chart" uri="{C3380CC4-5D6E-409C-BE32-E72D297353CC}">
                <c16:uniqueId val="{00000005-AD80-4CD2-91A2-C84F5AB7E3AF}"/>
              </c:ext>
            </c:extLst>
          </c:dPt>
          <c:dPt>
            <c:idx val="3"/>
            <c:invertIfNegative val="0"/>
            <c:bubble3D val="0"/>
            <c:spPr>
              <a:solidFill>
                <a:schemeClr val="accent6">
                  <a:tint val="58000"/>
                </a:schemeClr>
              </a:solidFill>
              <a:ln>
                <a:noFill/>
              </a:ln>
              <a:effectLst/>
            </c:spPr>
            <c:extLst>
              <c:ext xmlns:c16="http://schemas.microsoft.com/office/drawing/2014/chart" uri="{C3380CC4-5D6E-409C-BE32-E72D297353CC}">
                <c16:uniqueId val="{00000007-AD80-4CD2-91A2-C84F5AB7E3AF}"/>
              </c:ext>
            </c:extLst>
          </c:dPt>
          <c:dLbls>
            <c:dLbl>
              <c:idx val="0"/>
              <c:layout>
                <c:manualLayout>
                  <c:x val="2.1292451825827745E-3"/>
                  <c:y val="3.05157155935306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D80-4CD2-91A2-C84F5AB7E3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4'!$A$6:$A$9</c:f>
              <c:strCache>
                <c:ptCount val="4"/>
                <c:pt idx="0">
                  <c:v>Exclusiv prin Comisie de Selectie la nivel APT</c:v>
                </c:pt>
                <c:pt idx="1">
                  <c:v>Prin Comisie de Selectie la nivel APT, asistat de un expert independent</c:v>
                </c:pt>
                <c:pt idx="2">
                  <c:v>Prin Comitetul de Nominalizare si Remunerare din CA / CS</c:v>
                </c:pt>
                <c:pt idx="3">
                  <c:v>Prin Comitetul de Nominalizare si Remunerare din CA / CS asistat de un expert independent</c:v>
                </c:pt>
              </c:strCache>
            </c:strRef>
          </c:cat>
          <c:val>
            <c:numRef>
              <c:f>'Grafic nr 4'!$B$6:$B$9</c:f>
              <c:numCache>
                <c:formatCode>General</c:formatCode>
                <c:ptCount val="4"/>
                <c:pt idx="0">
                  <c:v>39</c:v>
                </c:pt>
                <c:pt idx="1">
                  <c:v>9</c:v>
                </c:pt>
                <c:pt idx="2">
                  <c:v>6</c:v>
                </c:pt>
                <c:pt idx="3">
                  <c:v>7</c:v>
                </c:pt>
              </c:numCache>
            </c:numRef>
          </c:val>
          <c:extLst>
            <c:ext xmlns:c16="http://schemas.microsoft.com/office/drawing/2014/chart" uri="{C3380CC4-5D6E-409C-BE32-E72D297353CC}">
              <c16:uniqueId val="{00000008-AD80-4CD2-91A2-C84F5AB7E3AF}"/>
            </c:ext>
          </c:extLst>
        </c:ser>
        <c:dLbls>
          <c:dLblPos val="outEnd"/>
          <c:showLegendKey val="0"/>
          <c:showVal val="1"/>
          <c:showCatName val="0"/>
          <c:showSerName val="0"/>
          <c:showPercent val="0"/>
          <c:showBubbleSize val="0"/>
        </c:dLbls>
        <c:gapWidth val="203"/>
        <c:overlap val="-27"/>
        <c:axId val="-292296736"/>
        <c:axId val="-292309792"/>
      </c:barChart>
      <c:catAx>
        <c:axId val="-29229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309792"/>
        <c:crosses val="autoZero"/>
        <c:auto val="1"/>
        <c:lblAlgn val="ctr"/>
        <c:lblOffset val="100"/>
        <c:noMultiLvlLbl val="0"/>
      </c:catAx>
      <c:valAx>
        <c:axId val="-29230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296736"/>
        <c:crosses val="autoZero"/>
        <c:crossBetween val="between"/>
      </c:valAx>
      <c:spPr>
        <a:noFill/>
        <a:ln>
          <a:solidFill>
            <a:srgbClr val="5B9BD5"/>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26793248945146"/>
          <c:y val="0.22037693389592125"/>
          <c:w val="0.50600738396624467"/>
          <c:h val="0.50600738396624467"/>
        </c:manualLayout>
      </c:layout>
      <c:pieChart>
        <c:varyColors val="1"/>
        <c:ser>
          <c:idx val="0"/>
          <c:order val="0"/>
          <c:dPt>
            <c:idx val="0"/>
            <c:bubble3D val="0"/>
            <c:explosion val="5"/>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A6B-42B2-90B0-DCCFDC25832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A6B-42B2-90B0-DCCFDC25832D}"/>
              </c:ext>
            </c:extLst>
          </c:dPt>
          <c:dPt>
            <c:idx val="2"/>
            <c:bubble3D val="0"/>
            <c:explosion val="6"/>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A6B-42B2-90B0-DCCFDC25832D}"/>
              </c:ext>
            </c:extLst>
          </c:dPt>
          <c:dLbls>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A6B-42B2-90B0-DCCFDC25832D}"/>
                </c:ext>
              </c:extLst>
            </c:dLbl>
            <c:dLbl>
              <c:idx val="1"/>
              <c:layout>
                <c:manualLayout>
                  <c:x val="0.12056962025316456"/>
                  <c:y val="-0.12056962025316464"/>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830977496483827"/>
                      <c:h val="0.21133649789029535"/>
                    </c:manualLayout>
                  </c15:layout>
                </c:ext>
                <c:ext xmlns:c16="http://schemas.microsoft.com/office/drawing/2014/chart" uri="{C3380CC4-5D6E-409C-BE32-E72D297353CC}">
                  <c16:uniqueId val="{00000003-5A6B-42B2-90B0-DCCFDC25832D}"/>
                </c:ext>
              </c:extLst>
            </c:dLbl>
            <c:dLbl>
              <c:idx val="2"/>
              <c:layout>
                <c:manualLayout>
                  <c:x val="-1.7861990154711686E-2"/>
                  <c:y val="2.6793424753867791E-2"/>
                </c:manualLayout>
              </c:layout>
              <c:tx>
                <c:rich>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fld id="{74CBDB6D-DD18-4BF1-9708-CD38F0BA0436}" type="CATEGORYNAME">
                      <a:rPr lang="en-US">
                        <a:solidFill>
                          <a:schemeClr val="accent6"/>
                        </a:solidFill>
                      </a:rPr>
                      <a:pPr>
                        <a:defRPr sz="700">
                          <a:solidFill>
                            <a:schemeClr val="accent1"/>
                          </a:solidFill>
                        </a:defRPr>
                      </a:pPr>
                      <a:t>[CATEGORY NAME]</a:t>
                    </a:fld>
                    <a:r>
                      <a:rPr lang="en-US" baseline="0"/>
                      <a:t>
</a:t>
                    </a:r>
                    <a:fld id="{8215517D-1C8B-4260-B385-772FDE7A1529}" type="PERCENTAGE">
                      <a:rPr lang="en-US" baseline="0">
                        <a:solidFill>
                          <a:schemeClr val="accent6"/>
                        </a:solidFill>
                      </a:rPr>
                      <a:pPr>
                        <a:defRPr sz="700">
                          <a:solidFill>
                            <a:schemeClr val="accent1"/>
                          </a:solidFill>
                        </a:defRPr>
                      </a:pPr>
                      <a:t>[PERCENTAGE]</a:t>
                    </a:fld>
                    <a:endParaRPr lang="en-US"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477039381153304"/>
                      <c:h val="0.15931997187060476"/>
                    </c:manualLayout>
                  </c15:layout>
                  <c15:dlblFieldTable/>
                  <c15:showDataLabelsRange val="0"/>
                </c:ext>
                <c:ext xmlns:c16="http://schemas.microsoft.com/office/drawing/2014/chart" uri="{C3380CC4-5D6E-409C-BE32-E72D297353CC}">
                  <c16:uniqueId val="{00000005-5A6B-42B2-90B0-DCCFDC25832D}"/>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'FormaJ  IP CEntral declansat CA'!$A$2:$A$4</c:f>
              <c:strCache>
                <c:ptCount val="3"/>
                <c:pt idx="0">
                  <c:v>Filiale (SA)</c:v>
                </c:pt>
                <c:pt idx="1">
                  <c:v>Regii Autonome</c:v>
                </c:pt>
                <c:pt idx="2">
                  <c:v>SA</c:v>
                </c:pt>
              </c:strCache>
            </c:strRef>
          </c:cat>
          <c:val>
            <c:numRef>
              <c:f>'FormaJ  IP CEntral declansat CA'!$B$2:$B$4</c:f>
              <c:numCache>
                <c:formatCode>General</c:formatCode>
                <c:ptCount val="3"/>
                <c:pt idx="0">
                  <c:v>24</c:v>
                </c:pt>
                <c:pt idx="1">
                  <c:v>12</c:v>
                </c:pt>
                <c:pt idx="2">
                  <c:v>115</c:v>
                </c:pt>
              </c:numCache>
            </c:numRef>
          </c:val>
          <c:extLst>
            <c:ext xmlns:c16="http://schemas.microsoft.com/office/drawing/2014/chart" uri="{C3380CC4-5D6E-409C-BE32-E72D297353CC}">
              <c16:uniqueId val="{00000006-5A6B-42B2-90B0-DCCFDC25832D}"/>
            </c:ext>
          </c:extLst>
        </c:ser>
        <c:dLbls>
          <c:dLblPos val="outEnd"/>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20225694444454"/>
          <c:y val="0.14351851851851852"/>
          <c:w val="0.50536892361111108"/>
          <c:h val="0.65436242344706907"/>
        </c:manualLayout>
      </c:layout>
      <c:barChart>
        <c:barDir val="bar"/>
        <c:grouping val="percentStacked"/>
        <c:varyColors val="0"/>
        <c:ser>
          <c:idx val="0"/>
          <c:order val="0"/>
          <c:tx>
            <c:strRef>
              <c:f>'Grafic nr 5'!$B$7</c:f>
              <c:strCache>
                <c:ptCount val="1"/>
                <c:pt idx="0">
                  <c:v>Nr. ÎPC care au finalizat etapa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5'!$A$9:$A$19</c:f>
              <c:strCache>
                <c:ptCount val="11"/>
                <c:pt idx="0">
                  <c:v>11. Au declanșat procesul de selecție al directorilor</c:v>
                </c:pt>
                <c:pt idx="1">
                  <c:v>10. Au fost numiți administratorii/încheiat contractul de mandat</c:v>
                </c:pt>
                <c:pt idx="2">
                  <c:v>9. Raportul pentru numirile finale a fost finalizat</c:v>
                </c:pt>
                <c:pt idx="3">
                  <c:v>8. Intervievarea candidaților de pe lista scurtă </c:v>
                </c:pt>
                <c:pt idx="4">
                  <c:v>7. Alcătuirea listei scurte</c:v>
                </c:pt>
                <c:pt idx="5">
                  <c:v>6. Alcătuirea listei lungi</c:v>
                </c:pt>
                <c:pt idx="6">
                  <c:v>5. Planul de selecție integral</c:v>
                </c:pt>
                <c:pt idx="7">
                  <c:v>4. Anuntul de selecție a fost publicat</c:v>
                </c:pt>
                <c:pt idx="8">
                  <c:v>3. Matricea proflilului consililului</c:v>
                </c:pt>
                <c:pt idx="9">
                  <c:v>2. Elaborarea componentei inițiale a planului de selecție</c:v>
                </c:pt>
                <c:pt idx="10">
                  <c:v>1. ÎPC la care a fost declanșat procesul de selecție al CA/CS</c:v>
                </c:pt>
              </c:strCache>
              <c:extLst/>
            </c:strRef>
          </c:cat>
          <c:val>
            <c:numRef>
              <c:f>'Grafic nr 5'!$B$9:$B$19</c:f>
              <c:numCache>
                <c:formatCode>General</c:formatCode>
                <c:ptCount val="11"/>
                <c:pt idx="0">
                  <c:v>0</c:v>
                </c:pt>
                <c:pt idx="1">
                  <c:v>5</c:v>
                </c:pt>
                <c:pt idx="2">
                  <c:v>6</c:v>
                </c:pt>
                <c:pt idx="3">
                  <c:v>7</c:v>
                </c:pt>
                <c:pt idx="4">
                  <c:v>7</c:v>
                </c:pt>
                <c:pt idx="5">
                  <c:v>4</c:v>
                </c:pt>
                <c:pt idx="6">
                  <c:v>4</c:v>
                </c:pt>
                <c:pt idx="7">
                  <c:v>4</c:v>
                </c:pt>
                <c:pt idx="8">
                  <c:v>4</c:v>
                </c:pt>
                <c:pt idx="9">
                  <c:v>2</c:v>
                </c:pt>
                <c:pt idx="10">
                  <c:v>61</c:v>
                </c:pt>
              </c:numCache>
              <c:extLst/>
            </c:numRef>
          </c:val>
          <c:extLst>
            <c:ext xmlns:c16="http://schemas.microsoft.com/office/drawing/2014/chart" uri="{C3380CC4-5D6E-409C-BE32-E72D297353CC}">
              <c16:uniqueId val="{00000000-7A72-4DE9-A165-91DB1B6566E6}"/>
            </c:ext>
          </c:extLst>
        </c:ser>
        <c:ser>
          <c:idx val="1"/>
          <c:order val="1"/>
          <c:tx>
            <c:strRef>
              <c:f>'Grafic nr 5'!$C$7</c:f>
              <c:strCache>
                <c:ptCount val="1"/>
                <c:pt idx="0">
                  <c:v>Nr. ÎPC care nu au finalizat etapa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 nr 5'!$A$9:$A$19</c:f>
              <c:strCache>
                <c:ptCount val="11"/>
                <c:pt idx="0">
                  <c:v>11. Au declanșat procesul de selecție al directorilor</c:v>
                </c:pt>
                <c:pt idx="1">
                  <c:v>10. Au fost numiți administratorii/încheiat contractul de mandat</c:v>
                </c:pt>
                <c:pt idx="2">
                  <c:v>9. Raportul pentru numirile finale a fost finalizat</c:v>
                </c:pt>
                <c:pt idx="3">
                  <c:v>8. Intervievarea candidaților de pe lista scurtă </c:v>
                </c:pt>
                <c:pt idx="4">
                  <c:v>7. Alcătuirea listei scurte</c:v>
                </c:pt>
                <c:pt idx="5">
                  <c:v>6. Alcătuirea listei lungi</c:v>
                </c:pt>
                <c:pt idx="6">
                  <c:v>5. Planul de selecție integral</c:v>
                </c:pt>
                <c:pt idx="7">
                  <c:v>4. Anuntul de selecție a fost publicat</c:v>
                </c:pt>
                <c:pt idx="8">
                  <c:v>3. Matricea proflilului consililului</c:v>
                </c:pt>
                <c:pt idx="9">
                  <c:v>2. Elaborarea componentei inițiale a planului de selecție</c:v>
                </c:pt>
                <c:pt idx="10">
                  <c:v>1. ÎPC la care a fost declanșat procesul de selecție al CA/CS</c:v>
                </c:pt>
              </c:strCache>
              <c:extLst/>
            </c:strRef>
          </c:cat>
          <c:val>
            <c:numRef>
              <c:f>'Grafic nr 5'!$C$9:$C$19</c:f>
              <c:numCache>
                <c:formatCode>General</c:formatCode>
                <c:ptCount val="11"/>
                <c:pt idx="0">
                  <c:v>61</c:v>
                </c:pt>
                <c:pt idx="1">
                  <c:v>56</c:v>
                </c:pt>
                <c:pt idx="2">
                  <c:v>55</c:v>
                </c:pt>
                <c:pt idx="3">
                  <c:v>54</c:v>
                </c:pt>
                <c:pt idx="4">
                  <c:v>54</c:v>
                </c:pt>
                <c:pt idx="5">
                  <c:v>57</c:v>
                </c:pt>
                <c:pt idx="6">
                  <c:v>57</c:v>
                </c:pt>
                <c:pt idx="7">
                  <c:v>57</c:v>
                </c:pt>
                <c:pt idx="8">
                  <c:v>59</c:v>
                </c:pt>
                <c:pt idx="9">
                  <c:v>61</c:v>
                </c:pt>
                <c:pt idx="10">
                  <c:v>0</c:v>
                </c:pt>
              </c:numCache>
              <c:extLst/>
            </c:numRef>
          </c:val>
          <c:extLst>
            <c:ext xmlns:c16="http://schemas.microsoft.com/office/drawing/2014/chart" uri="{C3380CC4-5D6E-409C-BE32-E72D297353CC}">
              <c16:uniqueId val="{00000001-7A72-4DE9-A165-91DB1B6566E6}"/>
            </c:ext>
          </c:extLst>
        </c:ser>
        <c:dLbls>
          <c:dLblPos val="ctr"/>
          <c:showLegendKey val="0"/>
          <c:showVal val="1"/>
          <c:showCatName val="0"/>
          <c:showSerName val="0"/>
          <c:showPercent val="0"/>
          <c:showBubbleSize val="0"/>
        </c:dLbls>
        <c:gapWidth val="150"/>
        <c:overlap val="100"/>
        <c:axId val="-292308704"/>
        <c:axId val="-292308160"/>
      </c:barChart>
      <c:catAx>
        <c:axId val="-2923087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2308160"/>
        <c:crosses val="autoZero"/>
        <c:auto val="1"/>
        <c:lblAlgn val="ctr"/>
        <c:lblOffset val="100"/>
        <c:noMultiLvlLbl val="0"/>
      </c:catAx>
      <c:valAx>
        <c:axId val="-2923081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92308704"/>
        <c:crosses val="autoZero"/>
        <c:crossBetween val="between"/>
      </c:valAx>
      <c:spPr>
        <a:noFill/>
        <a:ln>
          <a:noFill/>
        </a:ln>
        <a:effectLst/>
      </c:spPr>
    </c:plotArea>
    <c:legend>
      <c:legendPos val="b"/>
      <c:layout>
        <c:manualLayout>
          <c:xMode val="edge"/>
          <c:yMode val="edge"/>
          <c:x val="0.45055659722222213"/>
          <c:y val="0.8175647018970188"/>
          <c:w val="0.50458124999999998"/>
          <c:h val="6.566164381700341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a:defRPr sz="1100" b="0" strike="noStrike" spc="-1">
                <a:solidFill>
                  <a:srgbClr val="2E75B6"/>
                </a:solidFill>
                <a:latin typeface="Calibri"/>
              </a:defRPr>
            </a:pPr>
            <a:r>
              <a:rPr lang="ro-RO" sz="1000" b="1" strike="noStrike" spc="-1">
                <a:solidFill>
                  <a:srgbClr val="2E75B6"/>
                </a:solidFill>
                <a:latin typeface="Calibri"/>
              </a:rPr>
              <a:t>Structura indicatorilor de performanță din contractele de mandat ale administratorilor</a:t>
            </a:r>
          </a:p>
        </c:rich>
      </c:tx>
      <c:layout/>
      <c:overlay val="0"/>
      <c:spPr>
        <a:noFill/>
        <a:ln>
          <a:noFill/>
        </a:ln>
      </c:spPr>
    </c:title>
    <c:autoTitleDeleted val="0"/>
    <c:plotArea>
      <c:layout/>
      <c:pieChart>
        <c:varyColors val="1"/>
        <c:ser>
          <c:idx val="0"/>
          <c:order val="0"/>
          <c:tx>
            <c:strRef>
              <c:f>'Tabele și grafice CAP3.3 2018'!$F$5:$F$7</c:f>
              <c:strCache>
                <c:ptCount val="3"/>
                <c:pt idx="0">
                  <c:v>Structura indicatorilor de performanță din contractele de mandat ale administratorilor</c:v>
                </c:pt>
              </c:strCache>
            </c:strRef>
          </c:tx>
          <c:spPr>
            <a:solidFill>
              <a:srgbClr val="5B9BD5"/>
            </a:solidFill>
            <a:ln>
              <a:noFill/>
            </a:ln>
          </c:spPr>
          <c:dPt>
            <c:idx val="0"/>
            <c:bubble3D val="0"/>
            <c:spPr>
              <a:solidFill>
                <a:srgbClr val="2E75B6"/>
              </a:solidFill>
              <a:ln w="19080">
                <a:solidFill>
                  <a:srgbClr val="FFFFFF"/>
                </a:solidFill>
                <a:round/>
              </a:ln>
            </c:spPr>
            <c:extLst>
              <c:ext xmlns:c16="http://schemas.microsoft.com/office/drawing/2014/chart" uri="{C3380CC4-5D6E-409C-BE32-E72D297353CC}">
                <c16:uniqueId val="{00000001-E3D2-442B-891B-CDC83B5971ED}"/>
              </c:ext>
            </c:extLst>
          </c:dPt>
          <c:dPt>
            <c:idx val="1"/>
            <c:bubble3D val="0"/>
            <c:spPr>
              <a:solidFill>
                <a:srgbClr val="A9D18E"/>
              </a:solidFill>
              <a:ln w="19080">
                <a:solidFill>
                  <a:srgbClr val="FFFFFF"/>
                </a:solidFill>
                <a:round/>
              </a:ln>
            </c:spPr>
            <c:extLst>
              <c:ext xmlns:c16="http://schemas.microsoft.com/office/drawing/2014/chart" uri="{C3380CC4-5D6E-409C-BE32-E72D297353CC}">
                <c16:uniqueId val="{00000003-E3D2-442B-891B-CDC83B5971ED}"/>
              </c:ext>
            </c:extLst>
          </c:dPt>
          <c:dPt>
            <c:idx val="2"/>
            <c:bubble3D val="0"/>
            <c:spPr>
              <a:solidFill>
                <a:srgbClr val="00C0BC"/>
              </a:solidFill>
              <a:ln w="19080">
                <a:solidFill>
                  <a:srgbClr val="FFFFFF"/>
                </a:solidFill>
                <a:round/>
              </a:ln>
            </c:spPr>
            <c:extLst>
              <c:ext xmlns:c16="http://schemas.microsoft.com/office/drawing/2014/chart" uri="{C3380CC4-5D6E-409C-BE32-E72D297353CC}">
                <c16:uniqueId val="{00000005-E3D2-442B-891B-CDC83B5971ED}"/>
              </c:ext>
            </c:extLst>
          </c:dPt>
          <c:dLbls>
            <c:dLbl>
              <c:idx val="0"/>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extLst>
                <c:ext xmlns:c16="http://schemas.microsoft.com/office/drawing/2014/chart" uri="{C3380CC4-5D6E-409C-BE32-E72D297353CC}">
                  <c16:uniqueId val="{00000001-E3D2-442B-891B-CDC83B5971ED}"/>
                </c:ext>
              </c:extLst>
            </c:dLbl>
            <c:dLbl>
              <c:idx val="1"/>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extLst>
                <c:ext xmlns:c16="http://schemas.microsoft.com/office/drawing/2014/chart" uri="{C3380CC4-5D6E-409C-BE32-E72D297353CC}">
                  <c16:uniqueId val="{00000003-E3D2-442B-891B-CDC83B5971ED}"/>
                </c:ext>
              </c:extLst>
            </c:dLbl>
            <c:dLbl>
              <c:idx val="2"/>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extLst>
                <c:ext xmlns:c16="http://schemas.microsoft.com/office/drawing/2014/chart" uri="{C3380CC4-5D6E-409C-BE32-E72D297353CC}">
                  <c16:uniqueId val="{00000005-E3D2-442B-891B-CDC83B5971ED}"/>
                </c:ext>
              </c:extLst>
            </c:dLbl>
            <c:spPr>
              <a:noFill/>
              <a:ln>
                <a:noFill/>
              </a:ln>
              <a:effectLst/>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showLeaderLines val="0"/>
            <c:extLst>
              <c:ext xmlns:c15="http://schemas.microsoft.com/office/drawing/2012/chart" uri="{CE6537A1-D6FC-4f65-9D91-7224C49458BB}"/>
            </c:extLst>
          </c:dLbls>
          <c:cat>
            <c:strRef>
              <c:f>'Tabele și grafice CAP3.3 2018'!$E$8:$E$10</c:f>
              <c:strCache>
                <c:ptCount val="3"/>
                <c:pt idx="0">
                  <c:v>Indicator financiar</c:v>
                </c:pt>
                <c:pt idx="1">
                  <c:v>Indicator operațional nefinanciar</c:v>
                </c:pt>
                <c:pt idx="2">
                  <c:v>Indicator privind guvernanța corporativă</c:v>
                </c:pt>
              </c:strCache>
            </c:strRef>
          </c:cat>
          <c:val>
            <c:numRef>
              <c:f>'Tabele și grafice CAP3.3 2018'!$F$8:$F$10</c:f>
              <c:numCache>
                <c:formatCode>0.00%</c:formatCode>
                <c:ptCount val="3"/>
                <c:pt idx="0">
                  <c:v>0.3746031746031746</c:v>
                </c:pt>
                <c:pt idx="1">
                  <c:v>0.38412698412698415</c:v>
                </c:pt>
                <c:pt idx="2">
                  <c:v>0.24126984126984127</c:v>
                </c:pt>
              </c:numCache>
            </c:numRef>
          </c:val>
          <c:extLst>
            <c:ext xmlns:c16="http://schemas.microsoft.com/office/drawing/2014/chart" uri="{C3380CC4-5D6E-409C-BE32-E72D297353CC}">
              <c16:uniqueId val="{00000006-E3D2-442B-891B-CDC83B5971ED}"/>
            </c:ext>
          </c:extLst>
        </c:ser>
        <c:dLbls>
          <c:showLegendKey val="0"/>
          <c:showVal val="0"/>
          <c:showCatName val="0"/>
          <c:showSerName val="0"/>
          <c:showPercent val="0"/>
          <c:showBubbleSize val="0"/>
          <c:showLeaderLines val="0"/>
        </c:dLbls>
        <c:firstSliceAng val="0"/>
      </c:pieChart>
      <c:spPr>
        <a:noFill/>
        <a:ln>
          <a:noFill/>
        </a:ln>
      </c:spPr>
    </c:plotArea>
    <c:legend>
      <c:legendPos val="b"/>
      <c:layout/>
      <c:overlay val="0"/>
      <c:spPr>
        <a:noFill/>
        <a:ln>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a:defRPr sz="1050" b="1" strike="noStrike" spc="-1">
                <a:solidFill>
                  <a:srgbClr val="2E75B6"/>
                </a:solidFill>
                <a:latin typeface="Calibri"/>
              </a:defRPr>
            </a:pPr>
            <a:r>
              <a:rPr lang="ro-RO" sz="1050" b="1" strike="noStrike" spc="-1">
                <a:solidFill>
                  <a:srgbClr val="2E75B6"/>
                </a:solidFill>
                <a:latin typeface="Calibri"/>
              </a:rPr>
              <a:t>Structura indicatorilor de performanță din contractele de mandat ale directorilor</a:t>
            </a:r>
          </a:p>
        </c:rich>
      </c:tx>
      <c:layout/>
      <c:overlay val="0"/>
      <c:spPr>
        <a:noFill/>
        <a:ln>
          <a:noFill/>
        </a:ln>
      </c:spPr>
    </c:title>
    <c:autoTitleDeleted val="0"/>
    <c:plotArea>
      <c:layout/>
      <c:pieChart>
        <c:varyColors val="1"/>
        <c:ser>
          <c:idx val="0"/>
          <c:order val="0"/>
          <c:tx>
            <c:strRef>
              <c:f>'Tabele și grafice CAP3.3 2018'!$G$5:$G$7</c:f>
              <c:strCache>
                <c:ptCount val="3"/>
                <c:pt idx="0">
                  <c:v>Structura indicatorilor de performanță din contractele de mandat ale directorilor</c:v>
                </c:pt>
              </c:strCache>
            </c:strRef>
          </c:tx>
          <c:spPr>
            <a:solidFill>
              <a:srgbClr val="5B9BD5"/>
            </a:solidFill>
            <a:ln>
              <a:noFill/>
            </a:ln>
          </c:spPr>
          <c:dPt>
            <c:idx val="0"/>
            <c:bubble3D val="0"/>
            <c:spPr>
              <a:solidFill>
                <a:srgbClr val="2E75B6"/>
              </a:solidFill>
              <a:ln w="19080">
                <a:solidFill>
                  <a:srgbClr val="FFFFFF"/>
                </a:solidFill>
                <a:round/>
              </a:ln>
            </c:spPr>
            <c:extLst>
              <c:ext xmlns:c16="http://schemas.microsoft.com/office/drawing/2014/chart" uri="{C3380CC4-5D6E-409C-BE32-E72D297353CC}">
                <c16:uniqueId val="{00000001-80AB-49C8-9E7C-88BC223AED1B}"/>
              </c:ext>
            </c:extLst>
          </c:dPt>
          <c:dPt>
            <c:idx val="1"/>
            <c:bubble3D val="0"/>
            <c:spPr>
              <a:solidFill>
                <a:srgbClr val="A9D18E"/>
              </a:solidFill>
              <a:ln w="19080">
                <a:solidFill>
                  <a:srgbClr val="FFFFFF"/>
                </a:solidFill>
                <a:round/>
              </a:ln>
            </c:spPr>
            <c:extLst>
              <c:ext xmlns:c16="http://schemas.microsoft.com/office/drawing/2014/chart" uri="{C3380CC4-5D6E-409C-BE32-E72D297353CC}">
                <c16:uniqueId val="{00000003-80AB-49C8-9E7C-88BC223AED1B}"/>
              </c:ext>
            </c:extLst>
          </c:dPt>
          <c:dPt>
            <c:idx val="2"/>
            <c:bubble3D val="0"/>
            <c:spPr>
              <a:solidFill>
                <a:srgbClr val="00C0BC"/>
              </a:solidFill>
              <a:ln w="19080">
                <a:solidFill>
                  <a:srgbClr val="FFFFFF"/>
                </a:solidFill>
                <a:round/>
              </a:ln>
            </c:spPr>
            <c:extLst>
              <c:ext xmlns:c16="http://schemas.microsoft.com/office/drawing/2014/chart" uri="{C3380CC4-5D6E-409C-BE32-E72D297353CC}">
                <c16:uniqueId val="{00000005-80AB-49C8-9E7C-88BC223AED1B}"/>
              </c:ext>
            </c:extLst>
          </c:dPt>
          <c:dLbls>
            <c:dLbl>
              <c:idx val="0"/>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extLst>
                <c:ext xmlns:c16="http://schemas.microsoft.com/office/drawing/2014/chart" uri="{C3380CC4-5D6E-409C-BE32-E72D297353CC}">
                  <c16:uniqueId val="{00000001-80AB-49C8-9E7C-88BC223AED1B}"/>
                </c:ext>
              </c:extLst>
            </c:dLbl>
            <c:dLbl>
              <c:idx val="1"/>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extLst>
                <c:ext xmlns:c16="http://schemas.microsoft.com/office/drawing/2014/chart" uri="{C3380CC4-5D6E-409C-BE32-E72D297353CC}">
                  <c16:uniqueId val="{00000003-80AB-49C8-9E7C-88BC223AED1B}"/>
                </c:ext>
              </c:extLst>
            </c:dLbl>
            <c:dLbl>
              <c:idx val="2"/>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extLst>
                <c:ext xmlns:c16="http://schemas.microsoft.com/office/drawing/2014/chart" uri="{C3380CC4-5D6E-409C-BE32-E72D297353CC}">
                  <c16:uniqueId val="{00000005-80AB-49C8-9E7C-88BC223AED1B}"/>
                </c:ext>
              </c:extLst>
            </c:dLbl>
            <c:spPr>
              <a:noFill/>
              <a:ln>
                <a:noFill/>
              </a:ln>
              <a:effectLst/>
            </c:spPr>
            <c:txPr>
              <a:bodyPr/>
              <a:lstStyle/>
              <a:p>
                <a:pPr>
                  <a:defRPr sz="900" b="0" strike="noStrike" spc="-1">
                    <a:solidFill>
                      <a:srgbClr val="404040"/>
                    </a:solidFill>
                    <a:latin typeface="Calibri"/>
                  </a:defRPr>
                </a:pPr>
                <a:endParaRPr lang="en-US"/>
              </a:p>
            </c:txPr>
            <c:dLblPos val="bestFit"/>
            <c:showLegendKey val="0"/>
            <c:showVal val="0"/>
            <c:showCatName val="0"/>
            <c:showSerName val="0"/>
            <c:showPercent val="1"/>
            <c:showBubbleSize val="1"/>
            <c:showLeaderLines val="0"/>
            <c:extLst>
              <c:ext xmlns:c15="http://schemas.microsoft.com/office/drawing/2012/chart" uri="{CE6537A1-D6FC-4f65-9D91-7224C49458BB}"/>
            </c:extLst>
          </c:dLbls>
          <c:cat>
            <c:strRef>
              <c:f>'Tabele și grafice CAP3.3 2018'!$E$8:$E$10</c:f>
              <c:strCache>
                <c:ptCount val="3"/>
                <c:pt idx="0">
                  <c:v>Indicator financiar</c:v>
                </c:pt>
                <c:pt idx="1">
                  <c:v>Indicator operațional nefinanciar</c:v>
                </c:pt>
                <c:pt idx="2">
                  <c:v>Indicator privind guvernanța corporativă</c:v>
                </c:pt>
              </c:strCache>
            </c:strRef>
          </c:cat>
          <c:val>
            <c:numRef>
              <c:f>'Tabele și grafice CAP3.3 2018'!$G$8:$G$10</c:f>
              <c:numCache>
                <c:formatCode>0.00%</c:formatCode>
                <c:ptCount val="3"/>
                <c:pt idx="0">
                  <c:v>0.44839857651245552</c:v>
                </c:pt>
                <c:pt idx="1">
                  <c:v>0.35943060498220641</c:v>
                </c:pt>
                <c:pt idx="2">
                  <c:v>0.19217081850533807</c:v>
                </c:pt>
              </c:numCache>
            </c:numRef>
          </c:val>
          <c:extLst>
            <c:ext xmlns:c16="http://schemas.microsoft.com/office/drawing/2014/chart" uri="{C3380CC4-5D6E-409C-BE32-E72D297353CC}">
              <c16:uniqueId val="{00000006-80AB-49C8-9E7C-88BC223AED1B}"/>
            </c:ext>
          </c:extLst>
        </c:ser>
        <c:dLbls>
          <c:showLegendKey val="0"/>
          <c:showVal val="0"/>
          <c:showCatName val="0"/>
          <c:showSerName val="0"/>
          <c:showPercent val="0"/>
          <c:showBubbleSize val="0"/>
          <c:showLeaderLines val="0"/>
        </c:dLbls>
        <c:firstSliceAng val="0"/>
      </c:pieChart>
      <c:spPr>
        <a:noFill/>
        <a:ln>
          <a:noFill/>
        </a:ln>
      </c:spPr>
    </c:plotArea>
    <c:legend>
      <c:legendPos val="b"/>
      <c:layout/>
      <c:overlay val="0"/>
      <c:spPr>
        <a:noFill/>
        <a:ln>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050" b="1" strike="noStrike" spc="-1">
                <a:solidFill>
                  <a:srgbClr val="2E75B6"/>
                </a:solidFill>
                <a:latin typeface="Calibri"/>
              </a:defRPr>
            </a:pPr>
            <a:r>
              <a:rPr lang="ro-RO" sz="1050" b="1" strike="noStrike" spc="-1">
                <a:solidFill>
                  <a:srgbClr val="2E75B6"/>
                </a:solidFill>
                <a:latin typeface="Calibri"/>
              </a:rPr>
              <a:t>Gradul de îndeplinire a indicatorilor cheie de performanță din contractele de mandat ale directorilor, pe categorii</a:t>
            </a:r>
          </a:p>
        </c:rich>
      </c:tx>
      <c:layout/>
      <c:overlay val="0"/>
      <c:spPr>
        <a:noFill/>
        <a:ln>
          <a:noFill/>
        </a:ln>
      </c:spPr>
    </c:title>
    <c:autoTitleDeleted val="0"/>
    <c:plotArea>
      <c:layout>
        <c:manualLayout>
          <c:layoutTarget val="inner"/>
          <c:xMode val="edge"/>
          <c:yMode val="edge"/>
          <c:x val="0.50223085499268338"/>
          <c:y val="0.24082389289392378"/>
          <c:w val="0.45794613615775903"/>
          <c:h val="0.61962876164681269"/>
        </c:manualLayout>
      </c:layout>
      <c:barChart>
        <c:barDir val="bar"/>
        <c:grouping val="clustered"/>
        <c:varyColors val="0"/>
        <c:ser>
          <c:idx val="0"/>
          <c:order val="0"/>
          <c:tx>
            <c:strRef>
              <c:f>'Tabele și grafice CAP3.3 2018'!$J$56</c:f>
              <c:strCache>
                <c:ptCount val="1"/>
                <c:pt idx="0">
                  <c:v>Îndeplinit</c:v>
                </c:pt>
              </c:strCache>
            </c:strRef>
          </c:tx>
          <c:spPr>
            <a:solidFill>
              <a:srgbClr val="A9D18E"/>
            </a:solidFill>
            <a:ln>
              <a:solidFill>
                <a:srgbClr val="A9D18E"/>
              </a:solid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2018'!$H$57:$H$64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2018'!$J$57:$J$64</c:f>
              <c:numCache>
                <c:formatCode>0%</c:formatCode>
                <c:ptCount val="8"/>
                <c:pt idx="0">
                  <c:v>0.87096774193548387</c:v>
                </c:pt>
                <c:pt idx="1">
                  <c:v>0.86206896551724133</c:v>
                </c:pt>
                <c:pt idx="2">
                  <c:v>0.92105263157894735</c:v>
                </c:pt>
                <c:pt idx="3">
                  <c:v>0.88888888888888884</c:v>
                </c:pt>
                <c:pt idx="4">
                  <c:v>0.68965517241379315</c:v>
                </c:pt>
                <c:pt idx="5">
                  <c:v>0.89583333333333337</c:v>
                </c:pt>
                <c:pt idx="6">
                  <c:v>1</c:v>
                </c:pt>
                <c:pt idx="7">
                  <c:v>0.64102564102564108</c:v>
                </c:pt>
              </c:numCache>
            </c:numRef>
          </c:val>
          <c:extLst>
            <c:ext xmlns:c16="http://schemas.microsoft.com/office/drawing/2014/chart" uri="{C3380CC4-5D6E-409C-BE32-E72D297353CC}">
              <c16:uniqueId val="{00000000-C97C-4330-B4E7-EF309475F781}"/>
            </c:ext>
          </c:extLst>
        </c:ser>
        <c:ser>
          <c:idx val="1"/>
          <c:order val="1"/>
          <c:tx>
            <c:strRef>
              <c:f>'Tabele și grafice CAP3.3 2018'!$K$56</c:f>
              <c:strCache>
                <c:ptCount val="1"/>
                <c:pt idx="0">
                  <c:v>Neîndeplinit</c:v>
                </c:pt>
              </c:strCache>
            </c:strRef>
          </c:tx>
          <c:spPr>
            <a:solidFill>
              <a:srgbClr val="2E75B6"/>
            </a:solidFill>
            <a:ln>
              <a:no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2018'!$H$57:$H$64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2018'!$K$57:$K$64</c:f>
              <c:numCache>
                <c:formatCode>0%</c:formatCode>
                <c:ptCount val="8"/>
                <c:pt idx="0">
                  <c:v>0.12903225806451613</c:v>
                </c:pt>
                <c:pt idx="1">
                  <c:v>0.13793103448275862</c:v>
                </c:pt>
                <c:pt idx="2">
                  <c:v>7.8947368421052627E-2</c:v>
                </c:pt>
                <c:pt idx="3">
                  <c:v>0.1111111111111111</c:v>
                </c:pt>
                <c:pt idx="4">
                  <c:v>0.31034482758620691</c:v>
                </c:pt>
                <c:pt idx="5">
                  <c:v>0.10416666666666667</c:v>
                </c:pt>
                <c:pt idx="6">
                  <c:v>0</c:v>
                </c:pt>
                <c:pt idx="7">
                  <c:v>0.35897435897435898</c:v>
                </c:pt>
              </c:numCache>
            </c:numRef>
          </c:val>
          <c:extLst>
            <c:ext xmlns:c16="http://schemas.microsoft.com/office/drawing/2014/chart" uri="{C3380CC4-5D6E-409C-BE32-E72D297353CC}">
              <c16:uniqueId val="{00000001-C97C-4330-B4E7-EF309475F781}"/>
            </c:ext>
          </c:extLst>
        </c:ser>
        <c:dLbls>
          <c:showLegendKey val="0"/>
          <c:showVal val="0"/>
          <c:showCatName val="0"/>
          <c:showSerName val="0"/>
          <c:showPercent val="0"/>
          <c:showBubbleSize val="0"/>
        </c:dLbls>
        <c:gapWidth val="182"/>
        <c:axId val="58964536"/>
        <c:axId val="47582570"/>
      </c:barChart>
      <c:catAx>
        <c:axId val="58964536"/>
        <c:scaling>
          <c:orientation val="minMax"/>
        </c:scaling>
        <c:delete val="0"/>
        <c:axPos val="l"/>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47582570"/>
        <c:crosses val="autoZero"/>
        <c:auto val="1"/>
        <c:lblAlgn val="ctr"/>
        <c:lblOffset val="100"/>
        <c:noMultiLvlLbl val="1"/>
      </c:catAx>
      <c:valAx>
        <c:axId val="47582570"/>
        <c:scaling>
          <c:orientation val="minMax"/>
        </c:scaling>
        <c:delete val="1"/>
        <c:axPos val="b"/>
        <c:majorGridlines>
          <c:spPr>
            <a:ln w="9360">
              <a:solidFill>
                <a:srgbClr val="D9D9D9"/>
              </a:solidFill>
              <a:round/>
            </a:ln>
          </c:spPr>
        </c:majorGridlines>
        <c:numFmt formatCode="0%" sourceLinked="0"/>
        <c:majorTickMark val="none"/>
        <c:minorTickMark val="none"/>
        <c:tickLblPos val="nextTo"/>
        <c:crossAx val="58964536"/>
        <c:crosses val="autoZero"/>
        <c:crossBetween val="between"/>
      </c:valAx>
      <c:spPr>
        <a:noFill/>
        <a:ln>
          <a:noFill/>
        </a:ln>
      </c:spPr>
    </c:plotArea>
    <c:legend>
      <c:legendPos val="b"/>
      <c:layout/>
      <c:overlay val="0"/>
      <c:spPr>
        <a:noFill/>
        <a:ln>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050" b="1" strike="noStrike" spc="-1">
                <a:solidFill>
                  <a:srgbClr val="2E75B6"/>
                </a:solidFill>
                <a:latin typeface="Calibri"/>
              </a:defRPr>
            </a:pPr>
            <a:r>
              <a:rPr lang="ro-RO" sz="1050" b="1" strike="noStrike" spc="-1">
                <a:solidFill>
                  <a:srgbClr val="2E75B6"/>
                </a:solidFill>
                <a:latin typeface="Calibri"/>
              </a:rPr>
              <a:t>Gradul de îndeplinire a indicatorilor cheie de performanță din contractele de mandat ale administratorilor, pe categorii</a:t>
            </a:r>
          </a:p>
        </c:rich>
      </c:tx>
      <c:layout/>
      <c:overlay val="0"/>
      <c:spPr>
        <a:noFill/>
        <a:ln>
          <a:noFill/>
        </a:ln>
      </c:spPr>
    </c:title>
    <c:autoTitleDeleted val="0"/>
    <c:plotArea>
      <c:layout/>
      <c:barChart>
        <c:barDir val="bar"/>
        <c:grouping val="clustered"/>
        <c:varyColors val="0"/>
        <c:ser>
          <c:idx val="0"/>
          <c:order val="0"/>
          <c:tx>
            <c:strRef>
              <c:f>'Tabele și grafice CAP3.3 2018'!$E$56</c:f>
              <c:strCache>
                <c:ptCount val="1"/>
                <c:pt idx="0">
                  <c:v>Îndeplinit</c:v>
                </c:pt>
              </c:strCache>
            </c:strRef>
          </c:tx>
          <c:spPr>
            <a:solidFill>
              <a:srgbClr val="A9D18E"/>
            </a:solidFill>
            <a:ln>
              <a:no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2018'!$C$57:$C$64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2018'!$E$57:$E$64</c:f>
              <c:numCache>
                <c:formatCode>0%</c:formatCode>
                <c:ptCount val="8"/>
                <c:pt idx="0">
                  <c:v>0.92307692307692313</c:v>
                </c:pt>
                <c:pt idx="1">
                  <c:v>0.57894736842105265</c:v>
                </c:pt>
                <c:pt idx="2">
                  <c:v>0.97959183673469385</c:v>
                </c:pt>
                <c:pt idx="3">
                  <c:v>0.9</c:v>
                </c:pt>
                <c:pt idx="4">
                  <c:v>0.67692307692307696</c:v>
                </c:pt>
                <c:pt idx="5">
                  <c:v>0.92592592592592593</c:v>
                </c:pt>
                <c:pt idx="6">
                  <c:v>1</c:v>
                </c:pt>
                <c:pt idx="7">
                  <c:v>0.75</c:v>
                </c:pt>
              </c:numCache>
            </c:numRef>
          </c:val>
          <c:extLst>
            <c:ext xmlns:c16="http://schemas.microsoft.com/office/drawing/2014/chart" uri="{C3380CC4-5D6E-409C-BE32-E72D297353CC}">
              <c16:uniqueId val="{00000000-7391-4E6E-9560-5E930D68006E}"/>
            </c:ext>
          </c:extLst>
        </c:ser>
        <c:ser>
          <c:idx val="1"/>
          <c:order val="1"/>
          <c:tx>
            <c:strRef>
              <c:f>'Tabele și grafice CAP3.3 2018'!$F$56</c:f>
              <c:strCache>
                <c:ptCount val="1"/>
                <c:pt idx="0">
                  <c:v>Neîndeplinit</c:v>
                </c:pt>
              </c:strCache>
            </c:strRef>
          </c:tx>
          <c:spPr>
            <a:solidFill>
              <a:srgbClr val="2E75B6"/>
            </a:solidFill>
            <a:ln>
              <a:noFill/>
            </a:ln>
          </c:spPr>
          <c:invertIfNegative val="0"/>
          <c:dLbls>
            <c:spPr>
              <a:noFill/>
              <a:ln>
                <a:noFill/>
              </a:ln>
              <a:effectLst/>
            </c:spPr>
            <c:txPr>
              <a:bodyPr/>
              <a:lstStyle/>
              <a:p>
                <a:pPr>
                  <a:defRPr sz="900" b="0" strike="noStrike" spc="-1">
                    <a:solidFill>
                      <a:srgbClr val="404040"/>
                    </a:solidFill>
                    <a:latin typeface="Calibri"/>
                  </a:defRPr>
                </a:pPr>
                <a:endParaRPr lang="en-US"/>
              </a:p>
            </c:tx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'Tabele și grafice CAP3.3 2018'!$C$57:$C$64</c:f>
              <c:strCache>
                <c:ptCount val="8"/>
                <c:pt idx="0">
                  <c:v>Flux de numerar</c:v>
                </c:pt>
                <c:pt idx="1">
                  <c:v>Cost</c:v>
                </c:pt>
                <c:pt idx="2">
                  <c:v>Datorie</c:v>
                </c:pt>
                <c:pt idx="3">
                  <c:v>Investiţii   </c:v>
                </c:pt>
                <c:pt idx="4">
                  <c:v>Profitabilitatea</c:v>
                </c:pt>
                <c:pt idx="5">
                  <c:v>Venituri    </c:v>
                </c:pt>
                <c:pt idx="6">
                  <c:v>Politica privind dividendele</c:v>
                </c:pt>
                <c:pt idx="7">
                  <c:v>Alți indicatori financiari</c:v>
                </c:pt>
              </c:strCache>
            </c:strRef>
          </c:cat>
          <c:val>
            <c:numRef>
              <c:f>'Tabele și grafice CAP3.3 2018'!$F$57:$F$64</c:f>
              <c:numCache>
                <c:formatCode>0%</c:formatCode>
                <c:ptCount val="8"/>
                <c:pt idx="0">
                  <c:v>7.6923076923076927E-2</c:v>
                </c:pt>
                <c:pt idx="1">
                  <c:v>0.42105263157894735</c:v>
                </c:pt>
                <c:pt idx="2">
                  <c:v>2.0408163265306121E-2</c:v>
                </c:pt>
                <c:pt idx="3">
                  <c:v>0.1</c:v>
                </c:pt>
                <c:pt idx="4">
                  <c:v>0.32307692307692309</c:v>
                </c:pt>
                <c:pt idx="5">
                  <c:v>7.407407407407407E-2</c:v>
                </c:pt>
                <c:pt idx="6">
                  <c:v>0</c:v>
                </c:pt>
                <c:pt idx="7">
                  <c:v>0.25</c:v>
                </c:pt>
              </c:numCache>
            </c:numRef>
          </c:val>
          <c:extLst>
            <c:ext xmlns:c16="http://schemas.microsoft.com/office/drawing/2014/chart" uri="{C3380CC4-5D6E-409C-BE32-E72D297353CC}">
              <c16:uniqueId val="{00000001-7391-4E6E-9560-5E930D68006E}"/>
            </c:ext>
          </c:extLst>
        </c:ser>
        <c:dLbls>
          <c:showLegendKey val="0"/>
          <c:showVal val="0"/>
          <c:showCatName val="0"/>
          <c:showSerName val="0"/>
          <c:showPercent val="0"/>
          <c:showBubbleSize val="0"/>
        </c:dLbls>
        <c:gapWidth val="182"/>
        <c:axId val="61712265"/>
        <c:axId val="39665864"/>
      </c:barChart>
      <c:catAx>
        <c:axId val="61712265"/>
        <c:scaling>
          <c:orientation val="minMax"/>
        </c:scaling>
        <c:delete val="0"/>
        <c:axPos val="l"/>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9665864"/>
        <c:crosses val="autoZero"/>
        <c:auto val="0"/>
        <c:lblAlgn val="ctr"/>
        <c:lblOffset val="100"/>
        <c:noMultiLvlLbl val="1"/>
      </c:catAx>
      <c:valAx>
        <c:axId val="39665864"/>
        <c:scaling>
          <c:orientation val="minMax"/>
        </c:scaling>
        <c:delete val="1"/>
        <c:axPos val="b"/>
        <c:majorGridlines>
          <c:spPr>
            <a:ln w="9360">
              <a:solidFill>
                <a:srgbClr val="D9D9D9"/>
              </a:solidFill>
              <a:round/>
            </a:ln>
          </c:spPr>
        </c:majorGridlines>
        <c:numFmt formatCode="0%" sourceLinked="0"/>
        <c:majorTickMark val="none"/>
        <c:minorTickMark val="none"/>
        <c:tickLblPos val="nextTo"/>
        <c:crossAx val="61712265"/>
        <c:crosses val="autoZero"/>
        <c:crossBetween val="between"/>
      </c:valAx>
      <c:spPr>
        <a:noFill/>
        <a:ln>
          <a:noFill/>
        </a:ln>
      </c:spPr>
    </c:plotArea>
    <c:legend>
      <c:legendPos val="b"/>
      <c:layout/>
      <c:overlay val="0"/>
      <c:spPr>
        <a:noFill/>
        <a:ln>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982FB-1DE3-4133-AB5E-7B8108CF6AB8}" type="doc">
      <dgm:prSet loTypeId="urn:microsoft.com/office/officeart/2008/layout/VerticalCurvedList" loCatId="list" qsTypeId="urn:microsoft.com/office/officeart/2005/8/quickstyle/simple4" qsCatId="simple" csTypeId="urn:microsoft.com/office/officeart/2005/8/colors/colorful2" csCatId="colorful" phldr="1"/>
      <dgm:spPr/>
      <dgm:t>
        <a:bodyPr/>
        <a:lstStyle/>
        <a:p>
          <a:endParaRPr lang="ro-RO"/>
        </a:p>
      </dgm:t>
    </dgm:pt>
    <dgm:pt modelId="{4DD89D05-238E-4556-AB5A-DE1B62E94947}">
      <dgm:prSet phldrT="[Text]" custT="1"/>
      <dgm:spPr>
        <a:xfrm rot="10800000">
          <a:off x="1023737" y="3169"/>
          <a:ext cx="3447453" cy="621577"/>
        </a:xfrm>
      </dgm:spPr>
      <dgm:t>
        <a:bodyPr/>
        <a:lstStyle/>
        <a:p>
          <a:pPr algn="l"/>
          <a:r>
            <a:rPr lang="ro-RO" sz="1600" b="1">
              <a:latin typeface="Calibri" panose="020F0502020204030204"/>
              <a:ea typeface="+mn-ea"/>
              <a:cs typeface="+mn-cs"/>
            </a:rPr>
            <a:t>226 întreprinderi publice centrale active</a:t>
          </a:r>
        </a:p>
      </dgm:t>
    </dgm:pt>
    <dgm:pt modelId="{9263C1E3-63F5-47EC-BB47-2026D6BE2DCF}" type="parTrans" cxnId="{6AE62B96-EEB0-42D1-845E-2E75D6DAB515}">
      <dgm:prSet/>
      <dgm:spPr/>
      <dgm:t>
        <a:bodyPr/>
        <a:lstStyle/>
        <a:p>
          <a:pPr algn="l"/>
          <a:endParaRPr lang="ro-RO" sz="1600">
            <a:solidFill>
              <a:schemeClr val="tx1">
                <a:lumMod val="65000"/>
                <a:lumOff val="35000"/>
              </a:schemeClr>
            </a:solidFill>
          </a:endParaRPr>
        </a:p>
      </dgm:t>
    </dgm:pt>
    <dgm:pt modelId="{42A62E8E-CF76-498C-8936-F594EA48F920}" type="sibTrans" cxnId="{6AE62B96-EEB0-42D1-845E-2E75D6DAB515}">
      <dgm:prSet/>
      <dgm:spPr/>
      <dgm:t>
        <a:bodyPr/>
        <a:lstStyle/>
        <a:p>
          <a:pPr algn="l"/>
          <a:endParaRPr lang="ro-RO" sz="1600">
            <a:solidFill>
              <a:schemeClr val="tx1">
                <a:lumMod val="65000"/>
                <a:lumOff val="35000"/>
              </a:schemeClr>
            </a:solidFill>
          </a:endParaRPr>
        </a:p>
      </dgm:t>
    </dgm:pt>
    <dgm:pt modelId="{236C55F7-8277-4CB9-BFC9-1958959DAB52}">
      <dgm:prSet phldrT="[Text]" custT="1"/>
      <dgm:spPr>
        <a:xfrm rot="10800000">
          <a:off x="1023737" y="1617416"/>
          <a:ext cx="3447453" cy="621577"/>
        </a:xfrm>
      </dgm:spPr>
      <dgm:t>
        <a:bodyPr/>
        <a:lstStyle/>
        <a:p>
          <a:pPr algn="l"/>
          <a:r>
            <a:rPr lang="ro-RO" sz="1600" b="1">
              <a:latin typeface="Calibri" panose="020F0502020204030204"/>
              <a:ea typeface="+mn-ea"/>
              <a:cs typeface="+mn-cs"/>
            </a:rPr>
            <a:t>5,123 mld lei </a:t>
          </a:r>
          <a:r>
            <a:rPr lang="ro-RO" sz="1200" b="0">
              <a:latin typeface="Calibri" panose="020F0502020204030204"/>
              <a:ea typeface="+mn-ea"/>
              <a:cs typeface="+mn-cs"/>
            </a:rPr>
            <a:t>profit net</a:t>
          </a:r>
        </a:p>
      </dgm:t>
    </dgm:pt>
    <dgm:pt modelId="{84E5ED5E-899E-4E12-A231-447AC702DC05}" type="parTrans" cxnId="{95002BCE-3BA2-41E4-B049-70A90454E618}">
      <dgm:prSet/>
      <dgm:spPr/>
      <dgm:t>
        <a:bodyPr/>
        <a:lstStyle/>
        <a:p>
          <a:pPr algn="l"/>
          <a:endParaRPr lang="ro-RO" sz="1600">
            <a:solidFill>
              <a:schemeClr val="tx1">
                <a:lumMod val="65000"/>
                <a:lumOff val="35000"/>
              </a:schemeClr>
            </a:solidFill>
          </a:endParaRPr>
        </a:p>
      </dgm:t>
    </dgm:pt>
    <dgm:pt modelId="{FC4D459D-B36B-4641-B39E-A87E22986A67}" type="sibTrans" cxnId="{95002BCE-3BA2-41E4-B049-70A90454E618}">
      <dgm:prSet/>
      <dgm:spPr/>
      <dgm:t>
        <a:bodyPr/>
        <a:lstStyle/>
        <a:p>
          <a:pPr algn="l"/>
          <a:endParaRPr lang="ro-RO" sz="1600">
            <a:solidFill>
              <a:schemeClr val="tx1">
                <a:lumMod val="65000"/>
                <a:lumOff val="35000"/>
              </a:schemeClr>
            </a:solidFill>
          </a:endParaRPr>
        </a:p>
      </dgm:t>
    </dgm:pt>
    <dgm:pt modelId="{9181861A-191A-4181-B86A-51968E6A26D8}">
      <dgm:prSet custT="1"/>
      <dgm:spPr>
        <a:xfrm rot="10800000">
          <a:off x="1023737" y="3231663"/>
          <a:ext cx="3447453" cy="621577"/>
        </a:xfrm>
      </dgm:spPr>
      <dgm:t>
        <a:bodyPr/>
        <a:lstStyle/>
        <a:p>
          <a:pPr algn="l"/>
          <a:r>
            <a:rPr lang="ro-RO" sz="1600" b="1">
              <a:solidFill>
                <a:schemeClr val="bg1"/>
              </a:solidFill>
              <a:latin typeface="Calibri" panose="020F0502020204030204"/>
              <a:ea typeface="+mn-ea"/>
              <a:cs typeface="+mn-cs"/>
            </a:rPr>
            <a:t>2,633 mld lei </a:t>
          </a:r>
          <a:r>
            <a:rPr lang="ro-RO" sz="1200">
              <a:solidFill>
                <a:schemeClr val="bg1"/>
              </a:solidFill>
              <a:latin typeface="Calibri" panose="020F0502020204030204"/>
              <a:ea typeface="+mn-ea"/>
              <a:cs typeface="+mn-cs"/>
            </a:rPr>
            <a:t>dividende / vărsăminte cuvenite Statului din profitul net </a:t>
          </a:r>
        </a:p>
      </dgm:t>
    </dgm:pt>
    <dgm:pt modelId="{4DB5FE85-FF0D-4D11-8C62-CA8F1B20A067}" type="parTrans" cxnId="{D360E9D2-0040-4C6B-B0C3-9E45FDE78156}">
      <dgm:prSet/>
      <dgm:spPr/>
      <dgm:t>
        <a:bodyPr/>
        <a:lstStyle/>
        <a:p>
          <a:pPr algn="l"/>
          <a:endParaRPr lang="ro-RO" sz="1600">
            <a:solidFill>
              <a:schemeClr val="tx1">
                <a:lumMod val="65000"/>
                <a:lumOff val="35000"/>
              </a:schemeClr>
            </a:solidFill>
          </a:endParaRPr>
        </a:p>
      </dgm:t>
    </dgm:pt>
    <dgm:pt modelId="{B8488B82-4ECB-4354-ADBE-BD03C9DB12F2}" type="sibTrans" cxnId="{D360E9D2-0040-4C6B-B0C3-9E45FDE78156}">
      <dgm:prSet/>
      <dgm:spPr/>
      <dgm:t>
        <a:bodyPr/>
        <a:lstStyle/>
        <a:p>
          <a:pPr algn="l"/>
          <a:endParaRPr lang="ro-RO" sz="1600">
            <a:solidFill>
              <a:schemeClr val="tx1">
                <a:lumMod val="65000"/>
                <a:lumOff val="35000"/>
              </a:schemeClr>
            </a:solidFill>
          </a:endParaRPr>
        </a:p>
      </dgm:t>
    </dgm:pt>
    <dgm:pt modelId="{5560F830-35F4-4A91-8725-FFB9EFE06E4E}">
      <dgm:prSet custT="1"/>
      <dgm:spPr>
        <a:xfrm rot="10800000">
          <a:off x="1023737" y="4038787"/>
          <a:ext cx="3447453" cy="621577"/>
        </a:xfrm>
      </dgm:spPr>
      <dgm:t>
        <a:bodyPr/>
        <a:lstStyle/>
        <a:p>
          <a:pPr algn="l"/>
          <a:r>
            <a:rPr lang="ro-RO" sz="1600" b="1">
              <a:latin typeface="Calibri" panose="020F0502020204030204"/>
              <a:ea typeface="+mn-ea"/>
              <a:cs typeface="+mn-cs"/>
            </a:rPr>
            <a:t>70,473 mld lei </a:t>
          </a:r>
          <a:r>
            <a:rPr lang="ro-RO" sz="1200">
              <a:latin typeface="Calibri" panose="020F0502020204030204"/>
              <a:ea typeface="+mn-ea"/>
              <a:cs typeface="+mn-cs"/>
            </a:rPr>
            <a:t>capitaluri proprii</a:t>
          </a:r>
        </a:p>
      </dgm:t>
    </dgm:pt>
    <dgm:pt modelId="{ABE6D946-729F-4700-ABE2-1FC053061ED8}" type="parTrans" cxnId="{31F7ADCB-B8A4-4417-9E3A-F778F7B39B26}">
      <dgm:prSet/>
      <dgm:spPr/>
      <dgm:t>
        <a:bodyPr/>
        <a:lstStyle/>
        <a:p>
          <a:pPr algn="l"/>
          <a:endParaRPr lang="ro-RO" sz="1600">
            <a:solidFill>
              <a:schemeClr val="tx1">
                <a:lumMod val="65000"/>
                <a:lumOff val="35000"/>
              </a:schemeClr>
            </a:solidFill>
          </a:endParaRPr>
        </a:p>
      </dgm:t>
    </dgm:pt>
    <dgm:pt modelId="{0B70B99F-7560-4028-8F4F-218FBD5D6A2C}" type="sibTrans" cxnId="{31F7ADCB-B8A4-4417-9E3A-F778F7B39B26}">
      <dgm:prSet/>
      <dgm:spPr/>
      <dgm:t>
        <a:bodyPr/>
        <a:lstStyle/>
        <a:p>
          <a:pPr algn="l"/>
          <a:endParaRPr lang="ro-RO" sz="1600">
            <a:solidFill>
              <a:schemeClr val="tx1">
                <a:lumMod val="65000"/>
                <a:lumOff val="35000"/>
              </a:schemeClr>
            </a:solidFill>
          </a:endParaRPr>
        </a:p>
      </dgm:t>
    </dgm:pt>
    <dgm:pt modelId="{D42BAF6D-0BE5-4C98-90AB-FA3BFA828A73}">
      <dgm:prSet custT="1"/>
      <dgm:spPr>
        <a:xfrm rot="10800000">
          <a:off x="1023737" y="4845910"/>
          <a:ext cx="3447453" cy="621577"/>
        </a:xfrm>
      </dgm:spPr>
      <dgm:t>
        <a:bodyPr/>
        <a:lstStyle/>
        <a:p>
          <a:pPr algn="l"/>
          <a:r>
            <a:rPr lang="ro-RO" sz="1600" b="1">
              <a:latin typeface="Calibri" panose="020F0502020204030204"/>
              <a:ea typeface="+mn-ea"/>
              <a:cs typeface="+mn-cs"/>
            </a:rPr>
            <a:t>173.421 persoane</a:t>
          </a:r>
          <a:r>
            <a:rPr lang="ro-RO" sz="1200">
              <a:latin typeface="Calibri" panose="020F0502020204030204"/>
              <a:ea typeface="+mn-ea"/>
              <a:cs typeface="+mn-cs"/>
            </a:rPr>
            <a:t> angajate</a:t>
          </a:r>
        </a:p>
      </dgm:t>
    </dgm:pt>
    <dgm:pt modelId="{B36C3908-FD63-40B7-9B5F-F1942D256728}" type="parTrans" cxnId="{2D415B27-DA80-4AAC-8F57-618C35D67E02}">
      <dgm:prSet/>
      <dgm:spPr/>
      <dgm:t>
        <a:bodyPr/>
        <a:lstStyle/>
        <a:p>
          <a:pPr algn="l"/>
          <a:endParaRPr lang="ro-RO" sz="1600">
            <a:solidFill>
              <a:schemeClr val="tx1">
                <a:lumMod val="65000"/>
                <a:lumOff val="35000"/>
              </a:schemeClr>
            </a:solidFill>
          </a:endParaRPr>
        </a:p>
      </dgm:t>
    </dgm:pt>
    <dgm:pt modelId="{26F6565B-08FC-4F2C-BB2A-339960D3AA45}" type="sibTrans" cxnId="{2D415B27-DA80-4AAC-8F57-618C35D67E02}">
      <dgm:prSet/>
      <dgm:spPr/>
      <dgm:t>
        <a:bodyPr/>
        <a:lstStyle/>
        <a:p>
          <a:pPr algn="l"/>
          <a:endParaRPr lang="ro-RO" sz="1600">
            <a:solidFill>
              <a:schemeClr val="tx1">
                <a:lumMod val="65000"/>
                <a:lumOff val="35000"/>
              </a:schemeClr>
            </a:solidFill>
          </a:endParaRPr>
        </a:p>
      </dgm:t>
    </dgm:pt>
    <dgm:pt modelId="{AEAFD558-EF07-4C71-A730-BA2D032E24D4}">
      <dgm:prSet custT="1"/>
      <dgm:spPr>
        <a:xfrm rot="10800000">
          <a:off x="1023737" y="2424540"/>
          <a:ext cx="3447453" cy="621577"/>
        </a:xfrm>
      </dgm:spPr>
      <dgm:t>
        <a:bodyPr/>
        <a:lstStyle/>
        <a:p>
          <a:pPr algn="l"/>
          <a:r>
            <a:rPr lang="ro-RO" sz="1600" b="1">
              <a:latin typeface="Calibri" panose="020F0502020204030204"/>
              <a:ea typeface="+mn-ea"/>
              <a:cs typeface="+mn-cs"/>
            </a:rPr>
            <a:t>35,199 mld lei</a:t>
          </a:r>
          <a:r>
            <a:rPr lang="ro-RO" sz="1600">
              <a:latin typeface="Calibri" panose="020F0502020204030204"/>
              <a:ea typeface="+mn-ea"/>
              <a:cs typeface="+mn-cs"/>
            </a:rPr>
            <a:t> </a:t>
          </a:r>
          <a:r>
            <a:rPr lang="ro-RO" sz="1200">
              <a:latin typeface="Calibri" panose="020F0502020204030204"/>
              <a:ea typeface="+mn-ea"/>
              <a:cs typeface="+mn-cs"/>
            </a:rPr>
            <a:t>cifră de afaceri</a:t>
          </a:r>
        </a:p>
      </dgm:t>
    </dgm:pt>
    <dgm:pt modelId="{128B2081-E261-4ACD-99FF-7467CB1A8199}" type="parTrans" cxnId="{8E423B9D-07DC-42A8-857C-D13FA56D756D}">
      <dgm:prSet/>
      <dgm:spPr/>
      <dgm:t>
        <a:bodyPr/>
        <a:lstStyle/>
        <a:p>
          <a:pPr algn="l"/>
          <a:endParaRPr lang="ro-RO" sz="1600">
            <a:solidFill>
              <a:schemeClr val="tx1">
                <a:lumMod val="65000"/>
                <a:lumOff val="35000"/>
              </a:schemeClr>
            </a:solidFill>
          </a:endParaRPr>
        </a:p>
      </dgm:t>
    </dgm:pt>
    <dgm:pt modelId="{7F9716FF-6DD7-462C-911A-869139502BA5}" type="sibTrans" cxnId="{8E423B9D-07DC-42A8-857C-D13FA56D756D}">
      <dgm:prSet/>
      <dgm:spPr/>
      <dgm:t>
        <a:bodyPr/>
        <a:lstStyle/>
        <a:p>
          <a:pPr algn="l"/>
          <a:endParaRPr lang="ro-RO" sz="1600">
            <a:solidFill>
              <a:schemeClr val="tx1">
                <a:lumMod val="65000"/>
                <a:lumOff val="35000"/>
              </a:schemeClr>
            </a:solidFill>
          </a:endParaRPr>
        </a:p>
      </dgm:t>
    </dgm:pt>
    <dgm:pt modelId="{C25F8805-1061-46B9-993C-DFBEC5AAFFFA}">
      <dgm:prSet phldrT="[Text]" custT="1"/>
      <dgm:spPr>
        <a:xfrm rot="10800000">
          <a:off x="1023737" y="810293"/>
          <a:ext cx="3447453" cy="621577"/>
        </a:xfrm>
      </dgm:spPr>
      <dgm:t>
        <a:bodyPr/>
        <a:lstStyle/>
        <a:p>
          <a:pPr algn="l"/>
          <a:r>
            <a:rPr lang="ro-RO" sz="1600" b="1">
              <a:solidFill>
                <a:schemeClr val="bg1"/>
              </a:solidFill>
              <a:latin typeface="Calibri" panose="020F0502020204030204"/>
              <a:ea typeface="+mn-ea"/>
              <a:cs typeface="+mn-cs"/>
            </a:rPr>
            <a:t>27,528 mld lei </a:t>
          </a:r>
          <a:r>
            <a:rPr lang="ro-RO" sz="1200">
              <a:latin typeface="Calibri" panose="020F0502020204030204"/>
              <a:ea typeface="+mn-ea"/>
              <a:cs typeface="+mn-cs"/>
            </a:rPr>
            <a:t>participații deținute de stat</a:t>
          </a:r>
        </a:p>
      </dgm:t>
    </dgm:pt>
    <dgm:pt modelId="{01A70126-DF81-4AFB-9A74-93C2753DE605}" type="sibTrans" cxnId="{11D6F3A3-07FF-4EAA-9548-30393A00AFF0}">
      <dgm:prSet/>
      <dgm:spPr/>
      <dgm:t>
        <a:bodyPr/>
        <a:lstStyle/>
        <a:p>
          <a:pPr algn="l"/>
          <a:endParaRPr lang="ro-RO" sz="1600">
            <a:solidFill>
              <a:schemeClr val="tx1">
                <a:lumMod val="65000"/>
                <a:lumOff val="35000"/>
              </a:schemeClr>
            </a:solidFill>
          </a:endParaRPr>
        </a:p>
      </dgm:t>
    </dgm:pt>
    <dgm:pt modelId="{2847EBEE-FE60-41D6-8C11-0A2FDC28B0A6}" type="parTrans" cxnId="{11D6F3A3-07FF-4EAA-9548-30393A00AFF0}">
      <dgm:prSet/>
      <dgm:spPr/>
      <dgm:t>
        <a:bodyPr/>
        <a:lstStyle/>
        <a:p>
          <a:pPr algn="l"/>
          <a:endParaRPr lang="ro-RO" sz="1600">
            <a:solidFill>
              <a:schemeClr val="tx1">
                <a:lumMod val="65000"/>
                <a:lumOff val="35000"/>
              </a:schemeClr>
            </a:solidFill>
          </a:endParaRPr>
        </a:p>
      </dgm:t>
    </dgm:pt>
    <dgm:pt modelId="{78055866-55DB-4842-9A52-EB5DAA6C0BA6}" type="pres">
      <dgm:prSet presAssocID="{D99982FB-1DE3-4133-AB5E-7B8108CF6AB8}" presName="Name0" presStyleCnt="0">
        <dgm:presLayoutVars>
          <dgm:chMax val="7"/>
          <dgm:chPref val="7"/>
          <dgm:dir/>
        </dgm:presLayoutVars>
      </dgm:prSet>
      <dgm:spPr/>
      <dgm:t>
        <a:bodyPr/>
        <a:lstStyle/>
        <a:p>
          <a:endParaRPr lang="en-US"/>
        </a:p>
      </dgm:t>
    </dgm:pt>
    <dgm:pt modelId="{C3EFB9C6-34D2-4C1A-8B6E-037FE80FC0B1}" type="pres">
      <dgm:prSet presAssocID="{D99982FB-1DE3-4133-AB5E-7B8108CF6AB8}" presName="Name1" presStyleCnt="0"/>
      <dgm:spPr/>
    </dgm:pt>
    <dgm:pt modelId="{73DBA099-0332-4771-BB15-AF8985E692AE}" type="pres">
      <dgm:prSet presAssocID="{D99982FB-1DE3-4133-AB5E-7B8108CF6AB8}" presName="cycle" presStyleCnt="0"/>
      <dgm:spPr/>
    </dgm:pt>
    <dgm:pt modelId="{C5460B23-9932-4FB6-8ADE-20698B0F58A5}" type="pres">
      <dgm:prSet presAssocID="{D99982FB-1DE3-4133-AB5E-7B8108CF6AB8}" presName="srcNode" presStyleLbl="node1" presStyleIdx="0" presStyleCnt="7"/>
      <dgm:spPr/>
    </dgm:pt>
    <dgm:pt modelId="{9BC70CDB-7E98-473D-BB09-0F6E2FE80167}" type="pres">
      <dgm:prSet presAssocID="{D99982FB-1DE3-4133-AB5E-7B8108CF6AB8}" presName="conn" presStyleLbl="parChTrans1D2" presStyleIdx="0" presStyleCnt="1"/>
      <dgm:spPr/>
      <dgm:t>
        <a:bodyPr/>
        <a:lstStyle/>
        <a:p>
          <a:endParaRPr lang="en-US"/>
        </a:p>
      </dgm:t>
    </dgm:pt>
    <dgm:pt modelId="{500A7CAB-83F0-43A1-A565-2A154C5D05F6}" type="pres">
      <dgm:prSet presAssocID="{D99982FB-1DE3-4133-AB5E-7B8108CF6AB8}" presName="extraNode" presStyleLbl="node1" presStyleIdx="0" presStyleCnt="7"/>
      <dgm:spPr/>
    </dgm:pt>
    <dgm:pt modelId="{EFCA1E99-BD1E-4FF8-9BB6-158E6731B993}" type="pres">
      <dgm:prSet presAssocID="{D99982FB-1DE3-4133-AB5E-7B8108CF6AB8}" presName="dstNode" presStyleLbl="node1" presStyleIdx="0" presStyleCnt="7"/>
      <dgm:spPr/>
    </dgm:pt>
    <dgm:pt modelId="{CCD2B913-3527-43FA-B5C4-2152EF50DDE4}" type="pres">
      <dgm:prSet presAssocID="{4DD89D05-238E-4556-AB5A-DE1B62E94947}" presName="text_1" presStyleLbl="node1" presStyleIdx="0" presStyleCnt="7">
        <dgm:presLayoutVars>
          <dgm:bulletEnabled val="1"/>
        </dgm:presLayoutVars>
      </dgm:prSet>
      <dgm:spPr/>
      <dgm:t>
        <a:bodyPr/>
        <a:lstStyle/>
        <a:p>
          <a:endParaRPr lang="en-US"/>
        </a:p>
      </dgm:t>
    </dgm:pt>
    <dgm:pt modelId="{26DBC254-67AC-48E9-A02D-BE6090FC4088}" type="pres">
      <dgm:prSet presAssocID="{4DD89D05-238E-4556-AB5A-DE1B62E94947}" presName="accent_1" presStyleCnt="0"/>
      <dgm:spPr/>
    </dgm:pt>
    <dgm:pt modelId="{22102BE9-23BC-4EC7-8BDC-5DD1FF706786}" type="pres">
      <dgm:prSet presAssocID="{4DD89D05-238E-4556-AB5A-DE1B62E94947}" presName="accentRepeatNode" presStyleLbl="solidFgAcc1" presStyleIdx="0" presStyleCnt="7"/>
      <dgm:spPr/>
    </dgm:pt>
    <dgm:pt modelId="{22CB99A3-F8AC-484A-A14B-CE40E477CF84}" type="pres">
      <dgm:prSet presAssocID="{C25F8805-1061-46B9-993C-DFBEC5AAFFFA}" presName="text_2" presStyleLbl="node1" presStyleIdx="1" presStyleCnt="7" custLinFactNeighborX="613" custLinFactNeighborY="-1818">
        <dgm:presLayoutVars>
          <dgm:bulletEnabled val="1"/>
        </dgm:presLayoutVars>
      </dgm:prSet>
      <dgm:spPr/>
      <dgm:t>
        <a:bodyPr/>
        <a:lstStyle/>
        <a:p>
          <a:endParaRPr lang="en-US"/>
        </a:p>
      </dgm:t>
    </dgm:pt>
    <dgm:pt modelId="{C483FFE2-F2CF-4B9A-8FB3-1973FF02C2FF}" type="pres">
      <dgm:prSet presAssocID="{C25F8805-1061-46B9-993C-DFBEC5AAFFFA}" presName="accent_2" presStyleCnt="0"/>
      <dgm:spPr/>
    </dgm:pt>
    <dgm:pt modelId="{5E777545-65F5-4C16-A49F-18F4C64B0252}" type="pres">
      <dgm:prSet presAssocID="{C25F8805-1061-46B9-993C-DFBEC5AAFFFA}" presName="accentRepeatNode" presStyleLbl="solidFgAcc1" presStyleIdx="1" presStyleCnt="7"/>
      <dgm:spPr/>
    </dgm:pt>
    <dgm:pt modelId="{B9A0670A-F3E5-46D6-9B63-8ABD53D01875}" type="pres">
      <dgm:prSet presAssocID="{236C55F7-8277-4CB9-BFC9-1958959DAB52}" presName="text_3" presStyleLbl="node1" presStyleIdx="2" presStyleCnt="7">
        <dgm:presLayoutVars>
          <dgm:bulletEnabled val="1"/>
        </dgm:presLayoutVars>
      </dgm:prSet>
      <dgm:spPr/>
      <dgm:t>
        <a:bodyPr/>
        <a:lstStyle/>
        <a:p>
          <a:endParaRPr lang="en-US"/>
        </a:p>
      </dgm:t>
    </dgm:pt>
    <dgm:pt modelId="{58789DEC-243D-4540-9B45-4BB95B883640}" type="pres">
      <dgm:prSet presAssocID="{236C55F7-8277-4CB9-BFC9-1958959DAB52}" presName="accent_3" presStyleCnt="0"/>
      <dgm:spPr/>
    </dgm:pt>
    <dgm:pt modelId="{F6CFF6F9-BA0B-4256-AA7A-BB583008056F}" type="pres">
      <dgm:prSet presAssocID="{236C55F7-8277-4CB9-BFC9-1958959DAB52}" presName="accentRepeatNode" presStyleLbl="solidFgAcc1" presStyleIdx="2" presStyleCnt="7"/>
      <dgm:spPr/>
    </dgm:pt>
    <dgm:pt modelId="{B262971D-94CE-4408-B1EA-933D6312EB26}" type="pres">
      <dgm:prSet presAssocID="{AEAFD558-EF07-4C71-A730-BA2D032E24D4}" presName="text_4" presStyleLbl="node1" presStyleIdx="3" presStyleCnt="7">
        <dgm:presLayoutVars>
          <dgm:bulletEnabled val="1"/>
        </dgm:presLayoutVars>
      </dgm:prSet>
      <dgm:spPr/>
      <dgm:t>
        <a:bodyPr/>
        <a:lstStyle/>
        <a:p>
          <a:endParaRPr lang="en-US"/>
        </a:p>
      </dgm:t>
    </dgm:pt>
    <dgm:pt modelId="{2BE84C29-A158-4E8B-A2C6-6E9CE9659B1C}" type="pres">
      <dgm:prSet presAssocID="{AEAFD558-EF07-4C71-A730-BA2D032E24D4}" presName="accent_4" presStyleCnt="0"/>
      <dgm:spPr/>
    </dgm:pt>
    <dgm:pt modelId="{27CD0F6A-2676-49B8-B503-546AF2F6FDA6}" type="pres">
      <dgm:prSet presAssocID="{AEAFD558-EF07-4C71-A730-BA2D032E24D4}" presName="accentRepeatNode" presStyleLbl="solidFgAcc1" presStyleIdx="3" presStyleCnt="7"/>
      <dgm:spPr/>
    </dgm:pt>
    <dgm:pt modelId="{E3435D32-7EC5-4F16-AC6A-0C971D6C32F4}" type="pres">
      <dgm:prSet presAssocID="{9181861A-191A-4181-B86A-51968E6A26D8}" presName="text_5" presStyleLbl="node1" presStyleIdx="4" presStyleCnt="7">
        <dgm:presLayoutVars>
          <dgm:bulletEnabled val="1"/>
        </dgm:presLayoutVars>
      </dgm:prSet>
      <dgm:spPr/>
      <dgm:t>
        <a:bodyPr/>
        <a:lstStyle/>
        <a:p>
          <a:endParaRPr lang="en-US"/>
        </a:p>
      </dgm:t>
    </dgm:pt>
    <dgm:pt modelId="{4287998C-2991-4F92-BEC6-4B334B113B15}" type="pres">
      <dgm:prSet presAssocID="{9181861A-191A-4181-B86A-51968E6A26D8}" presName="accent_5" presStyleCnt="0"/>
      <dgm:spPr/>
    </dgm:pt>
    <dgm:pt modelId="{64B6AF85-A6CA-4062-8E2C-94A1B0D6D628}" type="pres">
      <dgm:prSet presAssocID="{9181861A-191A-4181-B86A-51968E6A26D8}" presName="accentRepeatNode" presStyleLbl="solidFgAcc1" presStyleIdx="4" presStyleCnt="7"/>
      <dgm:spPr/>
    </dgm:pt>
    <dgm:pt modelId="{48285880-F6C1-4263-A357-E31CC580FFB7}" type="pres">
      <dgm:prSet presAssocID="{5560F830-35F4-4A91-8725-FFB9EFE06E4E}" presName="text_6" presStyleLbl="node1" presStyleIdx="5" presStyleCnt="7">
        <dgm:presLayoutVars>
          <dgm:bulletEnabled val="1"/>
        </dgm:presLayoutVars>
      </dgm:prSet>
      <dgm:spPr/>
      <dgm:t>
        <a:bodyPr/>
        <a:lstStyle/>
        <a:p>
          <a:endParaRPr lang="en-US"/>
        </a:p>
      </dgm:t>
    </dgm:pt>
    <dgm:pt modelId="{9A567809-A3DD-499D-99BB-A9105E7047F3}" type="pres">
      <dgm:prSet presAssocID="{5560F830-35F4-4A91-8725-FFB9EFE06E4E}" presName="accent_6" presStyleCnt="0"/>
      <dgm:spPr/>
    </dgm:pt>
    <dgm:pt modelId="{1EE18EF5-B022-4A90-AE6A-18D0863915DA}" type="pres">
      <dgm:prSet presAssocID="{5560F830-35F4-4A91-8725-FFB9EFE06E4E}" presName="accentRepeatNode" presStyleLbl="solidFgAcc1" presStyleIdx="5" presStyleCnt="7"/>
      <dgm:spPr/>
    </dgm:pt>
    <dgm:pt modelId="{A0BC2784-0AB9-4498-AECE-0D8AB62DABA3}" type="pres">
      <dgm:prSet presAssocID="{D42BAF6D-0BE5-4C98-90AB-FA3BFA828A73}" presName="text_7" presStyleLbl="node1" presStyleIdx="6" presStyleCnt="7">
        <dgm:presLayoutVars>
          <dgm:bulletEnabled val="1"/>
        </dgm:presLayoutVars>
      </dgm:prSet>
      <dgm:spPr/>
      <dgm:t>
        <a:bodyPr/>
        <a:lstStyle/>
        <a:p>
          <a:endParaRPr lang="en-US"/>
        </a:p>
      </dgm:t>
    </dgm:pt>
    <dgm:pt modelId="{489EB5A1-EED2-4E50-95E6-90F5F7471E4F}" type="pres">
      <dgm:prSet presAssocID="{D42BAF6D-0BE5-4C98-90AB-FA3BFA828A73}" presName="accent_7" presStyleCnt="0"/>
      <dgm:spPr/>
    </dgm:pt>
    <dgm:pt modelId="{09A303F2-6FF2-4E22-88B3-2AA595918B92}" type="pres">
      <dgm:prSet presAssocID="{D42BAF6D-0BE5-4C98-90AB-FA3BFA828A73}" presName="accentRepeatNode" presStyleLbl="solidFgAcc1" presStyleIdx="6" presStyleCnt="7"/>
      <dgm:spPr/>
    </dgm:pt>
  </dgm:ptLst>
  <dgm:cxnLst>
    <dgm:cxn modelId="{6EC7E508-0CEF-4476-90DB-75761D5333B2}" type="presOf" srcId="{D99982FB-1DE3-4133-AB5E-7B8108CF6AB8}" destId="{78055866-55DB-4842-9A52-EB5DAA6C0BA6}" srcOrd="0" destOrd="0" presId="urn:microsoft.com/office/officeart/2008/layout/VerticalCurvedList"/>
    <dgm:cxn modelId="{31F7ADCB-B8A4-4417-9E3A-F778F7B39B26}" srcId="{D99982FB-1DE3-4133-AB5E-7B8108CF6AB8}" destId="{5560F830-35F4-4A91-8725-FFB9EFE06E4E}" srcOrd="5" destOrd="0" parTransId="{ABE6D946-729F-4700-ABE2-1FC053061ED8}" sibTransId="{0B70B99F-7560-4028-8F4F-218FBD5D6A2C}"/>
    <dgm:cxn modelId="{88C33CF5-8CC8-4E4C-BE13-2447F247BE53}" type="presOf" srcId="{C25F8805-1061-46B9-993C-DFBEC5AAFFFA}" destId="{22CB99A3-F8AC-484A-A14B-CE40E477CF84}" srcOrd="0" destOrd="0" presId="urn:microsoft.com/office/officeart/2008/layout/VerticalCurvedList"/>
    <dgm:cxn modelId="{2D415B27-DA80-4AAC-8F57-618C35D67E02}" srcId="{D99982FB-1DE3-4133-AB5E-7B8108CF6AB8}" destId="{D42BAF6D-0BE5-4C98-90AB-FA3BFA828A73}" srcOrd="6" destOrd="0" parTransId="{B36C3908-FD63-40B7-9B5F-F1942D256728}" sibTransId="{26F6565B-08FC-4F2C-BB2A-339960D3AA45}"/>
    <dgm:cxn modelId="{72BCFF7B-66EA-4867-B807-90D4EDD95BE4}" type="presOf" srcId="{42A62E8E-CF76-498C-8936-F594EA48F920}" destId="{9BC70CDB-7E98-473D-BB09-0F6E2FE80167}" srcOrd="0" destOrd="0" presId="urn:microsoft.com/office/officeart/2008/layout/VerticalCurvedList"/>
    <dgm:cxn modelId="{DDD325AD-F6DB-4FAA-8A55-94363352CAB3}" type="presOf" srcId="{D42BAF6D-0BE5-4C98-90AB-FA3BFA828A73}" destId="{A0BC2784-0AB9-4498-AECE-0D8AB62DABA3}" srcOrd="0" destOrd="0" presId="urn:microsoft.com/office/officeart/2008/layout/VerticalCurvedList"/>
    <dgm:cxn modelId="{11D6F3A3-07FF-4EAA-9548-30393A00AFF0}" srcId="{D99982FB-1DE3-4133-AB5E-7B8108CF6AB8}" destId="{C25F8805-1061-46B9-993C-DFBEC5AAFFFA}" srcOrd="1" destOrd="0" parTransId="{2847EBEE-FE60-41D6-8C11-0A2FDC28B0A6}" sibTransId="{01A70126-DF81-4AFB-9A74-93C2753DE605}"/>
    <dgm:cxn modelId="{EB3C85F0-05F8-4409-93C2-278462260962}" type="presOf" srcId="{5560F830-35F4-4A91-8725-FFB9EFE06E4E}" destId="{48285880-F6C1-4263-A357-E31CC580FFB7}" srcOrd="0" destOrd="0" presId="urn:microsoft.com/office/officeart/2008/layout/VerticalCurvedList"/>
    <dgm:cxn modelId="{6AE62B96-EEB0-42D1-845E-2E75D6DAB515}" srcId="{D99982FB-1DE3-4133-AB5E-7B8108CF6AB8}" destId="{4DD89D05-238E-4556-AB5A-DE1B62E94947}" srcOrd="0" destOrd="0" parTransId="{9263C1E3-63F5-47EC-BB47-2026D6BE2DCF}" sibTransId="{42A62E8E-CF76-498C-8936-F594EA48F920}"/>
    <dgm:cxn modelId="{D360E9D2-0040-4C6B-B0C3-9E45FDE78156}" srcId="{D99982FB-1DE3-4133-AB5E-7B8108CF6AB8}" destId="{9181861A-191A-4181-B86A-51968E6A26D8}" srcOrd="4" destOrd="0" parTransId="{4DB5FE85-FF0D-4D11-8C62-CA8F1B20A067}" sibTransId="{B8488B82-4ECB-4354-ADBE-BD03C9DB12F2}"/>
    <dgm:cxn modelId="{95002BCE-3BA2-41E4-B049-70A90454E618}" srcId="{D99982FB-1DE3-4133-AB5E-7B8108CF6AB8}" destId="{236C55F7-8277-4CB9-BFC9-1958959DAB52}" srcOrd="2" destOrd="0" parTransId="{84E5ED5E-899E-4E12-A231-447AC702DC05}" sibTransId="{FC4D459D-B36B-4641-B39E-A87E22986A67}"/>
    <dgm:cxn modelId="{B8039F89-2BEE-4695-B90F-8A374BDE1619}" type="presOf" srcId="{AEAFD558-EF07-4C71-A730-BA2D032E24D4}" destId="{B262971D-94CE-4408-B1EA-933D6312EB26}" srcOrd="0" destOrd="0" presId="urn:microsoft.com/office/officeart/2008/layout/VerticalCurvedList"/>
    <dgm:cxn modelId="{8E423B9D-07DC-42A8-857C-D13FA56D756D}" srcId="{D99982FB-1DE3-4133-AB5E-7B8108CF6AB8}" destId="{AEAFD558-EF07-4C71-A730-BA2D032E24D4}" srcOrd="3" destOrd="0" parTransId="{128B2081-E261-4ACD-99FF-7467CB1A8199}" sibTransId="{7F9716FF-6DD7-462C-911A-869139502BA5}"/>
    <dgm:cxn modelId="{BD2B8313-0122-49F6-B75C-2E5CCA4246AC}" type="presOf" srcId="{4DD89D05-238E-4556-AB5A-DE1B62E94947}" destId="{CCD2B913-3527-43FA-B5C4-2152EF50DDE4}" srcOrd="0" destOrd="0" presId="urn:microsoft.com/office/officeart/2008/layout/VerticalCurvedList"/>
    <dgm:cxn modelId="{29D66F05-F6DB-4713-BC1A-A56FCE51BFE3}" type="presOf" srcId="{236C55F7-8277-4CB9-BFC9-1958959DAB52}" destId="{B9A0670A-F3E5-46D6-9B63-8ABD53D01875}" srcOrd="0" destOrd="0" presId="urn:microsoft.com/office/officeart/2008/layout/VerticalCurvedList"/>
    <dgm:cxn modelId="{6FEC3439-ED51-4EC0-9C39-9B45BDFC68A8}" type="presOf" srcId="{9181861A-191A-4181-B86A-51968E6A26D8}" destId="{E3435D32-7EC5-4F16-AC6A-0C971D6C32F4}" srcOrd="0" destOrd="0" presId="urn:microsoft.com/office/officeart/2008/layout/VerticalCurvedList"/>
    <dgm:cxn modelId="{43C4EE5C-8A2B-4DCE-8C62-03A89127DAD7}" type="presParOf" srcId="{78055866-55DB-4842-9A52-EB5DAA6C0BA6}" destId="{C3EFB9C6-34D2-4C1A-8B6E-037FE80FC0B1}" srcOrd="0" destOrd="0" presId="urn:microsoft.com/office/officeart/2008/layout/VerticalCurvedList"/>
    <dgm:cxn modelId="{45FCE866-587F-4C9A-9F70-BAAE5F69860F}" type="presParOf" srcId="{C3EFB9C6-34D2-4C1A-8B6E-037FE80FC0B1}" destId="{73DBA099-0332-4771-BB15-AF8985E692AE}" srcOrd="0" destOrd="0" presId="urn:microsoft.com/office/officeart/2008/layout/VerticalCurvedList"/>
    <dgm:cxn modelId="{6D85987B-266A-46A7-8B09-5C67D3E3207A}" type="presParOf" srcId="{73DBA099-0332-4771-BB15-AF8985E692AE}" destId="{C5460B23-9932-4FB6-8ADE-20698B0F58A5}" srcOrd="0" destOrd="0" presId="urn:microsoft.com/office/officeart/2008/layout/VerticalCurvedList"/>
    <dgm:cxn modelId="{CAF55DAD-FA4C-42EB-8C40-D015C032B8D1}" type="presParOf" srcId="{73DBA099-0332-4771-BB15-AF8985E692AE}" destId="{9BC70CDB-7E98-473D-BB09-0F6E2FE80167}" srcOrd="1" destOrd="0" presId="urn:microsoft.com/office/officeart/2008/layout/VerticalCurvedList"/>
    <dgm:cxn modelId="{7EC36F54-A0DA-4057-8BCE-D4CEBB3AA7DB}" type="presParOf" srcId="{73DBA099-0332-4771-BB15-AF8985E692AE}" destId="{500A7CAB-83F0-43A1-A565-2A154C5D05F6}" srcOrd="2" destOrd="0" presId="urn:microsoft.com/office/officeart/2008/layout/VerticalCurvedList"/>
    <dgm:cxn modelId="{7A9A5585-5032-49AA-8DD5-AB64D9E49DBF}" type="presParOf" srcId="{73DBA099-0332-4771-BB15-AF8985E692AE}" destId="{EFCA1E99-BD1E-4FF8-9BB6-158E6731B993}" srcOrd="3" destOrd="0" presId="urn:microsoft.com/office/officeart/2008/layout/VerticalCurvedList"/>
    <dgm:cxn modelId="{8173CCD9-E710-40BD-AC74-C2288DFD6402}" type="presParOf" srcId="{C3EFB9C6-34D2-4C1A-8B6E-037FE80FC0B1}" destId="{CCD2B913-3527-43FA-B5C4-2152EF50DDE4}" srcOrd="1" destOrd="0" presId="urn:microsoft.com/office/officeart/2008/layout/VerticalCurvedList"/>
    <dgm:cxn modelId="{C98F1C72-B5FD-4B51-B255-845B6B176AA9}" type="presParOf" srcId="{C3EFB9C6-34D2-4C1A-8B6E-037FE80FC0B1}" destId="{26DBC254-67AC-48E9-A02D-BE6090FC4088}" srcOrd="2" destOrd="0" presId="urn:microsoft.com/office/officeart/2008/layout/VerticalCurvedList"/>
    <dgm:cxn modelId="{483FF6E2-0D53-4AE4-ACAB-46BADE80FB59}" type="presParOf" srcId="{26DBC254-67AC-48E9-A02D-BE6090FC4088}" destId="{22102BE9-23BC-4EC7-8BDC-5DD1FF706786}" srcOrd="0" destOrd="0" presId="urn:microsoft.com/office/officeart/2008/layout/VerticalCurvedList"/>
    <dgm:cxn modelId="{DD696D4A-31F8-4708-8828-15B2D7142202}" type="presParOf" srcId="{C3EFB9C6-34D2-4C1A-8B6E-037FE80FC0B1}" destId="{22CB99A3-F8AC-484A-A14B-CE40E477CF84}" srcOrd="3" destOrd="0" presId="urn:microsoft.com/office/officeart/2008/layout/VerticalCurvedList"/>
    <dgm:cxn modelId="{15B5AAA1-ACBE-42DC-9DC2-D06D7E98448F}" type="presParOf" srcId="{C3EFB9C6-34D2-4C1A-8B6E-037FE80FC0B1}" destId="{C483FFE2-F2CF-4B9A-8FB3-1973FF02C2FF}" srcOrd="4" destOrd="0" presId="urn:microsoft.com/office/officeart/2008/layout/VerticalCurvedList"/>
    <dgm:cxn modelId="{DC1C8EE1-0C5C-4A40-A33A-1176A576E6D8}" type="presParOf" srcId="{C483FFE2-F2CF-4B9A-8FB3-1973FF02C2FF}" destId="{5E777545-65F5-4C16-A49F-18F4C64B0252}" srcOrd="0" destOrd="0" presId="urn:microsoft.com/office/officeart/2008/layout/VerticalCurvedList"/>
    <dgm:cxn modelId="{B54BE3DA-4BD7-4EDF-BAB2-C364FDF77230}" type="presParOf" srcId="{C3EFB9C6-34D2-4C1A-8B6E-037FE80FC0B1}" destId="{B9A0670A-F3E5-46D6-9B63-8ABD53D01875}" srcOrd="5" destOrd="0" presId="urn:microsoft.com/office/officeart/2008/layout/VerticalCurvedList"/>
    <dgm:cxn modelId="{E69958D2-CA14-4D0E-AF3C-9D2851F3059B}" type="presParOf" srcId="{C3EFB9C6-34D2-4C1A-8B6E-037FE80FC0B1}" destId="{58789DEC-243D-4540-9B45-4BB95B883640}" srcOrd="6" destOrd="0" presId="urn:microsoft.com/office/officeart/2008/layout/VerticalCurvedList"/>
    <dgm:cxn modelId="{D9DA0FE3-1E4B-4323-9FB3-C7CBE8C44CD9}" type="presParOf" srcId="{58789DEC-243D-4540-9B45-4BB95B883640}" destId="{F6CFF6F9-BA0B-4256-AA7A-BB583008056F}" srcOrd="0" destOrd="0" presId="urn:microsoft.com/office/officeart/2008/layout/VerticalCurvedList"/>
    <dgm:cxn modelId="{34C97B16-A69F-4AF2-B8C8-075FC8D634AA}" type="presParOf" srcId="{C3EFB9C6-34D2-4C1A-8B6E-037FE80FC0B1}" destId="{B262971D-94CE-4408-B1EA-933D6312EB26}" srcOrd="7" destOrd="0" presId="urn:microsoft.com/office/officeart/2008/layout/VerticalCurvedList"/>
    <dgm:cxn modelId="{6B4EB548-A8F8-48D2-B7E1-A66845CFD632}" type="presParOf" srcId="{C3EFB9C6-34D2-4C1A-8B6E-037FE80FC0B1}" destId="{2BE84C29-A158-4E8B-A2C6-6E9CE9659B1C}" srcOrd="8" destOrd="0" presId="urn:microsoft.com/office/officeart/2008/layout/VerticalCurvedList"/>
    <dgm:cxn modelId="{9A8110FE-2C20-40EC-A473-422BDE02D019}" type="presParOf" srcId="{2BE84C29-A158-4E8B-A2C6-6E9CE9659B1C}" destId="{27CD0F6A-2676-49B8-B503-546AF2F6FDA6}" srcOrd="0" destOrd="0" presId="urn:microsoft.com/office/officeart/2008/layout/VerticalCurvedList"/>
    <dgm:cxn modelId="{4C65F5AA-8B7F-4A4B-A235-82D00831DE33}" type="presParOf" srcId="{C3EFB9C6-34D2-4C1A-8B6E-037FE80FC0B1}" destId="{E3435D32-7EC5-4F16-AC6A-0C971D6C32F4}" srcOrd="9" destOrd="0" presId="urn:microsoft.com/office/officeart/2008/layout/VerticalCurvedList"/>
    <dgm:cxn modelId="{B9867B7D-F3DE-47F1-B40A-61A03EDAC5CA}" type="presParOf" srcId="{C3EFB9C6-34D2-4C1A-8B6E-037FE80FC0B1}" destId="{4287998C-2991-4F92-BEC6-4B334B113B15}" srcOrd="10" destOrd="0" presId="urn:microsoft.com/office/officeart/2008/layout/VerticalCurvedList"/>
    <dgm:cxn modelId="{00FCFB87-2750-4562-9070-DE13AD7B3C8D}" type="presParOf" srcId="{4287998C-2991-4F92-BEC6-4B334B113B15}" destId="{64B6AF85-A6CA-4062-8E2C-94A1B0D6D628}" srcOrd="0" destOrd="0" presId="urn:microsoft.com/office/officeart/2008/layout/VerticalCurvedList"/>
    <dgm:cxn modelId="{0E89A5E5-C19A-4DE3-9683-74556F46C723}" type="presParOf" srcId="{C3EFB9C6-34D2-4C1A-8B6E-037FE80FC0B1}" destId="{48285880-F6C1-4263-A357-E31CC580FFB7}" srcOrd="11" destOrd="0" presId="urn:microsoft.com/office/officeart/2008/layout/VerticalCurvedList"/>
    <dgm:cxn modelId="{4AD0CCF6-79EB-413C-B776-BA16EE10F3DB}" type="presParOf" srcId="{C3EFB9C6-34D2-4C1A-8B6E-037FE80FC0B1}" destId="{9A567809-A3DD-499D-99BB-A9105E7047F3}" srcOrd="12" destOrd="0" presId="urn:microsoft.com/office/officeart/2008/layout/VerticalCurvedList"/>
    <dgm:cxn modelId="{8885A7EC-84E8-4EDF-BF85-B6A4E23FBC75}" type="presParOf" srcId="{9A567809-A3DD-499D-99BB-A9105E7047F3}" destId="{1EE18EF5-B022-4A90-AE6A-18D0863915DA}" srcOrd="0" destOrd="0" presId="urn:microsoft.com/office/officeart/2008/layout/VerticalCurvedList"/>
    <dgm:cxn modelId="{422FA787-1907-4D55-B0BB-57C1B346E8DD}" type="presParOf" srcId="{C3EFB9C6-34D2-4C1A-8B6E-037FE80FC0B1}" destId="{A0BC2784-0AB9-4498-AECE-0D8AB62DABA3}" srcOrd="13" destOrd="0" presId="urn:microsoft.com/office/officeart/2008/layout/VerticalCurvedList"/>
    <dgm:cxn modelId="{47A04049-5B00-4F60-B622-31768E8CD826}" type="presParOf" srcId="{C3EFB9C6-34D2-4C1A-8B6E-037FE80FC0B1}" destId="{489EB5A1-EED2-4E50-95E6-90F5F7471E4F}" srcOrd="14" destOrd="0" presId="urn:microsoft.com/office/officeart/2008/layout/VerticalCurvedList"/>
    <dgm:cxn modelId="{36593FF3-60F8-4E7E-8E22-EBDFC3E484DB}" type="presParOf" srcId="{489EB5A1-EED2-4E50-95E6-90F5F7471E4F}" destId="{09A303F2-6FF2-4E22-88B3-2AA595918B92}" srcOrd="0" destOrd="0" presId="urn:microsoft.com/office/officeart/2008/layout/VerticalCurvedList"/>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9982FB-1DE3-4133-AB5E-7B8108CF6AB8}" type="doc">
      <dgm:prSet loTypeId="urn:microsoft.com/office/officeart/2008/layout/VerticalCurvedList" loCatId="list" qsTypeId="urn:microsoft.com/office/officeart/2005/8/quickstyle/simple4" qsCatId="simple" csTypeId="urn:microsoft.com/office/officeart/2005/8/colors/accent2_5" csCatId="accent2" phldr="1"/>
      <dgm:spPr/>
      <dgm:t>
        <a:bodyPr/>
        <a:lstStyle/>
        <a:p>
          <a:endParaRPr lang="ro-RO"/>
        </a:p>
      </dgm:t>
    </dgm:pt>
    <dgm:pt modelId="{4DD89D05-238E-4556-AB5A-DE1B62E94947}">
      <dgm:prSet phldrT="[Text]" custT="1"/>
      <dgm:spPr>
        <a:xfrm>
          <a:off x="224955" y="144999"/>
          <a:ext cx="5432157" cy="289871"/>
        </a:xfrm>
      </dgm:spPr>
      <dgm:t>
        <a:bodyPr/>
        <a:lstStyle/>
        <a:p>
          <a:pPr algn="l"/>
          <a:r>
            <a:rPr lang="ro-RO" sz="1600" b="1">
              <a:latin typeface="Calibri" panose="020F0502020204030204"/>
              <a:ea typeface="+mn-ea"/>
              <a:cs typeface="+mn-cs"/>
            </a:rPr>
            <a:t>1.2</a:t>
          </a:r>
          <a:r>
            <a:rPr lang="en-US" sz="1600" b="1">
              <a:latin typeface="Calibri" panose="020F0502020204030204"/>
              <a:ea typeface="+mn-ea"/>
              <a:cs typeface="+mn-cs"/>
            </a:rPr>
            <a:t>38</a:t>
          </a:r>
          <a:r>
            <a:rPr lang="ro-RO" sz="1600" b="1">
              <a:latin typeface="Calibri" panose="020F0502020204030204"/>
              <a:ea typeface="+mn-ea"/>
              <a:cs typeface="+mn-cs"/>
            </a:rPr>
            <a:t> întreprinderi publice locale active</a:t>
          </a:r>
        </a:p>
      </dgm:t>
    </dgm:pt>
    <dgm:pt modelId="{9263C1E3-63F5-47EC-BB47-2026D6BE2DCF}" type="parTrans" cxnId="{6AE62B96-EEB0-42D1-845E-2E75D6DAB515}">
      <dgm:prSet/>
      <dgm:spPr/>
      <dgm:t>
        <a:bodyPr/>
        <a:lstStyle/>
        <a:p>
          <a:pPr algn="l"/>
          <a:endParaRPr lang="ro-RO" sz="1600">
            <a:solidFill>
              <a:schemeClr val="tx1">
                <a:lumMod val="65000"/>
                <a:lumOff val="35000"/>
              </a:schemeClr>
            </a:solidFill>
          </a:endParaRPr>
        </a:p>
      </dgm:t>
    </dgm:pt>
    <dgm:pt modelId="{42A62E8E-CF76-498C-8936-F594EA48F920}" type="sibTrans" cxnId="{6AE62B96-EEB0-42D1-845E-2E75D6DAB515}">
      <dgm:prSet/>
      <dgm:spPr>
        <a:xfrm>
          <a:off x="-3605061" y="-554012"/>
          <a:ext cx="4297629" cy="4297629"/>
        </a:xfrm>
      </dgm:spPr>
      <dgm:t>
        <a:bodyPr/>
        <a:lstStyle/>
        <a:p>
          <a:pPr algn="l"/>
          <a:endParaRPr lang="ro-RO" sz="1600">
            <a:solidFill>
              <a:schemeClr val="tx1">
                <a:lumMod val="65000"/>
                <a:lumOff val="35000"/>
              </a:schemeClr>
            </a:solidFill>
          </a:endParaRPr>
        </a:p>
      </dgm:t>
    </dgm:pt>
    <dgm:pt modelId="{236C55F7-8277-4CB9-BFC9-1958959DAB52}">
      <dgm:prSet phldrT="[Text]" custT="1"/>
      <dgm:spPr>
        <a:xfrm>
          <a:off x="631311" y="1014804"/>
          <a:ext cx="5025802" cy="289871"/>
        </a:xfrm>
      </dgm:spPr>
      <dgm:t>
        <a:bodyPr/>
        <a:lstStyle/>
        <a:p>
          <a:pPr algn="l"/>
          <a:r>
            <a:rPr lang="ro-RO" sz="1600" b="1">
              <a:latin typeface="Calibri" panose="020F0502020204030204"/>
              <a:ea typeface="+mn-ea"/>
              <a:cs typeface="+mn-cs"/>
            </a:rPr>
            <a:t>0,</a:t>
          </a:r>
          <a:r>
            <a:rPr lang="en-US" sz="1600" b="1">
              <a:latin typeface="Calibri" panose="020F0502020204030204"/>
              <a:ea typeface="+mn-ea"/>
              <a:cs typeface="+mn-cs"/>
            </a:rPr>
            <a:t>436</a:t>
          </a:r>
          <a:r>
            <a:rPr lang="ro-RO" sz="1600" b="1">
              <a:latin typeface="Calibri" panose="020F0502020204030204"/>
              <a:ea typeface="+mn-ea"/>
              <a:cs typeface="+mn-cs"/>
            </a:rPr>
            <a:t> mld lei </a:t>
          </a:r>
          <a:r>
            <a:rPr lang="ro-RO" sz="1200" b="0">
              <a:latin typeface="Calibri" panose="020F0502020204030204"/>
              <a:ea typeface="+mn-ea"/>
              <a:cs typeface="+mn-cs"/>
            </a:rPr>
            <a:t>profit net</a:t>
          </a:r>
        </a:p>
      </dgm:t>
    </dgm:pt>
    <dgm:pt modelId="{84E5ED5E-899E-4E12-A231-447AC702DC05}" type="parTrans" cxnId="{95002BCE-3BA2-41E4-B049-70A90454E618}">
      <dgm:prSet/>
      <dgm:spPr/>
      <dgm:t>
        <a:bodyPr/>
        <a:lstStyle/>
        <a:p>
          <a:pPr algn="l"/>
          <a:endParaRPr lang="ro-RO" sz="1600">
            <a:solidFill>
              <a:schemeClr val="tx1">
                <a:lumMod val="65000"/>
                <a:lumOff val="35000"/>
              </a:schemeClr>
            </a:solidFill>
          </a:endParaRPr>
        </a:p>
      </dgm:t>
    </dgm:pt>
    <dgm:pt modelId="{FC4D459D-B36B-4641-B39E-A87E22986A67}" type="sibTrans" cxnId="{95002BCE-3BA2-41E4-B049-70A90454E618}">
      <dgm:prSet/>
      <dgm:spPr/>
      <dgm:t>
        <a:bodyPr/>
        <a:lstStyle/>
        <a:p>
          <a:pPr algn="l"/>
          <a:endParaRPr lang="ro-RO" sz="1600">
            <a:solidFill>
              <a:schemeClr val="tx1">
                <a:lumMod val="65000"/>
                <a:lumOff val="35000"/>
              </a:schemeClr>
            </a:solidFill>
          </a:endParaRPr>
        </a:p>
      </dgm:t>
    </dgm:pt>
    <dgm:pt modelId="{9181861A-191A-4181-B86A-51968E6A26D8}">
      <dgm:prSet custT="1"/>
      <dgm:spPr>
        <a:xfrm>
          <a:off x="631311" y="1884928"/>
          <a:ext cx="5025802" cy="289871"/>
        </a:xfrm>
      </dgm:spPr>
      <dgm:t>
        <a:bodyPr/>
        <a:lstStyle/>
        <a:p>
          <a:pPr algn="l"/>
          <a:r>
            <a:rPr lang="ro-RO" sz="1600" b="1">
              <a:latin typeface="Calibri" panose="020F0502020204030204"/>
              <a:ea typeface="+mn-ea"/>
              <a:cs typeface="+mn-cs"/>
            </a:rPr>
            <a:t>0,06</a:t>
          </a:r>
          <a:r>
            <a:rPr lang="en-US" sz="1600" b="1">
              <a:latin typeface="Calibri" panose="020F0502020204030204"/>
              <a:ea typeface="+mn-ea"/>
              <a:cs typeface="+mn-cs"/>
            </a:rPr>
            <a:t>3</a:t>
          </a:r>
          <a:r>
            <a:rPr lang="ro-RO" sz="1600" b="1">
              <a:latin typeface="Calibri" panose="020F0502020204030204"/>
              <a:ea typeface="+mn-ea"/>
              <a:cs typeface="+mn-cs"/>
            </a:rPr>
            <a:t> mld lei </a:t>
          </a:r>
          <a:r>
            <a:rPr lang="ro-RO" sz="1200">
              <a:latin typeface="Calibri" panose="020F0502020204030204"/>
              <a:ea typeface="+mn-ea"/>
              <a:cs typeface="+mn-cs"/>
            </a:rPr>
            <a:t>dividende / vărsăminte cuvenite bugetelor locale</a:t>
          </a:r>
        </a:p>
      </dgm:t>
    </dgm:pt>
    <dgm:pt modelId="{4DB5FE85-FF0D-4D11-8C62-CA8F1B20A067}" type="parTrans" cxnId="{D360E9D2-0040-4C6B-B0C3-9E45FDE78156}">
      <dgm:prSet/>
      <dgm:spPr/>
      <dgm:t>
        <a:bodyPr/>
        <a:lstStyle/>
        <a:p>
          <a:pPr algn="l"/>
          <a:endParaRPr lang="ro-RO" sz="1600">
            <a:solidFill>
              <a:schemeClr val="tx1">
                <a:lumMod val="65000"/>
                <a:lumOff val="35000"/>
              </a:schemeClr>
            </a:solidFill>
          </a:endParaRPr>
        </a:p>
      </dgm:t>
    </dgm:pt>
    <dgm:pt modelId="{B8488B82-4ECB-4354-ADBE-BD03C9DB12F2}" type="sibTrans" cxnId="{D360E9D2-0040-4C6B-B0C3-9E45FDE78156}">
      <dgm:prSet/>
      <dgm:spPr/>
      <dgm:t>
        <a:bodyPr/>
        <a:lstStyle/>
        <a:p>
          <a:pPr algn="l"/>
          <a:endParaRPr lang="ro-RO" sz="1600">
            <a:solidFill>
              <a:schemeClr val="tx1">
                <a:lumMod val="65000"/>
                <a:lumOff val="35000"/>
              </a:schemeClr>
            </a:solidFill>
          </a:endParaRPr>
        </a:p>
      </dgm:t>
    </dgm:pt>
    <dgm:pt modelId="{D42BAF6D-0BE5-4C98-90AB-FA3BFA828A73}">
      <dgm:prSet custT="1"/>
      <dgm:spPr>
        <a:xfrm>
          <a:off x="224955" y="2754734"/>
          <a:ext cx="5432157" cy="289871"/>
        </a:xfrm>
      </dgm:spPr>
      <dgm:t>
        <a:bodyPr/>
        <a:lstStyle/>
        <a:p>
          <a:pPr algn="l"/>
          <a:r>
            <a:rPr lang="en-US" sz="1600" b="1">
              <a:latin typeface="Calibri" panose="020F0502020204030204"/>
              <a:ea typeface="+mn-ea"/>
              <a:cs typeface="+mn-cs"/>
            </a:rPr>
            <a:t>101</a:t>
          </a:r>
          <a:r>
            <a:rPr lang="ro-RO" sz="1600" b="1">
              <a:latin typeface="Calibri" panose="020F0502020204030204"/>
              <a:ea typeface="+mn-ea"/>
              <a:cs typeface="+mn-cs"/>
            </a:rPr>
            <a:t>.</a:t>
          </a:r>
          <a:r>
            <a:rPr lang="en-US" sz="1600" b="1">
              <a:latin typeface="Calibri" panose="020F0502020204030204"/>
              <a:ea typeface="+mn-ea"/>
              <a:cs typeface="+mn-cs"/>
            </a:rPr>
            <a:t>447</a:t>
          </a:r>
          <a:r>
            <a:rPr lang="ro-RO" sz="1600" b="1">
              <a:latin typeface="Calibri" panose="020F0502020204030204"/>
              <a:ea typeface="+mn-ea"/>
              <a:cs typeface="+mn-cs"/>
            </a:rPr>
            <a:t> persoane</a:t>
          </a:r>
          <a:r>
            <a:rPr lang="ro-RO" sz="1200">
              <a:latin typeface="Calibri" panose="020F0502020204030204"/>
              <a:ea typeface="+mn-ea"/>
              <a:cs typeface="+mn-cs"/>
            </a:rPr>
            <a:t> angajate</a:t>
          </a:r>
        </a:p>
      </dgm:t>
    </dgm:pt>
    <dgm:pt modelId="{B36C3908-FD63-40B7-9B5F-F1942D256728}" type="parTrans" cxnId="{2D415B27-DA80-4AAC-8F57-618C35D67E02}">
      <dgm:prSet/>
      <dgm:spPr/>
      <dgm:t>
        <a:bodyPr/>
        <a:lstStyle/>
        <a:p>
          <a:pPr algn="l"/>
          <a:endParaRPr lang="ro-RO" sz="1600">
            <a:solidFill>
              <a:schemeClr val="tx1">
                <a:lumMod val="65000"/>
                <a:lumOff val="35000"/>
              </a:schemeClr>
            </a:solidFill>
          </a:endParaRPr>
        </a:p>
      </dgm:t>
    </dgm:pt>
    <dgm:pt modelId="{26F6565B-08FC-4F2C-BB2A-339960D3AA45}" type="sibTrans" cxnId="{2D415B27-DA80-4AAC-8F57-618C35D67E02}">
      <dgm:prSet/>
      <dgm:spPr/>
      <dgm:t>
        <a:bodyPr/>
        <a:lstStyle/>
        <a:p>
          <a:pPr algn="l"/>
          <a:endParaRPr lang="ro-RO" sz="1600">
            <a:solidFill>
              <a:schemeClr val="tx1">
                <a:lumMod val="65000"/>
                <a:lumOff val="35000"/>
              </a:schemeClr>
            </a:solidFill>
          </a:endParaRPr>
        </a:p>
      </dgm:t>
    </dgm:pt>
    <dgm:pt modelId="{AEAFD558-EF07-4C71-A730-BA2D032E24D4}">
      <dgm:prSet custT="1"/>
      <dgm:spPr>
        <a:xfrm>
          <a:off x="677241" y="1449866"/>
          <a:ext cx="4979871" cy="289871"/>
        </a:xfrm>
      </dgm:spPr>
      <dgm:t>
        <a:bodyPr/>
        <a:lstStyle/>
        <a:p>
          <a:pPr algn="l"/>
          <a:r>
            <a:rPr lang="en-US" sz="1600" b="1">
              <a:latin typeface="Calibri" panose="020F0502020204030204"/>
              <a:ea typeface="+mn-ea"/>
              <a:cs typeface="+mn-cs"/>
            </a:rPr>
            <a:t>12</a:t>
          </a:r>
          <a:r>
            <a:rPr lang="ro-RO" sz="1600" b="1">
              <a:latin typeface="Calibri" panose="020F0502020204030204"/>
              <a:ea typeface="+mn-ea"/>
              <a:cs typeface="+mn-cs"/>
            </a:rPr>
            <a:t>,</a:t>
          </a:r>
          <a:r>
            <a:rPr lang="en-US" sz="1600" b="1">
              <a:latin typeface="Calibri" panose="020F0502020204030204"/>
              <a:ea typeface="+mn-ea"/>
              <a:cs typeface="+mn-cs"/>
            </a:rPr>
            <a:t>208</a:t>
          </a:r>
          <a:r>
            <a:rPr lang="ro-RO" sz="1600" b="1">
              <a:latin typeface="Calibri" panose="020F0502020204030204"/>
              <a:ea typeface="+mn-ea"/>
              <a:cs typeface="+mn-cs"/>
            </a:rPr>
            <a:t> mld lei</a:t>
          </a:r>
          <a:r>
            <a:rPr lang="ro-RO" sz="1600">
              <a:latin typeface="Calibri" panose="020F0502020204030204"/>
              <a:ea typeface="+mn-ea"/>
              <a:cs typeface="+mn-cs"/>
            </a:rPr>
            <a:t> </a:t>
          </a:r>
          <a:r>
            <a:rPr lang="ro-RO" sz="1200">
              <a:latin typeface="Calibri" panose="020F0502020204030204"/>
              <a:ea typeface="+mn-ea"/>
              <a:cs typeface="+mn-cs"/>
            </a:rPr>
            <a:t>cifră de afaceri</a:t>
          </a:r>
        </a:p>
      </dgm:t>
    </dgm:pt>
    <dgm:pt modelId="{128B2081-E261-4ACD-99FF-7467CB1A8199}" type="parTrans" cxnId="{8E423B9D-07DC-42A8-857C-D13FA56D756D}">
      <dgm:prSet/>
      <dgm:spPr/>
      <dgm:t>
        <a:bodyPr/>
        <a:lstStyle/>
        <a:p>
          <a:pPr algn="l"/>
          <a:endParaRPr lang="ro-RO" sz="1600">
            <a:solidFill>
              <a:schemeClr val="tx1">
                <a:lumMod val="65000"/>
                <a:lumOff val="35000"/>
              </a:schemeClr>
            </a:solidFill>
          </a:endParaRPr>
        </a:p>
      </dgm:t>
    </dgm:pt>
    <dgm:pt modelId="{7F9716FF-6DD7-462C-911A-869139502BA5}" type="sibTrans" cxnId="{8E423B9D-07DC-42A8-857C-D13FA56D756D}">
      <dgm:prSet/>
      <dgm:spPr/>
      <dgm:t>
        <a:bodyPr/>
        <a:lstStyle/>
        <a:p>
          <a:pPr algn="l"/>
          <a:endParaRPr lang="ro-RO" sz="1600">
            <a:solidFill>
              <a:schemeClr val="tx1">
                <a:lumMod val="65000"/>
                <a:lumOff val="35000"/>
              </a:schemeClr>
            </a:solidFill>
          </a:endParaRPr>
        </a:p>
      </dgm:t>
    </dgm:pt>
    <dgm:pt modelId="{C25F8805-1061-46B9-993C-DFBEC5AAFFFA}">
      <dgm:prSet phldrT="[Text]" custT="1"/>
      <dgm:spPr>
        <a:xfrm>
          <a:off x="519150" y="574791"/>
          <a:ext cx="5169653" cy="289871"/>
        </a:xfrm>
      </dgm:spPr>
      <dgm:t>
        <a:bodyPr/>
        <a:lstStyle/>
        <a:p>
          <a:pPr algn="l"/>
          <a:r>
            <a:rPr lang="en-US" sz="1600" b="1">
              <a:latin typeface="Calibri" panose="020F0502020204030204"/>
              <a:ea typeface="+mn-ea"/>
              <a:cs typeface="+mn-cs"/>
            </a:rPr>
            <a:t>5</a:t>
          </a:r>
          <a:r>
            <a:rPr lang="ro-RO" sz="1600" b="1">
              <a:latin typeface="Calibri" panose="020F0502020204030204"/>
              <a:ea typeface="+mn-ea"/>
              <a:cs typeface="+mn-cs"/>
            </a:rPr>
            <a:t>,263 mld lei </a:t>
          </a:r>
          <a:r>
            <a:rPr lang="ro-RO" sz="1200">
              <a:latin typeface="Calibri" panose="020F0502020204030204"/>
              <a:ea typeface="+mn-ea"/>
              <a:cs typeface="+mn-cs"/>
            </a:rPr>
            <a:t>participații deținute de autoritățile publice tutelare locale</a:t>
          </a:r>
        </a:p>
      </dgm:t>
    </dgm:pt>
    <dgm:pt modelId="{01A70126-DF81-4AFB-9A74-93C2753DE605}" type="sibTrans" cxnId="{11D6F3A3-07FF-4EAA-9548-30393A00AFF0}">
      <dgm:prSet/>
      <dgm:spPr/>
      <dgm:t>
        <a:bodyPr/>
        <a:lstStyle/>
        <a:p>
          <a:pPr algn="l"/>
          <a:endParaRPr lang="ro-RO" sz="1600">
            <a:solidFill>
              <a:schemeClr val="tx1">
                <a:lumMod val="65000"/>
                <a:lumOff val="35000"/>
              </a:schemeClr>
            </a:solidFill>
          </a:endParaRPr>
        </a:p>
      </dgm:t>
    </dgm:pt>
    <dgm:pt modelId="{2847EBEE-FE60-41D6-8C11-0A2FDC28B0A6}" type="parTrans" cxnId="{11D6F3A3-07FF-4EAA-9548-30393A00AFF0}">
      <dgm:prSet/>
      <dgm:spPr/>
      <dgm:t>
        <a:bodyPr/>
        <a:lstStyle/>
        <a:p>
          <a:pPr algn="l"/>
          <a:endParaRPr lang="ro-RO" sz="1600">
            <a:solidFill>
              <a:schemeClr val="tx1">
                <a:lumMod val="65000"/>
                <a:lumOff val="35000"/>
              </a:schemeClr>
            </a:solidFill>
          </a:endParaRPr>
        </a:p>
      </dgm:t>
    </dgm:pt>
    <dgm:pt modelId="{78055866-55DB-4842-9A52-EB5DAA6C0BA6}" type="pres">
      <dgm:prSet presAssocID="{D99982FB-1DE3-4133-AB5E-7B8108CF6AB8}" presName="Name0" presStyleCnt="0">
        <dgm:presLayoutVars>
          <dgm:chMax val="7"/>
          <dgm:chPref val="7"/>
          <dgm:dir/>
        </dgm:presLayoutVars>
      </dgm:prSet>
      <dgm:spPr/>
      <dgm:t>
        <a:bodyPr/>
        <a:lstStyle/>
        <a:p>
          <a:endParaRPr lang="en-US"/>
        </a:p>
      </dgm:t>
    </dgm:pt>
    <dgm:pt modelId="{C3EFB9C6-34D2-4C1A-8B6E-037FE80FC0B1}" type="pres">
      <dgm:prSet presAssocID="{D99982FB-1DE3-4133-AB5E-7B8108CF6AB8}" presName="Name1" presStyleCnt="0"/>
      <dgm:spPr/>
    </dgm:pt>
    <dgm:pt modelId="{73DBA099-0332-4771-BB15-AF8985E692AE}" type="pres">
      <dgm:prSet presAssocID="{D99982FB-1DE3-4133-AB5E-7B8108CF6AB8}" presName="cycle" presStyleCnt="0"/>
      <dgm:spPr/>
    </dgm:pt>
    <dgm:pt modelId="{C5460B23-9932-4FB6-8ADE-20698B0F58A5}" type="pres">
      <dgm:prSet presAssocID="{D99982FB-1DE3-4133-AB5E-7B8108CF6AB8}" presName="srcNode" presStyleLbl="node1" presStyleIdx="0" presStyleCnt="6"/>
      <dgm:spPr/>
    </dgm:pt>
    <dgm:pt modelId="{9BC70CDB-7E98-473D-BB09-0F6E2FE80167}" type="pres">
      <dgm:prSet presAssocID="{D99982FB-1DE3-4133-AB5E-7B8108CF6AB8}" presName="conn" presStyleLbl="parChTrans1D2" presStyleIdx="0" presStyleCnt="1"/>
      <dgm:spPr>
        <a:prstGeom prst="blockArc">
          <a:avLst>
            <a:gd name="adj1" fmla="val 18900000"/>
            <a:gd name="adj2" fmla="val 2700000"/>
            <a:gd name="adj3" fmla="val 503"/>
          </a:avLst>
        </a:prstGeom>
      </dgm:spPr>
      <dgm:t>
        <a:bodyPr/>
        <a:lstStyle/>
        <a:p>
          <a:endParaRPr lang="en-US"/>
        </a:p>
      </dgm:t>
    </dgm:pt>
    <dgm:pt modelId="{500A7CAB-83F0-43A1-A565-2A154C5D05F6}" type="pres">
      <dgm:prSet presAssocID="{D99982FB-1DE3-4133-AB5E-7B8108CF6AB8}" presName="extraNode" presStyleLbl="node1" presStyleIdx="0" presStyleCnt="6"/>
      <dgm:spPr/>
    </dgm:pt>
    <dgm:pt modelId="{EFCA1E99-BD1E-4FF8-9BB6-158E6731B993}" type="pres">
      <dgm:prSet presAssocID="{D99982FB-1DE3-4133-AB5E-7B8108CF6AB8}" presName="dstNode" presStyleLbl="node1" presStyleIdx="0" presStyleCnt="6"/>
      <dgm:spPr/>
    </dgm:pt>
    <dgm:pt modelId="{CCD2B913-3527-43FA-B5C4-2152EF50DDE4}" type="pres">
      <dgm:prSet presAssocID="{4DD89D05-238E-4556-AB5A-DE1B62E94947}" presName="text_1" presStyleLbl="node1" presStyleIdx="0" presStyleCnt="6">
        <dgm:presLayoutVars>
          <dgm:bulletEnabled val="1"/>
        </dgm:presLayoutVars>
      </dgm:prSet>
      <dgm:spPr>
        <a:prstGeom prst="rect">
          <a:avLst/>
        </a:prstGeom>
      </dgm:spPr>
      <dgm:t>
        <a:bodyPr/>
        <a:lstStyle/>
        <a:p>
          <a:endParaRPr lang="en-US"/>
        </a:p>
      </dgm:t>
    </dgm:pt>
    <dgm:pt modelId="{26DBC254-67AC-48E9-A02D-BE6090FC4088}" type="pres">
      <dgm:prSet presAssocID="{4DD89D05-238E-4556-AB5A-DE1B62E94947}" presName="accent_1" presStyleCnt="0"/>
      <dgm:spPr/>
    </dgm:pt>
    <dgm:pt modelId="{22102BE9-23BC-4EC7-8BDC-5DD1FF706786}" type="pres">
      <dgm:prSet presAssocID="{4DD89D05-238E-4556-AB5A-DE1B62E94947}" presName="accentRepeatNode" presStyleLbl="solidFgAcc1" presStyleIdx="0" presStyleCnt="6"/>
      <dgm:spPr>
        <a:xfrm>
          <a:off x="43786" y="108765"/>
          <a:ext cx="362339" cy="362339"/>
        </a:xfrm>
        <a:prstGeom prst="ellipse">
          <a:avLst/>
        </a:prstGeom>
      </dgm:spPr>
    </dgm:pt>
    <dgm:pt modelId="{22CB99A3-F8AC-484A-A14B-CE40E477CF84}" type="pres">
      <dgm:prSet presAssocID="{C25F8805-1061-46B9-993C-DFBEC5AAFFFA}" presName="text_2" presStyleLbl="node1" presStyleIdx="1" presStyleCnt="6" custScaleX="97922" custLinFactNeighborX="613" custLinFactNeighborY="-1818">
        <dgm:presLayoutVars>
          <dgm:bulletEnabled val="1"/>
        </dgm:presLayoutVars>
      </dgm:prSet>
      <dgm:spPr>
        <a:prstGeom prst="rect">
          <a:avLst/>
        </a:prstGeom>
      </dgm:spPr>
      <dgm:t>
        <a:bodyPr/>
        <a:lstStyle/>
        <a:p>
          <a:endParaRPr lang="en-US"/>
        </a:p>
      </dgm:t>
    </dgm:pt>
    <dgm:pt modelId="{C483FFE2-F2CF-4B9A-8FB3-1973FF02C2FF}" type="pres">
      <dgm:prSet presAssocID="{C25F8805-1061-46B9-993C-DFBEC5AAFFFA}" presName="accent_2" presStyleCnt="0"/>
      <dgm:spPr/>
    </dgm:pt>
    <dgm:pt modelId="{5E777545-65F5-4C16-A49F-18F4C64B0252}" type="pres">
      <dgm:prSet presAssocID="{C25F8805-1061-46B9-993C-DFBEC5AAFFFA}" presName="accentRepeatNode" presStyleLbl="solidFgAcc1" presStyleIdx="1" presStyleCnt="6"/>
      <dgm:spPr>
        <a:xfrm>
          <a:off x="306290" y="543827"/>
          <a:ext cx="362339" cy="362339"/>
        </a:xfrm>
        <a:prstGeom prst="ellipse">
          <a:avLst/>
        </a:prstGeom>
      </dgm:spPr>
    </dgm:pt>
    <dgm:pt modelId="{B9A0670A-F3E5-46D6-9B63-8ABD53D01875}" type="pres">
      <dgm:prSet presAssocID="{236C55F7-8277-4CB9-BFC9-1958959DAB52}" presName="text_3" presStyleLbl="node1" presStyleIdx="2" presStyleCnt="6">
        <dgm:presLayoutVars>
          <dgm:bulletEnabled val="1"/>
        </dgm:presLayoutVars>
      </dgm:prSet>
      <dgm:spPr>
        <a:prstGeom prst="rect">
          <a:avLst/>
        </a:prstGeom>
      </dgm:spPr>
      <dgm:t>
        <a:bodyPr/>
        <a:lstStyle/>
        <a:p>
          <a:endParaRPr lang="en-US"/>
        </a:p>
      </dgm:t>
    </dgm:pt>
    <dgm:pt modelId="{58789DEC-243D-4540-9B45-4BB95B883640}" type="pres">
      <dgm:prSet presAssocID="{236C55F7-8277-4CB9-BFC9-1958959DAB52}" presName="accent_3" presStyleCnt="0"/>
      <dgm:spPr/>
    </dgm:pt>
    <dgm:pt modelId="{F6CFF6F9-BA0B-4256-AA7A-BB583008056F}" type="pres">
      <dgm:prSet presAssocID="{236C55F7-8277-4CB9-BFC9-1958959DAB52}" presName="accentRepeatNode" presStyleLbl="solidFgAcc1" presStyleIdx="2" presStyleCnt="6"/>
      <dgm:spPr>
        <a:xfrm>
          <a:off x="450141" y="978570"/>
          <a:ext cx="362339" cy="362339"/>
        </a:xfrm>
        <a:prstGeom prst="ellipse">
          <a:avLst/>
        </a:prstGeom>
      </dgm:spPr>
    </dgm:pt>
    <dgm:pt modelId="{B262971D-94CE-4408-B1EA-933D6312EB26}" type="pres">
      <dgm:prSet presAssocID="{AEAFD558-EF07-4C71-A730-BA2D032E24D4}" presName="text_4" presStyleLbl="node1" presStyleIdx="3" presStyleCnt="6">
        <dgm:presLayoutVars>
          <dgm:bulletEnabled val="1"/>
        </dgm:presLayoutVars>
      </dgm:prSet>
      <dgm:spPr>
        <a:prstGeom prst="rect">
          <a:avLst/>
        </a:prstGeom>
      </dgm:spPr>
      <dgm:t>
        <a:bodyPr/>
        <a:lstStyle/>
        <a:p>
          <a:endParaRPr lang="en-US"/>
        </a:p>
      </dgm:t>
    </dgm:pt>
    <dgm:pt modelId="{2BE84C29-A158-4E8B-A2C6-6E9CE9659B1C}" type="pres">
      <dgm:prSet presAssocID="{AEAFD558-EF07-4C71-A730-BA2D032E24D4}" presName="accent_4" presStyleCnt="0"/>
      <dgm:spPr/>
    </dgm:pt>
    <dgm:pt modelId="{27CD0F6A-2676-49B8-B503-546AF2F6FDA6}" type="pres">
      <dgm:prSet presAssocID="{AEAFD558-EF07-4C71-A730-BA2D032E24D4}" presName="accentRepeatNode" presStyleLbl="solidFgAcc1" presStyleIdx="3" presStyleCnt="6"/>
      <dgm:spPr>
        <a:xfrm>
          <a:off x="496072" y="1413632"/>
          <a:ext cx="362339" cy="362339"/>
        </a:xfrm>
        <a:prstGeom prst="ellipse">
          <a:avLst/>
        </a:prstGeom>
      </dgm:spPr>
    </dgm:pt>
    <dgm:pt modelId="{E3435D32-7EC5-4F16-AC6A-0C971D6C32F4}" type="pres">
      <dgm:prSet presAssocID="{9181861A-191A-4181-B86A-51968E6A26D8}" presName="text_5" presStyleLbl="node1" presStyleIdx="4" presStyleCnt="6">
        <dgm:presLayoutVars>
          <dgm:bulletEnabled val="1"/>
        </dgm:presLayoutVars>
      </dgm:prSet>
      <dgm:spPr>
        <a:prstGeom prst="rect">
          <a:avLst/>
        </a:prstGeom>
      </dgm:spPr>
      <dgm:t>
        <a:bodyPr/>
        <a:lstStyle/>
        <a:p>
          <a:endParaRPr lang="en-US"/>
        </a:p>
      </dgm:t>
    </dgm:pt>
    <dgm:pt modelId="{4287998C-2991-4F92-BEC6-4B334B113B15}" type="pres">
      <dgm:prSet presAssocID="{9181861A-191A-4181-B86A-51968E6A26D8}" presName="accent_5" presStyleCnt="0"/>
      <dgm:spPr/>
    </dgm:pt>
    <dgm:pt modelId="{64B6AF85-A6CA-4062-8E2C-94A1B0D6D628}" type="pres">
      <dgm:prSet presAssocID="{9181861A-191A-4181-B86A-51968E6A26D8}" presName="accentRepeatNode" presStyleLbl="solidFgAcc1" presStyleIdx="4" presStyleCnt="6"/>
      <dgm:spPr>
        <a:xfrm>
          <a:off x="450141" y="1848695"/>
          <a:ext cx="362339" cy="362339"/>
        </a:xfrm>
        <a:prstGeom prst="ellipse">
          <a:avLst/>
        </a:prstGeom>
      </dgm:spPr>
    </dgm:pt>
    <dgm:pt modelId="{AF8165FA-F986-4291-94D0-B7CDD5DE1F4E}" type="pres">
      <dgm:prSet presAssocID="{D42BAF6D-0BE5-4C98-90AB-FA3BFA828A73}" presName="text_6" presStyleLbl="node1" presStyleIdx="5" presStyleCnt="6">
        <dgm:presLayoutVars>
          <dgm:bulletEnabled val="1"/>
        </dgm:presLayoutVars>
      </dgm:prSet>
      <dgm:spPr/>
      <dgm:t>
        <a:bodyPr/>
        <a:lstStyle/>
        <a:p>
          <a:endParaRPr lang="en-US"/>
        </a:p>
      </dgm:t>
    </dgm:pt>
    <dgm:pt modelId="{2C4BA0AE-6D50-4B55-8DD7-8B6706466F0C}" type="pres">
      <dgm:prSet presAssocID="{D42BAF6D-0BE5-4C98-90AB-FA3BFA828A73}" presName="accent_6" presStyleCnt="0"/>
      <dgm:spPr/>
    </dgm:pt>
    <dgm:pt modelId="{09A303F2-6FF2-4E22-88B3-2AA595918B92}" type="pres">
      <dgm:prSet presAssocID="{D42BAF6D-0BE5-4C98-90AB-FA3BFA828A73}" presName="accentRepeatNode" presStyleLbl="solidFgAcc1" presStyleIdx="5" presStyleCnt="6"/>
      <dgm:spPr>
        <a:xfrm>
          <a:off x="43786" y="2718500"/>
          <a:ext cx="362339" cy="362339"/>
        </a:xfrm>
        <a:prstGeom prst="ellipse">
          <a:avLst/>
        </a:prstGeom>
      </dgm:spPr>
    </dgm:pt>
  </dgm:ptLst>
  <dgm:cxnLst>
    <dgm:cxn modelId="{95002BCE-3BA2-41E4-B049-70A90454E618}" srcId="{D99982FB-1DE3-4133-AB5E-7B8108CF6AB8}" destId="{236C55F7-8277-4CB9-BFC9-1958959DAB52}" srcOrd="2" destOrd="0" parTransId="{84E5ED5E-899E-4E12-A231-447AC702DC05}" sibTransId="{FC4D459D-B36B-4641-B39E-A87E22986A67}"/>
    <dgm:cxn modelId="{BC97198A-0B57-42F3-9EAC-053BF72D7AB3}" type="presOf" srcId="{D99982FB-1DE3-4133-AB5E-7B8108CF6AB8}" destId="{78055866-55DB-4842-9A52-EB5DAA6C0BA6}" srcOrd="0" destOrd="0" presId="urn:microsoft.com/office/officeart/2008/layout/VerticalCurvedList"/>
    <dgm:cxn modelId="{A50F894D-C860-4481-9A3A-E7D9EAE71C51}" type="presOf" srcId="{AEAFD558-EF07-4C71-A730-BA2D032E24D4}" destId="{B262971D-94CE-4408-B1EA-933D6312EB26}" srcOrd="0" destOrd="0" presId="urn:microsoft.com/office/officeart/2008/layout/VerticalCurvedList"/>
    <dgm:cxn modelId="{6AE62B96-EEB0-42D1-845E-2E75D6DAB515}" srcId="{D99982FB-1DE3-4133-AB5E-7B8108CF6AB8}" destId="{4DD89D05-238E-4556-AB5A-DE1B62E94947}" srcOrd="0" destOrd="0" parTransId="{9263C1E3-63F5-47EC-BB47-2026D6BE2DCF}" sibTransId="{42A62E8E-CF76-498C-8936-F594EA48F920}"/>
    <dgm:cxn modelId="{9EE18046-352E-4BD2-9C4E-468A90E4E5A6}" type="presOf" srcId="{D42BAF6D-0BE5-4C98-90AB-FA3BFA828A73}" destId="{AF8165FA-F986-4291-94D0-B7CDD5DE1F4E}" srcOrd="0" destOrd="0" presId="urn:microsoft.com/office/officeart/2008/layout/VerticalCurvedList"/>
    <dgm:cxn modelId="{11D6F3A3-07FF-4EAA-9548-30393A00AFF0}" srcId="{D99982FB-1DE3-4133-AB5E-7B8108CF6AB8}" destId="{C25F8805-1061-46B9-993C-DFBEC5AAFFFA}" srcOrd="1" destOrd="0" parTransId="{2847EBEE-FE60-41D6-8C11-0A2FDC28B0A6}" sibTransId="{01A70126-DF81-4AFB-9A74-93C2753DE605}"/>
    <dgm:cxn modelId="{2D415B27-DA80-4AAC-8F57-618C35D67E02}" srcId="{D99982FB-1DE3-4133-AB5E-7B8108CF6AB8}" destId="{D42BAF6D-0BE5-4C98-90AB-FA3BFA828A73}" srcOrd="5" destOrd="0" parTransId="{B36C3908-FD63-40B7-9B5F-F1942D256728}" sibTransId="{26F6565B-08FC-4F2C-BB2A-339960D3AA45}"/>
    <dgm:cxn modelId="{8E423B9D-07DC-42A8-857C-D13FA56D756D}" srcId="{D99982FB-1DE3-4133-AB5E-7B8108CF6AB8}" destId="{AEAFD558-EF07-4C71-A730-BA2D032E24D4}" srcOrd="3" destOrd="0" parTransId="{128B2081-E261-4ACD-99FF-7467CB1A8199}" sibTransId="{7F9716FF-6DD7-462C-911A-869139502BA5}"/>
    <dgm:cxn modelId="{D360E9D2-0040-4C6B-B0C3-9E45FDE78156}" srcId="{D99982FB-1DE3-4133-AB5E-7B8108CF6AB8}" destId="{9181861A-191A-4181-B86A-51968E6A26D8}" srcOrd="4" destOrd="0" parTransId="{4DB5FE85-FF0D-4D11-8C62-CA8F1B20A067}" sibTransId="{B8488B82-4ECB-4354-ADBE-BD03C9DB12F2}"/>
    <dgm:cxn modelId="{10FF55D8-BBFE-4C20-B6DC-DF4109EBDFA6}" type="presOf" srcId="{C25F8805-1061-46B9-993C-DFBEC5AAFFFA}" destId="{22CB99A3-F8AC-484A-A14B-CE40E477CF84}" srcOrd="0" destOrd="0" presId="urn:microsoft.com/office/officeart/2008/layout/VerticalCurvedList"/>
    <dgm:cxn modelId="{79065348-F03C-4E6F-BC9A-3C5D7F7B035D}" type="presOf" srcId="{9181861A-191A-4181-B86A-51968E6A26D8}" destId="{E3435D32-7EC5-4F16-AC6A-0C971D6C32F4}" srcOrd="0" destOrd="0" presId="urn:microsoft.com/office/officeart/2008/layout/VerticalCurvedList"/>
    <dgm:cxn modelId="{8687C033-64DA-48DA-9A95-FE8AA4E5FE62}" type="presOf" srcId="{4DD89D05-238E-4556-AB5A-DE1B62E94947}" destId="{CCD2B913-3527-43FA-B5C4-2152EF50DDE4}" srcOrd="0" destOrd="0" presId="urn:microsoft.com/office/officeart/2008/layout/VerticalCurvedList"/>
    <dgm:cxn modelId="{FD5F7B7B-569D-4A92-9F53-C2E681603606}" type="presOf" srcId="{236C55F7-8277-4CB9-BFC9-1958959DAB52}" destId="{B9A0670A-F3E5-46D6-9B63-8ABD53D01875}" srcOrd="0" destOrd="0" presId="urn:microsoft.com/office/officeart/2008/layout/VerticalCurvedList"/>
    <dgm:cxn modelId="{7F250C73-1770-4B52-AA54-43F37E15898F}" type="presOf" srcId="{42A62E8E-CF76-498C-8936-F594EA48F920}" destId="{9BC70CDB-7E98-473D-BB09-0F6E2FE80167}" srcOrd="0" destOrd="0" presId="urn:microsoft.com/office/officeart/2008/layout/VerticalCurvedList"/>
    <dgm:cxn modelId="{6BC115F4-51C3-4455-8EB6-0A6CB0194D85}" type="presParOf" srcId="{78055866-55DB-4842-9A52-EB5DAA6C0BA6}" destId="{C3EFB9C6-34D2-4C1A-8B6E-037FE80FC0B1}" srcOrd="0" destOrd="0" presId="urn:microsoft.com/office/officeart/2008/layout/VerticalCurvedList"/>
    <dgm:cxn modelId="{4949C6FD-F722-47A1-A145-9DFFE51CA9BB}" type="presParOf" srcId="{C3EFB9C6-34D2-4C1A-8B6E-037FE80FC0B1}" destId="{73DBA099-0332-4771-BB15-AF8985E692AE}" srcOrd="0" destOrd="0" presId="urn:microsoft.com/office/officeart/2008/layout/VerticalCurvedList"/>
    <dgm:cxn modelId="{E60F390B-1297-482F-8144-3D604385D390}" type="presParOf" srcId="{73DBA099-0332-4771-BB15-AF8985E692AE}" destId="{C5460B23-9932-4FB6-8ADE-20698B0F58A5}" srcOrd="0" destOrd="0" presId="urn:microsoft.com/office/officeart/2008/layout/VerticalCurvedList"/>
    <dgm:cxn modelId="{AD83D61C-23EC-44FA-BE49-FBBF96A8E8D9}" type="presParOf" srcId="{73DBA099-0332-4771-BB15-AF8985E692AE}" destId="{9BC70CDB-7E98-473D-BB09-0F6E2FE80167}" srcOrd="1" destOrd="0" presId="urn:microsoft.com/office/officeart/2008/layout/VerticalCurvedList"/>
    <dgm:cxn modelId="{CD9D5547-3C83-4AAF-8A31-CCA670794954}" type="presParOf" srcId="{73DBA099-0332-4771-BB15-AF8985E692AE}" destId="{500A7CAB-83F0-43A1-A565-2A154C5D05F6}" srcOrd="2" destOrd="0" presId="urn:microsoft.com/office/officeart/2008/layout/VerticalCurvedList"/>
    <dgm:cxn modelId="{232499D0-CF16-4621-B9E6-9671717483F4}" type="presParOf" srcId="{73DBA099-0332-4771-BB15-AF8985E692AE}" destId="{EFCA1E99-BD1E-4FF8-9BB6-158E6731B993}" srcOrd="3" destOrd="0" presId="urn:microsoft.com/office/officeart/2008/layout/VerticalCurvedList"/>
    <dgm:cxn modelId="{6E306514-C1DE-4F44-8887-F5B50FEE79BF}" type="presParOf" srcId="{C3EFB9C6-34D2-4C1A-8B6E-037FE80FC0B1}" destId="{CCD2B913-3527-43FA-B5C4-2152EF50DDE4}" srcOrd="1" destOrd="0" presId="urn:microsoft.com/office/officeart/2008/layout/VerticalCurvedList"/>
    <dgm:cxn modelId="{1AF494D8-8FC8-4499-A8F9-C7B174860D23}" type="presParOf" srcId="{C3EFB9C6-34D2-4C1A-8B6E-037FE80FC0B1}" destId="{26DBC254-67AC-48E9-A02D-BE6090FC4088}" srcOrd="2" destOrd="0" presId="urn:microsoft.com/office/officeart/2008/layout/VerticalCurvedList"/>
    <dgm:cxn modelId="{F969B1D1-0990-4F00-B198-E75A77B37CB1}" type="presParOf" srcId="{26DBC254-67AC-48E9-A02D-BE6090FC4088}" destId="{22102BE9-23BC-4EC7-8BDC-5DD1FF706786}" srcOrd="0" destOrd="0" presId="urn:microsoft.com/office/officeart/2008/layout/VerticalCurvedList"/>
    <dgm:cxn modelId="{EC21B6A6-2D9F-461F-9CD5-198AAD194518}" type="presParOf" srcId="{C3EFB9C6-34D2-4C1A-8B6E-037FE80FC0B1}" destId="{22CB99A3-F8AC-484A-A14B-CE40E477CF84}" srcOrd="3" destOrd="0" presId="urn:microsoft.com/office/officeart/2008/layout/VerticalCurvedList"/>
    <dgm:cxn modelId="{18A02D22-C3D3-4C9D-BF19-39CA99FDCB69}" type="presParOf" srcId="{C3EFB9C6-34D2-4C1A-8B6E-037FE80FC0B1}" destId="{C483FFE2-F2CF-4B9A-8FB3-1973FF02C2FF}" srcOrd="4" destOrd="0" presId="urn:microsoft.com/office/officeart/2008/layout/VerticalCurvedList"/>
    <dgm:cxn modelId="{C9D5C133-6454-4BAC-B98C-49F8341509F1}" type="presParOf" srcId="{C483FFE2-F2CF-4B9A-8FB3-1973FF02C2FF}" destId="{5E777545-65F5-4C16-A49F-18F4C64B0252}" srcOrd="0" destOrd="0" presId="urn:microsoft.com/office/officeart/2008/layout/VerticalCurvedList"/>
    <dgm:cxn modelId="{D6DF6EDD-4922-47FA-9492-5E86FC9BA1A0}" type="presParOf" srcId="{C3EFB9C6-34D2-4C1A-8B6E-037FE80FC0B1}" destId="{B9A0670A-F3E5-46D6-9B63-8ABD53D01875}" srcOrd="5" destOrd="0" presId="urn:microsoft.com/office/officeart/2008/layout/VerticalCurvedList"/>
    <dgm:cxn modelId="{D7977511-9DE7-4257-B575-651E71EB419F}" type="presParOf" srcId="{C3EFB9C6-34D2-4C1A-8B6E-037FE80FC0B1}" destId="{58789DEC-243D-4540-9B45-4BB95B883640}" srcOrd="6" destOrd="0" presId="urn:microsoft.com/office/officeart/2008/layout/VerticalCurvedList"/>
    <dgm:cxn modelId="{F9135319-0095-4E59-92BB-C9C9246ED0D7}" type="presParOf" srcId="{58789DEC-243D-4540-9B45-4BB95B883640}" destId="{F6CFF6F9-BA0B-4256-AA7A-BB583008056F}" srcOrd="0" destOrd="0" presId="urn:microsoft.com/office/officeart/2008/layout/VerticalCurvedList"/>
    <dgm:cxn modelId="{6677EB48-980F-45B6-BFA9-D3576F7FA938}" type="presParOf" srcId="{C3EFB9C6-34D2-4C1A-8B6E-037FE80FC0B1}" destId="{B262971D-94CE-4408-B1EA-933D6312EB26}" srcOrd="7" destOrd="0" presId="urn:microsoft.com/office/officeart/2008/layout/VerticalCurvedList"/>
    <dgm:cxn modelId="{7E0218EB-1565-47B9-AFB7-88909E5A6816}" type="presParOf" srcId="{C3EFB9C6-34D2-4C1A-8B6E-037FE80FC0B1}" destId="{2BE84C29-A158-4E8B-A2C6-6E9CE9659B1C}" srcOrd="8" destOrd="0" presId="urn:microsoft.com/office/officeart/2008/layout/VerticalCurvedList"/>
    <dgm:cxn modelId="{A724F124-4238-4D64-BE9A-3D38D93E553A}" type="presParOf" srcId="{2BE84C29-A158-4E8B-A2C6-6E9CE9659B1C}" destId="{27CD0F6A-2676-49B8-B503-546AF2F6FDA6}" srcOrd="0" destOrd="0" presId="urn:microsoft.com/office/officeart/2008/layout/VerticalCurvedList"/>
    <dgm:cxn modelId="{61467B32-416E-41FF-846F-2C59601AA78C}" type="presParOf" srcId="{C3EFB9C6-34D2-4C1A-8B6E-037FE80FC0B1}" destId="{E3435D32-7EC5-4F16-AC6A-0C971D6C32F4}" srcOrd="9" destOrd="0" presId="urn:microsoft.com/office/officeart/2008/layout/VerticalCurvedList"/>
    <dgm:cxn modelId="{D0A0A908-BD6C-413C-A84A-10CFDAFAADE7}" type="presParOf" srcId="{C3EFB9C6-34D2-4C1A-8B6E-037FE80FC0B1}" destId="{4287998C-2991-4F92-BEC6-4B334B113B15}" srcOrd="10" destOrd="0" presId="urn:microsoft.com/office/officeart/2008/layout/VerticalCurvedList"/>
    <dgm:cxn modelId="{186A6A32-5BD1-42F1-8EFF-88AC16690C3E}" type="presParOf" srcId="{4287998C-2991-4F92-BEC6-4B334B113B15}" destId="{64B6AF85-A6CA-4062-8E2C-94A1B0D6D628}" srcOrd="0" destOrd="0" presId="urn:microsoft.com/office/officeart/2008/layout/VerticalCurvedList"/>
    <dgm:cxn modelId="{D109E596-3ABE-4105-A117-2904EB44F94A}" type="presParOf" srcId="{C3EFB9C6-34D2-4C1A-8B6E-037FE80FC0B1}" destId="{AF8165FA-F986-4291-94D0-B7CDD5DE1F4E}" srcOrd="11" destOrd="0" presId="urn:microsoft.com/office/officeart/2008/layout/VerticalCurvedList"/>
    <dgm:cxn modelId="{10BA78DD-8146-4BC1-8B79-6CBB54C9050D}" type="presParOf" srcId="{C3EFB9C6-34D2-4C1A-8B6E-037FE80FC0B1}" destId="{2C4BA0AE-6D50-4B55-8DD7-8B6706466F0C}" srcOrd="12" destOrd="0" presId="urn:microsoft.com/office/officeart/2008/layout/VerticalCurvedList"/>
    <dgm:cxn modelId="{DB575D0B-8E56-4428-A2DD-9014E1CFD64B}" type="presParOf" srcId="{2C4BA0AE-6D50-4B55-8DD7-8B6706466F0C}" destId="{09A303F2-6FF2-4E22-88B3-2AA595918B92}" srcOrd="0" destOrd="0" presId="urn:microsoft.com/office/officeart/2008/layout/VerticalCurvedList"/>
  </dgm:cxnLst>
  <dgm:bg>
    <a:noFill/>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70CDB-7E98-473D-BB09-0F6E2FE80167}">
      <dsp:nvSpPr>
        <dsp:cNvPr id="0" name=""/>
        <dsp:cNvSpPr/>
      </dsp:nvSpPr>
      <dsp:spPr>
        <a:xfrm>
          <a:off x="-3605061" y="-554012"/>
          <a:ext cx="4297629" cy="4297629"/>
        </a:xfrm>
        <a:prstGeom prst="blockArc">
          <a:avLst>
            <a:gd name="adj1" fmla="val 18900000"/>
            <a:gd name="adj2" fmla="val 2700000"/>
            <a:gd name="adj3" fmla="val 503"/>
          </a:avLst>
        </a:pr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D2B913-3527-43FA-B5C4-2152EF50DDE4}">
      <dsp:nvSpPr>
        <dsp:cNvPr id="0" name=""/>
        <dsp:cNvSpPr/>
      </dsp:nvSpPr>
      <dsp:spPr>
        <a:xfrm>
          <a:off x="224955" y="144999"/>
          <a:ext cx="5432157" cy="28987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226 întreprinderi publice centrale active</a:t>
          </a:r>
        </a:p>
      </dsp:txBody>
      <dsp:txXfrm>
        <a:off x="224955" y="144999"/>
        <a:ext cx="5432157" cy="289871"/>
      </dsp:txXfrm>
    </dsp:sp>
    <dsp:sp modelId="{22102BE9-23BC-4EC7-8BDC-5DD1FF706786}">
      <dsp:nvSpPr>
        <dsp:cNvPr id="0" name=""/>
        <dsp:cNvSpPr/>
      </dsp:nvSpPr>
      <dsp:spPr>
        <a:xfrm>
          <a:off x="43786" y="108765"/>
          <a:ext cx="362339" cy="362339"/>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2CB99A3-F8AC-484A-A14B-CE40E477CF84}">
      <dsp:nvSpPr>
        <dsp:cNvPr id="0" name=""/>
        <dsp:cNvSpPr/>
      </dsp:nvSpPr>
      <dsp:spPr>
        <a:xfrm>
          <a:off x="519150" y="574791"/>
          <a:ext cx="5169653" cy="289871"/>
        </a:xfrm>
        <a:prstGeom prst="rect">
          <a:avLst/>
        </a:prstGeom>
        <a:gradFill rotWithShape="0">
          <a:gsLst>
            <a:gs pos="0">
              <a:schemeClr val="accent2">
                <a:hueOff val="-139687"/>
                <a:satOff val="-1610"/>
                <a:lumOff val="360"/>
                <a:alphaOff val="0"/>
                <a:satMod val="103000"/>
                <a:lumMod val="102000"/>
                <a:tint val="94000"/>
              </a:schemeClr>
            </a:gs>
            <a:gs pos="50000">
              <a:schemeClr val="accent2">
                <a:hueOff val="-139687"/>
                <a:satOff val="-1610"/>
                <a:lumOff val="360"/>
                <a:alphaOff val="0"/>
                <a:satMod val="110000"/>
                <a:lumMod val="100000"/>
                <a:shade val="100000"/>
              </a:schemeClr>
            </a:gs>
            <a:gs pos="100000">
              <a:schemeClr val="accent2">
                <a:hueOff val="-139687"/>
                <a:satOff val="-1610"/>
                <a:lumOff val="36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solidFill>
                <a:schemeClr val="bg1"/>
              </a:solidFill>
              <a:latin typeface="Calibri" panose="020F0502020204030204"/>
              <a:ea typeface="+mn-ea"/>
              <a:cs typeface="+mn-cs"/>
            </a:rPr>
            <a:t>27,528 mld lei </a:t>
          </a:r>
          <a:r>
            <a:rPr lang="ro-RO" sz="1200" kern="1200">
              <a:latin typeface="Calibri" panose="020F0502020204030204"/>
              <a:ea typeface="+mn-ea"/>
              <a:cs typeface="+mn-cs"/>
            </a:rPr>
            <a:t>participații deținute de stat</a:t>
          </a:r>
        </a:p>
      </dsp:txBody>
      <dsp:txXfrm>
        <a:off x="519150" y="574791"/>
        <a:ext cx="5169653" cy="289871"/>
      </dsp:txXfrm>
    </dsp:sp>
    <dsp:sp modelId="{5E777545-65F5-4C16-A49F-18F4C64B0252}">
      <dsp:nvSpPr>
        <dsp:cNvPr id="0" name=""/>
        <dsp:cNvSpPr/>
      </dsp:nvSpPr>
      <dsp:spPr>
        <a:xfrm>
          <a:off x="306290" y="543827"/>
          <a:ext cx="362339" cy="362339"/>
        </a:xfrm>
        <a:prstGeom prst="ellipse">
          <a:avLst/>
        </a:prstGeom>
        <a:solidFill>
          <a:schemeClr val="lt1">
            <a:hueOff val="0"/>
            <a:satOff val="0"/>
            <a:lumOff val="0"/>
            <a:alphaOff val="0"/>
          </a:schemeClr>
        </a:solidFill>
        <a:ln w="6350" cap="flat" cmpd="sng" algn="ctr">
          <a:solidFill>
            <a:schemeClr val="accent2">
              <a:hueOff val="-139687"/>
              <a:satOff val="-1610"/>
              <a:lumOff val="36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9A0670A-F3E5-46D6-9B63-8ABD53D01875}">
      <dsp:nvSpPr>
        <dsp:cNvPr id="0" name=""/>
        <dsp:cNvSpPr/>
      </dsp:nvSpPr>
      <dsp:spPr>
        <a:xfrm>
          <a:off x="631311" y="1014804"/>
          <a:ext cx="5025802" cy="289871"/>
        </a:xfrm>
        <a:prstGeom prst="rect">
          <a:avLst/>
        </a:prstGeom>
        <a:gradFill rotWithShape="0">
          <a:gsLst>
            <a:gs pos="0">
              <a:schemeClr val="accent2">
                <a:hueOff val="-279374"/>
                <a:satOff val="-3219"/>
                <a:lumOff val="720"/>
                <a:alphaOff val="0"/>
                <a:satMod val="103000"/>
                <a:lumMod val="102000"/>
                <a:tint val="94000"/>
              </a:schemeClr>
            </a:gs>
            <a:gs pos="50000">
              <a:schemeClr val="accent2">
                <a:hueOff val="-279374"/>
                <a:satOff val="-3219"/>
                <a:lumOff val="720"/>
                <a:alphaOff val="0"/>
                <a:satMod val="110000"/>
                <a:lumMod val="100000"/>
                <a:shade val="100000"/>
              </a:schemeClr>
            </a:gs>
            <a:gs pos="100000">
              <a:schemeClr val="accent2">
                <a:hueOff val="-279374"/>
                <a:satOff val="-3219"/>
                <a:lumOff val="72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5,123 mld lei </a:t>
          </a:r>
          <a:r>
            <a:rPr lang="ro-RO" sz="1200" b="0" kern="1200">
              <a:latin typeface="Calibri" panose="020F0502020204030204"/>
              <a:ea typeface="+mn-ea"/>
              <a:cs typeface="+mn-cs"/>
            </a:rPr>
            <a:t>profit net</a:t>
          </a:r>
        </a:p>
      </dsp:txBody>
      <dsp:txXfrm>
        <a:off x="631311" y="1014804"/>
        <a:ext cx="5025802" cy="289871"/>
      </dsp:txXfrm>
    </dsp:sp>
    <dsp:sp modelId="{F6CFF6F9-BA0B-4256-AA7A-BB583008056F}">
      <dsp:nvSpPr>
        <dsp:cNvPr id="0" name=""/>
        <dsp:cNvSpPr/>
      </dsp:nvSpPr>
      <dsp:spPr>
        <a:xfrm>
          <a:off x="450141" y="978570"/>
          <a:ext cx="362339" cy="362339"/>
        </a:xfrm>
        <a:prstGeom prst="ellipse">
          <a:avLst/>
        </a:prstGeom>
        <a:solidFill>
          <a:schemeClr val="lt1">
            <a:hueOff val="0"/>
            <a:satOff val="0"/>
            <a:lumOff val="0"/>
            <a:alphaOff val="0"/>
          </a:schemeClr>
        </a:solidFill>
        <a:ln w="6350" cap="flat" cmpd="sng" algn="ctr">
          <a:solidFill>
            <a:schemeClr val="accent2">
              <a:hueOff val="-279374"/>
              <a:satOff val="-3219"/>
              <a:lumOff val="72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262971D-94CE-4408-B1EA-933D6312EB26}">
      <dsp:nvSpPr>
        <dsp:cNvPr id="0" name=""/>
        <dsp:cNvSpPr/>
      </dsp:nvSpPr>
      <dsp:spPr>
        <a:xfrm>
          <a:off x="677241" y="1449866"/>
          <a:ext cx="4979871" cy="289871"/>
        </a:xfrm>
        <a:prstGeom prst="rect">
          <a:avLst/>
        </a:prstGeom>
        <a:gradFill rotWithShape="0">
          <a:gsLst>
            <a:gs pos="0">
              <a:schemeClr val="accent2">
                <a:hueOff val="-419062"/>
                <a:satOff val="-4829"/>
                <a:lumOff val="1079"/>
                <a:alphaOff val="0"/>
                <a:satMod val="103000"/>
                <a:lumMod val="102000"/>
                <a:tint val="94000"/>
              </a:schemeClr>
            </a:gs>
            <a:gs pos="50000">
              <a:schemeClr val="accent2">
                <a:hueOff val="-419062"/>
                <a:satOff val="-4829"/>
                <a:lumOff val="1079"/>
                <a:alphaOff val="0"/>
                <a:satMod val="110000"/>
                <a:lumMod val="100000"/>
                <a:shade val="100000"/>
              </a:schemeClr>
            </a:gs>
            <a:gs pos="100000">
              <a:schemeClr val="accent2">
                <a:hueOff val="-419062"/>
                <a:satOff val="-4829"/>
                <a:lumOff val="107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35,199 mld lei</a:t>
          </a:r>
          <a:r>
            <a:rPr lang="ro-RO" sz="1600" kern="1200">
              <a:latin typeface="Calibri" panose="020F0502020204030204"/>
              <a:ea typeface="+mn-ea"/>
              <a:cs typeface="+mn-cs"/>
            </a:rPr>
            <a:t> </a:t>
          </a:r>
          <a:r>
            <a:rPr lang="ro-RO" sz="1200" kern="1200">
              <a:latin typeface="Calibri" panose="020F0502020204030204"/>
              <a:ea typeface="+mn-ea"/>
              <a:cs typeface="+mn-cs"/>
            </a:rPr>
            <a:t>cifră de afaceri</a:t>
          </a:r>
        </a:p>
      </dsp:txBody>
      <dsp:txXfrm>
        <a:off x="677241" y="1449866"/>
        <a:ext cx="4979871" cy="289871"/>
      </dsp:txXfrm>
    </dsp:sp>
    <dsp:sp modelId="{27CD0F6A-2676-49B8-B503-546AF2F6FDA6}">
      <dsp:nvSpPr>
        <dsp:cNvPr id="0" name=""/>
        <dsp:cNvSpPr/>
      </dsp:nvSpPr>
      <dsp:spPr>
        <a:xfrm>
          <a:off x="496072" y="1413632"/>
          <a:ext cx="362339" cy="362339"/>
        </a:xfrm>
        <a:prstGeom prst="ellipse">
          <a:avLst/>
        </a:prstGeom>
        <a:solidFill>
          <a:schemeClr val="lt1">
            <a:hueOff val="0"/>
            <a:satOff val="0"/>
            <a:lumOff val="0"/>
            <a:alphaOff val="0"/>
          </a:schemeClr>
        </a:solidFill>
        <a:ln w="6350" cap="flat" cmpd="sng" algn="ctr">
          <a:solidFill>
            <a:schemeClr val="accent2">
              <a:hueOff val="-419062"/>
              <a:satOff val="-4829"/>
              <a:lumOff val="1079"/>
              <a:alphaOff val="0"/>
            </a:schemeClr>
          </a:solidFill>
          <a:prstDash val="solid"/>
          <a:miter lim="800000"/>
        </a:ln>
        <a:effectLst/>
      </dsp:spPr>
      <dsp:style>
        <a:lnRef idx="1">
          <a:scrgbClr r="0" g="0" b="0"/>
        </a:lnRef>
        <a:fillRef idx="1">
          <a:scrgbClr r="0" g="0" b="0"/>
        </a:fillRef>
        <a:effectRef idx="0">
          <a:scrgbClr r="0" g="0" b="0"/>
        </a:effectRef>
        <a:fontRef idx="minor"/>
      </dsp:style>
    </dsp:sp>
    <dsp:sp modelId="{E3435D32-7EC5-4F16-AC6A-0C971D6C32F4}">
      <dsp:nvSpPr>
        <dsp:cNvPr id="0" name=""/>
        <dsp:cNvSpPr/>
      </dsp:nvSpPr>
      <dsp:spPr>
        <a:xfrm>
          <a:off x="631311" y="1884928"/>
          <a:ext cx="5025802" cy="289871"/>
        </a:xfrm>
        <a:prstGeom prst="rect">
          <a:avLst/>
        </a:prstGeom>
        <a:gradFill rotWithShape="0">
          <a:gsLst>
            <a:gs pos="0">
              <a:schemeClr val="accent2">
                <a:hueOff val="-558749"/>
                <a:satOff val="-6439"/>
                <a:lumOff val="1439"/>
                <a:alphaOff val="0"/>
                <a:satMod val="103000"/>
                <a:lumMod val="102000"/>
                <a:tint val="94000"/>
              </a:schemeClr>
            </a:gs>
            <a:gs pos="50000">
              <a:schemeClr val="accent2">
                <a:hueOff val="-558749"/>
                <a:satOff val="-6439"/>
                <a:lumOff val="1439"/>
                <a:alphaOff val="0"/>
                <a:satMod val="110000"/>
                <a:lumMod val="100000"/>
                <a:shade val="100000"/>
              </a:schemeClr>
            </a:gs>
            <a:gs pos="100000">
              <a:schemeClr val="accent2">
                <a:hueOff val="-558749"/>
                <a:satOff val="-6439"/>
                <a:lumOff val="143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solidFill>
                <a:schemeClr val="bg1"/>
              </a:solidFill>
              <a:latin typeface="Calibri" panose="020F0502020204030204"/>
              <a:ea typeface="+mn-ea"/>
              <a:cs typeface="+mn-cs"/>
            </a:rPr>
            <a:t>2,633 mld lei </a:t>
          </a:r>
          <a:r>
            <a:rPr lang="ro-RO" sz="1200" kern="1200">
              <a:solidFill>
                <a:schemeClr val="bg1"/>
              </a:solidFill>
              <a:latin typeface="Calibri" panose="020F0502020204030204"/>
              <a:ea typeface="+mn-ea"/>
              <a:cs typeface="+mn-cs"/>
            </a:rPr>
            <a:t>dividende / vărsăminte cuvenite Statului din profitul net </a:t>
          </a:r>
        </a:p>
      </dsp:txBody>
      <dsp:txXfrm>
        <a:off x="631311" y="1884928"/>
        <a:ext cx="5025802" cy="289871"/>
      </dsp:txXfrm>
    </dsp:sp>
    <dsp:sp modelId="{64B6AF85-A6CA-4062-8E2C-94A1B0D6D628}">
      <dsp:nvSpPr>
        <dsp:cNvPr id="0" name=""/>
        <dsp:cNvSpPr/>
      </dsp:nvSpPr>
      <dsp:spPr>
        <a:xfrm>
          <a:off x="450141" y="1848695"/>
          <a:ext cx="362339" cy="362339"/>
        </a:xfrm>
        <a:prstGeom prst="ellipse">
          <a:avLst/>
        </a:prstGeom>
        <a:solidFill>
          <a:schemeClr val="lt1">
            <a:hueOff val="0"/>
            <a:satOff val="0"/>
            <a:lumOff val="0"/>
            <a:alphaOff val="0"/>
          </a:schemeClr>
        </a:solidFill>
        <a:ln w="6350" cap="flat" cmpd="sng" algn="ctr">
          <a:solidFill>
            <a:schemeClr val="accent2">
              <a:hueOff val="-558749"/>
              <a:satOff val="-6439"/>
              <a:lumOff val="1439"/>
              <a:alphaOff val="0"/>
            </a:schemeClr>
          </a:solidFill>
          <a:prstDash val="solid"/>
          <a:miter lim="800000"/>
        </a:ln>
        <a:effectLst/>
      </dsp:spPr>
      <dsp:style>
        <a:lnRef idx="1">
          <a:scrgbClr r="0" g="0" b="0"/>
        </a:lnRef>
        <a:fillRef idx="1">
          <a:scrgbClr r="0" g="0" b="0"/>
        </a:fillRef>
        <a:effectRef idx="0">
          <a:scrgbClr r="0" g="0" b="0"/>
        </a:effectRef>
        <a:fontRef idx="minor"/>
      </dsp:style>
    </dsp:sp>
    <dsp:sp modelId="{48285880-F6C1-4263-A357-E31CC580FFB7}">
      <dsp:nvSpPr>
        <dsp:cNvPr id="0" name=""/>
        <dsp:cNvSpPr/>
      </dsp:nvSpPr>
      <dsp:spPr>
        <a:xfrm>
          <a:off x="487460" y="2319672"/>
          <a:ext cx="5169653" cy="289871"/>
        </a:xfrm>
        <a:prstGeom prst="rect">
          <a:avLst/>
        </a:prstGeom>
        <a:gradFill rotWithShape="0">
          <a:gsLst>
            <a:gs pos="0">
              <a:schemeClr val="accent2">
                <a:hueOff val="-698436"/>
                <a:satOff val="-8048"/>
                <a:lumOff val="1799"/>
                <a:alphaOff val="0"/>
                <a:satMod val="103000"/>
                <a:lumMod val="102000"/>
                <a:tint val="94000"/>
              </a:schemeClr>
            </a:gs>
            <a:gs pos="50000">
              <a:schemeClr val="accent2">
                <a:hueOff val="-698436"/>
                <a:satOff val="-8048"/>
                <a:lumOff val="1799"/>
                <a:alphaOff val="0"/>
                <a:satMod val="110000"/>
                <a:lumMod val="100000"/>
                <a:shade val="100000"/>
              </a:schemeClr>
            </a:gs>
            <a:gs pos="100000">
              <a:schemeClr val="accent2">
                <a:hueOff val="-698436"/>
                <a:satOff val="-8048"/>
                <a:lumOff val="179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70,473 mld lei </a:t>
          </a:r>
          <a:r>
            <a:rPr lang="ro-RO" sz="1200" kern="1200">
              <a:latin typeface="Calibri" panose="020F0502020204030204"/>
              <a:ea typeface="+mn-ea"/>
              <a:cs typeface="+mn-cs"/>
            </a:rPr>
            <a:t>capitaluri proprii</a:t>
          </a:r>
        </a:p>
      </dsp:txBody>
      <dsp:txXfrm>
        <a:off x="487460" y="2319672"/>
        <a:ext cx="5169653" cy="289871"/>
      </dsp:txXfrm>
    </dsp:sp>
    <dsp:sp modelId="{1EE18EF5-B022-4A90-AE6A-18D0863915DA}">
      <dsp:nvSpPr>
        <dsp:cNvPr id="0" name=""/>
        <dsp:cNvSpPr/>
      </dsp:nvSpPr>
      <dsp:spPr>
        <a:xfrm>
          <a:off x="306290" y="2283438"/>
          <a:ext cx="362339" cy="362339"/>
        </a:xfrm>
        <a:prstGeom prst="ellipse">
          <a:avLst/>
        </a:prstGeom>
        <a:solidFill>
          <a:schemeClr val="lt1">
            <a:hueOff val="0"/>
            <a:satOff val="0"/>
            <a:lumOff val="0"/>
            <a:alphaOff val="0"/>
          </a:schemeClr>
        </a:solidFill>
        <a:ln w="6350" cap="flat" cmpd="sng" algn="ctr">
          <a:solidFill>
            <a:schemeClr val="accent2">
              <a:hueOff val="-698436"/>
              <a:satOff val="-8048"/>
              <a:lumOff val="1799"/>
              <a:alphaOff val="0"/>
            </a:schemeClr>
          </a:solidFill>
          <a:prstDash val="solid"/>
          <a:miter lim="800000"/>
        </a:ln>
        <a:effectLst/>
      </dsp:spPr>
      <dsp:style>
        <a:lnRef idx="1">
          <a:scrgbClr r="0" g="0" b="0"/>
        </a:lnRef>
        <a:fillRef idx="1">
          <a:scrgbClr r="0" g="0" b="0"/>
        </a:fillRef>
        <a:effectRef idx="0">
          <a:scrgbClr r="0" g="0" b="0"/>
        </a:effectRef>
        <a:fontRef idx="minor"/>
      </dsp:style>
    </dsp:sp>
    <dsp:sp modelId="{A0BC2784-0AB9-4498-AECE-0D8AB62DABA3}">
      <dsp:nvSpPr>
        <dsp:cNvPr id="0" name=""/>
        <dsp:cNvSpPr/>
      </dsp:nvSpPr>
      <dsp:spPr>
        <a:xfrm>
          <a:off x="224955" y="2754734"/>
          <a:ext cx="5432157" cy="289871"/>
        </a:xfrm>
        <a:prstGeom prst="rect">
          <a:avLst/>
        </a:prstGeom>
        <a:gradFill rotWithShape="0">
          <a:gsLst>
            <a:gs pos="0">
              <a:schemeClr val="accent2">
                <a:hueOff val="-838123"/>
                <a:satOff val="-9658"/>
                <a:lumOff val="2159"/>
                <a:alphaOff val="0"/>
                <a:satMod val="103000"/>
                <a:lumMod val="102000"/>
                <a:tint val="94000"/>
              </a:schemeClr>
            </a:gs>
            <a:gs pos="50000">
              <a:schemeClr val="accent2">
                <a:hueOff val="-838123"/>
                <a:satOff val="-9658"/>
                <a:lumOff val="2159"/>
                <a:alphaOff val="0"/>
                <a:satMod val="110000"/>
                <a:lumMod val="100000"/>
                <a:shade val="100000"/>
              </a:schemeClr>
            </a:gs>
            <a:gs pos="100000">
              <a:schemeClr val="accent2">
                <a:hueOff val="-838123"/>
                <a:satOff val="-9658"/>
                <a:lumOff val="21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0085"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173.421 persoane</a:t>
          </a:r>
          <a:r>
            <a:rPr lang="ro-RO" sz="1200" kern="1200">
              <a:latin typeface="Calibri" panose="020F0502020204030204"/>
              <a:ea typeface="+mn-ea"/>
              <a:cs typeface="+mn-cs"/>
            </a:rPr>
            <a:t> angajate</a:t>
          </a:r>
        </a:p>
      </dsp:txBody>
      <dsp:txXfrm>
        <a:off x="224955" y="2754734"/>
        <a:ext cx="5432157" cy="289871"/>
      </dsp:txXfrm>
    </dsp:sp>
    <dsp:sp modelId="{09A303F2-6FF2-4E22-88B3-2AA595918B92}">
      <dsp:nvSpPr>
        <dsp:cNvPr id="0" name=""/>
        <dsp:cNvSpPr/>
      </dsp:nvSpPr>
      <dsp:spPr>
        <a:xfrm>
          <a:off x="43786" y="2718500"/>
          <a:ext cx="362339" cy="362339"/>
        </a:xfrm>
        <a:prstGeom prst="ellipse">
          <a:avLst/>
        </a:prstGeom>
        <a:solidFill>
          <a:schemeClr val="lt1">
            <a:hueOff val="0"/>
            <a:satOff val="0"/>
            <a:lumOff val="0"/>
            <a:alphaOff val="0"/>
          </a:schemeClr>
        </a:solidFill>
        <a:ln w="6350" cap="flat" cmpd="sng" algn="ctr">
          <a:solidFill>
            <a:schemeClr val="accent2">
              <a:hueOff val="-838123"/>
              <a:satOff val="-9658"/>
              <a:lumOff val="2159"/>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70CDB-7E98-473D-BB09-0F6E2FE80167}">
      <dsp:nvSpPr>
        <dsp:cNvPr id="0" name=""/>
        <dsp:cNvSpPr/>
      </dsp:nvSpPr>
      <dsp:spPr>
        <a:xfrm>
          <a:off x="-3037035" y="-467657"/>
          <a:ext cx="3622855" cy="3622855"/>
        </a:xfrm>
        <a:prstGeom prst="blockArc">
          <a:avLst>
            <a:gd name="adj1" fmla="val 18900000"/>
            <a:gd name="adj2" fmla="val 2700000"/>
            <a:gd name="adj3" fmla="val 503"/>
          </a:avLst>
        </a:prstGeom>
        <a:noFill/>
        <a:ln w="6350" cap="flat" cmpd="sng" algn="ctr">
          <a:solidFill>
            <a:schemeClr val="accent2">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D2B913-3527-43FA-B5C4-2152EF50DDE4}">
      <dsp:nvSpPr>
        <dsp:cNvPr id="0" name=""/>
        <dsp:cNvSpPr/>
      </dsp:nvSpPr>
      <dsp:spPr>
        <a:xfrm>
          <a:off x="219988" y="141525"/>
          <a:ext cx="5447650" cy="282944"/>
        </a:xfrm>
        <a:prstGeom prst="rect">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4587"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1.2</a:t>
          </a:r>
          <a:r>
            <a:rPr lang="en-US" sz="1600" b="1" kern="1200">
              <a:latin typeface="Calibri" panose="020F0502020204030204"/>
              <a:ea typeface="+mn-ea"/>
              <a:cs typeface="+mn-cs"/>
            </a:rPr>
            <a:t>38</a:t>
          </a:r>
          <a:r>
            <a:rPr lang="ro-RO" sz="1600" b="1" kern="1200">
              <a:latin typeface="Calibri" panose="020F0502020204030204"/>
              <a:ea typeface="+mn-ea"/>
              <a:cs typeface="+mn-cs"/>
            </a:rPr>
            <a:t> întreprinderi publice locale active</a:t>
          </a:r>
        </a:p>
      </dsp:txBody>
      <dsp:txXfrm>
        <a:off x="219988" y="141525"/>
        <a:ext cx="5447650" cy="282944"/>
      </dsp:txXfrm>
    </dsp:sp>
    <dsp:sp modelId="{22102BE9-23BC-4EC7-8BDC-5DD1FF706786}">
      <dsp:nvSpPr>
        <dsp:cNvPr id="0" name=""/>
        <dsp:cNvSpPr/>
      </dsp:nvSpPr>
      <dsp:spPr>
        <a:xfrm>
          <a:off x="43148" y="106157"/>
          <a:ext cx="353680" cy="353680"/>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2CB99A3-F8AC-484A-A14B-CE40E477CF84}">
      <dsp:nvSpPr>
        <dsp:cNvPr id="0" name=""/>
        <dsp:cNvSpPr/>
      </dsp:nvSpPr>
      <dsp:spPr>
        <a:xfrm>
          <a:off x="538879" y="560744"/>
          <a:ext cx="5106544" cy="282944"/>
        </a:xfrm>
        <a:prstGeom prst="rect">
          <a:avLst/>
        </a:prstGeom>
        <a:gradFill rotWithShape="0">
          <a:gsLst>
            <a:gs pos="0">
              <a:schemeClr val="accent2">
                <a:alpha val="90000"/>
                <a:hueOff val="0"/>
                <a:satOff val="0"/>
                <a:lumOff val="0"/>
                <a:alphaOff val="-8000"/>
                <a:satMod val="103000"/>
                <a:lumMod val="102000"/>
                <a:tint val="94000"/>
              </a:schemeClr>
            </a:gs>
            <a:gs pos="50000">
              <a:schemeClr val="accent2">
                <a:alpha val="90000"/>
                <a:hueOff val="0"/>
                <a:satOff val="0"/>
                <a:lumOff val="0"/>
                <a:alphaOff val="-8000"/>
                <a:satMod val="110000"/>
                <a:lumMod val="100000"/>
                <a:shade val="100000"/>
              </a:schemeClr>
            </a:gs>
            <a:gs pos="100000">
              <a:schemeClr val="accent2">
                <a:alpha val="90000"/>
                <a:hueOff val="0"/>
                <a:satOff val="0"/>
                <a:lumOff val="0"/>
                <a:alphaOff val="-8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4587" tIns="40640" rIns="40640" bIns="40640" numCol="1" spcCol="1270" anchor="ctr" anchorCtr="0">
          <a:noAutofit/>
        </a:bodyPr>
        <a:lstStyle/>
        <a:p>
          <a:pPr lvl="0" algn="l" defTabSz="711200">
            <a:lnSpc>
              <a:spcPct val="90000"/>
            </a:lnSpc>
            <a:spcBef>
              <a:spcPct val="0"/>
            </a:spcBef>
            <a:spcAft>
              <a:spcPct val="35000"/>
            </a:spcAft>
          </a:pPr>
          <a:r>
            <a:rPr lang="en-US" sz="1600" b="1" kern="1200">
              <a:latin typeface="Calibri" panose="020F0502020204030204"/>
              <a:ea typeface="+mn-ea"/>
              <a:cs typeface="+mn-cs"/>
            </a:rPr>
            <a:t>5</a:t>
          </a:r>
          <a:r>
            <a:rPr lang="ro-RO" sz="1600" b="1" kern="1200">
              <a:latin typeface="Calibri" panose="020F0502020204030204"/>
              <a:ea typeface="+mn-ea"/>
              <a:cs typeface="+mn-cs"/>
            </a:rPr>
            <a:t>,263 mld lei </a:t>
          </a:r>
          <a:r>
            <a:rPr lang="ro-RO" sz="1200" kern="1200">
              <a:latin typeface="Calibri" panose="020F0502020204030204"/>
              <a:ea typeface="+mn-ea"/>
              <a:cs typeface="+mn-cs"/>
            </a:rPr>
            <a:t>participații deținute de autoritățile publice tutelare locale</a:t>
          </a:r>
        </a:p>
      </dsp:txBody>
      <dsp:txXfrm>
        <a:off x="538879" y="560744"/>
        <a:ext cx="5106544" cy="282944"/>
      </dsp:txXfrm>
    </dsp:sp>
    <dsp:sp modelId="{5E777545-65F5-4C16-A49F-18F4C64B0252}">
      <dsp:nvSpPr>
        <dsp:cNvPr id="0" name=""/>
        <dsp:cNvSpPr/>
      </dsp:nvSpPr>
      <dsp:spPr>
        <a:xfrm>
          <a:off x="275889" y="530520"/>
          <a:ext cx="353680" cy="353680"/>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8000"/>
            </a:schemeClr>
          </a:solidFill>
          <a:prstDash val="solid"/>
          <a:miter lim="800000"/>
        </a:ln>
        <a:effectLst/>
      </dsp:spPr>
      <dsp:style>
        <a:lnRef idx="1">
          <a:scrgbClr r="0" g="0" b="0"/>
        </a:lnRef>
        <a:fillRef idx="1">
          <a:scrgbClr r="0" g="0" b="0"/>
        </a:fillRef>
        <a:effectRef idx="0">
          <a:scrgbClr r="0" g="0" b="0"/>
        </a:effectRef>
        <a:fontRef idx="minor"/>
      </dsp:style>
    </dsp:sp>
    <dsp:sp modelId="{B9A0670A-F3E5-46D6-9B63-8ABD53D01875}">
      <dsp:nvSpPr>
        <dsp:cNvPr id="0" name=""/>
        <dsp:cNvSpPr/>
      </dsp:nvSpPr>
      <dsp:spPr>
        <a:xfrm>
          <a:off x="559155" y="990251"/>
          <a:ext cx="5108483" cy="282944"/>
        </a:xfrm>
        <a:prstGeom prst="rect">
          <a:avLst/>
        </a:prstGeom>
        <a:gradFill rotWithShape="0">
          <a:gsLst>
            <a:gs pos="0">
              <a:schemeClr val="accent2">
                <a:alpha val="90000"/>
                <a:hueOff val="0"/>
                <a:satOff val="0"/>
                <a:lumOff val="0"/>
                <a:alphaOff val="-16000"/>
                <a:satMod val="103000"/>
                <a:lumMod val="102000"/>
                <a:tint val="94000"/>
              </a:schemeClr>
            </a:gs>
            <a:gs pos="50000">
              <a:schemeClr val="accent2">
                <a:alpha val="90000"/>
                <a:hueOff val="0"/>
                <a:satOff val="0"/>
                <a:lumOff val="0"/>
                <a:alphaOff val="-16000"/>
                <a:satMod val="110000"/>
                <a:lumMod val="100000"/>
                <a:shade val="100000"/>
              </a:schemeClr>
            </a:gs>
            <a:gs pos="100000">
              <a:schemeClr val="accent2">
                <a:alpha val="90000"/>
                <a:hueOff val="0"/>
                <a:satOff val="0"/>
                <a:lumOff val="0"/>
                <a:alphaOff val="-16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4587"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0,</a:t>
          </a:r>
          <a:r>
            <a:rPr lang="en-US" sz="1600" b="1" kern="1200">
              <a:latin typeface="Calibri" panose="020F0502020204030204"/>
              <a:ea typeface="+mn-ea"/>
              <a:cs typeface="+mn-cs"/>
            </a:rPr>
            <a:t>436</a:t>
          </a:r>
          <a:r>
            <a:rPr lang="ro-RO" sz="1600" b="1" kern="1200">
              <a:latin typeface="Calibri" panose="020F0502020204030204"/>
              <a:ea typeface="+mn-ea"/>
              <a:cs typeface="+mn-cs"/>
            </a:rPr>
            <a:t> mld lei </a:t>
          </a:r>
          <a:r>
            <a:rPr lang="ro-RO" sz="1200" b="0" kern="1200">
              <a:latin typeface="Calibri" panose="020F0502020204030204"/>
              <a:ea typeface="+mn-ea"/>
              <a:cs typeface="+mn-cs"/>
            </a:rPr>
            <a:t>profit net</a:t>
          </a:r>
        </a:p>
      </dsp:txBody>
      <dsp:txXfrm>
        <a:off x="559155" y="990251"/>
        <a:ext cx="5108483" cy="282944"/>
      </dsp:txXfrm>
    </dsp:sp>
    <dsp:sp modelId="{F6CFF6F9-BA0B-4256-AA7A-BB583008056F}">
      <dsp:nvSpPr>
        <dsp:cNvPr id="0" name=""/>
        <dsp:cNvSpPr/>
      </dsp:nvSpPr>
      <dsp:spPr>
        <a:xfrm>
          <a:off x="382315" y="954883"/>
          <a:ext cx="353680" cy="353680"/>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16000"/>
            </a:schemeClr>
          </a:solidFill>
          <a:prstDash val="solid"/>
          <a:miter lim="800000"/>
        </a:ln>
        <a:effectLst/>
      </dsp:spPr>
      <dsp:style>
        <a:lnRef idx="1">
          <a:scrgbClr r="0" g="0" b="0"/>
        </a:lnRef>
        <a:fillRef idx="1">
          <a:scrgbClr r="0" g="0" b="0"/>
        </a:fillRef>
        <a:effectRef idx="0">
          <a:scrgbClr r="0" g="0" b="0"/>
        </a:effectRef>
        <a:fontRef idx="minor"/>
      </dsp:style>
    </dsp:sp>
    <dsp:sp modelId="{B262971D-94CE-4408-B1EA-933D6312EB26}">
      <dsp:nvSpPr>
        <dsp:cNvPr id="0" name=""/>
        <dsp:cNvSpPr/>
      </dsp:nvSpPr>
      <dsp:spPr>
        <a:xfrm>
          <a:off x="559155" y="1414345"/>
          <a:ext cx="5108483" cy="282944"/>
        </a:xfrm>
        <a:prstGeom prst="rect">
          <a:avLst/>
        </a:prstGeom>
        <a:gradFill rotWithShape="0">
          <a:gsLst>
            <a:gs pos="0">
              <a:schemeClr val="accent2">
                <a:alpha val="90000"/>
                <a:hueOff val="0"/>
                <a:satOff val="0"/>
                <a:lumOff val="0"/>
                <a:alphaOff val="-24000"/>
                <a:satMod val="103000"/>
                <a:lumMod val="102000"/>
                <a:tint val="94000"/>
              </a:schemeClr>
            </a:gs>
            <a:gs pos="50000">
              <a:schemeClr val="accent2">
                <a:alpha val="90000"/>
                <a:hueOff val="0"/>
                <a:satOff val="0"/>
                <a:lumOff val="0"/>
                <a:alphaOff val="-24000"/>
                <a:satMod val="110000"/>
                <a:lumMod val="100000"/>
                <a:shade val="100000"/>
              </a:schemeClr>
            </a:gs>
            <a:gs pos="100000">
              <a:schemeClr val="accent2">
                <a:alpha val="90000"/>
                <a:hueOff val="0"/>
                <a:satOff val="0"/>
                <a:lumOff val="0"/>
                <a:alphaOff val="-24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4587" tIns="40640" rIns="40640" bIns="40640" numCol="1" spcCol="1270" anchor="ctr" anchorCtr="0">
          <a:noAutofit/>
        </a:bodyPr>
        <a:lstStyle/>
        <a:p>
          <a:pPr lvl="0" algn="l" defTabSz="711200">
            <a:lnSpc>
              <a:spcPct val="90000"/>
            </a:lnSpc>
            <a:spcBef>
              <a:spcPct val="0"/>
            </a:spcBef>
            <a:spcAft>
              <a:spcPct val="35000"/>
            </a:spcAft>
          </a:pPr>
          <a:r>
            <a:rPr lang="en-US" sz="1600" b="1" kern="1200">
              <a:latin typeface="Calibri" panose="020F0502020204030204"/>
              <a:ea typeface="+mn-ea"/>
              <a:cs typeface="+mn-cs"/>
            </a:rPr>
            <a:t>12</a:t>
          </a:r>
          <a:r>
            <a:rPr lang="ro-RO" sz="1600" b="1" kern="1200">
              <a:latin typeface="Calibri" panose="020F0502020204030204"/>
              <a:ea typeface="+mn-ea"/>
              <a:cs typeface="+mn-cs"/>
            </a:rPr>
            <a:t>,</a:t>
          </a:r>
          <a:r>
            <a:rPr lang="en-US" sz="1600" b="1" kern="1200">
              <a:latin typeface="Calibri" panose="020F0502020204030204"/>
              <a:ea typeface="+mn-ea"/>
              <a:cs typeface="+mn-cs"/>
            </a:rPr>
            <a:t>208</a:t>
          </a:r>
          <a:r>
            <a:rPr lang="ro-RO" sz="1600" b="1" kern="1200">
              <a:latin typeface="Calibri" panose="020F0502020204030204"/>
              <a:ea typeface="+mn-ea"/>
              <a:cs typeface="+mn-cs"/>
            </a:rPr>
            <a:t> mld lei</a:t>
          </a:r>
          <a:r>
            <a:rPr lang="ro-RO" sz="1600" kern="1200">
              <a:latin typeface="Calibri" panose="020F0502020204030204"/>
              <a:ea typeface="+mn-ea"/>
              <a:cs typeface="+mn-cs"/>
            </a:rPr>
            <a:t> </a:t>
          </a:r>
          <a:r>
            <a:rPr lang="ro-RO" sz="1200" kern="1200">
              <a:latin typeface="Calibri" panose="020F0502020204030204"/>
              <a:ea typeface="+mn-ea"/>
              <a:cs typeface="+mn-cs"/>
            </a:rPr>
            <a:t>cifră de afaceri</a:t>
          </a:r>
        </a:p>
      </dsp:txBody>
      <dsp:txXfrm>
        <a:off x="559155" y="1414345"/>
        <a:ext cx="5108483" cy="282944"/>
      </dsp:txXfrm>
    </dsp:sp>
    <dsp:sp modelId="{27CD0F6A-2676-49B8-B503-546AF2F6FDA6}">
      <dsp:nvSpPr>
        <dsp:cNvPr id="0" name=""/>
        <dsp:cNvSpPr/>
      </dsp:nvSpPr>
      <dsp:spPr>
        <a:xfrm>
          <a:off x="382315" y="1378977"/>
          <a:ext cx="353680" cy="353680"/>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24000"/>
            </a:schemeClr>
          </a:solidFill>
          <a:prstDash val="solid"/>
          <a:miter lim="800000"/>
        </a:ln>
        <a:effectLst/>
      </dsp:spPr>
      <dsp:style>
        <a:lnRef idx="1">
          <a:scrgbClr r="0" g="0" b="0"/>
        </a:lnRef>
        <a:fillRef idx="1">
          <a:scrgbClr r="0" g="0" b="0"/>
        </a:fillRef>
        <a:effectRef idx="0">
          <a:scrgbClr r="0" g="0" b="0"/>
        </a:effectRef>
        <a:fontRef idx="minor"/>
      </dsp:style>
    </dsp:sp>
    <dsp:sp modelId="{E3435D32-7EC5-4F16-AC6A-0C971D6C32F4}">
      <dsp:nvSpPr>
        <dsp:cNvPr id="0" name=""/>
        <dsp:cNvSpPr/>
      </dsp:nvSpPr>
      <dsp:spPr>
        <a:xfrm>
          <a:off x="452729" y="1838708"/>
          <a:ext cx="5214909" cy="282944"/>
        </a:xfrm>
        <a:prstGeom prst="rect">
          <a:avLst/>
        </a:prstGeom>
        <a:gradFill rotWithShape="0">
          <a:gsLst>
            <a:gs pos="0">
              <a:schemeClr val="accent2">
                <a:alpha val="90000"/>
                <a:hueOff val="0"/>
                <a:satOff val="0"/>
                <a:lumOff val="0"/>
                <a:alphaOff val="-32000"/>
                <a:satMod val="103000"/>
                <a:lumMod val="102000"/>
                <a:tint val="94000"/>
              </a:schemeClr>
            </a:gs>
            <a:gs pos="50000">
              <a:schemeClr val="accent2">
                <a:alpha val="90000"/>
                <a:hueOff val="0"/>
                <a:satOff val="0"/>
                <a:lumOff val="0"/>
                <a:alphaOff val="-32000"/>
                <a:satMod val="110000"/>
                <a:lumMod val="100000"/>
                <a:shade val="100000"/>
              </a:schemeClr>
            </a:gs>
            <a:gs pos="100000">
              <a:schemeClr val="accent2">
                <a:alpha val="90000"/>
                <a:hueOff val="0"/>
                <a:satOff val="0"/>
                <a:lumOff val="0"/>
                <a:alphaOff val="-32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4587" tIns="40640" rIns="40640" bIns="40640" numCol="1" spcCol="1270" anchor="ctr" anchorCtr="0">
          <a:noAutofit/>
        </a:bodyPr>
        <a:lstStyle/>
        <a:p>
          <a:pPr lvl="0" algn="l" defTabSz="711200">
            <a:lnSpc>
              <a:spcPct val="90000"/>
            </a:lnSpc>
            <a:spcBef>
              <a:spcPct val="0"/>
            </a:spcBef>
            <a:spcAft>
              <a:spcPct val="35000"/>
            </a:spcAft>
          </a:pPr>
          <a:r>
            <a:rPr lang="ro-RO" sz="1600" b="1" kern="1200">
              <a:latin typeface="Calibri" panose="020F0502020204030204"/>
              <a:ea typeface="+mn-ea"/>
              <a:cs typeface="+mn-cs"/>
            </a:rPr>
            <a:t>0,06</a:t>
          </a:r>
          <a:r>
            <a:rPr lang="en-US" sz="1600" b="1" kern="1200">
              <a:latin typeface="Calibri" panose="020F0502020204030204"/>
              <a:ea typeface="+mn-ea"/>
              <a:cs typeface="+mn-cs"/>
            </a:rPr>
            <a:t>3</a:t>
          </a:r>
          <a:r>
            <a:rPr lang="ro-RO" sz="1600" b="1" kern="1200">
              <a:latin typeface="Calibri" panose="020F0502020204030204"/>
              <a:ea typeface="+mn-ea"/>
              <a:cs typeface="+mn-cs"/>
            </a:rPr>
            <a:t> mld lei </a:t>
          </a:r>
          <a:r>
            <a:rPr lang="ro-RO" sz="1200" kern="1200">
              <a:latin typeface="Calibri" panose="020F0502020204030204"/>
              <a:ea typeface="+mn-ea"/>
              <a:cs typeface="+mn-cs"/>
            </a:rPr>
            <a:t>dividende / vărsăminte cuvenite bugetelor locale</a:t>
          </a:r>
        </a:p>
      </dsp:txBody>
      <dsp:txXfrm>
        <a:off x="452729" y="1838708"/>
        <a:ext cx="5214909" cy="282944"/>
      </dsp:txXfrm>
    </dsp:sp>
    <dsp:sp modelId="{64B6AF85-A6CA-4062-8E2C-94A1B0D6D628}">
      <dsp:nvSpPr>
        <dsp:cNvPr id="0" name=""/>
        <dsp:cNvSpPr/>
      </dsp:nvSpPr>
      <dsp:spPr>
        <a:xfrm>
          <a:off x="275889" y="1803340"/>
          <a:ext cx="353680" cy="353680"/>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32000"/>
            </a:schemeClr>
          </a:solidFill>
          <a:prstDash val="solid"/>
          <a:miter lim="800000"/>
        </a:ln>
        <a:effectLst/>
      </dsp:spPr>
      <dsp:style>
        <a:lnRef idx="1">
          <a:scrgbClr r="0" g="0" b="0"/>
        </a:lnRef>
        <a:fillRef idx="1">
          <a:scrgbClr r="0" g="0" b="0"/>
        </a:fillRef>
        <a:effectRef idx="0">
          <a:scrgbClr r="0" g="0" b="0"/>
        </a:effectRef>
        <a:fontRef idx="minor"/>
      </dsp:style>
    </dsp:sp>
    <dsp:sp modelId="{AF8165FA-F986-4291-94D0-B7CDD5DE1F4E}">
      <dsp:nvSpPr>
        <dsp:cNvPr id="0" name=""/>
        <dsp:cNvSpPr/>
      </dsp:nvSpPr>
      <dsp:spPr>
        <a:xfrm>
          <a:off x="219988" y="2263070"/>
          <a:ext cx="5447650" cy="282944"/>
        </a:xfrm>
        <a:prstGeom prst="rect">
          <a:avLst/>
        </a:prstGeom>
        <a:gradFill rotWithShape="0">
          <a:gsLst>
            <a:gs pos="0">
              <a:schemeClr val="accent2">
                <a:alpha val="90000"/>
                <a:hueOff val="0"/>
                <a:satOff val="0"/>
                <a:lumOff val="0"/>
                <a:alphaOff val="-40000"/>
                <a:satMod val="103000"/>
                <a:lumMod val="102000"/>
                <a:tint val="94000"/>
              </a:schemeClr>
            </a:gs>
            <a:gs pos="50000">
              <a:schemeClr val="accent2">
                <a:alpha val="90000"/>
                <a:hueOff val="0"/>
                <a:satOff val="0"/>
                <a:lumOff val="0"/>
                <a:alphaOff val="-40000"/>
                <a:satMod val="110000"/>
                <a:lumMod val="100000"/>
                <a:shade val="100000"/>
              </a:schemeClr>
            </a:gs>
            <a:gs pos="100000">
              <a:schemeClr val="accent2">
                <a:alpha val="90000"/>
                <a:hueOff val="0"/>
                <a:satOff val="0"/>
                <a:lumOff val="0"/>
                <a:alphaOff val="-40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4587" tIns="40640" rIns="40640" bIns="40640" numCol="1" spcCol="1270" anchor="ctr" anchorCtr="0">
          <a:noAutofit/>
        </a:bodyPr>
        <a:lstStyle/>
        <a:p>
          <a:pPr lvl="0" algn="l" defTabSz="711200">
            <a:lnSpc>
              <a:spcPct val="90000"/>
            </a:lnSpc>
            <a:spcBef>
              <a:spcPct val="0"/>
            </a:spcBef>
            <a:spcAft>
              <a:spcPct val="35000"/>
            </a:spcAft>
          </a:pPr>
          <a:r>
            <a:rPr lang="en-US" sz="1600" b="1" kern="1200">
              <a:latin typeface="Calibri" panose="020F0502020204030204"/>
              <a:ea typeface="+mn-ea"/>
              <a:cs typeface="+mn-cs"/>
            </a:rPr>
            <a:t>101</a:t>
          </a:r>
          <a:r>
            <a:rPr lang="ro-RO" sz="1600" b="1" kern="1200">
              <a:latin typeface="Calibri" panose="020F0502020204030204"/>
              <a:ea typeface="+mn-ea"/>
              <a:cs typeface="+mn-cs"/>
            </a:rPr>
            <a:t>.</a:t>
          </a:r>
          <a:r>
            <a:rPr lang="en-US" sz="1600" b="1" kern="1200">
              <a:latin typeface="Calibri" panose="020F0502020204030204"/>
              <a:ea typeface="+mn-ea"/>
              <a:cs typeface="+mn-cs"/>
            </a:rPr>
            <a:t>447</a:t>
          </a:r>
          <a:r>
            <a:rPr lang="ro-RO" sz="1600" b="1" kern="1200">
              <a:latin typeface="Calibri" panose="020F0502020204030204"/>
              <a:ea typeface="+mn-ea"/>
              <a:cs typeface="+mn-cs"/>
            </a:rPr>
            <a:t> persoane</a:t>
          </a:r>
          <a:r>
            <a:rPr lang="ro-RO" sz="1200" kern="1200">
              <a:latin typeface="Calibri" panose="020F0502020204030204"/>
              <a:ea typeface="+mn-ea"/>
              <a:cs typeface="+mn-cs"/>
            </a:rPr>
            <a:t> angajate</a:t>
          </a:r>
        </a:p>
      </dsp:txBody>
      <dsp:txXfrm>
        <a:off x="219988" y="2263070"/>
        <a:ext cx="5447650" cy="282944"/>
      </dsp:txXfrm>
    </dsp:sp>
    <dsp:sp modelId="{09A303F2-6FF2-4E22-88B3-2AA595918B92}">
      <dsp:nvSpPr>
        <dsp:cNvPr id="0" name=""/>
        <dsp:cNvSpPr/>
      </dsp:nvSpPr>
      <dsp:spPr>
        <a:xfrm>
          <a:off x="43148" y="2227702"/>
          <a:ext cx="353680" cy="353680"/>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0.03478</cdr:x>
      <cdr:y>0.01303</cdr:y>
    </cdr:from>
    <cdr:to>
      <cdr:x>0.72236</cdr:x>
      <cdr:y>0.13355</cdr:y>
    </cdr:to>
    <cdr:sp macro="" textlink="">
      <cdr:nvSpPr>
        <cdr:cNvPr id="2" name="TextBox 1"/>
        <cdr:cNvSpPr txBox="1"/>
      </cdr:nvSpPr>
      <cdr:spPr>
        <a:xfrm xmlns:a="http://schemas.openxmlformats.org/drawingml/2006/main">
          <a:off x="197068" y="52552"/>
          <a:ext cx="3895397" cy="48610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t>Stadiul</a:t>
          </a:r>
          <a:r>
            <a:rPr lang="en-US" sz="800" baseline="0"/>
            <a:t> </a:t>
          </a:r>
          <a:r>
            <a:rPr lang="ro-RO" sz="800" baseline="0"/>
            <a:t>îndeplinirii obligațiilor de raportare, de către APTC, cf </a:t>
          </a:r>
          <a:r>
            <a:rPr lang="en-US" sz="800" baseline="0"/>
            <a:t>O.M.F.P. nr. </a:t>
          </a:r>
          <a:r>
            <a:rPr lang="ro-RO" sz="800" baseline="0"/>
            <a:t>1952</a:t>
          </a:r>
          <a:r>
            <a:rPr lang="en-US" sz="800" baseline="0"/>
            <a:t>/201</a:t>
          </a:r>
          <a:r>
            <a:rPr lang="ro-RO" sz="800" baseline="0"/>
            <a:t>8</a:t>
          </a:r>
          <a:endParaRPr lang="en-US" sz="800"/>
        </a:p>
      </cdr:txBody>
    </cdr:sp>
  </cdr:relSizeAnchor>
  <cdr:relSizeAnchor xmlns:cdr="http://schemas.openxmlformats.org/drawingml/2006/chartDrawing">
    <cdr:from>
      <cdr:x>0.0371</cdr:x>
      <cdr:y>0.9267</cdr:y>
    </cdr:from>
    <cdr:to>
      <cdr:x>0.4522</cdr:x>
      <cdr:y>0.98208</cdr:y>
    </cdr:to>
    <cdr:sp macro="" textlink="">
      <cdr:nvSpPr>
        <cdr:cNvPr id="3" name="TextBox 2"/>
        <cdr:cNvSpPr txBox="1"/>
      </cdr:nvSpPr>
      <cdr:spPr>
        <a:xfrm xmlns:a="http://schemas.openxmlformats.org/drawingml/2006/main">
          <a:off x="210206" y="3737742"/>
          <a:ext cx="2351690" cy="22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700" b="1" i="1"/>
            <a:t>Sursă</a:t>
          </a:r>
          <a:r>
            <a:rPr lang="en-US" sz="700"/>
            <a:t>:</a:t>
          </a:r>
          <a:r>
            <a:rPr lang="ro-RO" sz="700"/>
            <a:t> calcule proprii MFP pe baza raportării</a:t>
          </a:r>
          <a:r>
            <a:rPr lang="ro-RO" sz="700" baseline="0"/>
            <a:t> de catre APTC</a:t>
          </a:r>
          <a:endParaRPr lang="en-US" sz="600"/>
        </a:p>
      </cdr:txBody>
    </cdr:sp>
  </cdr:relSizeAnchor>
</c:userShapes>
</file>

<file path=word/drawings/drawing2.xml><?xml version="1.0" encoding="utf-8"?>
<c:userShapes xmlns:c="http://schemas.openxmlformats.org/drawingml/2006/chart">
  <cdr:relSizeAnchor xmlns:cdr="http://schemas.openxmlformats.org/drawingml/2006/chartDrawing">
    <cdr:from>
      <cdr:x>0.02563</cdr:x>
      <cdr:y>0.01172</cdr:y>
    </cdr:from>
    <cdr:to>
      <cdr:x>0.97648</cdr:x>
      <cdr:y>0.18923</cdr:y>
    </cdr:to>
    <cdr:sp macro="" textlink="">
      <cdr:nvSpPr>
        <cdr:cNvPr id="2" name="TextBox 1"/>
        <cdr:cNvSpPr txBox="1"/>
      </cdr:nvSpPr>
      <cdr:spPr>
        <a:xfrm xmlns:a="http://schemas.openxmlformats.org/drawingml/2006/main">
          <a:off x="147638" y="34604"/>
          <a:ext cx="5476875" cy="5239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tx1">
                  <a:lumMod val="65000"/>
                  <a:lumOff val="35000"/>
                </a:schemeClr>
              </a:solidFill>
            </a:rPr>
            <a:t>Stadiul</a:t>
          </a:r>
          <a:r>
            <a:rPr lang="en-US" sz="800" baseline="0">
              <a:solidFill>
                <a:schemeClr val="tx1">
                  <a:lumMod val="65000"/>
                  <a:lumOff val="35000"/>
                </a:schemeClr>
              </a:solidFill>
            </a:rPr>
            <a:t> </a:t>
          </a:r>
          <a:r>
            <a:rPr lang="ro-RO" sz="800" baseline="0">
              <a:solidFill>
                <a:schemeClr val="tx1">
                  <a:lumMod val="65000"/>
                  <a:lumOff val="35000"/>
                </a:schemeClr>
              </a:solidFill>
            </a:rPr>
            <a:t>raportării, în funcție de tipul ÎP</a:t>
          </a:r>
          <a:r>
            <a:rPr lang="en-US" sz="800" baseline="0">
              <a:solidFill>
                <a:schemeClr val="tx1">
                  <a:lumMod val="65000"/>
                  <a:lumOff val="35000"/>
                </a:schemeClr>
              </a:solidFill>
            </a:rPr>
            <a:t>C</a:t>
          </a:r>
          <a:endParaRPr lang="en-US" sz="800">
            <a:solidFill>
              <a:schemeClr val="tx1">
                <a:lumMod val="65000"/>
                <a:lumOff val="35000"/>
              </a:schemeClr>
            </a:solidFill>
          </a:endParaRPr>
        </a:p>
      </cdr:txBody>
    </cdr:sp>
  </cdr:relSizeAnchor>
  <cdr:relSizeAnchor xmlns:cdr="http://schemas.openxmlformats.org/drawingml/2006/chartDrawing">
    <cdr:from>
      <cdr:x>0</cdr:x>
      <cdr:y>0.91685</cdr:y>
    </cdr:from>
    <cdr:to>
      <cdr:x>0.6565</cdr:x>
      <cdr:y>0.97044</cdr:y>
    </cdr:to>
    <cdr:sp macro="" textlink="">
      <cdr:nvSpPr>
        <cdr:cNvPr id="3" name="TextBox 2"/>
        <cdr:cNvSpPr txBox="1"/>
      </cdr:nvSpPr>
      <cdr:spPr>
        <a:xfrm xmlns:a="http://schemas.openxmlformats.org/drawingml/2006/main">
          <a:off x="0" y="2706547"/>
          <a:ext cx="3781425" cy="158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700" b="1">
              <a:solidFill>
                <a:schemeClr val="tx1">
                  <a:lumMod val="65000"/>
                  <a:lumOff val="35000"/>
                </a:schemeClr>
              </a:solidFill>
            </a:rPr>
            <a:t>Sursa</a:t>
          </a:r>
          <a:r>
            <a:rPr lang="en-US" sz="700" b="1">
              <a:solidFill>
                <a:schemeClr val="tx1">
                  <a:lumMod val="65000"/>
                  <a:lumOff val="35000"/>
                </a:schemeClr>
              </a:solidFill>
            </a:rPr>
            <a:t>:</a:t>
          </a:r>
          <a:r>
            <a:rPr lang="en-US" sz="700" b="1" baseline="0">
              <a:solidFill>
                <a:schemeClr val="tx1">
                  <a:lumMod val="65000"/>
                  <a:lumOff val="35000"/>
                </a:schemeClr>
              </a:solidFill>
            </a:rPr>
            <a:t> </a:t>
          </a:r>
          <a:r>
            <a:rPr lang="en-US" sz="700" baseline="0">
              <a:solidFill>
                <a:schemeClr val="tx1">
                  <a:lumMod val="65000"/>
                  <a:lumOff val="35000"/>
                </a:schemeClr>
              </a:solidFill>
            </a:rPr>
            <a:t>calcule proprii MF pe baza raport</a:t>
          </a:r>
          <a:r>
            <a:rPr lang="ro-RO" sz="700" baseline="0">
              <a:solidFill>
                <a:schemeClr val="tx1">
                  <a:lumMod val="65000"/>
                  <a:lumOff val="35000"/>
                </a:schemeClr>
              </a:solidFill>
            </a:rPr>
            <a:t>ărilor cf. OMFP nr.</a:t>
          </a:r>
          <a:r>
            <a:rPr lang="en-US" sz="700" baseline="0">
              <a:solidFill>
                <a:schemeClr val="tx1">
                  <a:lumMod val="65000"/>
                  <a:lumOff val="35000"/>
                </a:schemeClr>
              </a:solidFill>
            </a:rPr>
            <a:t>1952</a:t>
          </a:r>
          <a:r>
            <a:rPr lang="ro-RO" sz="700" baseline="0">
              <a:solidFill>
                <a:schemeClr val="tx1">
                  <a:lumMod val="65000"/>
                  <a:lumOff val="35000"/>
                </a:schemeClr>
              </a:solidFill>
            </a:rPr>
            <a:t>/201</a:t>
          </a:r>
          <a:r>
            <a:rPr lang="en-US" sz="700" baseline="0">
              <a:solidFill>
                <a:schemeClr val="tx1">
                  <a:lumMod val="65000"/>
                  <a:lumOff val="35000"/>
                </a:schemeClr>
              </a:solidFill>
            </a:rPr>
            <a:t>8</a:t>
          </a:r>
          <a:endParaRPr lang="en-US" sz="700">
            <a:solidFill>
              <a:schemeClr val="tx1">
                <a:lumMod val="65000"/>
                <a:lumOff val="3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0.04713</cdr:x>
      <cdr:y>0.01215</cdr:y>
    </cdr:from>
    <cdr:to>
      <cdr:x>0.54488</cdr:x>
      <cdr:y>0.1684</cdr:y>
    </cdr:to>
    <cdr:sp macro="" textlink="">
      <cdr:nvSpPr>
        <cdr:cNvPr id="2" name="TextBox 1"/>
        <cdr:cNvSpPr txBox="1"/>
      </cdr:nvSpPr>
      <cdr:spPr>
        <a:xfrm xmlns:a="http://schemas.openxmlformats.org/drawingml/2006/main">
          <a:off x="271462" y="33338"/>
          <a:ext cx="28670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b="1" baseline="0">
            <a:solidFill>
              <a:schemeClr val="accent1"/>
            </a:solidFill>
          </a:endParaRPr>
        </a:p>
        <a:p xmlns:a="http://schemas.openxmlformats.org/drawingml/2006/main">
          <a:r>
            <a:rPr lang="en-US" sz="800" baseline="0"/>
            <a:t>Maniera </a:t>
          </a:r>
          <a:r>
            <a:rPr lang="ro-RO" sz="800" baseline="0"/>
            <a:t>în care se desfășoară selecția</a:t>
          </a:r>
        </a:p>
        <a:p xmlns:a="http://schemas.openxmlformats.org/drawingml/2006/main">
          <a:endParaRPr lang="en-US" sz="1100"/>
        </a:p>
      </cdr:txBody>
    </cdr:sp>
  </cdr:relSizeAnchor>
  <cdr:relSizeAnchor xmlns:cdr="http://schemas.openxmlformats.org/drawingml/2006/chartDrawing">
    <cdr:from>
      <cdr:x>0.02729</cdr:x>
      <cdr:y>0.87674</cdr:y>
    </cdr:from>
    <cdr:to>
      <cdr:x>0.52999</cdr:x>
      <cdr:y>0.99479</cdr:y>
    </cdr:to>
    <cdr:sp macro="" textlink="">
      <cdr:nvSpPr>
        <cdr:cNvPr id="3" name="TextBox 2"/>
        <cdr:cNvSpPr txBox="1"/>
      </cdr:nvSpPr>
      <cdr:spPr>
        <a:xfrm xmlns:a="http://schemas.openxmlformats.org/drawingml/2006/main">
          <a:off x="157163" y="2405063"/>
          <a:ext cx="28956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700" b="1" i="1"/>
            <a:t>Sursa</a:t>
          </a:r>
          <a:r>
            <a:rPr lang="en-US" sz="700"/>
            <a:t>:</a:t>
          </a:r>
          <a:r>
            <a:rPr lang="en-US" sz="700" baseline="0"/>
            <a:t> calcule proprii MF pe baza raport</a:t>
          </a:r>
          <a:r>
            <a:rPr lang="ro-RO" sz="700" baseline="0"/>
            <a:t>ărilor APTC cf OMFP nr.2874/2016</a:t>
          </a:r>
          <a:endParaRPr lang="en-US" sz="700"/>
        </a:p>
      </cdr:txBody>
    </cdr:sp>
  </cdr:relSizeAnchor>
</c:userShapes>
</file>

<file path=word/drawings/drawing4.xml><?xml version="1.0" encoding="utf-8"?>
<c:userShapes xmlns:c="http://schemas.openxmlformats.org/drawingml/2006/chart">
  <cdr:relSizeAnchor xmlns:cdr="http://schemas.openxmlformats.org/drawingml/2006/chartDrawing">
    <cdr:from>
      <cdr:x>0.03333</cdr:x>
      <cdr:y>0.02768</cdr:y>
    </cdr:from>
    <cdr:to>
      <cdr:x>0.98465</cdr:x>
      <cdr:y>0.26123</cdr:y>
    </cdr:to>
    <cdr:sp macro="" textlink="">
      <cdr:nvSpPr>
        <cdr:cNvPr id="2" name="TextBox 1"/>
        <cdr:cNvSpPr txBox="1"/>
      </cdr:nvSpPr>
      <cdr:spPr>
        <a:xfrm xmlns:a="http://schemas.openxmlformats.org/drawingml/2006/main">
          <a:off x="94798" y="78727"/>
          <a:ext cx="2705552" cy="664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tx1">
                  <a:lumMod val="65000"/>
                  <a:lumOff val="35000"/>
                </a:schemeClr>
              </a:solidFill>
            </a:rPr>
            <a:t>Forma juridic</a:t>
          </a:r>
          <a:r>
            <a:rPr lang="ro-RO" sz="800">
              <a:solidFill>
                <a:schemeClr val="tx1">
                  <a:lumMod val="65000"/>
                  <a:lumOff val="35000"/>
                </a:schemeClr>
              </a:solidFill>
            </a:rPr>
            <a:t>ă</a:t>
          </a:r>
          <a:r>
            <a:rPr lang="ro-RO" sz="800" baseline="0">
              <a:solidFill>
                <a:schemeClr val="tx1">
                  <a:lumMod val="65000"/>
                  <a:lumOff val="35000"/>
                </a:schemeClr>
              </a:solidFill>
            </a:rPr>
            <a:t> de organizare a ÎP</a:t>
          </a:r>
          <a:r>
            <a:rPr lang="en-US" sz="800" baseline="0">
              <a:solidFill>
                <a:schemeClr val="tx1">
                  <a:lumMod val="65000"/>
                  <a:lumOff val="35000"/>
                </a:schemeClr>
              </a:solidFill>
            </a:rPr>
            <a:t>C oblicate la aplicarea prevederilor O.U.G. nr. 109/2011</a:t>
          </a:r>
          <a:endParaRPr lang="ro-RO" sz="800" baseline="0">
            <a:solidFill>
              <a:schemeClr val="tx1">
                <a:lumMod val="65000"/>
                <a:lumOff val="35000"/>
              </a:schemeClr>
            </a:solidFill>
          </a:endParaRPr>
        </a:p>
        <a:p xmlns:a="http://schemas.openxmlformats.org/drawingml/2006/main">
          <a:endParaRPr lang="en-US" sz="1000"/>
        </a:p>
      </cdr:txBody>
    </cdr:sp>
  </cdr:relSizeAnchor>
  <cdr:relSizeAnchor xmlns:cdr="http://schemas.openxmlformats.org/drawingml/2006/chartDrawing">
    <cdr:from>
      <cdr:x>0.03125</cdr:x>
      <cdr:y>0.88432</cdr:y>
    </cdr:from>
    <cdr:to>
      <cdr:x>0.90762</cdr:x>
      <cdr:y>0.96194</cdr:y>
    </cdr:to>
    <cdr:sp macro="" textlink="">
      <cdr:nvSpPr>
        <cdr:cNvPr id="3" name="TextBox 2"/>
        <cdr:cNvSpPr txBox="1"/>
      </cdr:nvSpPr>
      <cdr:spPr>
        <a:xfrm xmlns:a="http://schemas.openxmlformats.org/drawingml/2006/main">
          <a:off x="88860" y="2514599"/>
          <a:ext cx="2491985" cy="22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700" b="1" i="1"/>
            <a:t>Sursa</a:t>
          </a:r>
          <a:r>
            <a:rPr lang="en-US" sz="700"/>
            <a:t>:</a:t>
          </a:r>
          <a:r>
            <a:rPr lang="en-US" sz="700" baseline="0"/>
            <a:t> </a:t>
          </a:r>
          <a:r>
            <a:rPr lang="en-US" sz="700" baseline="0">
              <a:solidFill>
                <a:schemeClr val="tx1">
                  <a:lumMod val="65000"/>
                  <a:lumOff val="35000"/>
                </a:schemeClr>
              </a:solidFill>
            </a:rPr>
            <a:t>calcule proprii MF pe baza raport</a:t>
          </a:r>
          <a:r>
            <a:rPr lang="ro-RO" sz="700" baseline="0">
              <a:solidFill>
                <a:schemeClr val="tx1">
                  <a:lumMod val="65000"/>
                  <a:lumOff val="35000"/>
                </a:schemeClr>
              </a:solidFill>
            </a:rPr>
            <a:t>ă</a:t>
          </a:r>
          <a:r>
            <a:rPr lang="en-US" sz="700" baseline="0">
              <a:solidFill>
                <a:schemeClr val="tx1">
                  <a:lumMod val="65000"/>
                  <a:lumOff val="35000"/>
                </a:schemeClr>
              </a:solidFill>
            </a:rPr>
            <a:t>rilor APTC cf OMFP nr.1952/2018</a:t>
          </a:r>
          <a:endParaRPr lang="en-US" sz="700">
            <a:solidFill>
              <a:schemeClr val="tx1">
                <a:lumMod val="65000"/>
                <a:lumOff val="35000"/>
              </a:schemeClr>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0.02417</cdr:x>
      <cdr:y>0.89396</cdr:y>
    </cdr:from>
    <cdr:to>
      <cdr:x>0.4274</cdr:x>
      <cdr:y>0.97676</cdr:y>
    </cdr:to>
    <cdr:sp macro="" textlink="">
      <cdr:nvSpPr>
        <cdr:cNvPr id="2" name="TextBox 1"/>
        <cdr:cNvSpPr txBox="1"/>
      </cdr:nvSpPr>
      <cdr:spPr>
        <a:xfrm xmlns:a="http://schemas.openxmlformats.org/drawingml/2006/main">
          <a:off x="139211" y="2452321"/>
          <a:ext cx="2322635" cy="227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0.01272</cdr:x>
      <cdr:y>0.88595</cdr:y>
    </cdr:from>
    <cdr:to>
      <cdr:x>0.54316</cdr:x>
      <cdr:y>1</cdr:y>
    </cdr:to>
    <cdr:sp macro="" textlink="">
      <cdr:nvSpPr>
        <cdr:cNvPr id="3" name="TextBox 2"/>
        <cdr:cNvSpPr txBox="1"/>
      </cdr:nvSpPr>
      <cdr:spPr>
        <a:xfrm xmlns:a="http://schemas.openxmlformats.org/drawingml/2006/main">
          <a:off x="73269" y="2477727"/>
          <a:ext cx="3055327" cy="3189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ro-RO" sz="700" b="1" i="1" u="none" strike="noStrike" kern="0" cap="none" spc="0" normalizeH="0" baseline="0" noProof="0">
              <a:ln>
                <a:noFill/>
              </a:ln>
              <a:solidFill>
                <a:prstClr val="black">
                  <a:lumMod val="65000"/>
                  <a:lumOff val="35000"/>
                </a:prstClr>
              </a:solidFill>
              <a:effectLst/>
              <a:uLnTx/>
              <a:uFillTx/>
              <a:latin typeface="+mn-lt"/>
              <a:ea typeface="+mn-ea"/>
              <a:cs typeface="+mn-cs"/>
            </a:rPr>
            <a:t>Sursa</a:t>
          </a:r>
          <a:r>
            <a:rPr kumimoji="0" lang="en-US" sz="700" b="1" i="1" u="none" strike="noStrike" kern="0" cap="none" spc="0" normalizeH="0" baseline="0" noProof="0">
              <a:ln>
                <a:noFill/>
              </a:ln>
              <a:solidFill>
                <a:prstClr val="black">
                  <a:lumMod val="65000"/>
                  <a:lumOff val="35000"/>
                </a:prstClr>
              </a:solidFill>
              <a:effectLst/>
              <a:uLnTx/>
              <a:uFillTx/>
              <a:latin typeface="+mn-lt"/>
              <a:ea typeface="+mn-ea"/>
              <a:cs typeface="+mn-cs"/>
            </a:rPr>
            <a:t>: </a:t>
          </a:r>
          <a:r>
            <a:rPr kumimoji="0" lang="en-US" sz="700" b="0" i="0" u="none" strike="noStrike" kern="0" cap="none" spc="0" normalizeH="0" baseline="0" noProof="0">
              <a:ln>
                <a:noFill/>
              </a:ln>
              <a:solidFill>
                <a:prstClr val="black">
                  <a:lumMod val="65000"/>
                  <a:lumOff val="35000"/>
                </a:prstClr>
              </a:solidFill>
              <a:effectLst/>
              <a:uLnTx/>
              <a:uFillTx/>
              <a:latin typeface="+mn-lt"/>
              <a:ea typeface="+mn-ea"/>
              <a:cs typeface="+mn-cs"/>
            </a:rPr>
            <a:t>calcule proprii MFP pe baza </a:t>
          </a:r>
          <a:r>
            <a:rPr kumimoji="0" lang="ro-RO" sz="700" b="0" i="0" u="none" strike="noStrike" kern="0" cap="none" spc="0" normalizeH="0" baseline="0" noProof="0">
              <a:ln>
                <a:noFill/>
              </a:ln>
              <a:solidFill>
                <a:prstClr val="black">
                  <a:lumMod val="65000"/>
                  <a:lumOff val="35000"/>
                </a:prstClr>
              </a:solidFill>
              <a:effectLst/>
              <a:uLnTx/>
              <a:uFillTx/>
              <a:latin typeface="+mn-lt"/>
              <a:ea typeface="+mn-ea"/>
              <a:cs typeface="+mn-cs"/>
            </a:rPr>
            <a:t>raportărilor APTC cf. OMFP nr.2874/2016</a:t>
          </a:r>
        </a:p>
        <a:p xmlns:a="http://schemas.openxmlformats.org/drawingml/2006/main">
          <a:endParaRPr lang="en-US" sz="1100"/>
        </a:p>
      </cdr:txBody>
    </cdr:sp>
  </cdr:relSizeAnchor>
  <cdr:relSizeAnchor xmlns:cdr="http://schemas.openxmlformats.org/drawingml/2006/chartDrawing">
    <cdr:from>
      <cdr:x>0.01145</cdr:x>
      <cdr:y>0.03125</cdr:y>
    </cdr:from>
    <cdr:to>
      <cdr:x>0.99728</cdr:x>
      <cdr:y>0.11939</cdr:y>
    </cdr:to>
    <cdr:sp macro="" textlink="">
      <cdr:nvSpPr>
        <cdr:cNvPr id="4" name="TextBox 3"/>
        <cdr:cNvSpPr txBox="1"/>
      </cdr:nvSpPr>
      <cdr:spPr>
        <a:xfrm xmlns:a="http://schemas.openxmlformats.org/drawingml/2006/main">
          <a:off x="65942" y="85726"/>
          <a:ext cx="5678366" cy="241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0.01018</cdr:x>
      <cdr:y>0.01522</cdr:y>
    </cdr:from>
    <cdr:to>
      <cdr:x>0.99473</cdr:x>
      <cdr:y>0.17029</cdr:y>
    </cdr:to>
    <cdr:sp macro="" textlink="">
      <cdr:nvSpPr>
        <cdr:cNvPr id="5" name="TextBox 4"/>
        <cdr:cNvSpPr txBox="1"/>
      </cdr:nvSpPr>
      <cdr:spPr>
        <a:xfrm xmlns:a="http://schemas.openxmlformats.org/drawingml/2006/main">
          <a:off x="58615" y="42578"/>
          <a:ext cx="5671039" cy="433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n-US" sz="800" b="1" i="0" u="none" strike="noStrike" kern="0" cap="none" spc="0" normalizeH="0" baseline="0" noProof="0">
              <a:ln>
                <a:noFill/>
              </a:ln>
              <a:solidFill>
                <a:prstClr val="black">
                  <a:lumMod val="65000"/>
                  <a:lumOff val="35000"/>
                </a:prstClr>
              </a:solidFill>
              <a:effectLst/>
              <a:uLnTx/>
              <a:uFillTx/>
              <a:latin typeface="+mn-lt"/>
              <a:ea typeface="+mn-ea"/>
              <a:cs typeface="+mn-cs"/>
            </a:rPr>
            <a:t>Stadiul etapelor procesului de selec</a:t>
          </a:r>
          <a:r>
            <a:rPr kumimoji="0" lang="ro-RO" sz="800" b="1" i="0" u="none" strike="noStrike" kern="0" cap="none" spc="0" normalizeH="0" baseline="0" noProof="0">
              <a:ln>
                <a:noFill/>
              </a:ln>
              <a:solidFill>
                <a:prstClr val="black">
                  <a:lumMod val="65000"/>
                  <a:lumOff val="35000"/>
                </a:prstClr>
              </a:solidFill>
              <a:effectLst/>
              <a:uLnTx/>
              <a:uFillTx/>
              <a:latin typeface="+mn-lt"/>
              <a:ea typeface="+mn-ea"/>
              <a:cs typeface="+mn-cs"/>
            </a:rPr>
            <a:t>ție al CA/CS și al directorilor</a:t>
          </a:r>
        </a:p>
        <a:p xmlns:a="http://schemas.openxmlformats.org/drawingml/2006/main">
          <a:endParaRPr lang="en-US" sz="1100" b="1"/>
        </a:p>
      </cdr:txBody>
    </cdr:sp>
  </cdr:relSizeAnchor>
  <cdr:relSizeAnchor xmlns:cdr="http://schemas.openxmlformats.org/drawingml/2006/chartDrawing">
    <cdr:from>
      <cdr:x>0</cdr:x>
      <cdr:y>0.15719</cdr:y>
    </cdr:from>
    <cdr:to>
      <cdr:x>0.06196</cdr:x>
      <cdr:y>0.64973</cdr:y>
    </cdr:to>
    <cdr:sp macro="" textlink="">
      <cdr:nvSpPr>
        <cdr:cNvPr id="7" name="TextBox 6"/>
        <cdr:cNvSpPr txBox="1"/>
      </cdr:nvSpPr>
      <cdr:spPr>
        <a:xfrm xmlns:a="http://schemas.openxmlformats.org/drawingml/2006/main">
          <a:off x="0" y="439615"/>
          <a:ext cx="356893" cy="1377462"/>
        </a:xfrm>
        <a:prstGeom xmlns:a="http://schemas.openxmlformats.org/drawingml/2006/main" prst="rect">
          <a:avLst/>
        </a:prstGeom>
      </cdr:spPr>
      <cdr:txBody>
        <a:bodyPr xmlns:a="http://schemas.openxmlformats.org/drawingml/2006/main" vertOverflow="clip" horzOverflow="clip" vert="vert270" wrap="square" rtlCol="0">
          <a:spAutoFit/>
        </a:bodyPr>
        <a:lstStyle xmlns:a="http://schemas.openxmlformats.org/drawingml/2006/main"/>
        <a:p xmlns:a="http://schemas.openxmlformats.org/drawingml/2006/main">
          <a:r>
            <a:rPr lang="en-US" sz="1100" baseline="0"/>
            <a:t>                 </a:t>
          </a:r>
          <a:r>
            <a:rPr lang="ro-RO" sz="1000"/>
            <a:t>CA</a:t>
          </a:r>
          <a:r>
            <a:rPr lang="en-US" sz="1000"/>
            <a:t>/CS</a:t>
          </a:r>
        </a:p>
      </cdr:txBody>
    </cdr:sp>
  </cdr:relSizeAnchor>
  <cdr:relSizeAnchor xmlns:cdr="http://schemas.openxmlformats.org/drawingml/2006/chartDrawing">
    <cdr:from>
      <cdr:x>0.00302</cdr:x>
      <cdr:y>0.71602</cdr:y>
    </cdr:from>
    <cdr:to>
      <cdr:x>0.06246</cdr:x>
      <cdr:y>0.82324</cdr:y>
    </cdr:to>
    <cdr:sp macro="" textlink="">
      <cdr:nvSpPr>
        <cdr:cNvPr id="8" name="TextBox 7"/>
        <cdr:cNvSpPr txBox="1"/>
      </cdr:nvSpPr>
      <cdr:spPr>
        <a:xfrm xmlns:a="http://schemas.openxmlformats.org/drawingml/2006/main">
          <a:off x="17318" y="2139462"/>
          <a:ext cx="341184" cy="320386"/>
        </a:xfrm>
        <a:prstGeom xmlns:a="http://schemas.openxmlformats.org/drawingml/2006/main" prst="rect">
          <a:avLst/>
        </a:prstGeom>
      </cdr:spPr>
      <cdr:txBody>
        <a:bodyPr xmlns:a="http://schemas.openxmlformats.org/drawingml/2006/main" vertOverflow="clip" vert="vert270" wrap="square" rtlCol="0">
          <a:spAutoFit/>
        </a:bodyPr>
        <a:lstStyle xmlns:a="http://schemas.openxmlformats.org/drawingml/2006/main"/>
        <a:p xmlns:a="http://schemas.openxmlformats.org/drawingml/2006/main">
          <a:r>
            <a:rPr lang="en-US" sz="1000"/>
            <a:t>DIR</a:t>
          </a:r>
        </a:p>
      </cdr:txBody>
    </cdr:sp>
  </cdr:relSizeAnchor>
  <cdr:relSizeAnchor xmlns:cdr="http://schemas.openxmlformats.org/drawingml/2006/chartDrawing">
    <cdr:from>
      <cdr:x>0.05088</cdr:x>
      <cdr:y>0.15981</cdr:y>
    </cdr:from>
    <cdr:to>
      <cdr:x>0.05215</cdr:x>
      <cdr:y>0.67068</cdr:y>
    </cdr:to>
    <cdr:cxnSp macro="">
      <cdr:nvCxnSpPr>
        <cdr:cNvPr id="10" name="Straight Arrow Connector 9">
          <a:extLst xmlns:a="http://schemas.openxmlformats.org/drawingml/2006/main">
            <a:ext uri="{FF2B5EF4-FFF2-40B4-BE49-F238E27FC236}">
              <a16:creationId xmlns:a16="http://schemas.microsoft.com/office/drawing/2014/main" id="{9A5BA03E-9E1F-4B0C-8098-01C1EF1E673C}"/>
            </a:ext>
          </a:extLst>
        </cdr:cNvPr>
        <cdr:cNvCxnSpPr/>
      </cdr:nvCxnSpPr>
      <cdr:spPr>
        <a:xfrm xmlns:a="http://schemas.openxmlformats.org/drawingml/2006/main">
          <a:off x="293076" y="446943"/>
          <a:ext cx="7327" cy="14287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0.0564</cdr:x>
      <cdr:y>0.7421</cdr:y>
    </cdr:from>
    <cdr:to>
      <cdr:x>0.05668</cdr:x>
      <cdr:y>0.79382</cdr:y>
    </cdr:to>
    <cdr:cxnSp macro="">
      <cdr:nvCxnSpPr>
        <cdr:cNvPr id="12" name="Straight Arrow Connector 11">
          <a:extLst xmlns:a="http://schemas.openxmlformats.org/drawingml/2006/main">
            <a:ext uri="{FF2B5EF4-FFF2-40B4-BE49-F238E27FC236}">
              <a16:creationId xmlns:a16="http://schemas.microsoft.com/office/drawing/2014/main" id="{BF15AE60-85CC-45EE-8114-3272E92B1BDC}"/>
            </a:ext>
          </a:extLst>
        </cdr:cNvPr>
        <cdr:cNvCxnSpPr/>
      </cdr:nvCxnSpPr>
      <cdr:spPr>
        <a:xfrm xmlns:a="http://schemas.openxmlformats.org/drawingml/2006/main">
          <a:off x="323717" y="2217392"/>
          <a:ext cx="1602" cy="15454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0.02563</cdr:x>
      <cdr:y>0.01172</cdr:y>
    </cdr:from>
    <cdr:to>
      <cdr:x>0.99546</cdr:x>
      <cdr:y>0.18923</cdr:y>
    </cdr:to>
    <cdr:sp macro="" textlink="">
      <cdr:nvSpPr>
        <cdr:cNvPr id="2" name="TextBox 1"/>
        <cdr:cNvSpPr txBox="1"/>
      </cdr:nvSpPr>
      <cdr:spPr>
        <a:xfrm xmlns:a="http://schemas.openxmlformats.org/drawingml/2006/main">
          <a:off x="146899" y="33162"/>
          <a:ext cx="5558576" cy="502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fontAlgn="base"/>
          <a:r>
            <a:rPr lang="en-US" sz="1100" baseline="0">
              <a:effectLst/>
              <a:latin typeface="+mn-lt"/>
              <a:ea typeface="+mn-ea"/>
              <a:cs typeface="+mn-cs"/>
            </a:rPr>
            <a:t>Stadiul </a:t>
          </a:r>
          <a:r>
            <a:rPr lang="ro-RO" sz="1100" baseline="0">
              <a:effectLst/>
              <a:latin typeface="+mn-lt"/>
              <a:ea typeface="+mn-ea"/>
              <a:cs typeface="+mn-cs"/>
            </a:rPr>
            <a:t>î</a:t>
          </a:r>
          <a:r>
            <a:rPr lang="en-US" sz="1100" baseline="0">
              <a:effectLst/>
              <a:latin typeface="+mn-lt"/>
              <a:ea typeface="+mn-ea"/>
              <a:cs typeface="+mn-cs"/>
            </a:rPr>
            <a:t>ndeplinirii</a:t>
          </a:r>
          <a:r>
            <a:rPr lang="ro-RO" sz="1100" baseline="0">
              <a:effectLst/>
              <a:latin typeface="+mn-lt"/>
              <a:ea typeface="+mn-ea"/>
              <a:cs typeface="+mn-cs"/>
            </a:rPr>
            <a:t> obligațiilor de raportare ale APTL, structurat pe forme de organizare ale ÎPL</a:t>
          </a:r>
          <a:endParaRPr lang="en-US" sz="1100" baseline="0">
            <a:effectLst/>
            <a:latin typeface="+mn-lt"/>
            <a:ea typeface="+mn-ea"/>
            <a:cs typeface="+mn-cs"/>
          </a:endParaRPr>
        </a:p>
        <a:p xmlns:a="http://schemas.openxmlformats.org/drawingml/2006/main">
          <a:endParaRPr lang="en-US" sz="800">
            <a:solidFill>
              <a:schemeClr val="tx1">
                <a:lumMod val="65000"/>
                <a:lumOff val="35000"/>
              </a:schemeClr>
            </a:solidFill>
          </a:endParaRPr>
        </a:p>
      </cdr:txBody>
    </cdr:sp>
  </cdr:relSizeAnchor>
  <cdr:relSizeAnchor xmlns:cdr="http://schemas.openxmlformats.org/drawingml/2006/chartDrawing">
    <cdr:from>
      <cdr:x>0</cdr:x>
      <cdr:y>0.87843</cdr:y>
    </cdr:from>
    <cdr:to>
      <cdr:x>0.6565</cdr:x>
      <cdr:y>0.97044</cdr:y>
    </cdr:to>
    <cdr:sp macro="" textlink="">
      <cdr:nvSpPr>
        <cdr:cNvPr id="3" name="TextBox 2"/>
        <cdr:cNvSpPr txBox="1"/>
      </cdr:nvSpPr>
      <cdr:spPr>
        <a:xfrm xmlns:a="http://schemas.openxmlformats.org/drawingml/2006/main">
          <a:off x="0" y="2133600"/>
          <a:ext cx="3939492" cy="223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700" b="1">
              <a:solidFill>
                <a:schemeClr val="tx1">
                  <a:lumMod val="65000"/>
                  <a:lumOff val="35000"/>
                </a:schemeClr>
              </a:solidFill>
            </a:rPr>
            <a:t>Sursa</a:t>
          </a:r>
          <a:r>
            <a:rPr lang="en-US" sz="700" b="1">
              <a:solidFill>
                <a:schemeClr val="tx1">
                  <a:lumMod val="65000"/>
                  <a:lumOff val="35000"/>
                </a:schemeClr>
              </a:solidFill>
            </a:rPr>
            <a:t>:</a:t>
          </a:r>
          <a:r>
            <a:rPr lang="en-US" sz="700" b="1" baseline="0">
              <a:solidFill>
                <a:schemeClr val="tx1">
                  <a:lumMod val="65000"/>
                  <a:lumOff val="35000"/>
                </a:schemeClr>
              </a:solidFill>
            </a:rPr>
            <a:t> </a:t>
          </a:r>
          <a:r>
            <a:rPr lang="en-US" sz="700" baseline="0">
              <a:solidFill>
                <a:schemeClr val="tx1">
                  <a:lumMod val="65000"/>
                  <a:lumOff val="35000"/>
                </a:schemeClr>
              </a:solidFill>
            </a:rPr>
            <a:t>calcule proprii MF pe baza raport</a:t>
          </a:r>
          <a:r>
            <a:rPr lang="ro-RO" sz="700" baseline="0">
              <a:solidFill>
                <a:schemeClr val="tx1">
                  <a:lumMod val="65000"/>
                  <a:lumOff val="35000"/>
                </a:schemeClr>
              </a:solidFill>
            </a:rPr>
            <a:t>ărilor cf. OMFP nr.</a:t>
          </a:r>
          <a:r>
            <a:rPr lang="en-US" sz="700" baseline="0">
              <a:solidFill>
                <a:schemeClr val="tx1">
                  <a:lumMod val="65000"/>
                  <a:lumOff val="35000"/>
                </a:schemeClr>
              </a:solidFill>
            </a:rPr>
            <a:t>1952</a:t>
          </a:r>
          <a:r>
            <a:rPr lang="ro-RO" sz="700" baseline="0">
              <a:solidFill>
                <a:schemeClr val="tx1">
                  <a:lumMod val="65000"/>
                  <a:lumOff val="35000"/>
                </a:schemeClr>
              </a:solidFill>
            </a:rPr>
            <a:t>/201</a:t>
          </a:r>
          <a:r>
            <a:rPr lang="en-US" sz="700" baseline="0">
              <a:solidFill>
                <a:schemeClr val="tx1">
                  <a:lumMod val="65000"/>
                  <a:lumOff val="35000"/>
                </a:schemeClr>
              </a:solidFill>
            </a:rPr>
            <a:t>8</a:t>
          </a:r>
          <a:endParaRPr lang="en-US" sz="700">
            <a:solidFill>
              <a:schemeClr val="tx1">
                <a:lumMod val="65000"/>
                <a:lumOff val="35000"/>
              </a:schemeClr>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0.01123</cdr:x>
      <cdr:y>0</cdr:y>
    </cdr:from>
    <cdr:to>
      <cdr:x>1</cdr:x>
      <cdr:y>0.18253</cdr:y>
    </cdr:to>
    <cdr:sp macro="" textlink="">
      <cdr:nvSpPr>
        <cdr:cNvPr id="2" name="TextBox 1"/>
        <cdr:cNvSpPr txBox="1"/>
      </cdr:nvSpPr>
      <cdr:spPr>
        <a:xfrm xmlns:a="http://schemas.openxmlformats.org/drawingml/2006/main">
          <a:off x="31949" y="0"/>
          <a:ext cx="2812051" cy="5191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aseline="0">
              <a:solidFill>
                <a:schemeClr val="tx1">
                  <a:lumMod val="65000"/>
                  <a:lumOff val="35000"/>
                </a:schemeClr>
              </a:solidFill>
              <a:effectLst/>
              <a:latin typeface="+mn-lt"/>
              <a:ea typeface="+mn-ea"/>
              <a:cs typeface="+mn-cs"/>
            </a:rPr>
            <a:t>Responsabilii cu realizarea procesului de selec</a:t>
          </a:r>
          <a:r>
            <a:rPr lang="ro-RO" sz="800" baseline="0">
              <a:solidFill>
                <a:schemeClr val="tx1">
                  <a:lumMod val="65000"/>
                  <a:lumOff val="35000"/>
                </a:schemeClr>
              </a:solidFill>
              <a:effectLst/>
              <a:latin typeface="+mn-lt"/>
              <a:ea typeface="+mn-ea"/>
              <a:cs typeface="+mn-cs"/>
            </a:rPr>
            <a:t>ție</a:t>
          </a:r>
          <a:r>
            <a:rPr lang="en-US" sz="800" baseline="0">
              <a:solidFill>
                <a:schemeClr val="tx1">
                  <a:lumMod val="65000"/>
                  <a:lumOff val="35000"/>
                </a:schemeClr>
              </a:solidFill>
              <a:effectLst/>
              <a:latin typeface="+mn-lt"/>
              <a:ea typeface="+mn-ea"/>
              <a:cs typeface="+mn-cs"/>
            </a:rPr>
            <a:t> </a:t>
          </a:r>
          <a:r>
            <a:rPr lang="ro-RO" sz="800" baseline="0">
              <a:solidFill>
                <a:schemeClr val="tx1">
                  <a:lumMod val="65000"/>
                  <a:lumOff val="35000"/>
                </a:schemeClr>
              </a:solidFill>
              <a:effectLst/>
              <a:latin typeface="+mn-lt"/>
              <a:ea typeface="+mn-ea"/>
              <a:cs typeface="+mn-cs"/>
            </a:rPr>
            <a:t>și maniera în care se desfășoară</a:t>
          </a:r>
          <a:endParaRPr lang="en-US" sz="800">
            <a:solidFill>
              <a:schemeClr val="tx1">
                <a:lumMod val="65000"/>
                <a:lumOff val="35000"/>
              </a:schemeClr>
            </a:solidFill>
            <a:effectLst/>
          </a:endParaRPr>
        </a:p>
        <a:p xmlns:a="http://schemas.openxmlformats.org/drawingml/2006/main">
          <a:endParaRPr lang="en-US" sz="1100"/>
        </a:p>
      </cdr:txBody>
    </cdr:sp>
  </cdr:relSizeAnchor>
  <cdr:relSizeAnchor xmlns:cdr="http://schemas.openxmlformats.org/drawingml/2006/chartDrawing">
    <cdr:from>
      <cdr:x>0</cdr:x>
      <cdr:y>0.90595</cdr:y>
    </cdr:from>
    <cdr:to>
      <cdr:x>0.99135</cdr:x>
      <cdr:y>0.99637</cdr:y>
    </cdr:to>
    <cdr:sp macro="" textlink="">
      <cdr:nvSpPr>
        <cdr:cNvPr id="3" name="TextBox 2"/>
        <cdr:cNvSpPr txBox="1"/>
      </cdr:nvSpPr>
      <cdr:spPr>
        <a:xfrm xmlns:a="http://schemas.openxmlformats.org/drawingml/2006/main">
          <a:off x="0" y="2576513"/>
          <a:ext cx="28194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0.90287</cdr:y>
    </cdr:from>
    <cdr:to>
      <cdr:x>0.98325</cdr:x>
      <cdr:y>1</cdr:y>
    </cdr:to>
    <cdr:sp macro="" textlink="">
      <cdr:nvSpPr>
        <cdr:cNvPr id="4" name="TextBox 3"/>
        <cdr:cNvSpPr txBox="1"/>
      </cdr:nvSpPr>
      <cdr:spPr>
        <a:xfrm xmlns:a="http://schemas.openxmlformats.org/drawingml/2006/main">
          <a:off x="0" y="2567775"/>
          <a:ext cx="27963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1">
              <a:solidFill>
                <a:schemeClr val="tx1">
                  <a:lumMod val="65000"/>
                  <a:lumOff val="35000"/>
                </a:schemeClr>
              </a:solidFill>
            </a:rPr>
            <a:t>Sursa:</a:t>
          </a:r>
          <a:r>
            <a:rPr lang="ro-RO" sz="700" b="0">
              <a:solidFill>
                <a:schemeClr val="tx1">
                  <a:lumMod val="65000"/>
                  <a:lumOff val="35000"/>
                </a:schemeClr>
              </a:solidFill>
            </a:rPr>
            <a:t>calcule proprii MF</a:t>
          </a:r>
          <a:r>
            <a:rPr lang="en-US" sz="700" b="0" baseline="0">
              <a:solidFill>
                <a:schemeClr val="tx1">
                  <a:lumMod val="65000"/>
                  <a:lumOff val="35000"/>
                </a:schemeClr>
              </a:solidFill>
            </a:rPr>
            <a:t> </a:t>
          </a:r>
          <a:r>
            <a:rPr lang="ro-RO" sz="700" b="0">
              <a:solidFill>
                <a:schemeClr val="tx1">
                  <a:lumMod val="65000"/>
                  <a:lumOff val="35000"/>
                </a:schemeClr>
              </a:solidFill>
            </a:rPr>
            <a:t>pe baza raportărilor APTL</a:t>
          </a:r>
        </a:p>
      </cdr:txBody>
    </cdr:sp>
  </cdr:relSizeAnchor>
</c:userShapes>
</file>

<file path=word/drawings/drawing8.xml><?xml version="1.0" encoding="utf-8"?>
<c:userShapes xmlns:c="http://schemas.openxmlformats.org/drawingml/2006/chart">
  <cdr:relSizeAnchor xmlns:cdr="http://schemas.openxmlformats.org/drawingml/2006/chartDrawing">
    <cdr:from>
      <cdr:x>0.0125</cdr:x>
      <cdr:y>0.01042</cdr:y>
    </cdr:from>
    <cdr:to>
      <cdr:x>0.99583</cdr:x>
      <cdr:y>0.22569</cdr:y>
    </cdr:to>
    <cdr:sp macro="" textlink="">
      <cdr:nvSpPr>
        <cdr:cNvPr id="2" name="TextBox 1"/>
        <cdr:cNvSpPr txBox="1"/>
      </cdr:nvSpPr>
      <cdr:spPr>
        <a:xfrm xmlns:a="http://schemas.openxmlformats.org/drawingml/2006/main">
          <a:off x="57150" y="28575"/>
          <a:ext cx="4495800"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0">
              <a:solidFill>
                <a:schemeClr val="tx1">
                  <a:lumMod val="65000"/>
                  <a:lumOff val="35000"/>
                </a:schemeClr>
              </a:solidFill>
            </a:rPr>
            <a:t>Forma juridic</a:t>
          </a:r>
          <a:r>
            <a:rPr lang="ro-RO" sz="800" b="0">
              <a:solidFill>
                <a:schemeClr val="tx1">
                  <a:lumMod val="65000"/>
                  <a:lumOff val="35000"/>
                </a:schemeClr>
              </a:solidFill>
            </a:rPr>
            <a:t>ă</a:t>
          </a:r>
          <a:r>
            <a:rPr lang="ro-RO" sz="800" b="0" baseline="0">
              <a:solidFill>
                <a:schemeClr val="tx1">
                  <a:lumMod val="65000"/>
                  <a:lumOff val="35000"/>
                </a:schemeClr>
              </a:solidFill>
            </a:rPr>
            <a:t> de organizare a ÎPL care au declașat procesul de selecție al CA/CS </a:t>
          </a:r>
          <a:endParaRPr lang="en-US" sz="800" b="0">
            <a:solidFill>
              <a:schemeClr val="tx1">
                <a:lumMod val="65000"/>
                <a:lumOff val="35000"/>
              </a:schemeClr>
            </a:solidFill>
          </a:endParaRPr>
        </a:p>
      </cdr:txBody>
    </cdr:sp>
  </cdr:relSizeAnchor>
  <cdr:relSizeAnchor xmlns:cdr="http://schemas.openxmlformats.org/drawingml/2006/chartDrawing">
    <cdr:from>
      <cdr:x>0.00208</cdr:x>
      <cdr:y>0.87847</cdr:y>
    </cdr:from>
    <cdr:to>
      <cdr:x>1</cdr:x>
      <cdr:y>0.98611</cdr:y>
    </cdr:to>
    <cdr:sp macro="" textlink="">
      <cdr:nvSpPr>
        <cdr:cNvPr id="3" name="TextBox 2"/>
        <cdr:cNvSpPr txBox="1"/>
      </cdr:nvSpPr>
      <cdr:spPr>
        <a:xfrm xmlns:a="http://schemas.openxmlformats.org/drawingml/2006/main">
          <a:off x="9525" y="2409825"/>
          <a:ext cx="45624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700" b="1">
              <a:solidFill>
                <a:schemeClr val="tx1">
                  <a:lumMod val="65000"/>
                  <a:lumOff val="35000"/>
                </a:schemeClr>
              </a:solidFill>
            </a:rPr>
            <a:t>Sursa</a:t>
          </a:r>
          <a:r>
            <a:rPr lang="en-US" sz="700">
              <a:solidFill>
                <a:schemeClr val="tx1">
                  <a:lumMod val="65000"/>
                  <a:lumOff val="35000"/>
                </a:schemeClr>
              </a:solidFill>
            </a:rPr>
            <a:t>:calcule proprii MF pe baza raport</a:t>
          </a:r>
          <a:r>
            <a:rPr lang="ro-RO" sz="700">
              <a:solidFill>
                <a:schemeClr val="tx1">
                  <a:lumMod val="65000"/>
                  <a:lumOff val="35000"/>
                </a:schemeClr>
              </a:solidFill>
            </a:rPr>
            <a:t>ărilor</a:t>
          </a:r>
          <a:r>
            <a:rPr lang="ro-RO" sz="700" baseline="0">
              <a:solidFill>
                <a:schemeClr val="tx1">
                  <a:lumMod val="65000"/>
                  <a:lumOff val="35000"/>
                </a:schemeClr>
              </a:solidFill>
            </a:rPr>
            <a:t> APTL</a:t>
          </a:r>
          <a:r>
            <a:rPr lang="en-US" sz="700">
              <a:solidFill>
                <a:schemeClr val="tx1">
                  <a:lumMod val="65000"/>
                  <a:lumOff val="35000"/>
                </a:schemeClr>
              </a:solidFill>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0.02417</cdr:x>
      <cdr:y>0.89396</cdr:y>
    </cdr:from>
    <cdr:to>
      <cdr:x>0.4274</cdr:x>
      <cdr:y>0.97676</cdr:y>
    </cdr:to>
    <cdr:sp macro="" textlink="">
      <cdr:nvSpPr>
        <cdr:cNvPr id="2" name="TextBox 1"/>
        <cdr:cNvSpPr txBox="1"/>
      </cdr:nvSpPr>
      <cdr:spPr>
        <a:xfrm xmlns:a="http://schemas.openxmlformats.org/drawingml/2006/main">
          <a:off x="139211" y="2452321"/>
          <a:ext cx="2322635" cy="227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0.01272</cdr:x>
      <cdr:y>0.88595</cdr:y>
    </cdr:from>
    <cdr:to>
      <cdr:x>0.54316</cdr:x>
      <cdr:y>1</cdr:y>
    </cdr:to>
    <cdr:sp macro="" textlink="">
      <cdr:nvSpPr>
        <cdr:cNvPr id="3" name="TextBox 2"/>
        <cdr:cNvSpPr txBox="1"/>
      </cdr:nvSpPr>
      <cdr:spPr>
        <a:xfrm xmlns:a="http://schemas.openxmlformats.org/drawingml/2006/main">
          <a:off x="73269" y="2477727"/>
          <a:ext cx="3055327" cy="3189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ro-RO" sz="700" b="1" i="1" u="none" strike="noStrike" kern="0" cap="none" spc="0" normalizeH="0" baseline="0" noProof="0">
              <a:ln>
                <a:noFill/>
              </a:ln>
              <a:solidFill>
                <a:prstClr val="black">
                  <a:lumMod val="65000"/>
                  <a:lumOff val="35000"/>
                </a:prstClr>
              </a:solidFill>
              <a:effectLst/>
              <a:uLnTx/>
              <a:uFillTx/>
              <a:latin typeface="+mn-lt"/>
              <a:ea typeface="+mn-ea"/>
              <a:cs typeface="+mn-cs"/>
            </a:rPr>
            <a:t>Sursa</a:t>
          </a:r>
          <a:r>
            <a:rPr kumimoji="0" lang="en-US" sz="700" b="1" i="1" u="none" strike="noStrike" kern="0" cap="none" spc="0" normalizeH="0" baseline="0" noProof="0">
              <a:ln>
                <a:noFill/>
              </a:ln>
              <a:solidFill>
                <a:prstClr val="black">
                  <a:lumMod val="65000"/>
                  <a:lumOff val="35000"/>
                </a:prstClr>
              </a:solidFill>
              <a:effectLst/>
              <a:uLnTx/>
              <a:uFillTx/>
              <a:latin typeface="+mn-lt"/>
              <a:ea typeface="+mn-ea"/>
              <a:cs typeface="+mn-cs"/>
            </a:rPr>
            <a:t>: </a:t>
          </a:r>
          <a:r>
            <a:rPr kumimoji="0" lang="en-US" sz="700" b="0" i="0" u="none" strike="noStrike" kern="0" cap="none" spc="0" normalizeH="0" baseline="0" noProof="0">
              <a:ln>
                <a:noFill/>
              </a:ln>
              <a:solidFill>
                <a:prstClr val="black">
                  <a:lumMod val="65000"/>
                  <a:lumOff val="35000"/>
                </a:prstClr>
              </a:solidFill>
              <a:effectLst/>
              <a:uLnTx/>
              <a:uFillTx/>
              <a:latin typeface="+mn-lt"/>
              <a:ea typeface="+mn-ea"/>
              <a:cs typeface="+mn-cs"/>
            </a:rPr>
            <a:t>calcule proprii MF pe baza </a:t>
          </a:r>
          <a:r>
            <a:rPr kumimoji="0" lang="ro-RO" sz="700" b="0" i="0" u="none" strike="noStrike" kern="0" cap="none" spc="0" normalizeH="0" baseline="0" noProof="0">
              <a:ln>
                <a:noFill/>
              </a:ln>
              <a:solidFill>
                <a:prstClr val="black">
                  <a:lumMod val="65000"/>
                  <a:lumOff val="35000"/>
                </a:prstClr>
              </a:solidFill>
              <a:effectLst/>
              <a:uLnTx/>
              <a:uFillTx/>
              <a:latin typeface="+mn-lt"/>
              <a:ea typeface="+mn-ea"/>
              <a:cs typeface="+mn-cs"/>
            </a:rPr>
            <a:t>raportărilor APTL cf. OMFP nr.2874/2016</a:t>
          </a:r>
        </a:p>
        <a:p xmlns:a="http://schemas.openxmlformats.org/drawingml/2006/main">
          <a:endParaRPr lang="en-US" sz="1100"/>
        </a:p>
      </cdr:txBody>
    </cdr:sp>
  </cdr:relSizeAnchor>
  <cdr:relSizeAnchor xmlns:cdr="http://schemas.openxmlformats.org/drawingml/2006/chartDrawing">
    <cdr:from>
      <cdr:x>0.01145</cdr:x>
      <cdr:y>0.03125</cdr:y>
    </cdr:from>
    <cdr:to>
      <cdr:x>0.99728</cdr:x>
      <cdr:y>0.11939</cdr:y>
    </cdr:to>
    <cdr:sp macro="" textlink="">
      <cdr:nvSpPr>
        <cdr:cNvPr id="4" name="TextBox 3"/>
        <cdr:cNvSpPr txBox="1"/>
      </cdr:nvSpPr>
      <cdr:spPr>
        <a:xfrm xmlns:a="http://schemas.openxmlformats.org/drawingml/2006/main">
          <a:off x="65942" y="85726"/>
          <a:ext cx="5678366" cy="241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0.01018</cdr:x>
      <cdr:y>0.01522</cdr:y>
    </cdr:from>
    <cdr:to>
      <cdr:x>0.99473</cdr:x>
      <cdr:y>0.17029</cdr:y>
    </cdr:to>
    <cdr:sp macro="" textlink="">
      <cdr:nvSpPr>
        <cdr:cNvPr id="5" name="TextBox 4"/>
        <cdr:cNvSpPr txBox="1"/>
      </cdr:nvSpPr>
      <cdr:spPr>
        <a:xfrm xmlns:a="http://schemas.openxmlformats.org/drawingml/2006/main">
          <a:off x="58786" y="42922"/>
          <a:ext cx="5685436" cy="437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n-US" sz="800" b="0" i="0" u="none" strike="noStrike" kern="0" cap="none" spc="0" normalizeH="0" baseline="0" noProof="0">
              <a:ln>
                <a:noFill/>
              </a:ln>
              <a:solidFill>
                <a:schemeClr val="tx1">
                  <a:lumMod val="65000"/>
                  <a:lumOff val="35000"/>
                </a:schemeClr>
              </a:solidFill>
              <a:effectLst/>
              <a:uLnTx/>
              <a:uFillTx/>
              <a:latin typeface="+mn-lt"/>
              <a:ea typeface="+mn-ea"/>
              <a:cs typeface="+mn-cs"/>
            </a:rPr>
            <a:t>Stadiul etapelor procesului de selec</a:t>
          </a:r>
          <a:r>
            <a:rPr kumimoji="0" lang="ro-RO" sz="800" b="0" i="0" u="none" strike="noStrike" kern="0" cap="none" spc="0" normalizeH="0" baseline="0" noProof="0">
              <a:ln>
                <a:noFill/>
              </a:ln>
              <a:solidFill>
                <a:schemeClr val="tx1">
                  <a:lumMod val="65000"/>
                  <a:lumOff val="35000"/>
                </a:schemeClr>
              </a:solidFill>
              <a:effectLst/>
              <a:uLnTx/>
              <a:uFillTx/>
              <a:latin typeface="+mn-lt"/>
              <a:ea typeface="+mn-ea"/>
              <a:cs typeface="+mn-cs"/>
            </a:rPr>
            <a:t>ție al CA/CS și al directorilor</a:t>
          </a:r>
        </a:p>
        <a:p xmlns:a="http://schemas.openxmlformats.org/drawingml/2006/main">
          <a:endParaRPr lang="en-US" sz="1100" b="1"/>
        </a:p>
      </cdr:txBody>
    </cdr:sp>
  </cdr:relSizeAnchor>
  <cdr:relSizeAnchor xmlns:cdr="http://schemas.openxmlformats.org/drawingml/2006/chartDrawing">
    <cdr:from>
      <cdr:x>0</cdr:x>
      <cdr:y>0.15719</cdr:y>
    </cdr:from>
    <cdr:to>
      <cdr:x>0.06196</cdr:x>
      <cdr:y>0.64973</cdr:y>
    </cdr:to>
    <cdr:sp macro="" textlink="">
      <cdr:nvSpPr>
        <cdr:cNvPr id="7" name="TextBox 6"/>
        <cdr:cNvSpPr txBox="1"/>
      </cdr:nvSpPr>
      <cdr:spPr>
        <a:xfrm xmlns:a="http://schemas.openxmlformats.org/drawingml/2006/main">
          <a:off x="0" y="497978"/>
          <a:ext cx="356893" cy="1560367"/>
        </a:xfrm>
        <a:prstGeom xmlns:a="http://schemas.openxmlformats.org/drawingml/2006/main" prst="rect">
          <a:avLst/>
        </a:prstGeom>
      </cdr:spPr>
      <cdr:txBody>
        <a:bodyPr xmlns:a="http://schemas.openxmlformats.org/drawingml/2006/main" vertOverflow="clip" horzOverflow="clip" vert="vert270" wrap="square" rtlCol="0">
          <a:spAutoFit/>
        </a:bodyPr>
        <a:lstStyle xmlns:a="http://schemas.openxmlformats.org/drawingml/2006/main"/>
        <a:p xmlns:a="http://schemas.openxmlformats.org/drawingml/2006/main">
          <a:r>
            <a:rPr lang="en-US" sz="1100" baseline="0">
              <a:solidFill>
                <a:schemeClr val="tx1">
                  <a:lumMod val="65000"/>
                  <a:lumOff val="35000"/>
                </a:schemeClr>
              </a:solidFill>
            </a:rPr>
            <a:t>                 </a:t>
          </a:r>
          <a:r>
            <a:rPr lang="ro-RO" sz="1000">
              <a:solidFill>
                <a:schemeClr val="tx1">
                  <a:lumMod val="65000"/>
                  <a:lumOff val="35000"/>
                </a:schemeClr>
              </a:solidFill>
            </a:rPr>
            <a:t>CA</a:t>
          </a:r>
          <a:r>
            <a:rPr lang="en-US" sz="1000">
              <a:solidFill>
                <a:schemeClr val="tx1">
                  <a:lumMod val="65000"/>
                  <a:lumOff val="35000"/>
                </a:schemeClr>
              </a:solidFill>
            </a:rPr>
            <a:t>/CS</a:t>
          </a:r>
        </a:p>
      </cdr:txBody>
    </cdr:sp>
  </cdr:relSizeAnchor>
  <cdr:relSizeAnchor xmlns:cdr="http://schemas.openxmlformats.org/drawingml/2006/chartDrawing">
    <cdr:from>
      <cdr:x>0</cdr:x>
      <cdr:y>0.61305</cdr:y>
    </cdr:from>
    <cdr:to>
      <cdr:x>0.05923</cdr:x>
      <cdr:y>0.78072</cdr:y>
    </cdr:to>
    <cdr:sp macro="" textlink="">
      <cdr:nvSpPr>
        <cdr:cNvPr id="8" name="TextBox 7"/>
        <cdr:cNvSpPr txBox="1"/>
      </cdr:nvSpPr>
      <cdr:spPr>
        <a:xfrm xmlns:a="http://schemas.openxmlformats.org/drawingml/2006/main">
          <a:off x="0" y="1942142"/>
          <a:ext cx="341184" cy="531179"/>
        </a:xfrm>
        <a:prstGeom xmlns:a="http://schemas.openxmlformats.org/drawingml/2006/main" prst="rect">
          <a:avLst/>
        </a:prstGeom>
      </cdr:spPr>
      <cdr:txBody>
        <a:bodyPr xmlns:a="http://schemas.openxmlformats.org/drawingml/2006/main" vertOverflow="clip" vert="vert270" wrap="square" rtlCol="0">
          <a:spAutoFit/>
        </a:bodyPr>
        <a:lstStyle xmlns:a="http://schemas.openxmlformats.org/drawingml/2006/main"/>
        <a:p xmlns:a="http://schemas.openxmlformats.org/drawingml/2006/main">
          <a:r>
            <a:rPr lang="en-US" sz="1000">
              <a:solidFill>
                <a:schemeClr val="tx1">
                  <a:lumMod val="65000"/>
                  <a:lumOff val="35000"/>
                </a:schemeClr>
              </a:solidFill>
            </a:rPr>
            <a:t>DIR</a:t>
          </a:r>
        </a:p>
      </cdr:txBody>
    </cdr:sp>
  </cdr:relSizeAnchor>
  <cdr:relSizeAnchor xmlns:cdr="http://schemas.openxmlformats.org/drawingml/2006/chartDrawing">
    <cdr:from>
      <cdr:x>0.05088</cdr:x>
      <cdr:y>0.15981</cdr:y>
    </cdr:from>
    <cdr:to>
      <cdr:x>0.05215</cdr:x>
      <cdr:y>0.67068</cdr:y>
    </cdr:to>
    <cdr:cxnSp macro="">
      <cdr:nvCxnSpPr>
        <cdr:cNvPr id="10" name="Straight Arrow Connector 9">
          <a:extLst xmlns:a="http://schemas.openxmlformats.org/drawingml/2006/main">
            <a:ext uri="{FF2B5EF4-FFF2-40B4-BE49-F238E27FC236}">
              <a16:creationId xmlns:a16="http://schemas.microsoft.com/office/drawing/2014/main" id="{570BD9D6-5840-4113-AB73-6C2FC7FABAD1}"/>
            </a:ext>
          </a:extLst>
        </cdr:cNvPr>
        <cdr:cNvCxnSpPr/>
      </cdr:nvCxnSpPr>
      <cdr:spPr>
        <a:xfrm xmlns:a="http://schemas.openxmlformats.org/drawingml/2006/main">
          <a:off x="293076" y="446943"/>
          <a:ext cx="7327" cy="142875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0.05215</cdr:x>
      <cdr:y>0.6864</cdr:y>
    </cdr:from>
    <cdr:to>
      <cdr:x>0.05215</cdr:x>
      <cdr:y>0.79382</cdr:y>
    </cdr:to>
    <cdr:cxnSp macro="">
      <cdr:nvCxnSpPr>
        <cdr:cNvPr id="12" name="Straight Arrow Connector 11">
          <a:extLst xmlns:a="http://schemas.openxmlformats.org/drawingml/2006/main">
            <a:ext uri="{FF2B5EF4-FFF2-40B4-BE49-F238E27FC236}">
              <a16:creationId xmlns:a16="http://schemas.microsoft.com/office/drawing/2014/main" id="{812E34D6-068C-440D-BB45-585AB06E261D}"/>
            </a:ext>
          </a:extLst>
        </cdr:cNvPr>
        <cdr:cNvCxnSpPr/>
      </cdr:nvCxnSpPr>
      <cdr:spPr>
        <a:xfrm xmlns:a="http://schemas.openxmlformats.org/drawingml/2006/main">
          <a:off x="300403" y="1919655"/>
          <a:ext cx="0" cy="300404"/>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DD81F05-6C84-4F29-B938-8C2CE8EB4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23500</Words>
  <Characters>133956</Characters>
  <Application>Microsoft Office Word</Application>
  <DocSecurity>0</DocSecurity>
  <Lines>1116</Lines>
  <Paragraphs>314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LinksUpToDate>false</LinksUpToDate>
  <CharactersWithSpaces>157142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2021-11-15T10:05:00Z</dcterms:created>
  <dcterms:modified xsi:type="dcterms:W3CDTF">2021-11-15T11:40:00Z</dcterms:modified>
</cp:coreProperties>
</file>