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wordWrap w:val="0"/>
        <w:ind w:left="1440" w:firstLine="0"/>
        <w:jc w:val="right"/>
        <w:rPr>
          <w:rFonts w:hint="default" w:ascii="Trebuchet MS" w:hAnsi="Trebuchet MS" w:cs="Trebuchet MS"/>
          <w:b w:val="0"/>
          <w:bCs w:val="0"/>
          <w:sz w:val="24"/>
          <w:szCs w:val="24"/>
        </w:rPr>
      </w:pPr>
      <w:r>
        <w:rPr>
          <w:rFonts w:hint="default" w:ascii="Trebuchet MS" w:hAnsi="Trebuchet MS" w:cs="Trebuchet MS"/>
        </w:rPr>
        <w:drawing>
          <wp:anchor distT="0" distB="0" distL="114300" distR="114300" simplePos="0" relativeHeight="2048" behindDoc="0" locked="0" layoutInCell="1" allowOverlap="1">
            <wp:simplePos x="0" y="0"/>
            <wp:positionH relativeFrom="column">
              <wp:posOffset>-171450</wp:posOffset>
            </wp:positionH>
            <wp:positionV relativeFrom="margin">
              <wp:posOffset>-786130</wp:posOffset>
            </wp:positionV>
            <wp:extent cx="899795" cy="899795"/>
            <wp:effectExtent l="0" t="0" r="14605" b="1460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6" cstate="print"/>
                    <a:stretch>
                      <a:fillRect/>
                    </a:stretch>
                  </pic:blipFill>
                  <pic:spPr>
                    <a:xfrm>
                      <a:off x="0" y="0"/>
                      <a:ext cx="899795" cy="899795"/>
                    </a:xfrm>
                    <a:prstGeom prst="rect">
                      <a:avLst/>
                    </a:prstGeom>
                  </pic:spPr>
                </pic:pic>
              </a:graphicData>
            </a:graphic>
          </wp:anchor>
        </w:drawing>
      </w:r>
      <w:r>
        <w:rPr>
          <w:rFonts w:hint="default" w:ascii="Trebuchet MS" w:hAnsi="Trebuchet MS" w:cs="Trebuchet MS"/>
          <w:b w:val="0"/>
          <w:bCs w:val="0"/>
          <w:sz w:val="24"/>
          <w:szCs w:val="24"/>
        </w:rPr>
        <mc:AlternateContent>
          <mc:Choice Requires="wps">
            <w:drawing>
              <wp:anchor distT="0" distB="0" distL="114935" distR="114935" simplePos="0" relativeHeight="251658240" behindDoc="0" locked="0" layoutInCell="1" allowOverlap="1">
                <wp:simplePos x="0" y="0"/>
                <wp:positionH relativeFrom="column">
                  <wp:posOffset>819150</wp:posOffset>
                </wp:positionH>
                <wp:positionV relativeFrom="paragraph">
                  <wp:posOffset>-771525</wp:posOffset>
                </wp:positionV>
                <wp:extent cx="3240405" cy="844550"/>
                <wp:effectExtent l="0" t="0"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3240405" cy="844550"/>
                        </a:xfrm>
                        <a:prstGeom prst="rect">
                          <a:avLst/>
                        </a:prstGeom>
                        <a:solidFill>
                          <a:srgbClr val="FFFFFF">
                            <a:alpha val="0"/>
                          </a:srgbClr>
                        </a:solidFill>
                        <a:ln>
                          <a:noFill/>
                        </a:ln>
                      </wps:spPr>
                      <wps:txbx>
                        <w:txbxContent>
                          <w:p>
                            <w:pPr>
                              <w:rPr>
                                <w:rFonts w:ascii="Franklin Gothic Demi" w:hAnsi="Franklin Gothic Demi" w:cs="Franklin Gothic Demi"/>
                                <w:color w:val="333333"/>
                                <w:spacing w:val="20"/>
                                <w:sz w:val="28"/>
                                <w:szCs w:val="28"/>
                                <w:lang w:val="fr-FR"/>
                              </w:rPr>
                            </w:pPr>
                          </w:p>
                          <w:p>
                            <w:pPr>
                              <w:pStyle w:val="266"/>
                              <w:rPr>
                                <w:rFonts w:ascii="Trajan Pro" w:hAnsi="Trajan Pro" w:cs="Trajan Pro"/>
                                <w:sz w:val="28"/>
                                <w:szCs w:val="28"/>
                              </w:rPr>
                            </w:pPr>
                            <w:r>
                              <w:rPr>
                                <w:rFonts w:ascii="Trajan Pro" w:hAnsi="Trajan Pro" w:cs="Trajan Pro"/>
                                <w:sz w:val="28"/>
                                <w:szCs w:val="28"/>
                              </w:rPr>
                              <w:t xml:space="preserve">MINISTERUL FINANŢELOR </w:t>
                            </w:r>
                          </w:p>
                          <w:p>
                            <w:pPr>
                              <w:pStyle w:val="2"/>
                            </w:pP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64.5pt;margin-top:-60.75pt;height:66.5pt;width:255.15pt;z-index:251658240;mso-width-relative:page;mso-height-relative:page;" fillcolor="#FFFFFF" filled="t" stroked="f" coordsize="21600,21600" o:gfxdata="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sHYMLXAAAACwEAAA8AAAAAAAAAAQAgAAAAIgAAAGRycy9kb3du&#10;cmV2LnhtbFBLAQIUABQAAAAIAIdO4kDQz0eKAAIAAPwDAAAOAAAAAAAAAAEAIAAAACYBAABkcnMv&#10;ZTJvRG9jLnhtbFBLBQYAAAAABgAGAFkBAACYBQAAAAA=&#10;">
                <v:fill on="t" opacity="0f" focussize="0,0"/>
                <v:stroke on="f"/>
                <v:imagedata o:title=""/>
                <o:lock v:ext="edit" aspectratio="f"/>
                <v:textbox inset="0mm,0mm,0mm,0mm">
                  <w:txbxContent>
                    <w:p>
                      <w:pPr>
                        <w:rPr>
                          <w:rFonts w:ascii="Franklin Gothic Demi" w:hAnsi="Franklin Gothic Demi" w:cs="Franklin Gothic Demi"/>
                          <w:color w:val="333333"/>
                          <w:spacing w:val="20"/>
                          <w:sz w:val="28"/>
                          <w:szCs w:val="28"/>
                          <w:lang w:val="fr-FR"/>
                        </w:rPr>
                      </w:pPr>
                    </w:p>
                    <w:p>
                      <w:pPr>
                        <w:pStyle w:val="266"/>
                        <w:rPr>
                          <w:rFonts w:ascii="Trajan Pro" w:hAnsi="Trajan Pro" w:cs="Trajan Pro"/>
                          <w:sz w:val="28"/>
                          <w:szCs w:val="28"/>
                        </w:rPr>
                      </w:pPr>
                      <w:r>
                        <w:rPr>
                          <w:rFonts w:ascii="Trajan Pro" w:hAnsi="Trajan Pro" w:cs="Trajan Pro"/>
                          <w:sz w:val="28"/>
                          <w:szCs w:val="28"/>
                        </w:rPr>
                        <w:t xml:space="preserve">MINISTERUL FINANŢELOR </w:t>
                      </w:r>
                    </w:p>
                    <w:p>
                      <w:pPr>
                        <w:pStyle w:val="2"/>
                      </w:pPr>
                    </w:p>
                  </w:txbxContent>
                </v:textbox>
              </v:shape>
            </w:pict>
          </mc:Fallback>
        </mc:AlternateContent>
      </w:r>
      <w:r>
        <w:rPr>
          <w:rFonts w:hint="default" w:ascii="Trebuchet MS" w:hAnsi="Trebuchet MS" w:cs="Trebuchet MS"/>
          <w:b w:val="0"/>
          <w:bCs w:val="0"/>
          <w:sz w:val="24"/>
          <w:szCs w:val="24"/>
          <w:lang w:val="en-US"/>
        </w:rPr>
        <w:t>Anexa la OMF nr……………</w:t>
      </w:r>
      <w:r>
        <w:rPr>
          <w:rFonts w:hint="default" w:ascii="Trebuchet MS" w:hAnsi="Trebuchet MS" w:cs="Trebuchet MS"/>
          <w:b w:val="0"/>
          <w:bCs w:val="0"/>
          <w:sz w:val="24"/>
          <w:szCs w:val="24"/>
          <w:lang w:val="ro-RO"/>
        </w:rPr>
        <w:t>/    .    .2022</w:t>
      </w:r>
    </w:p>
    <w:p>
      <w:pPr>
        <w:jc w:val="both"/>
        <w:rPr>
          <w:sz w:val="28"/>
          <w:szCs w:val="28"/>
        </w:rPr>
      </w:pPr>
      <w:r>
        <w:rPr>
          <w:rFonts w:eastAsia="Arial"/>
          <w:b/>
          <w:bCs/>
          <w:sz w:val="28"/>
          <w:szCs w:val="28"/>
          <w:lang w:val="pt-BR"/>
        </w:rPr>
        <w:t xml:space="preserve">  </w:t>
      </w:r>
      <w:r>
        <w:rPr>
          <w:rFonts w:eastAsia="Arial"/>
          <w:bCs/>
          <w:sz w:val="28"/>
          <w:szCs w:val="28"/>
          <w:lang w:val="pt-BR"/>
        </w:rPr>
        <w:t xml:space="preserve">                                          </w:t>
      </w:r>
    </w:p>
    <w:p>
      <w:pPr>
        <w:jc w:val="both"/>
        <w:rPr>
          <w:sz w:val="28"/>
          <w:szCs w:val="28"/>
        </w:rPr>
      </w:pPr>
    </w:p>
    <w:p>
      <w:pPr>
        <w:pageBreakBefore w:val="0"/>
        <w:kinsoku/>
        <w:wordWrap/>
        <w:overflowPunct/>
        <w:topLinePunct w:val="0"/>
        <w:bidi w:val="0"/>
        <w:snapToGrid/>
        <w:ind w:left="-240" w:leftChars="-100" w:right="-94" w:rightChars="-39" w:firstLine="0" w:firstLineChars="0"/>
        <w:jc w:val="center"/>
        <w:textAlignment w:val="auto"/>
        <w:rPr>
          <w:rFonts w:hint="default" w:ascii="Trebuchet MS" w:hAnsi="Trebuchet MS" w:cs="Trebuchet MS"/>
          <w:b/>
          <w:sz w:val="24"/>
          <w:szCs w:val="24"/>
          <w:lang w:val="ro-RO"/>
        </w:rPr>
      </w:pPr>
      <w:r>
        <w:rPr>
          <w:rFonts w:hint="default" w:ascii="Trebuchet MS" w:hAnsi="Trebuchet MS" w:cs="Trebuchet MS"/>
          <w:b/>
          <w:sz w:val="24"/>
          <w:szCs w:val="24"/>
          <w:lang w:val="ro-RO"/>
        </w:rPr>
        <w:t>SCRISOARE DE AȘTEPTĂRI</w:t>
      </w:r>
    </w:p>
    <w:p>
      <w:pPr>
        <w:pageBreakBefore w:val="0"/>
        <w:kinsoku/>
        <w:wordWrap/>
        <w:overflowPunct/>
        <w:topLinePunct w:val="0"/>
        <w:bidi w:val="0"/>
        <w:snapToGrid/>
        <w:ind w:left="-240" w:leftChars="-100" w:right="-94" w:rightChars="-39" w:firstLine="0" w:firstLineChars="0"/>
        <w:jc w:val="center"/>
        <w:textAlignment w:val="auto"/>
        <w:rPr>
          <w:rFonts w:hint="default" w:ascii="Trebuchet MS" w:hAnsi="Trebuchet MS" w:cs="Trebuchet MS"/>
          <w:b/>
          <w:sz w:val="24"/>
          <w:szCs w:val="24"/>
          <w:lang w:val="ro-RO"/>
        </w:rPr>
      </w:pPr>
    </w:p>
    <w:p>
      <w:pPr>
        <w:pageBreakBefore w:val="0"/>
        <w:kinsoku/>
        <w:wordWrap/>
        <w:overflowPunct/>
        <w:topLinePunct w:val="0"/>
        <w:bidi w:val="0"/>
        <w:snapToGrid/>
        <w:ind w:left="-240" w:leftChars="-100" w:right="-94" w:rightChars="-39" w:firstLine="0" w:firstLineChars="0"/>
        <w:jc w:val="center"/>
        <w:textAlignment w:val="auto"/>
        <w:rPr>
          <w:rFonts w:hint="default" w:ascii="Trebuchet MS" w:hAnsi="Trebuchet MS" w:cs="Trebuchet MS"/>
          <w:b/>
          <w:sz w:val="24"/>
          <w:szCs w:val="24"/>
          <w:lang w:val="ro-RO"/>
        </w:rPr>
      </w:pPr>
      <w:r>
        <w:rPr>
          <w:rFonts w:hint="default" w:ascii="Trebuchet MS" w:hAnsi="Trebuchet MS" w:cs="Trebuchet MS"/>
          <w:b/>
          <w:sz w:val="24"/>
          <w:szCs w:val="24"/>
          <w:lang w:val="ro-RO"/>
        </w:rPr>
        <w:t>prin care Ministerul Finanțelor stabilește performanțele așteptate de la organele de administrare și conducere ale Fondului Național de Garantare a Creditelor pentru Întreprinderile Mici și Mijlocii S.A. – IFN,</w:t>
      </w:r>
      <w:r>
        <w:rPr>
          <w:rFonts w:hint="default" w:ascii="Trebuchet MS" w:hAnsi="Trebuchet MS" w:eastAsia="Times New Roman" w:cs="Trebuchet MS"/>
          <w:b/>
          <w:bCs/>
          <w:i w:val="0"/>
          <w:iCs w:val="0"/>
          <w:color w:val="000000"/>
          <w:sz w:val="24"/>
          <w:szCs w:val="24"/>
          <w:u w:val="none"/>
          <w:lang w:val="ro-RO" w:eastAsia="zh-CN" w:bidi="ar-SA"/>
        </w:rPr>
        <w:t xml:space="preserve"> </w:t>
      </w:r>
      <w:r>
        <w:rPr>
          <w:rFonts w:hint="default" w:ascii="Trebuchet MS" w:hAnsi="Trebuchet MS" w:eastAsia="Times New Roman" w:cs="Trebuchet MS"/>
          <w:b/>
          <w:bCs/>
          <w:i w:val="0"/>
          <w:iCs w:val="0"/>
          <w:color w:val="auto"/>
          <w:sz w:val="24"/>
          <w:szCs w:val="24"/>
          <w:u w:val="none"/>
          <w:shd w:val="clear" w:color="auto" w:fill="auto"/>
          <w:lang w:val="en-GB" w:eastAsia="zh-CN" w:bidi="ar-SA"/>
        </w:rPr>
        <w:t>precum și politica actionarului, pentru o perioadă de 4 ani</w:t>
      </w:r>
    </w:p>
    <w:p>
      <w:pPr>
        <w:pageBreakBefore w:val="0"/>
        <w:kinsoku/>
        <w:wordWrap/>
        <w:overflowPunct/>
        <w:topLinePunct w:val="0"/>
        <w:bidi w:val="0"/>
        <w:snapToGrid/>
        <w:ind w:left="-240" w:leftChars="-100" w:right="-334" w:rightChars="-139" w:firstLine="0" w:firstLineChars="0"/>
        <w:jc w:val="both"/>
        <w:textAlignment w:val="auto"/>
        <w:rPr>
          <w:rFonts w:hint="default" w:ascii="Trebuchet MS" w:hAnsi="Trebuchet MS" w:cs="Trebuchet MS"/>
          <w:b/>
          <w:sz w:val="24"/>
          <w:szCs w:val="24"/>
          <w:lang w:val="ro-RO"/>
        </w:rPr>
      </w:pPr>
    </w:p>
    <w:p>
      <w:pPr>
        <w:pStyle w:val="227"/>
        <w:keepNext w:val="0"/>
        <w:keepLines w:val="0"/>
        <w:pageBreakBefore w:val="0"/>
        <w:widowControl w:val="0"/>
        <w:kinsoku/>
        <w:wordWrap/>
        <w:overflowPunct/>
        <w:topLinePunct w:val="0"/>
        <w:autoSpaceDE/>
        <w:autoSpaceDN/>
        <w:bidi w:val="0"/>
        <w:adjustRightInd/>
        <w:snapToGrid/>
        <w:spacing w:after="0" w:line="240" w:lineRule="auto"/>
        <w:ind w:left="-240" w:leftChars="-100" w:right="-334" w:rightChars="-139"/>
        <w:jc w:val="both"/>
        <w:textAlignment w:val="auto"/>
        <w:rPr>
          <w:rFonts w:ascii="Trebuchet MS" w:hAnsi="Trebuchet MS" w:cs="Trebuchet MS"/>
          <w:color w:val="auto"/>
          <w:sz w:val="24"/>
          <w:szCs w:val="24"/>
          <w:lang w:val="ro-RO"/>
        </w:rPr>
      </w:pPr>
      <w:r>
        <w:rPr>
          <w:rFonts w:ascii="Trebuchet MS" w:hAnsi="Trebuchet MS" w:cs="Trebuchet MS"/>
          <w:color w:val="auto"/>
          <w:sz w:val="24"/>
          <w:szCs w:val="24"/>
          <w:lang w:val="ro-RO"/>
        </w:rPr>
        <w:t>Statul român, prin Ministerul Finanțelor (MF), în calitatea sa de acționar unic și de autoritate publică tutelară, prin structura sa de guvernanță corporativă, a redactat prezenta scrisoare care stabilește așteptările acționarilor privind performanțele FNGCIMM S.A. și ale organelor de administrare și conducere ale acesteia, pentru o perioadă de 4 ani. Acestea trebuie să fie văzute în contextul în care statul prin MF dorește o îmbunătăţire continuă a performanţei și guvernanţei întreprinderilor publice din portofoliul său, precum și crearea unei relații de cooperare bazate pe încredere reciprocă, cu respectarea principiilor transparenței, responsabilității, eficienței economice și profitabilității fondului.</w:t>
      </w:r>
    </w:p>
    <w:p>
      <w:pPr>
        <w:pStyle w:val="227"/>
        <w:keepNext w:val="0"/>
        <w:keepLines w:val="0"/>
        <w:pageBreakBefore w:val="0"/>
        <w:widowControl w:val="0"/>
        <w:kinsoku/>
        <w:wordWrap/>
        <w:overflowPunct/>
        <w:topLinePunct w:val="0"/>
        <w:autoSpaceDE/>
        <w:autoSpaceDN/>
        <w:bidi w:val="0"/>
        <w:adjustRightInd/>
        <w:snapToGrid/>
        <w:spacing w:after="0" w:line="240" w:lineRule="auto"/>
        <w:ind w:left="-240" w:leftChars="-100" w:right="-334" w:rightChars="-139"/>
        <w:jc w:val="both"/>
        <w:textAlignment w:val="auto"/>
        <w:rPr>
          <w:rFonts w:ascii="Trebuchet MS" w:hAnsi="Trebuchet MS" w:cs="Trebuchet MS"/>
          <w:color w:val="auto"/>
          <w:sz w:val="24"/>
          <w:szCs w:val="24"/>
          <w:lang w:val="ro-RO"/>
        </w:rPr>
      </w:pPr>
    </w:p>
    <w:p>
      <w:pPr>
        <w:pStyle w:val="227"/>
        <w:keepNext w:val="0"/>
        <w:keepLines w:val="0"/>
        <w:pageBreakBefore w:val="0"/>
        <w:widowControl w:val="0"/>
        <w:kinsoku/>
        <w:wordWrap/>
        <w:overflowPunct/>
        <w:topLinePunct w:val="0"/>
        <w:autoSpaceDE/>
        <w:autoSpaceDN/>
        <w:bidi w:val="0"/>
        <w:adjustRightInd/>
        <w:snapToGrid/>
        <w:spacing w:after="0" w:line="240" w:lineRule="auto"/>
        <w:ind w:left="-240" w:leftChars="-100" w:right="-334" w:rightChars="-139"/>
        <w:jc w:val="both"/>
        <w:textAlignment w:val="auto"/>
        <w:rPr>
          <w:rFonts w:ascii="Trebuchet MS" w:hAnsi="Trebuchet MS" w:cs="Trebuchet MS"/>
          <w:color w:val="auto"/>
          <w:sz w:val="24"/>
          <w:szCs w:val="24"/>
          <w:lang w:val="ro-RO"/>
        </w:rPr>
      </w:pPr>
      <w:r>
        <w:rPr>
          <w:rFonts w:ascii="Trebuchet MS" w:hAnsi="Trebuchet MS" w:cs="Trebuchet MS"/>
          <w:color w:val="auto"/>
          <w:sz w:val="24"/>
          <w:szCs w:val="24"/>
          <w:lang w:val="ro-RO"/>
        </w:rPr>
        <w:t>Prezentul document a fost redactat în temeiul prevederilor O.U.G. nr.109/2011 privind guvernanța corporativă a întreprinderilor publice, modificată și aprobată prin Legea nr.111/2016 și ale Normelor metodologice de aplicare a O.U.G. nr.109/2011, cu modificările și completările ulterioare, aprobate prin H.G. nr.722/2016.</w:t>
      </w:r>
    </w:p>
    <w:p>
      <w:pPr>
        <w:keepNext w:val="0"/>
        <w:keepLines w:val="0"/>
        <w:pageBreakBefore w:val="0"/>
        <w:kinsoku/>
        <w:wordWrap/>
        <w:overflowPunct/>
        <w:topLinePunct w:val="0"/>
        <w:autoSpaceDE/>
        <w:autoSpaceDN/>
        <w:bidi w:val="0"/>
        <w:adjustRightInd/>
        <w:snapToGrid/>
        <w:spacing w:after="0"/>
        <w:ind w:left="-240" w:leftChars="-100" w:right="-334" w:rightChars="-139"/>
        <w:jc w:val="center"/>
        <w:textAlignment w:val="auto"/>
        <w:rPr>
          <w:rFonts w:ascii="Trebuchet MS" w:hAnsi="Trebuchet MS" w:cs="Trebuchet MS"/>
          <w:b/>
          <w:lang w:val="ro-RO"/>
        </w:rPr>
      </w:pPr>
    </w:p>
    <w:p>
      <w:pPr>
        <w:keepNext w:val="0"/>
        <w:keepLines w:val="0"/>
        <w:pageBreakBefore w:val="0"/>
        <w:widowControl/>
        <w:tabs>
          <w:tab w:val="left" w:pos="270"/>
          <w:tab w:val="left" w:pos="450"/>
        </w:tabs>
        <w:suppressAutoHyphens w:val="0"/>
        <w:kinsoku/>
        <w:wordWrap/>
        <w:overflowPunct/>
        <w:topLinePunct w:val="0"/>
        <w:autoSpaceDE/>
        <w:autoSpaceDN/>
        <w:bidi w:val="0"/>
        <w:adjustRightInd/>
        <w:snapToGrid/>
        <w:spacing w:after="0" w:line="240" w:lineRule="auto"/>
        <w:ind w:left="-240" w:leftChars="-100" w:right="-334" w:rightChars="-139"/>
        <w:jc w:val="both"/>
        <w:textAlignment w:val="auto"/>
        <w:rPr>
          <w:rFonts w:ascii="Trebuchet MS" w:hAnsi="Trebuchet MS" w:cs="Trebuchet MS"/>
          <w:b/>
          <w:bCs/>
          <w:lang w:val="ro-RO"/>
        </w:rPr>
      </w:pPr>
      <w:r>
        <w:rPr>
          <w:rFonts w:ascii="Trebuchet MS" w:hAnsi="Trebuchet MS" w:cs="Trebuchet MS"/>
          <w:b/>
          <w:bCs/>
          <w:lang w:val="ro-RO"/>
        </w:rPr>
        <w:t>1. PARTICIPAREA STATULUI ÎN ECONOMIE</w:t>
      </w:r>
      <w:r>
        <w:rPr>
          <w:rFonts w:hint="default" w:ascii="Trebuchet MS" w:hAnsi="Trebuchet MS" w:cs="Trebuchet MS"/>
          <w:b/>
          <w:bCs/>
          <w:lang w:val="ro-RO"/>
        </w:rPr>
        <w:t xml:space="preserve"> </w:t>
      </w:r>
      <w:r>
        <w:rPr>
          <w:rFonts w:ascii="Trebuchet MS" w:hAnsi="Trebuchet MS" w:cs="Trebuchet MS"/>
          <w:b/>
          <w:bCs/>
          <w:lang w:val="ro-RO"/>
        </w:rPr>
        <w:t>-</w:t>
      </w:r>
      <w:r>
        <w:rPr>
          <w:rFonts w:ascii="Trebuchet MS" w:hAnsi="Trebuchet MS" w:cs="Trebuchet MS"/>
          <w:b/>
          <w:bCs/>
          <w:lang w:val="ro-RO" w:eastAsia="ro-RO" w:bidi="ro-RO"/>
        </w:rPr>
        <w:t xml:space="preserve"> ROLUL SCRISORII DE AȘTEPTĂRI.</w:t>
      </w:r>
    </w:p>
    <w:p>
      <w:pPr>
        <w:keepNext w:val="0"/>
        <w:keepLines w:val="0"/>
        <w:pageBreakBefore w:val="0"/>
        <w:widowControl/>
        <w:kinsoku/>
        <w:wordWrap/>
        <w:overflowPunct/>
        <w:topLinePunct w:val="0"/>
        <w:autoSpaceDE/>
        <w:autoSpaceDN/>
        <w:bidi w:val="0"/>
        <w:adjustRightInd/>
        <w:snapToGrid/>
        <w:spacing w:after="0" w:line="240" w:lineRule="auto"/>
        <w:ind w:left="-240" w:leftChars="-100" w:right="-334" w:rightChars="-139"/>
        <w:contextualSpacing/>
        <w:jc w:val="both"/>
        <w:textAlignment w:val="auto"/>
        <w:rPr>
          <w:rFonts w:ascii="Trebuchet MS" w:hAnsi="Trebuchet MS" w:cs="Trebuchet MS"/>
          <w:lang w:val="ro-RO"/>
        </w:rPr>
      </w:pPr>
    </w:p>
    <w:p>
      <w:pPr>
        <w:keepNext w:val="0"/>
        <w:keepLines w:val="0"/>
        <w:pageBreakBefore w:val="0"/>
        <w:widowControl/>
        <w:kinsoku/>
        <w:wordWrap/>
        <w:overflowPunct/>
        <w:topLinePunct w:val="0"/>
        <w:autoSpaceDE/>
        <w:autoSpaceDN/>
        <w:bidi w:val="0"/>
        <w:adjustRightInd/>
        <w:snapToGrid/>
        <w:spacing w:after="0" w:line="240" w:lineRule="auto"/>
        <w:ind w:left="-240" w:leftChars="-100" w:right="-334" w:rightChars="-139"/>
        <w:contextualSpacing/>
        <w:jc w:val="both"/>
        <w:textAlignment w:val="auto"/>
        <w:rPr>
          <w:rFonts w:ascii="Trebuchet MS" w:hAnsi="Trebuchet MS" w:cs="Trebuchet MS"/>
          <w:lang w:val="ro-RO"/>
        </w:rPr>
      </w:pPr>
      <w:r>
        <w:rPr>
          <w:rFonts w:ascii="Trebuchet MS" w:hAnsi="Trebuchet MS" w:cs="Trebuchet MS"/>
          <w:lang w:val="ro-RO"/>
        </w:rPr>
        <w:t xml:space="preserve">În calitate de autoritate publică tutelară, </w:t>
      </w:r>
      <w:r>
        <w:rPr>
          <w:rFonts w:ascii="Trebuchet MS" w:hAnsi="Trebuchet MS" w:cs="Trebuchet MS"/>
          <w:bCs/>
          <w:lang w:val="ro-RO"/>
        </w:rPr>
        <w:t>Ministerul Finanțelor,</w:t>
      </w:r>
      <w:r>
        <w:rPr>
          <w:rFonts w:ascii="Trebuchet MS" w:hAnsi="Trebuchet MS" w:cs="Trebuchet MS"/>
          <w:lang w:val="ro-RO"/>
        </w:rPr>
        <w:t xml:space="preserve"> publică prezenta  </w:t>
      </w:r>
      <w:r>
        <w:rPr>
          <w:rFonts w:ascii="Trebuchet MS" w:hAnsi="Trebuchet MS" w:cs="Trebuchet MS"/>
          <w:b/>
          <w:bCs/>
          <w:lang w:val="ro-RO"/>
        </w:rPr>
        <w:t>Scrisoare  de așteptări</w:t>
      </w:r>
      <w:r>
        <w:rPr>
          <w:rFonts w:ascii="Trebuchet MS" w:hAnsi="Trebuchet MS" w:cs="Trebuchet MS"/>
          <w:lang w:val="ro-RO"/>
        </w:rPr>
        <w:t xml:space="preserve">,  document  de  lucru care  stabilește </w:t>
      </w:r>
      <w:r>
        <w:rPr>
          <w:rFonts w:ascii="Trebuchet MS" w:hAnsi="Trebuchet MS" w:cs="Trebuchet MS"/>
          <w:i/>
          <w:iCs/>
          <w:shd w:val="clear" w:color="auto" w:fill="FFFFFF"/>
          <w:lang w:val="ro-RO"/>
        </w:rPr>
        <w:t>performanțele așteptate de la organele de administrare și conducere a </w:t>
      </w:r>
      <w:r>
        <w:rPr>
          <w:rFonts w:ascii="Trebuchet MS" w:hAnsi="Trebuchet MS" w:cs="Trebuchet MS"/>
          <w:lang w:val="ro-RO"/>
        </w:rPr>
        <w:t xml:space="preserve"> </w:t>
      </w:r>
      <w:r>
        <w:rPr>
          <w:rFonts w:ascii="Trebuchet MS" w:hAnsi="Trebuchet MS" w:cs="Trebuchet MS"/>
          <w:b/>
          <w:lang w:val="ro-RO"/>
        </w:rPr>
        <w:t>Fondului Național de Garantare a Creditelor pentru Întreprinderile Mici și Mijlocii S.A. – IFN (F.N.G.C.I.M.M. S.A.-IFN)</w:t>
      </w:r>
      <w:r>
        <w:rPr>
          <w:rFonts w:ascii="Trebuchet MS" w:hAnsi="Trebuchet MS" w:cs="Trebuchet MS"/>
          <w:i/>
          <w:iCs/>
          <w:shd w:val="clear" w:color="auto" w:fill="FFFFFF"/>
          <w:lang w:val="ro-RO"/>
        </w:rPr>
        <w:t xml:space="preserve"> precum și politica </w:t>
      </w:r>
      <w:r>
        <w:rPr>
          <w:rFonts w:ascii="Trebuchet MS" w:hAnsi="Trebuchet MS" w:cs="Trebuchet MS"/>
          <w:bCs/>
          <w:lang w:val="ro-RO"/>
        </w:rPr>
        <w:t>Ministerului Finanțelor,</w:t>
      </w:r>
      <w:r>
        <w:rPr>
          <w:rFonts w:ascii="Trebuchet MS" w:hAnsi="Trebuchet MS" w:cs="Trebuchet MS"/>
          <w:lang w:val="ro-RO"/>
        </w:rPr>
        <w:t xml:space="preserve"> </w:t>
      </w:r>
      <w:r>
        <w:rPr>
          <w:rFonts w:ascii="Trebuchet MS" w:hAnsi="Trebuchet MS" w:cs="Trebuchet MS"/>
          <w:i/>
          <w:iCs/>
          <w:shd w:val="clear" w:color="auto" w:fill="FFFFFF"/>
          <w:lang w:val="ro-RO"/>
        </w:rPr>
        <w:t>privind întreprinderile publice care au obligații specifice legate de asigurarea serviciului public, pentru o perioadă de cel puțin 4 ani.</w:t>
      </w:r>
      <w:r>
        <w:rPr>
          <w:rFonts w:ascii="Trebuchet MS" w:hAnsi="Trebuchet MS" w:cs="Trebuchet MS"/>
          <w:b/>
          <w:lang w:val="ro-RO"/>
        </w:rPr>
        <w:t xml:space="preserve"> </w:t>
      </w:r>
      <w:r>
        <w:rPr>
          <w:rFonts w:ascii="Trebuchet MS" w:hAnsi="Trebuchet MS" w:cs="Trebuchet MS"/>
          <w:lang w:val="ro-RO"/>
        </w:rPr>
        <w:t xml:space="preserve">  Scrisoarea de așteptări a fost elaborată în temeiul prevederilor OUG nr.109/2011 privind guvernanța corporativă a întreprinderilor publice, modificată și aprobată prin Legea nr.111/2016 și ale Normelor metodologice de aplicare a OUG nr.109/2011, cu modificările și completările ulterioare, aprobate prin HG nr.722/2016.</w:t>
      </w:r>
    </w:p>
    <w:p>
      <w:pPr>
        <w:ind w:left="-240" w:leftChars="-100" w:right="-334" w:rightChars="-139"/>
        <w:contextualSpacing/>
        <w:jc w:val="both"/>
        <w:rPr>
          <w:rFonts w:ascii="Trebuchet MS" w:hAnsi="Trebuchet MS" w:cs="Trebuchet MS"/>
          <w:lang w:val="ro-RO"/>
        </w:rPr>
      </w:pPr>
    </w:p>
    <w:p>
      <w:pPr>
        <w:ind w:left="-240" w:leftChars="-100" w:right="-334" w:rightChars="-139"/>
        <w:contextualSpacing/>
        <w:jc w:val="both"/>
        <w:rPr>
          <w:rFonts w:ascii="Trebuchet MS" w:hAnsi="Trebuchet MS" w:cs="Trebuchet MS"/>
          <w:lang w:val="ro-RO"/>
        </w:rPr>
      </w:pPr>
      <w:r>
        <w:rPr>
          <w:rFonts w:ascii="Trebuchet MS" w:hAnsi="Trebuchet MS" w:cs="Trebuchet MS"/>
          <w:lang w:val="ro-RO"/>
        </w:rPr>
        <w:t>Prezenta scrisoare de așteptări   are  rolul   de   a   ghida   candidații pentru:</w:t>
      </w:r>
    </w:p>
    <w:p>
      <w:pPr>
        <w:numPr>
          <w:ilvl w:val="0"/>
          <w:numId w:val="3"/>
        </w:numPr>
        <w:ind w:left="-240" w:leftChars="-100" w:right="-334" w:rightChars="-139" w:firstLine="0"/>
        <w:contextualSpacing/>
        <w:jc w:val="both"/>
        <w:rPr>
          <w:rFonts w:ascii="Trebuchet MS" w:hAnsi="Trebuchet MS" w:cs="Trebuchet MS"/>
          <w:lang w:val="ro-RO"/>
        </w:rPr>
      </w:pPr>
      <w:r>
        <w:rPr>
          <w:rFonts w:ascii="Trebuchet MS" w:hAnsi="Trebuchet MS" w:cs="Trebuchet MS"/>
          <w:lang w:val="ro-RO"/>
        </w:rPr>
        <w:t xml:space="preserve">cele </w:t>
      </w:r>
      <w:r>
        <w:rPr>
          <w:rFonts w:ascii="Trebuchet MS" w:hAnsi="Trebuchet MS" w:cs="Trebuchet MS"/>
          <w:b/>
          <w:bCs/>
          <w:lang w:val="ro-RO"/>
        </w:rPr>
        <w:t>9 posturi de administrator;</w:t>
      </w:r>
    </w:p>
    <w:p>
      <w:pPr>
        <w:numPr>
          <w:ilvl w:val="0"/>
          <w:numId w:val="3"/>
        </w:numPr>
        <w:ind w:left="-240" w:leftChars="-100" w:right="-334" w:rightChars="-139" w:firstLine="0"/>
        <w:contextualSpacing/>
        <w:jc w:val="both"/>
        <w:rPr>
          <w:rFonts w:ascii="Trebuchet MS" w:hAnsi="Trebuchet MS" w:cs="Trebuchet MS"/>
          <w:lang w:val="ro-RO"/>
        </w:rPr>
      </w:pPr>
      <w:r>
        <w:rPr>
          <w:rFonts w:ascii="Trebuchet MS" w:hAnsi="Trebuchet MS" w:cs="Trebuchet MS"/>
          <w:lang w:val="ro-RO"/>
        </w:rPr>
        <w:t xml:space="preserve">1 post de </w:t>
      </w:r>
      <w:r>
        <w:rPr>
          <w:rFonts w:ascii="Trebuchet MS" w:hAnsi="Trebuchet MS" w:cs="Trebuchet MS"/>
          <w:b/>
          <w:lang w:val="ro-RO"/>
        </w:rPr>
        <w:t>Director General;</w:t>
      </w:r>
    </w:p>
    <w:p>
      <w:pPr>
        <w:numPr>
          <w:ilvl w:val="0"/>
          <w:numId w:val="3"/>
        </w:numPr>
        <w:ind w:left="-240" w:leftChars="-100" w:right="-334" w:rightChars="-139" w:firstLine="0"/>
        <w:contextualSpacing/>
        <w:jc w:val="both"/>
        <w:rPr>
          <w:rFonts w:ascii="Trebuchet MS" w:hAnsi="Trebuchet MS" w:cs="Trebuchet MS"/>
          <w:lang w:val="ro-RO"/>
        </w:rPr>
      </w:pPr>
      <w:r>
        <w:rPr>
          <w:rFonts w:ascii="Trebuchet MS" w:hAnsi="Trebuchet MS" w:cs="Trebuchet MS"/>
          <w:lang w:val="ro-RO"/>
        </w:rPr>
        <w:t xml:space="preserve">1 post de </w:t>
      </w:r>
      <w:r>
        <w:rPr>
          <w:rFonts w:ascii="Trebuchet MS" w:hAnsi="Trebuchet MS" w:cs="Trebuchet MS"/>
          <w:b/>
          <w:lang w:val="ro-RO"/>
        </w:rPr>
        <w:t>Director General Adjunct;</w:t>
      </w:r>
    </w:p>
    <w:p>
      <w:pPr>
        <w:numPr>
          <w:ilvl w:val="0"/>
          <w:numId w:val="3"/>
        </w:numPr>
        <w:ind w:left="-240" w:leftChars="-100" w:right="-334" w:rightChars="-139" w:firstLine="0"/>
        <w:contextualSpacing/>
        <w:jc w:val="both"/>
        <w:rPr>
          <w:rFonts w:ascii="Trebuchet MS" w:hAnsi="Trebuchet MS" w:cs="Trebuchet MS"/>
          <w:lang w:val="ro-RO"/>
        </w:rPr>
      </w:pPr>
      <w:r>
        <w:rPr>
          <w:rFonts w:ascii="Trebuchet MS" w:hAnsi="Trebuchet MS" w:cs="Trebuchet MS"/>
          <w:lang w:val="ro-RO"/>
        </w:rPr>
        <w:t xml:space="preserve">1 post de  </w:t>
      </w:r>
      <w:r>
        <w:rPr>
          <w:rFonts w:ascii="Trebuchet MS" w:hAnsi="Trebuchet MS" w:cs="Trebuchet MS"/>
          <w:b/>
          <w:lang w:val="ro-RO"/>
        </w:rPr>
        <w:t>Director Finaciar-Contabilitate;</w:t>
      </w:r>
    </w:p>
    <w:p>
      <w:pPr>
        <w:pageBreakBefore w:val="0"/>
        <w:kinsoku/>
        <w:wordWrap/>
        <w:overflowPunct/>
        <w:topLinePunct w:val="0"/>
        <w:bidi w:val="0"/>
        <w:snapToGrid/>
        <w:spacing w:after="0" w:line="240" w:lineRule="auto"/>
        <w:ind w:left="-240" w:leftChars="-100" w:right="-334" w:rightChars="-139"/>
        <w:contextualSpacing/>
        <w:jc w:val="both"/>
        <w:textAlignment w:val="auto"/>
        <w:rPr>
          <w:rFonts w:ascii="Trebuchet MS" w:hAnsi="Trebuchet MS" w:cs="Trebuchet MS"/>
          <w:bCs/>
          <w:lang w:val="ro-RO"/>
        </w:rPr>
      </w:pPr>
      <w:r>
        <w:rPr>
          <w:rFonts w:ascii="Trebuchet MS" w:hAnsi="Trebuchet MS" w:cs="Trebuchet MS"/>
          <w:lang w:val="ro-RO"/>
        </w:rPr>
        <w:t xml:space="preserve">selectați și înscriși în lista scurtă de către expertul independent în recrutarea resurselor umane, în întocmirea Declarației de intenție (document de lucru prin care aceștia  își   prezintă  viziunea   sau  programul   privind  dezvoltarea </w:t>
      </w:r>
      <w:r>
        <w:rPr>
          <w:rFonts w:ascii="Trebuchet MS" w:hAnsi="Trebuchet MS" w:cs="Trebuchet MS"/>
          <w:bCs/>
          <w:lang w:val="ro-RO"/>
        </w:rPr>
        <w:t>F.N.G.C.I.M.M. S.A.-IFN).</w:t>
      </w:r>
    </w:p>
    <w:p>
      <w:pPr>
        <w:pStyle w:val="10"/>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lang w:val="ro-RO" w:eastAsia="ro-RO" w:bidi="ro-RO"/>
        </w:rPr>
      </w:pPr>
    </w:p>
    <w:p>
      <w:pPr>
        <w:pStyle w:val="10"/>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lang w:val="ro-RO"/>
        </w:rPr>
      </w:pPr>
      <w:r>
        <w:rPr>
          <w:rFonts w:ascii="Trebuchet MS" w:hAnsi="Trebuchet MS" w:cs="Trebuchet MS"/>
          <w:sz w:val="24"/>
          <w:lang w:val="ro-RO" w:eastAsia="ro-RO" w:bidi="ro-RO"/>
        </w:rPr>
        <w:t>Totodată Scrisoarea de așteptări stabilește principalele cerințe care stau la baza criteriilor de selecție a candidaților pentru posturile de membru al consiliului de administrație și directori. Aceleași cerințe vor fi avute în vedere și în momentul întocmirii planului de administrare al societății.</w:t>
      </w:r>
    </w:p>
    <w:p>
      <w:pPr>
        <w:pStyle w:val="10"/>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lang w:val="ro-RO" w:eastAsia="ro-RO" w:bidi="ro-RO"/>
        </w:rPr>
      </w:pPr>
    </w:p>
    <w:p>
      <w:pPr>
        <w:pStyle w:val="10"/>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lang w:val="ro-RO"/>
        </w:rPr>
      </w:pPr>
      <w:r>
        <w:rPr>
          <w:rFonts w:ascii="Trebuchet MS" w:hAnsi="Trebuchet MS" w:cs="Trebuchet MS"/>
          <w:sz w:val="24"/>
          <w:lang w:val="ro-RO" w:eastAsia="ro-RO" w:bidi="ro-RO"/>
        </w:rPr>
        <w:t>Întreprinderile publice - regii autonome și societăți la care statul deține participații integrale sau majoritare sau participații care le asigură controlul - sunt un segment important al economiei naționale și prin activitatea și rezultatele lor financiare au influență asupra stabilității și dezvoltării economice a țării.</w:t>
      </w:r>
    </w:p>
    <w:p>
      <w:pPr>
        <w:pStyle w:val="10"/>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lang w:val="ro-RO" w:eastAsia="ro-RO" w:bidi="ro-RO"/>
        </w:rPr>
      </w:pPr>
    </w:p>
    <w:p>
      <w:pPr>
        <w:pStyle w:val="10"/>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lang w:val="ro-RO"/>
        </w:rPr>
      </w:pPr>
      <w:r>
        <w:rPr>
          <w:rFonts w:ascii="Trebuchet MS" w:hAnsi="Trebuchet MS" w:cs="Trebuchet MS"/>
          <w:sz w:val="24"/>
          <w:lang w:val="ro-RO" w:eastAsia="ro-RO" w:bidi="ro-RO"/>
        </w:rPr>
        <w:t xml:space="preserve">Guvernul României consideră că, printr-o politică rațională, prudentă și axată pe rezultate în administrarea </w:t>
      </w:r>
      <w:r>
        <w:rPr>
          <w:rFonts w:ascii="Trebuchet MS" w:hAnsi="Trebuchet MS" w:cs="Trebuchet MS"/>
          <w:sz w:val="24"/>
          <w:lang w:val="ro-RO" w:eastAsia="en-US" w:bidi="en-US"/>
        </w:rPr>
        <w:t xml:space="preserve">participatiilor </w:t>
      </w:r>
      <w:r>
        <w:rPr>
          <w:rFonts w:ascii="Trebuchet MS" w:hAnsi="Trebuchet MS" w:cs="Trebuchet MS"/>
          <w:sz w:val="24"/>
          <w:lang w:val="ro-RO" w:eastAsia="ro-RO" w:bidi="ro-RO"/>
        </w:rPr>
        <w:t>în economie, și mai ales printr-un cadru adecvat de guvernanță corporativă, statul își poate îmbunătăți considerabil rolul de acționar. Managementul profesionist al tuturor întreprinderilor publice, inclusiv ale celor din sectoare considerate de interes strategic, aplicând legislația în vigoare în domeniul guvernanței corporative, dar și cele mai bune practici internaționale în domeniu, reprezintă un obiectiv guvernamental cheie.</w:t>
      </w:r>
    </w:p>
    <w:p>
      <w:pPr>
        <w:pStyle w:val="10"/>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lang w:val="ro-RO" w:eastAsia="ro-RO" w:bidi="ro-RO"/>
        </w:rPr>
      </w:pPr>
    </w:p>
    <w:p>
      <w:pPr>
        <w:pStyle w:val="10"/>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lang w:val="ro-RO"/>
        </w:rPr>
      </w:pPr>
      <w:r>
        <w:rPr>
          <w:rFonts w:ascii="Trebuchet MS" w:hAnsi="Trebuchet MS" w:cs="Trebuchet MS"/>
          <w:sz w:val="24"/>
          <w:lang w:val="ro-RO" w:eastAsia="ro-RO" w:bidi="ro-RO"/>
        </w:rPr>
        <w:t>Necesitatea implementării, respectiv îmbunătățirii guvernanței corporative în întreprinderile publice are la bază rațiuni eminamente economice: întreprinderile publice din România au început să fie văzute ca un vector important de redresare economică și echilibrare a bugetului de stat, funcționalitatea, solvabilitatea și lichiditatea acestor societăți având o largă influență asupra ansamblului economiei, prin efectul de multiplicare (vezi arieratele provocate de întreprinderile publice).</w:t>
      </w:r>
    </w:p>
    <w:p>
      <w:pPr>
        <w:pStyle w:val="10"/>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lang w:val="ro-RO" w:eastAsia="ro-RO" w:bidi="ro-RO"/>
        </w:rPr>
      </w:pPr>
    </w:p>
    <w:p>
      <w:pPr>
        <w:pStyle w:val="10"/>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lang w:val="ro-RO"/>
        </w:rPr>
      </w:pPr>
      <w:r>
        <w:rPr>
          <w:rFonts w:ascii="Trebuchet MS" w:hAnsi="Trebuchet MS" w:cs="Trebuchet MS"/>
          <w:sz w:val="24"/>
          <w:lang w:val="ro-RO" w:eastAsia="ro-RO" w:bidi="ro-RO"/>
        </w:rPr>
        <w:t>Obiectivul reducerii arieratelor întreprinderilor publice se înscrie în politica Guvernului de evitare a derapajelor economice care ar putea afecta mediul macroeconomic și obiectivele bugetare.</w:t>
      </w:r>
    </w:p>
    <w:p>
      <w:pPr>
        <w:pStyle w:val="10"/>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lang w:val="ro-RO"/>
        </w:rPr>
      </w:pPr>
      <w:r>
        <w:rPr>
          <w:rFonts w:ascii="Trebuchet MS" w:hAnsi="Trebuchet MS" w:cs="Trebuchet MS"/>
          <w:sz w:val="24"/>
          <w:lang w:val="ro-RO" w:eastAsia="ro-RO" w:bidi="ro-RO"/>
        </w:rPr>
        <w:t>În acest sens, elaborarea bugetului pe 2022 a avut în vedere menținerea țintelor de stabilitate macroeconomică în condițiile implementării a cinci principii de bază: prioritizare, transparență, eficiență, prudență și predictibilitate.</w:t>
      </w:r>
    </w:p>
    <w:p>
      <w:pPr>
        <w:pStyle w:val="10"/>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lang w:val="ro-RO" w:eastAsia="ro-RO" w:bidi="ro-RO"/>
        </w:rPr>
      </w:pPr>
    </w:p>
    <w:p>
      <w:pPr>
        <w:pStyle w:val="10"/>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lang w:val="ro-RO"/>
        </w:rPr>
      </w:pPr>
      <w:r>
        <w:rPr>
          <w:rFonts w:ascii="Trebuchet MS" w:hAnsi="Trebuchet MS" w:cs="Trebuchet MS"/>
          <w:sz w:val="24"/>
          <w:lang w:val="ro-RO" w:eastAsia="ro-RO" w:bidi="ro-RO"/>
        </w:rPr>
        <w:t>În cadrul măsurilor cuprinse în programul de guvernare pentru stabilizarea mediului economic și creșterea gradului de încredere a agenților economici și a capitalului în perspectiva dezvoltării economiei și a creșterii investițiilor, se regăsește și obiectivul continuării procesului de restructurare și eficientizare a activității companiilor în care statul deține controlul prin implementarea principiilor de guvernanță corporativă.</w:t>
      </w:r>
    </w:p>
    <w:p>
      <w:pPr>
        <w:pStyle w:val="10"/>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lang w:val="ro-RO" w:eastAsia="ro-RO" w:bidi="ro-RO"/>
        </w:rPr>
      </w:pPr>
    </w:p>
    <w:p>
      <w:pPr>
        <w:pStyle w:val="10"/>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lang w:val="ro-RO"/>
        </w:rPr>
      </w:pPr>
      <w:r>
        <w:rPr>
          <w:rFonts w:ascii="Trebuchet MS" w:hAnsi="Trebuchet MS" w:cs="Trebuchet MS"/>
          <w:sz w:val="24"/>
          <w:lang w:val="ro-RO" w:eastAsia="ro-RO" w:bidi="ro-RO"/>
        </w:rPr>
        <w:t>Implementarea și îmbunătățirea guvernanței corporative a întreprinderilor publice (operatorilor economici) reprezintă un obiectiv asumat de Guvernul României încă din anul 2011, prin Scrisoarea de Intenție către Fondul Monetar Internațional, aprobată de Guvern, prin Memorandum, la data de 7 iunie 2011.</w:t>
      </w:r>
    </w:p>
    <w:p>
      <w:pPr>
        <w:pStyle w:val="10"/>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lang w:val="ro-RO" w:eastAsia="ro-RO" w:bidi="ro-RO"/>
        </w:rPr>
      </w:pPr>
    </w:p>
    <w:p>
      <w:pPr>
        <w:pStyle w:val="10"/>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lang w:val="ro-RO"/>
        </w:rPr>
      </w:pPr>
      <w:r>
        <w:rPr>
          <w:rFonts w:ascii="Trebuchet MS" w:hAnsi="Trebuchet MS" w:cs="Trebuchet MS"/>
          <w:sz w:val="24"/>
          <w:lang w:val="ro-RO" w:eastAsia="ro-RO" w:bidi="ro-RO"/>
        </w:rPr>
        <w:t xml:space="preserve">Pornind de la obligațiile asumate în fața organismelor internaționale, dar și de la premiza că eficiența unei întreprinderi publice depinde, în mod determinant, de performanța managementului acestuia, Guvernul României a adoptat în noiembrie 2011, </w:t>
      </w:r>
      <w:r>
        <w:rPr>
          <w:rFonts w:ascii="Trebuchet MS" w:hAnsi="Trebuchet MS" w:cs="Trebuchet MS"/>
          <w:b/>
          <w:bCs/>
          <w:i/>
          <w:iCs/>
          <w:sz w:val="24"/>
          <w:lang w:val="ro-RO" w:eastAsia="ro-RO" w:bidi="ro-RO"/>
        </w:rPr>
        <w:t>Ordonanța de urgență privind guvernanț</w:t>
      </w:r>
      <w:r>
        <w:rPr>
          <w:rFonts w:hint="default" w:ascii="Trebuchet MS" w:hAnsi="Trebuchet MS" w:cs="Trebuchet MS"/>
          <w:b/>
          <w:bCs/>
          <w:i/>
          <w:iCs/>
          <w:sz w:val="24"/>
          <w:lang w:val="en-US" w:eastAsia="ro-RO" w:bidi="ro-RO"/>
        </w:rPr>
        <w:t>a</w:t>
      </w:r>
      <w:r>
        <w:rPr>
          <w:rFonts w:ascii="Trebuchet MS" w:hAnsi="Trebuchet MS" w:cs="Trebuchet MS"/>
          <w:b/>
          <w:bCs/>
          <w:i/>
          <w:iCs/>
          <w:sz w:val="24"/>
          <w:lang w:val="ro-RO" w:eastAsia="ro-RO" w:bidi="ro-RO"/>
        </w:rPr>
        <w:t xml:space="preserve"> corporativă a întreprinderilor publice nr. 109/2011, </w:t>
      </w:r>
      <w:r>
        <w:rPr>
          <w:rFonts w:ascii="Trebuchet MS" w:hAnsi="Trebuchet MS" w:cs="Trebuchet MS"/>
          <w:b/>
          <w:bCs/>
          <w:sz w:val="24"/>
          <w:lang w:val="ro-RO" w:eastAsia="ro-RO" w:bidi="ro-RO"/>
        </w:rPr>
        <w:t xml:space="preserve">aprobată cu modificări și completări prin Legea nr. 111/2016, </w:t>
      </w:r>
      <w:r>
        <w:rPr>
          <w:rFonts w:ascii="Trebuchet MS" w:hAnsi="Trebuchet MS" w:cs="Trebuchet MS"/>
          <w:sz w:val="24"/>
          <w:lang w:val="ro-RO" w:eastAsia="ro-RO" w:bidi="ro-RO"/>
        </w:rPr>
        <w:t xml:space="preserve">denumită în continuare </w:t>
      </w:r>
      <w:r>
        <w:rPr>
          <w:rFonts w:ascii="Trebuchet MS" w:hAnsi="Trebuchet MS" w:cs="Trebuchet MS"/>
          <w:b/>
          <w:bCs/>
          <w:i/>
          <w:iCs/>
          <w:sz w:val="24"/>
          <w:lang w:val="ro-RO" w:eastAsia="ro-RO" w:bidi="ro-RO"/>
        </w:rPr>
        <w:t>„OUG nr.109”,</w:t>
      </w:r>
      <w:r>
        <w:rPr>
          <w:rFonts w:ascii="Trebuchet MS" w:hAnsi="Trebuchet MS" w:cs="Trebuchet MS"/>
          <w:sz w:val="24"/>
          <w:lang w:val="ro-RO" w:eastAsia="ro-RO" w:bidi="ro-RO"/>
        </w:rPr>
        <w:t xml:space="preserve"> care reglementează printre altele stabilirea condițiilor în care sunt selectați administratorii și managerii societății prin selecție obiectivă, efectuată de o comisie de specialiști în recrutare resurse umane, asistați, dacă este cazul, de un expert independent specializat în recrutare resurse umane, precum și regulile care să asigure transparența politicii de acționariat a statului.</w:t>
      </w:r>
    </w:p>
    <w:p>
      <w:pPr>
        <w:pStyle w:val="10"/>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lang w:val="ro-RO"/>
        </w:rPr>
      </w:pPr>
      <w:bookmarkStart w:id="0" w:name="bookmark2"/>
      <w:bookmarkStart w:id="1" w:name="bookmark3"/>
    </w:p>
    <w:p>
      <w:pPr>
        <w:pStyle w:val="10"/>
        <w:pageBreakBefore w:val="0"/>
        <w:tabs>
          <w:tab w:val="left" w:pos="0"/>
          <w:tab w:val="left" w:pos="270"/>
          <w:tab w:val="left" w:pos="810"/>
        </w:tabs>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lang w:val="ro-RO" w:eastAsia="ro-RO" w:bidi="ro-RO"/>
        </w:rPr>
      </w:pPr>
      <w:r>
        <w:rPr>
          <w:rFonts w:ascii="Trebuchet MS" w:hAnsi="Trebuchet MS" w:cs="Trebuchet MS"/>
          <w:b/>
          <w:bCs/>
          <w:sz w:val="24"/>
          <w:lang w:val="ro-RO" w:eastAsia="ro-RO" w:bidi="ro-RO"/>
        </w:rPr>
        <w:t xml:space="preserve">2. Prezentarea </w:t>
      </w:r>
      <w:bookmarkEnd w:id="0"/>
      <w:bookmarkEnd w:id="1"/>
      <w:r>
        <w:rPr>
          <w:rFonts w:ascii="Trebuchet MS" w:hAnsi="Trebuchet MS" w:cs="Trebuchet MS"/>
          <w:b/>
          <w:bCs/>
          <w:sz w:val="24"/>
          <w:lang w:val="ro-RO"/>
        </w:rPr>
        <w:t xml:space="preserve">Fondului Național de Garantare a Creditelor pentru Întreprinderile Mici și Mijlocii S.A. – IFN, </w:t>
      </w:r>
      <w:r>
        <w:rPr>
          <w:rFonts w:ascii="Trebuchet MS" w:hAnsi="Trebuchet MS" w:cs="Trebuchet MS"/>
          <w:sz w:val="24"/>
          <w:lang w:val="ro-RO" w:eastAsia="ro-RO" w:bidi="ro-RO"/>
        </w:rPr>
        <w:t>întreprindere publică în sensul prevedrilor OUG nr. 109, denumită în continuare „Fond” sau „societatea”.</w:t>
      </w:r>
    </w:p>
    <w:p>
      <w:pPr>
        <w:pStyle w:val="10"/>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lang w:val="ro-RO"/>
        </w:rPr>
      </w:pPr>
    </w:p>
    <w:p>
      <w:pPr>
        <w:pageBreakBefore w:val="0"/>
        <w:suppressAutoHyphens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lang w:val="ro-RO"/>
        </w:rPr>
      </w:pPr>
      <w:r>
        <w:rPr>
          <w:rFonts w:ascii="Trebuchet MS" w:hAnsi="Trebuchet MS" w:cs="Trebuchet MS"/>
          <w:b/>
          <w:bCs/>
          <w:lang w:val="ro-RO" w:eastAsia="ro-RO" w:bidi="ro-RO"/>
        </w:rPr>
        <w:t xml:space="preserve">Forma juridică: </w:t>
      </w:r>
      <w:r>
        <w:rPr>
          <w:rFonts w:ascii="Trebuchet MS" w:hAnsi="Trebuchet MS" w:cs="Trebuchet MS"/>
          <w:lang w:val="ro-RO"/>
        </w:rPr>
        <w:t>Fondul Național de Garantare a Creditelor pentru Întreprinderile Mici și Mijlocii S.A. - IFN (</w:t>
      </w:r>
      <w:r>
        <w:rPr>
          <w:rFonts w:ascii="Trebuchet MS" w:hAnsi="Trebuchet MS" w:cs="Trebuchet MS"/>
          <w:lang w:val="ro-RO" w:eastAsia="en-US"/>
        </w:rPr>
        <w:t>FNGCIMM S.A.-IFN</w:t>
      </w:r>
      <w:r>
        <w:rPr>
          <w:rFonts w:ascii="Trebuchet MS" w:hAnsi="Trebuchet MS" w:cs="Trebuchet MS"/>
          <w:lang w:val="ro-RO"/>
        </w:rPr>
        <w:t xml:space="preserve"> sau Fondul) este instituție financiara nebancară, persoană juridică română de drept privat, organizată ca societate comercială pe acțiuni, cu actionar unic statul român, reprezentat de Ministerul Finanțelor, conform prevederilor Art. 1 din Hotărârea Guvernului nr. 1211 din 27 noiembrie 2001, cu modificarile si completarile ulterioare.</w:t>
      </w:r>
    </w:p>
    <w:p>
      <w:pPr>
        <w:pStyle w:val="10"/>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lang w:val="ro-RO" w:eastAsia="ro-RO" w:bidi="ro-RO"/>
        </w:rPr>
      </w:pPr>
      <w:bookmarkStart w:id="2" w:name="bookmark5"/>
      <w:bookmarkStart w:id="3" w:name="bookmark4"/>
    </w:p>
    <w:p>
      <w:pPr>
        <w:pStyle w:val="260"/>
        <w:keepNext/>
        <w:keepLines/>
        <w:pageBreakBefore w:val="0"/>
        <w:shd w:val="clear" w:color="auto" w:fill="auto"/>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szCs w:val="24"/>
          <w:lang w:val="ro-RO"/>
        </w:rPr>
      </w:pPr>
      <w:r>
        <w:rPr>
          <w:rFonts w:ascii="Trebuchet MS" w:hAnsi="Trebuchet MS" w:cs="Trebuchet MS"/>
          <w:sz w:val="24"/>
          <w:szCs w:val="24"/>
          <w:lang w:val="ro-RO" w:eastAsia="ro-RO" w:bidi="ro-RO"/>
        </w:rPr>
        <w:t xml:space="preserve">Sistem de administrare: </w:t>
      </w:r>
      <w:r>
        <w:rPr>
          <w:rFonts w:ascii="Trebuchet MS" w:hAnsi="Trebuchet MS" w:cs="Trebuchet MS"/>
          <w:b w:val="0"/>
          <w:bCs w:val="0"/>
          <w:sz w:val="24"/>
          <w:szCs w:val="24"/>
          <w:lang w:val="ro-RO" w:eastAsia="ro-RO" w:bidi="ro-RO"/>
        </w:rPr>
        <w:t>Unitar.</w:t>
      </w:r>
      <w:bookmarkEnd w:id="2"/>
      <w:bookmarkEnd w:id="3"/>
    </w:p>
    <w:p>
      <w:pPr>
        <w:pStyle w:val="10"/>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b/>
          <w:bCs/>
          <w:sz w:val="24"/>
          <w:lang w:val="ro-RO" w:eastAsia="ro-RO" w:bidi="ro-RO"/>
        </w:rPr>
      </w:pPr>
    </w:p>
    <w:p>
      <w:pPr>
        <w:pStyle w:val="10"/>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lang w:val="ro-RO"/>
        </w:rPr>
      </w:pPr>
      <w:r>
        <w:rPr>
          <w:rFonts w:ascii="Trebuchet MS" w:hAnsi="Trebuchet MS" w:cs="Trebuchet MS"/>
          <w:b/>
          <w:bCs/>
          <w:sz w:val="24"/>
          <w:lang w:val="ro-RO" w:eastAsia="ro-RO" w:bidi="ro-RO"/>
        </w:rPr>
        <w:t xml:space="preserve">Actionariat: </w:t>
      </w:r>
      <w:r>
        <w:rPr>
          <w:rFonts w:ascii="Trebuchet MS" w:hAnsi="Trebuchet MS" w:cs="Trebuchet MS"/>
          <w:sz w:val="24"/>
          <w:lang w:val="ro-RO" w:eastAsia="ro-RO" w:bidi="ro-RO"/>
        </w:rPr>
        <w:t>Statul Român, prin Ministerul Finanțelor - 100%.</w:t>
      </w:r>
    </w:p>
    <w:p>
      <w:pPr>
        <w:pStyle w:val="10"/>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b/>
          <w:bCs/>
          <w:sz w:val="24"/>
          <w:lang w:val="ro-RO" w:eastAsia="ro-RO" w:bidi="ro-RO"/>
        </w:rPr>
      </w:pPr>
    </w:p>
    <w:p>
      <w:pPr>
        <w:pStyle w:val="10"/>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b/>
          <w:bCs/>
          <w:sz w:val="24"/>
          <w:lang w:val="ro-RO" w:eastAsia="ro-RO" w:bidi="ro-RO"/>
        </w:rPr>
      </w:pPr>
      <w:r>
        <w:rPr>
          <w:rFonts w:ascii="Trebuchet MS" w:hAnsi="Trebuchet MS" w:cs="Trebuchet MS"/>
          <w:b/>
          <w:bCs/>
          <w:sz w:val="24"/>
          <w:lang w:val="ro-RO" w:eastAsia="ro-RO" w:bidi="ro-RO"/>
        </w:rPr>
        <w:t xml:space="preserve">Capital social subscris și vărsat: </w:t>
      </w:r>
      <w:r>
        <w:rPr>
          <w:rFonts w:ascii="Trebuchet MS" w:hAnsi="Trebuchet MS" w:cs="Trebuchet MS"/>
          <w:sz w:val="24"/>
          <w:shd w:val="clear" w:color="auto" w:fill="FFFFFF"/>
          <w:lang w:val="ro-RO"/>
        </w:rPr>
        <w:t> Capitalul social al Fondului este de 940.507.600 lei, fiind împărțit în 9.405.076 de acțiuni nominative și indivizibile, fiecare acțiune având o valoare nominală de 100 lei.</w:t>
      </w:r>
    </w:p>
    <w:p>
      <w:pPr>
        <w:pStyle w:val="10"/>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b/>
          <w:bCs/>
          <w:sz w:val="24"/>
          <w:lang w:val="ro-RO" w:eastAsia="ro-RO" w:bidi="ro-RO"/>
        </w:rPr>
      </w:pPr>
    </w:p>
    <w:p>
      <w:pPr>
        <w:pageBreakBefore w:val="0"/>
        <w:widowControl w:val="0"/>
        <w:tabs>
          <w:tab w:val="left" w:pos="284"/>
          <w:tab w:val="left" w:pos="426"/>
        </w:tabs>
        <w:suppressAutoHyphens w:val="0"/>
        <w:kinsoku/>
        <w:wordWrap/>
        <w:overflowPunct/>
        <w:topLinePunct w:val="0"/>
        <w:autoSpaceDE w:val="0"/>
        <w:autoSpaceDN w:val="0"/>
        <w:bidi w:val="0"/>
        <w:adjustRightInd w:val="0"/>
        <w:snapToGrid/>
        <w:spacing w:after="0" w:line="240" w:lineRule="auto"/>
        <w:ind w:left="-240" w:leftChars="-100" w:right="-334" w:rightChars="-139"/>
        <w:contextualSpacing/>
        <w:jc w:val="both"/>
        <w:textAlignment w:val="auto"/>
        <w:rPr>
          <w:rFonts w:ascii="Trebuchet MS" w:hAnsi="Trebuchet MS" w:cs="Trebuchet MS"/>
          <w:b/>
          <w:bCs/>
          <w:lang w:val="ro-RO" w:eastAsia="ro-RO" w:bidi="ro-RO"/>
        </w:rPr>
      </w:pPr>
      <w:r>
        <w:rPr>
          <w:rFonts w:ascii="Trebuchet MS" w:hAnsi="Trebuchet MS" w:cs="Trebuchet MS"/>
          <w:b/>
          <w:bCs/>
          <w:lang w:val="ro-RO" w:eastAsia="ro-RO" w:bidi="ro-RO"/>
        </w:rPr>
        <w:t xml:space="preserve">Obiectul de activitate: </w:t>
      </w:r>
      <w:bookmarkStart w:id="4" w:name="bookmark6"/>
      <w:bookmarkStart w:id="5" w:name="bookmark7"/>
    </w:p>
    <w:p>
      <w:pPr>
        <w:pageBreakBefore w:val="0"/>
        <w:widowControl w:val="0"/>
        <w:tabs>
          <w:tab w:val="left" w:pos="284"/>
          <w:tab w:val="left" w:pos="426"/>
        </w:tabs>
        <w:suppressAutoHyphens w:val="0"/>
        <w:kinsoku/>
        <w:wordWrap/>
        <w:overflowPunct/>
        <w:topLinePunct w:val="0"/>
        <w:autoSpaceDE w:val="0"/>
        <w:autoSpaceDN w:val="0"/>
        <w:bidi w:val="0"/>
        <w:adjustRightInd w:val="0"/>
        <w:snapToGrid/>
        <w:spacing w:after="0" w:line="240" w:lineRule="auto"/>
        <w:ind w:left="-240" w:leftChars="-100" w:right="-334" w:rightChars="-139"/>
        <w:contextualSpacing/>
        <w:jc w:val="both"/>
        <w:textAlignment w:val="auto"/>
        <w:rPr>
          <w:rFonts w:ascii="Trebuchet MS" w:hAnsi="Trebuchet MS" w:cs="Trebuchet MS"/>
          <w:lang w:val="ro-RO"/>
        </w:rPr>
      </w:pPr>
    </w:p>
    <w:p>
      <w:pPr>
        <w:pageBreakBefore w:val="0"/>
        <w:widowControl w:val="0"/>
        <w:tabs>
          <w:tab w:val="left" w:pos="284"/>
          <w:tab w:val="left" w:pos="426"/>
        </w:tabs>
        <w:suppressAutoHyphens w:val="0"/>
        <w:kinsoku/>
        <w:wordWrap/>
        <w:overflowPunct/>
        <w:topLinePunct w:val="0"/>
        <w:autoSpaceDE w:val="0"/>
        <w:autoSpaceDN w:val="0"/>
        <w:bidi w:val="0"/>
        <w:adjustRightInd w:val="0"/>
        <w:snapToGrid/>
        <w:spacing w:after="0" w:line="240" w:lineRule="auto"/>
        <w:ind w:left="-240" w:leftChars="-100" w:right="-334" w:rightChars="-139"/>
        <w:contextualSpacing/>
        <w:jc w:val="both"/>
        <w:textAlignment w:val="auto"/>
        <w:rPr>
          <w:rFonts w:ascii="Trebuchet MS" w:hAnsi="Trebuchet MS" w:cs="Trebuchet MS"/>
          <w:lang w:val="ro-RO"/>
        </w:rPr>
      </w:pPr>
      <w:r>
        <w:rPr>
          <w:rFonts w:ascii="Trebuchet MS" w:hAnsi="Trebuchet MS" w:cs="Trebuchet MS"/>
          <w:lang w:val="ro-RO"/>
        </w:rPr>
        <w:t>Fondul Naţional de Garantare a Creditelor pentru Întreprinderile Mici şi Mijlocii S.A. - IFN (</w:t>
      </w:r>
      <w:r>
        <w:rPr>
          <w:rFonts w:ascii="Trebuchet MS" w:hAnsi="Trebuchet MS" w:cs="Trebuchet MS"/>
          <w:iCs/>
          <w:lang w:val="ro-RO"/>
        </w:rPr>
        <w:t>F.N.G.C.I.M.M. S.A. - IFN</w:t>
      </w:r>
      <w:r>
        <w:rPr>
          <w:rFonts w:ascii="Trebuchet MS" w:hAnsi="Trebuchet MS" w:cs="Trebuchet MS"/>
          <w:lang w:val="ro-RO"/>
        </w:rPr>
        <w:t>) este o instituţie financiară</w:t>
      </w:r>
      <w:r>
        <w:rPr>
          <w:rFonts w:ascii="Trebuchet MS" w:hAnsi="Trebuchet MS" w:cs="Trebuchet MS"/>
          <w:i/>
          <w:iCs/>
          <w:lang w:val="ro-RO"/>
        </w:rPr>
        <w:t xml:space="preserve"> </w:t>
      </w:r>
      <w:r>
        <w:rPr>
          <w:rFonts w:ascii="Trebuchet MS" w:hAnsi="Trebuchet MS" w:cs="Trebuchet MS"/>
          <w:iCs/>
          <w:lang w:val="ro-RO"/>
        </w:rPr>
        <w:t xml:space="preserve">nebancară, </w:t>
      </w:r>
      <w:r>
        <w:rPr>
          <w:rFonts w:ascii="Trebuchet MS" w:hAnsi="Trebuchet MS" w:cs="Trebuchet MS"/>
          <w:lang w:val="ro-RO" w:eastAsia="ar-SA"/>
        </w:rPr>
        <w:t>înfiinţată în baza</w:t>
      </w:r>
      <w:r>
        <w:rPr>
          <w:rFonts w:ascii="Trebuchet MS" w:hAnsi="Trebuchet MS" w:cs="Trebuchet MS"/>
          <w:lang w:val="ro-RO"/>
        </w:rPr>
        <w:t xml:space="preserve"> </w:t>
      </w:r>
      <w:r>
        <w:rPr>
          <w:rFonts w:ascii="Trebuchet MS" w:hAnsi="Trebuchet MS" w:cs="Trebuchet MS"/>
          <w:lang w:val="ro-RO" w:eastAsia="ar-SA"/>
        </w:rPr>
        <w:t xml:space="preserve">Legii nr.346/2004 privind stimularea înfiinţării şi dezvoltării întreprinderilor mici şi mijlocii cu modificările şi completările ulterioare şi a </w:t>
      </w:r>
      <w:r>
        <w:rPr>
          <w:rFonts w:ascii="Trebuchet MS" w:hAnsi="Trebuchet MS" w:cs="Trebuchet MS"/>
          <w:lang w:val="ro-RO"/>
        </w:rPr>
        <w:t xml:space="preserve">Hotărârii Guvernului nr. 376/2017 pentru modificarea Hotărârii Guvernului nr.1211/2001 privind înfiinţarea Fondului Naţional de Garantare a Creditelor pentru  Întreprinderile Mici şi Mijlocii S.A. – IFN, republicată, în vederea îmbunătăţirii accesului întreprinderilor mici şi mijlocii la finanţare. Activitatea principală a FNGCIMM S.A. - IFN este </w:t>
      </w:r>
      <w:r>
        <w:rPr>
          <w:rFonts w:ascii="Trebuchet MS" w:hAnsi="Trebuchet MS" w:cs="Trebuchet MS"/>
          <w:shd w:val="clear" w:color="auto" w:fill="FFFFFF"/>
          <w:lang w:val="ro-RO"/>
        </w:rPr>
        <w:t xml:space="preserve">acordarea din fonduri proprii a finanțărilor, garanțiilor și asumarea angajamentelor de garantare sau finanțare, precum și orice alte instrumente de finanțare care pot fi obținute de întreprinderile mici și mijlocii, definite potrivit legii, precum și de alte categorii de solicitanți prevăzuți în lege și în actul său constitutiv, de la bănci sau din alte surse, </w:t>
      </w:r>
      <w:r>
        <w:rPr>
          <w:rFonts w:ascii="Trebuchet MS" w:hAnsi="Trebuchet MS" w:cs="Trebuchet MS"/>
          <w:lang w:val="ro-RO"/>
        </w:rPr>
        <w:t>clasa CAEN 6492 Alte activități de creditare.</w:t>
      </w:r>
    </w:p>
    <w:p>
      <w:pPr>
        <w:pStyle w:val="261"/>
        <w:pageBreakBefore w:val="0"/>
        <w:shd w:val="clear" w:color="auto" w:fill="FFFFFF"/>
        <w:kinsoku/>
        <w:wordWrap/>
        <w:overflowPunct/>
        <w:topLinePunct w:val="0"/>
        <w:bidi w:val="0"/>
        <w:snapToGrid/>
        <w:spacing w:before="0" w:beforeAutospacing="0" w:after="0" w:afterAutospacing="0" w:line="240" w:lineRule="auto"/>
        <w:ind w:left="-240" w:leftChars="-100" w:right="-334" w:rightChars="-139"/>
        <w:jc w:val="both"/>
        <w:textAlignment w:val="auto"/>
        <w:rPr>
          <w:rFonts w:ascii="Trebuchet MS" w:hAnsi="Trebuchet MS" w:cs="Trebuchet MS"/>
          <w:lang w:val="ro-RO"/>
        </w:rPr>
      </w:pPr>
      <w:bookmarkStart w:id="31" w:name="_GoBack"/>
      <w:bookmarkEnd w:id="31"/>
    </w:p>
    <w:p>
      <w:pPr>
        <w:pStyle w:val="261"/>
        <w:pageBreakBefore w:val="0"/>
        <w:shd w:val="clear" w:color="auto" w:fill="FFFFFF"/>
        <w:kinsoku/>
        <w:wordWrap/>
        <w:overflowPunct/>
        <w:topLinePunct w:val="0"/>
        <w:bidi w:val="0"/>
        <w:snapToGrid/>
        <w:spacing w:before="0" w:beforeAutospacing="0" w:after="0" w:afterAutospacing="0" w:line="240" w:lineRule="auto"/>
        <w:ind w:left="-240" w:leftChars="-100" w:right="-334" w:rightChars="-139"/>
        <w:jc w:val="both"/>
        <w:textAlignment w:val="auto"/>
        <w:rPr>
          <w:rFonts w:ascii="Trebuchet MS" w:hAnsi="Trebuchet MS" w:cs="Trebuchet MS"/>
          <w:lang w:val="ro-RO"/>
        </w:rPr>
      </w:pPr>
      <w:r>
        <w:rPr>
          <w:rFonts w:ascii="Trebuchet MS" w:hAnsi="Trebuchet MS" w:cs="Trebuchet MS"/>
          <w:lang w:val="ro-RO"/>
        </w:rPr>
        <w:t>Activitățile secundare care pot fi desfășurate de Fond sunt:</w:t>
      </w:r>
    </w:p>
    <w:p>
      <w:pPr>
        <w:pStyle w:val="261"/>
        <w:pageBreakBefore w:val="0"/>
        <w:shd w:val="clear" w:color="auto" w:fill="FFFFFF"/>
        <w:kinsoku/>
        <w:wordWrap/>
        <w:overflowPunct/>
        <w:topLinePunct w:val="0"/>
        <w:bidi w:val="0"/>
        <w:snapToGrid/>
        <w:spacing w:before="0" w:beforeAutospacing="0" w:after="0" w:afterAutospacing="0" w:line="240" w:lineRule="auto"/>
        <w:ind w:left="-240" w:leftChars="-100" w:right="-334" w:rightChars="-139"/>
        <w:jc w:val="both"/>
        <w:textAlignment w:val="auto"/>
        <w:rPr>
          <w:rFonts w:ascii="Trebuchet MS" w:hAnsi="Trebuchet MS" w:cs="Trebuchet MS"/>
          <w:lang w:val="ro-RO"/>
        </w:rPr>
      </w:pPr>
      <w:r>
        <w:rPr>
          <w:rFonts w:ascii="Trebuchet MS" w:hAnsi="Trebuchet MS" w:cs="Trebuchet MS"/>
          <w:b/>
          <w:bCs/>
          <w:lang w:val="ro-RO"/>
        </w:rPr>
        <w:t>a)</w:t>
      </w:r>
      <w:r>
        <w:rPr>
          <w:rFonts w:ascii="Trebuchet MS" w:hAnsi="Trebuchet MS" w:cs="Trebuchet MS"/>
          <w:lang w:val="ro-RO"/>
        </w:rPr>
        <w:t> acordarea din fonduri proprii a finanțărilor și asumarea angajamentelor de finanțare a entităților, clasa CAEN 6492 - Alte activități de creditare;</w:t>
      </w:r>
    </w:p>
    <w:p>
      <w:pPr>
        <w:pStyle w:val="261"/>
        <w:pageBreakBefore w:val="0"/>
        <w:shd w:val="clear" w:color="auto" w:fill="FFFFFF"/>
        <w:kinsoku/>
        <w:wordWrap/>
        <w:overflowPunct/>
        <w:topLinePunct w:val="0"/>
        <w:bidi w:val="0"/>
        <w:snapToGrid/>
        <w:spacing w:before="0" w:beforeAutospacing="0" w:after="0" w:afterAutospacing="0" w:line="240" w:lineRule="auto"/>
        <w:ind w:left="-240" w:leftChars="-100" w:right="-334" w:rightChars="-139"/>
        <w:jc w:val="both"/>
        <w:textAlignment w:val="auto"/>
        <w:rPr>
          <w:rFonts w:ascii="Trebuchet MS" w:hAnsi="Trebuchet MS" w:cs="Trebuchet MS"/>
          <w:lang w:val="ro-RO"/>
        </w:rPr>
      </w:pPr>
      <w:r>
        <w:rPr>
          <w:rFonts w:ascii="Trebuchet MS" w:hAnsi="Trebuchet MS" w:cs="Trebuchet MS"/>
          <w:b/>
          <w:bCs/>
          <w:lang w:val="ro-RO"/>
        </w:rPr>
        <w:t>b)</w:t>
      </w:r>
      <w:r>
        <w:rPr>
          <w:rFonts w:ascii="Trebuchet MS" w:hAnsi="Trebuchet MS" w:cs="Trebuchet MS"/>
          <w:lang w:val="ro-RO"/>
        </w:rPr>
        <w:t> servicii de informare și consultanță pentru întreprinderile mici și mijlocii, referitoare la realizarea activităților de garantare și finanțare, CAEN 7022;</w:t>
      </w:r>
    </w:p>
    <w:p>
      <w:pPr>
        <w:pStyle w:val="261"/>
        <w:pageBreakBefore w:val="0"/>
        <w:shd w:val="clear" w:color="auto" w:fill="FFFFFF"/>
        <w:kinsoku/>
        <w:wordWrap/>
        <w:overflowPunct/>
        <w:topLinePunct w:val="0"/>
        <w:bidi w:val="0"/>
        <w:snapToGrid/>
        <w:spacing w:before="0" w:beforeAutospacing="0" w:after="0" w:afterAutospacing="0" w:line="240" w:lineRule="auto"/>
        <w:ind w:left="-240" w:leftChars="-100" w:right="-334" w:rightChars="-139"/>
        <w:jc w:val="both"/>
        <w:textAlignment w:val="auto"/>
        <w:rPr>
          <w:rFonts w:ascii="Trebuchet MS" w:hAnsi="Trebuchet MS" w:cs="Trebuchet MS"/>
          <w:lang w:val="ro-RO"/>
        </w:rPr>
      </w:pPr>
      <w:r>
        <w:rPr>
          <w:rFonts w:ascii="Trebuchet MS" w:hAnsi="Trebuchet MS" w:cs="Trebuchet MS"/>
          <w:b/>
          <w:bCs/>
          <w:lang w:val="ro-RO"/>
        </w:rPr>
        <w:t>c)</w:t>
      </w:r>
      <w:r>
        <w:rPr>
          <w:rFonts w:ascii="Trebuchet MS" w:hAnsi="Trebuchet MS" w:cs="Trebuchet MS"/>
          <w:lang w:val="ro-RO"/>
        </w:rPr>
        <w:t> activități auxiliare intermedierilor financiare care nu au fost clasificate în alte clase - administrarea programelor de dezvoltare a întreprinderilor mici și mijlocii, CAEN 6619, numai în măsura în care aceste activități sunt legate de activitățile de garantare și finanțare;</w:t>
      </w:r>
    </w:p>
    <w:p>
      <w:pPr>
        <w:pStyle w:val="261"/>
        <w:pageBreakBefore w:val="0"/>
        <w:shd w:val="clear" w:color="auto" w:fill="FFFFFF"/>
        <w:kinsoku/>
        <w:wordWrap/>
        <w:overflowPunct/>
        <w:topLinePunct w:val="0"/>
        <w:bidi w:val="0"/>
        <w:snapToGrid/>
        <w:spacing w:before="0" w:beforeAutospacing="0" w:after="0" w:afterAutospacing="0" w:line="240" w:lineRule="auto"/>
        <w:ind w:left="-240" w:leftChars="-100" w:right="-334" w:rightChars="-139"/>
        <w:jc w:val="both"/>
        <w:textAlignment w:val="auto"/>
        <w:rPr>
          <w:rFonts w:ascii="Trebuchet MS" w:hAnsi="Trebuchet MS" w:cs="Trebuchet MS"/>
          <w:lang w:val="ro-RO"/>
        </w:rPr>
      </w:pPr>
      <w:r>
        <w:rPr>
          <w:rFonts w:ascii="Trebuchet MS" w:hAnsi="Trebuchet MS" w:cs="Trebuchet MS"/>
          <w:b/>
          <w:bCs/>
          <w:lang w:val="ro-RO"/>
        </w:rPr>
        <w:t>d)</w:t>
      </w:r>
      <w:r>
        <w:rPr>
          <w:rFonts w:ascii="Trebuchet MS" w:hAnsi="Trebuchet MS" w:cs="Trebuchet MS"/>
          <w:lang w:val="ro-RO"/>
        </w:rPr>
        <w:t> administrarea de fonduri publice, în scopul implementării politicilor naționale referitoare la sprijinirea mediului de afaceri, CAEN 6630;</w:t>
      </w:r>
    </w:p>
    <w:p>
      <w:pPr>
        <w:pStyle w:val="261"/>
        <w:pageBreakBefore w:val="0"/>
        <w:shd w:val="clear" w:color="auto" w:fill="FFFFFF"/>
        <w:kinsoku/>
        <w:wordWrap/>
        <w:overflowPunct/>
        <w:topLinePunct w:val="0"/>
        <w:bidi w:val="0"/>
        <w:snapToGrid/>
        <w:spacing w:before="0" w:beforeAutospacing="0" w:after="0" w:afterAutospacing="0" w:line="240" w:lineRule="auto"/>
        <w:ind w:left="-240" w:leftChars="-100" w:right="-334" w:rightChars="-139"/>
        <w:jc w:val="both"/>
        <w:textAlignment w:val="auto"/>
        <w:rPr>
          <w:rFonts w:ascii="Trebuchet MS" w:hAnsi="Trebuchet MS" w:cs="Trebuchet MS"/>
          <w:lang w:val="ro-RO"/>
        </w:rPr>
      </w:pPr>
      <w:r>
        <w:rPr>
          <w:rFonts w:ascii="Trebuchet MS" w:hAnsi="Trebuchet MS" w:cs="Trebuchet MS"/>
          <w:b/>
          <w:bCs/>
          <w:lang w:val="ro-RO"/>
        </w:rPr>
        <w:t>e)</w:t>
      </w:r>
      <w:r>
        <w:rPr>
          <w:rFonts w:ascii="Trebuchet MS" w:hAnsi="Trebuchet MS" w:cs="Trebuchet MS"/>
          <w:lang w:val="ro-RO"/>
        </w:rPr>
        <w:t> alte activități de servicii-suport pentru întreprinderi n.c.a., CAEN 8299;</w:t>
      </w:r>
    </w:p>
    <w:p>
      <w:pPr>
        <w:pStyle w:val="261"/>
        <w:pageBreakBefore w:val="0"/>
        <w:shd w:val="clear" w:color="auto" w:fill="FFFFFF"/>
        <w:kinsoku/>
        <w:wordWrap/>
        <w:overflowPunct/>
        <w:topLinePunct w:val="0"/>
        <w:bidi w:val="0"/>
        <w:snapToGrid/>
        <w:spacing w:before="0" w:beforeAutospacing="0" w:after="0" w:afterAutospacing="0" w:line="240" w:lineRule="auto"/>
        <w:ind w:left="-240" w:leftChars="-100" w:right="-334" w:rightChars="-139"/>
        <w:jc w:val="both"/>
        <w:textAlignment w:val="auto"/>
        <w:rPr>
          <w:rFonts w:ascii="Trebuchet MS" w:hAnsi="Trebuchet MS" w:cs="Trebuchet MS"/>
          <w:lang w:val="ro-RO"/>
        </w:rPr>
      </w:pPr>
      <w:r>
        <w:rPr>
          <w:rFonts w:ascii="Trebuchet MS" w:hAnsi="Trebuchet MS" w:cs="Trebuchet MS"/>
          <w:b/>
          <w:bCs/>
          <w:lang w:val="ro-RO"/>
        </w:rPr>
        <w:t>f)</w:t>
      </w:r>
      <w:r>
        <w:rPr>
          <w:rFonts w:ascii="Trebuchet MS" w:hAnsi="Trebuchet MS" w:cs="Trebuchet MS"/>
          <w:lang w:val="ro-RO"/>
        </w:rPr>
        <w:t> activități de studiere a pieței si de sondare a opiniei publice, CAEN 7320.</w:t>
      </w:r>
    </w:p>
    <w:p>
      <w:pPr>
        <w:pStyle w:val="261"/>
        <w:pageBreakBefore w:val="0"/>
        <w:shd w:val="clear" w:color="auto" w:fill="FFFFFF"/>
        <w:kinsoku/>
        <w:wordWrap/>
        <w:overflowPunct/>
        <w:topLinePunct w:val="0"/>
        <w:bidi w:val="0"/>
        <w:snapToGrid/>
        <w:spacing w:before="0" w:beforeAutospacing="0" w:after="0" w:afterAutospacing="0" w:line="240" w:lineRule="auto"/>
        <w:ind w:left="-240" w:leftChars="-100" w:right="-334" w:rightChars="-139"/>
        <w:jc w:val="both"/>
        <w:textAlignment w:val="auto"/>
        <w:rPr>
          <w:rFonts w:ascii="Trebuchet MS" w:hAnsi="Trebuchet MS" w:cs="Trebuchet MS"/>
          <w:lang w:val="ro-RO"/>
        </w:rPr>
      </w:pPr>
    </w:p>
    <w:p>
      <w:pPr>
        <w:pStyle w:val="261"/>
        <w:pageBreakBefore w:val="0"/>
        <w:shd w:val="clear" w:color="auto" w:fill="FFFFFF"/>
        <w:kinsoku/>
        <w:wordWrap/>
        <w:overflowPunct/>
        <w:topLinePunct w:val="0"/>
        <w:bidi w:val="0"/>
        <w:snapToGrid/>
        <w:spacing w:before="0" w:beforeAutospacing="0" w:after="0" w:afterAutospacing="0" w:line="240" w:lineRule="auto"/>
        <w:ind w:left="-240" w:leftChars="-100" w:right="-334" w:rightChars="-139"/>
        <w:jc w:val="both"/>
        <w:textAlignment w:val="auto"/>
        <w:rPr>
          <w:rFonts w:ascii="Trebuchet MS" w:hAnsi="Trebuchet MS" w:cs="Trebuchet MS"/>
          <w:lang w:val="ro-RO"/>
        </w:rPr>
      </w:pPr>
      <w:r>
        <w:rPr>
          <w:rFonts w:ascii="Trebuchet MS" w:hAnsi="Trebuchet MS" w:cs="Trebuchet MS"/>
          <w:lang w:val="ro-RO"/>
        </w:rPr>
        <w:t>FNGCIMM S.A.-IFN poate acorda finanțări, cofinanțări, garanții personale, potrivit normelor și procedurilor sale interne de lucru.</w:t>
      </w:r>
    </w:p>
    <w:p>
      <w:pPr>
        <w:pStyle w:val="261"/>
        <w:pageBreakBefore w:val="0"/>
        <w:shd w:val="clear" w:color="auto" w:fill="FFFFFF"/>
        <w:kinsoku/>
        <w:wordWrap/>
        <w:overflowPunct/>
        <w:topLinePunct w:val="0"/>
        <w:bidi w:val="0"/>
        <w:snapToGrid/>
        <w:spacing w:before="0" w:beforeAutospacing="0" w:after="0" w:afterAutospacing="0" w:line="240" w:lineRule="auto"/>
        <w:ind w:left="-240" w:leftChars="-100" w:right="-334" w:rightChars="-139"/>
        <w:jc w:val="both"/>
        <w:textAlignment w:val="auto"/>
        <w:rPr>
          <w:rFonts w:ascii="Trebuchet MS" w:hAnsi="Trebuchet MS" w:cs="Trebuchet MS"/>
          <w:lang w:val="ro-RO"/>
        </w:rPr>
      </w:pPr>
      <w:r>
        <w:rPr>
          <w:rFonts w:ascii="Trebuchet MS" w:hAnsi="Trebuchet MS" w:cs="Trebuchet MS"/>
          <w:lang w:val="ro-RO"/>
        </w:rPr>
        <w:t> </w:t>
      </w:r>
    </w:p>
    <w:p>
      <w:pPr>
        <w:pStyle w:val="261"/>
        <w:pageBreakBefore w:val="0"/>
        <w:shd w:val="clear" w:color="auto" w:fill="FFFFFF"/>
        <w:kinsoku/>
        <w:wordWrap/>
        <w:overflowPunct/>
        <w:topLinePunct w:val="0"/>
        <w:bidi w:val="0"/>
        <w:snapToGrid/>
        <w:spacing w:before="0" w:beforeAutospacing="0" w:after="0" w:afterAutospacing="0" w:line="240" w:lineRule="auto"/>
        <w:ind w:left="-240" w:leftChars="-100" w:right="-334" w:rightChars="-139"/>
        <w:jc w:val="both"/>
        <w:textAlignment w:val="auto"/>
        <w:rPr>
          <w:rFonts w:ascii="Trebuchet MS" w:hAnsi="Trebuchet MS" w:cs="Trebuchet MS"/>
          <w:lang w:val="ro-RO"/>
        </w:rPr>
      </w:pPr>
      <w:r>
        <w:rPr>
          <w:rFonts w:ascii="Trebuchet MS" w:hAnsi="Trebuchet MS" w:cs="Trebuchet MS"/>
          <w:lang w:val="ro-RO"/>
        </w:rPr>
        <w:t>FNGCIMM S.A.-IFN poate administra fonduri încredințate de autorități publice centrale, autorități de management sau instituții financiare internaționale; în acest sens, FNGCIMM S.A.-IFN poate, fără a se limita la acestea, să implementeze instrumente financiare printr-o structură proprie de tip fond de fonduri; FNGCIMM S.A.-IFN poate avea și calitatea de organism de implementare a unor produse specifice ale instrumentelor financiare.</w:t>
      </w:r>
    </w:p>
    <w:p>
      <w:pPr>
        <w:pStyle w:val="261"/>
        <w:pageBreakBefore w:val="0"/>
        <w:shd w:val="clear" w:color="auto" w:fill="FFFFFF"/>
        <w:kinsoku/>
        <w:wordWrap/>
        <w:overflowPunct/>
        <w:topLinePunct w:val="0"/>
        <w:bidi w:val="0"/>
        <w:snapToGrid/>
        <w:spacing w:before="0" w:beforeAutospacing="0" w:after="0" w:afterAutospacing="0" w:line="240" w:lineRule="auto"/>
        <w:ind w:left="-240" w:leftChars="-100" w:right="-334" w:rightChars="-139"/>
        <w:jc w:val="both"/>
        <w:textAlignment w:val="auto"/>
        <w:rPr>
          <w:rFonts w:ascii="Trebuchet MS" w:hAnsi="Trebuchet MS" w:cs="Trebuchet MS"/>
          <w:lang w:val="ro-RO"/>
        </w:rPr>
      </w:pPr>
    </w:p>
    <w:p>
      <w:pPr>
        <w:pStyle w:val="261"/>
        <w:pageBreakBefore w:val="0"/>
        <w:shd w:val="clear" w:color="auto" w:fill="FFFFFF"/>
        <w:kinsoku/>
        <w:wordWrap/>
        <w:overflowPunct/>
        <w:topLinePunct w:val="0"/>
        <w:bidi w:val="0"/>
        <w:snapToGrid/>
        <w:spacing w:before="0" w:beforeAutospacing="0" w:after="0" w:afterAutospacing="0" w:line="240" w:lineRule="auto"/>
        <w:ind w:left="-240" w:leftChars="-100" w:right="-334" w:rightChars="-139"/>
        <w:jc w:val="both"/>
        <w:textAlignment w:val="auto"/>
        <w:rPr>
          <w:rFonts w:ascii="Trebuchet MS" w:hAnsi="Trebuchet MS" w:cs="Trebuchet MS"/>
          <w:lang w:val="ro-RO"/>
        </w:rPr>
      </w:pPr>
      <w:r>
        <w:rPr>
          <w:rFonts w:ascii="Trebuchet MS" w:hAnsi="Trebuchet MS" w:cs="Trebuchet MS"/>
          <w:lang w:val="ro-RO"/>
        </w:rPr>
        <w:t>Activitățile specifice de finanțare, cofinanțare și garantare se vor derula potrivit reglementărilor emise în acest sens.</w:t>
      </w:r>
    </w:p>
    <w:p>
      <w:pPr>
        <w:pageBreakBefore w:val="0"/>
        <w:widowControl w:val="0"/>
        <w:tabs>
          <w:tab w:val="left" w:pos="284"/>
          <w:tab w:val="left" w:pos="426"/>
        </w:tabs>
        <w:suppressAutoHyphens w:val="0"/>
        <w:kinsoku/>
        <w:wordWrap/>
        <w:overflowPunct/>
        <w:topLinePunct w:val="0"/>
        <w:autoSpaceDE w:val="0"/>
        <w:autoSpaceDN w:val="0"/>
        <w:bidi w:val="0"/>
        <w:adjustRightInd w:val="0"/>
        <w:snapToGrid/>
        <w:spacing w:after="0" w:line="240" w:lineRule="auto"/>
        <w:ind w:left="-240" w:leftChars="-100" w:right="-334" w:rightChars="-139"/>
        <w:contextualSpacing/>
        <w:jc w:val="both"/>
        <w:textAlignment w:val="auto"/>
        <w:rPr>
          <w:rFonts w:ascii="Trebuchet MS" w:hAnsi="Trebuchet MS" w:cs="Trebuchet MS"/>
          <w:shd w:val="clear" w:color="auto" w:fill="FFFFFF"/>
          <w:lang w:val="ro-RO"/>
        </w:rPr>
      </w:pPr>
    </w:p>
    <w:p>
      <w:pPr>
        <w:pStyle w:val="10"/>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b/>
          <w:bCs/>
          <w:sz w:val="24"/>
          <w:lang w:val="ro-RO"/>
        </w:rPr>
      </w:pPr>
      <w:r>
        <w:rPr>
          <w:rFonts w:ascii="Trebuchet MS" w:hAnsi="Trebuchet MS" w:cs="Trebuchet MS"/>
          <w:b/>
          <w:bCs/>
          <w:sz w:val="24"/>
          <w:lang w:val="ro-RO" w:eastAsia="ro-RO" w:bidi="ro-RO"/>
        </w:rPr>
        <w:t xml:space="preserve">Legislație relevantă domeniului de activitate al </w:t>
      </w:r>
      <w:r>
        <w:rPr>
          <w:rFonts w:ascii="Trebuchet MS" w:hAnsi="Trebuchet MS" w:cs="Trebuchet MS"/>
          <w:b/>
          <w:bCs/>
          <w:sz w:val="24"/>
          <w:lang w:val="ro-RO"/>
        </w:rPr>
        <w:t>FNGCIMM S.A.-IFN</w:t>
      </w:r>
      <w:r>
        <w:rPr>
          <w:rFonts w:ascii="Trebuchet MS" w:hAnsi="Trebuchet MS" w:cs="Trebuchet MS"/>
          <w:b/>
          <w:bCs/>
          <w:sz w:val="24"/>
          <w:lang w:val="ro-RO" w:eastAsia="ro-RO" w:bidi="ro-RO"/>
        </w:rPr>
        <w:t>:</w:t>
      </w:r>
      <w:bookmarkEnd w:id="4"/>
      <w:bookmarkEnd w:id="5"/>
    </w:p>
    <w:p>
      <w:pPr>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bCs/>
          <w:lang w:val="ro-RO"/>
        </w:rPr>
      </w:pPr>
    </w:p>
    <w:p>
      <w:pPr>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bCs/>
          <w:lang w:val="ro-RO"/>
        </w:rPr>
      </w:pPr>
      <w:r>
        <w:rPr>
          <w:rFonts w:ascii="Trebuchet MS" w:hAnsi="Trebuchet MS" w:cs="Trebuchet MS"/>
          <w:bCs/>
          <w:lang w:val="ro-RO"/>
        </w:rPr>
        <w:t>Cadrul legal, general si specific pentru funcționarea FNGCIMM S.A.-IFN cuprinde:</w:t>
      </w:r>
    </w:p>
    <w:p>
      <w:pPr>
        <w:pStyle w:val="231"/>
        <w:pageBreakBefore w:val="0"/>
        <w:widowControl w:val="0"/>
        <w:numPr>
          <w:ilvl w:val="0"/>
          <w:numId w:val="4"/>
        </w:numPr>
        <w:tabs>
          <w:tab w:val="left" w:pos="284"/>
          <w:tab w:val="left" w:pos="426"/>
        </w:tabs>
        <w:suppressAutoHyphens w:val="0"/>
        <w:kinsoku/>
        <w:wordWrap/>
        <w:overflowPunct/>
        <w:topLinePunct w:val="0"/>
        <w:autoSpaceDE w:val="0"/>
        <w:autoSpaceDN w:val="0"/>
        <w:bidi w:val="0"/>
        <w:adjustRightInd w:val="0"/>
        <w:snapToGrid/>
        <w:spacing w:after="0" w:line="240" w:lineRule="auto"/>
        <w:ind w:left="-240" w:leftChars="-100" w:right="-334" w:rightChars="-139"/>
        <w:jc w:val="both"/>
        <w:textAlignment w:val="auto"/>
        <w:rPr>
          <w:rFonts w:ascii="Trebuchet MS" w:hAnsi="Trebuchet MS" w:cs="Trebuchet MS"/>
          <w:iCs/>
          <w:color w:val="auto"/>
        </w:rPr>
      </w:pPr>
      <w:r>
        <w:rPr>
          <w:rFonts w:ascii="Trebuchet MS" w:hAnsi="Trebuchet MS" w:cs="Trebuchet MS"/>
          <w:color w:val="auto"/>
        </w:rPr>
        <w:t>Legea nr. 31 din 16 noiembrie 1990 (**republicată**) (*actualizată*) privind societăţile***)</w:t>
      </w:r>
      <w:r>
        <w:rPr>
          <w:rFonts w:ascii="Trebuchet MS" w:hAnsi="Trebuchet MS" w:cs="Trebuchet MS"/>
          <w:color w:val="auto"/>
          <w:shd w:val="clear" w:color="auto" w:fill="FFFFFF"/>
        </w:rPr>
        <w:t xml:space="preserve"> cu modificarile si completarile ulterioare;</w:t>
      </w:r>
    </w:p>
    <w:p>
      <w:pPr>
        <w:pStyle w:val="237"/>
        <w:pageBreakBefore w:val="0"/>
        <w:widowControl w:val="0"/>
        <w:tabs>
          <w:tab w:val="left" w:pos="284"/>
          <w:tab w:val="left" w:pos="426"/>
        </w:tabs>
        <w:suppressAutoHyphens w:val="0"/>
        <w:kinsoku/>
        <w:wordWrap/>
        <w:overflowPunct/>
        <w:topLinePunct w:val="0"/>
        <w:autoSpaceDE w:val="0"/>
        <w:autoSpaceDN w:val="0"/>
        <w:bidi w:val="0"/>
        <w:adjustRightInd w:val="0"/>
        <w:snapToGrid/>
        <w:spacing w:after="0" w:line="240" w:lineRule="auto"/>
        <w:ind w:left="-240" w:leftChars="-100" w:right="-334" w:rightChars="-139"/>
        <w:jc w:val="both"/>
        <w:textAlignment w:val="auto"/>
        <w:rPr>
          <w:rFonts w:ascii="Trebuchet MS" w:hAnsi="Trebuchet MS" w:cs="Trebuchet MS"/>
          <w:shd w:val="clear" w:color="auto" w:fill="FFFFFF"/>
          <w:lang w:val="ro-RO"/>
        </w:rPr>
      </w:pPr>
    </w:p>
    <w:p>
      <w:pPr>
        <w:pStyle w:val="237"/>
        <w:pageBreakBefore w:val="0"/>
        <w:widowControl w:val="0"/>
        <w:numPr>
          <w:ilvl w:val="0"/>
          <w:numId w:val="4"/>
        </w:numPr>
        <w:tabs>
          <w:tab w:val="left" w:pos="284"/>
          <w:tab w:val="left" w:pos="426"/>
        </w:tabs>
        <w:suppressAutoHyphens w:val="0"/>
        <w:kinsoku/>
        <w:wordWrap/>
        <w:overflowPunct/>
        <w:topLinePunct w:val="0"/>
        <w:autoSpaceDE w:val="0"/>
        <w:autoSpaceDN w:val="0"/>
        <w:bidi w:val="0"/>
        <w:adjustRightInd w:val="0"/>
        <w:snapToGrid/>
        <w:spacing w:after="0" w:line="240" w:lineRule="auto"/>
        <w:ind w:left="-240" w:leftChars="-100" w:right="-334" w:rightChars="-139"/>
        <w:contextualSpacing/>
        <w:jc w:val="both"/>
        <w:textAlignment w:val="auto"/>
        <w:rPr>
          <w:rFonts w:ascii="Trebuchet MS" w:hAnsi="Trebuchet MS" w:cs="Trebuchet MS"/>
          <w:lang w:val="ro-RO"/>
        </w:rPr>
      </w:pPr>
      <w:r>
        <w:rPr>
          <w:rFonts w:ascii="Trebuchet MS" w:hAnsi="Trebuchet MS" w:cs="Trebuchet MS"/>
          <w:shd w:val="clear" w:color="auto" w:fill="FFFFFF"/>
          <w:lang w:val="ro-RO"/>
        </w:rPr>
        <w:t>Legea nr. 111/2016 pentru aprobarea Ordonanței de urgență a Guvernului nr. 109/2011 privind guvernanța corporativă a întreprinderilor publice;</w:t>
      </w:r>
    </w:p>
    <w:p>
      <w:pPr>
        <w:pStyle w:val="237"/>
        <w:pageBreakBefore w:val="0"/>
        <w:widowControl w:val="0"/>
        <w:tabs>
          <w:tab w:val="left" w:pos="284"/>
          <w:tab w:val="left" w:pos="426"/>
        </w:tabs>
        <w:suppressAutoHyphens w:val="0"/>
        <w:kinsoku/>
        <w:wordWrap/>
        <w:overflowPunct/>
        <w:topLinePunct w:val="0"/>
        <w:autoSpaceDE w:val="0"/>
        <w:autoSpaceDN w:val="0"/>
        <w:bidi w:val="0"/>
        <w:adjustRightInd w:val="0"/>
        <w:snapToGrid/>
        <w:spacing w:after="0" w:line="240" w:lineRule="auto"/>
        <w:ind w:left="-240" w:leftChars="-100" w:right="-334" w:rightChars="-139"/>
        <w:contextualSpacing/>
        <w:jc w:val="both"/>
        <w:textAlignment w:val="auto"/>
        <w:rPr>
          <w:rFonts w:ascii="Trebuchet MS" w:hAnsi="Trebuchet MS" w:cs="Trebuchet MS"/>
          <w:lang w:val="ro-RO" w:eastAsia="ar-SA"/>
        </w:rPr>
      </w:pPr>
    </w:p>
    <w:p>
      <w:pPr>
        <w:pStyle w:val="237"/>
        <w:pageBreakBefore w:val="0"/>
        <w:widowControl w:val="0"/>
        <w:numPr>
          <w:ilvl w:val="0"/>
          <w:numId w:val="4"/>
        </w:numPr>
        <w:tabs>
          <w:tab w:val="left" w:pos="284"/>
          <w:tab w:val="left" w:pos="426"/>
        </w:tabs>
        <w:suppressAutoHyphens w:val="0"/>
        <w:kinsoku/>
        <w:wordWrap/>
        <w:overflowPunct/>
        <w:topLinePunct w:val="0"/>
        <w:autoSpaceDE w:val="0"/>
        <w:autoSpaceDN w:val="0"/>
        <w:bidi w:val="0"/>
        <w:adjustRightInd w:val="0"/>
        <w:snapToGrid/>
        <w:spacing w:after="0" w:line="240" w:lineRule="auto"/>
        <w:ind w:left="-240" w:leftChars="-100" w:right="-334" w:rightChars="-139"/>
        <w:contextualSpacing/>
        <w:jc w:val="both"/>
        <w:textAlignment w:val="auto"/>
        <w:rPr>
          <w:rFonts w:ascii="Trebuchet MS" w:hAnsi="Trebuchet MS" w:cs="Trebuchet MS"/>
          <w:lang w:val="ro-RO"/>
        </w:rPr>
      </w:pPr>
      <w:r>
        <w:rPr>
          <w:rFonts w:ascii="Trebuchet MS" w:hAnsi="Trebuchet MS" w:cs="Trebuchet MS"/>
          <w:lang w:val="ro-RO" w:eastAsia="ar-SA"/>
        </w:rPr>
        <w:t>Legea nr.346/2004 privind stimularea înfiinţării şi dezvoltării întreprinderilor mici şi mijlocii cu modificările şi completările ulterioare;</w:t>
      </w:r>
    </w:p>
    <w:p>
      <w:pPr>
        <w:pStyle w:val="237"/>
        <w:pageBreakBefore w:val="0"/>
        <w:widowControl w:val="0"/>
        <w:tabs>
          <w:tab w:val="left" w:pos="284"/>
          <w:tab w:val="left" w:pos="426"/>
        </w:tabs>
        <w:suppressAutoHyphens w:val="0"/>
        <w:kinsoku/>
        <w:wordWrap/>
        <w:overflowPunct/>
        <w:topLinePunct w:val="0"/>
        <w:autoSpaceDE w:val="0"/>
        <w:autoSpaceDN w:val="0"/>
        <w:bidi w:val="0"/>
        <w:adjustRightInd w:val="0"/>
        <w:snapToGrid/>
        <w:spacing w:after="0" w:line="240" w:lineRule="auto"/>
        <w:ind w:left="-240" w:leftChars="-100" w:right="-334" w:rightChars="-139"/>
        <w:contextualSpacing/>
        <w:jc w:val="both"/>
        <w:textAlignment w:val="auto"/>
        <w:rPr>
          <w:rFonts w:ascii="Trebuchet MS" w:hAnsi="Trebuchet MS" w:cs="Trebuchet MS"/>
          <w:lang w:val="ro-RO"/>
        </w:rPr>
      </w:pPr>
    </w:p>
    <w:p>
      <w:pPr>
        <w:pStyle w:val="237"/>
        <w:pageBreakBefore w:val="0"/>
        <w:widowControl w:val="0"/>
        <w:numPr>
          <w:ilvl w:val="0"/>
          <w:numId w:val="4"/>
        </w:numPr>
        <w:tabs>
          <w:tab w:val="left" w:pos="284"/>
          <w:tab w:val="left" w:pos="426"/>
        </w:tabs>
        <w:suppressAutoHyphens w:val="0"/>
        <w:kinsoku/>
        <w:wordWrap/>
        <w:overflowPunct/>
        <w:topLinePunct w:val="0"/>
        <w:autoSpaceDE w:val="0"/>
        <w:autoSpaceDN w:val="0"/>
        <w:bidi w:val="0"/>
        <w:adjustRightInd w:val="0"/>
        <w:snapToGrid/>
        <w:spacing w:after="0" w:line="240" w:lineRule="auto"/>
        <w:ind w:left="-240" w:leftChars="-100" w:right="-334" w:rightChars="-139"/>
        <w:contextualSpacing/>
        <w:jc w:val="both"/>
        <w:textAlignment w:val="auto"/>
        <w:rPr>
          <w:rFonts w:ascii="Trebuchet MS" w:hAnsi="Trebuchet MS" w:cs="Trebuchet MS"/>
          <w:lang w:val="ro-RO"/>
        </w:rPr>
      </w:pPr>
      <w:r>
        <w:rPr>
          <w:rFonts w:ascii="Trebuchet MS" w:hAnsi="Trebuchet MS" w:cs="Trebuchet MS"/>
          <w:bCs/>
          <w:lang w:val="ro-RO"/>
        </w:rPr>
        <w:t>Legea nr. 93/2009 privind instituțiile financiare nebancare, cu modificările și completările ulterioare</w:t>
      </w:r>
      <w:r>
        <w:rPr>
          <w:rFonts w:ascii="Trebuchet MS" w:hAnsi="Trebuchet MS" w:cs="Trebuchet MS"/>
          <w:lang w:val="ro-RO"/>
        </w:rPr>
        <w:t>;</w:t>
      </w:r>
      <w:r>
        <w:rPr>
          <w:rFonts w:ascii="Trebuchet MS" w:hAnsi="Trebuchet MS" w:cs="Trebuchet MS"/>
          <w:iCs/>
          <w:lang w:val="ro-RO"/>
        </w:rPr>
        <w:t xml:space="preserve"> </w:t>
      </w:r>
    </w:p>
    <w:p>
      <w:pPr>
        <w:pStyle w:val="237"/>
        <w:pageBreakBefore w:val="0"/>
        <w:widowControl w:val="0"/>
        <w:tabs>
          <w:tab w:val="left" w:pos="284"/>
          <w:tab w:val="left" w:pos="426"/>
        </w:tabs>
        <w:suppressAutoHyphens w:val="0"/>
        <w:kinsoku/>
        <w:wordWrap/>
        <w:overflowPunct/>
        <w:topLinePunct w:val="0"/>
        <w:autoSpaceDE w:val="0"/>
        <w:autoSpaceDN w:val="0"/>
        <w:bidi w:val="0"/>
        <w:adjustRightInd w:val="0"/>
        <w:snapToGrid/>
        <w:spacing w:after="0" w:line="240" w:lineRule="auto"/>
        <w:ind w:left="-240" w:leftChars="-100" w:right="-334" w:rightChars="-139"/>
        <w:contextualSpacing/>
        <w:jc w:val="both"/>
        <w:textAlignment w:val="auto"/>
        <w:rPr>
          <w:rFonts w:ascii="Trebuchet MS" w:hAnsi="Trebuchet MS" w:cs="Trebuchet MS"/>
          <w:lang w:val="ro-RO"/>
        </w:rPr>
      </w:pPr>
    </w:p>
    <w:p>
      <w:pPr>
        <w:pStyle w:val="237"/>
        <w:pageBreakBefore w:val="0"/>
        <w:widowControl w:val="0"/>
        <w:numPr>
          <w:ilvl w:val="0"/>
          <w:numId w:val="4"/>
        </w:numPr>
        <w:tabs>
          <w:tab w:val="left" w:pos="284"/>
          <w:tab w:val="left" w:pos="426"/>
        </w:tabs>
        <w:suppressAutoHyphens w:val="0"/>
        <w:kinsoku/>
        <w:wordWrap/>
        <w:overflowPunct/>
        <w:topLinePunct w:val="0"/>
        <w:autoSpaceDE w:val="0"/>
        <w:autoSpaceDN w:val="0"/>
        <w:bidi w:val="0"/>
        <w:adjustRightInd w:val="0"/>
        <w:snapToGrid/>
        <w:spacing w:after="0" w:line="240" w:lineRule="auto"/>
        <w:ind w:left="-240" w:leftChars="-100" w:right="-334" w:rightChars="-139"/>
        <w:contextualSpacing/>
        <w:jc w:val="both"/>
        <w:textAlignment w:val="auto"/>
        <w:rPr>
          <w:rFonts w:ascii="Trebuchet MS" w:hAnsi="Trebuchet MS" w:cs="Trebuchet MS"/>
          <w:lang w:val="ro-RO"/>
        </w:rPr>
      </w:pPr>
      <w:r>
        <w:rPr>
          <w:rFonts w:ascii="Trebuchet MS" w:hAnsi="Trebuchet MS" w:cs="Trebuchet MS"/>
          <w:iCs/>
          <w:lang w:val="ro-RO"/>
        </w:rPr>
        <w:t>Ordonanța guvernului nr.29/2013</w:t>
      </w:r>
      <w:r>
        <w:rPr>
          <w:rStyle w:val="258"/>
          <w:rFonts w:ascii="Trebuchet MS" w:hAnsi="Trebuchet MS" w:cs="Trebuchet MS"/>
          <w:shd w:val="clear" w:color="auto" w:fill="FFFFFF"/>
          <w:lang w:val="ro-RO"/>
        </w:rPr>
        <w:t> </w:t>
      </w:r>
      <w:r>
        <w:rPr>
          <w:rFonts w:ascii="Trebuchet MS" w:hAnsi="Trebuchet MS" w:cs="Trebuchet MS"/>
          <w:shd w:val="clear" w:color="auto" w:fill="FFFFFF"/>
          <w:lang w:val="ro-RO"/>
        </w:rPr>
        <w:t xml:space="preserve">privind reglementarea unor masuri bugetare, </w:t>
      </w:r>
      <w:r>
        <w:rPr>
          <w:rFonts w:ascii="Trebuchet MS" w:hAnsi="Trebuchet MS" w:cs="Trebuchet MS"/>
          <w:bCs/>
          <w:lang w:val="ro-RO"/>
        </w:rPr>
        <w:t>cu modificările și completările ulterioare</w:t>
      </w:r>
      <w:r>
        <w:rPr>
          <w:rFonts w:ascii="Trebuchet MS" w:hAnsi="Trebuchet MS" w:cs="Trebuchet MS"/>
          <w:lang w:val="ro-RO"/>
        </w:rPr>
        <w:t>;</w:t>
      </w:r>
    </w:p>
    <w:p>
      <w:pPr>
        <w:pStyle w:val="237"/>
        <w:pageBreakBefore w:val="0"/>
        <w:widowControl w:val="0"/>
        <w:tabs>
          <w:tab w:val="left" w:pos="284"/>
          <w:tab w:val="left" w:pos="426"/>
        </w:tabs>
        <w:suppressAutoHyphens w:val="0"/>
        <w:kinsoku/>
        <w:wordWrap/>
        <w:overflowPunct/>
        <w:topLinePunct w:val="0"/>
        <w:autoSpaceDE w:val="0"/>
        <w:autoSpaceDN w:val="0"/>
        <w:bidi w:val="0"/>
        <w:adjustRightInd w:val="0"/>
        <w:snapToGrid/>
        <w:spacing w:after="0" w:line="240" w:lineRule="auto"/>
        <w:ind w:left="-240" w:leftChars="-100" w:right="-334" w:rightChars="-139"/>
        <w:contextualSpacing/>
        <w:jc w:val="both"/>
        <w:textAlignment w:val="auto"/>
        <w:rPr>
          <w:rFonts w:ascii="Trebuchet MS" w:hAnsi="Trebuchet MS" w:cs="Trebuchet MS"/>
          <w:lang w:val="ro-RO"/>
        </w:rPr>
      </w:pPr>
    </w:p>
    <w:p>
      <w:pPr>
        <w:pStyle w:val="237"/>
        <w:pageBreakBefore w:val="0"/>
        <w:widowControl w:val="0"/>
        <w:numPr>
          <w:ilvl w:val="0"/>
          <w:numId w:val="4"/>
        </w:numPr>
        <w:tabs>
          <w:tab w:val="left" w:pos="284"/>
          <w:tab w:val="left" w:pos="426"/>
        </w:tabs>
        <w:suppressAutoHyphens w:val="0"/>
        <w:kinsoku/>
        <w:wordWrap/>
        <w:overflowPunct/>
        <w:topLinePunct w:val="0"/>
        <w:autoSpaceDE w:val="0"/>
        <w:autoSpaceDN w:val="0"/>
        <w:bidi w:val="0"/>
        <w:adjustRightInd w:val="0"/>
        <w:snapToGrid/>
        <w:spacing w:after="0" w:line="240" w:lineRule="auto"/>
        <w:ind w:left="-240" w:leftChars="-100" w:right="-334" w:rightChars="-139"/>
        <w:contextualSpacing/>
        <w:jc w:val="both"/>
        <w:textAlignment w:val="auto"/>
        <w:rPr>
          <w:rFonts w:ascii="Trebuchet MS" w:hAnsi="Trebuchet MS" w:cs="Trebuchet MS"/>
          <w:lang w:val="ro-RO"/>
        </w:rPr>
      </w:pPr>
      <w:r>
        <w:rPr>
          <w:rFonts w:ascii="Trebuchet MS" w:hAnsi="Trebuchet MS" w:cs="Trebuchet MS"/>
          <w:lang w:val="ro-RO"/>
        </w:rPr>
        <w:t>Hotărârea Guvernului nr. 376/2017 pentru modificarea Hotărârii Guvernului nr.1211/2001 privind înfiinţarea Fondului Naţional de Garantare a Creditelor pentru  Întreprinderile Mici şi Mijlocii S.A. – IFN, republicată;</w:t>
      </w:r>
    </w:p>
    <w:p>
      <w:pPr>
        <w:pStyle w:val="237"/>
        <w:pageBreakBefore w:val="0"/>
        <w:widowControl w:val="0"/>
        <w:tabs>
          <w:tab w:val="left" w:pos="284"/>
          <w:tab w:val="left" w:pos="426"/>
        </w:tabs>
        <w:suppressAutoHyphens w:val="0"/>
        <w:kinsoku/>
        <w:wordWrap/>
        <w:overflowPunct/>
        <w:topLinePunct w:val="0"/>
        <w:autoSpaceDE w:val="0"/>
        <w:autoSpaceDN w:val="0"/>
        <w:bidi w:val="0"/>
        <w:adjustRightInd w:val="0"/>
        <w:snapToGrid/>
        <w:spacing w:after="0" w:line="240" w:lineRule="auto"/>
        <w:ind w:left="-240" w:leftChars="-100" w:right="-334" w:rightChars="-139"/>
        <w:contextualSpacing/>
        <w:jc w:val="both"/>
        <w:textAlignment w:val="auto"/>
        <w:rPr>
          <w:rFonts w:ascii="Trebuchet MS" w:hAnsi="Trebuchet MS" w:cs="Trebuchet MS"/>
          <w:lang w:val="ro-RO"/>
        </w:rPr>
      </w:pPr>
    </w:p>
    <w:p>
      <w:pPr>
        <w:pStyle w:val="237"/>
        <w:pageBreakBefore w:val="0"/>
        <w:widowControl w:val="0"/>
        <w:numPr>
          <w:ilvl w:val="0"/>
          <w:numId w:val="4"/>
        </w:numPr>
        <w:tabs>
          <w:tab w:val="left" w:pos="284"/>
          <w:tab w:val="left" w:pos="426"/>
        </w:tabs>
        <w:suppressAutoHyphens w:val="0"/>
        <w:kinsoku/>
        <w:wordWrap/>
        <w:overflowPunct/>
        <w:topLinePunct w:val="0"/>
        <w:autoSpaceDE w:val="0"/>
        <w:autoSpaceDN w:val="0"/>
        <w:bidi w:val="0"/>
        <w:adjustRightInd w:val="0"/>
        <w:snapToGrid/>
        <w:spacing w:after="0" w:line="240" w:lineRule="auto"/>
        <w:ind w:left="-240" w:leftChars="-100" w:right="-334" w:rightChars="-139"/>
        <w:contextualSpacing/>
        <w:jc w:val="both"/>
        <w:textAlignment w:val="auto"/>
        <w:rPr>
          <w:rFonts w:ascii="Trebuchet MS" w:hAnsi="Trebuchet MS" w:cs="Trebuchet MS"/>
          <w:lang w:val="ro-RO"/>
        </w:rPr>
      </w:pPr>
      <w:r>
        <w:rPr>
          <w:rFonts w:ascii="Trebuchet MS" w:hAnsi="Trebuchet MS" w:cs="Trebuchet MS"/>
          <w:lang w:val="ro-RO"/>
        </w:rPr>
        <w:t xml:space="preserve">Hotărârea Guvernului nr. 722/2016 pentru </w:t>
      </w:r>
      <w:r>
        <w:rPr>
          <w:rFonts w:ascii="Trebuchet MS" w:hAnsi="Trebuchet MS" w:cs="Trebuchet MS"/>
          <w:bCs/>
          <w:shd w:val="clear" w:color="auto" w:fill="FFFFFF"/>
          <w:lang w:val="ro-RO"/>
        </w:rPr>
        <w:t>pentru aprobarea Normelor metodologice de aplicare a unor prevederi din Ordonanţa de urgenţă a Guvernului nr. 109/2011 privind guvernanţa corporativă a întreprinderilor publice;</w:t>
      </w:r>
    </w:p>
    <w:p>
      <w:pPr>
        <w:pStyle w:val="237"/>
        <w:pageBreakBefore w:val="0"/>
        <w:widowControl w:val="0"/>
        <w:tabs>
          <w:tab w:val="left" w:pos="284"/>
          <w:tab w:val="left" w:pos="426"/>
        </w:tabs>
        <w:suppressAutoHyphens w:val="0"/>
        <w:kinsoku/>
        <w:wordWrap/>
        <w:overflowPunct/>
        <w:topLinePunct w:val="0"/>
        <w:autoSpaceDE w:val="0"/>
        <w:autoSpaceDN w:val="0"/>
        <w:bidi w:val="0"/>
        <w:adjustRightInd w:val="0"/>
        <w:snapToGrid/>
        <w:spacing w:after="0" w:line="240" w:lineRule="auto"/>
        <w:ind w:left="-240" w:leftChars="-100" w:right="-334" w:rightChars="-139"/>
        <w:contextualSpacing/>
        <w:jc w:val="both"/>
        <w:textAlignment w:val="auto"/>
        <w:rPr>
          <w:rFonts w:ascii="Trebuchet MS" w:hAnsi="Trebuchet MS" w:cs="Trebuchet MS"/>
          <w:lang w:val="ro-RO"/>
        </w:rPr>
      </w:pPr>
    </w:p>
    <w:p>
      <w:pPr>
        <w:pStyle w:val="237"/>
        <w:pageBreakBefore w:val="0"/>
        <w:widowControl w:val="0"/>
        <w:numPr>
          <w:ilvl w:val="0"/>
          <w:numId w:val="4"/>
        </w:numPr>
        <w:tabs>
          <w:tab w:val="left" w:pos="284"/>
          <w:tab w:val="left" w:pos="426"/>
        </w:tabs>
        <w:suppressAutoHyphens w:val="0"/>
        <w:kinsoku/>
        <w:wordWrap/>
        <w:overflowPunct/>
        <w:topLinePunct w:val="0"/>
        <w:autoSpaceDE w:val="0"/>
        <w:autoSpaceDN w:val="0"/>
        <w:bidi w:val="0"/>
        <w:adjustRightInd w:val="0"/>
        <w:snapToGrid/>
        <w:spacing w:after="0" w:line="240" w:lineRule="auto"/>
        <w:ind w:left="-240" w:leftChars="-100" w:right="-334" w:rightChars="-139"/>
        <w:contextualSpacing/>
        <w:jc w:val="both"/>
        <w:textAlignment w:val="auto"/>
        <w:rPr>
          <w:rFonts w:ascii="Trebuchet MS" w:hAnsi="Trebuchet MS" w:cs="Trebuchet MS"/>
          <w:lang w:val="ro-RO"/>
        </w:rPr>
      </w:pPr>
      <w:r>
        <w:rPr>
          <w:rFonts w:ascii="Trebuchet MS" w:hAnsi="Trebuchet MS" w:cs="Trebuchet MS"/>
          <w:bCs/>
          <w:lang w:val="ro-RO"/>
        </w:rPr>
        <w:t>Regulamentului BNR nr. 20 din 13.oct.2009, privind instituţiile financiare nebancare, cu modificările și completările ulterioare</w:t>
      </w:r>
      <w:r>
        <w:rPr>
          <w:rFonts w:ascii="Trebuchet MS" w:hAnsi="Trebuchet MS" w:cs="Trebuchet MS"/>
          <w:lang w:val="ro-RO"/>
        </w:rPr>
        <w:t>;</w:t>
      </w:r>
    </w:p>
    <w:p>
      <w:pPr>
        <w:pStyle w:val="237"/>
        <w:pageBreakBefore w:val="0"/>
        <w:widowControl w:val="0"/>
        <w:tabs>
          <w:tab w:val="left" w:pos="284"/>
          <w:tab w:val="left" w:pos="426"/>
        </w:tabs>
        <w:suppressAutoHyphens w:val="0"/>
        <w:kinsoku/>
        <w:wordWrap/>
        <w:overflowPunct/>
        <w:topLinePunct w:val="0"/>
        <w:autoSpaceDE w:val="0"/>
        <w:autoSpaceDN w:val="0"/>
        <w:bidi w:val="0"/>
        <w:adjustRightInd w:val="0"/>
        <w:snapToGrid/>
        <w:spacing w:after="0" w:line="240" w:lineRule="auto"/>
        <w:ind w:left="-240" w:leftChars="-100" w:right="-334" w:rightChars="-139"/>
        <w:contextualSpacing/>
        <w:jc w:val="both"/>
        <w:textAlignment w:val="auto"/>
        <w:rPr>
          <w:rFonts w:ascii="Trebuchet MS" w:hAnsi="Trebuchet MS" w:cs="Trebuchet MS"/>
          <w:lang w:val="ro-RO"/>
        </w:rPr>
      </w:pPr>
    </w:p>
    <w:p>
      <w:pPr>
        <w:pStyle w:val="237"/>
        <w:pageBreakBefore w:val="0"/>
        <w:widowControl w:val="0"/>
        <w:numPr>
          <w:ilvl w:val="0"/>
          <w:numId w:val="4"/>
        </w:numPr>
        <w:tabs>
          <w:tab w:val="left" w:pos="284"/>
          <w:tab w:val="left" w:pos="426"/>
        </w:tabs>
        <w:suppressAutoHyphens w:val="0"/>
        <w:kinsoku/>
        <w:wordWrap/>
        <w:overflowPunct/>
        <w:topLinePunct w:val="0"/>
        <w:autoSpaceDE w:val="0"/>
        <w:autoSpaceDN w:val="0"/>
        <w:bidi w:val="0"/>
        <w:adjustRightInd w:val="0"/>
        <w:snapToGrid/>
        <w:spacing w:after="0" w:line="240" w:lineRule="auto"/>
        <w:ind w:left="-240" w:leftChars="-100" w:right="-334" w:rightChars="-139"/>
        <w:contextualSpacing/>
        <w:jc w:val="both"/>
        <w:textAlignment w:val="auto"/>
        <w:rPr>
          <w:rFonts w:ascii="Trebuchet MS" w:hAnsi="Trebuchet MS" w:cs="Trebuchet MS"/>
          <w:lang w:val="ro-RO"/>
        </w:rPr>
      </w:pPr>
      <w:r>
        <w:rPr>
          <w:rFonts w:ascii="Trebuchet MS" w:hAnsi="Trebuchet MS" w:cs="Trebuchet MS"/>
          <w:lang w:val="ro-RO"/>
        </w:rPr>
        <w:t>Ordinul Bancii Nationale a Romaniei nr. 6/2015 pentru aprobarea Reglementărilor contabile conforme cu directivele europene („Ordinul 6/2015”) cu modificările și completările ulterioare.</w:t>
      </w:r>
    </w:p>
    <w:p>
      <w:pPr>
        <w:pStyle w:val="260"/>
        <w:keepNext/>
        <w:keepLines/>
        <w:pageBreakBefore w:val="0"/>
        <w:shd w:val="clear" w:color="auto" w:fill="auto"/>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szCs w:val="24"/>
          <w:lang w:val="ro-RO" w:eastAsia="ro-RO" w:bidi="ro-RO"/>
        </w:rPr>
      </w:pPr>
      <w:bookmarkStart w:id="6" w:name="bookmark8"/>
      <w:bookmarkStart w:id="7" w:name="bookmark9"/>
    </w:p>
    <w:p>
      <w:pPr>
        <w:pStyle w:val="260"/>
        <w:keepNext/>
        <w:keepLines/>
        <w:pageBreakBefore w:val="0"/>
        <w:shd w:val="clear" w:color="auto" w:fill="auto"/>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szCs w:val="24"/>
          <w:lang w:val="ro-RO"/>
        </w:rPr>
      </w:pPr>
      <w:r>
        <w:rPr>
          <w:rFonts w:ascii="Trebuchet MS" w:hAnsi="Trebuchet MS" w:cs="Trebuchet MS"/>
          <w:sz w:val="24"/>
          <w:szCs w:val="24"/>
          <w:lang w:val="ro-RO" w:eastAsia="ro-RO" w:bidi="ro-RO"/>
        </w:rPr>
        <w:t xml:space="preserve">Misiunea actuală a </w:t>
      </w:r>
      <w:r>
        <w:rPr>
          <w:rFonts w:ascii="Trebuchet MS" w:hAnsi="Trebuchet MS" w:cs="Trebuchet MS"/>
          <w:sz w:val="24"/>
          <w:szCs w:val="24"/>
          <w:lang w:val="ro-RO"/>
        </w:rPr>
        <w:t>FNGCIMM S.A.-IFN</w:t>
      </w:r>
      <w:bookmarkEnd w:id="6"/>
      <w:bookmarkEnd w:id="7"/>
    </w:p>
    <w:p>
      <w:pPr>
        <w:pStyle w:val="10"/>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lang w:val="ro-RO"/>
        </w:rPr>
      </w:pPr>
    </w:p>
    <w:p>
      <w:pPr>
        <w:pStyle w:val="10"/>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lang w:val="ro-RO" w:eastAsia="ro-RO" w:bidi="ro-RO"/>
        </w:rPr>
      </w:pPr>
      <w:r>
        <w:rPr>
          <w:rFonts w:ascii="Trebuchet MS" w:hAnsi="Trebuchet MS" w:cs="Trebuchet MS"/>
          <w:sz w:val="24"/>
          <w:lang w:val="ro-RO"/>
        </w:rPr>
        <w:t xml:space="preserve">Misiunea </w:t>
      </w:r>
      <w:r>
        <w:rPr>
          <w:rFonts w:ascii="Trebuchet MS" w:hAnsi="Trebuchet MS" w:cs="Trebuchet MS"/>
          <w:sz w:val="24"/>
          <w:lang w:val="ro-RO" w:eastAsia="en-US"/>
        </w:rPr>
        <w:t>FNGCIMM S.A.-IFN</w:t>
      </w:r>
      <w:r>
        <w:rPr>
          <w:rFonts w:ascii="Trebuchet MS" w:hAnsi="Trebuchet MS" w:cs="Trebuchet MS"/>
          <w:sz w:val="24"/>
          <w:lang w:val="ro-RO"/>
        </w:rPr>
        <w:t xml:space="preserve"> constă în îmbunătățirea accesului la finanțare al întreprinderilor mici și mijlocii. </w:t>
      </w:r>
      <w:r>
        <w:rPr>
          <w:rFonts w:ascii="Trebuchet MS" w:hAnsi="Trebuchet MS" w:cs="Trebuchet MS"/>
          <w:sz w:val="24"/>
          <w:lang w:val="ro-RO" w:eastAsia="en-US"/>
        </w:rPr>
        <w:t>FNGCIMM S.A.-IFN</w:t>
      </w:r>
      <w:r>
        <w:rPr>
          <w:rFonts w:ascii="Trebuchet MS" w:hAnsi="Trebuchet MS" w:cs="Trebuchet MS"/>
          <w:sz w:val="24"/>
          <w:lang w:val="ro-RO" w:eastAsia="ro-RO" w:bidi="ro-RO"/>
        </w:rPr>
        <w:t xml:space="preserve"> este o instituție financiară nebancară, care își propune să ofere clienților produse si servicii diverse și de calitate, urmărind cu precădere finanțarea IMM-urilor, agriculturii, administrațiilor publice locale, precum și a acelor proiecte bancabile care prin natura lor, contribuie la dezvoltarea economică, crearea și menținerea locurilor de munca.</w:t>
      </w:r>
      <w:r>
        <w:rPr>
          <w:rFonts w:ascii="Trebuchet MS" w:hAnsi="Trebuchet MS" w:cs="Trebuchet MS"/>
          <w:sz w:val="24"/>
          <w:lang w:val="ro-RO"/>
        </w:rPr>
        <w:t> FNGCIMM S.A. - IFN</w:t>
      </w:r>
      <w:r>
        <w:rPr>
          <w:rFonts w:ascii="Trebuchet MS" w:hAnsi="Trebuchet MS" w:cs="Trebuchet MS"/>
          <w:sz w:val="24"/>
          <w:lang w:val="ro-RO" w:eastAsia="ro-RO" w:bidi="ro-RO"/>
        </w:rPr>
        <w:t xml:space="preserve"> va fi un element activ în sprijinirea clienților pentru accesarea Fondurilor Europene și se va implica în susținerea Programelor Guvernamentale.</w:t>
      </w:r>
    </w:p>
    <w:p>
      <w:pPr>
        <w:pStyle w:val="10"/>
        <w:pageBreakBefore w:val="0"/>
        <w:kinsoku/>
        <w:wordWrap/>
        <w:overflowPunct/>
        <w:topLinePunct w:val="0"/>
        <w:bidi w:val="0"/>
        <w:snapToGrid/>
        <w:spacing w:after="0" w:line="240" w:lineRule="auto"/>
        <w:ind w:left="-240" w:leftChars="-100" w:right="-334" w:rightChars="-139"/>
        <w:contextualSpacing/>
        <w:jc w:val="both"/>
        <w:textAlignment w:val="auto"/>
        <w:rPr>
          <w:rFonts w:ascii="Trebuchet MS" w:hAnsi="Trebuchet MS" w:cs="Trebuchet MS"/>
          <w:sz w:val="24"/>
          <w:lang w:val="ro-RO"/>
        </w:rPr>
      </w:pPr>
    </w:p>
    <w:p>
      <w:pPr>
        <w:pStyle w:val="10"/>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lang w:val="ro-RO"/>
        </w:rPr>
      </w:pPr>
      <w:r>
        <w:rPr>
          <w:rFonts w:ascii="Trebuchet MS" w:hAnsi="Trebuchet MS" w:cs="Trebuchet MS"/>
          <w:sz w:val="24"/>
          <w:lang w:val="ro-RO"/>
        </w:rPr>
        <w:t xml:space="preserve">FNGCIMM S.A. - IFN își desfășoară activitatea în nume și în cont propriu, prestând pentru persoanele juridice legal constituite, în special pentru întreprinderile mici și mijlocii, servicii financiare de natura finanțărilor, garanțiilor și asumarea angajamentelor de finanțare sau de garantare a creditelor, precum și a oricăror altor instrumente de finanțare necesare punerii în aplicare a obiectului specific de activitate al acestora, în condițiile legii. </w:t>
      </w:r>
    </w:p>
    <w:p>
      <w:pPr>
        <w:pStyle w:val="10"/>
        <w:pageBreakBefore w:val="0"/>
        <w:kinsoku/>
        <w:wordWrap/>
        <w:overflowPunct/>
        <w:topLinePunct w:val="0"/>
        <w:bidi w:val="0"/>
        <w:snapToGrid/>
        <w:spacing w:after="0" w:line="240" w:lineRule="auto"/>
        <w:ind w:left="-240" w:leftChars="-100" w:right="-334" w:rightChars="-139"/>
        <w:contextualSpacing/>
        <w:jc w:val="both"/>
        <w:textAlignment w:val="auto"/>
        <w:rPr>
          <w:rFonts w:ascii="Trebuchet MS" w:hAnsi="Trebuchet MS" w:cs="Trebuchet MS"/>
          <w:sz w:val="24"/>
          <w:lang w:val="ro-RO"/>
        </w:rPr>
      </w:pPr>
    </w:p>
    <w:p>
      <w:pPr>
        <w:pStyle w:val="10"/>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lang w:val="ro-RO"/>
        </w:rPr>
      </w:pPr>
      <w:r>
        <w:rPr>
          <w:rFonts w:ascii="Trebuchet MS" w:hAnsi="Trebuchet MS" w:cs="Trebuchet MS"/>
          <w:sz w:val="24"/>
          <w:lang w:val="ro-RO"/>
        </w:rPr>
        <w:t xml:space="preserve">FNGCIMM S.A. - IFN poate fi mandatat de către Ministerul Finanțelor să desfășoare, în numele și în contul statului, activități specifice de garantare în scopul derulării unor programe guvernamentale pentru susținerea unor sectoare ale economiei naționale. FNGCIMM S.A. - IFN poate desfășura activități specifice de finanțare, cofinanțare, garantare, din fonduri încredințate, conform prevederilor legale și regulamentelor aferente, de autorități publice centrale, autorități de management sau instituții financiare internaționale, în condițiile prevăzute de actele normative emise în vederea derulării acestor operațiuni. Măsurile de sprijin susceptibile a reprezenta ajutor de stat sau de minimis vor fi acordate numai cu respectarea reglementărilor naționale și europene în domeniul ajutorului de stat. </w:t>
      </w:r>
    </w:p>
    <w:p>
      <w:pPr>
        <w:pStyle w:val="10"/>
        <w:pageBreakBefore w:val="0"/>
        <w:kinsoku/>
        <w:wordWrap/>
        <w:overflowPunct/>
        <w:topLinePunct w:val="0"/>
        <w:bidi w:val="0"/>
        <w:snapToGrid/>
        <w:spacing w:after="0" w:line="240" w:lineRule="auto"/>
        <w:ind w:left="-240" w:leftChars="-100" w:right="-334" w:rightChars="-139"/>
        <w:contextualSpacing/>
        <w:jc w:val="both"/>
        <w:textAlignment w:val="auto"/>
        <w:rPr>
          <w:rFonts w:ascii="Trebuchet MS" w:hAnsi="Trebuchet MS" w:cs="Trebuchet MS"/>
          <w:sz w:val="24"/>
          <w:lang w:val="ro-RO"/>
        </w:rPr>
      </w:pPr>
    </w:p>
    <w:p>
      <w:pPr>
        <w:pStyle w:val="10"/>
        <w:pageBreakBefore w:val="0"/>
        <w:kinsoku/>
        <w:wordWrap/>
        <w:overflowPunct/>
        <w:topLinePunct w:val="0"/>
        <w:bidi w:val="0"/>
        <w:snapToGrid/>
        <w:spacing w:after="0" w:line="240" w:lineRule="auto"/>
        <w:ind w:left="-240" w:leftChars="-100" w:right="-334" w:rightChars="-139"/>
        <w:jc w:val="both"/>
        <w:textAlignment w:val="auto"/>
        <w:rPr>
          <w:rStyle w:val="27"/>
          <w:rFonts w:ascii="Trebuchet MS" w:hAnsi="Trebuchet MS" w:cs="Trebuchet MS"/>
          <w:b w:val="0"/>
          <w:bCs w:val="0"/>
          <w:sz w:val="24"/>
          <w:lang w:val="ro-RO"/>
        </w:rPr>
      </w:pPr>
      <w:r>
        <w:rPr>
          <w:rFonts w:ascii="Trebuchet MS" w:hAnsi="Trebuchet MS" w:cs="Trebuchet MS"/>
          <w:sz w:val="24"/>
          <w:lang w:val="ro-RO"/>
        </w:rPr>
        <w:t>FNGCIMM S.A. - IFN colaborează cu autoritățile publice, instituțiile publice sau de interes public pe baza unor protocoale, în limita atribuțiilor ce le revin potrivit legii, în condiții de reciprocitate, pentru furnizarea informațiilor necesare pentru realizarea misiunii și obiectului său de activitate.</w:t>
      </w:r>
    </w:p>
    <w:p>
      <w:pPr>
        <w:pageBreakBefore w:val="0"/>
        <w:tabs>
          <w:tab w:val="left" w:pos="540"/>
        </w:tabs>
        <w:kinsoku/>
        <w:wordWrap/>
        <w:overflowPunct/>
        <w:topLinePunct w:val="0"/>
        <w:bidi w:val="0"/>
        <w:snapToGrid/>
        <w:spacing w:after="0" w:line="240" w:lineRule="auto"/>
        <w:ind w:left="-240" w:leftChars="-100" w:right="-334" w:rightChars="-139"/>
        <w:jc w:val="both"/>
        <w:textAlignment w:val="auto"/>
        <w:rPr>
          <w:rStyle w:val="27"/>
          <w:rFonts w:ascii="Trebuchet MS" w:hAnsi="Trebuchet MS" w:cs="Trebuchet MS"/>
          <w:lang w:val="ro-RO"/>
        </w:rPr>
      </w:pPr>
    </w:p>
    <w:p>
      <w:pPr>
        <w:pageBreakBefore w:val="0"/>
        <w:tabs>
          <w:tab w:val="left" w:pos="540"/>
        </w:tabs>
        <w:kinsoku/>
        <w:wordWrap/>
        <w:overflowPunct/>
        <w:topLinePunct w:val="0"/>
        <w:bidi w:val="0"/>
        <w:snapToGrid/>
        <w:spacing w:after="0" w:line="240" w:lineRule="auto"/>
        <w:ind w:left="-240" w:leftChars="-100" w:right="-334" w:rightChars="-139"/>
        <w:jc w:val="both"/>
        <w:textAlignment w:val="auto"/>
        <w:rPr>
          <w:rStyle w:val="27"/>
          <w:rFonts w:ascii="Trebuchet MS" w:hAnsi="Trebuchet MS" w:cs="Trebuchet MS"/>
          <w:lang w:val="ro-RO"/>
        </w:rPr>
      </w:pPr>
      <w:r>
        <w:rPr>
          <w:rStyle w:val="27"/>
          <w:rFonts w:ascii="Trebuchet MS" w:hAnsi="Trebuchet MS" w:cs="Trebuchet MS"/>
          <w:lang w:val="ro-RO"/>
        </w:rPr>
        <w:t xml:space="preserve">Scopul declarat al FNGCIMM S.A.-IFN: </w:t>
      </w:r>
    </w:p>
    <w:p>
      <w:pPr>
        <w:pageBreakBefore w:val="0"/>
        <w:tabs>
          <w:tab w:val="left" w:pos="540"/>
        </w:tabs>
        <w:kinsoku/>
        <w:wordWrap/>
        <w:overflowPunct/>
        <w:topLinePunct w:val="0"/>
        <w:bidi w:val="0"/>
        <w:snapToGrid/>
        <w:spacing w:after="0" w:line="240" w:lineRule="auto"/>
        <w:ind w:left="-240" w:leftChars="-100" w:right="-334" w:rightChars="-139"/>
        <w:jc w:val="both"/>
        <w:textAlignment w:val="auto"/>
        <w:rPr>
          <w:rFonts w:ascii="Trebuchet MS" w:hAnsi="Trebuchet MS" w:cs="Trebuchet MS"/>
          <w:lang w:val="ro-RO"/>
        </w:rPr>
      </w:pPr>
    </w:p>
    <w:p>
      <w:pPr>
        <w:pageBreakBefore w:val="0"/>
        <w:tabs>
          <w:tab w:val="left" w:pos="540"/>
        </w:tabs>
        <w:kinsoku/>
        <w:wordWrap/>
        <w:overflowPunct/>
        <w:topLinePunct w:val="0"/>
        <w:bidi w:val="0"/>
        <w:snapToGrid/>
        <w:spacing w:after="0" w:line="240" w:lineRule="auto"/>
        <w:ind w:left="-240" w:leftChars="-100" w:right="-334" w:rightChars="-139"/>
        <w:jc w:val="both"/>
        <w:textAlignment w:val="auto"/>
        <w:rPr>
          <w:rFonts w:ascii="Trebuchet MS" w:hAnsi="Trebuchet MS" w:cs="Trebuchet MS"/>
          <w:lang w:val="ro-RO"/>
        </w:rPr>
      </w:pPr>
      <w:r>
        <w:rPr>
          <w:rFonts w:ascii="Trebuchet MS" w:hAnsi="Trebuchet MS" w:cs="Trebuchet MS"/>
          <w:lang w:val="ro-RO"/>
        </w:rPr>
        <w:t xml:space="preserve">Potrivit prevederilor Art. 28 din Legea nr. 346/2004 privind stimularea înfiinţării şi dezvoltării întreprinderilor mici şi mijlocii, cu modificările și completările ulterioare, activitatea FNGCIMM S.A.-IFN are ca scop îmbunătăţirea accesului întreprinderilor mici şi mijlocii la finanţare. </w:t>
      </w:r>
    </w:p>
    <w:p>
      <w:pPr>
        <w:pStyle w:val="10"/>
        <w:pageBreakBefore w:val="0"/>
        <w:tabs>
          <w:tab w:val="left" w:pos="540"/>
        </w:tabs>
        <w:kinsoku/>
        <w:wordWrap/>
        <w:overflowPunct/>
        <w:topLinePunct w:val="0"/>
        <w:bidi w:val="0"/>
        <w:snapToGrid/>
        <w:spacing w:after="0" w:line="240" w:lineRule="auto"/>
        <w:ind w:left="-240" w:leftChars="-100" w:right="-334" w:rightChars="-139"/>
        <w:contextualSpacing/>
        <w:jc w:val="both"/>
        <w:textAlignment w:val="auto"/>
        <w:rPr>
          <w:rStyle w:val="27"/>
          <w:rFonts w:ascii="Trebuchet MS" w:hAnsi="Trebuchet MS" w:cs="Trebuchet MS"/>
          <w:b w:val="0"/>
          <w:bCs w:val="0"/>
          <w:sz w:val="24"/>
          <w:lang w:val="ro-RO"/>
        </w:rPr>
      </w:pPr>
    </w:p>
    <w:p>
      <w:pPr>
        <w:pStyle w:val="10"/>
        <w:pageBreakBefore w:val="0"/>
        <w:tabs>
          <w:tab w:val="left" w:pos="540"/>
        </w:tabs>
        <w:kinsoku/>
        <w:wordWrap/>
        <w:overflowPunct/>
        <w:topLinePunct w:val="0"/>
        <w:bidi w:val="0"/>
        <w:snapToGrid/>
        <w:spacing w:after="0" w:line="240" w:lineRule="auto"/>
        <w:ind w:left="-240" w:leftChars="-100" w:right="-334" w:rightChars="-139"/>
        <w:jc w:val="both"/>
        <w:textAlignment w:val="auto"/>
        <w:rPr>
          <w:rStyle w:val="27"/>
          <w:rFonts w:ascii="Trebuchet MS" w:hAnsi="Trebuchet MS" w:cs="Trebuchet MS"/>
          <w:b w:val="0"/>
          <w:sz w:val="24"/>
          <w:lang w:val="ro-RO"/>
        </w:rPr>
      </w:pPr>
      <w:r>
        <w:rPr>
          <w:rStyle w:val="27"/>
          <w:rFonts w:ascii="Trebuchet MS" w:hAnsi="Trebuchet MS" w:cs="Trebuchet MS"/>
          <w:b w:val="0"/>
          <w:bCs w:val="0"/>
          <w:sz w:val="24"/>
          <w:lang w:val="ro-RO"/>
        </w:rPr>
        <w:t>In conditiile economice actuale, scopul Fondului este de a veni in sprijinul dezvoltarii economice a Romaniei prin sprijinul real acordat IMM-urilor si altor operatori economici, precum si populatiei, in general</w:t>
      </w:r>
      <w:r>
        <w:rPr>
          <w:rStyle w:val="27"/>
          <w:rFonts w:ascii="Trebuchet MS" w:hAnsi="Trebuchet MS" w:cs="Trebuchet MS"/>
          <w:b w:val="0"/>
          <w:sz w:val="24"/>
          <w:lang w:val="ro-RO"/>
        </w:rPr>
        <w:t>. Indeplinirea scopului declarat impune:</w:t>
      </w:r>
      <w:r>
        <w:rPr>
          <w:rStyle w:val="27"/>
          <w:rFonts w:ascii="Trebuchet MS" w:hAnsi="Trebuchet MS" w:cs="Trebuchet MS"/>
          <w:b w:val="0"/>
          <w:sz w:val="24"/>
          <w:lang w:val="ro-RO"/>
        </w:rPr>
        <w:tab/>
      </w:r>
    </w:p>
    <w:p>
      <w:pPr>
        <w:pStyle w:val="10"/>
        <w:pageBreakBefore w:val="0"/>
        <w:numPr>
          <w:ilvl w:val="0"/>
          <w:numId w:val="5"/>
        </w:numPr>
        <w:tabs>
          <w:tab w:val="left" w:pos="540"/>
        </w:tabs>
        <w:kinsoku/>
        <w:wordWrap/>
        <w:overflowPunct/>
        <w:topLinePunct w:val="0"/>
        <w:bidi w:val="0"/>
        <w:snapToGrid/>
        <w:spacing w:after="0" w:line="240" w:lineRule="auto"/>
        <w:ind w:left="-240" w:leftChars="-100" w:right="-334" w:rightChars="-139" w:firstLine="0"/>
        <w:jc w:val="both"/>
        <w:textAlignment w:val="auto"/>
        <w:rPr>
          <w:rStyle w:val="27"/>
          <w:rFonts w:ascii="Trebuchet MS" w:hAnsi="Trebuchet MS" w:cs="Trebuchet MS"/>
          <w:b w:val="0"/>
          <w:bCs w:val="0"/>
          <w:sz w:val="24"/>
          <w:lang w:val="ro-RO"/>
        </w:rPr>
      </w:pPr>
      <w:r>
        <w:rPr>
          <w:rStyle w:val="27"/>
          <w:rFonts w:ascii="Trebuchet MS" w:hAnsi="Trebuchet MS" w:cs="Trebuchet MS"/>
          <w:b w:val="0"/>
          <w:bCs w:val="0"/>
          <w:sz w:val="24"/>
          <w:lang w:val="ro-RO"/>
        </w:rPr>
        <w:t>dezvoltarea portofoliului de produse de garantare ce pot fi oferite IMM-urilor, altor operatori economici, dar si populatiei;</w:t>
      </w:r>
    </w:p>
    <w:p>
      <w:pPr>
        <w:pStyle w:val="10"/>
        <w:pageBreakBefore w:val="0"/>
        <w:numPr>
          <w:ilvl w:val="0"/>
          <w:numId w:val="5"/>
        </w:numPr>
        <w:tabs>
          <w:tab w:val="left" w:pos="540"/>
        </w:tabs>
        <w:kinsoku/>
        <w:wordWrap/>
        <w:overflowPunct/>
        <w:topLinePunct w:val="0"/>
        <w:bidi w:val="0"/>
        <w:snapToGrid/>
        <w:spacing w:after="0" w:line="240" w:lineRule="auto"/>
        <w:ind w:left="-240" w:leftChars="-100" w:right="-334" w:rightChars="-139" w:firstLine="0"/>
        <w:jc w:val="both"/>
        <w:textAlignment w:val="auto"/>
        <w:rPr>
          <w:rStyle w:val="27"/>
          <w:rFonts w:ascii="Trebuchet MS" w:hAnsi="Trebuchet MS" w:cs="Trebuchet MS"/>
          <w:b w:val="0"/>
          <w:bCs w:val="0"/>
          <w:sz w:val="24"/>
          <w:lang w:val="ro-RO"/>
        </w:rPr>
      </w:pPr>
      <w:r>
        <w:rPr>
          <w:rStyle w:val="27"/>
          <w:rFonts w:ascii="Trebuchet MS" w:hAnsi="Trebuchet MS" w:cs="Trebuchet MS"/>
          <w:b w:val="0"/>
          <w:sz w:val="24"/>
          <w:lang w:val="ro-RO"/>
        </w:rPr>
        <w:t>dezvoltarea şi extinderea prezentei in teritoriu, pentru a fi mai aproape de comunităţile locale, identificand astfel direct nevoile locale;</w:t>
      </w:r>
    </w:p>
    <w:p>
      <w:pPr>
        <w:pStyle w:val="10"/>
        <w:pageBreakBefore w:val="0"/>
        <w:numPr>
          <w:ilvl w:val="0"/>
          <w:numId w:val="5"/>
        </w:numPr>
        <w:tabs>
          <w:tab w:val="left" w:pos="540"/>
        </w:tabs>
        <w:kinsoku/>
        <w:wordWrap/>
        <w:overflowPunct/>
        <w:topLinePunct w:val="0"/>
        <w:bidi w:val="0"/>
        <w:snapToGrid/>
        <w:spacing w:after="0" w:line="240" w:lineRule="auto"/>
        <w:ind w:left="-240" w:leftChars="-100" w:right="-334" w:rightChars="-139" w:firstLine="0"/>
        <w:jc w:val="both"/>
        <w:textAlignment w:val="auto"/>
        <w:rPr>
          <w:rStyle w:val="27"/>
          <w:rFonts w:ascii="Trebuchet MS" w:hAnsi="Trebuchet MS" w:cs="Trebuchet MS"/>
          <w:b w:val="0"/>
          <w:bCs w:val="0"/>
          <w:sz w:val="24"/>
          <w:lang w:val="ro-RO"/>
        </w:rPr>
      </w:pPr>
      <w:r>
        <w:rPr>
          <w:rStyle w:val="27"/>
          <w:rFonts w:ascii="Trebuchet MS" w:hAnsi="Trebuchet MS" w:cs="Trebuchet MS"/>
          <w:b w:val="0"/>
          <w:sz w:val="24"/>
          <w:lang w:val="ro-RO"/>
        </w:rPr>
        <w:t>promovarea profesionalismului, eticii profesionale şi a formării profesionale continue a personalului.</w:t>
      </w:r>
    </w:p>
    <w:p>
      <w:pPr>
        <w:pStyle w:val="10"/>
        <w:pageBreakBefore w:val="0"/>
        <w:tabs>
          <w:tab w:val="left" w:pos="540"/>
        </w:tabs>
        <w:kinsoku/>
        <w:wordWrap/>
        <w:overflowPunct/>
        <w:topLinePunct w:val="0"/>
        <w:bidi w:val="0"/>
        <w:snapToGrid/>
        <w:spacing w:after="0" w:line="240" w:lineRule="auto"/>
        <w:ind w:left="-240" w:leftChars="-100" w:right="-334" w:rightChars="-139"/>
        <w:jc w:val="both"/>
        <w:textAlignment w:val="auto"/>
        <w:rPr>
          <w:rStyle w:val="27"/>
          <w:rFonts w:ascii="Trebuchet MS" w:hAnsi="Trebuchet MS" w:cs="Trebuchet MS"/>
          <w:b w:val="0"/>
          <w:sz w:val="24"/>
          <w:lang w:val="ro-RO"/>
        </w:rPr>
      </w:pPr>
    </w:p>
    <w:p>
      <w:pPr>
        <w:pStyle w:val="10"/>
        <w:pageBreakBefore w:val="0"/>
        <w:tabs>
          <w:tab w:val="left" w:pos="540"/>
        </w:tabs>
        <w:kinsoku/>
        <w:wordWrap/>
        <w:overflowPunct/>
        <w:topLinePunct w:val="0"/>
        <w:bidi w:val="0"/>
        <w:snapToGrid/>
        <w:spacing w:after="0" w:line="240" w:lineRule="auto"/>
        <w:ind w:left="-240" w:leftChars="-100" w:right="-334" w:rightChars="-139"/>
        <w:jc w:val="both"/>
        <w:textAlignment w:val="auto"/>
        <w:rPr>
          <w:rStyle w:val="27"/>
          <w:rFonts w:ascii="Trebuchet MS" w:hAnsi="Trebuchet MS" w:cs="Trebuchet MS"/>
          <w:b w:val="0"/>
          <w:bCs w:val="0"/>
          <w:sz w:val="24"/>
          <w:lang w:val="ro-RO"/>
        </w:rPr>
      </w:pPr>
      <w:r>
        <w:rPr>
          <w:rStyle w:val="27"/>
          <w:rFonts w:ascii="Trebuchet MS" w:hAnsi="Trebuchet MS" w:cs="Trebuchet MS"/>
          <w:sz w:val="24"/>
          <w:lang w:val="ro-RO"/>
        </w:rPr>
        <w:t>Obiectivele strategice ale FNGCIMM S.A.-IFN</w:t>
      </w:r>
      <w:r>
        <w:rPr>
          <w:rStyle w:val="27"/>
          <w:rFonts w:ascii="Trebuchet MS" w:hAnsi="Trebuchet MS" w:cs="Trebuchet MS"/>
          <w:b w:val="0"/>
          <w:bCs w:val="0"/>
          <w:sz w:val="24"/>
          <w:lang w:val="ro-RO"/>
        </w:rPr>
        <w:t xml:space="preserve"> includ nelimitativ:</w:t>
      </w:r>
    </w:p>
    <w:p>
      <w:pPr>
        <w:pStyle w:val="10"/>
        <w:pageBreakBefore w:val="0"/>
        <w:tabs>
          <w:tab w:val="left" w:pos="540"/>
        </w:tabs>
        <w:kinsoku/>
        <w:wordWrap/>
        <w:overflowPunct/>
        <w:topLinePunct w:val="0"/>
        <w:bidi w:val="0"/>
        <w:snapToGrid/>
        <w:spacing w:after="0" w:line="240" w:lineRule="auto"/>
        <w:ind w:left="-240" w:leftChars="-100" w:right="-334" w:rightChars="-139"/>
        <w:jc w:val="both"/>
        <w:textAlignment w:val="auto"/>
        <w:rPr>
          <w:rStyle w:val="27"/>
          <w:rFonts w:ascii="Trebuchet MS" w:hAnsi="Trebuchet MS" w:cs="Trebuchet MS"/>
          <w:b w:val="0"/>
          <w:bCs w:val="0"/>
          <w:sz w:val="24"/>
          <w:lang w:val="ro-RO"/>
        </w:rPr>
      </w:pPr>
    </w:p>
    <w:p>
      <w:pPr>
        <w:pageBreakBefore w:val="0"/>
        <w:numPr>
          <w:ilvl w:val="0"/>
          <w:numId w:val="6"/>
        </w:numPr>
        <w:tabs>
          <w:tab w:val="left" w:pos="540"/>
        </w:tabs>
        <w:kinsoku/>
        <w:wordWrap/>
        <w:overflowPunct/>
        <w:topLinePunct w:val="0"/>
        <w:autoSpaceDE w:val="0"/>
        <w:bidi w:val="0"/>
        <w:snapToGrid/>
        <w:spacing w:after="0" w:line="240" w:lineRule="auto"/>
        <w:ind w:left="-240" w:leftChars="-100" w:right="-334" w:rightChars="-139" w:firstLine="0"/>
        <w:jc w:val="both"/>
        <w:textAlignment w:val="auto"/>
        <w:rPr>
          <w:rFonts w:ascii="Trebuchet MS" w:hAnsi="Trebuchet MS" w:eastAsia="Arial" w:cs="Trebuchet MS"/>
          <w:lang w:val="ro-RO"/>
        </w:rPr>
      </w:pPr>
      <w:r>
        <w:rPr>
          <w:rFonts w:ascii="Trebuchet MS" w:hAnsi="Trebuchet MS" w:eastAsia="Arial" w:cs="Trebuchet MS"/>
          <w:lang w:val="ro-RO"/>
        </w:rPr>
        <w:t>definirea si implementarea unei strategii eficiente de gestionare a capitalului de risc in folosul dezvoltarii economice a tarii, in conditii de prudentialitare, de etica profesionala si de eficienta;</w:t>
      </w:r>
    </w:p>
    <w:p>
      <w:pPr>
        <w:pageBreakBefore w:val="0"/>
        <w:numPr>
          <w:ilvl w:val="0"/>
          <w:numId w:val="6"/>
        </w:numPr>
        <w:tabs>
          <w:tab w:val="left" w:pos="540"/>
          <w:tab w:val="left" w:pos="709"/>
        </w:tabs>
        <w:kinsoku/>
        <w:wordWrap/>
        <w:overflowPunct/>
        <w:topLinePunct w:val="0"/>
        <w:bidi w:val="0"/>
        <w:snapToGrid/>
        <w:spacing w:after="0" w:line="240" w:lineRule="auto"/>
        <w:ind w:left="-240" w:leftChars="-100" w:right="-334" w:rightChars="-139" w:firstLine="0"/>
        <w:jc w:val="both"/>
        <w:textAlignment w:val="auto"/>
        <w:rPr>
          <w:rFonts w:ascii="Trebuchet MS" w:hAnsi="Trebuchet MS" w:cs="Trebuchet MS"/>
          <w:lang w:val="ro-RO"/>
        </w:rPr>
      </w:pPr>
      <w:r>
        <w:rPr>
          <w:rFonts w:ascii="Trebuchet MS" w:hAnsi="Trebuchet MS" w:cs="Trebuchet MS"/>
          <w:lang w:val="ro-RO"/>
        </w:rPr>
        <w:t xml:space="preserve">extinderea ariei acoperite de structurile teritoriale ale FNGCIMM  S.A.-IFN în vederea creșterii numărului de clienți pentru produsele de garantare ale Fondului; </w:t>
      </w:r>
    </w:p>
    <w:p>
      <w:pPr>
        <w:pageBreakBefore w:val="0"/>
        <w:numPr>
          <w:ilvl w:val="0"/>
          <w:numId w:val="6"/>
        </w:numPr>
        <w:tabs>
          <w:tab w:val="left" w:pos="540"/>
          <w:tab w:val="left" w:pos="709"/>
        </w:tabs>
        <w:kinsoku/>
        <w:wordWrap/>
        <w:overflowPunct/>
        <w:topLinePunct w:val="0"/>
        <w:bidi w:val="0"/>
        <w:snapToGrid/>
        <w:spacing w:after="0" w:line="240" w:lineRule="auto"/>
        <w:ind w:left="-240" w:leftChars="-100" w:right="-334" w:rightChars="-139" w:firstLine="0"/>
        <w:jc w:val="both"/>
        <w:textAlignment w:val="auto"/>
        <w:rPr>
          <w:rFonts w:ascii="Trebuchet MS" w:hAnsi="Trebuchet MS" w:cs="Trebuchet MS"/>
          <w:lang w:val="ro-RO"/>
        </w:rPr>
      </w:pPr>
      <w:r>
        <w:rPr>
          <w:rFonts w:ascii="Trebuchet MS" w:hAnsi="Trebuchet MS" w:eastAsia="Calibri" w:cs="Trebuchet MS"/>
          <w:lang w:val="ro-RO"/>
        </w:rPr>
        <w:t>valorificarea optimă a capitalurilor proprii, a posibilităţilor de diversificare a activităţii potrivit cadrului legal specific, inclusiv în calitate de mandatar al statului, prin acordarea de garanţii în numele şi în contul statului în vederea susţinerii dezvoltării unor sectoare economice prioritare, în condiții de prudentialitate si risc controlat;</w:t>
      </w:r>
    </w:p>
    <w:p>
      <w:pPr>
        <w:pageBreakBefore w:val="0"/>
        <w:numPr>
          <w:ilvl w:val="0"/>
          <w:numId w:val="6"/>
        </w:numPr>
        <w:tabs>
          <w:tab w:val="left" w:pos="540"/>
          <w:tab w:val="left" w:pos="709"/>
        </w:tabs>
        <w:kinsoku/>
        <w:wordWrap/>
        <w:overflowPunct/>
        <w:topLinePunct w:val="0"/>
        <w:bidi w:val="0"/>
        <w:snapToGrid/>
        <w:spacing w:after="0" w:line="240" w:lineRule="auto"/>
        <w:ind w:left="-240" w:leftChars="-100" w:right="-334" w:rightChars="-139" w:firstLine="0"/>
        <w:jc w:val="both"/>
        <w:textAlignment w:val="auto"/>
        <w:rPr>
          <w:rFonts w:ascii="Trebuchet MS" w:hAnsi="Trebuchet MS" w:cs="Trebuchet MS"/>
          <w:lang w:val="ro-RO"/>
        </w:rPr>
      </w:pPr>
      <w:r>
        <w:rPr>
          <w:rFonts w:ascii="Trebuchet MS" w:hAnsi="Trebuchet MS" w:cs="Trebuchet MS"/>
          <w:lang w:val="ro-RO"/>
        </w:rPr>
        <w:t>creșterea vizibilității FNGCIMM S.A.-IFN la nivel local/regional printr-o mai bună promovare a produselor de garantare realizată de noile structuri teritoriale;</w:t>
      </w:r>
    </w:p>
    <w:p>
      <w:pPr>
        <w:pageBreakBefore w:val="0"/>
        <w:numPr>
          <w:ilvl w:val="0"/>
          <w:numId w:val="6"/>
        </w:numPr>
        <w:tabs>
          <w:tab w:val="left" w:pos="540"/>
          <w:tab w:val="left" w:pos="709"/>
        </w:tabs>
        <w:kinsoku/>
        <w:wordWrap/>
        <w:overflowPunct/>
        <w:topLinePunct w:val="0"/>
        <w:bidi w:val="0"/>
        <w:snapToGrid/>
        <w:spacing w:after="0" w:line="240" w:lineRule="auto"/>
        <w:ind w:left="-240" w:leftChars="-100" w:right="-334" w:rightChars="-139" w:firstLine="0"/>
        <w:jc w:val="both"/>
        <w:textAlignment w:val="auto"/>
        <w:rPr>
          <w:rFonts w:ascii="Trebuchet MS" w:hAnsi="Trebuchet MS" w:cs="Trebuchet MS"/>
          <w:lang w:val="ro-RO"/>
        </w:rPr>
      </w:pPr>
      <w:r>
        <w:rPr>
          <w:rFonts w:ascii="Trebuchet MS" w:hAnsi="Trebuchet MS" w:cs="Trebuchet MS"/>
          <w:lang w:val="ro-RO"/>
        </w:rPr>
        <w:t>realizarea unei corelări adecvate între reprezentarea regională a organismelor şi entităţilor partenere ale FNGCIMM S.A.-IFN şi  reprezentarea acestuia la nivel local;</w:t>
      </w:r>
    </w:p>
    <w:p>
      <w:pPr>
        <w:pageBreakBefore w:val="0"/>
        <w:numPr>
          <w:ilvl w:val="0"/>
          <w:numId w:val="6"/>
        </w:numPr>
        <w:tabs>
          <w:tab w:val="left" w:pos="540"/>
          <w:tab w:val="left" w:pos="709"/>
        </w:tabs>
        <w:kinsoku/>
        <w:wordWrap/>
        <w:overflowPunct/>
        <w:topLinePunct w:val="0"/>
        <w:bidi w:val="0"/>
        <w:snapToGrid/>
        <w:spacing w:after="0" w:line="240" w:lineRule="auto"/>
        <w:ind w:left="-240" w:leftChars="-100" w:right="-334" w:rightChars="-139" w:firstLine="0"/>
        <w:jc w:val="both"/>
        <w:textAlignment w:val="auto"/>
        <w:rPr>
          <w:rFonts w:ascii="Trebuchet MS" w:hAnsi="Trebuchet MS" w:cs="Trebuchet MS"/>
          <w:highlight w:val="none"/>
          <w:lang w:val="ro-RO"/>
        </w:rPr>
      </w:pPr>
      <w:r>
        <w:rPr>
          <w:rFonts w:ascii="Trebuchet MS" w:hAnsi="Trebuchet MS" w:cs="Trebuchet MS"/>
          <w:lang w:val="ro-RO"/>
        </w:rPr>
        <w:t xml:space="preserve">asigurarea unei legături între mediul financiar și mediul de bussiness (IMM-uri) </w:t>
      </w:r>
      <w:r>
        <w:rPr>
          <w:rFonts w:ascii="Trebuchet MS" w:hAnsi="Trebuchet MS" w:cs="Trebuchet MS"/>
          <w:highlight w:val="none"/>
          <w:lang w:val="ro-RO"/>
        </w:rPr>
        <w:t>prin realizare de activități de intermediere financiară direct în zonele targetate</w:t>
      </w:r>
      <w:r>
        <w:rPr>
          <w:rFonts w:hint="default" w:ascii="Trebuchet MS" w:hAnsi="Trebuchet MS" w:cs="Trebuchet MS"/>
          <w:highlight w:val="none"/>
          <w:lang w:val="en-US"/>
        </w:rPr>
        <w:t>;</w:t>
      </w:r>
    </w:p>
    <w:p>
      <w:pPr>
        <w:pageBreakBefore w:val="0"/>
        <w:numPr>
          <w:ilvl w:val="0"/>
          <w:numId w:val="6"/>
        </w:numPr>
        <w:tabs>
          <w:tab w:val="left" w:pos="540"/>
          <w:tab w:val="left" w:pos="709"/>
        </w:tabs>
        <w:kinsoku/>
        <w:wordWrap/>
        <w:overflowPunct/>
        <w:topLinePunct w:val="0"/>
        <w:bidi w:val="0"/>
        <w:snapToGrid/>
        <w:spacing w:after="0" w:line="240" w:lineRule="auto"/>
        <w:ind w:left="-240" w:leftChars="-100" w:right="-334" w:rightChars="-139" w:firstLine="0"/>
        <w:jc w:val="both"/>
        <w:textAlignment w:val="auto"/>
        <w:rPr>
          <w:rFonts w:ascii="Trebuchet MS" w:hAnsi="Trebuchet MS" w:cs="Trebuchet MS"/>
          <w:highlight w:val="yellow"/>
          <w:lang w:val="ro-RO"/>
        </w:rPr>
      </w:pPr>
      <w:r>
        <w:rPr>
          <w:rFonts w:ascii="Trebuchet MS" w:hAnsi="Trebuchet MS" w:cs="Trebuchet MS"/>
          <w:highlight w:val="yellow"/>
          <w:lang w:val="ro-RO"/>
        </w:rPr>
        <w:t>digitalizarea si simplificarea interactiunii dintre FNGCIMM si beneficiarii garantiilor</w:t>
      </w:r>
      <w:r>
        <w:rPr>
          <w:rFonts w:hint="default" w:ascii="Trebuchet MS" w:hAnsi="Trebuchet MS" w:cs="Trebuchet MS"/>
          <w:highlight w:val="yellow"/>
          <w:lang w:val="en-US"/>
        </w:rPr>
        <w:t>;</w:t>
      </w:r>
    </w:p>
    <w:p>
      <w:pPr>
        <w:pageBreakBefore w:val="0"/>
        <w:numPr>
          <w:ilvl w:val="0"/>
          <w:numId w:val="6"/>
        </w:numPr>
        <w:tabs>
          <w:tab w:val="left" w:pos="540"/>
        </w:tabs>
        <w:kinsoku/>
        <w:wordWrap/>
        <w:overflowPunct/>
        <w:topLinePunct w:val="0"/>
        <w:autoSpaceDE w:val="0"/>
        <w:bidi w:val="0"/>
        <w:snapToGrid/>
        <w:spacing w:after="0" w:line="240" w:lineRule="auto"/>
        <w:ind w:left="-240" w:leftChars="-100" w:right="-334" w:rightChars="-139" w:firstLine="0"/>
        <w:jc w:val="both"/>
        <w:textAlignment w:val="auto"/>
        <w:rPr>
          <w:rFonts w:ascii="Trebuchet MS" w:hAnsi="Trebuchet MS" w:eastAsia="Arial" w:cs="Trebuchet MS"/>
          <w:lang w:val="ro-RO"/>
        </w:rPr>
      </w:pPr>
      <w:r>
        <w:rPr>
          <w:rFonts w:ascii="Trebuchet MS" w:hAnsi="Trebuchet MS" w:eastAsia="Arial" w:cs="Trebuchet MS"/>
          <w:lang w:val="ro-RO"/>
        </w:rPr>
        <w:t>dezvoltarea unui sistem eficent de comunicare cu finantatorii, care să asigure circulaţia rapidă și eficientă a informaţiei;</w:t>
      </w:r>
    </w:p>
    <w:p>
      <w:pPr>
        <w:pageBreakBefore w:val="0"/>
        <w:numPr>
          <w:ilvl w:val="0"/>
          <w:numId w:val="6"/>
        </w:numPr>
        <w:tabs>
          <w:tab w:val="left" w:pos="540"/>
        </w:tabs>
        <w:kinsoku/>
        <w:wordWrap/>
        <w:overflowPunct/>
        <w:topLinePunct w:val="0"/>
        <w:autoSpaceDE w:val="0"/>
        <w:bidi w:val="0"/>
        <w:snapToGrid/>
        <w:spacing w:after="0" w:line="240" w:lineRule="auto"/>
        <w:ind w:left="-240" w:leftChars="-100" w:right="-334" w:rightChars="-139" w:firstLine="0"/>
        <w:jc w:val="both"/>
        <w:textAlignment w:val="auto"/>
        <w:rPr>
          <w:rFonts w:ascii="Trebuchet MS" w:hAnsi="Trebuchet MS" w:eastAsia="Arial" w:cs="Trebuchet MS"/>
          <w:lang w:val="ro-RO"/>
        </w:rPr>
      </w:pPr>
      <w:r>
        <w:rPr>
          <w:rFonts w:ascii="Trebuchet MS" w:hAnsi="Trebuchet MS" w:eastAsia="Arial" w:cs="Trebuchet MS"/>
          <w:lang w:val="ro-RO"/>
        </w:rPr>
        <w:t>dezvoltarea de programe de instruire continuă a personalului;</w:t>
      </w:r>
    </w:p>
    <w:p>
      <w:pPr>
        <w:pageBreakBefore w:val="0"/>
        <w:numPr>
          <w:ilvl w:val="0"/>
          <w:numId w:val="6"/>
        </w:numPr>
        <w:tabs>
          <w:tab w:val="left" w:pos="540"/>
        </w:tabs>
        <w:kinsoku/>
        <w:wordWrap/>
        <w:overflowPunct/>
        <w:topLinePunct w:val="0"/>
        <w:autoSpaceDE w:val="0"/>
        <w:bidi w:val="0"/>
        <w:snapToGrid/>
        <w:spacing w:after="0" w:line="240" w:lineRule="auto"/>
        <w:ind w:left="-240" w:leftChars="-100" w:right="-334" w:rightChars="-139" w:firstLine="0"/>
        <w:jc w:val="both"/>
        <w:textAlignment w:val="auto"/>
        <w:rPr>
          <w:rFonts w:ascii="Trebuchet MS" w:hAnsi="Trebuchet MS" w:eastAsia="Arial" w:cs="Trebuchet MS"/>
          <w:lang w:val="ro-RO"/>
        </w:rPr>
      </w:pPr>
      <w:r>
        <w:rPr>
          <w:rFonts w:ascii="Trebuchet MS" w:hAnsi="Trebuchet MS" w:eastAsia="Arial" w:cs="Trebuchet MS"/>
          <w:lang w:val="ro-RO"/>
        </w:rPr>
        <w:t>menţinerea şi îmbunătăţirea continuă a sistemului de management al sănătatii şi securitatii în muncă.</w:t>
      </w:r>
    </w:p>
    <w:p>
      <w:pPr>
        <w:pStyle w:val="10"/>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lang w:val="ro-RO"/>
        </w:rPr>
      </w:pPr>
    </w:p>
    <w:p>
      <w:pPr>
        <w:pStyle w:val="260"/>
        <w:keepNext/>
        <w:keepLines/>
        <w:pageBreakBefore w:val="0"/>
        <w:shd w:val="clear" w:color="auto" w:fill="auto"/>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szCs w:val="24"/>
          <w:lang w:val="ro-RO" w:eastAsia="ro-RO" w:bidi="ro-RO"/>
        </w:rPr>
      </w:pPr>
      <w:bookmarkStart w:id="8" w:name="bookmark10"/>
      <w:bookmarkStart w:id="9" w:name="bookmark11"/>
      <w:r>
        <w:rPr>
          <w:rFonts w:ascii="Trebuchet MS" w:hAnsi="Trebuchet MS" w:cs="Trebuchet MS"/>
          <w:sz w:val="24"/>
          <w:szCs w:val="24"/>
          <w:lang w:val="ro-RO" w:eastAsia="ro-RO" w:bidi="ro-RO"/>
        </w:rPr>
        <w:t>Structura organizatorică</w:t>
      </w:r>
      <w:bookmarkEnd w:id="8"/>
      <w:bookmarkEnd w:id="9"/>
    </w:p>
    <w:p>
      <w:pPr>
        <w:pStyle w:val="260"/>
        <w:keepNext/>
        <w:keepLines/>
        <w:pageBreakBefore w:val="0"/>
        <w:shd w:val="clear" w:color="auto" w:fill="auto"/>
        <w:kinsoku/>
        <w:wordWrap/>
        <w:overflowPunct/>
        <w:topLinePunct w:val="0"/>
        <w:bidi w:val="0"/>
        <w:snapToGrid/>
        <w:spacing w:after="0" w:line="240" w:lineRule="auto"/>
        <w:ind w:left="-240" w:leftChars="-100" w:right="-334" w:rightChars="-139"/>
        <w:jc w:val="center"/>
        <w:textAlignment w:val="auto"/>
        <w:rPr>
          <w:rFonts w:ascii="Trebuchet MS" w:hAnsi="Trebuchet MS" w:cs="Trebuchet MS"/>
          <w:sz w:val="24"/>
          <w:szCs w:val="24"/>
          <w:lang w:val="ro-RO" w:eastAsia="ro-RO" w:bidi="ro-RO"/>
        </w:rPr>
      </w:pPr>
    </w:p>
    <w:p>
      <w:pPr>
        <w:pageBreakBefore w:val="0"/>
        <w:suppressAutoHyphens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lang w:val="ro-RO"/>
        </w:rPr>
      </w:pPr>
      <w:r>
        <w:rPr>
          <w:rFonts w:ascii="Trebuchet MS" w:hAnsi="Trebuchet MS" w:cs="Trebuchet MS"/>
          <w:lang w:val="ro-RO" w:eastAsia="en-US"/>
        </w:rPr>
        <w:t>FNGCIMM S.A.-IFN</w:t>
      </w:r>
      <w:r>
        <w:rPr>
          <w:rFonts w:ascii="Trebuchet MS" w:hAnsi="Trebuchet MS" w:cs="Trebuchet MS"/>
          <w:lang w:val="ro-RO"/>
        </w:rPr>
        <w:t xml:space="preserve"> a fost inființat în anul 2001, în baza Legii nr. 31/1990 a societăților comerciale, fiind înmatriculat la Registrul Comerțului sub nr. J/40/10581/21.12.2001. Fondul este înregistrat în Registrul Special al Băncii Naționale a României (BNR) din data de 31 iulie 2007, sub numărul: RS–PJR-41/110030 din data de 3 noiembrie 2008. Sediul social actual al Fondului este în București, strada Ștefan Iulian nr. 38, sector 1. </w:t>
      </w:r>
    </w:p>
    <w:p>
      <w:pPr>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b/>
          <w:lang w:val="ro-RO"/>
        </w:rPr>
      </w:pPr>
    </w:p>
    <w:p>
      <w:pPr>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lang w:val="ro-RO"/>
        </w:rPr>
      </w:pPr>
      <w:r>
        <w:rPr>
          <w:rFonts w:ascii="Trebuchet MS" w:hAnsi="Trebuchet MS" w:cs="Trebuchet MS"/>
          <w:b/>
          <w:lang w:val="ro-RO"/>
        </w:rPr>
        <w:t xml:space="preserve">Grupul FNGCIMM („Grupul”) </w:t>
      </w:r>
      <w:r>
        <w:rPr>
          <w:rFonts w:ascii="Trebuchet MS" w:hAnsi="Trebuchet MS" w:cs="Trebuchet MS"/>
          <w:bCs/>
          <w:lang w:val="ro-RO"/>
        </w:rPr>
        <w:t>cuprinde societatea-mamă, Fondul Național de Garantare pentru Întreprinderi Mici și Mijlocii S.A.–IFN („Fondul” sau “FNGCIMM”) și o filială cu sediul în România, reprezentată de entitatea următoare:</w:t>
      </w:r>
      <w:r>
        <w:rPr>
          <w:rFonts w:ascii="Trebuchet MS" w:hAnsi="Trebuchet MS" w:cs="Trebuchet MS"/>
          <w:lang w:val="ro-RO"/>
        </w:rPr>
        <w:t xml:space="preserve"> </w:t>
      </w:r>
    </w:p>
    <w:p>
      <w:pPr>
        <w:pStyle w:val="10"/>
        <w:pageBreakBefore w:val="0"/>
        <w:widowControl w:val="0"/>
        <w:tabs>
          <w:tab w:val="right" w:pos="709"/>
        </w:tabs>
        <w:kinsoku/>
        <w:wordWrap/>
        <w:overflowPunct/>
        <w:topLinePunct w:val="0"/>
        <w:bidi w:val="0"/>
        <w:snapToGrid/>
        <w:spacing w:after="0" w:line="240" w:lineRule="auto"/>
        <w:ind w:left="-245" w:right="-334" w:rightChars="-139"/>
        <w:jc w:val="both"/>
        <w:textAlignment w:val="auto"/>
        <w:rPr>
          <w:rFonts w:ascii="Trebuchet MS" w:hAnsi="Trebuchet MS" w:cs="Trebuchet MS"/>
          <w:iCs/>
          <w:sz w:val="24"/>
          <w:lang w:val="ro-RO"/>
        </w:rPr>
      </w:pPr>
      <w:r>
        <w:rPr>
          <w:rFonts w:ascii="Trebuchet MS" w:hAnsi="Trebuchet MS" w:cs="Trebuchet MS"/>
          <w:b/>
          <w:bCs/>
          <w:i/>
          <w:sz w:val="24"/>
          <w:lang w:val="ro-RO"/>
        </w:rPr>
        <w:t xml:space="preserve">- Fondul Local de Garantare Focșani-Filiala FNGCIMM S.A.-IFN </w:t>
      </w:r>
      <w:r>
        <w:rPr>
          <w:rFonts w:ascii="Trebuchet MS" w:hAnsi="Trebuchet MS" w:cs="Trebuchet MS"/>
          <w:iCs/>
          <w:sz w:val="24"/>
          <w:lang w:val="ro-RO"/>
        </w:rPr>
        <w:t xml:space="preserve">(“FLGC Focsani”) este instituție financiară nebancară, persoană juridică română de drept privat, organizată ca societate comercială pe acțiuni, având atât capital majoritar privat cât și capital de stat autohton. FLG Focșani s-a înființat în anul 2006, în baza Legii nr.31/ 1990 fiind înmatriculat la Registrul Comertului sub nr. J/39/4/2006 și în Registrul General al Băncii Naționale a României sub numarul: RG- PJR-40-090151. Sediul social al FLG Focșani este în Focșani. </w:t>
      </w:r>
    </w:p>
    <w:p>
      <w:pPr>
        <w:pStyle w:val="10"/>
        <w:pageBreakBefore w:val="0"/>
        <w:widowControl w:val="0"/>
        <w:tabs>
          <w:tab w:val="right" w:pos="709"/>
        </w:tabs>
        <w:kinsoku/>
        <w:wordWrap/>
        <w:overflowPunct/>
        <w:topLinePunct w:val="0"/>
        <w:bidi w:val="0"/>
        <w:snapToGrid/>
        <w:spacing w:after="0" w:line="240" w:lineRule="auto"/>
        <w:ind w:left="-245" w:right="-334" w:rightChars="-139"/>
        <w:jc w:val="both"/>
        <w:textAlignment w:val="auto"/>
        <w:rPr>
          <w:rFonts w:ascii="Trebuchet MS" w:hAnsi="Trebuchet MS" w:cs="Trebuchet MS"/>
          <w:sz w:val="24"/>
          <w:lang w:val="ro-RO"/>
        </w:rPr>
      </w:pPr>
    </w:p>
    <w:p>
      <w:pPr>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lang w:val="ro-RO"/>
        </w:rPr>
      </w:pPr>
      <w:r>
        <w:rPr>
          <w:rFonts w:ascii="Trebuchet MS" w:hAnsi="Trebuchet MS" w:cs="Trebuchet MS"/>
          <w:lang w:val="ro-RO"/>
        </w:rPr>
        <w:t xml:space="preserve">Prin Hotărârea Adunării Generale a Acționarilor FNGCIMM S.A.-IFN nr.137/08.07.2020 s-a decis inițierea de către Fond a demersurilor legale privind reorganizarea instituției din rațiuni de eficiență economică, </w:t>
      </w:r>
      <w:r>
        <w:rPr>
          <w:rFonts w:ascii="Trebuchet MS" w:hAnsi="Trebuchet MS" w:cs="Trebuchet MS"/>
          <w:b/>
          <w:bCs/>
          <w:lang w:val="ro-RO"/>
        </w:rPr>
        <w:t>prin fuziunea prin absorbție a Filialelor FNGCIMM S.A.-IFN</w:t>
      </w:r>
      <w:r>
        <w:rPr>
          <w:rFonts w:ascii="Trebuchet MS" w:hAnsi="Trebuchet MS" w:cs="Trebuchet MS"/>
          <w:lang w:val="ro-RO"/>
        </w:rPr>
        <w:t>. La data de 31.12.2020 s-a finalizat prima etapa a procesului de fuziune dintre FNGCIMM S.A.-IFN, societate absorbantă, cu Fondul Local de Garantare Craiova - Filiala FNGCIMM–IFN și Fondul Local  de Garantare Sfantu Gheorghe - Filiala FNGCIMM–IFN ca societăți absorbite. În Etapa 2 este prevazută fuziunea prin absorbţie a Fondului Local de Garantare Focşani - Filiala F.N.G.C.I.M.M. – I.F.N. ca societate absorbită, cu Fondul Național de Garantare a Creditelor pentru Întreprinderi Mici și Mijlocii – I.F.N.- societate absorbantă, urmând ca data de referință a fuziunii prin absorbţie a Fondului Local de Garantare Focșani - Filiala F.N.G.C.I.M.M. – I.F.N. ca societate absorbită, cu Fondul Național de Garantare a Creditelor pentru Întreprinderi Mici și Mijlocii – I.F.N.- societate absorbantă, să fie aprobată de către acționar într-o ședință ulterioară a Adunării generale a acționarilor, după finalizarea operaţiunii de răscumpărare a acţiunilor deţinute de acţionarul minoritar persoană fizică.</w:t>
      </w:r>
    </w:p>
    <w:p>
      <w:pPr>
        <w:pStyle w:val="10"/>
        <w:pageBreakBefore w:val="0"/>
        <w:kinsoku/>
        <w:wordWrap/>
        <w:overflowPunct/>
        <w:topLinePunct w:val="0"/>
        <w:bidi w:val="0"/>
        <w:snapToGrid/>
        <w:spacing w:after="0" w:line="240" w:lineRule="auto"/>
        <w:ind w:left="-240" w:leftChars="-100" w:right="-334" w:rightChars="-139"/>
        <w:textAlignment w:val="auto"/>
        <w:rPr>
          <w:rFonts w:ascii="Trebuchet MS" w:hAnsi="Trebuchet MS" w:cs="Trebuchet MS"/>
          <w:sz w:val="24"/>
          <w:lang w:val="ro-RO" w:eastAsia="ro-RO" w:bidi="ro-RO"/>
        </w:rPr>
      </w:pPr>
    </w:p>
    <w:p>
      <w:pPr>
        <w:pStyle w:val="10"/>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lang w:val="ro-RO"/>
        </w:rPr>
      </w:pPr>
      <w:bookmarkStart w:id="10" w:name="_Hlk97538382"/>
      <w:r>
        <w:rPr>
          <w:rFonts w:ascii="Trebuchet MS" w:hAnsi="Trebuchet MS" w:cs="Trebuchet MS"/>
          <w:sz w:val="24"/>
          <w:lang w:val="ro-RO" w:eastAsia="ro-RO" w:bidi="ro-RO"/>
        </w:rPr>
        <w:t xml:space="preserve">Structura organizatorică a </w:t>
      </w:r>
      <w:r>
        <w:rPr>
          <w:rFonts w:ascii="Trebuchet MS" w:hAnsi="Trebuchet MS" w:cs="Trebuchet MS"/>
          <w:sz w:val="24"/>
          <w:lang w:val="ro-RO"/>
        </w:rPr>
        <w:t>FNGCIMM S.A. - IFN</w:t>
      </w:r>
      <w:r>
        <w:rPr>
          <w:rFonts w:ascii="Trebuchet MS" w:hAnsi="Trebuchet MS" w:cs="Trebuchet MS"/>
          <w:sz w:val="24"/>
          <w:lang w:val="ro-RO" w:eastAsia="ro-RO" w:bidi="ro-RO"/>
        </w:rPr>
        <w:t xml:space="preserve"> la această dată urmatoarele include:</w:t>
      </w:r>
    </w:p>
    <w:p>
      <w:pPr>
        <w:pStyle w:val="10"/>
        <w:pageBreakBefore w:val="0"/>
        <w:widowControl w:val="0"/>
        <w:numPr>
          <w:ilvl w:val="0"/>
          <w:numId w:val="7"/>
        </w:numPr>
        <w:tabs>
          <w:tab w:val="left" w:pos="253"/>
          <w:tab w:val="left" w:pos="360"/>
        </w:tabs>
        <w:suppressAutoHyphens w:val="0"/>
        <w:kinsoku/>
        <w:wordWrap/>
        <w:overflowPunct/>
        <w:topLinePunct w:val="0"/>
        <w:bidi w:val="0"/>
        <w:snapToGrid/>
        <w:spacing w:after="0" w:line="240" w:lineRule="auto"/>
        <w:ind w:left="-240" w:leftChars="-100" w:right="-334" w:rightChars="-139" w:firstLine="0"/>
        <w:jc w:val="both"/>
        <w:textAlignment w:val="auto"/>
        <w:rPr>
          <w:rFonts w:ascii="Trebuchet MS" w:hAnsi="Trebuchet MS" w:cs="Trebuchet MS"/>
          <w:sz w:val="24"/>
          <w:lang w:val="ro-RO"/>
        </w:rPr>
      </w:pPr>
      <w:r>
        <w:rPr>
          <w:rFonts w:ascii="Trebuchet MS" w:hAnsi="Trebuchet MS" w:cs="Trebuchet MS"/>
          <w:sz w:val="24"/>
          <w:lang w:val="ro-RO" w:eastAsia="ro-RO" w:bidi="ro-RO"/>
        </w:rPr>
        <w:t>2 Departamente, 15 Direcții cu servicii integrate acestora, 4 Servicii independente;</w:t>
      </w:r>
    </w:p>
    <w:p>
      <w:pPr>
        <w:pStyle w:val="10"/>
        <w:pageBreakBefore w:val="0"/>
        <w:widowControl w:val="0"/>
        <w:numPr>
          <w:ilvl w:val="0"/>
          <w:numId w:val="7"/>
        </w:numPr>
        <w:tabs>
          <w:tab w:val="left" w:pos="253"/>
          <w:tab w:val="left" w:pos="360"/>
        </w:tabs>
        <w:suppressAutoHyphens w:val="0"/>
        <w:kinsoku/>
        <w:wordWrap/>
        <w:overflowPunct/>
        <w:topLinePunct w:val="0"/>
        <w:bidi w:val="0"/>
        <w:snapToGrid/>
        <w:spacing w:after="0" w:line="240" w:lineRule="auto"/>
        <w:ind w:left="-240" w:leftChars="-100" w:right="-334" w:rightChars="-139" w:firstLine="0"/>
        <w:jc w:val="both"/>
        <w:textAlignment w:val="auto"/>
        <w:rPr>
          <w:rFonts w:ascii="Trebuchet MS" w:hAnsi="Trebuchet MS" w:cs="Trebuchet MS"/>
          <w:sz w:val="24"/>
          <w:lang w:val="ro-RO"/>
        </w:rPr>
      </w:pPr>
      <w:r>
        <w:rPr>
          <w:rFonts w:ascii="Trebuchet MS" w:hAnsi="Trebuchet MS" w:cs="Trebuchet MS"/>
          <w:sz w:val="24"/>
          <w:lang w:val="ro-RO" w:eastAsia="ro-RO" w:bidi="ro-RO"/>
        </w:rPr>
        <w:t>6 unități teritoriale din care: 1 Filială, 3 Sucursale, 2 Reprezentanțe;</w:t>
      </w:r>
    </w:p>
    <w:p>
      <w:pPr>
        <w:pStyle w:val="10"/>
        <w:pageBreakBefore w:val="0"/>
        <w:numPr>
          <w:ilvl w:val="0"/>
          <w:numId w:val="7"/>
        </w:numPr>
        <w:tabs>
          <w:tab w:val="left" w:pos="360"/>
        </w:tabs>
        <w:kinsoku/>
        <w:wordWrap/>
        <w:overflowPunct/>
        <w:topLinePunct w:val="0"/>
        <w:bidi w:val="0"/>
        <w:snapToGrid/>
        <w:spacing w:after="0" w:line="240" w:lineRule="auto"/>
        <w:ind w:left="-240" w:leftChars="-100" w:right="-334" w:rightChars="-139" w:firstLine="0"/>
        <w:jc w:val="both"/>
        <w:textAlignment w:val="auto"/>
        <w:rPr>
          <w:rFonts w:ascii="Trebuchet MS" w:hAnsi="Trebuchet MS" w:cs="Trebuchet MS"/>
          <w:sz w:val="24"/>
          <w:lang w:val="ro-RO"/>
        </w:rPr>
      </w:pPr>
      <w:r>
        <w:rPr>
          <w:rFonts w:ascii="Trebuchet MS" w:hAnsi="Trebuchet MS" w:cs="Trebuchet MS"/>
          <w:sz w:val="24"/>
          <w:lang w:val="ro-RO" w:eastAsia="ro-RO" w:bidi="ro-RO"/>
        </w:rPr>
        <w:t xml:space="preserve">5 comitete operaționale de lucru, permanente, toate acestea aflându-se in coordonarea Directorului General, cu excepția Comitetului </w:t>
      </w:r>
      <w:r>
        <w:rPr>
          <w:rFonts w:ascii="Trebuchet MS" w:hAnsi="Trebuchet MS" w:cs="Trebuchet MS"/>
          <w:sz w:val="24"/>
          <w:lang w:val="ro-RO" w:eastAsia="en-US" w:bidi="en-US"/>
        </w:rPr>
        <w:t xml:space="preserve">de Audit și Comitetului de </w:t>
      </w:r>
      <w:r>
        <w:rPr>
          <w:rFonts w:ascii="Trebuchet MS" w:hAnsi="Trebuchet MS" w:cs="Trebuchet MS"/>
          <w:sz w:val="24"/>
          <w:lang w:val="ro-RO" w:eastAsia="ro-RO" w:bidi="ro-RO"/>
        </w:rPr>
        <w:t>Nominalizare și Remunerare, care se află în coordonarea Consiliului de Administrație.</w:t>
      </w:r>
    </w:p>
    <w:p>
      <w:pPr>
        <w:pStyle w:val="10"/>
        <w:pageBreakBefore w:val="0"/>
        <w:widowControl w:val="0"/>
        <w:numPr>
          <w:ilvl w:val="0"/>
          <w:numId w:val="7"/>
        </w:numPr>
        <w:tabs>
          <w:tab w:val="left" w:pos="253"/>
          <w:tab w:val="left" w:pos="360"/>
        </w:tabs>
        <w:suppressAutoHyphens w:val="0"/>
        <w:kinsoku/>
        <w:wordWrap/>
        <w:overflowPunct/>
        <w:topLinePunct w:val="0"/>
        <w:bidi w:val="0"/>
        <w:snapToGrid/>
        <w:spacing w:after="0" w:line="240" w:lineRule="auto"/>
        <w:ind w:left="-240" w:leftChars="-100" w:right="-334" w:rightChars="-139" w:firstLine="0"/>
        <w:textAlignment w:val="auto"/>
        <w:rPr>
          <w:rFonts w:ascii="Trebuchet MS" w:hAnsi="Trebuchet MS" w:cs="Trebuchet MS"/>
          <w:sz w:val="24"/>
          <w:lang w:val="ro-RO"/>
        </w:rPr>
      </w:pPr>
      <w:r>
        <w:rPr>
          <w:rFonts w:ascii="Trebuchet MS" w:hAnsi="Trebuchet MS" w:cs="Trebuchet MS"/>
          <w:sz w:val="24"/>
          <w:lang w:val="ro-RO" w:eastAsia="ro-RO" w:bidi="ro-RO"/>
        </w:rPr>
        <w:t>250 de salariati în echivalent normă întreaga (anul 2021).</w:t>
      </w:r>
    </w:p>
    <w:p>
      <w:pPr>
        <w:pageBreakBefore w:val="0"/>
        <w:tabs>
          <w:tab w:val="left" w:pos="360"/>
        </w:tabs>
        <w:kinsoku/>
        <w:wordWrap/>
        <w:overflowPunct/>
        <w:topLinePunct w:val="0"/>
        <w:bidi w:val="0"/>
        <w:snapToGrid/>
        <w:spacing w:after="0" w:line="240" w:lineRule="auto"/>
        <w:ind w:left="-240" w:leftChars="-100" w:right="-334" w:rightChars="-139"/>
        <w:jc w:val="both"/>
        <w:textAlignment w:val="auto"/>
        <w:rPr>
          <w:rFonts w:ascii="Trebuchet MS" w:hAnsi="Trebuchet MS" w:cs="Trebuchet MS"/>
          <w:lang w:val="ro-RO"/>
        </w:rPr>
      </w:pPr>
      <w:bookmarkStart w:id="11" w:name="_Hlk52536150"/>
    </w:p>
    <w:p>
      <w:pPr>
        <w:pageBreakBefore w:val="0"/>
        <w:tabs>
          <w:tab w:val="left" w:pos="360"/>
        </w:tabs>
        <w:kinsoku/>
        <w:wordWrap/>
        <w:overflowPunct/>
        <w:topLinePunct w:val="0"/>
        <w:bidi w:val="0"/>
        <w:snapToGrid/>
        <w:spacing w:after="0" w:line="240" w:lineRule="auto"/>
        <w:ind w:left="-240" w:leftChars="-100" w:right="-334" w:rightChars="-139"/>
        <w:jc w:val="both"/>
        <w:textAlignment w:val="auto"/>
        <w:rPr>
          <w:rFonts w:ascii="Trebuchet MS" w:hAnsi="Trebuchet MS" w:cs="Trebuchet MS"/>
          <w:lang w:val="ro-RO"/>
        </w:rPr>
      </w:pPr>
      <w:r>
        <w:rPr>
          <w:rFonts w:ascii="Trebuchet MS" w:hAnsi="Trebuchet MS" w:cs="Trebuchet MS"/>
          <w:lang w:val="ro-RO"/>
        </w:rPr>
        <w:t xml:space="preserve">Structura rețelei teritoriale de reprezentare la nivel național a FNGCIMM SA-IFN în conformitate cu Regiunile de Dezvoltare ale României, aprobată prin Hotărârea Adunării Generale a Acționarilor nr.177 din 01.03.2022, </w:t>
      </w:r>
      <w:bookmarkEnd w:id="11"/>
      <w:r>
        <w:rPr>
          <w:rFonts w:ascii="Trebuchet MS" w:hAnsi="Trebuchet MS" w:cs="Trebuchet MS"/>
          <w:lang w:val="ro-RO"/>
        </w:rPr>
        <w:t>se prezintă astfel:</w:t>
      </w:r>
    </w:p>
    <w:p>
      <w:pPr>
        <w:pageBreakBefore w:val="0"/>
        <w:numPr>
          <w:ilvl w:val="0"/>
          <w:numId w:val="8"/>
        </w:numPr>
        <w:tabs>
          <w:tab w:val="left" w:pos="284"/>
        </w:tabs>
        <w:kinsoku/>
        <w:wordWrap/>
        <w:overflowPunct/>
        <w:topLinePunct w:val="0"/>
        <w:bidi w:val="0"/>
        <w:snapToGrid/>
        <w:spacing w:after="0" w:line="240" w:lineRule="auto"/>
        <w:ind w:right="-334" w:rightChars="-139"/>
        <w:jc w:val="both"/>
        <w:textAlignment w:val="auto"/>
        <w:rPr>
          <w:rFonts w:ascii="Trebuchet MS" w:hAnsi="Trebuchet MS" w:cs="Trebuchet MS"/>
          <w:lang w:val="ro-RO"/>
        </w:rPr>
      </w:pPr>
      <w:r>
        <w:rPr>
          <w:rFonts w:ascii="Trebuchet MS" w:hAnsi="Trebuchet MS" w:cs="Trebuchet MS"/>
          <w:lang w:val="ro-RO"/>
        </w:rPr>
        <w:t>Regiunea de Dezvoltare Sud-Vest Oltenia – Sucursală la Craiova și Reprezentanță la Slatina.</w:t>
      </w:r>
    </w:p>
    <w:p>
      <w:pPr>
        <w:pageBreakBefore w:val="0"/>
        <w:numPr>
          <w:ilvl w:val="0"/>
          <w:numId w:val="8"/>
        </w:numPr>
        <w:tabs>
          <w:tab w:val="left" w:pos="284"/>
        </w:tabs>
        <w:kinsoku/>
        <w:wordWrap/>
        <w:overflowPunct/>
        <w:topLinePunct w:val="0"/>
        <w:bidi w:val="0"/>
        <w:snapToGrid/>
        <w:spacing w:after="0" w:line="240" w:lineRule="auto"/>
        <w:ind w:right="-334" w:rightChars="-139"/>
        <w:jc w:val="both"/>
        <w:textAlignment w:val="auto"/>
        <w:rPr>
          <w:rFonts w:ascii="Trebuchet MS" w:hAnsi="Trebuchet MS" w:cs="Trebuchet MS"/>
          <w:lang w:val="ro-RO"/>
        </w:rPr>
      </w:pPr>
      <w:r>
        <w:rPr>
          <w:rFonts w:ascii="Trebuchet MS" w:hAnsi="Trebuchet MS" w:cs="Trebuchet MS"/>
          <w:lang w:val="ro-RO"/>
        </w:rPr>
        <w:t>Regiunea de Dezvoltare Vest – Sucursală la Timișoara și Reprezentanță la Arad.</w:t>
      </w:r>
    </w:p>
    <w:p>
      <w:pPr>
        <w:pageBreakBefore w:val="0"/>
        <w:numPr>
          <w:ilvl w:val="0"/>
          <w:numId w:val="8"/>
        </w:numPr>
        <w:tabs>
          <w:tab w:val="left" w:pos="284"/>
        </w:tabs>
        <w:kinsoku/>
        <w:wordWrap/>
        <w:overflowPunct/>
        <w:topLinePunct w:val="0"/>
        <w:bidi w:val="0"/>
        <w:snapToGrid/>
        <w:spacing w:after="0" w:line="240" w:lineRule="auto"/>
        <w:ind w:right="-334" w:rightChars="-139"/>
        <w:jc w:val="both"/>
        <w:textAlignment w:val="auto"/>
        <w:rPr>
          <w:rFonts w:ascii="Trebuchet MS" w:hAnsi="Trebuchet MS" w:cs="Trebuchet MS"/>
          <w:lang w:val="ro-RO"/>
        </w:rPr>
      </w:pPr>
      <w:r>
        <w:rPr>
          <w:rFonts w:ascii="Trebuchet MS" w:hAnsi="Trebuchet MS" w:cs="Trebuchet MS"/>
          <w:lang w:val="ro-RO"/>
        </w:rPr>
        <w:t>Regiunea de Dezvoltare Sud-Est - Sucursala la Constanta și Reprezentanță la Buzău.</w:t>
      </w:r>
    </w:p>
    <w:p>
      <w:pPr>
        <w:pageBreakBefore w:val="0"/>
        <w:numPr>
          <w:ilvl w:val="0"/>
          <w:numId w:val="8"/>
        </w:numPr>
        <w:tabs>
          <w:tab w:val="left" w:pos="284"/>
        </w:tabs>
        <w:kinsoku/>
        <w:wordWrap/>
        <w:overflowPunct/>
        <w:topLinePunct w:val="0"/>
        <w:bidi w:val="0"/>
        <w:snapToGrid/>
        <w:spacing w:after="0" w:line="240" w:lineRule="auto"/>
        <w:ind w:right="-334" w:rightChars="-139"/>
        <w:jc w:val="both"/>
        <w:textAlignment w:val="auto"/>
        <w:rPr>
          <w:rFonts w:ascii="Trebuchet MS" w:hAnsi="Trebuchet MS" w:cs="Trebuchet MS"/>
          <w:lang w:val="ro-RO"/>
        </w:rPr>
      </w:pPr>
      <w:r>
        <w:rPr>
          <w:rFonts w:ascii="Trebuchet MS" w:hAnsi="Trebuchet MS" w:cs="Trebuchet MS"/>
          <w:lang w:val="ro-RO"/>
        </w:rPr>
        <w:t>Regiunea de Dezvoltare Centru - Sucursala la Brașov și 2 reprezentanțe, 1 la Sf. Gheorghe și 1 la Sibiu.</w:t>
      </w:r>
    </w:p>
    <w:p>
      <w:pPr>
        <w:pageBreakBefore w:val="0"/>
        <w:numPr>
          <w:ilvl w:val="0"/>
          <w:numId w:val="8"/>
        </w:numPr>
        <w:tabs>
          <w:tab w:val="left" w:pos="284"/>
        </w:tabs>
        <w:kinsoku/>
        <w:wordWrap/>
        <w:overflowPunct/>
        <w:topLinePunct w:val="0"/>
        <w:bidi w:val="0"/>
        <w:snapToGrid/>
        <w:spacing w:after="0" w:line="240" w:lineRule="auto"/>
        <w:ind w:right="-334" w:rightChars="-139"/>
        <w:jc w:val="both"/>
        <w:textAlignment w:val="auto"/>
        <w:rPr>
          <w:rFonts w:ascii="Trebuchet MS" w:hAnsi="Trebuchet MS" w:cs="Trebuchet MS"/>
          <w:lang w:val="ro-RO"/>
        </w:rPr>
      </w:pPr>
      <w:r>
        <w:rPr>
          <w:rFonts w:ascii="Trebuchet MS" w:hAnsi="Trebuchet MS" w:cs="Trebuchet MS"/>
          <w:lang w:val="ro-RO"/>
        </w:rPr>
        <w:t>Regiunea de Dezvoltare Nord-Vest - 1 Sucursala la Cluj și 2 reprezentanțe, 1 la Satu Mare și 1 la Bihor.</w:t>
      </w:r>
    </w:p>
    <w:p>
      <w:pPr>
        <w:pageBreakBefore w:val="0"/>
        <w:numPr>
          <w:ilvl w:val="0"/>
          <w:numId w:val="8"/>
        </w:numPr>
        <w:tabs>
          <w:tab w:val="left" w:pos="284"/>
        </w:tabs>
        <w:kinsoku/>
        <w:wordWrap/>
        <w:overflowPunct/>
        <w:topLinePunct w:val="0"/>
        <w:bidi w:val="0"/>
        <w:snapToGrid/>
        <w:spacing w:after="0" w:line="240" w:lineRule="auto"/>
        <w:ind w:right="-334" w:rightChars="-139"/>
        <w:jc w:val="both"/>
        <w:textAlignment w:val="auto"/>
        <w:rPr>
          <w:rFonts w:ascii="Trebuchet MS" w:hAnsi="Trebuchet MS" w:cs="Trebuchet MS"/>
          <w:lang w:val="ro-RO"/>
        </w:rPr>
      </w:pPr>
      <w:r>
        <w:rPr>
          <w:rFonts w:ascii="Trebuchet MS" w:hAnsi="Trebuchet MS" w:cs="Trebuchet MS"/>
          <w:lang w:val="ro-RO"/>
        </w:rPr>
        <w:t>Regiunea de Dezvoltare Nord-Est - 1 Sucursala la Iași și 2 reprezentanțe, 1 la Bacău și 1 la Suceava;</w:t>
      </w:r>
    </w:p>
    <w:p>
      <w:pPr>
        <w:pageBreakBefore w:val="0"/>
        <w:numPr>
          <w:ilvl w:val="0"/>
          <w:numId w:val="8"/>
        </w:numPr>
        <w:tabs>
          <w:tab w:val="left" w:pos="284"/>
        </w:tabs>
        <w:kinsoku/>
        <w:wordWrap/>
        <w:overflowPunct/>
        <w:topLinePunct w:val="0"/>
        <w:bidi w:val="0"/>
        <w:snapToGrid/>
        <w:spacing w:after="0" w:line="240" w:lineRule="auto"/>
        <w:ind w:right="-334" w:rightChars="-139"/>
        <w:jc w:val="both"/>
        <w:textAlignment w:val="auto"/>
        <w:rPr>
          <w:rFonts w:ascii="Trebuchet MS" w:hAnsi="Trebuchet MS" w:cs="Trebuchet MS"/>
          <w:lang w:val="ro-RO"/>
        </w:rPr>
      </w:pPr>
      <w:r>
        <w:rPr>
          <w:rFonts w:ascii="Trebuchet MS" w:hAnsi="Trebuchet MS" w:cs="Trebuchet MS"/>
          <w:lang w:val="ro-RO"/>
        </w:rPr>
        <w:t>Regiunea de Dezvoltare Sud -Muntenia – 1 Sucursală la Ploiești.</w:t>
      </w:r>
    </w:p>
    <w:bookmarkEnd w:id="10"/>
    <w:p>
      <w:pPr>
        <w:pStyle w:val="237"/>
        <w:pageBreakBefore w:val="0"/>
        <w:tabs>
          <w:tab w:val="left" w:pos="360"/>
        </w:tabs>
        <w:suppressAutoHyphens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lang w:val="ro-RO"/>
        </w:rPr>
      </w:pPr>
    </w:p>
    <w:p>
      <w:pPr>
        <w:pageBreakBefore w:val="0"/>
        <w:tabs>
          <w:tab w:val="left" w:pos="360"/>
        </w:tabs>
        <w:kinsoku/>
        <w:wordWrap/>
        <w:overflowPunct/>
        <w:topLinePunct w:val="0"/>
        <w:bidi w:val="0"/>
        <w:snapToGrid/>
        <w:spacing w:after="0" w:line="240" w:lineRule="auto"/>
        <w:ind w:left="-240" w:leftChars="-100" w:right="-334" w:rightChars="-139"/>
        <w:jc w:val="both"/>
        <w:textAlignment w:val="auto"/>
        <w:rPr>
          <w:rFonts w:ascii="Trebuchet MS" w:hAnsi="Trebuchet MS" w:cs="Trebuchet MS"/>
          <w:lang w:val="ro-RO"/>
        </w:rPr>
      </w:pPr>
    </w:p>
    <w:p>
      <w:pPr>
        <w:pageBreakBefore w:val="0"/>
        <w:tabs>
          <w:tab w:val="left" w:pos="360"/>
        </w:tabs>
        <w:kinsoku/>
        <w:wordWrap/>
        <w:overflowPunct/>
        <w:topLinePunct w:val="0"/>
        <w:bidi w:val="0"/>
        <w:snapToGrid/>
        <w:spacing w:after="0" w:line="240" w:lineRule="auto"/>
        <w:ind w:left="-240" w:leftChars="-100" w:right="-334" w:rightChars="-139"/>
        <w:jc w:val="both"/>
        <w:textAlignment w:val="auto"/>
        <w:rPr>
          <w:rFonts w:ascii="Trebuchet MS" w:hAnsi="Trebuchet MS" w:cs="Trebuchet MS"/>
          <w:lang w:val="ro-RO"/>
        </w:rPr>
      </w:pPr>
      <w:r>
        <w:rPr>
          <w:rFonts w:ascii="Trebuchet MS" w:hAnsi="Trebuchet MS" w:cs="Trebuchet MS"/>
          <w:lang w:val="ro-RO"/>
        </w:rPr>
        <w:t>Necesitatea de reconfigurare a structurii organizatorice a reieșit și în urma revizuirii previziunilor privind acordarile de garantii in perioada 2020-2022, în funcție de creșterea numărului de programe gestionate de FNGCIMM S.A.-IFN, derularea lor în toată țara și a evaluării eficienței fluxurilor operaționale.</w:t>
      </w:r>
    </w:p>
    <w:p>
      <w:pPr>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b/>
          <w:lang w:val="ro-RO"/>
        </w:rPr>
      </w:pPr>
    </w:p>
    <w:p>
      <w:pPr>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b/>
          <w:bCs/>
          <w:i/>
          <w:iCs/>
          <w:lang w:val="ro-RO"/>
        </w:rPr>
      </w:pPr>
      <w:r>
        <w:rPr>
          <w:rFonts w:ascii="Trebuchet MS" w:hAnsi="Trebuchet MS" w:cs="Trebuchet MS"/>
          <w:b/>
          <w:bCs/>
          <w:i/>
          <w:iCs/>
          <w:lang w:val="ro-RO"/>
        </w:rPr>
        <w:t>Obiectivele economice și strategice avute în vedere la înființarea noilor entități teritoriale ale FNGCIMM S.A.-IFN sunt:</w:t>
      </w:r>
    </w:p>
    <w:p>
      <w:pPr>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lang w:val="ro-RO"/>
        </w:rPr>
      </w:pPr>
      <w:r>
        <w:rPr>
          <w:rFonts w:ascii="Trebuchet MS" w:hAnsi="Trebuchet MS" w:cs="Trebuchet MS"/>
          <w:lang w:val="ro-RO"/>
        </w:rPr>
        <w:t>- obținerea unor performanțe economice superioare la nivelul Fondului prin încorporarea activităţii generatoare de venituri care va fi realizată prin intermediul noilor entităţi create;</w:t>
      </w:r>
    </w:p>
    <w:p>
      <w:pPr>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lang w:val="ro-RO"/>
        </w:rPr>
      </w:pPr>
      <w:r>
        <w:rPr>
          <w:rFonts w:ascii="Trebuchet MS" w:hAnsi="Trebuchet MS" w:cs="Trebuchet MS"/>
          <w:lang w:val="ro-RO"/>
        </w:rPr>
        <w:t>- creşterea capacitatii de garantare și volumul de vânzare a produselor FNGCIMM S.A.-IFN în toate regiunile de dezvoltare ale țării, ceea ce va conduce la creşterea veniturilor din exploatare ale Fondului și la îmbunătățirea competitivităţii produselor de garantare ale FNGCIMM S.A.-IFN la nivel național;</w:t>
      </w:r>
    </w:p>
    <w:p>
      <w:pPr>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lang w:val="ro-RO"/>
        </w:rPr>
      </w:pPr>
      <w:r>
        <w:rPr>
          <w:rFonts w:ascii="Trebuchet MS" w:hAnsi="Trebuchet MS" w:cs="Trebuchet MS"/>
          <w:lang w:val="ro-RO"/>
        </w:rPr>
        <w:t>- asigurarea unei mai bune coeziuni în interiorul reţelei de sucursale şi reprezentanțe ale FNGCIMM S.A.-IFN şi a unor sinergii adecvate în relaţia cu partenerii instituționali;</w:t>
      </w:r>
    </w:p>
    <w:p>
      <w:pPr>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lang w:val="ro-RO"/>
        </w:rPr>
      </w:pPr>
      <w:r>
        <w:rPr>
          <w:rFonts w:ascii="Trebuchet MS" w:hAnsi="Trebuchet MS" w:cs="Trebuchet MS"/>
          <w:lang w:val="ro-RO"/>
        </w:rPr>
        <w:t xml:space="preserve">- </w:t>
      </w:r>
      <w:bookmarkStart w:id="12" w:name="_Hlk45636255"/>
      <w:r>
        <w:rPr>
          <w:rFonts w:ascii="Trebuchet MS" w:hAnsi="Trebuchet MS" w:cs="Trebuchet MS"/>
          <w:lang w:val="ro-RO"/>
        </w:rPr>
        <w:t>uniformizarea politicii de promovare şi vânzare a produselor de garantare ale FNGCIMM S.A.-IFN la nivel naţional.</w:t>
      </w:r>
    </w:p>
    <w:bookmarkEnd w:id="12"/>
    <w:p>
      <w:pPr>
        <w:pageBreakBefore w:val="0"/>
        <w:tabs>
          <w:tab w:val="left" w:pos="360"/>
        </w:tabs>
        <w:kinsoku/>
        <w:wordWrap/>
        <w:overflowPunct/>
        <w:topLinePunct w:val="0"/>
        <w:bidi w:val="0"/>
        <w:snapToGrid/>
        <w:spacing w:after="0" w:line="240" w:lineRule="auto"/>
        <w:ind w:left="-240" w:leftChars="-100" w:right="-334" w:rightChars="-139"/>
        <w:jc w:val="both"/>
        <w:textAlignment w:val="auto"/>
        <w:rPr>
          <w:rFonts w:ascii="Trebuchet MS" w:hAnsi="Trebuchet MS" w:cs="Trebuchet MS"/>
          <w:lang w:val="ro-RO"/>
        </w:rPr>
      </w:pPr>
      <w:bookmarkStart w:id="13" w:name="bookmark13"/>
      <w:bookmarkStart w:id="14" w:name="bookmark12"/>
    </w:p>
    <w:p>
      <w:pPr>
        <w:pageBreakBefore w:val="0"/>
        <w:tabs>
          <w:tab w:val="left" w:pos="360"/>
        </w:tabs>
        <w:kinsoku/>
        <w:wordWrap/>
        <w:overflowPunct/>
        <w:topLinePunct w:val="0"/>
        <w:bidi w:val="0"/>
        <w:snapToGrid/>
        <w:spacing w:after="0" w:line="240" w:lineRule="auto"/>
        <w:ind w:left="-240" w:leftChars="-100" w:right="-334" w:rightChars="-139"/>
        <w:jc w:val="both"/>
        <w:textAlignment w:val="auto"/>
        <w:rPr>
          <w:rFonts w:ascii="Trebuchet MS" w:hAnsi="Trebuchet MS" w:cs="Trebuchet MS"/>
          <w:b/>
          <w:bCs/>
          <w:lang w:val="ro-RO"/>
        </w:rPr>
      </w:pPr>
      <w:r>
        <w:rPr>
          <w:rFonts w:ascii="Trebuchet MS" w:hAnsi="Trebuchet MS" w:cs="Trebuchet MS"/>
          <w:b/>
          <w:bCs/>
          <w:lang w:val="ro-RO"/>
        </w:rPr>
        <w:t xml:space="preserve">3. </w:t>
      </w:r>
      <w:r>
        <w:rPr>
          <w:rFonts w:ascii="Trebuchet MS" w:hAnsi="Trebuchet MS" w:cs="Trebuchet MS"/>
          <w:b/>
          <w:bCs/>
          <w:lang w:val="ro-RO" w:eastAsia="ro-RO" w:bidi="ro-RO"/>
        </w:rPr>
        <w:t xml:space="preserve">Clasificarea </w:t>
      </w:r>
      <w:r>
        <w:rPr>
          <w:rFonts w:ascii="Trebuchet MS" w:hAnsi="Trebuchet MS" w:cs="Trebuchet MS"/>
          <w:b/>
          <w:bCs/>
          <w:lang w:val="ro-RO"/>
        </w:rPr>
        <w:t>F.N.G.C.I.M.M. S.A. - IFN</w:t>
      </w:r>
      <w:r>
        <w:rPr>
          <w:rFonts w:ascii="Trebuchet MS" w:hAnsi="Trebuchet MS" w:cs="Trebuchet MS"/>
          <w:b/>
          <w:bCs/>
          <w:lang w:val="ro-RO" w:eastAsia="ro-RO" w:bidi="ro-RO"/>
        </w:rPr>
        <w:t>.</w:t>
      </w:r>
      <w:bookmarkEnd w:id="13"/>
      <w:bookmarkEnd w:id="14"/>
    </w:p>
    <w:p>
      <w:pPr>
        <w:pStyle w:val="10"/>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lang w:val="ro-RO"/>
        </w:rPr>
      </w:pPr>
    </w:p>
    <w:p>
      <w:pPr>
        <w:pStyle w:val="10"/>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lang w:val="ro-RO"/>
        </w:rPr>
      </w:pPr>
      <w:r>
        <w:rPr>
          <w:rFonts w:ascii="Trebuchet MS" w:hAnsi="Trebuchet MS" w:cs="Trebuchet MS"/>
          <w:sz w:val="24"/>
          <w:lang w:val="ro-RO"/>
        </w:rPr>
        <w:t>F.N.G.C.I.M.M. S.A. - IFN</w:t>
      </w:r>
      <w:r>
        <w:rPr>
          <w:rFonts w:ascii="Trebuchet MS" w:hAnsi="Trebuchet MS" w:cs="Trebuchet MS"/>
          <w:sz w:val="24"/>
          <w:lang w:val="ro-RO" w:eastAsia="ro-RO" w:bidi="ro-RO"/>
        </w:rPr>
        <w:t xml:space="preserve"> se încadrează în categoria societăților care acționează cu scop comercial și urmăresc să creeze valoare economică.</w:t>
      </w:r>
    </w:p>
    <w:p>
      <w:pPr>
        <w:pStyle w:val="10"/>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lang w:val="ro-RO"/>
        </w:rPr>
      </w:pPr>
    </w:p>
    <w:p>
      <w:pPr>
        <w:pStyle w:val="10"/>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lang w:val="ro-RO"/>
        </w:rPr>
      </w:pPr>
      <w:r>
        <w:rPr>
          <w:rFonts w:ascii="Trebuchet MS" w:hAnsi="Trebuchet MS" w:cs="Trebuchet MS"/>
          <w:sz w:val="24"/>
          <w:lang w:val="ro-RO"/>
        </w:rPr>
        <w:t>F.N.G.C.I.M.M. S.A. - IFN</w:t>
      </w:r>
      <w:r>
        <w:rPr>
          <w:rFonts w:ascii="Trebuchet MS" w:hAnsi="Trebuchet MS" w:cs="Trebuchet MS"/>
          <w:sz w:val="24"/>
          <w:lang w:val="ro-RO" w:eastAsia="ro-RO" w:bidi="ro-RO"/>
        </w:rPr>
        <w:t xml:space="preserve"> operează într-o piață concurențială, ceea ce presupune adoptarea de către consiliul de administrație a unui plan de administrare care să urmărească creșterea competitivității, a profitabilității, îmbunătățirea calității activelor, a ratei de adecvare a capitalului și a structurii de finanțare a </w:t>
      </w:r>
      <w:bookmarkStart w:id="15" w:name="_Hlk53949639"/>
      <w:r>
        <w:rPr>
          <w:rFonts w:ascii="Trebuchet MS" w:hAnsi="Trebuchet MS" w:cs="Trebuchet MS"/>
          <w:sz w:val="24"/>
          <w:lang w:val="ro-RO"/>
        </w:rPr>
        <w:t>F.N.G.C.I.M.M. S.A. – IFN</w:t>
      </w:r>
      <w:bookmarkEnd w:id="15"/>
      <w:r>
        <w:rPr>
          <w:rFonts w:ascii="Trebuchet MS" w:hAnsi="Trebuchet MS" w:cs="Trebuchet MS"/>
          <w:sz w:val="24"/>
          <w:lang w:val="ro-RO"/>
        </w:rPr>
        <w:t>.</w:t>
      </w:r>
    </w:p>
    <w:p>
      <w:pPr>
        <w:pStyle w:val="10"/>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lang w:val="ro-RO"/>
        </w:rPr>
      </w:pPr>
    </w:p>
    <w:p>
      <w:pPr>
        <w:pStyle w:val="260"/>
        <w:keepNext/>
        <w:keepLines/>
        <w:pageBreakBefore w:val="0"/>
        <w:shd w:val="clear" w:color="auto" w:fill="auto"/>
        <w:tabs>
          <w:tab w:val="left" w:pos="368"/>
        </w:tabs>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szCs w:val="24"/>
          <w:lang w:val="ro-RO"/>
        </w:rPr>
      </w:pPr>
      <w:bookmarkStart w:id="16" w:name="bookmark14"/>
      <w:bookmarkStart w:id="17" w:name="bookmark15"/>
      <w:r>
        <w:rPr>
          <w:rFonts w:ascii="Trebuchet MS" w:hAnsi="Trebuchet MS" w:cs="Trebuchet MS"/>
          <w:sz w:val="24"/>
          <w:szCs w:val="24"/>
          <w:lang w:val="ro-RO"/>
        </w:rPr>
        <w:t xml:space="preserve">4. </w:t>
      </w:r>
      <w:r>
        <w:rPr>
          <w:rFonts w:ascii="Trebuchet MS" w:hAnsi="Trebuchet MS" w:cs="Trebuchet MS"/>
          <w:sz w:val="24"/>
          <w:szCs w:val="24"/>
          <w:lang w:val="ro-RO" w:eastAsia="ro-RO" w:bidi="ro-RO"/>
        </w:rPr>
        <w:t xml:space="preserve">Politica de dividende aplicabilă </w:t>
      </w:r>
      <w:r>
        <w:rPr>
          <w:rFonts w:ascii="Trebuchet MS" w:hAnsi="Trebuchet MS" w:cs="Trebuchet MS"/>
          <w:sz w:val="24"/>
          <w:szCs w:val="24"/>
          <w:lang w:val="ro-RO"/>
        </w:rPr>
        <w:t>F.N.G.C.I.M.M. S.A. – IFN</w:t>
      </w:r>
      <w:r>
        <w:rPr>
          <w:rFonts w:ascii="Trebuchet MS" w:hAnsi="Trebuchet MS" w:cs="Trebuchet MS"/>
          <w:sz w:val="24"/>
          <w:szCs w:val="24"/>
          <w:lang w:val="ro-RO" w:eastAsia="ro-RO" w:bidi="ro-RO"/>
        </w:rPr>
        <w:t>.</w:t>
      </w:r>
      <w:bookmarkEnd w:id="16"/>
      <w:bookmarkEnd w:id="17"/>
    </w:p>
    <w:p>
      <w:pPr>
        <w:pStyle w:val="10"/>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lang w:val="ro-RO" w:eastAsia="ro-RO" w:bidi="ro-RO"/>
        </w:rPr>
      </w:pPr>
    </w:p>
    <w:p>
      <w:pPr>
        <w:pStyle w:val="10"/>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lang w:val="ro-RO"/>
        </w:rPr>
      </w:pPr>
      <w:r>
        <w:rPr>
          <w:rFonts w:ascii="Trebuchet MS" w:hAnsi="Trebuchet MS" w:cs="Trebuchet MS"/>
          <w:sz w:val="24"/>
          <w:lang w:val="ro-RO" w:eastAsia="ro-RO" w:bidi="ro-RO"/>
        </w:rPr>
        <w:t>Pentru societățile la care statul deține participații integrale sau majoritare, unul dintre cele mai importante aspecte legate de comportamentul statului se referă la asigurarea predictibilității politicii de dividende, pe un orizont mediu de timp (3-7 ani).</w:t>
      </w:r>
    </w:p>
    <w:p>
      <w:pPr>
        <w:pStyle w:val="10"/>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lang w:val="ro-RO" w:eastAsia="ro-RO" w:bidi="ro-RO"/>
        </w:rPr>
      </w:pPr>
    </w:p>
    <w:p>
      <w:pPr>
        <w:pStyle w:val="10"/>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lang w:val="ro-RO" w:eastAsia="ro-RO" w:bidi="ro-RO"/>
        </w:rPr>
      </w:pPr>
      <w:r>
        <w:rPr>
          <w:rFonts w:ascii="Trebuchet MS" w:hAnsi="Trebuchet MS" w:cs="Trebuchet MS"/>
          <w:sz w:val="24"/>
          <w:lang w:val="ro-RO" w:eastAsia="ro-RO" w:bidi="ro-RO"/>
        </w:rPr>
        <w:t xml:space="preserve">În ceea ce privește </w:t>
      </w:r>
      <w:r>
        <w:rPr>
          <w:rFonts w:ascii="Trebuchet MS" w:hAnsi="Trebuchet MS" w:cs="Trebuchet MS"/>
          <w:sz w:val="24"/>
          <w:lang w:val="ro-RO"/>
        </w:rPr>
        <w:t>F.N.G.C.I.M.M. S.A. – IFN</w:t>
      </w:r>
      <w:r>
        <w:rPr>
          <w:rFonts w:ascii="Trebuchet MS" w:hAnsi="Trebuchet MS" w:cs="Trebuchet MS"/>
          <w:sz w:val="24"/>
          <w:lang w:val="ro-RO" w:eastAsia="ro-RO" w:bidi="ro-RO"/>
        </w:rPr>
        <w:t xml:space="preserve">, în perioada 2012-2010 profitul net realizat de fond și cuvenit sub forma de dividende acționarului- statul român prin Ministerul Finanțelor, a fost virat în integralitate Acționarului. Astfel, în această perioadă, </w:t>
      </w:r>
      <w:r>
        <w:rPr>
          <w:rFonts w:ascii="Trebuchet MS" w:hAnsi="Trebuchet MS" w:cs="Trebuchet MS"/>
          <w:sz w:val="24"/>
          <w:lang w:val="ro-RO"/>
        </w:rPr>
        <w:t>F.N.G.C.I.M.M. S.A. – IFN</w:t>
      </w:r>
      <w:r>
        <w:rPr>
          <w:rFonts w:ascii="Trebuchet MS" w:hAnsi="Trebuchet MS" w:cs="Trebuchet MS"/>
          <w:sz w:val="24"/>
          <w:lang w:val="ro-RO" w:eastAsia="ro-RO" w:bidi="ro-RO"/>
        </w:rPr>
        <w:t xml:space="preserve"> a virat acționarului:</w:t>
      </w:r>
    </w:p>
    <w:p>
      <w:pPr>
        <w:pStyle w:val="10"/>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lang w:val="ro-RO" w:eastAsia="ro-RO" w:bidi="ro-RO"/>
        </w:rPr>
      </w:pPr>
    </w:p>
    <w:p>
      <w:pPr>
        <w:pStyle w:val="10"/>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lang w:val="ro-RO" w:eastAsia="ro-RO" w:bidi="ro-RO"/>
        </w:rPr>
      </w:pPr>
      <w:r>
        <w:rPr>
          <w:rFonts w:ascii="Trebuchet MS" w:hAnsi="Trebuchet MS"/>
          <w:sz w:val="24"/>
          <w:lang w:val="ro-RO"/>
        </w:rPr>
        <w:drawing>
          <wp:inline distT="0" distB="0" distL="0" distR="0">
            <wp:extent cx="6153150" cy="1028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153150" cy="1028700"/>
                    </a:xfrm>
                    <a:prstGeom prst="rect">
                      <a:avLst/>
                    </a:prstGeom>
                    <a:noFill/>
                    <a:ln>
                      <a:noFill/>
                    </a:ln>
                  </pic:spPr>
                </pic:pic>
              </a:graphicData>
            </a:graphic>
          </wp:inline>
        </w:drawing>
      </w:r>
    </w:p>
    <w:p>
      <w:pPr>
        <w:pStyle w:val="10"/>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Arial"/>
          <w:sz w:val="22"/>
          <w:szCs w:val="22"/>
          <w:lang w:val="ro-RO"/>
        </w:rPr>
      </w:pPr>
      <w:r>
        <w:rPr>
          <w:rFonts w:ascii="Trebuchet MS" w:hAnsi="Trebuchet MS" w:cs="Trebuchet MS"/>
          <w:sz w:val="22"/>
          <w:szCs w:val="22"/>
          <w:lang w:val="ro-RO" w:eastAsia="ro-RO" w:bidi="ro-RO"/>
        </w:rPr>
        <w:t xml:space="preserve">* </w:t>
      </w:r>
      <w:r>
        <w:rPr>
          <w:rFonts w:ascii="Trebuchet MS" w:hAnsi="Trebuchet MS" w:cs="Arial"/>
          <w:sz w:val="22"/>
          <w:szCs w:val="22"/>
          <w:lang w:val="ro-RO"/>
        </w:rPr>
        <w:t>dividendele au fost virate in anul urmator, cf hotararii AGA</w:t>
      </w:r>
    </w:p>
    <w:p>
      <w:pPr>
        <w:pStyle w:val="10"/>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2"/>
          <w:szCs w:val="22"/>
          <w:lang w:val="ro-RO" w:eastAsia="ro-RO" w:bidi="ro-RO"/>
        </w:rPr>
      </w:pPr>
      <w:r>
        <w:rPr>
          <w:rFonts w:ascii="Trebuchet MS" w:hAnsi="Trebuchet MS" w:cs="Trebuchet MS"/>
          <w:sz w:val="22"/>
          <w:szCs w:val="22"/>
          <w:lang w:val="ro-RO" w:eastAsia="ro-RO" w:bidi="ro-RO"/>
        </w:rPr>
        <w:t xml:space="preserve">** începând cu anul 2016, </w:t>
      </w:r>
      <w:r>
        <w:rPr>
          <w:rFonts w:ascii="Trebuchet MS" w:hAnsi="Trebuchet MS" w:cs="Arial"/>
          <w:sz w:val="22"/>
          <w:szCs w:val="22"/>
          <w:lang w:val="ro-RO"/>
        </w:rPr>
        <w:t>procentul de distribuire a fost modificat de la 50% la 90%</w:t>
      </w:r>
    </w:p>
    <w:p>
      <w:pPr>
        <w:pStyle w:val="10"/>
        <w:pageBreakBefore w:val="0"/>
        <w:kinsoku/>
        <w:wordWrap/>
        <w:overflowPunct/>
        <w:topLinePunct w:val="0"/>
        <w:bidi w:val="0"/>
        <w:snapToGrid/>
        <w:spacing w:after="0" w:line="240" w:lineRule="auto"/>
        <w:ind w:firstLine="360"/>
        <w:jc w:val="both"/>
        <w:textAlignment w:val="auto"/>
        <w:rPr>
          <w:rFonts w:ascii="Trebuchet MS" w:hAnsi="Trebuchet MS" w:cs="Arial"/>
          <w:sz w:val="24"/>
          <w:lang w:val="ro-RO" w:eastAsia="ro-RO" w:bidi="ro-RO"/>
        </w:rPr>
      </w:pPr>
    </w:p>
    <w:p>
      <w:pPr>
        <w:pStyle w:val="10"/>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lang w:val="ro-RO" w:eastAsia="ro-RO" w:bidi="ro-RO"/>
        </w:rPr>
      </w:pPr>
      <w:r>
        <w:rPr>
          <w:rFonts w:ascii="Trebuchet MS" w:hAnsi="Trebuchet MS" w:cs="Trebuchet MS"/>
          <w:sz w:val="24"/>
          <w:lang w:val="ro-RO" w:eastAsia="ro-RO" w:bidi="ro-RO"/>
        </w:rPr>
        <w:t xml:space="preserve">Prin implementarea prevederilor OUG nr. 109, acționarul - statul român urmărește o creștere a performanței activității și o reducere a costurilor, ceea ce va duce la consolidarea profitabilității </w:t>
      </w:r>
      <w:r>
        <w:rPr>
          <w:rFonts w:ascii="Trebuchet MS" w:hAnsi="Trebuchet MS" w:cs="Trebuchet MS"/>
          <w:sz w:val="24"/>
          <w:lang w:val="ro-RO"/>
        </w:rPr>
        <w:t>F.N.G.C.I.M.M. S.A. – IFN</w:t>
      </w:r>
      <w:r>
        <w:rPr>
          <w:rFonts w:ascii="Trebuchet MS" w:hAnsi="Trebuchet MS" w:cs="Trebuchet MS"/>
          <w:sz w:val="24"/>
          <w:lang w:val="ro-RO" w:eastAsia="ro-RO" w:bidi="ro-RO"/>
        </w:rPr>
        <w:t>. Astfel, politica de dividende, ce urmează să fie strâns legată de creșterea performanței și a profitului, va avea în vedere menținerea distribuirii de dividende către acționar.</w:t>
      </w:r>
    </w:p>
    <w:p>
      <w:pPr>
        <w:pStyle w:val="10"/>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lang w:val="ro-RO" w:eastAsia="ro-RO" w:bidi="ro-RO"/>
        </w:rPr>
      </w:pPr>
    </w:p>
    <w:p>
      <w:pPr>
        <w:pStyle w:val="10"/>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lang w:val="ro-RO"/>
        </w:rPr>
      </w:pPr>
      <w:r>
        <w:rPr>
          <w:rFonts w:ascii="Trebuchet MS" w:hAnsi="Trebuchet MS" w:cs="Trebuchet MS"/>
          <w:sz w:val="24"/>
          <w:lang w:val="ro-RO" w:eastAsia="ro-RO" w:bidi="ro-RO"/>
        </w:rPr>
        <w:t xml:space="preserve">Statul ca acționar, prin autoritatea publică tutelară, urmărește maximizarea pe termen lung a valorii </w:t>
      </w:r>
      <w:r>
        <w:rPr>
          <w:rFonts w:ascii="Trebuchet MS" w:hAnsi="Trebuchet MS" w:cs="Trebuchet MS"/>
          <w:sz w:val="24"/>
          <w:lang w:val="ro-RO"/>
        </w:rPr>
        <w:t>F.N.G.C.I.M.M. S.A. – IFN</w:t>
      </w:r>
      <w:r>
        <w:rPr>
          <w:rFonts w:ascii="Trebuchet MS" w:hAnsi="Trebuchet MS" w:cs="Trebuchet MS"/>
          <w:sz w:val="24"/>
          <w:lang w:val="ro-RO" w:eastAsia="ro-RO" w:bidi="ro-RO"/>
        </w:rPr>
        <w:t xml:space="preserve"> și implicit a valorii dividendului. Politica de dividende va ține seama inclusiv de nevoia de dezvoltare a </w:t>
      </w:r>
      <w:r>
        <w:rPr>
          <w:rFonts w:ascii="Trebuchet MS" w:hAnsi="Trebuchet MS" w:cs="Trebuchet MS"/>
          <w:sz w:val="24"/>
          <w:lang w:val="ro-RO"/>
        </w:rPr>
        <w:t>F.N.G.C.I.M.M. S.A. – IFN</w:t>
      </w:r>
      <w:r>
        <w:rPr>
          <w:rFonts w:ascii="Trebuchet MS" w:hAnsi="Trebuchet MS" w:cs="Trebuchet MS"/>
          <w:sz w:val="24"/>
          <w:lang w:val="ro-RO" w:eastAsia="ro-RO" w:bidi="ro-RO"/>
        </w:rPr>
        <w:t xml:space="preserve"> în condițiile în care își desfășoară activitatea într-un mediu concurențial/competitiv, urmând să fie analizate propunerile consiliului de administrație în ceea ce privește nevoia societății de majorare a capitalului social prin reinvestirea parțială a profitului.</w:t>
      </w:r>
    </w:p>
    <w:p>
      <w:pPr>
        <w:pStyle w:val="10"/>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lang w:val="ro-RO" w:eastAsia="ro-RO" w:bidi="ro-RO"/>
        </w:rPr>
      </w:pPr>
    </w:p>
    <w:p>
      <w:pPr>
        <w:pStyle w:val="10"/>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lang w:val="ro-RO" w:eastAsia="ro-RO" w:bidi="ro-RO"/>
        </w:rPr>
      </w:pPr>
      <w:r>
        <w:rPr>
          <w:rFonts w:ascii="Trebuchet MS" w:hAnsi="Trebuchet MS" w:cs="Trebuchet MS"/>
          <w:sz w:val="24"/>
          <w:lang w:val="ro-RO" w:eastAsia="ro-RO" w:bidi="ro-RO"/>
        </w:rPr>
        <w:t xml:space="preserve">Managementul fondului va fi preocupat de menținerea unei structuri solide și robuste a structurii de finanțare a acestuia, care să păstreze în limite confortabile indicatorii de solvabilitate și lichiditate. Aceste condiții întrunite vor permite în mod prioritar asigurarea fondurilor necesare pentru realizarea planului de investiții și, în același timp, asigurarea distribuirii de dividende în linie cu așteptările acționarilor pentru această categorie de activ. </w:t>
      </w:r>
    </w:p>
    <w:p>
      <w:pPr>
        <w:pStyle w:val="260"/>
        <w:keepNext/>
        <w:keepLines/>
        <w:pageBreakBefore w:val="0"/>
        <w:shd w:val="clear" w:color="auto" w:fill="auto"/>
        <w:tabs>
          <w:tab w:val="left" w:pos="327"/>
        </w:tabs>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szCs w:val="24"/>
          <w:lang w:val="ro-RO" w:eastAsia="ro-RO" w:bidi="ro-RO"/>
        </w:rPr>
      </w:pPr>
      <w:bookmarkStart w:id="18" w:name="bookmark17"/>
      <w:bookmarkStart w:id="19" w:name="bookmark16"/>
    </w:p>
    <w:p>
      <w:pPr>
        <w:pStyle w:val="260"/>
        <w:keepNext/>
        <w:keepLines/>
        <w:pageBreakBefore w:val="0"/>
        <w:shd w:val="clear" w:color="auto" w:fill="auto"/>
        <w:tabs>
          <w:tab w:val="left" w:pos="327"/>
        </w:tabs>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szCs w:val="24"/>
          <w:lang w:val="ro-RO"/>
        </w:rPr>
      </w:pPr>
      <w:r>
        <w:rPr>
          <w:rFonts w:ascii="Trebuchet MS" w:hAnsi="Trebuchet MS" w:cs="Trebuchet MS"/>
          <w:sz w:val="24"/>
          <w:szCs w:val="24"/>
          <w:lang w:val="ro-RO" w:eastAsia="ro-RO" w:bidi="ro-RO"/>
        </w:rPr>
        <w:t>5. Calitatea și siguranța serviciilor</w:t>
      </w:r>
      <w:bookmarkEnd w:id="18"/>
      <w:bookmarkEnd w:id="19"/>
    </w:p>
    <w:p>
      <w:pPr>
        <w:pStyle w:val="260"/>
        <w:keepNext/>
        <w:keepLines/>
        <w:pageBreakBefore w:val="0"/>
        <w:shd w:val="clear" w:color="auto" w:fill="auto"/>
        <w:tabs>
          <w:tab w:val="left" w:pos="327"/>
        </w:tabs>
        <w:kinsoku/>
        <w:wordWrap/>
        <w:overflowPunct/>
        <w:topLinePunct w:val="0"/>
        <w:bidi w:val="0"/>
        <w:snapToGrid/>
        <w:spacing w:after="0" w:line="240" w:lineRule="auto"/>
        <w:ind w:left="-240" w:leftChars="-100" w:right="-334" w:rightChars="-139"/>
        <w:textAlignment w:val="auto"/>
        <w:rPr>
          <w:rFonts w:ascii="Trebuchet MS" w:hAnsi="Trebuchet MS" w:cs="Trebuchet MS"/>
          <w:sz w:val="24"/>
          <w:szCs w:val="24"/>
          <w:lang w:val="ro-RO"/>
        </w:rPr>
      </w:pPr>
    </w:p>
    <w:p>
      <w:pPr>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lang w:val="ro-RO"/>
        </w:rPr>
      </w:pPr>
      <w:r>
        <w:rPr>
          <w:rFonts w:ascii="Trebuchet MS" w:hAnsi="Trebuchet MS" w:cs="Trebuchet MS"/>
          <w:lang w:val="ro-RO"/>
        </w:rPr>
        <w:t>Programul de guvernare 2021-2024 include un pachet generos și țintit de reconstrucție și stimulare a competitivității economiei, bazat pe investiții care să ducă la bunăstare și consum și care să contribuie la digitalizarea activității IMM-urilor. FNGCIMM a fost desemnat pentru implementarea celor mai importante măsuri de sprijinire a IMM-urilor, prin programele: IMM INVEST, cu subProgramul AGRO IMM INVEST, IMM FACTOR, IMM LEASING, NOUA CASA, IMM PROD, GARANT CONSTRUCT, INNOVATION. În plus, FNGCIMM va sprijini toate programele naționale gestionate de Ministerul Antreprenoriatului și Turismului.</w:t>
      </w:r>
    </w:p>
    <w:p>
      <w:pPr>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lang w:val="ro-RO"/>
        </w:rPr>
      </w:pPr>
    </w:p>
    <w:p>
      <w:pPr>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lang w:val="ro-RO"/>
        </w:rPr>
      </w:pPr>
      <w:r>
        <w:rPr>
          <w:rFonts w:ascii="Trebuchet MS" w:hAnsi="Trebuchet MS" w:cs="Trebuchet MS"/>
          <w:lang w:val="ro-RO"/>
        </w:rPr>
        <w:t xml:space="preserve">FNGCIMM va continua să își adapteze structura organizatorică pentru a contribui în mod consistent la realizarea obiectivelor specifice de sprijin economic pe termen scurt și mediu prevăzute în Programul de guvernare 2021-2024, prin intermediul unor instrumente financiare noi/îmbunătățite care să contribuie la modernizarea economiei României pe termen mediu. </w:t>
      </w:r>
    </w:p>
    <w:p>
      <w:pPr>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lang w:val="ro-RO"/>
        </w:rPr>
      </w:pPr>
    </w:p>
    <w:p>
      <w:pPr>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b/>
          <w:lang w:val="ro-RO"/>
        </w:rPr>
      </w:pPr>
      <w:r>
        <w:rPr>
          <w:rFonts w:ascii="Trebuchet MS" w:hAnsi="Trebuchet MS" w:cs="Trebuchet MS"/>
          <w:lang w:val="ro-RO"/>
        </w:rPr>
        <w:t>F.N.G.C.I.M.M. S.A. – IFN</w:t>
      </w:r>
      <w:r>
        <w:rPr>
          <w:rFonts w:ascii="Trebuchet MS" w:hAnsi="Trebuchet MS" w:cs="Trebuchet MS"/>
          <w:lang w:val="ro-RO" w:eastAsia="ro-RO" w:bidi="ro-RO"/>
        </w:rPr>
        <w:t xml:space="preserve"> și-a consolidat statutul de partener strategic în cadrul programelor guvernamentale, susținând activ inițiativa și accesul la finanțare pentru o gamă cât mai largă de clienți. Succesul implementării acestor programe s-a datorat atât caracteristicilor produselor și serviciilor, disponibilității acestora.</w:t>
      </w:r>
    </w:p>
    <w:p>
      <w:pPr>
        <w:pStyle w:val="10"/>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lang w:val="ro-RO"/>
        </w:rPr>
      </w:pPr>
    </w:p>
    <w:p>
      <w:pPr>
        <w:pStyle w:val="10"/>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lang w:val="ro-RO"/>
        </w:rPr>
      </w:pPr>
      <w:r>
        <w:rPr>
          <w:rFonts w:ascii="Trebuchet MS" w:hAnsi="Trebuchet MS" w:cs="Trebuchet MS"/>
          <w:sz w:val="24"/>
          <w:lang w:val="ro-RO"/>
        </w:rPr>
        <w:t>F.N.G.C.I.M.M. S.A. – IFN</w:t>
      </w:r>
      <w:r>
        <w:rPr>
          <w:rFonts w:ascii="Trebuchet MS" w:hAnsi="Trebuchet MS" w:cs="Trebuchet MS"/>
          <w:sz w:val="24"/>
          <w:lang w:val="ro-RO" w:eastAsia="ro-RO" w:bidi="ro-RO"/>
        </w:rPr>
        <w:t xml:space="preserve"> trebuie să acorde, în continuare, o atenție deosebită relației cu clientela tradițională, urmărind viziunea acesteia referitoare la calitatea și siguranța serviciilor financiare oferite și, ținând cont de importanța strategică a accesului la finanțare pentru anumite sectoare cheie din economie, ne așteptăm ca </w:t>
      </w:r>
      <w:r>
        <w:rPr>
          <w:rFonts w:ascii="Trebuchet MS" w:hAnsi="Trebuchet MS" w:cs="Trebuchet MS"/>
          <w:sz w:val="24"/>
          <w:lang w:val="ro-RO"/>
        </w:rPr>
        <w:t>F.N.G.C.I.M.M. S.A. – IFN</w:t>
      </w:r>
      <w:r>
        <w:rPr>
          <w:rFonts w:ascii="Trebuchet MS" w:hAnsi="Trebuchet MS" w:cs="Trebuchet MS"/>
          <w:sz w:val="24"/>
          <w:lang w:val="ro-RO" w:eastAsia="ro-RO" w:bidi="ro-RO"/>
        </w:rPr>
        <w:t xml:space="preserve"> să dezvolte noi produse inovatoare de finanțare adresate IMM-urilor, agriculturii, autorităților publice locale și să iși diversifice tipul de produse de creditare oferite.</w:t>
      </w:r>
    </w:p>
    <w:p>
      <w:pPr>
        <w:pStyle w:val="10"/>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lang w:val="ro-RO" w:eastAsia="ro-RO" w:bidi="ro-RO"/>
        </w:rPr>
      </w:pPr>
    </w:p>
    <w:p>
      <w:pPr>
        <w:pStyle w:val="10"/>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lang w:val="ro-RO"/>
        </w:rPr>
      </w:pPr>
      <w:r>
        <w:rPr>
          <w:rFonts w:ascii="Trebuchet MS" w:hAnsi="Trebuchet MS" w:cs="Trebuchet MS"/>
          <w:sz w:val="24"/>
          <w:lang w:val="ro-RO" w:eastAsia="ro-RO" w:bidi="ro-RO"/>
        </w:rPr>
        <w:t xml:space="preserve">De asemenea, organele de conducere ale </w:t>
      </w:r>
      <w:r>
        <w:rPr>
          <w:rFonts w:ascii="Trebuchet MS" w:hAnsi="Trebuchet MS" w:cs="Trebuchet MS"/>
          <w:sz w:val="24"/>
          <w:lang w:val="ro-RO"/>
        </w:rPr>
        <w:t>F.N.G.C.I.M.M. S.A. – IFN</w:t>
      </w:r>
      <w:r>
        <w:rPr>
          <w:rFonts w:ascii="Trebuchet MS" w:hAnsi="Trebuchet MS" w:cs="Trebuchet MS"/>
          <w:sz w:val="24"/>
          <w:lang w:val="ro-RO" w:eastAsia="ro-RO" w:bidi="ro-RO"/>
        </w:rPr>
        <w:t xml:space="preserve"> se pot orienta, fără a se limita, înspre identificarea de noi forme de finanțare a clienților, venind în întâmpinarea acestora cu o ofertă diversificată de produse și servicii de calitate.</w:t>
      </w:r>
    </w:p>
    <w:p>
      <w:pPr>
        <w:pStyle w:val="10"/>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lang w:val="ro-RO" w:eastAsia="ro-RO" w:bidi="ro-RO"/>
        </w:rPr>
      </w:pPr>
    </w:p>
    <w:p>
      <w:pPr>
        <w:pStyle w:val="10"/>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lang w:val="ro-RO"/>
        </w:rPr>
      </w:pPr>
      <w:r>
        <w:rPr>
          <w:rFonts w:ascii="Trebuchet MS" w:hAnsi="Trebuchet MS" w:cs="Trebuchet MS"/>
          <w:sz w:val="24"/>
          <w:lang w:val="ro-RO" w:eastAsia="ro-RO" w:bidi="ro-RO"/>
        </w:rPr>
        <w:t xml:space="preserve">Acționarul este conștient cu privire la importanța calității și siguranței serviciilor furnizate de către </w:t>
      </w:r>
      <w:r>
        <w:rPr>
          <w:rFonts w:ascii="Trebuchet MS" w:hAnsi="Trebuchet MS" w:cs="Trebuchet MS"/>
          <w:sz w:val="24"/>
          <w:lang w:val="ro-RO"/>
        </w:rPr>
        <w:t>F.N.G.C.I.M.M. S.A. – IFN</w:t>
      </w:r>
      <w:r>
        <w:rPr>
          <w:rFonts w:ascii="Trebuchet MS" w:hAnsi="Trebuchet MS" w:cs="Trebuchet MS"/>
          <w:sz w:val="24"/>
          <w:lang w:val="ro-RO" w:eastAsia="ro-RO" w:bidi="ro-RO"/>
        </w:rPr>
        <w:t xml:space="preserve">, în condițiile în care aceasta îsi desfășoară activitatea într-un mediu concurențial/competitiv. Strategia </w:t>
      </w:r>
      <w:r>
        <w:rPr>
          <w:rFonts w:ascii="Trebuchet MS" w:hAnsi="Trebuchet MS" w:cs="Trebuchet MS"/>
          <w:sz w:val="24"/>
          <w:lang w:val="ro-RO"/>
        </w:rPr>
        <w:t>F.N.G.C.I.M.M. S.A. – IFN</w:t>
      </w:r>
      <w:r>
        <w:rPr>
          <w:rFonts w:ascii="Trebuchet MS" w:hAnsi="Trebuchet MS" w:cs="Trebuchet MS"/>
          <w:sz w:val="24"/>
          <w:lang w:val="ro-RO" w:eastAsia="ro-RO" w:bidi="ro-RO"/>
        </w:rPr>
        <w:t xml:space="preserve"> trebuie să rămână apropiată cerințelor clientului, cu orientarea acesteia înspre oferirea de produse și servicii financiare diverse și de calitate, însoțită de o promovare corespunzătoare în </w:t>
      </w:r>
      <w:r>
        <w:rPr>
          <w:rFonts w:ascii="Trebuchet MS" w:hAnsi="Trebuchet MS" w:cs="Trebuchet MS"/>
          <w:sz w:val="24"/>
          <w:lang w:val="ro-RO" w:eastAsia="en-US" w:bidi="en-US"/>
        </w:rPr>
        <w:t xml:space="preserve">mass </w:t>
      </w:r>
      <w:r>
        <w:rPr>
          <w:rFonts w:ascii="Trebuchet MS" w:hAnsi="Trebuchet MS" w:cs="Trebuchet MS"/>
          <w:sz w:val="24"/>
          <w:lang w:val="ro-RO" w:eastAsia="ro-RO" w:bidi="ro-RO"/>
        </w:rPr>
        <w:t>media, prin toate formele de publicitate.</w:t>
      </w:r>
    </w:p>
    <w:p>
      <w:pPr>
        <w:pStyle w:val="10"/>
        <w:pageBreakBefore w:val="0"/>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lang w:val="ro-RO" w:eastAsia="ro-RO" w:bidi="ro-RO"/>
        </w:rPr>
      </w:pPr>
    </w:p>
    <w:p>
      <w:pPr>
        <w:pStyle w:val="10"/>
        <w:pageBreakBefore w:val="0"/>
        <w:tabs>
          <w:tab w:val="left" w:pos="0"/>
        </w:tabs>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lang w:val="ro-RO"/>
        </w:rPr>
      </w:pPr>
      <w:r>
        <w:rPr>
          <w:rFonts w:ascii="Trebuchet MS" w:hAnsi="Trebuchet MS" w:cs="Trebuchet MS"/>
          <w:sz w:val="24"/>
          <w:lang w:val="ro-RO" w:eastAsia="ro-RO" w:bidi="ro-RO"/>
        </w:rPr>
        <w:t xml:space="preserve">Având în vedere că activitatea de garantare deține o pondere de 100% în activitatea desfășurată de </w:t>
      </w:r>
      <w:r>
        <w:rPr>
          <w:rFonts w:ascii="Trebuchet MS" w:hAnsi="Trebuchet MS" w:cs="Trebuchet MS"/>
          <w:sz w:val="24"/>
          <w:lang w:val="ro-RO"/>
        </w:rPr>
        <w:t>F.N.G.C.I.M.M. S.A. – IFN</w:t>
      </w:r>
      <w:r>
        <w:rPr>
          <w:rFonts w:ascii="Trebuchet MS" w:hAnsi="Trebuchet MS" w:cs="Trebuchet MS"/>
          <w:sz w:val="24"/>
          <w:lang w:val="ro-RO" w:eastAsia="ro-RO" w:bidi="ro-RO"/>
        </w:rPr>
        <w:t xml:space="preserve">, eficientizarea sistemului de administrare a riscului de credit generează efecte pozitive atât pentru </w:t>
      </w:r>
      <w:r>
        <w:rPr>
          <w:rFonts w:ascii="Trebuchet MS" w:hAnsi="Trebuchet MS" w:cs="Trebuchet MS"/>
          <w:sz w:val="24"/>
          <w:lang w:val="ro-RO"/>
        </w:rPr>
        <w:t>F.N.G.C.I.M.M. S.A. – IFN</w:t>
      </w:r>
      <w:r>
        <w:rPr>
          <w:rFonts w:ascii="Trebuchet MS" w:hAnsi="Trebuchet MS" w:cs="Trebuchet MS"/>
          <w:sz w:val="24"/>
          <w:lang w:val="ro-RO" w:eastAsia="ro-RO" w:bidi="ro-RO"/>
        </w:rPr>
        <w:t xml:space="preserve">, cât și pentru clientela sa. Pentru </w:t>
      </w:r>
      <w:r>
        <w:rPr>
          <w:rFonts w:ascii="Trebuchet MS" w:hAnsi="Trebuchet MS" w:cs="Trebuchet MS"/>
          <w:sz w:val="24"/>
          <w:lang w:val="ro-RO"/>
        </w:rPr>
        <w:t>F.N.G.C.I.M.M. S.A. – IFN</w:t>
      </w:r>
      <w:r>
        <w:rPr>
          <w:rFonts w:ascii="Trebuchet MS" w:hAnsi="Trebuchet MS" w:cs="Trebuchet MS"/>
          <w:sz w:val="24"/>
          <w:lang w:val="ro-RO" w:eastAsia="ro-RO" w:bidi="ro-RO"/>
        </w:rPr>
        <w:t>, duce la diminuarea nivelului ajustărilor pentru depreciere aferente garantării creditelor neperformante, optimizarea veniturilor și cheltuielilor previzionate la întocmirea bugetului de venituri și cheltuieli, precum și la diminuarea volatilității rezultatelor financiare. Pentru clientelă, efectele pozitive constau în optimizarea costurilor, sporirea calității, a gradului de diversificare a serviciilor și produselor și a operativității prestării lor, majorarea gradului de protecție a intereselor clientelei.</w:t>
      </w:r>
    </w:p>
    <w:p>
      <w:pPr>
        <w:pStyle w:val="10"/>
        <w:pageBreakBefore w:val="0"/>
        <w:tabs>
          <w:tab w:val="left" w:pos="0"/>
        </w:tabs>
        <w:kinsoku/>
        <w:wordWrap/>
        <w:overflowPunct/>
        <w:topLinePunct w:val="0"/>
        <w:bidi w:val="0"/>
        <w:snapToGrid/>
        <w:spacing w:after="0" w:line="240" w:lineRule="auto"/>
        <w:ind w:left="-240" w:leftChars="-100" w:right="-334" w:rightChars="-139"/>
        <w:jc w:val="both"/>
        <w:textAlignment w:val="auto"/>
        <w:rPr>
          <w:rFonts w:ascii="Trebuchet MS" w:hAnsi="Trebuchet MS" w:cs="Trebuchet MS"/>
          <w:sz w:val="24"/>
          <w:lang w:val="ro-RO"/>
        </w:rPr>
      </w:pPr>
    </w:p>
    <w:p>
      <w:pPr>
        <w:pStyle w:val="10"/>
        <w:pageBreakBefore w:val="0"/>
        <w:tabs>
          <w:tab w:val="left" w:pos="0"/>
          <w:tab w:val="left" w:pos="360"/>
        </w:tabs>
        <w:kinsoku/>
        <w:wordWrap/>
        <w:overflowPunct/>
        <w:topLinePunct w:val="0"/>
        <w:bidi w:val="0"/>
        <w:snapToGrid/>
        <w:spacing w:after="0" w:line="240" w:lineRule="auto"/>
        <w:ind w:left="-240" w:leftChars="-100" w:right="-334" w:rightChars="-139"/>
        <w:jc w:val="both"/>
        <w:textAlignment w:val="auto"/>
        <w:rPr>
          <w:rFonts w:ascii="Trebuchet MS" w:hAnsi="Trebuchet MS" w:cs="Trebuchet MS"/>
          <w:b/>
          <w:bCs/>
          <w:sz w:val="24"/>
          <w:lang w:val="ro-RO"/>
        </w:rPr>
      </w:pPr>
      <w:r>
        <w:rPr>
          <w:rFonts w:ascii="Trebuchet MS" w:hAnsi="Trebuchet MS" w:cs="Trebuchet MS"/>
          <w:b/>
          <w:bCs/>
          <w:sz w:val="24"/>
          <w:lang w:val="ro-RO" w:eastAsia="ro-RO" w:bidi="ro-RO"/>
        </w:rPr>
        <w:t xml:space="preserve">6. Evoluția performanțelor </w:t>
      </w:r>
      <w:r>
        <w:rPr>
          <w:rFonts w:ascii="Trebuchet MS" w:hAnsi="Trebuchet MS" w:cs="Trebuchet MS"/>
          <w:b/>
          <w:bCs/>
          <w:sz w:val="24"/>
          <w:lang w:val="ro-RO"/>
        </w:rPr>
        <w:t>F.N.G.C.I.M.M. S.A. – IFN</w:t>
      </w:r>
      <w:r>
        <w:rPr>
          <w:rFonts w:ascii="Trebuchet MS" w:hAnsi="Trebuchet MS" w:cs="Trebuchet MS"/>
          <w:b/>
          <w:bCs/>
          <w:sz w:val="24"/>
          <w:lang w:val="ro-RO" w:eastAsia="ro-RO" w:bidi="ro-RO"/>
        </w:rPr>
        <w:t xml:space="preserve"> S.A. în contextul sectorului financiar din România</w:t>
      </w:r>
    </w:p>
    <w:p>
      <w:pPr>
        <w:pStyle w:val="10"/>
        <w:pageBreakBefore w:val="0"/>
        <w:tabs>
          <w:tab w:val="left" w:pos="0"/>
          <w:tab w:val="left" w:pos="360"/>
        </w:tabs>
        <w:kinsoku/>
        <w:wordWrap/>
        <w:overflowPunct/>
        <w:topLinePunct w:val="0"/>
        <w:bidi w:val="0"/>
        <w:snapToGrid/>
        <w:spacing w:after="0" w:line="240" w:lineRule="auto"/>
        <w:ind w:left="-240" w:leftChars="-100" w:right="-334" w:rightChars="-139"/>
        <w:textAlignment w:val="auto"/>
        <w:rPr>
          <w:rFonts w:ascii="Trebuchet MS" w:hAnsi="Trebuchet MS" w:cs="Trebuchet MS"/>
          <w:b/>
          <w:bCs/>
          <w:sz w:val="24"/>
          <w:lang w:val="ro-RO"/>
        </w:rPr>
      </w:pPr>
    </w:p>
    <w:p>
      <w:pPr>
        <w:pStyle w:val="260"/>
        <w:keepNext/>
        <w:keepLines/>
        <w:pageBreakBefore w:val="0"/>
        <w:numPr>
          <w:ilvl w:val="0"/>
          <w:numId w:val="9"/>
        </w:numPr>
        <w:shd w:val="clear" w:color="auto" w:fill="auto"/>
        <w:tabs>
          <w:tab w:val="left" w:pos="0"/>
          <w:tab w:val="left" w:pos="337"/>
        </w:tabs>
        <w:kinsoku/>
        <w:wordWrap/>
        <w:overflowPunct/>
        <w:topLinePunct w:val="0"/>
        <w:bidi w:val="0"/>
        <w:snapToGrid/>
        <w:spacing w:after="0" w:line="240" w:lineRule="auto"/>
        <w:ind w:left="-240" w:leftChars="-100" w:right="-334" w:rightChars="-139"/>
        <w:jc w:val="both"/>
        <w:textAlignment w:val="auto"/>
        <w:rPr>
          <w:rFonts w:ascii="Trebuchet MS" w:hAnsi="Trebuchet MS" w:cs="Trebuchet MS"/>
          <w:i/>
          <w:iCs/>
          <w:sz w:val="24"/>
          <w:szCs w:val="24"/>
          <w:highlight w:val="none"/>
          <w:lang w:val="ro-RO"/>
        </w:rPr>
      </w:pPr>
      <w:bookmarkStart w:id="20" w:name="bookmark19"/>
      <w:bookmarkStart w:id="21" w:name="bookmark18"/>
      <w:r>
        <w:rPr>
          <w:rFonts w:hint="default" w:ascii="Trebuchet MS" w:hAnsi="Trebuchet MS" w:cs="Trebuchet MS"/>
          <w:i/>
          <w:iCs/>
          <w:sz w:val="24"/>
          <w:szCs w:val="24"/>
          <w:highlight w:val="none"/>
          <w:lang w:val="en-US" w:eastAsia="ro-RO" w:bidi="ro-RO"/>
        </w:rPr>
        <w:t xml:space="preserve"> </w:t>
      </w:r>
      <w:r>
        <w:rPr>
          <w:rFonts w:ascii="Trebuchet MS" w:hAnsi="Trebuchet MS" w:cs="Trebuchet MS"/>
          <w:i/>
          <w:iCs/>
          <w:sz w:val="24"/>
          <w:szCs w:val="24"/>
          <w:highlight w:val="none"/>
          <w:lang w:val="ro-RO" w:eastAsia="ro-RO" w:bidi="ro-RO"/>
        </w:rPr>
        <w:t xml:space="preserve">Considerații privind evoluția </w:t>
      </w:r>
      <w:bookmarkEnd w:id="20"/>
      <w:bookmarkEnd w:id="21"/>
      <w:r>
        <w:rPr>
          <w:rFonts w:ascii="Trebuchet MS" w:hAnsi="Trebuchet MS" w:cs="Trebuchet MS"/>
          <w:i/>
          <w:iCs/>
          <w:sz w:val="24"/>
          <w:szCs w:val="24"/>
          <w:highlight w:val="none"/>
          <w:lang w:val="ro-RO"/>
        </w:rPr>
        <w:t>F.N.G.C.I.M.M. S.A. – IFN</w:t>
      </w:r>
      <w:r>
        <w:rPr>
          <w:rFonts w:ascii="Trebuchet MS" w:hAnsi="Trebuchet MS" w:cs="Trebuchet MS"/>
          <w:i/>
          <w:iCs/>
          <w:sz w:val="24"/>
          <w:szCs w:val="24"/>
          <w:highlight w:val="none"/>
          <w:lang w:val="ro-RO" w:eastAsia="ro-RO" w:bidi="ro-RO"/>
        </w:rPr>
        <w:t xml:space="preserve"> S.A</w:t>
      </w:r>
    </w:p>
    <w:p>
      <w:pPr>
        <w:pStyle w:val="260"/>
        <w:keepNext/>
        <w:keepLines/>
        <w:pageBreakBefore w:val="0"/>
        <w:shd w:val="clear" w:color="auto" w:fill="auto"/>
        <w:tabs>
          <w:tab w:val="left" w:pos="0"/>
          <w:tab w:val="left" w:pos="337"/>
        </w:tabs>
        <w:kinsoku/>
        <w:wordWrap/>
        <w:overflowPunct/>
        <w:topLinePunct w:val="0"/>
        <w:bidi w:val="0"/>
        <w:snapToGrid/>
        <w:spacing w:after="0" w:line="240" w:lineRule="auto"/>
        <w:ind w:left="-240" w:leftChars="-100" w:right="-334" w:rightChars="-139"/>
        <w:jc w:val="both"/>
        <w:textAlignment w:val="auto"/>
        <w:rPr>
          <w:rFonts w:ascii="Trebuchet MS" w:hAnsi="Trebuchet MS" w:cs="Trebuchet MS"/>
          <w:i/>
          <w:iCs/>
          <w:sz w:val="24"/>
          <w:szCs w:val="24"/>
          <w:highlight w:val="none"/>
          <w:lang w:val="ro-RO"/>
        </w:rPr>
      </w:pPr>
    </w:p>
    <w:p>
      <w:pPr>
        <w:pageBreakBefore w:val="0"/>
        <w:tabs>
          <w:tab w:val="left" w:pos="0"/>
        </w:tabs>
        <w:kinsoku/>
        <w:wordWrap/>
        <w:overflowPunct/>
        <w:topLinePunct w:val="0"/>
        <w:bidi w:val="0"/>
        <w:snapToGrid/>
        <w:spacing w:after="0" w:line="240" w:lineRule="auto"/>
        <w:ind w:left="-240" w:leftChars="-100" w:right="-334" w:rightChars="-139"/>
        <w:jc w:val="both"/>
        <w:textAlignment w:val="auto"/>
        <w:rPr>
          <w:rFonts w:ascii="Trebuchet MS" w:hAnsi="Trebuchet MS" w:cs="Trebuchet MS"/>
          <w:highlight w:val="none"/>
          <w:lang w:val="ro-RO"/>
        </w:rPr>
      </w:pPr>
      <w:r>
        <w:rPr>
          <w:rFonts w:ascii="Trebuchet MS" w:hAnsi="Trebuchet MS" w:cs="Trebuchet MS"/>
          <w:highlight w:val="none"/>
          <w:lang w:val="ro-RO"/>
        </w:rPr>
        <w:t xml:space="preserve">Prin valoarea capitalurilor proprii, complexitatea și volumul activităților de garantare pe care o desfășoară, precum și rețelei teritoriale care acoperă întreg teritoriul țării, FNGCIMM SA-IFN este cea mai reprezentativă instituţie financiară care funcţionează în România în scopul garantării creditelor. </w:t>
      </w:r>
    </w:p>
    <w:p>
      <w:pPr>
        <w:pageBreakBefore w:val="0"/>
        <w:tabs>
          <w:tab w:val="left" w:pos="0"/>
        </w:tabs>
        <w:kinsoku/>
        <w:wordWrap/>
        <w:overflowPunct/>
        <w:topLinePunct w:val="0"/>
        <w:bidi w:val="0"/>
        <w:snapToGrid/>
        <w:spacing w:after="0" w:line="240" w:lineRule="auto"/>
        <w:ind w:left="-240" w:leftChars="-100" w:right="-334" w:rightChars="-139"/>
        <w:jc w:val="both"/>
        <w:textAlignment w:val="auto"/>
        <w:rPr>
          <w:rFonts w:ascii="Trebuchet MS" w:hAnsi="Trebuchet MS" w:cs="Trebuchet MS"/>
          <w:highlight w:val="none"/>
          <w:lang w:val="ro-RO"/>
        </w:rPr>
      </w:pPr>
    </w:p>
    <w:p>
      <w:pPr>
        <w:pageBreakBefore w:val="0"/>
        <w:tabs>
          <w:tab w:val="left" w:pos="0"/>
        </w:tabs>
        <w:kinsoku/>
        <w:wordWrap/>
        <w:overflowPunct/>
        <w:topLinePunct w:val="0"/>
        <w:bidi w:val="0"/>
        <w:snapToGrid/>
        <w:spacing w:after="0" w:line="240" w:lineRule="auto"/>
        <w:ind w:left="-240" w:leftChars="-100" w:right="-334" w:rightChars="-139"/>
        <w:jc w:val="both"/>
        <w:textAlignment w:val="auto"/>
        <w:rPr>
          <w:rFonts w:ascii="Trebuchet MS" w:hAnsi="Trebuchet MS" w:cs="Trebuchet MS"/>
          <w:highlight w:val="none"/>
          <w:lang w:val="ro-RO"/>
        </w:rPr>
      </w:pPr>
      <w:r>
        <w:rPr>
          <w:rFonts w:ascii="Trebuchet MS" w:hAnsi="Trebuchet MS" w:cs="Trebuchet MS"/>
          <w:highlight w:val="none"/>
          <w:lang w:val="ro-RO"/>
        </w:rPr>
        <w:t>De la data de 31.05.2002, când a fost emisă prima garanție de către FNGCIMM, activitatea Fondului s-a dezvoltat, în sensul lărgirii categoriilor de beneficiari (IMM-uri, persoane fizice, UAT-uri), diversificării surselor de finanțare a garanțiilor acordate de Fond (fonduri proprii, surse în administrare și programe guvernamentale în care FNGCIMM a fost mandatat de MF să acorde garanții în numele și contul stat) și îmbunătățirii caracteristicilor produselor de garantare.</w:t>
      </w:r>
    </w:p>
    <w:p>
      <w:pPr>
        <w:pageBreakBefore w:val="0"/>
        <w:tabs>
          <w:tab w:val="left" w:pos="0"/>
        </w:tabs>
        <w:kinsoku/>
        <w:wordWrap/>
        <w:overflowPunct/>
        <w:topLinePunct w:val="0"/>
        <w:bidi w:val="0"/>
        <w:snapToGrid/>
        <w:spacing w:after="0" w:line="240" w:lineRule="auto"/>
        <w:ind w:left="-240" w:leftChars="-100" w:right="-334" w:rightChars="-139"/>
        <w:jc w:val="both"/>
        <w:textAlignment w:val="auto"/>
        <w:rPr>
          <w:rFonts w:ascii="Trebuchet MS" w:hAnsi="Trebuchet MS" w:cs="Trebuchet MS"/>
          <w:highlight w:val="none"/>
          <w:lang w:val="ro-RO"/>
        </w:rPr>
      </w:pPr>
    </w:p>
    <w:p>
      <w:pPr>
        <w:pageBreakBefore w:val="0"/>
        <w:tabs>
          <w:tab w:val="left" w:pos="0"/>
        </w:tabs>
        <w:kinsoku/>
        <w:wordWrap/>
        <w:overflowPunct/>
        <w:topLinePunct w:val="0"/>
        <w:bidi w:val="0"/>
        <w:snapToGrid/>
        <w:spacing w:after="0" w:line="240" w:lineRule="auto"/>
        <w:ind w:left="-240" w:leftChars="-100" w:right="-334" w:rightChars="-139"/>
        <w:jc w:val="both"/>
        <w:textAlignment w:val="auto"/>
        <w:rPr>
          <w:rFonts w:ascii="Trebuchet MS" w:hAnsi="Trebuchet MS" w:cs="Trebuchet MS"/>
          <w:highlight w:val="none"/>
          <w:lang w:val="ro-RO"/>
        </w:rPr>
      </w:pPr>
      <w:r>
        <w:rPr>
          <w:rFonts w:ascii="Trebuchet MS" w:hAnsi="Trebuchet MS" w:cs="Trebuchet MS"/>
          <w:highlight w:val="none"/>
          <w:lang w:val="ro-RO"/>
        </w:rPr>
        <w:t>Evoluția activității de garantare a FNGCIMM este prezentată în tabelul următor:</w:t>
      </w:r>
    </w:p>
    <w:p>
      <w:pPr>
        <w:pStyle w:val="10"/>
        <w:keepNext w:val="0"/>
        <w:keepLines w:val="0"/>
        <w:pageBreakBefore w:val="0"/>
        <w:widowControl/>
        <w:tabs>
          <w:tab w:val="left" w:pos="0"/>
        </w:tabs>
        <w:kinsoku/>
        <w:wordWrap/>
        <w:overflowPunct/>
        <w:topLinePunct w:val="0"/>
        <w:autoSpaceDE/>
        <w:autoSpaceDN/>
        <w:bidi w:val="0"/>
        <w:adjustRightInd/>
        <w:snapToGrid/>
        <w:ind w:left="-240" w:leftChars="-100" w:right="-334" w:rightChars="-139" w:firstLine="0" w:firstLineChars="0"/>
        <w:jc w:val="both"/>
        <w:textAlignment w:val="auto"/>
        <w:rPr>
          <w:rFonts w:hint="default" w:ascii="Trebuchet MS" w:hAnsi="Trebuchet MS" w:cs="Trebuchet MS"/>
          <w:color w:val="000000"/>
          <w:sz w:val="24"/>
          <w:szCs w:val="24"/>
          <w:lang w:val="ro-RO" w:eastAsia="ro-RO" w:bidi="ro-RO"/>
        </w:rPr>
      </w:pPr>
    </w:p>
    <w:p>
      <w:pPr>
        <w:pStyle w:val="10"/>
        <w:keepNext w:val="0"/>
        <w:keepLines w:val="0"/>
        <w:pageBreakBefore w:val="0"/>
        <w:widowControl/>
        <w:tabs>
          <w:tab w:val="left" w:pos="0"/>
        </w:tabs>
        <w:kinsoku/>
        <w:wordWrap/>
        <w:overflowPunct/>
        <w:topLinePunct w:val="0"/>
        <w:autoSpaceDE/>
        <w:autoSpaceDN/>
        <w:bidi w:val="0"/>
        <w:adjustRightInd/>
        <w:snapToGrid/>
        <w:ind w:left="-240" w:leftChars="-100" w:right="-334" w:rightChars="-139" w:firstLine="0" w:firstLineChars="0"/>
        <w:jc w:val="both"/>
        <w:textAlignment w:val="auto"/>
      </w:pPr>
    </w:p>
    <w:p>
      <w:pPr>
        <w:pStyle w:val="10"/>
        <w:keepNext w:val="0"/>
        <w:keepLines w:val="0"/>
        <w:pageBreakBefore w:val="0"/>
        <w:widowControl/>
        <w:tabs>
          <w:tab w:val="left" w:pos="0"/>
        </w:tabs>
        <w:kinsoku/>
        <w:wordWrap/>
        <w:overflowPunct/>
        <w:topLinePunct w:val="0"/>
        <w:autoSpaceDE/>
        <w:autoSpaceDN/>
        <w:bidi w:val="0"/>
        <w:adjustRightInd/>
        <w:snapToGrid/>
        <w:ind w:left="-240" w:leftChars="-100" w:right="-334" w:rightChars="-139" w:firstLine="0" w:firstLineChars="0"/>
        <w:jc w:val="both"/>
        <w:textAlignment w:val="auto"/>
      </w:pPr>
    </w:p>
    <w:p>
      <w:pPr>
        <w:pStyle w:val="10"/>
        <w:keepNext w:val="0"/>
        <w:keepLines w:val="0"/>
        <w:pageBreakBefore w:val="0"/>
        <w:widowControl/>
        <w:tabs>
          <w:tab w:val="left" w:pos="0"/>
        </w:tabs>
        <w:kinsoku/>
        <w:wordWrap/>
        <w:overflowPunct/>
        <w:topLinePunct w:val="0"/>
        <w:autoSpaceDE/>
        <w:autoSpaceDN/>
        <w:bidi w:val="0"/>
        <w:adjustRightInd/>
        <w:snapToGrid/>
        <w:ind w:left="-240" w:leftChars="-100" w:right="-334" w:rightChars="-139" w:firstLine="0" w:firstLineChars="0"/>
        <w:jc w:val="both"/>
        <w:textAlignment w:val="auto"/>
      </w:pPr>
    </w:p>
    <w:p>
      <w:pPr>
        <w:pStyle w:val="10"/>
        <w:keepNext w:val="0"/>
        <w:keepLines w:val="0"/>
        <w:pageBreakBefore w:val="0"/>
        <w:widowControl/>
        <w:tabs>
          <w:tab w:val="left" w:pos="0"/>
        </w:tabs>
        <w:kinsoku/>
        <w:wordWrap/>
        <w:overflowPunct/>
        <w:topLinePunct w:val="0"/>
        <w:autoSpaceDE/>
        <w:autoSpaceDN/>
        <w:bidi w:val="0"/>
        <w:adjustRightInd/>
        <w:snapToGrid/>
        <w:ind w:left="-240" w:leftChars="-100" w:right="-334" w:rightChars="-139" w:firstLine="0" w:firstLineChars="0"/>
        <w:jc w:val="both"/>
        <w:textAlignment w:val="auto"/>
      </w:pPr>
      <w:r>
        <w:drawing>
          <wp:inline distT="0" distB="0" distL="0" distR="0">
            <wp:extent cx="5731510" cy="4276090"/>
            <wp:effectExtent l="0" t="0" r="2540" b="1016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734856" cy="4279074"/>
                    </a:xfrm>
                    <a:prstGeom prst="rect">
                      <a:avLst/>
                    </a:prstGeom>
                    <a:noFill/>
                    <a:ln>
                      <a:noFill/>
                    </a:ln>
                  </pic:spPr>
                </pic:pic>
              </a:graphicData>
            </a:graphic>
          </wp:inline>
        </w:drawing>
      </w:r>
    </w:p>
    <w:p>
      <w:pPr>
        <w:pStyle w:val="10"/>
        <w:keepNext w:val="0"/>
        <w:keepLines w:val="0"/>
        <w:pageBreakBefore w:val="0"/>
        <w:widowControl/>
        <w:tabs>
          <w:tab w:val="left" w:pos="0"/>
        </w:tabs>
        <w:kinsoku/>
        <w:wordWrap/>
        <w:overflowPunct/>
        <w:topLinePunct w:val="0"/>
        <w:autoSpaceDE/>
        <w:autoSpaceDN/>
        <w:bidi w:val="0"/>
        <w:adjustRightInd/>
        <w:snapToGrid/>
        <w:ind w:left="-240" w:leftChars="-100" w:right="-334" w:rightChars="-139" w:firstLine="0" w:firstLineChars="0"/>
        <w:jc w:val="both"/>
        <w:textAlignment w:val="auto"/>
      </w:pPr>
    </w:p>
    <w:p>
      <w:pPr>
        <w:pStyle w:val="10"/>
        <w:keepNext w:val="0"/>
        <w:keepLines w:val="0"/>
        <w:pageBreakBefore w:val="0"/>
        <w:widowControl/>
        <w:tabs>
          <w:tab w:val="left" w:pos="0"/>
        </w:tabs>
        <w:kinsoku/>
        <w:wordWrap/>
        <w:overflowPunct/>
        <w:topLinePunct w:val="0"/>
        <w:autoSpaceDE/>
        <w:autoSpaceDN/>
        <w:bidi w:val="0"/>
        <w:adjustRightInd/>
        <w:snapToGrid/>
        <w:ind w:left="-240" w:leftChars="-100" w:right="-334" w:rightChars="-139" w:firstLine="0" w:firstLineChars="0"/>
        <w:jc w:val="both"/>
        <w:textAlignment w:val="auto"/>
      </w:pPr>
    </w:p>
    <w:p>
      <w:pPr>
        <w:spacing w:after="40"/>
        <w:ind w:left="-240" w:leftChars="-100" w:firstLine="0" w:firstLineChars="0"/>
        <w:jc w:val="both"/>
        <w:rPr>
          <w:rFonts w:ascii="Trebuchet MS" w:hAnsi="Trebuchet MS" w:cs="Trebuchet MS"/>
          <w:sz w:val="20"/>
          <w:szCs w:val="20"/>
          <w:lang w:val="ro-RO"/>
        </w:rPr>
      </w:pPr>
      <w:r>
        <w:rPr>
          <w:rFonts w:ascii="Trebuchet MS" w:hAnsi="Trebuchet MS" w:cs="Trebuchet MS"/>
          <w:sz w:val="20"/>
          <w:szCs w:val="20"/>
          <w:lang w:val="ro-RO"/>
        </w:rPr>
        <w:t>Notă: Conform OUG nr. 37/2020, în anii 2020 și 2021, FNGCIMM nu a încasat comision pentru garanțiile acordate persoanelor fizice iar pentru garanțiile acordate persoanelor juridice a încasat pe perioada prelungirii garanției un comision egal în procent cu cel de la acordarea garanției.</w:t>
      </w:r>
    </w:p>
    <w:p>
      <w:pPr>
        <w:spacing w:line="276" w:lineRule="auto"/>
        <w:ind w:left="-240" w:leftChars="-100" w:firstLine="0" w:firstLineChars="0"/>
        <w:jc w:val="both"/>
        <w:rPr>
          <w:rFonts w:ascii="Trebuchet MS" w:hAnsi="Trebuchet MS" w:cs="Trebuchet MS"/>
          <w:lang w:val="ro-RO"/>
        </w:rPr>
      </w:pPr>
    </w:p>
    <w:p>
      <w:pPr>
        <w:spacing w:line="276" w:lineRule="auto"/>
        <w:ind w:left="-240" w:leftChars="-100" w:firstLine="0" w:firstLineChars="0"/>
        <w:jc w:val="both"/>
        <w:rPr>
          <w:rFonts w:ascii="Trebuchet MS" w:hAnsi="Trebuchet MS" w:cs="Trebuchet MS"/>
          <w:lang w:val="ro-RO"/>
        </w:rPr>
      </w:pPr>
      <w:r>
        <w:rPr>
          <w:rFonts w:ascii="Trebuchet MS" w:hAnsi="Trebuchet MS" w:cs="Trebuchet MS"/>
          <w:lang w:val="ro-RO"/>
        </w:rPr>
        <w:t>Din graficele următoare se poate observa creșterea istorică a numărului și valorii garanțiilor acordate de FNGCIMM ultimii 2 ani (2020-2021), față de perioada 2002 – 2019, precum și evoluția cifrei de afaceri și a profitului net în perioada 2012 – 2021.</w:t>
      </w:r>
    </w:p>
    <w:p>
      <w:pPr>
        <w:spacing w:line="276" w:lineRule="auto"/>
        <w:ind w:left="-240" w:leftChars="-100" w:firstLine="0" w:firstLineChars="0"/>
        <w:jc w:val="both"/>
        <w:rPr>
          <w:rFonts w:hint="default" w:ascii="Trebuchet MS" w:hAnsi="Trebuchet MS" w:cs="Trebuchet MS"/>
          <w:lang w:val="ro-RO"/>
        </w:rPr>
      </w:pPr>
    </w:p>
    <w:p>
      <w:pPr>
        <w:spacing w:line="276" w:lineRule="auto"/>
        <w:ind w:left="-240" w:leftChars="-100" w:firstLine="0" w:firstLineChars="0"/>
        <w:jc w:val="both"/>
        <w:rPr>
          <w:rFonts w:ascii="Trebuchet MS" w:hAnsi="Trebuchet MS" w:cs="Trebuchet MS"/>
          <w:lang w:val="ro-RO"/>
        </w:rPr>
      </w:pPr>
      <w:r>
        <w:rPr>
          <w:rFonts w:ascii="Trebuchet MS" w:hAnsi="Trebuchet MS" w:cs="Trebuchet MS"/>
          <w:lang w:val="ro-RO"/>
        </w:rPr>
        <w:drawing>
          <wp:inline distT="0" distB="0" distL="0" distR="0">
            <wp:extent cx="5805805" cy="1852295"/>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882650" cy="1877023"/>
                    </a:xfrm>
                    <a:prstGeom prst="rect">
                      <a:avLst/>
                    </a:prstGeom>
                    <a:noFill/>
                  </pic:spPr>
                </pic:pic>
              </a:graphicData>
            </a:graphic>
          </wp:inline>
        </w:drawing>
      </w:r>
    </w:p>
    <w:p>
      <w:pPr>
        <w:ind w:left="-240" w:leftChars="-100" w:firstLine="0" w:firstLineChars="0"/>
        <w:jc w:val="center"/>
        <w:rPr>
          <w:rFonts w:ascii="Trebuchet MS" w:hAnsi="Trebuchet MS"/>
          <w:lang w:val="ro-RO"/>
        </w:rPr>
      </w:pPr>
      <w:r>
        <w:rPr>
          <w:rFonts w:ascii="Trebuchet MS" w:hAnsi="Trebuchet MS"/>
          <w:lang w:val="ro-RO"/>
        </w:rPr>
        <w:drawing>
          <wp:inline distT="0" distB="0" distL="0" distR="0">
            <wp:extent cx="5838825" cy="17729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871092" cy="1782913"/>
                    </a:xfrm>
                    <a:prstGeom prst="rect">
                      <a:avLst/>
                    </a:prstGeom>
                    <a:noFill/>
                  </pic:spPr>
                </pic:pic>
              </a:graphicData>
            </a:graphic>
          </wp:inline>
        </w:drawing>
      </w:r>
    </w:p>
    <w:p>
      <w:pPr>
        <w:spacing w:after="0" w:line="240" w:lineRule="auto"/>
        <w:jc w:val="center"/>
        <w:rPr>
          <w:rFonts w:ascii="Trebuchet MS" w:hAnsi="Trebuchet MS"/>
          <w:lang w:val="ro-RO"/>
        </w:rPr>
      </w:pPr>
    </w:p>
    <w:p>
      <w:pPr>
        <w:ind w:left="-240" w:leftChars="-100" w:firstLine="0" w:firstLineChars="0"/>
        <w:jc w:val="center"/>
        <w:rPr>
          <w:rFonts w:ascii="Trebuchet MS" w:hAnsi="Trebuchet MS"/>
          <w:lang w:val="ro-RO"/>
        </w:rPr>
      </w:pPr>
      <w:r>
        <w:rPr>
          <w:rFonts w:ascii="Trebuchet MS" w:hAnsi="Trebuchet MS"/>
          <w:lang w:val="ro-RO"/>
        </w:rPr>
        <w:drawing>
          <wp:inline distT="0" distB="0" distL="0" distR="0">
            <wp:extent cx="5859780" cy="1532890"/>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890973" cy="1540963"/>
                    </a:xfrm>
                    <a:prstGeom prst="rect">
                      <a:avLst/>
                    </a:prstGeom>
                    <a:noFill/>
                  </pic:spPr>
                </pic:pic>
              </a:graphicData>
            </a:graphic>
          </wp:inline>
        </w:drawing>
      </w:r>
    </w:p>
    <w:p>
      <w:pPr>
        <w:spacing w:after="0"/>
        <w:jc w:val="center"/>
        <w:rPr>
          <w:rFonts w:ascii="Trebuchet MS" w:hAnsi="Trebuchet MS"/>
          <w:sz w:val="20"/>
          <w:szCs w:val="20"/>
          <w:lang w:val="ro-RO"/>
        </w:rPr>
      </w:pPr>
    </w:p>
    <w:p>
      <w:pPr>
        <w:ind w:left="-240" w:leftChars="-100" w:firstLine="0" w:firstLineChars="0"/>
        <w:jc w:val="center"/>
        <w:rPr>
          <w:rFonts w:ascii="Trebuchet MS" w:hAnsi="Trebuchet MS"/>
          <w:lang w:val="ro-RO"/>
        </w:rPr>
      </w:pPr>
      <w:r>
        <w:rPr>
          <w:rFonts w:ascii="Trebuchet MS" w:hAnsi="Trebuchet MS"/>
          <w:lang w:val="ro-RO"/>
        </w:rPr>
        <w:drawing>
          <wp:inline distT="0" distB="0" distL="0" distR="0">
            <wp:extent cx="5891530" cy="1371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23506" cy="1378954"/>
                    </a:xfrm>
                    <a:prstGeom prst="rect">
                      <a:avLst/>
                    </a:prstGeom>
                    <a:noFill/>
                  </pic:spPr>
                </pic:pic>
              </a:graphicData>
            </a:graphic>
          </wp:inline>
        </w:drawing>
      </w:r>
    </w:p>
    <w:p>
      <w:pPr>
        <w:rPr>
          <w:rFonts w:ascii="Trebuchet MS" w:hAnsi="Trebuchet MS"/>
          <w:b/>
          <w:lang w:val="ro-RO"/>
        </w:rPr>
      </w:pPr>
    </w:p>
    <w:p>
      <w:pPr>
        <w:ind w:left="-240" w:leftChars="-100" w:firstLine="0" w:firstLineChars="0"/>
        <w:rPr>
          <w:rFonts w:ascii="Trebuchet MS" w:hAnsi="Trebuchet MS"/>
          <w:b w:val="0"/>
          <w:bCs/>
          <w:lang w:val="ro-RO"/>
        </w:rPr>
      </w:pPr>
      <w:r>
        <w:rPr>
          <w:rFonts w:ascii="Trebuchet MS" w:hAnsi="Trebuchet MS"/>
          <w:b w:val="0"/>
          <w:bCs/>
          <w:lang w:val="ro-RO"/>
        </w:rPr>
        <w:t>Concluzii:</w:t>
      </w:r>
    </w:p>
    <w:p>
      <w:pPr>
        <w:numPr>
          <w:ilvl w:val="0"/>
          <w:numId w:val="10"/>
        </w:numPr>
        <w:suppressAutoHyphens w:val="0"/>
        <w:ind w:left="360"/>
        <w:jc w:val="both"/>
        <w:rPr>
          <w:rFonts w:ascii="Trebuchet MS" w:hAnsi="Trebuchet MS"/>
          <w:b w:val="0"/>
          <w:bCs/>
          <w:lang w:val="ro-RO"/>
        </w:rPr>
      </w:pPr>
      <w:r>
        <w:rPr>
          <w:rFonts w:ascii="Trebuchet MS" w:hAnsi="Trebuchet MS"/>
          <w:b w:val="0"/>
          <w:bCs/>
          <w:lang w:val="ro-RO"/>
        </w:rPr>
        <w:t>În anul 2020 au fost acordate 12,8% din numărul total de garanții acordate de FNGCIMM în 18 ani de activitate desfășurată în perioada 2002 – 2019;</w:t>
      </w:r>
    </w:p>
    <w:p>
      <w:pPr>
        <w:numPr>
          <w:ilvl w:val="0"/>
          <w:numId w:val="10"/>
        </w:numPr>
        <w:suppressAutoHyphens w:val="0"/>
        <w:ind w:left="360"/>
        <w:jc w:val="both"/>
        <w:rPr>
          <w:rFonts w:ascii="Trebuchet MS" w:hAnsi="Trebuchet MS"/>
          <w:b w:val="0"/>
          <w:bCs/>
          <w:lang w:val="ro-RO"/>
        </w:rPr>
      </w:pPr>
      <w:r>
        <w:rPr>
          <w:rFonts w:ascii="Trebuchet MS" w:hAnsi="Trebuchet MS"/>
          <w:b w:val="0"/>
          <w:bCs/>
          <w:lang w:val="ro-RO"/>
        </w:rPr>
        <w:t>Valoarea garanțiilor acordate în anul 2020 reprezintă 28,4% din valoarea tuturor garanțiilor acordate de FNGCIMM în 18 ani activitate desfășurată în perioada 2002 – 2019;</w:t>
      </w:r>
    </w:p>
    <w:p>
      <w:pPr>
        <w:numPr>
          <w:ilvl w:val="0"/>
          <w:numId w:val="10"/>
        </w:numPr>
        <w:suppressAutoHyphens w:val="0"/>
        <w:ind w:left="360"/>
        <w:jc w:val="both"/>
        <w:rPr>
          <w:rFonts w:ascii="Trebuchet MS" w:hAnsi="Trebuchet MS"/>
          <w:b w:val="0"/>
          <w:bCs/>
          <w:lang w:val="ro-RO"/>
        </w:rPr>
      </w:pPr>
      <w:r>
        <w:rPr>
          <w:rFonts w:ascii="Trebuchet MS" w:hAnsi="Trebuchet MS"/>
          <w:b w:val="0"/>
          <w:bCs/>
          <w:lang w:val="ro-RO"/>
        </w:rPr>
        <w:t>Valoarea garanțiilor acordate în anul 2021 se situează la nivelul anului precedent, însă la un volum superior de finanțări față de cel oferit de bănci în anul 2020.</w:t>
      </w:r>
    </w:p>
    <w:p>
      <w:pPr>
        <w:numPr>
          <w:ilvl w:val="0"/>
          <w:numId w:val="10"/>
        </w:numPr>
        <w:suppressAutoHyphens w:val="0"/>
        <w:spacing w:after="0" w:line="276" w:lineRule="auto"/>
        <w:ind w:left="360"/>
        <w:jc w:val="both"/>
        <w:rPr>
          <w:rFonts w:ascii="Trebuchet MS" w:hAnsi="Trebuchet MS"/>
          <w:b w:val="0"/>
          <w:bCs/>
          <w:lang w:val="ro-RO"/>
        </w:rPr>
      </w:pPr>
      <w:r>
        <w:rPr>
          <w:rFonts w:ascii="Trebuchet MS" w:hAnsi="Trebuchet MS"/>
          <w:b w:val="0"/>
          <w:bCs/>
          <w:lang w:val="ro-RO"/>
        </w:rPr>
        <w:t>Cifra de afaceri și profitul FNGCIMM a crescut constant.</w:t>
      </w:r>
    </w:p>
    <w:p>
      <w:pPr>
        <w:suppressAutoHyphens w:val="0"/>
        <w:spacing w:after="0" w:line="276" w:lineRule="auto"/>
        <w:ind w:left="360"/>
        <w:jc w:val="both"/>
        <w:rPr>
          <w:rFonts w:ascii="Trebuchet MS" w:hAnsi="Trebuchet MS"/>
          <w:b/>
          <w:highlight w:val="yellow"/>
          <w:lang w:val="ro-RO"/>
        </w:rPr>
      </w:pPr>
    </w:p>
    <w:p>
      <w:pPr>
        <w:spacing w:before="120"/>
        <w:ind w:left="-240" w:leftChars="-100" w:right="-334" w:rightChars="-139"/>
        <w:rPr>
          <w:rFonts w:ascii="Trebuchet MS" w:hAnsi="Trebuchet MS" w:cs="Trebuchet MS"/>
          <w:b/>
          <w:i/>
          <w:iCs/>
          <w:highlight w:val="none"/>
          <w:u w:val="single"/>
          <w:lang w:val="ro-RO"/>
        </w:rPr>
      </w:pPr>
      <w:r>
        <w:rPr>
          <w:rFonts w:ascii="Trebuchet MS" w:hAnsi="Trebuchet MS" w:cs="Trebuchet MS"/>
          <w:b/>
          <w:i/>
          <w:iCs/>
          <w:highlight w:val="none"/>
          <w:u w:val="single"/>
          <w:lang w:val="ro-RO"/>
        </w:rPr>
        <w:t>b)  Status FNGCIMM SA-IFN la data de 31.12.2021</w:t>
      </w:r>
    </w:p>
    <w:p>
      <w:pPr>
        <w:spacing w:after="0"/>
        <w:ind w:left="-240" w:leftChars="-100" w:right="-334" w:rightChars="-139"/>
        <w:rPr>
          <w:rFonts w:ascii="Trebuchet MS" w:hAnsi="Trebuchet MS" w:cs="Trebuchet MS"/>
          <w:b/>
          <w:highlight w:val="none"/>
          <w:u w:val="single"/>
          <w:lang w:val="ro-RO"/>
        </w:rPr>
      </w:pPr>
    </w:p>
    <w:p>
      <w:pPr>
        <w:pStyle w:val="10"/>
        <w:spacing w:after="120"/>
        <w:ind w:left="-240" w:leftChars="-100" w:right="-334" w:rightChars="-139"/>
        <w:jc w:val="both"/>
        <w:rPr>
          <w:rFonts w:ascii="Trebuchet MS" w:hAnsi="Trebuchet MS" w:cs="Trebuchet MS"/>
          <w:sz w:val="24"/>
          <w:highlight w:val="none"/>
          <w:lang w:val="ro-RO"/>
        </w:rPr>
      </w:pPr>
      <w:r>
        <w:rPr>
          <w:rFonts w:ascii="Trebuchet MS" w:hAnsi="Trebuchet MS" w:cs="Trebuchet MS"/>
          <w:sz w:val="24"/>
          <w:highlight w:val="none"/>
          <w:lang w:val="ro-RO"/>
        </w:rPr>
        <w:t>La data de 31.12.2019, FNGCIMM administra trei programe guvernamentale (Prima Casă, Investește în tine și Prima Mașină), adresate persoanelor fizice, acestea reprezentând aprox. 57% din cele 28.206 garanții emise în anul 2019, acorda garanții din surse proprii (Start-up Nation, OPTIMM, Plafon), precum și garanțiile și scrisorile de garanție acordate din surse în administrare (MADR).</w:t>
      </w:r>
    </w:p>
    <w:p>
      <w:pPr>
        <w:suppressAutoHyphens w:val="0"/>
        <w:spacing w:after="0"/>
        <w:ind w:left="-240" w:leftChars="-100" w:right="-334" w:rightChars="-139"/>
        <w:jc w:val="both"/>
        <w:rPr>
          <w:rFonts w:ascii="Trebuchet MS" w:hAnsi="Trebuchet MS" w:cs="Trebuchet MS"/>
          <w:b/>
          <w:lang w:val="ro-RO"/>
        </w:rPr>
      </w:pPr>
    </w:p>
    <w:p>
      <w:pPr>
        <w:spacing w:after="120"/>
        <w:ind w:left="-240" w:leftChars="-100" w:right="-334" w:rightChars="-139"/>
        <w:jc w:val="both"/>
        <w:rPr>
          <w:rFonts w:ascii="Trebuchet MS" w:hAnsi="Trebuchet MS" w:cs="Trebuchet MS"/>
          <w:lang w:val="ro-RO"/>
        </w:rPr>
      </w:pPr>
      <w:r>
        <w:rPr>
          <w:rFonts w:ascii="Trebuchet MS" w:hAnsi="Trebuchet MS" w:cs="Trebuchet MS"/>
          <w:lang w:val="ro-RO"/>
        </w:rPr>
        <w:t>În perioada ianuarie 2020 – decembrie 2021, activitatea de garantare desfășurată de FNGCIMM SA-IFN a avut o evoluție spectaculoasă, constând în creșterea cu 187% a numărului de garanții acordate și cu 449% a valorii garanțiilor acordate în 2020 față de perioada similară a anului 2019 și păstrarea ritmului în anul 2021, după cum se poate constata din tabelul și graficele următoare:</w:t>
      </w:r>
    </w:p>
    <w:p>
      <w:pPr>
        <w:spacing w:after="120"/>
        <w:ind w:left="-270" w:leftChars="-113" w:right="-334" w:rightChars="-139" w:hanging="1"/>
        <w:jc w:val="both"/>
        <w:rPr>
          <w:rFonts w:ascii="Trebuchet MS" w:hAnsi="Trebuchet MS" w:cs="Trebuchet MS"/>
          <w:lang w:val="ro-RO"/>
        </w:rPr>
      </w:pPr>
      <w:r>
        <w:drawing>
          <wp:inline distT="0" distB="0" distL="0" distR="0">
            <wp:extent cx="6089650" cy="4222115"/>
            <wp:effectExtent l="0" t="0" r="635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125844" cy="4247104"/>
                    </a:xfrm>
                    <a:prstGeom prst="rect">
                      <a:avLst/>
                    </a:prstGeom>
                    <a:noFill/>
                    <a:ln>
                      <a:noFill/>
                    </a:ln>
                  </pic:spPr>
                </pic:pic>
              </a:graphicData>
            </a:graphic>
          </wp:inline>
        </w:drawing>
      </w:r>
    </w:p>
    <w:p>
      <w:pPr>
        <w:spacing w:after="0"/>
        <w:ind w:firstLine="360"/>
        <w:jc w:val="both"/>
        <w:rPr>
          <w:rFonts w:ascii="Trebuchet MS" w:hAnsi="Trebuchet MS" w:cs="Arial"/>
          <w:lang w:val="ro-RO"/>
        </w:rPr>
      </w:pPr>
    </w:p>
    <w:p>
      <w:pPr>
        <w:ind w:left="-240" w:leftChars="-100" w:right="-334" w:rightChars="-139"/>
        <w:jc w:val="both"/>
        <w:rPr>
          <w:rFonts w:ascii="Trebuchet MS" w:hAnsi="Trebuchet MS" w:cs="Trebuchet MS"/>
          <w:lang w:val="ro-RO"/>
        </w:rPr>
      </w:pPr>
      <w:r>
        <w:rPr>
          <w:rFonts w:ascii="Trebuchet MS" w:hAnsi="Trebuchet MS" w:cs="Trebuchet MS"/>
          <w:lang w:val="ro-RO"/>
        </w:rPr>
        <w:drawing>
          <wp:inline distT="0" distB="0" distL="0" distR="0">
            <wp:extent cx="6089650" cy="1693545"/>
            <wp:effectExtent l="0" t="0" r="6350"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34468" cy="1705966"/>
                    </a:xfrm>
                    <a:prstGeom prst="rect">
                      <a:avLst/>
                    </a:prstGeom>
                    <a:noFill/>
                  </pic:spPr>
                </pic:pic>
              </a:graphicData>
            </a:graphic>
          </wp:inline>
        </w:drawing>
      </w:r>
    </w:p>
    <w:p>
      <w:pPr>
        <w:ind w:left="-240" w:leftChars="-100" w:right="-334" w:rightChars="-139"/>
        <w:jc w:val="both"/>
        <w:rPr>
          <w:rFonts w:ascii="Trebuchet MS" w:hAnsi="Trebuchet MS" w:cs="Trebuchet MS"/>
          <w:lang w:val="ro-RO"/>
        </w:rPr>
      </w:pPr>
    </w:p>
    <w:p>
      <w:pPr>
        <w:ind w:left="-240" w:leftChars="-100" w:right="-334" w:rightChars="-139"/>
        <w:jc w:val="both"/>
        <w:rPr>
          <w:rFonts w:ascii="Trebuchet MS" w:hAnsi="Trebuchet MS" w:cs="Trebuchet MS"/>
          <w:lang w:val="ro-RO"/>
        </w:rPr>
      </w:pPr>
      <w:r>
        <w:rPr>
          <w:rFonts w:ascii="Trebuchet MS" w:hAnsi="Trebuchet MS" w:cs="Trebuchet MS"/>
          <w:lang w:val="ro-RO"/>
        </w:rPr>
        <w:t xml:space="preserve">Rezultatele foarte bune obținute în ultimii 2 ani se datorează creșterii numărului de programe gestionate de FNGCIMM și preocupărilor de îmbunătățire a produselor de garantare de marcă ale FNGCIMM, bunei colaborări cu MADR care asigură fondurile din care FNGCIMM acordă garanții pentru agricultură și dezvoltare rurală, dar cel mai mult se bazează pe succesul celui mai mare program guvernamental din ultimii 30 de ani de sprijinire a accesului IMM-urilor la capital financiar </w:t>
      </w:r>
      <w:r>
        <w:rPr>
          <w:rFonts w:ascii="Trebuchet MS" w:hAnsi="Trebuchet MS" w:cs="Trebuchet MS"/>
          <w:b/>
          <w:bCs/>
          <w:lang w:val="ro-RO"/>
        </w:rPr>
        <w:t>IMM INVEST Romania, cu subProgramul AGRO IMM INVEST -</w:t>
      </w:r>
      <w:r>
        <w:rPr>
          <w:rFonts w:ascii="Trebuchet MS" w:hAnsi="Trebuchet MS" w:cs="Trebuchet MS"/>
          <w:lang w:val="ro-RO"/>
        </w:rPr>
        <w:t xml:space="preserve"> și al Programului </w:t>
      </w:r>
      <w:r>
        <w:rPr>
          <w:rFonts w:ascii="Trebuchet MS" w:hAnsi="Trebuchet MS" w:cs="Trebuchet MS"/>
          <w:b/>
          <w:bCs/>
          <w:lang w:val="ro-RO"/>
        </w:rPr>
        <w:t>Noua Casă –</w:t>
      </w:r>
      <w:r>
        <w:rPr>
          <w:rFonts w:ascii="Trebuchet MS" w:hAnsi="Trebuchet MS" w:cs="Trebuchet MS"/>
          <w:lang w:val="ro-RO"/>
        </w:rPr>
        <w:t xml:space="preserve"> destinat deblocării creditului ipotecar și sprijinirii persoanelor fizice.</w:t>
      </w:r>
    </w:p>
    <w:p>
      <w:pPr>
        <w:ind w:left="-240" w:leftChars="-100" w:right="-334" w:rightChars="-139"/>
        <w:jc w:val="both"/>
        <w:rPr>
          <w:rFonts w:ascii="Trebuchet MS" w:hAnsi="Trebuchet MS" w:cs="Trebuchet MS"/>
          <w:lang w:val="ro-RO"/>
        </w:rPr>
      </w:pPr>
      <w:r>
        <w:rPr>
          <w:rFonts w:ascii="Trebuchet MS" w:hAnsi="Trebuchet MS"/>
          <w:bCs/>
          <w:lang w:val="ro-RO"/>
        </w:rPr>
        <w:t>Având în vedere că FNGCIMM implementează cel mai important Program de sprijinire a IMM-urilor din ultimii 30 de ani, trebuie evidențiat impactul Programului IMM INVEST în economia României în anul 2020</w:t>
      </w:r>
      <w:r>
        <w:rPr>
          <w:rFonts w:ascii="Trebuchet MS" w:hAnsi="Trebuchet MS" w:eastAsia="Calibri"/>
          <w:bCs/>
          <w:lang w:val="ro-RO"/>
        </w:rPr>
        <w:t xml:space="preserve">:  </w:t>
      </w:r>
    </w:p>
    <w:p>
      <w:pPr>
        <w:numPr>
          <w:ilvl w:val="0"/>
          <w:numId w:val="11"/>
        </w:numPr>
        <w:suppressAutoHyphens w:val="0"/>
        <w:spacing w:after="0"/>
        <w:ind w:left="360"/>
        <w:jc w:val="both"/>
        <w:rPr>
          <w:rFonts w:ascii="Trebuchet MS" w:hAnsi="Trebuchet MS" w:eastAsia="Calibri"/>
          <w:lang w:val="ro-RO"/>
        </w:rPr>
      </w:pPr>
      <w:r>
        <w:rPr>
          <w:rFonts w:ascii="Trebuchet MS" w:hAnsi="Trebuchet MS" w:eastAsia="Calibri"/>
          <w:lang w:val="ro-RO"/>
        </w:rPr>
        <w:t xml:space="preserve">A fost acordat un numar record de finanțări: </w:t>
      </w:r>
      <w:r>
        <w:rPr>
          <w:rFonts w:ascii="Trebuchet MS" w:hAnsi="Trebuchet MS" w:eastAsia="Calibri"/>
          <w:b/>
          <w:bCs/>
          <w:lang w:val="ro-RO"/>
        </w:rPr>
        <w:t>25.586;</w:t>
      </w:r>
    </w:p>
    <w:p>
      <w:pPr>
        <w:numPr>
          <w:ilvl w:val="0"/>
          <w:numId w:val="11"/>
        </w:numPr>
        <w:suppressAutoHyphens w:val="0"/>
        <w:spacing w:after="0"/>
        <w:ind w:left="360"/>
        <w:jc w:val="both"/>
        <w:rPr>
          <w:rFonts w:ascii="Trebuchet MS" w:hAnsi="Trebuchet MS" w:eastAsia="Calibri"/>
          <w:lang w:val="ro-RO"/>
        </w:rPr>
      </w:pPr>
      <w:r>
        <w:rPr>
          <w:rFonts w:ascii="Trebuchet MS" w:hAnsi="Trebuchet MS" w:eastAsia="Calibri"/>
          <w:lang w:val="ro-RO"/>
        </w:rPr>
        <w:t xml:space="preserve">Valoarea totală finanțată de către instituțiile bancare a depășit </w:t>
      </w:r>
      <w:r>
        <w:rPr>
          <w:rFonts w:ascii="Trebuchet MS" w:hAnsi="Trebuchet MS" w:eastAsia="Calibri"/>
          <w:b/>
          <w:bCs/>
          <w:lang w:val="ro-RO"/>
        </w:rPr>
        <w:t>15 miliarde lei</w:t>
      </w:r>
      <w:r>
        <w:rPr>
          <w:rFonts w:ascii="Trebuchet MS" w:hAnsi="Trebuchet MS" w:eastAsia="Calibri"/>
          <w:lang w:val="ro-RO"/>
        </w:rPr>
        <w:t>;</w:t>
      </w:r>
    </w:p>
    <w:p>
      <w:pPr>
        <w:numPr>
          <w:ilvl w:val="0"/>
          <w:numId w:val="11"/>
        </w:numPr>
        <w:suppressAutoHyphens w:val="0"/>
        <w:spacing w:after="0"/>
        <w:ind w:left="360"/>
        <w:jc w:val="both"/>
        <w:rPr>
          <w:rFonts w:ascii="Trebuchet MS" w:hAnsi="Trebuchet MS" w:eastAsia="Calibri"/>
          <w:lang w:val="ro-RO"/>
        </w:rPr>
      </w:pPr>
      <w:r>
        <w:rPr>
          <w:rFonts w:ascii="Trebuchet MS" w:hAnsi="Trebuchet MS" w:eastAsia="Calibri"/>
          <w:lang w:val="ro-RO"/>
        </w:rPr>
        <w:t>FNGCIMM a avut 21 de bănci ca finanțatori – parteneri;</w:t>
      </w:r>
    </w:p>
    <w:p>
      <w:pPr>
        <w:numPr>
          <w:ilvl w:val="0"/>
          <w:numId w:val="11"/>
        </w:numPr>
        <w:suppressAutoHyphens w:val="0"/>
        <w:spacing w:after="0"/>
        <w:ind w:left="360" w:right="-334"/>
        <w:jc w:val="both"/>
        <w:rPr>
          <w:rFonts w:ascii="Trebuchet MS" w:hAnsi="Trebuchet MS" w:eastAsia="Calibri"/>
          <w:lang w:val="ro-RO"/>
        </w:rPr>
      </w:pPr>
      <w:r>
        <w:rPr>
          <w:rFonts w:ascii="Trebuchet MS" w:hAnsi="Trebuchet MS" w:eastAsia="Calibri"/>
          <w:lang w:val="ro-RO"/>
        </w:rPr>
        <w:t>Din perspectiva veniturilor, 10% din totalul IMM-urilor și entităților asimilate au aderat la Program;</w:t>
      </w:r>
    </w:p>
    <w:p>
      <w:pPr>
        <w:numPr>
          <w:ilvl w:val="0"/>
          <w:numId w:val="11"/>
        </w:numPr>
        <w:suppressAutoHyphens w:val="0"/>
        <w:spacing w:after="0"/>
        <w:ind w:left="360" w:right="-334"/>
        <w:jc w:val="both"/>
        <w:rPr>
          <w:rFonts w:ascii="Trebuchet MS" w:hAnsi="Trebuchet MS" w:eastAsia="Calibri"/>
          <w:lang w:val="ro-RO"/>
        </w:rPr>
      </w:pPr>
      <w:r>
        <w:rPr>
          <w:rFonts w:ascii="Trebuchet MS" w:hAnsi="Trebuchet MS" w:eastAsia="Calibri"/>
          <w:lang w:val="ro-RO"/>
        </w:rPr>
        <w:t>Garanțiile acordate prin Programul IMM INVEST România sunt deja acoperite prin taxele și impozitele plătite de aceste companii în 2019 (înainte de pandemie).</w:t>
      </w:r>
    </w:p>
    <w:p>
      <w:pPr>
        <w:numPr>
          <w:ilvl w:val="0"/>
          <w:numId w:val="11"/>
        </w:numPr>
        <w:suppressAutoHyphens w:val="0"/>
        <w:spacing w:after="0"/>
        <w:ind w:left="360" w:right="-334"/>
        <w:jc w:val="both"/>
        <w:rPr>
          <w:rFonts w:ascii="Trebuchet MS" w:hAnsi="Trebuchet MS" w:eastAsia="Calibri"/>
          <w:lang w:val="ro-RO"/>
        </w:rPr>
      </w:pPr>
      <w:r>
        <w:rPr>
          <w:rFonts w:ascii="Trebuchet MS" w:hAnsi="Trebuchet MS" w:eastAsia="Calibri"/>
          <w:lang w:val="ro-RO"/>
        </w:rPr>
        <w:t xml:space="preserve">Au fost păstrate </w:t>
      </w:r>
      <w:r>
        <w:rPr>
          <w:rFonts w:ascii="Trebuchet MS" w:hAnsi="Trebuchet MS" w:eastAsia="Calibri"/>
          <w:b/>
          <w:bCs/>
          <w:lang w:val="ro-RO"/>
        </w:rPr>
        <w:t>443.097 de locuri de muncă</w:t>
      </w:r>
      <w:r>
        <w:rPr>
          <w:rFonts w:ascii="Trebuchet MS" w:hAnsi="Trebuchet MS" w:eastAsia="Calibri"/>
          <w:lang w:val="ro-RO"/>
        </w:rPr>
        <w:t xml:space="preserve">. Potrivit INS, la finele anului 2019 numărul de șomeri înregistrați era de 374.405. În situația în care Programul nu s-ar fi implementat, rata șomajului s-ar fi dublat în anul 2020. </w:t>
      </w:r>
    </w:p>
    <w:p>
      <w:pPr>
        <w:numPr>
          <w:ilvl w:val="0"/>
          <w:numId w:val="11"/>
        </w:numPr>
        <w:suppressAutoHyphens w:val="0"/>
        <w:spacing w:after="0"/>
        <w:ind w:left="360"/>
        <w:jc w:val="both"/>
        <w:rPr>
          <w:rFonts w:ascii="Trebuchet MS" w:hAnsi="Trebuchet MS" w:eastAsia="Calibri"/>
          <w:lang w:val="ro-RO"/>
        </w:rPr>
      </w:pPr>
      <w:r>
        <w:rPr>
          <w:rFonts w:ascii="Trebuchet MS" w:hAnsi="Trebuchet MS" w:eastAsia="Calibri"/>
          <w:lang w:val="ro-RO"/>
        </w:rPr>
        <w:t>Indicatorii economici relevanți care evidențiază impactul Programului sunt:</w:t>
      </w:r>
    </w:p>
    <w:p>
      <w:pPr>
        <w:numPr>
          <w:ilvl w:val="1"/>
          <w:numId w:val="11"/>
        </w:numPr>
        <w:suppressAutoHyphens w:val="0"/>
        <w:spacing w:after="0"/>
        <w:jc w:val="both"/>
        <w:rPr>
          <w:rFonts w:ascii="Trebuchet MS" w:hAnsi="Trebuchet MS" w:eastAsia="Calibri"/>
          <w:lang w:val="ro-RO"/>
        </w:rPr>
      </w:pPr>
      <w:r>
        <w:rPr>
          <w:rFonts w:ascii="Trebuchet MS" w:hAnsi="Trebuchet MS" w:eastAsia="Calibri"/>
          <w:lang w:val="ro-RO"/>
        </w:rPr>
        <w:t xml:space="preserve">Total contribuții muncă (CASS, CAS, Impozit Venit, CAM) = </w:t>
      </w:r>
      <w:r>
        <w:rPr>
          <w:rFonts w:ascii="Trebuchet MS" w:hAnsi="Trebuchet MS" w:eastAsia="Calibri"/>
          <w:b/>
          <w:bCs/>
          <w:lang w:val="ro-RO"/>
        </w:rPr>
        <w:t>7,7 mld lei</w:t>
      </w:r>
      <w:r>
        <w:rPr>
          <w:rFonts w:ascii="Trebuchet MS" w:hAnsi="Trebuchet MS" w:eastAsia="Calibri"/>
          <w:lang w:val="ro-RO"/>
        </w:rPr>
        <w:t>;</w:t>
      </w:r>
    </w:p>
    <w:p>
      <w:pPr>
        <w:numPr>
          <w:ilvl w:val="1"/>
          <w:numId w:val="11"/>
        </w:numPr>
        <w:suppressAutoHyphens w:val="0"/>
        <w:spacing w:after="0"/>
        <w:jc w:val="both"/>
        <w:rPr>
          <w:rFonts w:ascii="Trebuchet MS" w:hAnsi="Trebuchet MS" w:eastAsia="Calibri"/>
          <w:lang w:val="ro-RO"/>
        </w:rPr>
      </w:pPr>
      <w:r>
        <w:rPr>
          <w:rFonts w:ascii="Trebuchet MS" w:hAnsi="Trebuchet MS" w:eastAsia="Calibri"/>
          <w:lang w:val="ro-RO"/>
        </w:rPr>
        <w:t xml:space="preserve">TVA Net plătit = </w:t>
      </w:r>
      <w:r>
        <w:rPr>
          <w:rFonts w:ascii="Trebuchet MS" w:hAnsi="Trebuchet MS" w:eastAsia="Calibri"/>
          <w:b/>
          <w:bCs/>
          <w:lang w:val="ro-RO"/>
        </w:rPr>
        <w:t>3,6 mld lei</w:t>
      </w:r>
      <w:r>
        <w:rPr>
          <w:rFonts w:ascii="Trebuchet MS" w:hAnsi="Trebuchet MS" w:eastAsia="Calibri"/>
          <w:lang w:val="ro-RO"/>
        </w:rPr>
        <w:t>;</w:t>
      </w:r>
    </w:p>
    <w:p>
      <w:pPr>
        <w:numPr>
          <w:ilvl w:val="1"/>
          <w:numId w:val="11"/>
        </w:numPr>
        <w:suppressAutoHyphens w:val="0"/>
        <w:spacing w:after="0"/>
        <w:jc w:val="both"/>
        <w:rPr>
          <w:rFonts w:ascii="Trebuchet MS" w:hAnsi="Trebuchet MS" w:eastAsia="Calibri"/>
          <w:lang w:val="ro-RO"/>
        </w:rPr>
      </w:pPr>
      <w:r>
        <w:rPr>
          <w:rFonts w:ascii="Trebuchet MS" w:hAnsi="Trebuchet MS" w:eastAsia="Calibri"/>
          <w:lang w:val="ro-RO"/>
        </w:rPr>
        <w:t xml:space="preserve">Impozit venit / profit = </w:t>
      </w:r>
      <w:r>
        <w:rPr>
          <w:rFonts w:ascii="Trebuchet MS" w:hAnsi="Trebuchet MS" w:eastAsia="Calibri"/>
          <w:b/>
          <w:bCs/>
          <w:lang w:val="ro-RO"/>
        </w:rPr>
        <w:t>1,6 mld lei</w:t>
      </w:r>
      <w:r>
        <w:rPr>
          <w:rFonts w:ascii="Trebuchet MS" w:hAnsi="Trebuchet MS" w:eastAsia="Calibri"/>
          <w:lang w:val="ro-RO"/>
        </w:rPr>
        <w:t>;</w:t>
      </w:r>
    </w:p>
    <w:p>
      <w:pPr>
        <w:numPr>
          <w:ilvl w:val="1"/>
          <w:numId w:val="11"/>
        </w:numPr>
        <w:suppressAutoHyphens w:val="0"/>
        <w:spacing w:after="0"/>
        <w:jc w:val="both"/>
        <w:rPr>
          <w:rFonts w:ascii="Trebuchet MS" w:hAnsi="Trebuchet MS" w:eastAsia="Calibri"/>
          <w:lang w:val="ro-RO"/>
        </w:rPr>
      </w:pPr>
      <w:r>
        <w:rPr>
          <w:rFonts w:ascii="Trebuchet MS" w:hAnsi="Trebuchet MS" w:eastAsia="Calibri"/>
          <w:lang w:val="ro-RO"/>
        </w:rPr>
        <w:t xml:space="preserve">TOTAL IMPOZITE ȘI TAXE = </w:t>
      </w:r>
      <w:r>
        <w:rPr>
          <w:rFonts w:ascii="Trebuchet MS" w:hAnsi="Trebuchet MS" w:eastAsia="Calibri"/>
          <w:b/>
          <w:bCs/>
          <w:lang w:val="ro-RO"/>
        </w:rPr>
        <w:t>12,9 mld lei</w:t>
      </w:r>
      <w:r>
        <w:rPr>
          <w:rFonts w:ascii="Trebuchet MS" w:hAnsi="Trebuchet MS" w:eastAsia="Calibri"/>
          <w:lang w:val="ro-RO"/>
        </w:rPr>
        <w:t>.</w:t>
      </w:r>
    </w:p>
    <w:p>
      <w:pPr>
        <w:spacing w:after="0"/>
        <w:jc w:val="both"/>
        <w:rPr>
          <w:rFonts w:ascii="Trebuchet MS" w:hAnsi="Trebuchet MS"/>
          <w:b/>
          <w:lang w:val="ro-RO"/>
        </w:rPr>
      </w:pPr>
    </w:p>
    <w:p>
      <w:pPr>
        <w:spacing w:after="120"/>
        <w:ind w:left="-360" w:right="-331"/>
        <w:jc w:val="both"/>
        <w:rPr>
          <w:rFonts w:ascii="Trebuchet MS" w:hAnsi="Trebuchet MS"/>
          <w:b/>
          <w:lang w:val="ro-RO"/>
        </w:rPr>
      </w:pPr>
      <w:r>
        <w:rPr>
          <w:rFonts w:ascii="Trebuchet MS" w:hAnsi="Trebuchet MS"/>
          <w:lang w:val="ro-RO"/>
        </w:rPr>
        <w:t xml:space="preserve">În anul 2021, valoarea totala a solicitarilor de </w:t>
      </w:r>
      <w:r>
        <w:rPr>
          <w:rFonts w:ascii="Trebuchet MS" w:hAnsi="Trebuchet MS"/>
          <w:b/>
          <w:lang w:val="ro-RO"/>
        </w:rPr>
        <w:t>garantare</w:t>
      </w:r>
      <w:r>
        <w:rPr>
          <w:rFonts w:ascii="Trebuchet MS" w:hAnsi="Trebuchet MS"/>
          <w:lang w:val="ro-RO"/>
        </w:rPr>
        <w:t xml:space="preserve"> in Programul IMM INVEST, aprobate de FNGCIMM către cei 21 de finanțatori parteneri, însumează </w:t>
      </w:r>
      <w:r>
        <w:rPr>
          <w:rFonts w:ascii="Trebuchet MS" w:hAnsi="Trebuchet MS"/>
          <w:b/>
          <w:lang w:val="ro-RO"/>
        </w:rPr>
        <w:t>10,535,046,480 lei</w:t>
      </w:r>
      <w:r>
        <w:rPr>
          <w:rFonts w:ascii="Trebuchet MS" w:hAnsi="Trebuchet MS"/>
          <w:lang w:val="ro-RO"/>
        </w:rPr>
        <w:t xml:space="preserve">, cu o valoare a finanțării </w:t>
      </w:r>
      <w:r>
        <w:rPr>
          <w:rFonts w:ascii="Trebuchet MS" w:hAnsi="Trebuchet MS"/>
          <w:b/>
          <w:bCs/>
          <w:lang w:val="ro-RO"/>
        </w:rPr>
        <w:t>12,822,300,323</w:t>
      </w:r>
      <w:r>
        <w:rPr>
          <w:rFonts w:ascii="Trebuchet MS" w:hAnsi="Trebuchet MS"/>
          <w:b/>
          <w:lang w:val="ro-RO"/>
        </w:rPr>
        <w:t xml:space="preserve"> lei</w:t>
      </w:r>
      <w:r>
        <w:rPr>
          <w:rFonts w:ascii="Trebuchet MS" w:hAnsi="Trebuchet MS"/>
          <w:lang w:val="ro-RO"/>
        </w:rPr>
        <w:t xml:space="preserve">, aferente unui număr de </w:t>
      </w:r>
      <w:r>
        <w:rPr>
          <w:rFonts w:ascii="Trebuchet MS" w:hAnsi="Trebuchet MS"/>
          <w:b/>
          <w:lang w:val="ro-RO"/>
        </w:rPr>
        <w:t>16,728 credite/garanții aprobate.</w:t>
      </w:r>
    </w:p>
    <w:p>
      <w:pPr>
        <w:spacing w:after="0"/>
        <w:ind w:left="-360" w:right="-331"/>
        <w:jc w:val="both"/>
        <w:rPr>
          <w:rFonts w:ascii="Trebuchet MS" w:hAnsi="Trebuchet MS"/>
          <w:b/>
          <w:lang w:val="ro-RO"/>
        </w:rPr>
      </w:pPr>
    </w:p>
    <w:p>
      <w:pPr>
        <w:spacing w:after="0"/>
        <w:ind w:left="-360" w:right="-334"/>
        <w:jc w:val="both"/>
        <w:rPr>
          <w:rFonts w:ascii="Trebuchet MS" w:hAnsi="Trebuchet MS"/>
          <w:b/>
          <w:lang w:val="ro-RO"/>
        </w:rPr>
      </w:pPr>
      <w:r>
        <w:rPr>
          <w:rFonts w:ascii="Trebuchet MS" w:hAnsi="Trebuchet MS"/>
          <w:lang w:val="ro-RO"/>
        </w:rPr>
        <w:t xml:space="preserve">În plus, în anul 2021 a intrat în implementare și SubProgramul AGRO IMM INVEST, în cadrul căruia, valoarea totală a solicitărilor de </w:t>
      </w:r>
      <w:r>
        <w:rPr>
          <w:rFonts w:ascii="Trebuchet MS" w:hAnsi="Trebuchet MS"/>
          <w:b/>
          <w:lang w:val="ro-RO"/>
        </w:rPr>
        <w:t>garantare</w:t>
      </w:r>
      <w:r>
        <w:rPr>
          <w:rFonts w:ascii="Trebuchet MS" w:hAnsi="Trebuchet MS"/>
          <w:lang w:val="ro-RO"/>
        </w:rPr>
        <w:t xml:space="preserve"> aprobate de FNGCIMM către cei 17 de finanțatori parteneri însumează </w:t>
      </w:r>
      <w:r>
        <w:rPr>
          <w:rFonts w:ascii="Trebuchet MS" w:hAnsi="Trebuchet MS"/>
          <w:b/>
          <w:bCs/>
          <w:lang w:val="ro-RO"/>
        </w:rPr>
        <w:t>2,072,722,241</w:t>
      </w:r>
      <w:r>
        <w:rPr>
          <w:rFonts w:ascii="Trebuchet MS" w:hAnsi="Trebuchet MS"/>
          <w:lang w:val="ro-RO"/>
        </w:rPr>
        <w:t xml:space="preserve"> </w:t>
      </w:r>
      <w:r>
        <w:rPr>
          <w:rFonts w:ascii="Trebuchet MS" w:hAnsi="Trebuchet MS"/>
          <w:b/>
          <w:lang w:val="ro-RO"/>
        </w:rPr>
        <w:t>lei</w:t>
      </w:r>
      <w:r>
        <w:rPr>
          <w:rFonts w:ascii="Trebuchet MS" w:hAnsi="Trebuchet MS"/>
          <w:lang w:val="ro-RO"/>
        </w:rPr>
        <w:t xml:space="preserve">, cu o valoare a finanțării de </w:t>
      </w:r>
      <w:r>
        <w:rPr>
          <w:rFonts w:ascii="Trebuchet MS" w:hAnsi="Trebuchet MS"/>
          <w:b/>
          <w:lang w:val="ro-RO"/>
        </w:rPr>
        <w:t>2,563,258,287 lei</w:t>
      </w:r>
      <w:r>
        <w:rPr>
          <w:rFonts w:ascii="Trebuchet MS" w:hAnsi="Trebuchet MS"/>
          <w:lang w:val="ro-RO"/>
        </w:rPr>
        <w:t xml:space="preserve"> aferente unui număr de </w:t>
      </w:r>
      <w:r>
        <w:rPr>
          <w:rFonts w:ascii="Trebuchet MS" w:hAnsi="Trebuchet MS"/>
          <w:b/>
          <w:lang w:val="ro-RO"/>
        </w:rPr>
        <w:t xml:space="preserve">2,446 de credite/garanții aprobate. </w:t>
      </w:r>
    </w:p>
    <w:p>
      <w:pPr>
        <w:spacing w:after="0"/>
        <w:ind w:left="-360" w:right="-334"/>
        <w:jc w:val="both"/>
        <w:rPr>
          <w:rFonts w:ascii="Trebuchet MS" w:hAnsi="Trebuchet MS"/>
          <w:b/>
          <w:lang w:val="ro-RO"/>
        </w:rPr>
      </w:pPr>
    </w:p>
    <w:p>
      <w:pPr>
        <w:spacing w:after="0"/>
        <w:ind w:left="-360" w:right="-334"/>
        <w:jc w:val="both"/>
        <w:rPr>
          <w:rFonts w:ascii="Trebuchet MS" w:hAnsi="Trebuchet MS" w:eastAsia="Calibri"/>
          <w:lang w:val="ro-RO"/>
        </w:rPr>
      </w:pPr>
      <w:r>
        <w:rPr>
          <w:rFonts w:ascii="Trebuchet MS" w:hAnsi="Trebuchet MS" w:eastAsia="Calibri"/>
          <w:lang w:val="ro-RO"/>
        </w:rPr>
        <w:t xml:space="preserve">În perioada 2021-2025 se estimează că firmele care au beneficiat de Programul IMM INVEST Romania, inclusiv SubProgramul AGRO IMM INVEST, vor aduce un impact fiscal, prin taxe și contribuții plătite, de 56,1 mld lei, ceea ce este de 22 ori mai mult decât nivelul maxim al garanțiilor executate în cel mai pesimist scenariu (rata creditelor neperformante pentru creditele IMM INVEST poate ajunge până în anul 2025 la maximum 20%, comparativ cu nivelul actual de 4% raportat de BNR la întregul sistem bancar). În cazul </w:t>
      </w:r>
      <w:r>
        <w:rPr>
          <w:rFonts w:ascii="Trebuchet MS" w:hAnsi="Trebuchet MS" w:eastAsia="Calibri"/>
          <w:b/>
          <w:bCs/>
          <w:lang w:val="ro-RO"/>
        </w:rPr>
        <w:t>multiplicatorului cash</w:t>
      </w:r>
      <w:r>
        <w:rPr>
          <w:rFonts w:ascii="Trebuchet MS" w:hAnsi="Trebuchet MS" w:eastAsia="Calibri"/>
          <w:lang w:val="ro-RO"/>
        </w:rPr>
        <w:t xml:space="preserve">, raportul dintre taxe plătite: garanții executate </w:t>
      </w:r>
      <w:r>
        <w:rPr>
          <w:rFonts w:ascii="Trebuchet MS" w:hAnsi="Trebuchet MS" w:eastAsia="Calibri"/>
          <w:b/>
          <w:bCs/>
          <w:lang w:val="ro-RO"/>
        </w:rPr>
        <w:t>este de</w:t>
      </w:r>
      <w:r>
        <w:rPr>
          <w:rFonts w:ascii="Trebuchet MS" w:hAnsi="Trebuchet MS" w:eastAsia="Calibri"/>
          <w:lang w:val="ro-RO"/>
        </w:rPr>
        <w:t xml:space="preserve"> </w:t>
      </w:r>
      <w:r>
        <w:rPr>
          <w:rFonts w:ascii="Trebuchet MS" w:hAnsi="Trebuchet MS" w:eastAsia="Calibri"/>
          <w:b/>
          <w:bCs/>
          <w:lang w:val="ro-RO"/>
        </w:rPr>
        <w:t>1:22</w:t>
      </w:r>
      <w:r>
        <w:rPr>
          <w:rFonts w:ascii="Trebuchet MS" w:hAnsi="Trebuchet MS" w:eastAsia="Calibri"/>
          <w:lang w:val="ro-RO"/>
        </w:rPr>
        <w:t xml:space="preserve">. Altfel spus, </w:t>
      </w:r>
      <w:r>
        <w:rPr>
          <w:rFonts w:ascii="Trebuchet MS" w:hAnsi="Trebuchet MS" w:eastAsia="Calibri"/>
          <w:b/>
          <w:bCs/>
          <w:lang w:val="ro-RO"/>
        </w:rPr>
        <w:t>prin</w:t>
      </w:r>
      <w:r>
        <w:rPr>
          <w:rFonts w:ascii="Trebuchet MS" w:hAnsi="Trebuchet MS" w:eastAsia="Calibri"/>
          <w:lang w:val="ro-RO"/>
        </w:rPr>
        <w:t xml:space="preserve"> </w:t>
      </w:r>
      <w:r>
        <w:rPr>
          <w:rFonts w:ascii="Trebuchet MS" w:hAnsi="Trebuchet MS" w:eastAsia="Calibri"/>
          <w:b/>
          <w:bCs/>
          <w:lang w:val="ro-RO"/>
        </w:rPr>
        <w:t>Programul IMM INVEST România</w:t>
      </w:r>
      <w:r>
        <w:rPr>
          <w:rFonts w:ascii="Trebuchet MS" w:hAnsi="Trebuchet MS" w:eastAsia="Calibri"/>
          <w:lang w:val="ro-RO"/>
        </w:rPr>
        <w:t xml:space="preserve">, nu au existat sume cheltuite, dimpotrivă, în perioada </w:t>
      </w:r>
      <w:r>
        <w:rPr>
          <w:rFonts w:ascii="Trebuchet MS" w:hAnsi="Trebuchet MS" w:eastAsia="Calibri"/>
          <w:b/>
          <w:bCs/>
          <w:lang w:val="ro-RO"/>
        </w:rPr>
        <w:t>2021-2025 se vor genera venituri suplimentare</w:t>
      </w:r>
      <w:r>
        <w:rPr>
          <w:rFonts w:ascii="Trebuchet MS" w:hAnsi="Trebuchet MS" w:eastAsia="Calibri"/>
          <w:lang w:val="ro-RO"/>
        </w:rPr>
        <w:t xml:space="preserve"> </w:t>
      </w:r>
      <w:r>
        <w:rPr>
          <w:rFonts w:ascii="Trebuchet MS" w:hAnsi="Trebuchet MS" w:eastAsia="Calibri"/>
          <w:b/>
          <w:bCs/>
          <w:lang w:val="ro-RO"/>
        </w:rPr>
        <w:t>la Bugetul de Stat.</w:t>
      </w:r>
      <w:r>
        <w:rPr>
          <w:rFonts w:ascii="Trebuchet MS" w:hAnsi="Trebuchet MS" w:eastAsia="Calibri"/>
          <w:lang w:val="ro-RO"/>
        </w:rPr>
        <w:t xml:space="preserve"> </w:t>
      </w:r>
    </w:p>
    <w:p>
      <w:pPr>
        <w:spacing w:after="0"/>
        <w:ind w:left="-360" w:right="-334"/>
        <w:jc w:val="both"/>
        <w:rPr>
          <w:rFonts w:ascii="Trebuchet MS" w:hAnsi="Trebuchet MS" w:eastAsia="Calibri"/>
          <w:lang w:val="ro-RO"/>
        </w:rPr>
      </w:pPr>
    </w:p>
    <w:p>
      <w:pPr>
        <w:spacing w:after="0"/>
        <w:ind w:left="-360" w:right="-334"/>
        <w:jc w:val="both"/>
        <w:rPr>
          <w:rFonts w:ascii="Trebuchet MS" w:hAnsi="Trebuchet MS" w:cs="Arial"/>
          <w:b/>
          <w:bCs/>
          <w:highlight w:val="none"/>
          <w:lang w:val="ro-RO"/>
        </w:rPr>
      </w:pPr>
      <w:r>
        <w:rPr>
          <w:rFonts w:ascii="Trebuchet MS" w:hAnsi="Trebuchet MS" w:cs="Arial"/>
          <w:b/>
          <w:bCs/>
          <w:highlight w:val="none"/>
          <w:lang w:val="ro-RO"/>
        </w:rPr>
        <w:t>d) Performanța financiară a FNGCIMM în ultimii 3 ani, 2019 – 2021 (preliminat)</w:t>
      </w:r>
    </w:p>
    <w:p>
      <w:pPr>
        <w:spacing w:after="0"/>
        <w:ind w:left="-360" w:right="-334"/>
        <w:jc w:val="both"/>
        <w:rPr>
          <w:rFonts w:ascii="Trebuchet MS" w:hAnsi="Trebuchet MS" w:cs="Arial"/>
          <w:lang w:val="ro-RO"/>
        </w:rPr>
      </w:pPr>
    </w:p>
    <w:p>
      <w:pPr>
        <w:spacing w:after="0"/>
        <w:ind w:left="-360" w:right="-334"/>
        <w:jc w:val="both"/>
        <w:rPr>
          <w:rFonts w:ascii="Trebuchet MS" w:hAnsi="Trebuchet MS" w:cs="Arial"/>
          <w:lang w:val="ro-RO"/>
        </w:rPr>
      </w:pPr>
      <w:r>
        <w:rPr>
          <w:rFonts w:ascii="Trebuchet MS" w:hAnsi="Trebuchet MS" w:cs="Arial"/>
          <w:lang w:val="ro-RO"/>
        </w:rPr>
        <w:t>Indicatorii financiari preliminați pentru anul 2021 indică o continuare a activității foarte bune din anul precedent:</w:t>
      </w:r>
    </w:p>
    <w:p>
      <w:pPr>
        <w:spacing w:after="120" w:line="276" w:lineRule="auto"/>
        <w:jc w:val="both"/>
        <w:rPr>
          <w:rFonts w:ascii="Trebuchet MS" w:hAnsi="Trebuchet MS"/>
          <w:lang w:val="ro-RO"/>
        </w:rPr>
      </w:pPr>
      <w:r>
        <w:drawing>
          <wp:inline distT="0" distB="0" distL="0" distR="0">
            <wp:extent cx="5731510" cy="1694815"/>
            <wp:effectExtent l="0" t="0" r="2540"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731510" cy="1694815"/>
                    </a:xfrm>
                    <a:prstGeom prst="rect">
                      <a:avLst/>
                    </a:prstGeom>
                    <a:noFill/>
                    <a:ln>
                      <a:noFill/>
                    </a:ln>
                  </pic:spPr>
                </pic:pic>
              </a:graphicData>
            </a:graphic>
          </wp:inline>
        </w:drawing>
      </w:r>
    </w:p>
    <w:p>
      <w:pPr>
        <w:spacing w:after="0" w:line="276" w:lineRule="auto"/>
        <w:ind w:firstLine="360"/>
        <w:jc w:val="both"/>
        <w:rPr>
          <w:rFonts w:ascii="Trebuchet MS" w:hAnsi="Trebuchet MS"/>
          <w:lang w:val="ro-RO"/>
        </w:rPr>
      </w:pPr>
    </w:p>
    <w:p>
      <w:pPr>
        <w:pStyle w:val="237"/>
        <w:numPr>
          <w:ilvl w:val="0"/>
          <w:numId w:val="12"/>
        </w:numPr>
        <w:suppressAutoHyphens w:val="0"/>
        <w:spacing w:after="120"/>
        <w:ind w:left="360"/>
        <w:jc w:val="both"/>
        <w:rPr>
          <w:rFonts w:ascii="Trebuchet MS" w:hAnsi="Trebuchet MS"/>
          <w:lang w:val="ro-RO" w:eastAsia="en-US"/>
        </w:rPr>
      </w:pPr>
      <w:r>
        <w:rPr>
          <w:rFonts w:ascii="Trebuchet MS" w:hAnsi="Trebuchet MS"/>
          <w:lang w:val="ro-RO"/>
        </w:rPr>
        <w:t>Indicatorul de lichiditate pe baza datelor preliminare la 31.12.2021 = 2,137;</w:t>
      </w:r>
    </w:p>
    <w:p>
      <w:pPr>
        <w:pStyle w:val="237"/>
        <w:numPr>
          <w:ilvl w:val="0"/>
          <w:numId w:val="12"/>
        </w:numPr>
        <w:suppressAutoHyphens w:val="0"/>
        <w:spacing w:after="120"/>
        <w:ind w:left="360" w:right="-334" w:rightChars="-139"/>
        <w:jc w:val="both"/>
        <w:rPr>
          <w:rFonts w:ascii="Trebuchet MS" w:hAnsi="Trebuchet MS"/>
          <w:lang w:val="ro-RO" w:eastAsia="en-US"/>
        </w:rPr>
      </w:pPr>
      <w:r>
        <w:rPr>
          <w:rFonts w:ascii="Trebuchet MS" w:hAnsi="Trebuchet MS"/>
          <w:lang w:val="ro-RO"/>
        </w:rPr>
        <w:t>Indicatorul de solvabilitate pe baza datelor preliminare la 31.12.2021 = 587,65%;</w:t>
      </w:r>
    </w:p>
    <w:p>
      <w:pPr>
        <w:pStyle w:val="237"/>
        <w:numPr>
          <w:ilvl w:val="0"/>
          <w:numId w:val="12"/>
        </w:numPr>
        <w:suppressAutoHyphens w:val="0"/>
        <w:spacing w:after="120"/>
        <w:ind w:left="360"/>
        <w:jc w:val="both"/>
        <w:rPr>
          <w:rFonts w:ascii="Trebuchet MS" w:hAnsi="Trebuchet MS"/>
          <w:lang w:val="ro-RO" w:eastAsia="en-US"/>
        </w:rPr>
      </w:pPr>
      <w:r>
        <w:rPr>
          <w:rFonts w:ascii="Trebuchet MS" w:hAnsi="Trebuchet MS"/>
          <w:lang w:val="ro-RO"/>
        </w:rPr>
        <w:t>Rata anualizata platilor pe baza datelor preliminare la 31.12.2021 = 4,5%.</w:t>
      </w:r>
    </w:p>
    <w:p>
      <w:pPr>
        <w:pStyle w:val="237"/>
        <w:ind w:left="-270" w:right="-334"/>
        <w:jc w:val="both"/>
        <w:rPr>
          <w:rFonts w:ascii="Trebuchet MS" w:hAnsi="Trebuchet MS" w:cs="Arial"/>
          <w:lang w:val="ro-RO"/>
        </w:rPr>
      </w:pPr>
    </w:p>
    <w:p>
      <w:pPr>
        <w:pStyle w:val="237"/>
        <w:ind w:left="-270" w:right="-334"/>
        <w:jc w:val="both"/>
        <w:rPr>
          <w:rFonts w:ascii="Trebuchet MS" w:hAnsi="Trebuchet MS" w:cs="Arial"/>
          <w:lang w:val="ro-RO"/>
        </w:rPr>
      </w:pPr>
      <w:r>
        <w:rPr>
          <w:rFonts w:ascii="Trebuchet MS" w:hAnsi="Trebuchet MS" w:cs="Arial"/>
          <w:lang w:val="ro-RO"/>
        </w:rPr>
        <w:t>După cum se poate constata din tabelul următor, performanța financiară a FNGCIMM s-a îmbunătățit constant în ultimii 2 ani.</w:t>
      </w:r>
    </w:p>
    <w:p>
      <w:pPr>
        <w:pStyle w:val="237"/>
        <w:ind w:left="-270" w:right="-334"/>
        <w:jc w:val="both"/>
        <w:rPr>
          <w:rFonts w:ascii="Trebuchet MS" w:hAnsi="Trebuchet MS" w:cs="Arial"/>
          <w:lang w:val="ro-RO"/>
        </w:rPr>
      </w:pPr>
    </w:p>
    <w:p>
      <w:pPr>
        <w:spacing w:after="120" w:line="276" w:lineRule="auto"/>
        <w:jc w:val="both"/>
        <w:rPr>
          <w:rFonts w:ascii="Trebuchet MS" w:hAnsi="Trebuchet MS"/>
          <w:lang w:val="ro-RO"/>
        </w:rPr>
      </w:pPr>
      <w:r>
        <w:rPr>
          <w:rFonts w:ascii="Trebuchet MS" w:hAnsi="Trebuchet MS"/>
          <w:lang w:val="ro-RO"/>
        </w:rPr>
        <w:drawing>
          <wp:inline distT="0" distB="0" distL="0" distR="0">
            <wp:extent cx="5816600" cy="225996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821132" cy="2261574"/>
                    </a:xfrm>
                    <a:prstGeom prst="rect">
                      <a:avLst/>
                    </a:prstGeom>
                    <a:noFill/>
                    <a:ln>
                      <a:noFill/>
                    </a:ln>
                  </pic:spPr>
                </pic:pic>
              </a:graphicData>
            </a:graphic>
          </wp:inline>
        </w:drawing>
      </w:r>
    </w:p>
    <w:p>
      <w:pPr>
        <w:spacing w:line="276" w:lineRule="auto"/>
        <w:ind w:left="-240" w:leftChars="-100" w:right="-334" w:rightChars="-139" w:firstLine="0" w:firstLineChars="0"/>
        <w:jc w:val="both"/>
        <w:rPr>
          <w:rFonts w:ascii="Trebuchet MS" w:hAnsi="Trebuchet MS"/>
          <w:sz w:val="20"/>
          <w:szCs w:val="20"/>
          <w:lang w:val="ro-RO"/>
        </w:rPr>
      </w:pPr>
      <w:r>
        <w:rPr>
          <w:rFonts w:ascii="Trebuchet MS" w:hAnsi="Trebuchet MS"/>
          <w:sz w:val="20"/>
          <w:szCs w:val="20"/>
          <w:lang w:val="ro-RO"/>
        </w:rPr>
        <w:t xml:space="preserve">Notă: În anul 2020 au fost necesare 2 rectificari de Buget pentru conformarea la cerințele legale impuse de criza sanitară și asigurarea personalului suplimentar necesar pentru implementarea noilor programe. </w:t>
      </w:r>
    </w:p>
    <w:p>
      <w:pPr>
        <w:spacing w:line="276" w:lineRule="auto"/>
        <w:ind w:left="-240" w:leftChars="-100" w:firstLine="0" w:firstLineChars="0"/>
        <w:jc w:val="both"/>
        <w:rPr>
          <w:rFonts w:ascii="Trebuchet MS" w:hAnsi="Trebuchet MS"/>
          <w:sz w:val="20"/>
          <w:szCs w:val="20"/>
          <w:lang w:val="ro-RO"/>
        </w:rPr>
      </w:pPr>
    </w:p>
    <w:p>
      <w:pPr>
        <w:spacing w:after="120"/>
        <w:ind w:left="-240" w:leftChars="-100" w:right="-334" w:rightChars="-139" w:firstLine="0" w:firstLineChars="0"/>
        <w:jc w:val="both"/>
        <w:rPr>
          <w:rFonts w:ascii="Trebuchet MS" w:hAnsi="Trebuchet MS"/>
          <w:lang w:val="ro-RO"/>
        </w:rPr>
      </w:pPr>
      <w:r>
        <w:rPr>
          <w:rFonts w:ascii="Trebuchet MS" w:hAnsi="Trebuchet MS"/>
          <w:lang w:val="ro-RO"/>
        </w:rPr>
        <w:t xml:space="preserve">De menționat că în </w:t>
      </w:r>
      <w:r>
        <w:rPr>
          <w:rFonts w:ascii="Trebuchet MS" w:hAnsi="Trebuchet MS"/>
          <w:i/>
          <w:iCs/>
          <w:lang w:val="ro-RO"/>
        </w:rPr>
        <w:t xml:space="preserve">situațiile financiare raportate conform IFRS </w:t>
      </w:r>
      <w:r>
        <w:rPr>
          <w:rFonts w:ascii="Trebuchet MS" w:hAnsi="Trebuchet MS"/>
          <w:lang w:val="ro-RO"/>
        </w:rPr>
        <w:t>(anul 2021 fiind an de tranziție la IFRS pentru instituțiile financiare), a rezultat o creștere și mai importantă a profitului net întregistrat la 31.12.2020, în valoare de 110,985 mii lei.</w:t>
      </w:r>
    </w:p>
    <w:p>
      <w:pPr>
        <w:spacing w:after="120"/>
        <w:ind w:left="-240" w:leftChars="-100" w:firstLine="0" w:firstLineChars="0"/>
        <w:jc w:val="both"/>
        <w:rPr>
          <w:rFonts w:ascii="Trebuchet MS" w:hAnsi="Trebuchet MS"/>
          <w:lang w:val="ro-RO"/>
        </w:rPr>
      </w:pPr>
    </w:p>
    <w:p>
      <w:pPr>
        <w:spacing w:after="120"/>
        <w:ind w:left="-240" w:leftChars="-100" w:right="-334" w:rightChars="-139" w:firstLine="0" w:firstLineChars="0"/>
        <w:jc w:val="both"/>
        <w:rPr>
          <w:rFonts w:ascii="Trebuchet MS" w:hAnsi="Trebuchet MS" w:eastAsiaTheme="minorHAnsi"/>
          <w:lang w:val="ro-RO"/>
        </w:rPr>
      </w:pPr>
      <w:r>
        <w:rPr>
          <w:rFonts w:ascii="Trebuchet MS" w:hAnsi="Trebuchet MS" w:eastAsiaTheme="minorHAnsi"/>
          <w:lang w:val="ro-RO"/>
        </w:rPr>
        <w:t>În graficul următor este evidențiată evoluția rezultatului net obținut de FNGCIMM în ultimii 3 ani:</w:t>
      </w:r>
    </w:p>
    <w:p>
      <w:pPr>
        <w:spacing w:after="120"/>
        <w:rPr>
          <w:rFonts w:ascii="Trebuchet MS" w:hAnsi="Trebuchet MS" w:eastAsiaTheme="minorHAnsi"/>
          <w:lang w:val="ro-RO"/>
        </w:rPr>
      </w:pPr>
    </w:p>
    <w:p>
      <w:pPr>
        <w:spacing w:after="120" w:line="276" w:lineRule="auto"/>
        <w:ind w:firstLine="360"/>
        <w:jc w:val="both"/>
        <w:rPr>
          <w:rFonts w:ascii="Trebuchet MS" w:hAnsi="Trebuchet MS"/>
          <w:lang w:val="ro-RO"/>
        </w:rPr>
      </w:pPr>
      <w:r>
        <w:rPr>
          <w:rFonts w:ascii="Trebuchet MS" w:hAnsi="Trebuchet MS"/>
          <w:lang w:val="ro-RO"/>
        </w:rPr>
        <w:drawing>
          <wp:inline distT="0" distB="0" distL="0" distR="0">
            <wp:extent cx="5634355" cy="1934210"/>
            <wp:effectExtent l="0" t="0" r="4445" b="889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662323" cy="1943909"/>
                    </a:xfrm>
                    <a:prstGeom prst="rect">
                      <a:avLst/>
                    </a:prstGeom>
                    <a:noFill/>
                  </pic:spPr>
                </pic:pic>
              </a:graphicData>
            </a:graphic>
          </wp:inline>
        </w:drawing>
      </w:r>
    </w:p>
    <w:p>
      <w:pPr>
        <w:tabs>
          <w:tab w:val="left" w:pos="360"/>
        </w:tabs>
        <w:suppressAutoHyphens w:val="0"/>
        <w:ind w:left="-240" w:leftChars="-100" w:right="-334" w:rightChars="-139"/>
        <w:jc w:val="both"/>
        <w:rPr>
          <w:rFonts w:ascii="Trebuchet MS" w:hAnsi="Trebuchet MS" w:cs="Trebuchet MS"/>
          <w:lang w:val="ro-RO"/>
        </w:rPr>
      </w:pPr>
    </w:p>
    <w:p>
      <w:pPr>
        <w:pStyle w:val="10"/>
        <w:widowControl w:val="0"/>
        <w:tabs>
          <w:tab w:val="left" w:pos="720"/>
          <w:tab w:val="left" w:pos="810"/>
          <w:tab w:val="left" w:pos="900"/>
        </w:tabs>
        <w:suppressAutoHyphens w:val="0"/>
        <w:ind w:left="-240" w:leftChars="-100" w:right="-334" w:rightChars="-139"/>
        <w:jc w:val="both"/>
        <w:rPr>
          <w:rFonts w:ascii="Trebuchet MS" w:hAnsi="Trebuchet MS" w:cs="Trebuchet MS"/>
          <w:b/>
          <w:bCs/>
          <w:sz w:val="24"/>
          <w:lang w:val="ro-RO" w:eastAsia="ro-RO" w:bidi="ro-RO"/>
        </w:rPr>
      </w:pPr>
      <w:r>
        <w:rPr>
          <w:rFonts w:ascii="Trebuchet MS" w:hAnsi="Trebuchet MS" w:cs="Trebuchet MS"/>
          <w:b/>
          <w:bCs/>
          <w:sz w:val="24"/>
          <w:lang w:val="ro-RO" w:eastAsia="ro-RO" w:bidi="ro-RO"/>
        </w:rPr>
        <w:t xml:space="preserve">7. Organizarea si responsabilitățile organelor de conducere ale </w:t>
      </w:r>
      <w:r>
        <w:rPr>
          <w:rFonts w:ascii="Trebuchet MS" w:hAnsi="Trebuchet MS" w:cs="Trebuchet MS"/>
          <w:b/>
          <w:bCs/>
          <w:sz w:val="24"/>
          <w:lang w:val="ro-RO"/>
        </w:rPr>
        <w:t>F.N.G.C.I.M.M. S.A. – IFN</w:t>
      </w:r>
      <w:r>
        <w:rPr>
          <w:rFonts w:ascii="Trebuchet MS" w:hAnsi="Trebuchet MS" w:cs="Trebuchet MS"/>
          <w:b/>
          <w:bCs/>
          <w:sz w:val="24"/>
          <w:lang w:val="ro-RO" w:eastAsia="ro-RO" w:bidi="ro-RO"/>
        </w:rPr>
        <w:t xml:space="preserve"> S.A.</w:t>
      </w:r>
    </w:p>
    <w:p>
      <w:pPr>
        <w:pStyle w:val="10"/>
        <w:widowControl w:val="0"/>
        <w:tabs>
          <w:tab w:val="left" w:pos="720"/>
          <w:tab w:val="left" w:pos="810"/>
          <w:tab w:val="left" w:pos="900"/>
        </w:tabs>
        <w:suppressAutoHyphens w:val="0"/>
        <w:spacing w:after="0"/>
        <w:ind w:left="-240" w:leftChars="-100" w:right="-334" w:rightChars="-139"/>
        <w:jc w:val="both"/>
        <w:rPr>
          <w:rFonts w:ascii="Trebuchet MS" w:hAnsi="Trebuchet MS" w:cs="Trebuchet MS"/>
          <w:sz w:val="24"/>
          <w:lang w:val="ro-RO"/>
        </w:rPr>
      </w:pPr>
    </w:p>
    <w:p>
      <w:pPr>
        <w:tabs>
          <w:tab w:val="left" w:pos="720"/>
        </w:tabs>
        <w:suppressAutoHyphens w:val="0"/>
        <w:spacing w:after="0"/>
        <w:ind w:left="-240" w:leftChars="-100" w:right="-334" w:rightChars="-139"/>
        <w:jc w:val="both"/>
        <w:rPr>
          <w:rFonts w:ascii="Trebuchet MS" w:hAnsi="Trebuchet MS" w:cs="Trebuchet MS"/>
          <w:shd w:val="clear" w:color="auto" w:fill="FFFFFF"/>
          <w:lang w:val="ro-RO"/>
        </w:rPr>
      </w:pPr>
      <w:r>
        <w:rPr>
          <w:rFonts w:ascii="Trebuchet MS" w:hAnsi="Trebuchet MS" w:cs="Trebuchet MS"/>
          <w:shd w:val="clear" w:color="auto" w:fill="FFFFFF"/>
          <w:lang w:val="ro-RO"/>
        </w:rPr>
        <w:t xml:space="preserve">FNGCIMM S.A. - IFN. este administrat în sistem unitar și condus de un consiliu de administrație numit de adunarea generală a acționarilor, format din 9 membri. </w:t>
      </w:r>
    </w:p>
    <w:p>
      <w:pPr>
        <w:tabs>
          <w:tab w:val="left" w:pos="720"/>
        </w:tabs>
        <w:suppressAutoHyphens w:val="0"/>
        <w:spacing w:after="0"/>
        <w:ind w:left="-240" w:leftChars="-100" w:right="-334" w:rightChars="-139"/>
        <w:jc w:val="both"/>
        <w:rPr>
          <w:rFonts w:ascii="Trebuchet MS" w:hAnsi="Trebuchet MS" w:cs="Trebuchet MS"/>
          <w:shd w:val="clear" w:color="auto" w:fill="FFFFFF"/>
          <w:lang w:val="ro-RO"/>
        </w:rPr>
      </w:pPr>
    </w:p>
    <w:p>
      <w:pPr>
        <w:numPr>
          <w:ilvl w:val="0"/>
          <w:numId w:val="13"/>
        </w:numPr>
        <w:tabs>
          <w:tab w:val="left" w:pos="720"/>
        </w:tabs>
        <w:suppressAutoHyphens w:val="0"/>
        <w:ind w:left="-240" w:leftChars="-100" w:right="-334" w:rightChars="-139"/>
        <w:jc w:val="both"/>
        <w:rPr>
          <w:rFonts w:ascii="Trebuchet MS" w:hAnsi="Trebuchet MS" w:cs="Trebuchet MS"/>
          <w:lang w:val="ro-RO" w:eastAsia="en-US"/>
        </w:rPr>
      </w:pPr>
      <w:r>
        <w:rPr>
          <w:rFonts w:ascii="Trebuchet MS" w:hAnsi="Trebuchet MS" w:cs="Trebuchet MS"/>
          <w:u w:val="single"/>
          <w:lang w:val="ro-RO" w:eastAsia="ro-RO" w:bidi="ro-RO"/>
        </w:rPr>
        <w:t>Consiliul de Administrație</w:t>
      </w:r>
      <w:r>
        <w:rPr>
          <w:rFonts w:ascii="Trebuchet MS" w:hAnsi="Trebuchet MS" w:cs="Trebuchet MS"/>
          <w:lang w:val="ro-RO" w:eastAsia="ro-RO" w:bidi="ro-RO"/>
        </w:rPr>
        <w:t xml:space="preserve"> este organ de conducere având și funcția de supraveghere</w:t>
      </w:r>
      <w:r>
        <w:rPr>
          <w:rFonts w:ascii="Trebuchet MS" w:hAnsi="Trebuchet MS" w:cs="Trebuchet MS"/>
          <w:lang w:val="ro-RO" w:eastAsia="en-US"/>
        </w:rPr>
        <w:t xml:space="preserve"> și care decide asupra tuturor operațiunilor desfășurate de Fond și are următoarele atribuții:</w:t>
      </w:r>
    </w:p>
    <w:p>
      <w:pPr>
        <w:numPr>
          <w:ilvl w:val="0"/>
          <w:numId w:val="0"/>
        </w:numPr>
        <w:tabs>
          <w:tab w:val="left" w:pos="720"/>
        </w:tabs>
        <w:suppressAutoHyphens w:val="0"/>
        <w:ind w:right="-334" w:rightChars="-139"/>
        <w:jc w:val="both"/>
        <w:rPr>
          <w:rFonts w:ascii="Trebuchet MS" w:hAnsi="Trebuchet MS" w:cs="Trebuchet MS"/>
          <w:lang w:val="ro-RO" w:eastAsia="en-US"/>
        </w:rPr>
      </w:pPr>
    </w:p>
    <w:p>
      <w:pPr>
        <w:shd w:val="clear" w:color="auto" w:fill="FFFFFF"/>
        <w:tabs>
          <w:tab w:val="left" w:pos="720"/>
        </w:tabs>
        <w:suppressAutoHyphens w:val="0"/>
        <w:ind w:left="-240" w:leftChars="-100" w:right="-334" w:rightChars="-139"/>
        <w:jc w:val="both"/>
        <w:rPr>
          <w:rFonts w:ascii="Trebuchet MS" w:hAnsi="Trebuchet MS" w:cs="Trebuchet MS"/>
          <w:lang w:val="ro-RO" w:eastAsia="en-US"/>
        </w:rPr>
      </w:pPr>
      <w:r>
        <w:rPr>
          <w:rFonts w:ascii="Trebuchet MS" w:hAnsi="Trebuchet MS" w:cs="Trebuchet MS"/>
          <w:lang w:val="ro-RO" w:eastAsia="en-US"/>
        </w:rPr>
        <w:t>a) propune adunării generale a acționarilor modificările și completările actului constitutiv al F.N.G.C.I.M.M. S.A. - IFN;</w:t>
      </w:r>
    </w:p>
    <w:p>
      <w:pPr>
        <w:shd w:val="clear" w:color="auto" w:fill="FFFFFF"/>
        <w:tabs>
          <w:tab w:val="left" w:pos="720"/>
        </w:tabs>
        <w:suppressAutoHyphens w:val="0"/>
        <w:ind w:left="-240" w:leftChars="-100" w:right="-334" w:rightChars="-139"/>
        <w:jc w:val="both"/>
        <w:rPr>
          <w:rFonts w:ascii="Trebuchet MS" w:hAnsi="Trebuchet MS" w:cs="Trebuchet MS"/>
          <w:lang w:val="ro-RO" w:eastAsia="en-US"/>
        </w:rPr>
      </w:pPr>
      <w:r>
        <w:rPr>
          <w:rFonts w:ascii="Trebuchet MS" w:hAnsi="Trebuchet MS" w:cs="Trebuchet MS"/>
          <w:lang w:val="ro-RO" w:eastAsia="en-US"/>
        </w:rPr>
        <w:t>b) aprobă, în limita a jumătate din valoarea contabilă a activelor Fondului la data încheierii actului, încheierea de acte juridice prin care acesta să dobândească bunuri, să înstrăineze, să închirieze, să schimbe sau să constituie în garanție bunuri aflate în patrimoniul F.N.G.C.I.M.M. S.A. - IFN;</w:t>
      </w:r>
    </w:p>
    <w:p>
      <w:pPr>
        <w:shd w:val="clear" w:color="auto" w:fill="FFFFFF"/>
        <w:tabs>
          <w:tab w:val="left" w:pos="720"/>
        </w:tabs>
        <w:suppressAutoHyphens w:val="0"/>
        <w:ind w:left="-240" w:leftChars="-100" w:right="-334" w:rightChars="-139"/>
        <w:jc w:val="both"/>
        <w:rPr>
          <w:rFonts w:ascii="Trebuchet MS" w:hAnsi="Trebuchet MS" w:cs="Trebuchet MS"/>
          <w:lang w:val="ro-RO" w:eastAsia="en-US"/>
        </w:rPr>
      </w:pPr>
      <w:r>
        <w:rPr>
          <w:rFonts w:ascii="Trebuchet MS" w:hAnsi="Trebuchet MS" w:cs="Trebuchet MS"/>
          <w:lang w:val="ro-RO" w:eastAsia="en-US"/>
        </w:rPr>
        <w:t>c) supune aprobării reprezentantului acționarului situațiile financiare anuale, împreună cu raportul administratorilor și raportul de audit financiar;</w:t>
      </w:r>
    </w:p>
    <w:p>
      <w:pPr>
        <w:shd w:val="clear" w:color="auto" w:fill="FFFFFF"/>
        <w:tabs>
          <w:tab w:val="left" w:pos="720"/>
        </w:tabs>
        <w:suppressAutoHyphens w:val="0"/>
        <w:ind w:left="-240" w:leftChars="-100" w:right="-334" w:rightChars="-139"/>
        <w:jc w:val="both"/>
        <w:rPr>
          <w:rFonts w:ascii="Trebuchet MS" w:hAnsi="Trebuchet MS" w:cs="Trebuchet MS"/>
          <w:lang w:val="ro-RO" w:eastAsia="en-US"/>
        </w:rPr>
      </w:pPr>
      <w:r>
        <w:rPr>
          <w:rFonts w:ascii="Trebuchet MS" w:hAnsi="Trebuchet MS" w:cs="Trebuchet MS"/>
          <w:lang w:val="ro-RO" w:eastAsia="en-US"/>
        </w:rPr>
        <w:t>d) supune aprobării acționarului strategia, bugetul de venituri și cheltuieli, programul de activitate și programul de investiții pentru exercițiul financiar următor;</w:t>
      </w:r>
    </w:p>
    <w:p>
      <w:pPr>
        <w:shd w:val="clear" w:color="auto" w:fill="FFFFFF"/>
        <w:tabs>
          <w:tab w:val="left" w:pos="720"/>
        </w:tabs>
        <w:suppressAutoHyphens w:val="0"/>
        <w:ind w:left="-240" w:leftChars="-100" w:right="-334" w:rightChars="-139"/>
        <w:jc w:val="both"/>
        <w:rPr>
          <w:rFonts w:ascii="Trebuchet MS" w:hAnsi="Trebuchet MS" w:cs="Trebuchet MS"/>
          <w:lang w:val="ro-RO" w:eastAsia="en-US"/>
        </w:rPr>
      </w:pPr>
      <w:r>
        <w:rPr>
          <w:rFonts w:ascii="Trebuchet MS" w:hAnsi="Trebuchet MS" w:cs="Trebuchet MS"/>
          <w:lang w:val="ro-RO" w:eastAsia="en-US"/>
        </w:rPr>
        <w:t>e) aprobă structura organizatorică a Fondului și a unităților teritoriale, numărul de posturi și sistemul de salarizare;</w:t>
      </w:r>
    </w:p>
    <w:p>
      <w:pPr>
        <w:shd w:val="clear" w:color="auto" w:fill="FFFFFF"/>
        <w:tabs>
          <w:tab w:val="left" w:pos="720"/>
        </w:tabs>
        <w:suppressAutoHyphens w:val="0"/>
        <w:ind w:left="-240" w:leftChars="-100" w:right="-334" w:rightChars="-139"/>
        <w:jc w:val="both"/>
        <w:rPr>
          <w:rFonts w:ascii="Trebuchet MS" w:hAnsi="Trebuchet MS" w:cs="Trebuchet MS"/>
          <w:lang w:val="ro-RO" w:eastAsia="en-US"/>
        </w:rPr>
      </w:pPr>
      <w:r>
        <w:rPr>
          <w:rFonts w:ascii="Trebuchet MS" w:hAnsi="Trebuchet MS" w:cs="Trebuchet MS"/>
          <w:lang w:val="ro-RO" w:eastAsia="en-US"/>
        </w:rPr>
        <w:t>f) aprobă regulamentul de organizare și funcționare a Fondului, care detaliază atribuțiile și competențele structurilor organizatorice prevăzute în organigrama aprobată, inclusiv ale celor cu competență în acordarea de garanții/finanțări, precum și relațiile dintre acestea;</w:t>
      </w:r>
    </w:p>
    <w:p>
      <w:pPr>
        <w:shd w:val="clear" w:color="auto" w:fill="FFFFFF"/>
        <w:tabs>
          <w:tab w:val="left" w:pos="720"/>
        </w:tabs>
        <w:suppressAutoHyphens w:val="0"/>
        <w:ind w:left="-240" w:leftChars="-100" w:right="-334" w:rightChars="-139"/>
        <w:jc w:val="both"/>
        <w:rPr>
          <w:rFonts w:ascii="Trebuchet MS" w:hAnsi="Trebuchet MS" w:cs="Trebuchet MS"/>
          <w:lang w:val="ro-RO" w:eastAsia="en-US"/>
        </w:rPr>
      </w:pPr>
      <w:r>
        <w:rPr>
          <w:rFonts w:ascii="Trebuchet MS" w:hAnsi="Trebuchet MS" w:cs="Trebuchet MS"/>
          <w:lang w:val="ro-RO" w:eastAsia="en-US"/>
        </w:rPr>
        <w:t>g) aprobă afilierea F.N.G.C.I.M.M. S.A. - IFN la organisme financiare internaționale, precum și acordurile de colaborare cu aceste instituții;</w:t>
      </w:r>
    </w:p>
    <w:p>
      <w:pPr>
        <w:shd w:val="clear" w:color="auto" w:fill="FFFFFF"/>
        <w:tabs>
          <w:tab w:val="left" w:pos="720"/>
        </w:tabs>
        <w:suppressAutoHyphens w:val="0"/>
        <w:ind w:left="-240" w:leftChars="-100" w:right="-334" w:rightChars="-139"/>
        <w:jc w:val="both"/>
        <w:rPr>
          <w:rFonts w:ascii="Trebuchet MS" w:hAnsi="Trebuchet MS" w:cs="Trebuchet MS"/>
          <w:lang w:val="ro-RO" w:eastAsia="en-US"/>
        </w:rPr>
      </w:pPr>
      <w:r>
        <w:rPr>
          <w:rFonts w:ascii="Trebuchet MS" w:hAnsi="Trebuchet MS" w:cs="Trebuchet MS"/>
          <w:lang w:val="ro-RO" w:eastAsia="en-US"/>
        </w:rPr>
        <w:t>h) hotărăște cu privire la politica de plasamente a Fondului și stabilește limitele globale de expunere față de societățile bancare și societățile de asigurare-reasigurare;</w:t>
      </w:r>
    </w:p>
    <w:p>
      <w:pPr>
        <w:shd w:val="clear" w:color="auto" w:fill="FFFFFF"/>
        <w:tabs>
          <w:tab w:val="left" w:pos="720"/>
        </w:tabs>
        <w:suppressAutoHyphens w:val="0"/>
        <w:ind w:left="-240" w:leftChars="-100" w:right="-334" w:rightChars="-139"/>
        <w:jc w:val="both"/>
        <w:rPr>
          <w:rFonts w:ascii="Trebuchet MS" w:hAnsi="Trebuchet MS" w:cs="Trebuchet MS"/>
          <w:lang w:val="ro-RO" w:eastAsia="en-US"/>
        </w:rPr>
      </w:pPr>
      <w:r>
        <w:rPr>
          <w:rFonts w:ascii="Trebuchet MS" w:hAnsi="Trebuchet MS" w:cs="Trebuchet MS"/>
          <w:lang w:val="ro-RO" w:eastAsia="en-US"/>
        </w:rPr>
        <w:t>i) hotărăște cu privire la politica de acordare de garanții și finanțări și supune spre aprobare acționarului competențele de acordare a garanțiilor și finanțărilor pe diferitele niveluri de structuri organizatorice;</w:t>
      </w:r>
    </w:p>
    <w:p>
      <w:pPr>
        <w:shd w:val="clear" w:color="auto" w:fill="FFFFFF"/>
        <w:tabs>
          <w:tab w:val="left" w:pos="720"/>
        </w:tabs>
        <w:suppressAutoHyphens w:val="0"/>
        <w:ind w:left="-240" w:leftChars="-100" w:right="-334" w:rightChars="-139"/>
        <w:jc w:val="both"/>
        <w:rPr>
          <w:rFonts w:ascii="Trebuchet MS" w:hAnsi="Trebuchet MS" w:cs="Trebuchet MS"/>
          <w:lang w:val="ro-RO" w:eastAsia="en-US"/>
        </w:rPr>
      </w:pPr>
      <w:r>
        <w:rPr>
          <w:rFonts w:ascii="Trebuchet MS" w:hAnsi="Trebuchet MS" w:cs="Trebuchet MS"/>
          <w:lang w:val="ro-RO" w:eastAsia="en-US"/>
        </w:rPr>
        <w:t>j) aprobă nivelul comisioanelor și dobânzilor practicate de Fond;</w:t>
      </w:r>
    </w:p>
    <w:p>
      <w:pPr>
        <w:shd w:val="clear" w:color="auto" w:fill="FFFFFF"/>
        <w:tabs>
          <w:tab w:val="left" w:pos="720"/>
        </w:tabs>
        <w:suppressAutoHyphens w:val="0"/>
        <w:ind w:left="-240" w:leftChars="-100" w:right="-334" w:rightChars="-139"/>
        <w:jc w:val="both"/>
        <w:rPr>
          <w:rFonts w:ascii="Trebuchet MS" w:hAnsi="Trebuchet MS" w:cs="Trebuchet MS"/>
          <w:lang w:val="ro-RO" w:eastAsia="en-US"/>
        </w:rPr>
      </w:pPr>
      <w:r>
        <w:rPr>
          <w:rFonts w:ascii="Trebuchet MS" w:hAnsi="Trebuchet MS" w:cs="Trebuchet MS"/>
          <w:lang w:val="ro-RO" w:eastAsia="en-US"/>
        </w:rPr>
        <w:t>k) aprobă contractul colectiv de muncă, după negocierea acestuia conform legii și prezentului act constitutiv;</w:t>
      </w:r>
    </w:p>
    <w:p>
      <w:pPr>
        <w:shd w:val="clear" w:color="auto" w:fill="FFFFFF"/>
        <w:tabs>
          <w:tab w:val="left" w:pos="720"/>
        </w:tabs>
        <w:suppressAutoHyphens w:val="0"/>
        <w:ind w:left="-240" w:leftChars="-100" w:right="-334" w:rightChars="-139"/>
        <w:jc w:val="both"/>
        <w:rPr>
          <w:rFonts w:ascii="Trebuchet MS" w:hAnsi="Trebuchet MS" w:cs="Trebuchet MS"/>
          <w:lang w:val="ro-RO" w:eastAsia="en-US"/>
        </w:rPr>
      </w:pPr>
      <w:r>
        <w:rPr>
          <w:rFonts w:ascii="Trebuchet MS" w:hAnsi="Trebuchet MS" w:cs="Trebuchet MS"/>
          <w:lang w:val="ro-RO" w:eastAsia="en-US"/>
        </w:rPr>
        <w:t>l) dezbate și aprobă normele metodologice de reglementare a domeniilor de activitate, în care sunt cuprinse principiile generale, regulile și procedurile de bază ale domeniilor respective;</w:t>
      </w:r>
    </w:p>
    <w:p>
      <w:pPr>
        <w:shd w:val="clear" w:color="auto" w:fill="FFFFFF"/>
        <w:tabs>
          <w:tab w:val="left" w:pos="720"/>
        </w:tabs>
        <w:suppressAutoHyphens w:val="0"/>
        <w:ind w:left="-240" w:leftChars="-100" w:right="-334" w:rightChars="-139"/>
        <w:jc w:val="both"/>
        <w:rPr>
          <w:rFonts w:ascii="Trebuchet MS" w:hAnsi="Trebuchet MS" w:cs="Trebuchet MS"/>
          <w:lang w:val="ro-RO" w:eastAsia="en-US"/>
        </w:rPr>
      </w:pPr>
      <w:r>
        <w:rPr>
          <w:rFonts w:ascii="Trebuchet MS" w:hAnsi="Trebuchet MS" w:cs="Trebuchet MS"/>
          <w:lang w:val="ro-RO" w:eastAsia="en-US"/>
        </w:rPr>
        <w:t>m) aprobă încheierea de convenții privitoare la acordarea de garanții și/sau cofinanțări;</w:t>
      </w:r>
    </w:p>
    <w:p>
      <w:pPr>
        <w:shd w:val="clear" w:color="auto" w:fill="FFFFFF"/>
        <w:tabs>
          <w:tab w:val="left" w:pos="720"/>
        </w:tabs>
        <w:suppressAutoHyphens w:val="0"/>
        <w:ind w:left="-240" w:leftChars="-100" w:right="-334" w:rightChars="-139"/>
        <w:jc w:val="both"/>
        <w:rPr>
          <w:rFonts w:ascii="Trebuchet MS" w:hAnsi="Trebuchet MS" w:cs="Trebuchet MS"/>
          <w:lang w:val="ro-RO" w:eastAsia="en-US"/>
        </w:rPr>
      </w:pPr>
      <w:r>
        <w:rPr>
          <w:rFonts w:ascii="Trebuchet MS" w:hAnsi="Trebuchet MS" w:cs="Trebuchet MS"/>
          <w:lang w:val="ro-RO" w:eastAsia="en-US"/>
        </w:rPr>
        <w:t>n) supune spre aprobare reprezentantului acționarului încheierea de contracte de asociere între Fond și alte persoane juridice sau fizice, participarea la capitalul social al altor persoane juridice, în condițiile legii;</w:t>
      </w:r>
    </w:p>
    <w:p>
      <w:pPr>
        <w:shd w:val="clear" w:color="auto" w:fill="FFFFFF"/>
        <w:tabs>
          <w:tab w:val="left" w:pos="720"/>
        </w:tabs>
        <w:suppressAutoHyphens w:val="0"/>
        <w:ind w:left="-240" w:leftChars="-100" w:right="-334" w:rightChars="-139"/>
        <w:jc w:val="both"/>
        <w:rPr>
          <w:rFonts w:ascii="Trebuchet MS" w:hAnsi="Trebuchet MS" w:cs="Trebuchet MS"/>
          <w:lang w:val="ro-RO" w:eastAsia="en-US"/>
        </w:rPr>
      </w:pPr>
      <w:r>
        <w:rPr>
          <w:rFonts w:ascii="Trebuchet MS" w:hAnsi="Trebuchet MS" w:cs="Trebuchet MS"/>
          <w:lang w:val="ro-RO" w:eastAsia="en-US"/>
        </w:rPr>
        <w:t>o) decide asupra clauzelor contractului de mandat dintre Fond și directorul general, directorul general adjunct și directorul financiar/economic;</w:t>
      </w:r>
    </w:p>
    <w:p>
      <w:pPr>
        <w:shd w:val="clear" w:color="auto" w:fill="FFFFFF"/>
        <w:tabs>
          <w:tab w:val="left" w:pos="720"/>
        </w:tabs>
        <w:suppressAutoHyphens w:val="0"/>
        <w:ind w:left="-240" w:leftChars="-100" w:right="-334" w:rightChars="-139"/>
        <w:jc w:val="both"/>
        <w:rPr>
          <w:rFonts w:ascii="Trebuchet MS" w:hAnsi="Trebuchet MS" w:cs="Trebuchet MS"/>
          <w:lang w:val="ro-RO" w:eastAsia="en-US"/>
        </w:rPr>
      </w:pPr>
      <w:r>
        <w:rPr>
          <w:rFonts w:ascii="Trebuchet MS" w:hAnsi="Trebuchet MS" w:cs="Trebuchet MS"/>
          <w:lang w:val="ro-RO" w:eastAsia="en-US"/>
        </w:rPr>
        <w:t>p) propune spre aprobare reprezentantului acționarului emiterea de acțiuni și/sau obligațiuni, în condițiile legii;</w:t>
      </w:r>
    </w:p>
    <w:p>
      <w:pPr>
        <w:shd w:val="clear" w:color="auto" w:fill="FFFFFF"/>
        <w:tabs>
          <w:tab w:val="left" w:pos="720"/>
        </w:tabs>
        <w:suppressAutoHyphens w:val="0"/>
        <w:ind w:left="-240" w:leftChars="-100" w:right="-334" w:rightChars="-139"/>
        <w:jc w:val="both"/>
        <w:rPr>
          <w:rFonts w:ascii="Trebuchet MS" w:hAnsi="Trebuchet MS" w:cs="Trebuchet MS"/>
          <w:lang w:val="ro-RO" w:eastAsia="en-US"/>
        </w:rPr>
      </w:pPr>
      <w:r>
        <w:rPr>
          <w:rFonts w:ascii="Trebuchet MS" w:hAnsi="Trebuchet MS" w:cs="Trebuchet MS"/>
          <w:lang w:val="ro-RO" w:eastAsia="en-US"/>
        </w:rPr>
        <w:t>q) propune reprezentantului acționarului modificarea capitalului social al Fondului;</w:t>
      </w:r>
    </w:p>
    <w:p>
      <w:pPr>
        <w:shd w:val="clear" w:color="auto" w:fill="FFFFFF"/>
        <w:tabs>
          <w:tab w:val="left" w:pos="720"/>
        </w:tabs>
        <w:suppressAutoHyphens w:val="0"/>
        <w:ind w:left="-240" w:leftChars="-100" w:right="-334" w:rightChars="-139"/>
        <w:jc w:val="both"/>
        <w:rPr>
          <w:rFonts w:ascii="Trebuchet MS" w:hAnsi="Trebuchet MS" w:cs="Trebuchet MS"/>
          <w:lang w:val="ro-RO" w:eastAsia="en-US"/>
        </w:rPr>
      </w:pPr>
      <w:r>
        <w:rPr>
          <w:rFonts w:ascii="Trebuchet MS" w:hAnsi="Trebuchet MS" w:cs="Trebuchet MS"/>
          <w:lang w:val="ro-RO" w:eastAsia="en-US"/>
        </w:rPr>
        <w:t>r) supune spre aprobare reprezentantului acționarului modalitatea de constituire și utilizare a fondului de rezervă;</w:t>
      </w:r>
    </w:p>
    <w:p>
      <w:pPr>
        <w:shd w:val="clear" w:color="auto" w:fill="FFFFFF"/>
        <w:tabs>
          <w:tab w:val="left" w:pos="720"/>
        </w:tabs>
        <w:suppressAutoHyphens w:val="0"/>
        <w:ind w:left="-240" w:leftChars="-100" w:right="-334" w:rightChars="-139"/>
        <w:jc w:val="both"/>
        <w:rPr>
          <w:rFonts w:ascii="Trebuchet MS" w:hAnsi="Trebuchet MS" w:cs="Trebuchet MS"/>
          <w:lang w:val="ro-RO" w:eastAsia="en-US"/>
        </w:rPr>
      </w:pPr>
      <w:r>
        <w:rPr>
          <w:rFonts w:ascii="Trebuchet MS" w:hAnsi="Trebuchet MS" w:cs="Trebuchet MS"/>
          <w:lang w:val="ro-RO" w:eastAsia="en-US"/>
        </w:rPr>
        <w:t>s) supune spre aprobare reprezentantului acționarului cerințele prudențiale în activitatea Fondului, potrivit legii;</w:t>
      </w:r>
    </w:p>
    <w:p>
      <w:pPr>
        <w:shd w:val="clear" w:color="auto" w:fill="FFFFFF"/>
        <w:tabs>
          <w:tab w:val="left" w:pos="720"/>
        </w:tabs>
        <w:suppressAutoHyphens w:val="0"/>
        <w:ind w:left="-240" w:leftChars="-100" w:right="-334" w:rightChars="-139"/>
        <w:jc w:val="both"/>
        <w:rPr>
          <w:rFonts w:ascii="Trebuchet MS" w:hAnsi="Trebuchet MS" w:cs="Trebuchet MS"/>
          <w:lang w:val="ro-RO" w:eastAsia="en-US"/>
        </w:rPr>
      </w:pPr>
      <w:r>
        <w:rPr>
          <w:rFonts w:ascii="Trebuchet MS" w:hAnsi="Trebuchet MS" w:cs="Trebuchet MS"/>
          <w:lang w:val="ro-RO" w:eastAsia="en-US"/>
        </w:rPr>
        <w:t>ș) aprobă componența comitetului de audit, a comitetului de nominalizare și remunerare, a comitetului de administrare a riscurilor și stabilește limitele de competență ale acestora, în condițiile legii;</w:t>
      </w:r>
    </w:p>
    <w:p>
      <w:pPr>
        <w:shd w:val="clear" w:color="auto" w:fill="FFFFFF"/>
        <w:tabs>
          <w:tab w:val="left" w:pos="720"/>
        </w:tabs>
        <w:suppressAutoHyphens w:val="0"/>
        <w:ind w:left="-240" w:leftChars="-100" w:right="-334" w:rightChars="-139"/>
        <w:jc w:val="both"/>
        <w:rPr>
          <w:rFonts w:ascii="Trebuchet MS" w:hAnsi="Trebuchet MS" w:cs="Trebuchet MS"/>
          <w:lang w:val="ro-RO" w:eastAsia="en-US"/>
        </w:rPr>
      </w:pPr>
      <w:r>
        <w:rPr>
          <w:rFonts w:ascii="Trebuchet MS" w:hAnsi="Trebuchet MS" w:cs="Trebuchet MS"/>
          <w:lang w:val="ro-RO" w:eastAsia="en-US"/>
        </w:rPr>
        <w:t>t) poate delega directorului general sau directorului general adjunct unele dintre atribuțiile sale, cu excepția competențelor care potrivit art. 142 </w:t>
      </w:r>
      <w:r>
        <w:fldChar w:fldCharType="begin"/>
      </w:r>
      <w:r>
        <w:instrText xml:space="preserve"> HYPERLINK "https://lege5.ro/Gratuit/gy4diobx/legea-societatilor-nr-31-1990?pid=30416140&amp;d=2020-10-18" \l "p-30416140" \t "_blank" </w:instrText>
      </w:r>
      <w:r>
        <w:fldChar w:fldCharType="separate"/>
      </w:r>
      <w:r>
        <w:rPr>
          <w:rFonts w:ascii="Trebuchet MS" w:hAnsi="Trebuchet MS" w:cs="Trebuchet MS"/>
          <w:u w:val="single"/>
          <w:lang w:val="ro-RO" w:eastAsia="en-US"/>
        </w:rPr>
        <w:t>alin. (2)</w:t>
      </w:r>
      <w:r>
        <w:rPr>
          <w:rFonts w:ascii="Trebuchet MS" w:hAnsi="Trebuchet MS" w:cs="Trebuchet MS"/>
          <w:u w:val="single"/>
          <w:lang w:val="ro-RO" w:eastAsia="en-US"/>
        </w:rPr>
        <w:fldChar w:fldCharType="end"/>
      </w:r>
      <w:r>
        <w:rPr>
          <w:rFonts w:ascii="Trebuchet MS" w:hAnsi="Trebuchet MS" w:cs="Trebuchet MS"/>
          <w:lang w:val="ro-RO" w:eastAsia="en-US"/>
        </w:rPr>
        <w:t> din Legea societăților nr. 31/1990, republicată, cu modificările și completările ulterioare, nu pot fi delegate directorilor;</w:t>
      </w:r>
    </w:p>
    <w:p>
      <w:pPr>
        <w:shd w:val="clear" w:color="auto" w:fill="FFFFFF"/>
        <w:tabs>
          <w:tab w:val="left" w:pos="720"/>
        </w:tabs>
        <w:suppressAutoHyphens w:val="0"/>
        <w:ind w:left="-240" w:leftChars="-100" w:right="-334" w:rightChars="-139"/>
        <w:jc w:val="both"/>
        <w:rPr>
          <w:rFonts w:ascii="Trebuchet MS" w:hAnsi="Trebuchet MS" w:cs="Trebuchet MS"/>
          <w:lang w:val="ro-RO" w:eastAsia="en-US"/>
        </w:rPr>
      </w:pPr>
      <w:r>
        <w:rPr>
          <w:rFonts w:ascii="Trebuchet MS" w:hAnsi="Trebuchet MS" w:cs="Trebuchet MS"/>
          <w:lang w:val="ro-RO" w:eastAsia="en-US"/>
        </w:rPr>
        <w:t>ț) decide în orice alte probleme referitoare la Fond, cu excepția celor date în competența acționarului sau conducătorilor, conform legii;</w:t>
      </w:r>
    </w:p>
    <w:p>
      <w:pPr>
        <w:shd w:val="clear" w:color="auto" w:fill="FFFFFF"/>
        <w:tabs>
          <w:tab w:val="left" w:pos="720"/>
        </w:tabs>
        <w:suppressAutoHyphens w:val="0"/>
        <w:ind w:left="-240" w:leftChars="-100" w:right="-334" w:rightChars="-139"/>
        <w:jc w:val="both"/>
        <w:rPr>
          <w:rFonts w:ascii="Trebuchet MS" w:hAnsi="Trebuchet MS" w:cs="Trebuchet MS"/>
          <w:lang w:val="ro-RO" w:eastAsia="en-US"/>
        </w:rPr>
      </w:pPr>
      <w:r>
        <w:rPr>
          <w:rFonts w:ascii="Trebuchet MS" w:hAnsi="Trebuchet MS" w:cs="Trebuchet MS"/>
          <w:lang w:val="ro-RO" w:eastAsia="en-US"/>
        </w:rPr>
        <w:t>u) supune aprobării Ministerului Finanțelor politica de risc.</w:t>
      </w:r>
    </w:p>
    <w:p>
      <w:pPr>
        <w:shd w:val="clear" w:color="auto" w:fill="FFFFFF"/>
        <w:tabs>
          <w:tab w:val="left" w:pos="720"/>
        </w:tabs>
        <w:suppressAutoHyphens w:val="0"/>
        <w:ind w:left="-240" w:leftChars="-100" w:right="-334" w:rightChars="-139"/>
        <w:jc w:val="both"/>
        <w:rPr>
          <w:rFonts w:ascii="Trebuchet MS" w:hAnsi="Trebuchet MS" w:cs="Trebuchet MS"/>
          <w:lang w:val="ro-RO" w:eastAsia="en-US"/>
        </w:rPr>
      </w:pPr>
      <w:r>
        <w:rPr>
          <w:rFonts w:ascii="Trebuchet MS" w:hAnsi="Trebuchet MS" w:cs="Trebuchet MS"/>
          <w:lang w:val="ro-RO" w:eastAsia="en-US"/>
        </w:rPr>
        <w:t>Consiliul de administrație este responsabil cu punerea în aplicare a hotărârilor acționarului.</w:t>
      </w:r>
    </w:p>
    <w:p>
      <w:pPr>
        <w:pStyle w:val="261"/>
        <w:shd w:val="clear" w:color="auto" w:fill="FFFFFF"/>
        <w:spacing w:before="0" w:beforeAutospacing="0" w:after="0" w:afterAutospacing="0"/>
        <w:ind w:left="-240" w:leftChars="-100" w:right="-334" w:rightChars="-139"/>
        <w:jc w:val="both"/>
        <w:rPr>
          <w:rFonts w:ascii="Trebuchet MS" w:hAnsi="Trebuchet MS" w:cs="Trebuchet MS"/>
          <w:u w:val="single"/>
          <w:lang w:val="ro-RO"/>
        </w:rPr>
      </w:pPr>
    </w:p>
    <w:p>
      <w:pPr>
        <w:pStyle w:val="261"/>
        <w:shd w:val="clear" w:color="auto" w:fill="FFFFFF"/>
        <w:spacing w:before="0" w:beforeAutospacing="0" w:after="150" w:afterAutospacing="0"/>
        <w:ind w:left="-240" w:leftChars="-100" w:right="-334" w:rightChars="-139"/>
        <w:jc w:val="both"/>
        <w:rPr>
          <w:rFonts w:ascii="Trebuchet MS" w:hAnsi="Trebuchet MS" w:cs="Trebuchet MS"/>
          <w:lang w:val="ro-RO"/>
        </w:rPr>
      </w:pPr>
      <w:r>
        <w:rPr>
          <w:rFonts w:ascii="Trebuchet MS" w:hAnsi="Trebuchet MS" w:cs="Trebuchet MS"/>
          <w:u w:val="single"/>
          <w:lang w:val="ro-RO"/>
        </w:rPr>
        <w:t>II. Președintele consiliului de administrație</w:t>
      </w:r>
      <w:r>
        <w:rPr>
          <w:rFonts w:ascii="Trebuchet MS" w:hAnsi="Trebuchet MS" w:cs="Trebuchet MS"/>
          <w:lang w:val="ro-RO"/>
        </w:rPr>
        <w:t xml:space="preserve"> are următoarele atribuții:</w:t>
      </w:r>
    </w:p>
    <w:p>
      <w:pPr>
        <w:pStyle w:val="261"/>
        <w:shd w:val="clear" w:color="auto" w:fill="FFFFFF"/>
        <w:spacing w:before="0" w:beforeAutospacing="0" w:after="0" w:afterAutospacing="0"/>
        <w:ind w:left="-240" w:leftChars="-100" w:right="-334" w:rightChars="-139"/>
        <w:jc w:val="both"/>
        <w:rPr>
          <w:rFonts w:ascii="Trebuchet MS" w:hAnsi="Trebuchet MS" w:cs="Trebuchet MS"/>
          <w:lang w:val="ro-RO"/>
        </w:rPr>
      </w:pPr>
      <w:r>
        <w:rPr>
          <w:rFonts w:ascii="Trebuchet MS" w:hAnsi="Trebuchet MS" w:cs="Trebuchet MS"/>
          <w:lang w:val="ro-RO"/>
        </w:rPr>
        <w:t>a) convoacă consiliul de administrație, stabilește ordinea de zi, prezidează întrunirea și veghează asupra informării adecvate a membrilor consiliului de administrație cu privire la punctele aflate pe ordinea de zi;</w:t>
      </w:r>
    </w:p>
    <w:p>
      <w:pPr>
        <w:pStyle w:val="261"/>
        <w:shd w:val="clear" w:color="auto" w:fill="FFFFFF"/>
        <w:spacing w:before="0" w:beforeAutospacing="0" w:after="0" w:afterAutospacing="0"/>
        <w:ind w:left="-240" w:leftChars="-100" w:right="-334" w:rightChars="-139"/>
        <w:jc w:val="both"/>
        <w:rPr>
          <w:rFonts w:ascii="Trebuchet MS" w:hAnsi="Trebuchet MS" w:cs="Trebuchet MS"/>
          <w:lang w:val="ro-RO"/>
        </w:rPr>
      </w:pPr>
      <w:r>
        <w:rPr>
          <w:rFonts w:ascii="Trebuchet MS" w:hAnsi="Trebuchet MS" w:cs="Trebuchet MS"/>
          <w:lang w:val="ro-RO"/>
        </w:rPr>
        <w:t>b) coordonează activitatea consiliului de administrație și raportează cu privire la aceasta reprezentantului acționarului;</w:t>
      </w:r>
    </w:p>
    <w:p>
      <w:pPr>
        <w:pStyle w:val="261"/>
        <w:shd w:val="clear" w:color="auto" w:fill="FFFFFF"/>
        <w:spacing w:before="0" w:beforeAutospacing="0" w:after="0" w:afterAutospacing="0"/>
        <w:ind w:left="-240" w:leftChars="-100" w:right="-334" w:rightChars="-139"/>
        <w:jc w:val="both"/>
        <w:rPr>
          <w:rFonts w:ascii="Trebuchet MS" w:hAnsi="Trebuchet MS" w:cs="Trebuchet MS"/>
          <w:lang w:val="ro-RO"/>
        </w:rPr>
      </w:pPr>
      <w:r>
        <w:rPr>
          <w:rFonts w:ascii="Trebuchet MS" w:hAnsi="Trebuchet MS" w:cs="Trebuchet MS"/>
          <w:lang w:val="ro-RO"/>
        </w:rPr>
        <w:t xml:space="preserve">c) veghează la buna funcționare a organelor </w:t>
      </w:r>
      <w:bookmarkStart w:id="22" w:name="_Hlk53956739"/>
      <w:r>
        <w:rPr>
          <w:rFonts w:ascii="Trebuchet MS" w:hAnsi="Trebuchet MS" w:cs="Trebuchet MS"/>
          <w:lang w:val="ro-RO"/>
        </w:rPr>
        <w:t>F.N.G.C.I.M.M. S.A. - IFN</w:t>
      </w:r>
      <w:bookmarkEnd w:id="22"/>
      <w:r>
        <w:rPr>
          <w:rFonts w:ascii="Trebuchet MS" w:hAnsi="Trebuchet MS" w:cs="Trebuchet MS"/>
          <w:lang w:val="ro-RO"/>
        </w:rPr>
        <w:t>;</w:t>
      </w:r>
    </w:p>
    <w:p>
      <w:pPr>
        <w:pStyle w:val="261"/>
        <w:shd w:val="clear" w:color="auto" w:fill="FFFFFF"/>
        <w:spacing w:before="0" w:beforeAutospacing="0" w:after="0" w:afterAutospacing="0"/>
        <w:ind w:left="-240" w:leftChars="-100" w:right="-334" w:rightChars="-139"/>
        <w:jc w:val="both"/>
        <w:rPr>
          <w:rFonts w:ascii="Trebuchet MS" w:hAnsi="Trebuchet MS" w:cs="Trebuchet MS"/>
          <w:lang w:val="ro-RO"/>
        </w:rPr>
      </w:pPr>
      <w:r>
        <w:rPr>
          <w:rFonts w:ascii="Trebuchet MS" w:hAnsi="Trebuchet MS" w:cs="Trebuchet MS"/>
          <w:lang w:val="ro-RO"/>
        </w:rPr>
        <w:t>d) îndeplinește orice alte atribuții date în competența sa de către lege, actul constitutiv sau hotărâte de acționar ori de consiliul de administrație, conform legii.</w:t>
      </w:r>
    </w:p>
    <w:p>
      <w:pPr>
        <w:pStyle w:val="5"/>
        <w:shd w:val="clear" w:color="auto" w:fill="FFFFFF"/>
        <w:spacing w:after="0"/>
        <w:ind w:left="-240" w:leftChars="-100" w:right="-334" w:rightChars="-139" w:firstLine="0"/>
        <w:jc w:val="both"/>
        <w:rPr>
          <w:rFonts w:ascii="Trebuchet MS" w:hAnsi="Trebuchet MS" w:cs="Trebuchet MS"/>
          <w:b w:val="0"/>
          <w:bCs w:val="0"/>
          <w:szCs w:val="24"/>
          <w:u w:val="single"/>
          <w:lang w:val="ro-RO" w:eastAsia="en-US"/>
        </w:rPr>
      </w:pPr>
    </w:p>
    <w:p>
      <w:pPr>
        <w:pStyle w:val="5"/>
        <w:shd w:val="clear" w:color="auto" w:fill="FFFFFF"/>
        <w:spacing w:after="0"/>
        <w:ind w:left="-240" w:leftChars="-100" w:right="-334" w:rightChars="-139" w:firstLine="0"/>
        <w:jc w:val="both"/>
        <w:rPr>
          <w:rFonts w:ascii="Trebuchet MS" w:hAnsi="Trebuchet MS" w:cs="Trebuchet MS"/>
          <w:b w:val="0"/>
          <w:bCs w:val="0"/>
          <w:szCs w:val="24"/>
          <w:lang w:val="ro-RO"/>
        </w:rPr>
      </w:pPr>
      <w:r>
        <w:rPr>
          <w:rFonts w:ascii="Trebuchet MS" w:hAnsi="Trebuchet MS" w:cs="Trebuchet MS"/>
          <w:b w:val="0"/>
          <w:bCs w:val="0"/>
          <w:szCs w:val="24"/>
          <w:u w:val="single"/>
          <w:lang w:val="ro-RO" w:eastAsia="en-US"/>
        </w:rPr>
        <w:t xml:space="preserve">III. </w:t>
      </w:r>
      <w:r>
        <w:rPr>
          <w:rFonts w:ascii="Trebuchet MS" w:hAnsi="Trebuchet MS" w:cs="Trebuchet MS"/>
          <w:b w:val="0"/>
          <w:bCs w:val="0"/>
          <w:szCs w:val="24"/>
          <w:u w:val="single"/>
          <w:lang w:val="ro-RO"/>
        </w:rPr>
        <w:t>Conducerea activității curente</w:t>
      </w:r>
      <w:r>
        <w:rPr>
          <w:rFonts w:ascii="Trebuchet MS" w:hAnsi="Trebuchet MS" w:cs="Trebuchet MS"/>
          <w:b w:val="0"/>
          <w:bCs w:val="0"/>
          <w:szCs w:val="24"/>
          <w:lang w:val="ro-RO"/>
        </w:rPr>
        <w:t xml:space="preserve"> a F.N.G.C.I.M.M. S.A. - IFN este asigurată de un director general și un director general adjunct, care îndeplinesc toate actele necesare și utile pentru realizarea obiectului de activitate al F.N.G.C.I.M.M. S.A. - IFN, cu excepția celor rezervate prin lege și de prezentul act constitutiv consiliului de administrație, respectiv reprezentantului acționarului.</w:t>
      </w:r>
    </w:p>
    <w:p>
      <w:pPr>
        <w:pStyle w:val="261"/>
        <w:shd w:val="clear" w:color="auto" w:fill="FFFFFF"/>
        <w:spacing w:before="0" w:beforeAutospacing="0" w:after="0" w:afterAutospacing="0"/>
        <w:ind w:left="-240" w:leftChars="-100" w:right="-334" w:rightChars="-139"/>
        <w:jc w:val="both"/>
        <w:rPr>
          <w:rFonts w:ascii="Trebuchet MS" w:hAnsi="Trebuchet MS" w:cs="Trebuchet MS"/>
          <w:u w:val="single"/>
          <w:lang w:val="ro-RO"/>
        </w:rPr>
      </w:pPr>
    </w:p>
    <w:p>
      <w:pPr>
        <w:pStyle w:val="261"/>
        <w:shd w:val="clear" w:color="auto" w:fill="FFFFFF"/>
        <w:spacing w:before="0" w:beforeAutospacing="0" w:after="0" w:afterAutospacing="0"/>
        <w:ind w:left="-240" w:leftChars="-100" w:right="-334" w:rightChars="-139"/>
        <w:jc w:val="both"/>
        <w:rPr>
          <w:rFonts w:ascii="Trebuchet MS" w:hAnsi="Trebuchet MS" w:cs="Trebuchet MS"/>
          <w:lang w:val="ro-RO"/>
        </w:rPr>
      </w:pPr>
      <w:r>
        <w:rPr>
          <w:rFonts w:ascii="Trebuchet MS" w:hAnsi="Trebuchet MS" w:cs="Trebuchet MS"/>
          <w:u w:val="single"/>
          <w:lang w:val="ro-RO"/>
        </w:rPr>
        <w:t>Directorul general</w:t>
      </w:r>
      <w:r>
        <w:rPr>
          <w:rFonts w:ascii="Trebuchet MS" w:hAnsi="Trebuchet MS" w:cs="Trebuchet MS"/>
          <w:lang w:val="ro-RO"/>
        </w:rPr>
        <w:t xml:space="preserve"> are următoarele atribuții:</w:t>
      </w:r>
    </w:p>
    <w:p>
      <w:pPr>
        <w:pStyle w:val="261"/>
        <w:shd w:val="clear" w:color="auto" w:fill="FFFFFF"/>
        <w:spacing w:before="0" w:beforeAutospacing="0" w:after="0" w:afterAutospacing="0"/>
        <w:ind w:left="-240" w:leftChars="-100" w:right="-334" w:rightChars="-139"/>
        <w:jc w:val="both"/>
        <w:rPr>
          <w:rFonts w:ascii="Trebuchet MS" w:hAnsi="Trebuchet MS" w:cs="Trebuchet MS"/>
          <w:lang w:val="ro-RO"/>
        </w:rPr>
      </w:pPr>
      <w:r>
        <w:rPr>
          <w:rFonts w:ascii="Trebuchet MS" w:hAnsi="Trebuchet MS" w:cs="Trebuchet MS"/>
          <w:lang w:val="ro-RO"/>
        </w:rPr>
        <w:t>a) aprobă încheierea de contracte în limitele mandatului primit din partea consiliului de administrație;</w:t>
      </w:r>
    </w:p>
    <w:p>
      <w:pPr>
        <w:pStyle w:val="261"/>
        <w:shd w:val="clear" w:color="auto" w:fill="FFFFFF"/>
        <w:spacing w:before="0" w:beforeAutospacing="0" w:after="0" w:afterAutospacing="0"/>
        <w:ind w:left="-240" w:leftChars="-100" w:right="-334" w:rightChars="-139"/>
        <w:jc w:val="both"/>
        <w:rPr>
          <w:rFonts w:ascii="Trebuchet MS" w:hAnsi="Trebuchet MS" w:cs="Trebuchet MS"/>
          <w:lang w:val="ro-RO"/>
        </w:rPr>
      </w:pPr>
      <w:r>
        <w:rPr>
          <w:rFonts w:ascii="Trebuchet MS" w:hAnsi="Trebuchet MS" w:cs="Trebuchet MS"/>
          <w:lang w:val="ro-RO"/>
        </w:rPr>
        <w:t>b) angajează cheltuielile Fondului, în cadrul bugetului de venituri și cheltuieli aprobat și a reglementărilor legale în vigoare;</w:t>
      </w:r>
    </w:p>
    <w:p>
      <w:pPr>
        <w:pStyle w:val="261"/>
        <w:shd w:val="clear" w:color="auto" w:fill="FFFFFF"/>
        <w:spacing w:before="0" w:beforeAutospacing="0" w:after="0" w:afterAutospacing="0"/>
        <w:ind w:left="-240" w:leftChars="-100" w:right="-334" w:rightChars="-139"/>
        <w:jc w:val="both"/>
        <w:rPr>
          <w:rFonts w:ascii="Trebuchet MS" w:hAnsi="Trebuchet MS" w:cs="Trebuchet MS"/>
          <w:lang w:val="ro-RO"/>
        </w:rPr>
      </w:pPr>
      <w:r>
        <w:rPr>
          <w:rFonts w:ascii="Trebuchet MS" w:hAnsi="Trebuchet MS" w:cs="Trebuchet MS"/>
          <w:lang w:val="ro-RO"/>
        </w:rPr>
        <w:t>c) încheie, modifică și desface contractele individuale de muncă ale salariaților Fondului;</w:t>
      </w:r>
    </w:p>
    <w:p>
      <w:pPr>
        <w:pStyle w:val="261"/>
        <w:shd w:val="clear" w:color="auto" w:fill="FFFFFF"/>
        <w:spacing w:before="0" w:beforeAutospacing="0" w:after="0" w:afterAutospacing="0"/>
        <w:ind w:left="-240" w:leftChars="-100" w:right="-334" w:rightChars="-139"/>
        <w:jc w:val="both"/>
        <w:rPr>
          <w:rFonts w:ascii="Trebuchet MS" w:hAnsi="Trebuchet MS" w:cs="Trebuchet MS"/>
          <w:lang w:val="ro-RO"/>
        </w:rPr>
      </w:pPr>
      <w:r>
        <w:rPr>
          <w:rFonts w:ascii="Trebuchet MS" w:hAnsi="Trebuchet MS" w:cs="Trebuchet MS"/>
          <w:lang w:val="ro-RO"/>
        </w:rPr>
        <w:t>d) negociază contractul colectiv de muncă cu salariații, reprezentați conform legii;</w:t>
      </w:r>
    </w:p>
    <w:p>
      <w:pPr>
        <w:pStyle w:val="261"/>
        <w:shd w:val="clear" w:color="auto" w:fill="FFFFFF"/>
        <w:spacing w:before="0" w:beforeAutospacing="0" w:after="0" w:afterAutospacing="0"/>
        <w:ind w:left="-240" w:leftChars="-100" w:right="-334" w:rightChars="-139"/>
        <w:jc w:val="both"/>
        <w:rPr>
          <w:rFonts w:ascii="Trebuchet MS" w:hAnsi="Trebuchet MS" w:cs="Trebuchet MS"/>
          <w:lang w:val="ro-RO"/>
        </w:rPr>
      </w:pPr>
      <w:r>
        <w:rPr>
          <w:rFonts w:ascii="Trebuchet MS" w:hAnsi="Trebuchet MS" w:cs="Trebuchet MS"/>
          <w:lang w:val="ro-RO"/>
        </w:rPr>
        <w:t>e) aprobă regulamentul intern, care va reglementa cel puțin aspectele referitoare la: protecția, igiena și securitatea în muncă, drepturile și obligațiile angajatorului și ale salariaților, respectarea principiului nediscriminării și al înlăturării oricărei forme de încălcare a demnității, procedura de soluționare a cererilor sau reclamațiilor individuale ale salariaților, disciplina muncii, abaterile disciplinare și sancțiunile aplicabile, procedura disciplinară;</w:t>
      </w:r>
    </w:p>
    <w:p>
      <w:pPr>
        <w:pStyle w:val="261"/>
        <w:shd w:val="clear" w:color="auto" w:fill="FFFFFF"/>
        <w:spacing w:before="0" w:beforeAutospacing="0" w:after="0" w:afterAutospacing="0"/>
        <w:ind w:left="-240" w:leftChars="-100" w:right="-334" w:rightChars="-139"/>
        <w:jc w:val="both"/>
        <w:rPr>
          <w:rFonts w:ascii="Trebuchet MS" w:hAnsi="Trebuchet MS" w:cs="Trebuchet MS"/>
          <w:lang w:val="ro-RO"/>
        </w:rPr>
      </w:pPr>
      <w:r>
        <w:rPr>
          <w:rFonts w:ascii="Trebuchet MS" w:hAnsi="Trebuchet MS" w:cs="Trebuchet MS"/>
          <w:lang w:val="ro-RO"/>
        </w:rPr>
        <w:t>f) prezintă consiliului de administrație rapoarte și alte informații solicitate, referitoare la activitatea Fondului;</w:t>
      </w:r>
    </w:p>
    <w:p>
      <w:pPr>
        <w:pStyle w:val="261"/>
        <w:shd w:val="clear" w:color="auto" w:fill="FFFFFF"/>
        <w:spacing w:before="0" w:beforeAutospacing="0" w:after="0" w:afterAutospacing="0"/>
        <w:ind w:left="-240" w:leftChars="-100" w:right="-334" w:rightChars="-139"/>
        <w:jc w:val="both"/>
        <w:rPr>
          <w:rFonts w:ascii="Trebuchet MS" w:hAnsi="Trebuchet MS" w:cs="Trebuchet MS"/>
          <w:lang w:val="ro-RO"/>
        </w:rPr>
      </w:pPr>
      <w:r>
        <w:rPr>
          <w:rFonts w:ascii="Trebuchet MS" w:hAnsi="Trebuchet MS" w:cs="Trebuchet MS"/>
          <w:lang w:val="ro-RO"/>
        </w:rPr>
        <w:t>g) supune deciziei consiliului de administrație situațiile financiare anuale ale F.N.G.C.I.M.M. S.A. - IFN, precum și proiectele strategiei, bugetului de venituri și cheltuieli, programului anual de investiții și programului anual de activitate și politicii de risc;</w:t>
      </w:r>
    </w:p>
    <w:p>
      <w:pPr>
        <w:pStyle w:val="261"/>
        <w:shd w:val="clear" w:color="auto" w:fill="FFFFFF"/>
        <w:spacing w:before="0" w:beforeAutospacing="0" w:after="0" w:afterAutospacing="0"/>
        <w:ind w:left="-240" w:leftChars="-100" w:right="-334" w:rightChars="-139"/>
        <w:jc w:val="both"/>
        <w:rPr>
          <w:rFonts w:ascii="Trebuchet MS" w:hAnsi="Trebuchet MS" w:cs="Trebuchet MS"/>
          <w:lang w:val="ro-RO"/>
        </w:rPr>
      </w:pPr>
      <w:r>
        <w:rPr>
          <w:rFonts w:ascii="Trebuchet MS" w:hAnsi="Trebuchet MS" w:cs="Trebuchet MS"/>
          <w:lang w:val="ro-RO"/>
        </w:rPr>
        <w:t>h) îndeplinește orice alte atribuții date în competența sa de către consiliul de administrație sau care decurg din regulamentul de organizare și funcționare.</w:t>
      </w:r>
    </w:p>
    <w:p>
      <w:pPr>
        <w:pStyle w:val="261"/>
        <w:shd w:val="clear" w:color="auto" w:fill="FFFFFF"/>
        <w:spacing w:before="0" w:beforeAutospacing="0" w:after="0" w:afterAutospacing="0"/>
        <w:ind w:left="-240" w:leftChars="-100" w:right="-334" w:rightChars="-139"/>
        <w:jc w:val="both"/>
        <w:rPr>
          <w:rFonts w:ascii="Trebuchet MS" w:hAnsi="Trebuchet MS" w:cs="Trebuchet MS"/>
          <w:u w:val="single"/>
          <w:lang w:val="ro-RO"/>
        </w:rPr>
      </w:pPr>
    </w:p>
    <w:p>
      <w:pPr>
        <w:pStyle w:val="261"/>
        <w:shd w:val="clear" w:color="auto" w:fill="FFFFFF"/>
        <w:spacing w:before="0" w:beforeAutospacing="0" w:after="0" w:afterAutospacing="0"/>
        <w:ind w:left="-240" w:leftChars="-100" w:right="-334" w:rightChars="-139"/>
        <w:jc w:val="both"/>
        <w:rPr>
          <w:rFonts w:ascii="Trebuchet MS" w:hAnsi="Trebuchet MS" w:cs="Trebuchet MS"/>
          <w:lang w:val="ro-RO"/>
        </w:rPr>
      </w:pPr>
      <w:r>
        <w:rPr>
          <w:rFonts w:ascii="Trebuchet MS" w:hAnsi="Trebuchet MS" w:cs="Trebuchet MS"/>
          <w:u w:val="single"/>
          <w:lang w:val="ro-RO"/>
        </w:rPr>
        <w:t>Directorul general adjunct</w:t>
      </w:r>
      <w:r>
        <w:rPr>
          <w:rFonts w:ascii="Trebuchet MS" w:hAnsi="Trebuchet MS" w:cs="Trebuchet MS"/>
          <w:lang w:val="ro-RO"/>
        </w:rPr>
        <w:t xml:space="preserve"> are următoarele atribuții:</w:t>
      </w:r>
    </w:p>
    <w:p>
      <w:pPr>
        <w:pStyle w:val="261"/>
        <w:shd w:val="clear" w:color="auto" w:fill="FFFFFF"/>
        <w:spacing w:before="0" w:beforeAutospacing="0" w:after="0" w:afterAutospacing="0"/>
        <w:ind w:left="-240" w:leftChars="-100" w:right="-334" w:rightChars="-139"/>
        <w:jc w:val="both"/>
        <w:rPr>
          <w:rFonts w:ascii="Trebuchet MS" w:hAnsi="Trebuchet MS" w:cs="Trebuchet MS"/>
          <w:lang w:val="ro-RO"/>
        </w:rPr>
      </w:pPr>
      <w:r>
        <w:rPr>
          <w:rFonts w:ascii="Trebuchet MS" w:hAnsi="Trebuchet MS" w:cs="Trebuchet MS"/>
          <w:lang w:val="ro-RO"/>
        </w:rPr>
        <w:t>a) este înlocuitorul de drept al directorului general;</w:t>
      </w:r>
    </w:p>
    <w:p>
      <w:pPr>
        <w:pStyle w:val="261"/>
        <w:shd w:val="clear" w:color="auto" w:fill="FFFFFF"/>
        <w:spacing w:before="0" w:beforeAutospacing="0" w:after="0" w:afterAutospacing="0"/>
        <w:ind w:left="-240" w:leftChars="-100" w:right="-334" w:rightChars="-139"/>
        <w:jc w:val="both"/>
        <w:rPr>
          <w:rFonts w:ascii="Trebuchet MS" w:hAnsi="Trebuchet MS" w:cs="Trebuchet MS"/>
          <w:lang w:val="ro-RO"/>
        </w:rPr>
      </w:pPr>
      <w:r>
        <w:rPr>
          <w:rFonts w:ascii="Trebuchet MS" w:hAnsi="Trebuchet MS" w:cs="Trebuchet MS"/>
          <w:lang w:val="ro-RO"/>
        </w:rPr>
        <w:t>b) conduce și coordonează structurile interne ale Fondului date în responsabilitatea sa prin regulamentul de organizare și funcționare, analizează lucrările elaborate în cadrul acestora și urmărește realizarea în termen a sarcinilor primite de personalul din subordine, în strictă concordanță cu reglementările în vigoare și normele interne;</w:t>
      </w:r>
    </w:p>
    <w:p>
      <w:pPr>
        <w:pStyle w:val="261"/>
        <w:shd w:val="clear" w:color="auto" w:fill="FFFFFF"/>
        <w:spacing w:before="0" w:beforeAutospacing="0" w:after="0" w:afterAutospacing="0"/>
        <w:ind w:left="-240" w:leftChars="-100" w:right="-334" w:rightChars="-139"/>
        <w:jc w:val="both"/>
        <w:rPr>
          <w:rFonts w:ascii="Trebuchet MS" w:hAnsi="Trebuchet MS" w:cs="Trebuchet MS"/>
          <w:lang w:val="ro-RO"/>
        </w:rPr>
      </w:pPr>
      <w:r>
        <w:rPr>
          <w:rFonts w:ascii="Trebuchet MS" w:hAnsi="Trebuchet MS" w:cs="Trebuchet MS"/>
          <w:lang w:val="ro-RO"/>
        </w:rPr>
        <w:t>c) propune măsuri de organizare eficientă a muncii în cadrul Fondului;</w:t>
      </w:r>
    </w:p>
    <w:p>
      <w:pPr>
        <w:pStyle w:val="261"/>
        <w:shd w:val="clear" w:color="auto" w:fill="FFFFFF"/>
        <w:spacing w:before="0" w:beforeAutospacing="0" w:after="0" w:afterAutospacing="0"/>
        <w:ind w:left="-240" w:leftChars="-100" w:right="-334" w:rightChars="-139"/>
        <w:jc w:val="both"/>
        <w:rPr>
          <w:rFonts w:ascii="Trebuchet MS" w:hAnsi="Trebuchet MS" w:cs="Trebuchet MS"/>
          <w:lang w:val="ro-RO"/>
        </w:rPr>
      </w:pPr>
      <w:r>
        <w:rPr>
          <w:rFonts w:ascii="Trebuchet MS" w:hAnsi="Trebuchet MS" w:cs="Trebuchet MS"/>
          <w:lang w:val="ro-RO"/>
        </w:rPr>
        <w:t>d) prezintă consiliului de administrație rapoarte și alte informații solicitate, referitoare la activitatea Fondului;</w:t>
      </w:r>
    </w:p>
    <w:p>
      <w:pPr>
        <w:pStyle w:val="261"/>
        <w:shd w:val="clear" w:color="auto" w:fill="FFFFFF"/>
        <w:spacing w:before="0" w:beforeAutospacing="0" w:after="0" w:afterAutospacing="0"/>
        <w:ind w:left="-240" w:leftChars="-100" w:right="-334" w:rightChars="-139"/>
        <w:jc w:val="both"/>
        <w:rPr>
          <w:rFonts w:ascii="Trebuchet MS" w:hAnsi="Trebuchet MS" w:cs="Trebuchet MS"/>
          <w:lang w:val="ro-RO"/>
        </w:rPr>
      </w:pPr>
      <w:r>
        <w:rPr>
          <w:rFonts w:ascii="Trebuchet MS" w:hAnsi="Trebuchet MS" w:cs="Trebuchet MS"/>
          <w:lang w:val="ro-RO"/>
        </w:rPr>
        <w:t>e) îndeplinește orice alte atribuții date în competența sa de către consiliul de administrație sau care decurg din regulamentul de organizare și funcționare</w:t>
      </w:r>
    </w:p>
    <w:p>
      <w:pPr>
        <w:pStyle w:val="261"/>
        <w:shd w:val="clear" w:color="auto" w:fill="FFFFFF"/>
        <w:tabs>
          <w:tab w:val="left" w:pos="450"/>
        </w:tabs>
        <w:spacing w:before="0" w:beforeAutospacing="0" w:after="0" w:afterAutospacing="0"/>
        <w:ind w:left="-240" w:leftChars="-100" w:right="-334" w:rightChars="-139"/>
        <w:jc w:val="both"/>
        <w:rPr>
          <w:rFonts w:ascii="Trebuchet MS" w:hAnsi="Trebuchet MS" w:cs="Trebuchet MS"/>
          <w:u w:val="single"/>
          <w:lang w:val="ro-RO"/>
        </w:rPr>
      </w:pPr>
    </w:p>
    <w:p>
      <w:pPr>
        <w:pStyle w:val="261"/>
        <w:shd w:val="clear" w:color="auto" w:fill="FFFFFF"/>
        <w:tabs>
          <w:tab w:val="left" w:pos="450"/>
        </w:tabs>
        <w:spacing w:before="0" w:beforeAutospacing="0" w:after="0" w:afterAutospacing="0"/>
        <w:ind w:left="-240" w:leftChars="-100" w:right="-334" w:rightChars="-139"/>
        <w:jc w:val="both"/>
        <w:rPr>
          <w:rFonts w:ascii="Trebuchet MS" w:hAnsi="Trebuchet MS" w:cs="Trebuchet MS"/>
          <w:lang w:val="ro-RO"/>
        </w:rPr>
      </w:pPr>
      <w:r>
        <w:rPr>
          <w:rFonts w:ascii="Trebuchet MS" w:hAnsi="Trebuchet MS" w:cs="Trebuchet MS"/>
          <w:u w:val="single"/>
          <w:lang w:val="ro-RO"/>
        </w:rPr>
        <w:t>Directorul financiar</w:t>
      </w:r>
      <w:r>
        <w:rPr>
          <w:rFonts w:ascii="Trebuchet MS" w:hAnsi="Trebuchet MS" w:cs="Trebuchet MS"/>
          <w:lang w:val="ro-RO"/>
        </w:rPr>
        <w:t xml:space="preserve"> are următoarele atribuții:</w:t>
      </w:r>
    </w:p>
    <w:p>
      <w:pPr>
        <w:numPr>
          <w:ilvl w:val="0"/>
          <w:numId w:val="14"/>
        </w:numPr>
        <w:tabs>
          <w:tab w:val="left" w:pos="360"/>
          <w:tab w:val="left" w:pos="450"/>
          <w:tab w:val="left" w:pos="540"/>
          <w:tab w:val="left" w:pos="720"/>
        </w:tabs>
        <w:ind w:left="-240" w:leftChars="-100" w:right="-334" w:rightChars="-139" w:firstLine="0"/>
        <w:jc w:val="both"/>
        <w:rPr>
          <w:rFonts w:ascii="Trebuchet MS" w:hAnsi="Trebuchet MS" w:cs="Trebuchet MS"/>
          <w:lang w:val="ro-RO"/>
        </w:rPr>
      </w:pPr>
      <w:r>
        <w:rPr>
          <w:rFonts w:ascii="Trebuchet MS" w:hAnsi="Trebuchet MS" w:cs="Trebuchet MS"/>
          <w:lang w:val="ro-RO"/>
        </w:rPr>
        <w:t xml:space="preserve">Organizează, coordonează, controlează şi evalueaza activitatea </w:t>
      </w:r>
      <w:r>
        <w:rPr>
          <w:rFonts w:ascii="Trebuchet MS" w:hAnsi="Trebuchet MS" w:cs="Trebuchet MS"/>
          <w:u w:val="single"/>
          <w:lang w:val="ro-RO"/>
        </w:rPr>
        <w:t>Directiei financiar-contabilitate</w:t>
      </w:r>
      <w:r>
        <w:rPr>
          <w:rFonts w:ascii="Trebuchet MS" w:hAnsi="Trebuchet MS" w:cs="Trebuchet MS"/>
          <w:lang w:val="ro-RO"/>
        </w:rPr>
        <w:t>, în vederea îndeplinirii atribuţiilor şi răspunderilor ce revin Fondului potrivit legii în domeniile contabil, financiar şi fiscal în concordanţă cu cadrul legal şi reglementările interne aplicabile;</w:t>
      </w:r>
    </w:p>
    <w:p>
      <w:pPr>
        <w:numPr>
          <w:ilvl w:val="0"/>
          <w:numId w:val="14"/>
        </w:numPr>
        <w:tabs>
          <w:tab w:val="left" w:pos="360"/>
          <w:tab w:val="left" w:pos="450"/>
          <w:tab w:val="left" w:pos="540"/>
          <w:tab w:val="left" w:pos="720"/>
        </w:tabs>
        <w:ind w:left="-240" w:leftChars="-100" w:right="-334" w:rightChars="-139" w:firstLine="0"/>
        <w:jc w:val="both"/>
        <w:rPr>
          <w:rFonts w:ascii="Trebuchet MS" w:hAnsi="Trebuchet MS" w:cs="Trebuchet MS"/>
          <w:lang w:val="ro-RO"/>
        </w:rPr>
      </w:pPr>
      <w:r>
        <w:rPr>
          <w:rFonts w:ascii="Trebuchet MS" w:hAnsi="Trebuchet MS" w:cs="Trebuchet MS"/>
          <w:lang w:val="ro-RO"/>
        </w:rPr>
        <w:t xml:space="preserve">Defineşte şi implementează politicile şi procedurile financiar – contabile precum şi sistemele de raportare financiar-contabilă, prudenţială şi fiscală; </w:t>
      </w:r>
    </w:p>
    <w:p>
      <w:pPr>
        <w:numPr>
          <w:ilvl w:val="0"/>
          <w:numId w:val="14"/>
        </w:numPr>
        <w:tabs>
          <w:tab w:val="left" w:pos="360"/>
          <w:tab w:val="left" w:pos="450"/>
          <w:tab w:val="left" w:pos="540"/>
          <w:tab w:val="left" w:pos="720"/>
        </w:tabs>
        <w:ind w:left="-240" w:leftChars="-100" w:right="-334" w:rightChars="-139" w:firstLine="0"/>
        <w:jc w:val="both"/>
        <w:rPr>
          <w:rFonts w:ascii="Trebuchet MS" w:hAnsi="Trebuchet MS" w:cs="Trebuchet MS"/>
          <w:lang w:val="ro-RO"/>
        </w:rPr>
      </w:pPr>
      <w:r>
        <w:rPr>
          <w:rFonts w:ascii="Trebuchet MS" w:hAnsi="Trebuchet MS" w:cs="Trebuchet MS"/>
          <w:lang w:val="ro-RO"/>
        </w:rPr>
        <w:t>Formulează recomandări de modificare a reglementărilor interne, a procedurilor, sistemelor de operare, bugetelor şi a funcţiilor de control financiar pentru manageri şi alte departamente;</w:t>
      </w:r>
    </w:p>
    <w:p>
      <w:pPr>
        <w:numPr>
          <w:ilvl w:val="0"/>
          <w:numId w:val="14"/>
        </w:numPr>
        <w:tabs>
          <w:tab w:val="left" w:pos="360"/>
          <w:tab w:val="left" w:pos="450"/>
          <w:tab w:val="left" w:pos="540"/>
          <w:tab w:val="left" w:pos="720"/>
        </w:tabs>
        <w:ind w:left="-240" w:leftChars="-100" w:right="-334" w:rightChars="-139" w:firstLine="0"/>
        <w:jc w:val="both"/>
        <w:rPr>
          <w:rFonts w:ascii="Trebuchet MS" w:hAnsi="Trebuchet MS" w:cs="Trebuchet MS"/>
          <w:lang w:val="ro-RO"/>
        </w:rPr>
      </w:pPr>
      <w:r>
        <w:rPr>
          <w:rFonts w:ascii="Trebuchet MS" w:hAnsi="Trebuchet MS" w:cs="Trebuchet MS"/>
          <w:lang w:val="ro-RO"/>
        </w:rPr>
        <w:t>Coordonează procesul de planificare financiară, elaborarea şi execuţia bugetului de venituri şi cheltuieli; analizează şi actualizează previziunile pe termen scurt şi mediu;</w:t>
      </w:r>
    </w:p>
    <w:p>
      <w:pPr>
        <w:numPr>
          <w:ilvl w:val="0"/>
          <w:numId w:val="14"/>
        </w:numPr>
        <w:tabs>
          <w:tab w:val="left" w:pos="360"/>
          <w:tab w:val="left" w:pos="450"/>
          <w:tab w:val="left" w:pos="540"/>
          <w:tab w:val="left" w:pos="720"/>
        </w:tabs>
        <w:ind w:left="-240" w:leftChars="-100" w:right="-334" w:rightChars="-139" w:firstLine="0"/>
        <w:jc w:val="both"/>
        <w:rPr>
          <w:rFonts w:ascii="Trebuchet MS" w:hAnsi="Trebuchet MS" w:cs="Trebuchet MS"/>
          <w:lang w:val="ro-RO"/>
        </w:rPr>
      </w:pPr>
      <w:r>
        <w:rPr>
          <w:rFonts w:ascii="Trebuchet MS" w:hAnsi="Trebuchet MS" w:cs="Trebuchet MS"/>
          <w:lang w:val="ro-RO"/>
        </w:rPr>
        <w:t>Coordonează organizarea activităţii de Control Financiar Preventiv la nivelul Fondului;</w:t>
      </w:r>
    </w:p>
    <w:p>
      <w:pPr>
        <w:numPr>
          <w:ilvl w:val="0"/>
          <w:numId w:val="14"/>
        </w:numPr>
        <w:tabs>
          <w:tab w:val="left" w:pos="450"/>
          <w:tab w:val="left" w:pos="540"/>
          <w:tab w:val="left" w:pos="720"/>
        </w:tabs>
        <w:ind w:left="-240" w:leftChars="-100" w:right="-334" w:rightChars="-139" w:firstLine="0"/>
        <w:jc w:val="both"/>
        <w:rPr>
          <w:rFonts w:ascii="Trebuchet MS" w:hAnsi="Trebuchet MS" w:cs="Trebuchet MS"/>
          <w:lang w:val="ro-RO"/>
        </w:rPr>
      </w:pPr>
      <w:r>
        <w:rPr>
          <w:rFonts w:ascii="Trebuchet MS" w:hAnsi="Trebuchet MS" w:cs="Trebuchet MS"/>
          <w:lang w:val="ro-RO"/>
        </w:rPr>
        <w:t>Este membru titular al Comitetului executiv;</w:t>
      </w:r>
    </w:p>
    <w:p>
      <w:pPr>
        <w:numPr>
          <w:ilvl w:val="0"/>
          <w:numId w:val="14"/>
        </w:numPr>
        <w:tabs>
          <w:tab w:val="left" w:pos="450"/>
          <w:tab w:val="left" w:pos="540"/>
          <w:tab w:val="left" w:pos="720"/>
        </w:tabs>
        <w:ind w:left="-240" w:leftChars="-100" w:right="-334" w:rightChars="-139" w:firstLine="0"/>
        <w:jc w:val="both"/>
        <w:rPr>
          <w:rFonts w:ascii="Trebuchet MS" w:hAnsi="Trebuchet MS" w:cs="Trebuchet MS"/>
          <w:lang w:val="ro-RO"/>
        </w:rPr>
      </w:pPr>
      <w:r>
        <w:rPr>
          <w:rFonts w:ascii="Trebuchet MS" w:hAnsi="Trebuchet MS" w:cs="Trebuchet MS"/>
          <w:lang w:val="ro-RO"/>
        </w:rPr>
        <w:t>Coordoneză întocmirea situaţiilor financiare, a analizelor cost beneficiu, rapoarte de gestiune financiară şi a altor rapoarte şi analize necesare în procesul de fundamentare a deciziei;</w:t>
      </w:r>
    </w:p>
    <w:p>
      <w:pPr>
        <w:numPr>
          <w:ilvl w:val="0"/>
          <w:numId w:val="14"/>
        </w:numPr>
        <w:tabs>
          <w:tab w:val="left" w:pos="450"/>
          <w:tab w:val="left" w:pos="540"/>
          <w:tab w:val="left" w:pos="720"/>
        </w:tabs>
        <w:ind w:left="-240" w:leftChars="-100" w:right="-334" w:rightChars="-139" w:firstLine="0"/>
        <w:jc w:val="both"/>
        <w:rPr>
          <w:rFonts w:ascii="Trebuchet MS" w:hAnsi="Trebuchet MS" w:cs="Trebuchet MS"/>
          <w:lang w:val="ro-RO"/>
        </w:rPr>
      </w:pPr>
      <w:r>
        <w:rPr>
          <w:rFonts w:ascii="Trebuchet MS" w:hAnsi="Trebuchet MS" w:cs="Trebuchet MS"/>
          <w:lang w:val="ro-RO"/>
        </w:rPr>
        <w:t>Este responsabil pentru planificarea, conducerea, supravegherea operaţiunilor şi a gestionării financiare a departamentului</w:t>
      </w:r>
      <w:bookmarkStart w:id="23" w:name="bookmark22"/>
      <w:bookmarkStart w:id="24" w:name="bookmark23"/>
      <w:r>
        <w:rPr>
          <w:rFonts w:ascii="Trebuchet MS" w:hAnsi="Trebuchet MS" w:cs="Trebuchet MS"/>
          <w:lang w:val="ro-RO"/>
        </w:rPr>
        <w:t>.</w:t>
      </w:r>
    </w:p>
    <w:p>
      <w:pPr>
        <w:tabs>
          <w:tab w:val="left" w:pos="450"/>
          <w:tab w:val="left" w:pos="540"/>
          <w:tab w:val="left" w:pos="720"/>
        </w:tabs>
        <w:spacing w:after="0"/>
        <w:ind w:left="-240" w:leftChars="-100" w:right="-334" w:rightChars="-139"/>
        <w:jc w:val="both"/>
        <w:rPr>
          <w:rFonts w:ascii="Trebuchet MS" w:hAnsi="Trebuchet MS" w:cs="Trebuchet MS"/>
          <w:lang w:val="ro-RO"/>
        </w:rPr>
      </w:pPr>
    </w:p>
    <w:p>
      <w:pPr>
        <w:pStyle w:val="237"/>
        <w:tabs>
          <w:tab w:val="left" w:pos="180"/>
          <w:tab w:val="left" w:pos="450"/>
          <w:tab w:val="left" w:pos="540"/>
          <w:tab w:val="left" w:pos="720"/>
        </w:tabs>
        <w:ind w:left="-240" w:leftChars="-100" w:right="-334" w:rightChars="-139"/>
        <w:jc w:val="both"/>
        <w:rPr>
          <w:rFonts w:ascii="Trebuchet MS" w:hAnsi="Trebuchet MS" w:cs="Trebuchet MS"/>
          <w:b/>
          <w:bCs/>
          <w:lang w:val="ro-RO"/>
        </w:rPr>
      </w:pPr>
      <w:r>
        <w:rPr>
          <w:rFonts w:ascii="Trebuchet MS" w:hAnsi="Trebuchet MS" w:cs="Trebuchet MS"/>
          <w:b/>
          <w:bCs/>
          <w:lang w:val="ro-RO" w:eastAsia="ro-RO" w:bidi="ro-RO"/>
        </w:rPr>
        <w:t xml:space="preserve">8. Așteptările autorității publice tutelare de la organele de administrare și conducere ale </w:t>
      </w:r>
      <w:r>
        <w:rPr>
          <w:rFonts w:ascii="Trebuchet MS" w:hAnsi="Trebuchet MS" w:cs="Trebuchet MS"/>
          <w:b/>
          <w:bCs/>
          <w:lang w:val="ro-RO"/>
        </w:rPr>
        <w:t>F.N.G.C.I.M.M. S.A. - IFN</w:t>
      </w:r>
      <w:r>
        <w:rPr>
          <w:rFonts w:ascii="Trebuchet MS" w:hAnsi="Trebuchet MS" w:cs="Trebuchet MS"/>
          <w:b/>
          <w:bCs/>
          <w:lang w:val="ro-RO" w:eastAsia="ro-RO" w:bidi="ro-RO"/>
        </w:rPr>
        <w:t>.</w:t>
      </w:r>
      <w:bookmarkEnd w:id="23"/>
      <w:bookmarkEnd w:id="24"/>
    </w:p>
    <w:p>
      <w:pPr>
        <w:pStyle w:val="237"/>
        <w:tabs>
          <w:tab w:val="left" w:pos="180"/>
          <w:tab w:val="left" w:pos="450"/>
          <w:tab w:val="left" w:pos="540"/>
          <w:tab w:val="left" w:pos="720"/>
        </w:tabs>
        <w:spacing w:after="0"/>
        <w:ind w:left="-240" w:leftChars="-100" w:right="-334" w:rightChars="-139"/>
        <w:rPr>
          <w:rFonts w:ascii="Trebuchet MS" w:hAnsi="Trebuchet MS" w:cs="Trebuchet MS"/>
          <w:b/>
          <w:bCs/>
          <w:lang w:val="ro-RO"/>
        </w:rPr>
      </w:pPr>
    </w:p>
    <w:p>
      <w:pPr>
        <w:pStyle w:val="10"/>
        <w:tabs>
          <w:tab w:val="left" w:pos="180"/>
          <w:tab w:val="left" w:pos="540"/>
        </w:tabs>
        <w:ind w:left="-240" w:leftChars="-100" w:right="-334" w:rightChars="-139"/>
        <w:jc w:val="both"/>
        <w:rPr>
          <w:rFonts w:ascii="Trebuchet MS" w:hAnsi="Trebuchet MS" w:cs="Trebuchet MS"/>
          <w:sz w:val="24"/>
          <w:lang w:val="ro-RO"/>
        </w:rPr>
      </w:pPr>
      <w:r>
        <w:rPr>
          <w:rFonts w:ascii="Trebuchet MS" w:hAnsi="Trebuchet MS" w:cs="Trebuchet MS"/>
          <w:sz w:val="24"/>
          <w:lang w:val="ro-RO" w:eastAsia="ro-RO" w:bidi="ro-RO"/>
        </w:rPr>
        <w:t xml:space="preserve">Ministerul Finanțelor, în calitate de autoritate publică tutelară, stabilește pentru viitoarele organe de conducere ale </w:t>
      </w:r>
      <w:r>
        <w:rPr>
          <w:rFonts w:ascii="Trebuchet MS" w:hAnsi="Trebuchet MS" w:cs="Trebuchet MS"/>
          <w:sz w:val="24"/>
          <w:lang w:val="ro-RO"/>
        </w:rPr>
        <w:t>F.N.G.C.I.M.M. S.A. – IFN</w:t>
      </w:r>
      <w:r>
        <w:rPr>
          <w:rFonts w:ascii="Trebuchet MS" w:hAnsi="Trebuchet MS" w:cs="Trebuchet MS"/>
          <w:sz w:val="24"/>
          <w:lang w:val="ro-RO" w:eastAsia="ro-RO" w:bidi="ro-RO"/>
        </w:rPr>
        <w:t xml:space="preserve"> următoarele obiective majore, pentru perioada mandatului cu proiecție pe termen lung:</w:t>
      </w:r>
    </w:p>
    <w:p>
      <w:pPr>
        <w:pStyle w:val="10"/>
        <w:numPr>
          <w:ilvl w:val="0"/>
          <w:numId w:val="15"/>
        </w:numPr>
        <w:tabs>
          <w:tab w:val="left" w:pos="180"/>
          <w:tab w:val="left" w:pos="540"/>
        </w:tabs>
        <w:ind w:left="-240" w:leftChars="-100" w:right="-334" w:rightChars="-139" w:firstLine="0"/>
        <w:jc w:val="both"/>
        <w:rPr>
          <w:rFonts w:ascii="Trebuchet MS" w:hAnsi="Trebuchet MS" w:cs="Trebuchet MS"/>
          <w:b/>
          <w:bCs/>
          <w:sz w:val="24"/>
          <w:lang w:val="ro-RO" w:eastAsia="ro-RO" w:bidi="ro-RO"/>
        </w:rPr>
      </w:pPr>
      <w:r>
        <w:rPr>
          <w:rFonts w:ascii="Trebuchet MS" w:hAnsi="Trebuchet MS" w:cs="Trebuchet MS"/>
          <w:b/>
          <w:bCs/>
          <w:sz w:val="24"/>
          <w:lang w:val="ro-RO" w:eastAsia="ro-RO" w:bidi="ro-RO"/>
        </w:rPr>
        <w:t>elaborarea unei Strategii de dezvoltare pe următorii 4 ani, în corelare cu programele guvernamentale raportate la relansarea economică prevăzută în legislația românească care să includă fuziunea cu filialele sale</w:t>
      </w:r>
      <w:r>
        <w:rPr>
          <w:rFonts w:ascii="Trebuchet MS" w:hAnsi="Trebuchet MS" w:cs="Trebuchet MS"/>
          <w:b/>
          <w:bCs/>
          <w:sz w:val="24"/>
          <w:lang w:val="ro-RO" w:eastAsia="en-US" w:bidi="ro-RO"/>
        </w:rPr>
        <w:t>;</w:t>
      </w:r>
    </w:p>
    <w:p>
      <w:pPr>
        <w:pStyle w:val="10"/>
        <w:numPr>
          <w:ilvl w:val="0"/>
          <w:numId w:val="15"/>
        </w:numPr>
        <w:tabs>
          <w:tab w:val="left" w:pos="180"/>
          <w:tab w:val="left" w:pos="540"/>
        </w:tabs>
        <w:ind w:left="-240" w:leftChars="-100" w:right="-334" w:rightChars="-139" w:firstLine="0"/>
        <w:jc w:val="both"/>
        <w:rPr>
          <w:rFonts w:ascii="Trebuchet MS" w:hAnsi="Trebuchet MS" w:cs="Trebuchet MS"/>
          <w:b/>
          <w:bCs/>
          <w:sz w:val="24"/>
          <w:lang w:val="ro-RO" w:eastAsia="ro-RO" w:bidi="ro-RO"/>
        </w:rPr>
      </w:pPr>
      <w:r>
        <w:rPr>
          <w:rFonts w:ascii="Trebuchet MS" w:hAnsi="Trebuchet MS" w:cs="Trebuchet MS"/>
          <w:b/>
          <w:bCs/>
          <w:sz w:val="24"/>
          <w:lang w:val="ro-RO" w:eastAsia="ro-RO" w:bidi="ro-RO"/>
        </w:rPr>
        <w:t>creșterea eficienței activității financiare și consolidarea profitabilității fondului;</w:t>
      </w:r>
    </w:p>
    <w:p>
      <w:pPr>
        <w:pStyle w:val="10"/>
        <w:numPr>
          <w:ilvl w:val="0"/>
          <w:numId w:val="15"/>
        </w:numPr>
        <w:tabs>
          <w:tab w:val="left" w:pos="180"/>
          <w:tab w:val="left" w:pos="540"/>
        </w:tabs>
        <w:ind w:left="-240" w:leftChars="-100" w:right="-334" w:rightChars="-139" w:firstLine="0"/>
        <w:jc w:val="both"/>
        <w:rPr>
          <w:rFonts w:ascii="Trebuchet MS" w:hAnsi="Trebuchet MS" w:cs="Trebuchet MS"/>
          <w:b/>
          <w:bCs/>
          <w:sz w:val="24"/>
          <w:lang w:val="ro-RO" w:eastAsia="ro-RO" w:bidi="ro-RO"/>
        </w:rPr>
      </w:pPr>
      <w:r>
        <w:rPr>
          <w:rFonts w:ascii="Trebuchet MS" w:hAnsi="Trebuchet MS" w:cs="Trebuchet MS"/>
          <w:b/>
          <w:bCs/>
          <w:sz w:val="24"/>
          <w:lang w:val="ro-RO" w:eastAsia="ro-RO" w:bidi="ro-RO"/>
        </w:rPr>
        <w:t xml:space="preserve">consolidarea statutului de principalul Fond de garantare pentru IMM-uri prin dezvoltarea în cadrul portofoliului de clienți a segmentului </w:t>
      </w:r>
      <w:r>
        <w:rPr>
          <w:rFonts w:ascii="Trebuchet MS" w:hAnsi="Trebuchet MS" w:cs="Trebuchet MS"/>
          <w:b/>
          <w:bCs/>
          <w:sz w:val="24"/>
          <w:lang w:val="ro-RO" w:eastAsia="en-US" w:bidi="ro-RO"/>
        </w:rPr>
        <w:t>de tip „business”;</w:t>
      </w:r>
    </w:p>
    <w:p>
      <w:pPr>
        <w:pStyle w:val="10"/>
        <w:numPr>
          <w:ilvl w:val="0"/>
          <w:numId w:val="15"/>
        </w:numPr>
        <w:tabs>
          <w:tab w:val="left" w:pos="180"/>
          <w:tab w:val="left" w:pos="540"/>
        </w:tabs>
        <w:ind w:left="-240" w:leftChars="-100" w:right="-334" w:rightChars="-139" w:firstLine="0"/>
        <w:jc w:val="both"/>
        <w:rPr>
          <w:rFonts w:ascii="Trebuchet MS" w:hAnsi="Trebuchet MS" w:cs="Trebuchet MS"/>
          <w:b/>
          <w:bCs/>
          <w:sz w:val="24"/>
          <w:lang w:val="ro-RO" w:eastAsia="ro-RO" w:bidi="ro-RO"/>
        </w:rPr>
      </w:pPr>
      <w:r>
        <w:rPr>
          <w:rFonts w:ascii="Trebuchet MS" w:hAnsi="Trebuchet MS" w:cs="Trebuchet MS"/>
          <w:b/>
          <w:bCs/>
          <w:sz w:val="24"/>
          <w:lang w:val="ro-RO" w:eastAsia="ro-RO" w:bidi="ro-RO"/>
        </w:rPr>
        <w:t>implementarea unei structuri organizatorice dinamice, cu o componentă funcțională ale cărei obiective justifică rațiunea înființării și funcționării acesteia și care asigură desfășurarea optimă a procesului managerial și a proceselor operationale</w:t>
      </w:r>
      <w:r>
        <w:rPr>
          <w:rFonts w:ascii="Trebuchet MS" w:hAnsi="Trebuchet MS" w:cs="Trebuchet MS"/>
          <w:b/>
          <w:bCs/>
          <w:sz w:val="24"/>
          <w:lang w:val="ro-RO" w:eastAsia="en-US" w:bidi="ro-RO"/>
        </w:rPr>
        <w:t>;</w:t>
      </w:r>
    </w:p>
    <w:p>
      <w:pPr>
        <w:pStyle w:val="10"/>
        <w:numPr>
          <w:ilvl w:val="0"/>
          <w:numId w:val="15"/>
        </w:numPr>
        <w:tabs>
          <w:tab w:val="left" w:pos="180"/>
          <w:tab w:val="left" w:pos="540"/>
        </w:tabs>
        <w:ind w:left="-240" w:leftChars="-100" w:right="-334" w:rightChars="-139" w:firstLine="0"/>
        <w:jc w:val="both"/>
        <w:rPr>
          <w:rFonts w:ascii="Trebuchet MS" w:hAnsi="Trebuchet MS" w:cs="Trebuchet MS"/>
          <w:b/>
          <w:bCs/>
          <w:sz w:val="24"/>
          <w:lang w:val="ro-RO" w:eastAsia="ro-RO" w:bidi="ro-RO"/>
        </w:rPr>
      </w:pPr>
      <w:r>
        <w:rPr>
          <w:rFonts w:ascii="Trebuchet MS" w:hAnsi="Trebuchet MS" w:cs="Trebuchet MS"/>
          <w:b/>
          <w:bCs/>
          <w:sz w:val="24"/>
          <w:lang w:val="ro-RO" w:eastAsia="ro-RO" w:bidi="ro-RO"/>
        </w:rPr>
        <w:t>dimensionarea unor instrumente suficient de atractive pentru încurajarea performanței și inovației în rândul personalului</w:t>
      </w:r>
      <w:r>
        <w:rPr>
          <w:rFonts w:ascii="Trebuchet MS" w:hAnsi="Trebuchet MS" w:cs="Trebuchet MS"/>
          <w:b/>
          <w:bCs/>
          <w:sz w:val="24"/>
          <w:lang w:val="ro-RO" w:eastAsia="en-US" w:bidi="ro-RO"/>
        </w:rPr>
        <w:t>;</w:t>
      </w:r>
    </w:p>
    <w:p>
      <w:pPr>
        <w:pStyle w:val="10"/>
        <w:numPr>
          <w:ilvl w:val="0"/>
          <w:numId w:val="15"/>
        </w:numPr>
        <w:tabs>
          <w:tab w:val="left" w:pos="180"/>
          <w:tab w:val="left" w:pos="540"/>
        </w:tabs>
        <w:ind w:left="-240" w:leftChars="-100" w:right="-334" w:rightChars="-139" w:firstLine="0"/>
        <w:jc w:val="both"/>
        <w:rPr>
          <w:rFonts w:ascii="Trebuchet MS" w:hAnsi="Trebuchet MS" w:cs="Trebuchet MS"/>
          <w:b/>
          <w:bCs/>
          <w:sz w:val="24"/>
          <w:lang w:val="ro-RO" w:eastAsia="ro-RO" w:bidi="ro-RO"/>
        </w:rPr>
      </w:pPr>
      <w:r>
        <w:rPr>
          <w:rFonts w:ascii="Trebuchet MS" w:hAnsi="Trebuchet MS" w:cs="Trebuchet MS"/>
          <w:b/>
          <w:bCs/>
          <w:sz w:val="24"/>
          <w:lang w:val="ro-RO" w:eastAsia="ro-RO" w:bidi="ro-RO"/>
        </w:rPr>
        <w:t xml:space="preserve">   îmbunătățirea indicatorilor de prudență financiară;</w:t>
      </w:r>
    </w:p>
    <w:p>
      <w:pPr>
        <w:pStyle w:val="10"/>
        <w:numPr>
          <w:ilvl w:val="0"/>
          <w:numId w:val="15"/>
        </w:numPr>
        <w:tabs>
          <w:tab w:val="left" w:pos="180"/>
          <w:tab w:val="left" w:pos="540"/>
        </w:tabs>
        <w:ind w:left="-240" w:leftChars="-100" w:right="-334" w:rightChars="-139" w:firstLine="0"/>
        <w:jc w:val="both"/>
        <w:rPr>
          <w:rFonts w:ascii="Trebuchet MS" w:hAnsi="Trebuchet MS" w:cs="Trebuchet MS"/>
          <w:b/>
          <w:bCs/>
          <w:sz w:val="24"/>
          <w:lang w:val="ro-RO" w:eastAsia="ro-RO" w:bidi="ro-RO"/>
        </w:rPr>
      </w:pPr>
      <w:r>
        <w:rPr>
          <w:rFonts w:ascii="Trebuchet MS" w:hAnsi="Trebuchet MS" w:cs="Trebuchet MS"/>
          <w:b/>
          <w:bCs/>
          <w:sz w:val="24"/>
          <w:lang w:val="ro-RO" w:eastAsia="ro-RO" w:bidi="ro-RO"/>
        </w:rPr>
        <w:t xml:space="preserve">creșterea eficienței activității financiare și consolidarea profitabilității fondului; </w:t>
      </w:r>
    </w:p>
    <w:p>
      <w:pPr>
        <w:pStyle w:val="10"/>
        <w:numPr>
          <w:ilvl w:val="0"/>
          <w:numId w:val="15"/>
        </w:numPr>
        <w:tabs>
          <w:tab w:val="left" w:pos="180"/>
          <w:tab w:val="left" w:pos="540"/>
        </w:tabs>
        <w:ind w:left="-240" w:leftChars="-100" w:right="-334" w:rightChars="-139" w:firstLine="0"/>
        <w:jc w:val="both"/>
        <w:rPr>
          <w:rFonts w:ascii="Trebuchet MS" w:hAnsi="Trebuchet MS" w:cs="Trebuchet MS"/>
          <w:b/>
          <w:bCs/>
          <w:sz w:val="24"/>
          <w:lang w:val="ro-RO" w:eastAsia="ro-RO" w:bidi="ro-RO"/>
        </w:rPr>
      </w:pPr>
      <w:r>
        <w:rPr>
          <w:rFonts w:ascii="Trebuchet MS" w:hAnsi="Trebuchet MS" w:cs="Trebuchet MS"/>
          <w:b/>
          <w:bCs/>
          <w:sz w:val="24"/>
          <w:lang w:val="ro-RO" w:eastAsia="ro-RO" w:bidi="ro-RO"/>
        </w:rPr>
        <w:t>menținerea pe primul loc al Fondurilor de Garantare din sistemul financiar românesc</w:t>
      </w:r>
      <w:r>
        <w:rPr>
          <w:rFonts w:ascii="Trebuchet MS" w:hAnsi="Trebuchet MS" w:cs="Trebuchet MS"/>
          <w:b/>
          <w:bCs/>
          <w:sz w:val="24"/>
          <w:lang w:val="ro-RO" w:eastAsia="en-US" w:bidi="ro-RO"/>
        </w:rPr>
        <w:t>;</w:t>
      </w:r>
    </w:p>
    <w:p>
      <w:pPr>
        <w:pStyle w:val="10"/>
        <w:numPr>
          <w:ilvl w:val="0"/>
          <w:numId w:val="15"/>
        </w:numPr>
        <w:tabs>
          <w:tab w:val="left" w:pos="180"/>
          <w:tab w:val="left" w:pos="540"/>
        </w:tabs>
        <w:ind w:left="-240" w:leftChars="-100" w:right="-334" w:rightChars="-139" w:firstLine="0"/>
        <w:jc w:val="both"/>
        <w:rPr>
          <w:rFonts w:ascii="Trebuchet MS" w:hAnsi="Trebuchet MS" w:cs="Trebuchet MS"/>
          <w:b/>
          <w:bCs/>
          <w:sz w:val="24"/>
          <w:lang w:val="ro-RO" w:eastAsia="ro-RO" w:bidi="ro-RO"/>
        </w:rPr>
      </w:pPr>
      <w:r>
        <w:rPr>
          <w:rFonts w:ascii="Trebuchet MS" w:hAnsi="Trebuchet MS" w:cs="Trebuchet MS"/>
          <w:b/>
          <w:bCs/>
          <w:sz w:val="24"/>
          <w:lang w:val="ro-RO" w:eastAsia="ro-RO" w:bidi="ro-RO"/>
        </w:rPr>
        <w:t xml:space="preserve">   așteptările cu privire la abordarea de catre managementul fondului a resursei umane este una potrivită unei companii de top din economia românească , care să facă față cu succes provocărilor actuale și viitoare. Managementul fondului  trebuie să creeze un mediu atractiv pentru noile generații de specialiști și în egală măsură să păstreze competența în interiorul fondului și care să asigure transferul de cunoștințe și expertiză către aceștia.</w:t>
      </w:r>
    </w:p>
    <w:p>
      <w:pPr>
        <w:pStyle w:val="10"/>
        <w:tabs>
          <w:tab w:val="left" w:pos="180"/>
          <w:tab w:val="left" w:pos="540"/>
        </w:tabs>
        <w:ind w:left="-240" w:leftChars="-100" w:right="-334" w:rightChars="-139"/>
        <w:jc w:val="both"/>
        <w:rPr>
          <w:rFonts w:ascii="Trebuchet MS" w:hAnsi="Trebuchet MS" w:cs="Trebuchet MS"/>
          <w:sz w:val="24"/>
          <w:lang w:val="ro-RO"/>
        </w:rPr>
      </w:pPr>
    </w:p>
    <w:p>
      <w:pPr>
        <w:pStyle w:val="10"/>
        <w:tabs>
          <w:tab w:val="left" w:pos="180"/>
          <w:tab w:val="left" w:pos="360"/>
          <w:tab w:val="left" w:pos="540"/>
        </w:tabs>
        <w:ind w:left="-240" w:leftChars="-100" w:right="-334" w:rightChars="-139"/>
        <w:jc w:val="both"/>
        <w:rPr>
          <w:rFonts w:ascii="Trebuchet MS" w:hAnsi="Trebuchet MS" w:cs="Trebuchet MS"/>
          <w:sz w:val="24"/>
          <w:lang w:val="ro-RO"/>
        </w:rPr>
      </w:pPr>
      <w:r>
        <w:rPr>
          <w:rFonts w:ascii="Trebuchet MS" w:hAnsi="Trebuchet MS" w:cs="Trebuchet MS"/>
          <w:sz w:val="24"/>
          <w:lang w:val="ro-RO" w:eastAsia="ro-RO" w:bidi="ro-RO"/>
        </w:rPr>
        <w:t xml:space="preserve">In vederea realizării acestor obiective pe termen lung, organele de conducere vor urmări următoarele obiective pe termen mediu și scurt </w:t>
      </w:r>
      <w:r>
        <w:rPr>
          <w:rStyle w:val="27"/>
          <w:rFonts w:ascii="Trebuchet MS" w:hAnsi="Trebuchet MS" w:cs="Trebuchet MS"/>
          <w:b w:val="0"/>
          <w:bCs w:val="0"/>
          <w:sz w:val="24"/>
          <w:lang w:val="ro-RO"/>
        </w:rPr>
        <w:t xml:space="preserve">și criterii de performanță ale FNGCIMM S.A.-IFN </w:t>
      </w:r>
      <w:r>
        <w:rPr>
          <w:rFonts w:ascii="Trebuchet MS" w:hAnsi="Trebuchet MS" w:cs="Trebuchet MS"/>
          <w:sz w:val="24"/>
          <w:lang w:val="ro-RO" w:eastAsia="ro-RO" w:bidi="ro-RO"/>
        </w:rPr>
        <w:t>fără a se limita la acestea:</w:t>
      </w:r>
    </w:p>
    <w:p>
      <w:pPr>
        <w:pStyle w:val="10"/>
        <w:widowControl w:val="0"/>
        <w:numPr>
          <w:ilvl w:val="0"/>
          <w:numId w:val="16"/>
        </w:numPr>
        <w:tabs>
          <w:tab w:val="left" w:pos="180"/>
          <w:tab w:val="left" w:pos="360"/>
          <w:tab w:val="left" w:pos="540"/>
          <w:tab w:val="left" w:pos="1262"/>
        </w:tabs>
        <w:suppressAutoHyphens w:val="0"/>
        <w:ind w:left="-240" w:leftChars="-100" w:right="-334" w:rightChars="-139" w:firstLine="0"/>
        <w:jc w:val="both"/>
        <w:rPr>
          <w:rFonts w:ascii="Trebuchet MS" w:hAnsi="Trebuchet MS" w:cs="Trebuchet MS"/>
          <w:sz w:val="24"/>
          <w:lang w:val="ro-RO"/>
        </w:rPr>
      </w:pPr>
      <w:r>
        <w:rPr>
          <w:rFonts w:ascii="Trebuchet MS" w:hAnsi="Trebuchet MS" w:cs="Trebuchet MS"/>
          <w:sz w:val="24"/>
          <w:lang w:val="ro-RO" w:eastAsia="ro-RO" w:bidi="ro-RO"/>
        </w:rPr>
        <w:t>consolidarea realizărilor din anii precedenți pe segmentul ofertei de produse și servicii;</w:t>
      </w:r>
    </w:p>
    <w:p>
      <w:pPr>
        <w:pStyle w:val="10"/>
        <w:numPr>
          <w:ilvl w:val="0"/>
          <w:numId w:val="16"/>
        </w:numPr>
        <w:tabs>
          <w:tab w:val="left" w:pos="360"/>
        </w:tabs>
        <w:ind w:left="-240" w:leftChars="-100" w:right="-334" w:rightChars="-139" w:firstLine="0"/>
        <w:jc w:val="both"/>
        <w:rPr>
          <w:rFonts w:ascii="Trebuchet MS" w:hAnsi="Trebuchet MS" w:eastAsia="Arial" w:cs="Trebuchet MS"/>
          <w:sz w:val="24"/>
          <w:lang w:val="ro-RO"/>
        </w:rPr>
      </w:pPr>
      <w:r>
        <w:rPr>
          <w:rStyle w:val="27"/>
          <w:rFonts w:ascii="Trebuchet MS" w:hAnsi="Trebuchet MS" w:eastAsia="Arial" w:cs="Trebuchet MS"/>
          <w:b w:val="0"/>
          <w:sz w:val="24"/>
          <w:lang w:val="ro-RO"/>
        </w:rPr>
        <w:t>îndeplinirea obligaţiilor financiare legale către Bugetul de stat, Bugetul asigurărilor sociale de stat şi fonduri speciale și</w:t>
      </w:r>
      <w:r>
        <w:rPr>
          <w:rFonts w:ascii="Trebuchet MS" w:hAnsi="Trebuchet MS" w:eastAsia="Arial" w:cs="Trebuchet MS"/>
          <w:sz w:val="24"/>
          <w:lang w:val="ro-RO"/>
        </w:rPr>
        <w:t xml:space="preserve"> către Bugetele locale;</w:t>
      </w:r>
    </w:p>
    <w:p>
      <w:pPr>
        <w:pStyle w:val="10"/>
        <w:numPr>
          <w:ilvl w:val="0"/>
          <w:numId w:val="16"/>
        </w:numPr>
        <w:tabs>
          <w:tab w:val="left" w:pos="360"/>
        </w:tabs>
        <w:ind w:left="-240" w:leftChars="-100" w:right="-334" w:rightChars="-139" w:firstLine="0"/>
        <w:jc w:val="both"/>
        <w:rPr>
          <w:rFonts w:ascii="Trebuchet MS" w:hAnsi="Trebuchet MS" w:eastAsia="Arial" w:cs="Trebuchet MS"/>
          <w:sz w:val="24"/>
          <w:lang w:val="ro-RO"/>
        </w:rPr>
      </w:pPr>
      <w:r>
        <w:rPr>
          <w:rFonts w:ascii="Trebuchet MS" w:hAnsi="Trebuchet MS" w:eastAsia="Arial" w:cs="Trebuchet MS"/>
          <w:sz w:val="24"/>
          <w:lang w:val="ro-RO"/>
        </w:rPr>
        <w:t>creşterea cifrei de afaceri;</w:t>
      </w:r>
    </w:p>
    <w:p>
      <w:pPr>
        <w:pStyle w:val="10"/>
        <w:numPr>
          <w:ilvl w:val="0"/>
          <w:numId w:val="16"/>
        </w:numPr>
        <w:tabs>
          <w:tab w:val="left" w:pos="360"/>
        </w:tabs>
        <w:ind w:left="-240" w:leftChars="-100" w:right="-334" w:rightChars="-139" w:firstLine="0"/>
        <w:jc w:val="both"/>
        <w:rPr>
          <w:rFonts w:ascii="Trebuchet MS" w:hAnsi="Trebuchet MS" w:eastAsia="Arial" w:cs="Trebuchet MS"/>
          <w:sz w:val="24"/>
          <w:lang w:val="ro-RO"/>
        </w:rPr>
      </w:pPr>
      <w:r>
        <w:rPr>
          <w:rFonts w:ascii="Trebuchet MS" w:hAnsi="Trebuchet MS" w:eastAsia="Arial" w:cs="Trebuchet MS"/>
          <w:sz w:val="24"/>
          <w:lang w:val="ro-RO"/>
        </w:rPr>
        <w:t>creşterea productivităţii muncii;</w:t>
      </w:r>
    </w:p>
    <w:p>
      <w:pPr>
        <w:pStyle w:val="10"/>
        <w:numPr>
          <w:ilvl w:val="0"/>
          <w:numId w:val="16"/>
        </w:numPr>
        <w:tabs>
          <w:tab w:val="left" w:pos="360"/>
        </w:tabs>
        <w:ind w:left="-240" w:leftChars="-100" w:right="-334" w:rightChars="-139" w:firstLine="0"/>
        <w:jc w:val="both"/>
        <w:rPr>
          <w:rFonts w:ascii="Trebuchet MS" w:hAnsi="Trebuchet MS" w:eastAsia="Arial" w:cs="Trebuchet MS"/>
          <w:sz w:val="24"/>
          <w:lang w:val="ro-RO"/>
        </w:rPr>
      </w:pPr>
      <w:r>
        <w:rPr>
          <w:rFonts w:ascii="Trebuchet MS" w:hAnsi="Trebuchet MS" w:eastAsia="Arial" w:cs="Trebuchet MS"/>
          <w:sz w:val="24"/>
          <w:lang w:val="ro-RO"/>
        </w:rPr>
        <w:t>menţinerea sau chiar creşterea gradulului de încasare a comisioanelor;</w:t>
      </w:r>
    </w:p>
    <w:p>
      <w:pPr>
        <w:widowControl w:val="0"/>
        <w:numPr>
          <w:ilvl w:val="0"/>
          <w:numId w:val="16"/>
        </w:numPr>
        <w:tabs>
          <w:tab w:val="left" w:pos="360"/>
        </w:tabs>
        <w:autoSpaceDE w:val="0"/>
        <w:ind w:left="-240" w:leftChars="-100" w:right="-334" w:rightChars="-139" w:firstLine="0"/>
        <w:jc w:val="both"/>
        <w:rPr>
          <w:rFonts w:ascii="Trebuchet MS" w:hAnsi="Trebuchet MS" w:eastAsia="Arial" w:cs="Trebuchet MS"/>
          <w:lang w:val="ro-RO"/>
        </w:rPr>
      </w:pPr>
      <w:r>
        <w:rPr>
          <w:rFonts w:ascii="Trebuchet MS" w:hAnsi="Trebuchet MS" w:eastAsia="Arial" w:cs="Trebuchet MS"/>
          <w:lang w:val="ro-RO"/>
        </w:rPr>
        <w:t xml:space="preserve">accelerarea soluţionării cererilor clienţilor; </w:t>
      </w:r>
    </w:p>
    <w:p>
      <w:pPr>
        <w:pStyle w:val="10"/>
        <w:widowControl w:val="0"/>
        <w:numPr>
          <w:ilvl w:val="0"/>
          <w:numId w:val="16"/>
        </w:numPr>
        <w:tabs>
          <w:tab w:val="left" w:pos="180"/>
          <w:tab w:val="left" w:pos="360"/>
          <w:tab w:val="left" w:pos="540"/>
          <w:tab w:val="left" w:pos="1262"/>
        </w:tabs>
        <w:suppressAutoHyphens w:val="0"/>
        <w:ind w:left="-240" w:leftChars="-100" w:right="-334" w:rightChars="-139" w:firstLine="0"/>
        <w:jc w:val="both"/>
        <w:rPr>
          <w:rStyle w:val="27"/>
          <w:rFonts w:ascii="Trebuchet MS" w:hAnsi="Trebuchet MS" w:cs="Trebuchet MS"/>
          <w:b w:val="0"/>
          <w:bCs w:val="0"/>
          <w:sz w:val="24"/>
          <w:lang w:val="ro-RO"/>
        </w:rPr>
      </w:pPr>
      <w:r>
        <w:rPr>
          <w:rStyle w:val="27"/>
          <w:rFonts w:ascii="Trebuchet MS" w:hAnsi="Trebuchet MS" w:eastAsia="Arial" w:cs="Trebuchet MS"/>
          <w:b w:val="0"/>
          <w:bCs w:val="0"/>
          <w:sz w:val="24"/>
          <w:lang w:val="ro-RO"/>
        </w:rPr>
        <w:t>conformarea la reglementările specifice din domeniul acordarii garantiilor;</w:t>
      </w:r>
    </w:p>
    <w:p>
      <w:pPr>
        <w:pStyle w:val="10"/>
        <w:widowControl w:val="0"/>
        <w:numPr>
          <w:ilvl w:val="0"/>
          <w:numId w:val="16"/>
        </w:numPr>
        <w:tabs>
          <w:tab w:val="left" w:pos="180"/>
          <w:tab w:val="left" w:pos="360"/>
          <w:tab w:val="left" w:pos="540"/>
          <w:tab w:val="left" w:pos="1262"/>
        </w:tabs>
        <w:suppressAutoHyphens w:val="0"/>
        <w:ind w:left="-240" w:leftChars="-100" w:right="-334" w:rightChars="-139" w:firstLine="0"/>
        <w:jc w:val="both"/>
        <w:rPr>
          <w:rFonts w:ascii="Trebuchet MS" w:hAnsi="Trebuchet MS" w:cs="Trebuchet MS"/>
          <w:sz w:val="24"/>
          <w:lang w:val="ro-RO"/>
        </w:rPr>
      </w:pPr>
      <w:r>
        <w:rPr>
          <w:rFonts w:ascii="Trebuchet MS" w:hAnsi="Trebuchet MS" w:cs="Trebuchet MS"/>
          <w:sz w:val="24"/>
          <w:lang w:val="ro-RO" w:eastAsia="ro-RO" w:bidi="ro-RO"/>
        </w:rPr>
        <w:t>diversificarea ofertei de produse și servicii;</w:t>
      </w:r>
    </w:p>
    <w:p>
      <w:pPr>
        <w:pStyle w:val="10"/>
        <w:widowControl w:val="0"/>
        <w:numPr>
          <w:ilvl w:val="0"/>
          <w:numId w:val="16"/>
        </w:numPr>
        <w:tabs>
          <w:tab w:val="left" w:pos="180"/>
          <w:tab w:val="left" w:pos="360"/>
          <w:tab w:val="left" w:pos="540"/>
          <w:tab w:val="left" w:pos="1262"/>
        </w:tabs>
        <w:suppressAutoHyphens w:val="0"/>
        <w:ind w:left="-240" w:leftChars="-100" w:right="-334" w:rightChars="-139" w:firstLine="0"/>
        <w:jc w:val="both"/>
        <w:rPr>
          <w:rFonts w:ascii="Trebuchet MS" w:hAnsi="Trebuchet MS" w:cs="Trebuchet MS"/>
          <w:sz w:val="24"/>
          <w:lang w:val="ro-RO"/>
        </w:rPr>
      </w:pPr>
      <w:r>
        <w:rPr>
          <w:rFonts w:ascii="Trebuchet MS" w:hAnsi="Trebuchet MS" w:cs="Trebuchet MS"/>
          <w:sz w:val="24"/>
          <w:lang w:val="ro-RO" w:eastAsia="ro-RO" w:bidi="ro-RO"/>
        </w:rPr>
        <w:t xml:space="preserve"> remodelarea preferințelor clienților de depozitare a resurselor prin lansarea de noi produse;</w:t>
      </w:r>
    </w:p>
    <w:p>
      <w:pPr>
        <w:pStyle w:val="10"/>
        <w:numPr>
          <w:ilvl w:val="0"/>
          <w:numId w:val="16"/>
        </w:numPr>
        <w:tabs>
          <w:tab w:val="left" w:pos="180"/>
          <w:tab w:val="left" w:pos="360"/>
          <w:tab w:val="left" w:pos="540"/>
        </w:tabs>
        <w:ind w:left="-240" w:leftChars="-100" w:right="-334" w:rightChars="-139" w:firstLine="0"/>
        <w:jc w:val="both"/>
        <w:rPr>
          <w:rFonts w:ascii="Trebuchet MS" w:hAnsi="Trebuchet MS" w:cs="Trebuchet MS"/>
          <w:sz w:val="24"/>
          <w:lang w:val="ro-RO"/>
        </w:rPr>
      </w:pPr>
      <w:r>
        <w:rPr>
          <w:rFonts w:ascii="Trebuchet MS" w:hAnsi="Trebuchet MS" w:cs="Trebuchet MS"/>
          <w:sz w:val="24"/>
          <w:lang w:val="ro-RO" w:eastAsia="ro-RO" w:bidi="ro-RO"/>
        </w:rPr>
        <w:t xml:space="preserve"> îmbunătățirea indicatorilor de prudență financiar bancară în conformitate cu nivelurile recomandate de Uniunii Bancare Europene (UBE) și Băncii Naționale a României (BNR);</w:t>
      </w:r>
    </w:p>
    <w:p>
      <w:pPr>
        <w:pStyle w:val="10"/>
        <w:widowControl w:val="0"/>
        <w:numPr>
          <w:ilvl w:val="0"/>
          <w:numId w:val="16"/>
        </w:numPr>
        <w:tabs>
          <w:tab w:val="left" w:pos="180"/>
          <w:tab w:val="left" w:pos="360"/>
          <w:tab w:val="left" w:pos="540"/>
          <w:tab w:val="left" w:pos="1262"/>
        </w:tabs>
        <w:suppressAutoHyphens w:val="0"/>
        <w:ind w:left="-240" w:leftChars="-100" w:right="-334" w:rightChars="-139" w:firstLine="0"/>
        <w:jc w:val="both"/>
        <w:rPr>
          <w:rFonts w:ascii="Trebuchet MS" w:hAnsi="Trebuchet MS" w:cs="Trebuchet MS"/>
          <w:sz w:val="24"/>
          <w:lang w:val="ro-RO"/>
        </w:rPr>
      </w:pPr>
      <w:r>
        <w:rPr>
          <w:rFonts w:ascii="Trebuchet MS" w:hAnsi="Trebuchet MS" w:cs="Trebuchet MS"/>
          <w:sz w:val="24"/>
          <w:lang w:val="ro-RO" w:eastAsia="ro-RO" w:bidi="ro-RO"/>
        </w:rPr>
        <w:t>reducerea portofoliului de garanții neperformante, cu implementarea recomandării BNR de reducere a indicatorului Rata garanții neperformante (NPL) sub 10%;</w:t>
      </w:r>
    </w:p>
    <w:p>
      <w:pPr>
        <w:pStyle w:val="10"/>
        <w:widowControl w:val="0"/>
        <w:numPr>
          <w:ilvl w:val="0"/>
          <w:numId w:val="16"/>
        </w:numPr>
        <w:tabs>
          <w:tab w:val="left" w:pos="180"/>
          <w:tab w:val="left" w:pos="360"/>
          <w:tab w:val="left" w:pos="540"/>
          <w:tab w:val="left" w:pos="1322"/>
        </w:tabs>
        <w:suppressAutoHyphens w:val="0"/>
        <w:ind w:left="-240" w:leftChars="-100" w:right="-334" w:rightChars="-139" w:firstLine="0"/>
        <w:jc w:val="both"/>
        <w:rPr>
          <w:rFonts w:ascii="Trebuchet MS" w:hAnsi="Trebuchet MS" w:cs="Trebuchet MS"/>
          <w:sz w:val="24"/>
          <w:lang w:val="ro-RO"/>
        </w:rPr>
      </w:pPr>
      <w:r>
        <w:rPr>
          <w:rFonts w:ascii="Trebuchet MS" w:hAnsi="Trebuchet MS" w:cs="Trebuchet MS"/>
          <w:sz w:val="24"/>
          <w:lang w:val="ro-RO" w:eastAsia="ro-RO" w:bidi="ro-RO"/>
        </w:rPr>
        <w:t xml:space="preserve"> stabilirea strategiei anuale de administrare a riscurilor și profilul de risc;</w:t>
      </w:r>
    </w:p>
    <w:p>
      <w:pPr>
        <w:pStyle w:val="10"/>
        <w:widowControl w:val="0"/>
        <w:numPr>
          <w:ilvl w:val="0"/>
          <w:numId w:val="16"/>
        </w:numPr>
        <w:tabs>
          <w:tab w:val="left" w:pos="180"/>
          <w:tab w:val="left" w:pos="360"/>
          <w:tab w:val="left" w:pos="540"/>
          <w:tab w:val="left" w:pos="1327"/>
        </w:tabs>
        <w:suppressAutoHyphens w:val="0"/>
        <w:ind w:left="-240" w:leftChars="-100" w:right="-334" w:rightChars="-139" w:firstLine="0"/>
        <w:jc w:val="both"/>
        <w:rPr>
          <w:rFonts w:ascii="Trebuchet MS" w:hAnsi="Trebuchet MS" w:cs="Trebuchet MS"/>
          <w:sz w:val="24"/>
          <w:lang w:val="ro-RO"/>
        </w:rPr>
      </w:pPr>
      <w:r>
        <w:rPr>
          <w:rFonts w:ascii="Trebuchet MS" w:hAnsi="Trebuchet MS" w:cs="Trebuchet MS"/>
          <w:sz w:val="24"/>
          <w:lang w:val="ro-RO" w:eastAsia="ro-RO" w:bidi="ro-RO"/>
        </w:rPr>
        <w:t>îmbunătățirea gradului de recuperare a creanțelor;</w:t>
      </w:r>
    </w:p>
    <w:p>
      <w:pPr>
        <w:pStyle w:val="10"/>
        <w:widowControl w:val="0"/>
        <w:numPr>
          <w:ilvl w:val="0"/>
          <w:numId w:val="16"/>
        </w:numPr>
        <w:tabs>
          <w:tab w:val="left" w:pos="180"/>
          <w:tab w:val="left" w:pos="360"/>
          <w:tab w:val="left" w:pos="540"/>
          <w:tab w:val="left" w:pos="1327"/>
        </w:tabs>
        <w:suppressAutoHyphens w:val="0"/>
        <w:ind w:left="-240" w:leftChars="-100" w:right="-334" w:rightChars="-139" w:firstLine="0"/>
        <w:jc w:val="both"/>
        <w:rPr>
          <w:rFonts w:ascii="Trebuchet MS" w:hAnsi="Trebuchet MS" w:cs="Trebuchet MS"/>
          <w:sz w:val="24"/>
          <w:lang w:val="ro-RO"/>
        </w:rPr>
      </w:pPr>
      <w:r>
        <w:rPr>
          <w:rFonts w:ascii="Trebuchet MS" w:hAnsi="Trebuchet MS" w:cs="Trebuchet MS"/>
          <w:sz w:val="24"/>
          <w:lang w:val="ro-RO" w:eastAsia="ro-RO" w:bidi="ro-RO"/>
        </w:rPr>
        <w:t>creșterea pregătirii personalului;</w:t>
      </w:r>
    </w:p>
    <w:p>
      <w:pPr>
        <w:widowControl w:val="0"/>
        <w:numPr>
          <w:ilvl w:val="0"/>
          <w:numId w:val="16"/>
        </w:numPr>
        <w:tabs>
          <w:tab w:val="left" w:pos="360"/>
        </w:tabs>
        <w:autoSpaceDE w:val="0"/>
        <w:ind w:left="-240" w:leftChars="-100" w:right="-334" w:rightChars="-139" w:firstLine="0"/>
        <w:jc w:val="both"/>
        <w:rPr>
          <w:rFonts w:ascii="Trebuchet MS" w:hAnsi="Trebuchet MS" w:cs="Trebuchet MS"/>
          <w:lang w:val="ro-RO"/>
        </w:rPr>
      </w:pPr>
      <w:r>
        <w:rPr>
          <w:rStyle w:val="27"/>
          <w:rFonts w:ascii="Trebuchet MS" w:hAnsi="Trebuchet MS" w:cs="Trebuchet MS"/>
          <w:b w:val="0"/>
          <w:bCs w:val="0"/>
          <w:lang w:val="ro-RO"/>
        </w:rPr>
        <w:t xml:space="preserve">cresterea gradului de automatizare a proceselor prin </w:t>
      </w:r>
      <w:r>
        <w:rPr>
          <w:rFonts w:ascii="Trebuchet MS" w:hAnsi="Trebuchet MS" w:cs="Trebuchet MS"/>
          <w:lang w:val="ro-RO" w:eastAsia="ro-RO" w:bidi="ro-RO"/>
        </w:rPr>
        <w:t>reînnoirea platformei tehnice și îmbunătățirea performanței sistemului informatic;</w:t>
      </w:r>
    </w:p>
    <w:p>
      <w:pPr>
        <w:pStyle w:val="10"/>
        <w:widowControl w:val="0"/>
        <w:numPr>
          <w:ilvl w:val="0"/>
          <w:numId w:val="16"/>
        </w:numPr>
        <w:tabs>
          <w:tab w:val="left" w:pos="180"/>
          <w:tab w:val="left" w:pos="360"/>
          <w:tab w:val="left" w:pos="540"/>
          <w:tab w:val="left" w:pos="1327"/>
        </w:tabs>
        <w:suppressAutoHyphens w:val="0"/>
        <w:ind w:left="-240" w:leftChars="-100" w:right="-334" w:rightChars="-139" w:firstLine="0"/>
        <w:jc w:val="both"/>
        <w:rPr>
          <w:rFonts w:ascii="Trebuchet MS" w:hAnsi="Trebuchet MS" w:cs="Trebuchet MS"/>
          <w:sz w:val="24"/>
          <w:lang w:val="ro-RO"/>
        </w:rPr>
      </w:pPr>
      <w:r>
        <w:rPr>
          <w:rFonts w:ascii="Trebuchet MS" w:hAnsi="Trebuchet MS" w:cs="Trebuchet MS"/>
          <w:sz w:val="24"/>
          <w:lang w:val="ro-RO" w:eastAsia="ro-RO" w:bidi="ro-RO"/>
        </w:rPr>
        <w:t>eficientizarea fluxurilor informaționale si decizionale;</w:t>
      </w:r>
    </w:p>
    <w:p>
      <w:pPr>
        <w:pStyle w:val="10"/>
        <w:widowControl w:val="0"/>
        <w:numPr>
          <w:ilvl w:val="0"/>
          <w:numId w:val="16"/>
        </w:numPr>
        <w:tabs>
          <w:tab w:val="left" w:pos="180"/>
          <w:tab w:val="left" w:pos="360"/>
          <w:tab w:val="left" w:pos="540"/>
          <w:tab w:val="left" w:pos="1327"/>
        </w:tabs>
        <w:suppressAutoHyphens w:val="0"/>
        <w:ind w:left="-240" w:leftChars="-100" w:right="-334" w:rightChars="-139" w:firstLine="0"/>
        <w:jc w:val="both"/>
        <w:rPr>
          <w:rFonts w:ascii="Trebuchet MS" w:hAnsi="Trebuchet MS" w:cs="Trebuchet MS"/>
          <w:sz w:val="24"/>
          <w:lang w:val="ro-RO"/>
        </w:rPr>
      </w:pPr>
      <w:r>
        <w:rPr>
          <w:rFonts w:ascii="Trebuchet MS" w:hAnsi="Trebuchet MS" w:cs="Trebuchet MS"/>
          <w:sz w:val="24"/>
          <w:lang w:val="ro-RO" w:eastAsia="ro-RO" w:bidi="ro-RO"/>
        </w:rPr>
        <w:t xml:space="preserve">creșterea indicatorilor de eficiență și profitabilitate </w:t>
      </w:r>
      <w:r>
        <w:rPr>
          <w:rFonts w:ascii="Trebuchet MS" w:hAnsi="Trebuchet MS" w:cs="Trebuchet MS"/>
          <w:sz w:val="24"/>
          <w:lang w:val="ro-RO" w:eastAsia="en-US" w:bidi="en-US"/>
        </w:rPr>
        <w:t xml:space="preserve">(ROE, </w:t>
      </w:r>
      <w:r>
        <w:rPr>
          <w:rFonts w:ascii="Trebuchet MS" w:hAnsi="Trebuchet MS" w:cs="Trebuchet MS"/>
          <w:sz w:val="24"/>
          <w:lang w:val="ro-RO" w:eastAsia="ro-RO" w:bidi="ro-RO"/>
        </w:rPr>
        <w:t>ROA, profit);</w:t>
      </w:r>
    </w:p>
    <w:p>
      <w:pPr>
        <w:pStyle w:val="10"/>
        <w:widowControl w:val="0"/>
        <w:numPr>
          <w:ilvl w:val="0"/>
          <w:numId w:val="16"/>
        </w:numPr>
        <w:tabs>
          <w:tab w:val="left" w:pos="180"/>
          <w:tab w:val="left" w:pos="360"/>
          <w:tab w:val="left" w:pos="540"/>
          <w:tab w:val="left" w:pos="1327"/>
        </w:tabs>
        <w:suppressAutoHyphens w:val="0"/>
        <w:ind w:left="-240" w:leftChars="-100" w:right="-334" w:rightChars="-139" w:firstLine="0"/>
        <w:jc w:val="both"/>
        <w:rPr>
          <w:rFonts w:ascii="Trebuchet MS" w:hAnsi="Trebuchet MS" w:cs="Trebuchet MS"/>
          <w:sz w:val="24"/>
          <w:lang w:val="ro-RO"/>
        </w:rPr>
      </w:pPr>
      <w:r>
        <w:rPr>
          <w:rFonts w:ascii="Trebuchet MS" w:hAnsi="Trebuchet MS" w:cs="Trebuchet MS"/>
          <w:sz w:val="24"/>
          <w:lang w:val="ro-RO" w:eastAsia="ro-RO" w:bidi="ro-RO"/>
        </w:rPr>
        <w:t>continuarea procesului de schimbare a imaginii fondului;</w:t>
      </w:r>
    </w:p>
    <w:p>
      <w:pPr>
        <w:pStyle w:val="10"/>
        <w:widowControl w:val="0"/>
        <w:numPr>
          <w:ilvl w:val="0"/>
          <w:numId w:val="16"/>
        </w:numPr>
        <w:tabs>
          <w:tab w:val="left" w:pos="180"/>
          <w:tab w:val="left" w:pos="360"/>
          <w:tab w:val="left" w:pos="540"/>
          <w:tab w:val="left" w:pos="1327"/>
        </w:tabs>
        <w:suppressAutoHyphens w:val="0"/>
        <w:ind w:left="-240" w:leftChars="-100" w:right="-334" w:rightChars="-139" w:firstLine="0"/>
        <w:jc w:val="both"/>
        <w:rPr>
          <w:rFonts w:ascii="Trebuchet MS" w:hAnsi="Trebuchet MS" w:cs="Trebuchet MS"/>
          <w:sz w:val="24"/>
          <w:lang w:val="ro-RO"/>
        </w:rPr>
      </w:pPr>
      <w:r>
        <w:rPr>
          <w:rFonts w:ascii="Trebuchet MS" w:hAnsi="Trebuchet MS" w:cs="Trebuchet MS"/>
          <w:sz w:val="24"/>
          <w:lang w:val="ro-RO" w:eastAsia="ro-RO" w:bidi="ro-RO"/>
        </w:rPr>
        <w:t>realizarea unui plan de investiții care să ducă la îndeplinirea obiectivelor fondului;</w:t>
      </w:r>
    </w:p>
    <w:p>
      <w:pPr>
        <w:pStyle w:val="10"/>
        <w:widowControl w:val="0"/>
        <w:numPr>
          <w:ilvl w:val="0"/>
          <w:numId w:val="16"/>
        </w:numPr>
        <w:tabs>
          <w:tab w:val="left" w:pos="180"/>
          <w:tab w:val="left" w:pos="360"/>
          <w:tab w:val="left" w:pos="540"/>
          <w:tab w:val="left" w:pos="1317"/>
        </w:tabs>
        <w:suppressAutoHyphens w:val="0"/>
        <w:ind w:left="-240" w:leftChars="-100" w:right="-334" w:rightChars="-139" w:firstLine="0"/>
        <w:jc w:val="both"/>
        <w:rPr>
          <w:rFonts w:ascii="Trebuchet MS" w:hAnsi="Trebuchet MS" w:cs="Trebuchet MS"/>
          <w:sz w:val="24"/>
          <w:lang w:val="ro-RO"/>
        </w:rPr>
      </w:pPr>
      <w:r>
        <w:rPr>
          <w:rFonts w:ascii="Trebuchet MS" w:hAnsi="Trebuchet MS" w:cs="Trebuchet MS"/>
          <w:sz w:val="24"/>
          <w:lang w:val="ro-RO" w:eastAsia="ro-RO" w:bidi="ro-RO"/>
        </w:rPr>
        <w:t>efectuarea cheltuielilor de funcționare proporțional cu gradul de realizare al veniturilor totale, cu încadrarea în indicatorii de eficiență aprobați;</w:t>
      </w:r>
    </w:p>
    <w:p>
      <w:pPr>
        <w:pStyle w:val="10"/>
        <w:widowControl w:val="0"/>
        <w:numPr>
          <w:ilvl w:val="0"/>
          <w:numId w:val="16"/>
        </w:numPr>
        <w:tabs>
          <w:tab w:val="left" w:pos="180"/>
          <w:tab w:val="left" w:pos="360"/>
          <w:tab w:val="left" w:pos="540"/>
          <w:tab w:val="left" w:pos="1317"/>
        </w:tabs>
        <w:suppressAutoHyphens w:val="0"/>
        <w:ind w:left="-240" w:leftChars="-100" w:right="-334" w:rightChars="-139" w:firstLine="0"/>
        <w:jc w:val="both"/>
        <w:rPr>
          <w:rFonts w:ascii="Trebuchet MS" w:hAnsi="Trebuchet MS" w:cs="Trebuchet MS"/>
          <w:sz w:val="24"/>
          <w:lang w:val="ro-RO"/>
        </w:rPr>
      </w:pPr>
      <w:r>
        <w:rPr>
          <w:rFonts w:ascii="Trebuchet MS" w:hAnsi="Trebuchet MS" w:cs="Trebuchet MS"/>
          <w:sz w:val="24"/>
          <w:lang w:val="ro-RO" w:eastAsia="ro-RO" w:bidi="ro-RO"/>
        </w:rPr>
        <w:t>urmărirea cu precădere a obiectivelor care țin de de misiunea Fondului, respectiv, acordarea de garanții IMM-urilor, agriculturii, administrațiilor publice locale si a altor proiecte care</w:t>
      </w:r>
      <w:r>
        <w:rPr>
          <w:rFonts w:ascii="Trebuchet MS" w:hAnsi="Trebuchet MS" w:cs="Trebuchet MS"/>
          <w:sz w:val="24"/>
          <w:lang w:val="ro-RO"/>
        </w:rPr>
        <w:t xml:space="preserve"> </w:t>
      </w:r>
      <w:r>
        <w:rPr>
          <w:rFonts w:ascii="Trebuchet MS" w:hAnsi="Trebuchet MS" w:cs="Trebuchet MS"/>
          <w:sz w:val="24"/>
          <w:lang w:val="ro-RO" w:eastAsia="ro-RO" w:bidi="ro-RO"/>
        </w:rPr>
        <w:t>contribuie la crearea si menținerea locurilor de munca;</w:t>
      </w:r>
    </w:p>
    <w:p>
      <w:pPr>
        <w:pStyle w:val="10"/>
        <w:widowControl w:val="0"/>
        <w:numPr>
          <w:ilvl w:val="0"/>
          <w:numId w:val="16"/>
        </w:numPr>
        <w:tabs>
          <w:tab w:val="left" w:pos="180"/>
          <w:tab w:val="left" w:pos="360"/>
          <w:tab w:val="left" w:pos="540"/>
          <w:tab w:val="left" w:pos="1307"/>
        </w:tabs>
        <w:suppressAutoHyphens w:val="0"/>
        <w:ind w:left="-240" w:leftChars="-100" w:right="-334" w:rightChars="-139" w:firstLine="0"/>
        <w:jc w:val="both"/>
        <w:rPr>
          <w:rFonts w:ascii="Trebuchet MS" w:hAnsi="Trebuchet MS" w:cs="Trebuchet MS"/>
          <w:sz w:val="24"/>
          <w:lang w:val="ro-RO"/>
        </w:rPr>
      </w:pPr>
      <w:r>
        <w:rPr>
          <w:rFonts w:ascii="Trebuchet MS" w:hAnsi="Trebuchet MS" w:cs="Trebuchet MS"/>
          <w:sz w:val="24"/>
          <w:lang w:val="ro-RO" w:eastAsia="ro-RO" w:bidi="ro-RO"/>
        </w:rPr>
        <w:t>stimularea creșterii volumului de garanții acordate prin abordarea proactivă a segmentului persoane juridice și actualizarea normelor interne de creditare pentru clienții persoane fizice, prin stabilirea unei limite de aprobare la nivelul unităților;</w:t>
      </w:r>
    </w:p>
    <w:p>
      <w:pPr>
        <w:pStyle w:val="10"/>
        <w:widowControl w:val="0"/>
        <w:numPr>
          <w:ilvl w:val="0"/>
          <w:numId w:val="16"/>
        </w:numPr>
        <w:tabs>
          <w:tab w:val="left" w:pos="180"/>
          <w:tab w:val="left" w:pos="360"/>
          <w:tab w:val="left" w:pos="540"/>
          <w:tab w:val="left" w:pos="1307"/>
        </w:tabs>
        <w:suppressAutoHyphens w:val="0"/>
        <w:ind w:left="-240" w:leftChars="-100" w:right="-334" w:rightChars="-139" w:firstLine="0"/>
        <w:jc w:val="both"/>
        <w:rPr>
          <w:rFonts w:ascii="Trebuchet MS" w:hAnsi="Trebuchet MS" w:cs="Trebuchet MS"/>
          <w:sz w:val="24"/>
          <w:lang w:val="ro-RO"/>
        </w:rPr>
      </w:pPr>
      <w:r>
        <w:rPr>
          <w:rFonts w:ascii="Trebuchet MS" w:hAnsi="Trebuchet MS" w:cs="Trebuchet MS"/>
          <w:sz w:val="24"/>
          <w:lang w:val="ro-RO" w:eastAsia="ro-RO" w:bidi="ro-RO"/>
        </w:rPr>
        <w:t xml:space="preserve">Încadrarea în politica de risc și a cerințelor de prudențialitate aprobate de către acționar; </w:t>
      </w:r>
    </w:p>
    <w:p>
      <w:pPr>
        <w:pStyle w:val="10"/>
        <w:widowControl w:val="0"/>
        <w:numPr>
          <w:ilvl w:val="0"/>
          <w:numId w:val="16"/>
        </w:numPr>
        <w:tabs>
          <w:tab w:val="left" w:pos="180"/>
          <w:tab w:val="left" w:pos="360"/>
          <w:tab w:val="left" w:pos="540"/>
          <w:tab w:val="left" w:pos="1307"/>
        </w:tabs>
        <w:suppressAutoHyphens w:val="0"/>
        <w:ind w:left="-240" w:leftChars="-100" w:right="-334" w:rightChars="-139" w:firstLine="0"/>
        <w:jc w:val="both"/>
        <w:rPr>
          <w:rFonts w:ascii="Trebuchet MS" w:hAnsi="Trebuchet MS" w:cs="Trebuchet MS"/>
          <w:sz w:val="24"/>
          <w:lang w:val="ro-RO"/>
        </w:rPr>
      </w:pPr>
      <w:r>
        <w:rPr>
          <w:rFonts w:ascii="Trebuchet MS" w:hAnsi="Trebuchet MS" w:cs="Trebuchet MS"/>
          <w:sz w:val="24"/>
          <w:lang w:val="ro-RO" w:eastAsia="ro-RO" w:bidi="ro-RO"/>
        </w:rPr>
        <w:t>implementarea guvernanței corporative  la nivelul fondului.</w:t>
      </w:r>
    </w:p>
    <w:p>
      <w:pPr>
        <w:pStyle w:val="10"/>
        <w:tabs>
          <w:tab w:val="left" w:pos="180"/>
          <w:tab w:val="left" w:pos="540"/>
        </w:tabs>
        <w:spacing w:after="0"/>
        <w:ind w:left="-240" w:leftChars="-100" w:right="-334" w:rightChars="-139"/>
        <w:jc w:val="both"/>
        <w:rPr>
          <w:rFonts w:ascii="Trebuchet MS" w:hAnsi="Trebuchet MS" w:cs="Trebuchet MS"/>
          <w:sz w:val="24"/>
          <w:lang w:val="ro-RO" w:eastAsia="ro-RO" w:bidi="ro-RO"/>
        </w:rPr>
      </w:pPr>
    </w:p>
    <w:p>
      <w:pPr>
        <w:pStyle w:val="10"/>
        <w:tabs>
          <w:tab w:val="left" w:pos="180"/>
          <w:tab w:val="left" w:pos="540"/>
        </w:tabs>
        <w:ind w:left="-240" w:leftChars="-100" w:right="-334" w:rightChars="-139"/>
        <w:jc w:val="both"/>
        <w:rPr>
          <w:rFonts w:ascii="Trebuchet MS" w:hAnsi="Trebuchet MS" w:cs="Trebuchet MS"/>
          <w:sz w:val="24"/>
          <w:lang w:val="ro-RO"/>
        </w:rPr>
      </w:pPr>
      <w:r>
        <w:rPr>
          <w:rFonts w:ascii="Trebuchet MS" w:hAnsi="Trebuchet MS" w:cs="Trebuchet MS"/>
          <w:sz w:val="24"/>
          <w:lang w:val="ro-RO" w:eastAsia="ro-RO" w:bidi="ro-RO"/>
        </w:rPr>
        <w:t>La întocmirea planului de administrare se va avea în vedere, cu precădere, o politică de creștere a valorii următorilor indicatori, cu fixarea unor obiective cuantificabile în acest sens:</w:t>
      </w:r>
    </w:p>
    <w:p>
      <w:pPr>
        <w:pStyle w:val="10"/>
        <w:widowControl w:val="0"/>
        <w:numPr>
          <w:ilvl w:val="0"/>
          <w:numId w:val="17"/>
        </w:numPr>
        <w:tabs>
          <w:tab w:val="left" w:pos="180"/>
          <w:tab w:val="left" w:pos="540"/>
          <w:tab w:val="left" w:pos="1307"/>
        </w:tabs>
        <w:suppressAutoHyphens w:val="0"/>
        <w:ind w:left="-240" w:leftChars="-100" w:right="-334" w:rightChars="-139"/>
        <w:rPr>
          <w:rFonts w:ascii="Trebuchet MS" w:hAnsi="Trebuchet MS" w:cs="Trebuchet MS"/>
          <w:sz w:val="24"/>
          <w:lang w:val="ro-RO"/>
        </w:rPr>
      </w:pPr>
      <w:r>
        <w:rPr>
          <w:rFonts w:ascii="Trebuchet MS" w:hAnsi="Trebuchet MS" w:cs="Trebuchet MS"/>
          <w:sz w:val="24"/>
          <w:lang w:val="ro-RO" w:eastAsia="ro-RO" w:bidi="ro-RO"/>
        </w:rPr>
        <w:t>garanții în sold;</w:t>
      </w:r>
    </w:p>
    <w:p>
      <w:pPr>
        <w:pStyle w:val="10"/>
        <w:widowControl w:val="0"/>
        <w:numPr>
          <w:ilvl w:val="0"/>
          <w:numId w:val="17"/>
        </w:numPr>
        <w:tabs>
          <w:tab w:val="left" w:pos="180"/>
          <w:tab w:val="left" w:pos="540"/>
          <w:tab w:val="left" w:pos="1307"/>
        </w:tabs>
        <w:suppressAutoHyphens w:val="0"/>
        <w:ind w:left="-240" w:leftChars="-100" w:right="-334" w:rightChars="-139"/>
        <w:rPr>
          <w:rFonts w:ascii="Trebuchet MS" w:hAnsi="Trebuchet MS" w:cs="Trebuchet MS"/>
          <w:sz w:val="24"/>
          <w:lang w:val="ro-RO"/>
        </w:rPr>
      </w:pPr>
      <w:r>
        <w:rPr>
          <w:rFonts w:ascii="Trebuchet MS" w:hAnsi="Trebuchet MS" w:cs="Trebuchet MS"/>
          <w:sz w:val="24"/>
          <w:lang w:val="ro-RO" w:eastAsia="ro-RO" w:bidi="ro-RO"/>
        </w:rPr>
        <w:t>garanții noi contractate (volum);</w:t>
      </w:r>
    </w:p>
    <w:p>
      <w:pPr>
        <w:pStyle w:val="10"/>
        <w:widowControl w:val="0"/>
        <w:numPr>
          <w:ilvl w:val="0"/>
          <w:numId w:val="17"/>
        </w:numPr>
        <w:tabs>
          <w:tab w:val="left" w:pos="180"/>
          <w:tab w:val="left" w:pos="540"/>
          <w:tab w:val="left" w:pos="1307"/>
        </w:tabs>
        <w:suppressAutoHyphens w:val="0"/>
        <w:ind w:left="-240" w:leftChars="-100" w:right="-334" w:rightChars="-139"/>
        <w:rPr>
          <w:rFonts w:ascii="Trebuchet MS" w:hAnsi="Trebuchet MS" w:cs="Trebuchet MS"/>
          <w:sz w:val="24"/>
          <w:lang w:val="ro-RO"/>
        </w:rPr>
      </w:pPr>
      <w:r>
        <w:rPr>
          <w:rFonts w:ascii="Trebuchet MS" w:hAnsi="Trebuchet MS" w:cs="Trebuchet MS"/>
          <w:sz w:val="24"/>
          <w:lang w:val="ro-RO" w:eastAsia="ro-RO" w:bidi="ro-RO"/>
        </w:rPr>
        <w:t>active totale;</w:t>
      </w:r>
    </w:p>
    <w:p>
      <w:pPr>
        <w:pStyle w:val="10"/>
        <w:widowControl w:val="0"/>
        <w:numPr>
          <w:ilvl w:val="0"/>
          <w:numId w:val="17"/>
        </w:numPr>
        <w:tabs>
          <w:tab w:val="left" w:pos="180"/>
          <w:tab w:val="left" w:pos="284"/>
        </w:tabs>
        <w:suppressAutoHyphens w:val="0"/>
        <w:ind w:left="-240" w:leftChars="-100" w:right="-334" w:rightChars="-139"/>
        <w:jc w:val="both"/>
        <w:rPr>
          <w:rFonts w:ascii="Trebuchet MS" w:hAnsi="Trebuchet MS" w:cs="Trebuchet MS"/>
          <w:sz w:val="24"/>
          <w:lang w:val="ro-RO"/>
        </w:rPr>
      </w:pPr>
      <w:r>
        <w:rPr>
          <w:rFonts w:ascii="Trebuchet MS" w:hAnsi="Trebuchet MS" w:cs="Trebuchet MS"/>
          <w:sz w:val="24"/>
          <w:lang w:val="ro-RO" w:eastAsia="ro-RO" w:bidi="ro-RO"/>
        </w:rPr>
        <w:t>rezultat financiar; acționarul se așteaptă să fie pozitiv, comparabil cu cel obtinut în perioada2020-2021.</w:t>
      </w:r>
    </w:p>
    <w:p>
      <w:pPr>
        <w:pStyle w:val="10"/>
        <w:tabs>
          <w:tab w:val="left" w:pos="180"/>
          <w:tab w:val="left" w:pos="540"/>
        </w:tabs>
        <w:ind w:left="-240" w:leftChars="-100" w:right="-334" w:rightChars="-139"/>
        <w:jc w:val="both"/>
        <w:rPr>
          <w:rFonts w:ascii="Trebuchet MS" w:hAnsi="Trebuchet MS" w:cs="Trebuchet MS"/>
          <w:sz w:val="24"/>
          <w:lang w:val="ro-RO" w:eastAsia="ro-RO" w:bidi="ro-RO"/>
        </w:rPr>
      </w:pPr>
    </w:p>
    <w:p>
      <w:pPr>
        <w:pStyle w:val="10"/>
        <w:tabs>
          <w:tab w:val="left" w:pos="180"/>
          <w:tab w:val="left" w:pos="540"/>
        </w:tabs>
        <w:ind w:left="-240" w:leftChars="-100" w:right="-334" w:rightChars="-139"/>
        <w:jc w:val="both"/>
        <w:rPr>
          <w:rFonts w:ascii="Trebuchet MS" w:hAnsi="Trebuchet MS" w:cs="Trebuchet MS"/>
          <w:sz w:val="24"/>
          <w:lang w:val="ro-RO"/>
        </w:rPr>
      </w:pPr>
      <w:r>
        <w:rPr>
          <w:rFonts w:ascii="Trebuchet MS" w:hAnsi="Trebuchet MS" w:cs="Trebuchet MS"/>
          <w:sz w:val="24"/>
          <w:lang w:val="ro-RO" w:eastAsia="ro-RO" w:bidi="ro-RO"/>
        </w:rPr>
        <w:t xml:space="preserve">În vederea atingerii acestor obiective, Ministerul Finanțelor declanșează procesul de selecție pentru 9 posturi de membru al Consiliului de administrație al </w:t>
      </w:r>
      <w:r>
        <w:rPr>
          <w:rFonts w:ascii="Trebuchet MS" w:hAnsi="Trebuchet MS" w:cs="Trebuchet MS"/>
          <w:sz w:val="24"/>
          <w:lang w:val="ro-RO"/>
        </w:rPr>
        <w:t>F.N.G.C.I.M.M. S.A. – IFN</w:t>
      </w:r>
      <w:r>
        <w:rPr>
          <w:rFonts w:ascii="Trebuchet MS" w:hAnsi="Trebuchet MS" w:cs="Trebuchet MS"/>
          <w:sz w:val="24"/>
          <w:lang w:val="ro-RO" w:eastAsia="ro-RO" w:bidi="ro-RO"/>
        </w:rPr>
        <w:t>, precum si ale celor 3 directori, în conformitate cu prevederile Ordonanței de Urgență a Guvernului nr.</w:t>
      </w:r>
      <w:r>
        <w:rPr>
          <w:rFonts w:ascii="Trebuchet MS" w:hAnsi="Trebuchet MS" w:cs="Trebuchet MS"/>
          <w:sz w:val="24"/>
          <w:lang w:val="ro-RO"/>
        </w:rPr>
        <w:t xml:space="preserve"> </w:t>
      </w:r>
      <w:r>
        <w:rPr>
          <w:rFonts w:ascii="Trebuchet MS" w:hAnsi="Trebuchet MS" w:cs="Trebuchet MS"/>
          <w:sz w:val="24"/>
          <w:lang w:val="ro-RO" w:eastAsia="ro-RO" w:bidi="ro-RO"/>
        </w:rPr>
        <w:t xml:space="preserve">109/2011 </w:t>
      </w:r>
      <w:r>
        <w:rPr>
          <w:rFonts w:ascii="Trebuchet MS" w:hAnsi="Trebuchet MS" w:cs="Trebuchet MS"/>
          <w:i/>
          <w:iCs/>
          <w:sz w:val="24"/>
          <w:lang w:val="ro-RO" w:eastAsia="ro-RO" w:bidi="ro-RO"/>
        </w:rPr>
        <w:t>privind guvernanța corporativă a intreprinderilor publice,</w:t>
      </w:r>
      <w:r>
        <w:rPr>
          <w:rFonts w:ascii="Trebuchet MS" w:hAnsi="Trebuchet MS" w:cs="Trebuchet MS"/>
          <w:sz w:val="24"/>
          <w:lang w:val="ro-RO" w:eastAsia="ro-RO" w:bidi="ro-RO"/>
        </w:rPr>
        <w:t xml:space="preserve"> așa cum a fost</w:t>
      </w:r>
      <w:r>
        <w:rPr>
          <w:rFonts w:ascii="Trebuchet MS" w:hAnsi="Trebuchet MS" w:cs="Trebuchet MS"/>
          <w:sz w:val="24"/>
          <w:lang w:val="ro-RO"/>
        </w:rPr>
        <w:t xml:space="preserve"> </w:t>
      </w:r>
      <w:r>
        <w:rPr>
          <w:rFonts w:ascii="Trebuchet MS" w:hAnsi="Trebuchet MS" w:cs="Trebuchet MS"/>
          <w:sz w:val="24"/>
          <w:lang w:val="ro-RO" w:eastAsia="ro-RO" w:bidi="ro-RO"/>
        </w:rPr>
        <w:t>aprobată, cu modificări, prin Legea nr. 111/2016.</w:t>
      </w:r>
    </w:p>
    <w:p>
      <w:pPr>
        <w:pStyle w:val="263"/>
        <w:tabs>
          <w:tab w:val="left" w:pos="284"/>
        </w:tabs>
        <w:ind w:left="-240" w:leftChars="-100" w:right="-334" w:rightChars="-139"/>
        <w:jc w:val="both"/>
        <w:rPr>
          <w:rFonts w:ascii="Trebuchet MS" w:hAnsi="Trebuchet MS" w:cs="Trebuchet MS"/>
          <w:color w:val="auto"/>
          <w:lang w:val="ro-RO" w:eastAsia="ro-RO" w:bidi="ro-RO"/>
        </w:rPr>
      </w:pPr>
    </w:p>
    <w:p>
      <w:pPr>
        <w:pStyle w:val="263"/>
        <w:tabs>
          <w:tab w:val="left" w:pos="284"/>
        </w:tabs>
        <w:ind w:left="-240" w:leftChars="-100" w:right="-334" w:rightChars="-139"/>
        <w:jc w:val="both"/>
        <w:rPr>
          <w:rFonts w:ascii="Trebuchet MS" w:hAnsi="Trebuchet MS" w:cs="Trebuchet MS"/>
          <w:b/>
          <w:i/>
          <w:color w:val="auto"/>
          <w:lang w:val="ro-RO"/>
        </w:rPr>
      </w:pPr>
      <w:r>
        <w:rPr>
          <w:rFonts w:ascii="Trebuchet MS" w:hAnsi="Trebuchet MS" w:cs="Trebuchet MS"/>
          <w:color w:val="auto"/>
          <w:lang w:val="ro-RO" w:eastAsia="ro-RO" w:bidi="ro-RO"/>
        </w:rPr>
        <w:t xml:space="preserve">Candidații pentru posturile de membru al consiliului de administrație și posturile de director </w:t>
      </w:r>
      <w:r>
        <w:rPr>
          <w:rFonts w:ascii="Trebuchet MS" w:hAnsi="Trebuchet MS" w:cs="Trebuchet MS"/>
          <w:color w:val="auto"/>
          <w:lang w:val="ro-RO"/>
        </w:rPr>
        <w:t>F.N.G.C.I.M.M. S.A. – IFN</w:t>
      </w:r>
      <w:r>
        <w:rPr>
          <w:rFonts w:ascii="Trebuchet MS" w:hAnsi="Trebuchet MS" w:cs="Trebuchet MS"/>
          <w:color w:val="auto"/>
          <w:lang w:val="ro-RO" w:eastAsia="ro-RO" w:bidi="ro-RO"/>
        </w:rPr>
        <w:t xml:space="preserve"> S.A. trebuie să îndeplinească, fără a se limita, prevederile </w:t>
      </w:r>
      <w:r>
        <w:rPr>
          <w:rFonts w:ascii="Trebuchet MS" w:hAnsi="Trebuchet MS" w:cs="Trebuchet MS"/>
          <w:bCs/>
          <w:color w:val="auto"/>
          <w:lang w:val="ro-RO"/>
        </w:rPr>
        <w:t>Legii nr. 93/2009 privind instituțiile financiare nebancare, cu modificările și completările ulterioare</w:t>
      </w:r>
      <w:r>
        <w:rPr>
          <w:rFonts w:ascii="Trebuchet MS" w:hAnsi="Trebuchet MS" w:cs="Trebuchet MS"/>
          <w:color w:val="auto"/>
          <w:lang w:val="ro-RO"/>
        </w:rPr>
        <w:t xml:space="preserve">, </w:t>
      </w:r>
      <w:r>
        <w:rPr>
          <w:rFonts w:ascii="Trebuchet MS" w:hAnsi="Trebuchet MS" w:cs="Trebuchet MS"/>
          <w:b/>
          <w:color w:val="auto"/>
          <w:lang w:val="ro-RO"/>
        </w:rPr>
        <w:t>“</w:t>
      </w:r>
      <w:r>
        <w:rPr>
          <w:rFonts w:ascii="Trebuchet MS" w:hAnsi="Trebuchet MS" w:cs="Trebuchet MS"/>
          <w:b/>
          <w:bCs/>
          <w:i/>
          <w:color w:val="auto"/>
          <w:lang w:val="ro-RO"/>
        </w:rPr>
        <w:t>Art. 20.</w:t>
      </w:r>
      <w:r>
        <w:rPr>
          <w:rFonts w:ascii="Trebuchet MS" w:hAnsi="Trebuchet MS" w:cs="Trebuchet MS"/>
          <w:b/>
          <w:i/>
          <w:color w:val="auto"/>
          <w:lang w:val="ro-RO"/>
        </w:rPr>
        <w:t xml:space="preserve"> Conducătorii instituțiilor financiare nebancare trebuie să aibă reputație și experientă adecvate pentru exercitarea responsabilităților încredințate conform criteriilor stabilite de către Banca Națională a României.”</w:t>
      </w:r>
      <w:r>
        <w:rPr>
          <w:rFonts w:ascii="Trebuchet MS" w:hAnsi="Trebuchet MS" w:cs="Trebuchet MS"/>
          <w:color w:val="auto"/>
          <w:lang w:val="ro-RO"/>
        </w:rPr>
        <w:t>,</w:t>
      </w:r>
      <w:r>
        <w:rPr>
          <w:rFonts w:ascii="Trebuchet MS" w:hAnsi="Trebuchet MS" w:cs="Trebuchet MS"/>
          <w:b/>
          <w:i/>
          <w:color w:val="auto"/>
          <w:lang w:val="ro-RO"/>
        </w:rPr>
        <w:t xml:space="preserve"> </w:t>
      </w:r>
      <w:r>
        <w:rPr>
          <w:rFonts w:ascii="Trebuchet MS" w:hAnsi="Trebuchet MS" w:cs="Trebuchet MS"/>
          <w:color w:val="auto"/>
          <w:lang w:val="ro-RO"/>
        </w:rPr>
        <w:t xml:space="preserve">art. 31 alin. (2) </w:t>
      </w:r>
      <w:r>
        <w:rPr>
          <w:rFonts w:ascii="Trebuchet MS" w:hAnsi="Trebuchet MS" w:cs="Trebuchet MS"/>
          <w:b/>
          <w:i/>
          <w:color w:val="auto"/>
          <w:lang w:val="ro-RO"/>
        </w:rPr>
        <w:t xml:space="preserve">Conducătorii, administratorii şi membrii consiliului de supraveghere trebuie să dispună de bună reputaţie şi experienţă adecvată naturii, întinderii şi complexităţii activităţii instituţiei financiare nebancare şi responsabilităţilor încredinţate.” </w:t>
      </w:r>
      <w:r>
        <w:rPr>
          <w:rFonts w:ascii="Trebuchet MS" w:hAnsi="Trebuchet MS" w:cs="Trebuchet MS"/>
          <w:bCs/>
          <w:iCs/>
          <w:color w:val="auto"/>
          <w:lang w:val="ro-RO"/>
        </w:rPr>
        <w:t>precum și</w:t>
      </w:r>
      <w:r>
        <w:rPr>
          <w:rFonts w:ascii="Trebuchet MS" w:hAnsi="Trebuchet MS" w:cs="Trebuchet MS"/>
          <w:bCs/>
          <w:i/>
          <w:color w:val="auto"/>
          <w:lang w:val="ro-RO"/>
        </w:rPr>
        <w:t xml:space="preserve"> </w:t>
      </w:r>
      <w:r>
        <w:rPr>
          <w:rFonts w:ascii="Trebuchet MS" w:hAnsi="Trebuchet MS" w:cs="Trebuchet MS"/>
          <w:i/>
          <w:color w:val="auto"/>
          <w:lang w:val="ro-RO"/>
        </w:rPr>
        <w:t xml:space="preserve"> </w:t>
      </w:r>
      <w:r>
        <w:rPr>
          <w:rFonts w:ascii="Trebuchet MS" w:hAnsi="Trebuchet MS" w:cs="Trebuchet MS"/>
          <w:bCs/>
          <w:color w:val="auto"/>
          <w:lang w:val="ro-RO"/>
        </w:rPr>
        <w:t>Regulamentului nr. 20 din 13.oct.2009, privind instituţiile financiare nebancare, cu modificările și completările ulterioare</w:t>
      </w:r>
      <w:r>
        <w:rPr>
          <w:rFonts w:ascii="Trebuchet MS" w:hAnsi="Trebuchet MS" w:cs="Trebuchet MS"/>
          <w:color w:val="auto"/>
          <w:lang w:val="ro-RO"/>
        </w:rPr>
        <w:t xml:space="preserve">, </w:t>
      </w:r>
      <w:r>
        <w:rPr>
          <w:rFonts w:ascii="Trebuchet MS" w:hAnsi="Trebuchet MS" w:cs="Trebuchet MS"/>
          <w:b/>
          <w:i/>
          <w:color w:val="auto"/>
          <w:lang w:val="ro-RO"/>
        </w:rPr>
        <w:t>“</w:t>
      </w:r>
      <w:r>
        <w:rPr>
          <w:rFonts w:ascii="Trebuchet MS" w:hAnsi="Trebuchet MS" w:cs="Trebuchet MS"/>
          <w:b/>
          <w:bCs/>
          <w:i/>
          <w:color w:val="auto"/>
          <w:lang w:val="ro-RO"/>
        </w:rPr>
        <w:t>Art. 17.</w:t>
      </w:r>
      <w:r>
        <w:rPr>
          <w:rFonts w:ascii="Trebuchet MS" w:hAnsi="Trebuchet MS" w:cs="Trebuchet MS"/>
          <w:b/>
          <w:i/>
          <w:color w:val="auto"/>
          <w:lang w:val="ro-RO"/>
        </w:rPr>
        <w:t xml:space="preserve"> - Pentru îndeplinirea cerinţei privind experienţa profesională solicitantul trebuie să demonstreze că persoanele desemnate în calitate de conducători dispun de cunoştinţe teoretice şi practice adecvate cu privire la activităţile ce urmează a fi desfăşurate de instituţia financiară nebancară, precum şi de experienţă dobândită într-o funcţie de conducere. ”</w:t>
      </w:r>
      <w:bookmarkStart w:id="25" w:name="bookmark24"/>
      <w:bookmarkStart w:id="26" w:name="bookmark25"/>
    </w:p>
    <w:p>
      <w:pPr>
        <w:pStyle w:val="263"/>
        <w:tabs>
          <w:tab w:val="left" w:pos="284"/>
        </w:tabs>
        <w:ind w:left="-240" w:leftChars="-100" w:right="-334" w:rightChars="-139"/>
        <w:jc w:val="both"/>
        <w:rPr>
          <w:rFonts w:ascii="Trebuchet MS" w:hAnsi="Trebuchet MS" w:cs="Trebuchet MS"/>
          <w:color w:val="auto"/>
          <w:lang w:val="ro-RO"/>
        </w:rPr>
      </w:pPr>
    </w:p>
    <w:p>
      <w:pPr>
        <w:pStyle w:val="263"/>
        <w:tabs>
          <w:tab w:val="left" w:pos="284"/>
        </w:tabs>
        <w:ind w:left="-240" w:leftChars="-100" w:right="-334" w:rightChars="-139"/>
        <w:jc w:val="both"/>
        <w:rPr>
          <w:rFonts w:ascii="Trebuchet MS" w:hAnsi="Trebuchet MS" w:cs="Trebuchet MS"/>
          <w:color w:val="auto"/>
          <w:lang w:val="ro-RO"/>
        </w:rPr>
      </w:pPr>
      <w:r>
        <w:rPr>
          <w:rFonts w:ascii="Trebuchet MS" w:hAnsi="Trebuchet MS" w:cs="Trebuchet MS"/>
          <w:color w:val="auto"/>
          <w:lang w:val="ro-RO"/>
        </w:rPr>
        <w:t xml:space="preserve">Consiliul de Administrație va urmări îndeaproape ca viziunea acționarului cu privire la rolul fondului în economia națională să fie transpusă în obiective măsurabile pe termen mediu, rolul consiliului fiind acela de a se asigura că aceste obiective vor fi rezultatul unor documente programatice de tipul planului de strategie și dezvoltare și a planului de administrare.  </w:t>
      </w:r>
    </w:p>
    <w:p>
      <w:pPr>
        <w:pStyle w:val="263"/>
        <w:tabs>
          <w:tab w:val="left" w:pos="284"/>
        </w:tabs>
        <w:spacing w:after="0"/>
        <w:ind w:left="-240" w:leftChars="-100" w:right="-334" w:rightChars="-139"/>
        <w:jc w:val="both"/>
        <w:rPr>
          <w:rFonts w:ascii="Trebuchet MS" w:hAnsi="Trebuchet MS" w:cs="Trebuchet MS"/>
          <w:b/>
          <w:i/>
          <w:color w:val="auto"/>
          <w:lang w:val="ro-RO"/>
        </w:rPr>
      </w:pPr>
    </w:p>
    <w:p>
      <w:pPr>
        <w:pStyle w:val="19"/>
        <w:ind w:left="-240" w:leftChars="-100" w:right="-334" w:rightChars="-139"/>
        <w:rPr>
          <w:rFonts w:ascii="Trebuchet MS" w:hAnsi="Trebuchet MS" w:cs="Trebuchet MS"/>
          <w:color w:val="auto"/>
        </w:rPr>
      </w:pPr>
      <w:r>
        <w:rPr>
          <w:rFonts w:ascii="Trebuchet MS" w:hAnsi="Trebuchet MS" w:cs="Trebuchet MS"/>
          <w:color w:val="auto"/>
        </w:rPr>
        <w:t>9. Așteptări privind gestionarea riscurilor</w:t>
      </w:r>
    </w:p>
    <w:p>
      <w:pPr>
        <w:pStyle w:val="19"/>
        <w:spacing w:after="0"/>
        <w:ind w:left="-240" w:leftChars="-100" w:right="-334" w:rightChars="-139"/>
        <w:rPr>
          <w:rFonts w:ascii="Trebuchet MS" w:hAnsi="Trebuchet MS" w:cs="Trebuchet MS"/>
          <w:b w:val="0"/>
          <w:bCs w:val="0"/>
          <w:color w:val="auto"/>
        </w:rPr>
      </w:pPr>
    </w:p>
    <w:p>
      <w:pPr>
        <w:pStyle w:val="19"/>
        <w:spacing w:after="0"/>
        <w:ind w:left="-240" w:leftChars="-100" w:right="-334" w:rightChars="-139"/>
        <w:rPr>
          <w:rFonts w:ascii="Trebuchet MS" w:hAnsi="Trebuchet MS" w:cs="Trebuchet MS"/>
          <w:b w:val="0"/>
          <w:bCs w:val="0"/>
          <w:color w:val="auto"/>
        </w:rPr>
      </w:pPr>
      <w:r>
        <w:rPr>
          <w:rFonts w:ascii="Trebuchet MS" w:hAnsi="Trebuchet MS" w:cs="Trebuchet MS"/>
          <w:b w:val="0"/>
          <w:bCs w:val="0"/>
          <w:color w:val="auto"/>
        </w:rPr>
        <w:t xml:space="preserve">Acționarul, Statul român, prin MF doreste ca în următorii patru ani, FNGCIMM S.A. să aibă în vedere consolidarea unui model de afacere în condiții de eficiență economică și financiară și într-un mod sustenabil, care să facă față provocărilor. </w:t>
      </w:r>
    </w:p>
    <w:p>
      <w:pPr>
        <w:pStyle w:val="19"/>
        <w:spacing w:after="0"/>
        <w:ind w:left="-240" w:leftChars="-100" w:right="-334" w:rightChars="-139"/>
        <w:rPr>
          <w:rFonts w:ascii="Trebuchet MS" w:hAnsi="Trebuchet MS" w:cs="Trebuchet MS"/>
          <w:b w:val="0"/>
          <w:bCs w:val="0"/>
          <w:color w:val="auto"/>
        </w:rPr>
      </w:pPr>
      <w:r>
        <w:rPr>
          <w:rFonts w:ascii="Trebuchet MS" w:hAnsi="Trebuchet MS" w:cs="Trebuchet MS"/>
          <w:b w:val="0"/>
          <w:bCs w:val="0"/>
          <w:color w:val="auto"/>
        </w:rPr>
        <w:t xml:space="preserve">Rezultatele financiare ale fondului să fie în continuă creștere, dar și sustenabile pe termen mediu si lung, iar indicatorii de risc financiar să se situeze în parametrii de risc acceptați de mediul financiar-bancar. </w:t>
      </w:r>
    </w:p>
    <w:p>
      <w:pPr>
        <w:pStyle w:val="19"/>
        <w:spacing w:after="0"/>
        <w:ind w:left="-240" w:leftChars="-100" w:right="-334" w:rightChars="-139"/>
        <w:rPr>
          <w:rFonts w:ascii="Trebuchet MS" w:hAnsi="Trebuchet MS" w:cs="Trebuchet MS"/>
          <w:b w:val="0"/>
          <w:bCs w:val="0"/>
          <w:color w:val="auto"/>
        </w:rPr>
      </w:pPr>
    </w:p>
    <w:p>
      <w:pPr>
        <w:pStyle w:val="19"/>
        <w:spacing w:after="0"/>
        <w:ind w:left="-240" w:leftChars="-100" w:right="-334" w:rightChars="-139"/>
        <w:rPr>
          <w:rFonts w:ascii="Trebuchet MS" w:hAnsi="Trebuchet MS" w:cs="Trebuchet MS"/>
          <w:b w:val="0"/>
          <w:bCs w:val="0"/>
          <w:color w:val="auto"/>
        </w:rPr>
      </w:pPr>
      <w:r>
        <w:rPr>
          <w:rFonts w:ascii="Trebuchet MS" w:hAnsi="Trebuchet MS" w:cs="Trebuchet MS"/>
          <w:b w:val="0"/>
          <w:bCs w:val="0"/>
          <w:color w:val="auto"/>
        </w:rPr>
        <w:t xml:space="preserve">Prin urmare, așteptările MF sunt ca în permanență FNGCIMM S.A. să aibă în vedere dezvoltarea capacităților de identificare și prevenire a riscurilor, de orice natura, dar și de gestionare și minimizare a impactului când acestea se manifestă. </w:t>
      </w:r>
    </w:p>
    <w:p>
      <w:pPr>
        <w:pStyle w:val="19"/>
        <w:spacing w:after="0"/>
        <w:ind w:left="-240" w:leftChars="-100" w:right="-334" w:rightChars="-139"/>
        <w:rPr>
          <w:rFonts w:ascii="Trebuchet MS" w:hAnsi="Trebuchet MS" w:cs="Trebuchet MS"/>
          <w:b w:val="0"/>
          <w:bCs w:val="0"/>
          <w:color w:val="auto"/>
        </w:rPr>
      </w:pPr>
    </w:p>
    <w:p>
      <w:pPr>
        <w:pStyle w:val="19"/>
        <w:spacing w:after="0"/>
        <w:ind w:left="-240" w:leftChars="-100" w:right="-334" w:rightChars="-139"/>
        <w:rPr>
          <w:rFonts w:ascii="Trebuchet MS" w:hAnsi="Trebuchet MS" w:cs="Trebuchet MS"/>
          <w:b w:val="0"/>
          <w:bCs w:val="0"/>
          <w:color w:val="auto"/>
        </w:rPr>
      </w:pPr>
      <w:r>
        <w:rPr>
          <w:rFonts w:ascii="Trebuchet MS" w:hAnsi="Trebuchet MS" w:cs="Trebuchet MS"/>
          <w:b w:val="0"/>
          <w:bCs w:val="0"/>
          <w:color w:val="auto"/>
        </w:rPr>
        <w:t xml:space="preserve">Totodată, cunoaşterea ameninţărilor – a riscurilor strategice, operaţionale, financiare şi de hazard, la care este expus fondul, trebuie să permită o ierarhizare a tratării acestora, în funcţie de eventualitatea materializării lor, de amploarea impactului asupra obiectivelor şi de costurile pe care le presupun măsurile menite a reduce şansele de apariţie sau de a limita efectele nedorite. </w:t>
      </w:r>
    </w:p>
    <w:p>
      <w:pPr>
        <w:pStyle w:val="19"/>
        <w:spacing w:after="0"/>
        <w:ind w:left="-240" w:leftChars="-100" w:right="-334" w:rightChars="-139"/>
        <w:rPr>
          <w:rFonts w:ascii="Trebuchet MS" w:hAnsi="Trebuchet MS" w:cs="Trebuchet MS"/>
          <w:b w:val="0"/>
          <w:bCs w:val="0"/>
          <w:color w:val="auto"/>
        </w:rPr>
      </w:pPr>
    </w:p>
    <w:p>
      <w:pPr>
        <w:pStyle w:val="19"/>
        <w:spacing w:after="0"/>
        <w:ind w:left="-240" w:leftChars="-100" w:right="-334" w:rightChars="-139"/>
        <w:rPr>
          <w:rFonts w:ascii="Trebuchet MS" w:hAnsi="Trebuchet MS" w:cs="Trebuchet MS"/>
          <w:b w:val="0"/>
          <w:bCs w:val="0"/>
          <w:color w:val="auto"/>
        </w:rPr>
      </w:pPr>
      <w:r>
        <w:rPr>
          <w:rFonts w:ascii="Trebuchet MS" w:hAnsi="Trebuchet MS" w:cs="Trebuchet MS"/>
          <w:b w:val="0"/>
          <w:bCs w:val="0"/>
          <w:color w:val="auto"/>
        </w:rPr>
        <w:t xml:space="preserve">Fondul trebuie sa abordeze managementul riscurilor intr-un mod proactiv, prin identificarea şi tratarea pierderilor potenţiale înainte ca evenimentele generatoare să aibă loc, pregătirea in avans a soluţiilor operaţionale şi financiare specifice pentru a contracara eventualele pierderi şi pentru reducerea riscurilor la un nivel acceptabil, cu scaderea valorii totale a riscului actual și incadrarea in toleranța la risc, cerințele de prudențialitate. </w:t>
      </w:r>
    </w:p>
    <w:p>
      <w:pPr>
        <w:pStyle w:val="19"/>
        <w:spacing w:after="0"/>
        <w:ind w:left="-240" w:leftChars="-100" w:right="-334" w:rightChars="-139"/>
        <w:rPr>
          <w:rFonts w:ascii="Trebuchet MS" w:hAnsi="Trebuchet MS" w:cs="Trebuchet MS"/>
          <w:b w:val="0"/>
          <w:bCs w:val="0"/>
          <w:color w:val="auto"/>
        </w:rPr>
      </w:pPr>
    </w:p>
    <w:p>
      <w:pPr>
        <w:pStyle w:val="19"/>
        <w:spacing w:after="0"/>
        <w:ind w:left="-240" w:leftChars="-100" w:right="-334" w:rightChars="-139"/>
        <w:rPr>
          <w:rFonts w:ascii="Trebuchet MS" w:hAnsi="Trebuchet MS" w:cs="Trebuchet MS"/>
          <w:b w:val="0"/>
          <w:bCs w:val="0"/>
          <w:color w:val="auto"/>
        </w:rPr>
      </w:pPr>
      <w:r>
        <w:rPr>
          <w:rFonts w:ascii="Trebuchet MS" w:hAnsi="Trebuchet MS" w:cs="Trebuchet MS"/>
          <w:b w:val="0"/>
          <w:bCs w:val="0"/>
          <w:color w:val="auto"/>
        </w:rPr>
        <w:t>Acționarul consideră că abordarea sistematică, structurată și actualizată a managementului riscurilor contribuie la eficientizarea proceselor, astfel, evitându-se impactul negativ al riscurilor asupra activității fondului și asupra rezultatelor sale economico-financiare.</w:t>
      </w:r>
    </w:p>
    <w:p>
      <w:pPr>
        <w:pStyle w:val="19"/>
        <w:spacing w:after="0"/>
        <w:ind w:left="-240" w:leftChars="-100" w:right="-334" w:rightChars="-139"/>
        <w:rPr>
          <w:rFonts w:ascii="Trebuchet MS" w:hAnsi="Trebuchet MS" w:cs="Trebuchet MS"/>
          <w:b w:val="0"/>
          <w:bCs w:val="0"/>
          <w:color w:val="auto"/>
        </w:rPr>
      </w:pPr>
    </w:p>
    <w:p>
      <w:pPr>
        <w:pStyle w:val="19"/>
        <w:spacing w:after="0"/>
        <w:ind w:left="-240" w:leftChars="-100" w:right="-334" w:rightChars="-139"/>
        <w:rPr>
          <w:rFonts w:ascii="Trebuchet MS" w:hAnsi="Trebuchet MS" w:cs="Trebuchet MS"/>
          <w:b w:val="0"/>
          <w:bCs w:val="0"/>
          <w:color w:val="auto"/>
        </w:rPr>
      </w:pPr>
      <w:r>
        <w:rPr>
          <w:rFonts w:ascii="Trebuchet MS" w:hAnsi="Trebuchet MS" w:cs="Trebuchet MS"/>
          <w:b w:val="0"/>
          <w:bCs w:val="0"/>
          <w:color w:val="auto"/>
        </w:rPr>
        <w:t>Acționarii doresc  ca administratorii companiei să acționeze în consens cu cerințele Codului Etic, și să respecte prevederile legale din domeniul Integrității și Guvernanței Corporative, în spiritul responsabilității și practicilor transparente de afaceri.</w:t>
      </w:r>
    </w:p>
    <w:p>
      <w:pPr>
        <w:pStyle w:val="19"/>
        <w:spacing w:after="0"/>
        <w:ind w:left="-240" w:leftChars="-100" w:right="-334" w:rightChars="-139"/>
        <w:rPr>
          <w:rFonts w:ascii="Trebuchet MS" w:hAnsi="Trebuchet MS" w:cs="Trebuchet MS"/>
          <w:b w:val="0"/>
          <w:bCs w:val="0"/>
          <w:color w:val="auto"/>
        </w:rPr>
      </w:pPr>
      <w:r>
        <w:rPr>
          <w:rFonts w:ascii="Trebuchet MS" w:hAnsi="Trebuchet MS" w:cs="Trebuchet MS"/>
          <w:b w:val="0"/>
          <w:bCs w:val="0"/>
          <w:color w:val="auto"/>
        </w:rPr>
        <w:t>Sistemul de Management al Riscurilor reprezintă o șansă reală de creștere a performanțelor proceselor organizației, pentru atingerea obiectivelor, în condițiile folosirii judicioase a fondurilor, iar așteptările acționarilor sunt ca administratorii fondului să asigure resursele necesare menținerii și îmbunătățirii continue a eficacității acestuia, să gestioneze elementele care stabilesc condițiile și instrumentele necesare întăririi controlului managerial intern.</w:t>
      </w:r>
    </w:p>
    <w:p>
      <w:pPr>
        <w:pStyle w:val="19"/>
        <w:spacing w:after="0"/>
        <w:ind w:left="-240" w:leftChars="-100" w:right="-334" w:rightChars="-139"/>
        <w:rPr>
          <w:rFonts w:ascii="Trebuchet MS" w:hAnsi="Trebuchet MS" w:cs="Trebuchet MS"/>
          <w:b w:val="0"/>
          <w:bCs w:val="0"/>
          <w:color w:val="auto"/>
        </w:rPr>
      </w:pPr>
    </w:p>
    <w:p>
      <w:pPr>
        <w:pStyle w:val="19"/>
        <w:spacing w:after="0"/>
        <w:ind w:left="-240" w:leftChars="-100" w:right="-334" w:rightChars="-139"/>
        <w:rPr>
          <w:rFonts w:ascii="Trebuchet MS" w:hAnsi="Trebuchet MS" w:cs="Trebuchet MS"/>
          <w:b w:val="0"/>
          <w:bCs w:val="0"/>
          <w:color w:val="auto"/>
        </w:rPr>
      </w:pPr>
      <w:r>
        <w:rPr>
          <w:rFonts w:ascii="Trebuchet MS" w:hAnsi="Trebuchet MS" w:cs="Trebuchet MS"/>
          <w:b w:val="0"/>
          <w:bCs w:val="0"/>
          <w:color w:val="auto"/>
        </w:rPr>
        <w:t>Așteptările acționarului, se îndreaptă cu precădere către:</w:t>
      </w:r>
    </w:p>
    <w:p>
      <w:pPr>
        <w:pStyle w:val="19"/>
        <w:spacing w:after="0"/>
        <w:ind w:left="-240" w:leftChars="-100" w:right="-334" w:rightChars="-139"/>
        <w:rPr>
          <w:rFonts w:ascii="Trebuchet MS" w:hAnsi="Trebuchet MS" w:cs="Trebuchet MS"/>
          <w:b w:val="0"/>
          <w:bCs w:val="0"/>
          <w:color w:val="auto"/>
        </w:rPr>
      </w:pPr>
      <w:r>
        <w:rPr>
          <w:rFonts w:ascii="Trebuchet MS" w:hAnsi="Trebuchet MS" w:cs="Trebuchet MS"/>
          <w:b w:val="0"/>
          <w:bCs w:val="0"/>
          <w:color w:val="auto"/>
        </w:rPr>
        <w:t>-</w:t>
      </w:r>
      <w:r>
        <w:rPr>
          <w:rFonts w:ascii="Trebuchet MS" w:hAnsi="Trebuchet MS" w:cs="Trebuchet MS"/>
          <w:b w:val="0"/>
          <w:bCs w:val="0"/>
          <w:color w:val="auto"/>
        </w:rPr>
        <w:tab/>
      </w:r>
      <w:r>
        <w:rPr>
          <w:rFonts w:ascii="Trebuchet MS" w:hAnsi="Trebuchet MS" w:cs="Trebuchet MS"/>
          <w:b w:val="0"/>
          <w:bCs w:val="0"/>
          <w:color w:val="auto"/>
        </w:rPr>
        <w:t>conformitatea totală a situației actuale din fond cu cerințele legislative incidente;</w:t>
      </w:r>
    </w:p>
    <w:p>
      <w:pPr>
        <w:pStyle w:val="19"/>
        <w:spacing w:after="0"/>
        <w:ind w:left="-240" w:leftChars="-100" w:right="-334" w:rightChars="-139"/>
        <w:rPr>
          <w:rFonts w:ascii="Trebuchet MS" w:hAnsi="Trebuchet MS" w:cs="Trebuchet MS"/>
          <w:b w:val="0"/>
          <w:bCs w:val="0"/>
          <w:color w:val="auto"/>
        </w:rPr>
      </w:pPr>
      <w:r>
        <w:rPr>
          <w:rFonts w:ascii="Trebuchet MS" w:hAnsi="Trebuchet MS" w:cs="Trebuchet MS"/>
          <w:b w:val="0"/>
          <w:bCs w:val="0"/>
          <w:color w:val="auto"/>
        </w:rPr>
        <w:t>-</w:t>
      </w:r>
      <w:r>
        <w:rPr>
          <w:rFonts w:ascii="Trebuchet MS" w:hAnsi="Trebuchet MS" w:cs="Trebuchet MS"/>
          <w:b w:val="0"/>
          <w:bCs w:val="0"/>
          <w:color w:val="auto"/>
        </w:rPr>
        <w:tab/>
      </w:r>
      <w:r>
        <w:rPr>
          <w:rFonts w:ascii="Trebuchet MS" w:hAnsi="Trebuchet MS" w:cs="Trebuchet MS"/>
          <w:b w:val="0"/>
          <w:bCs w:val="0"/>
          <w:color w:val="auto"/>
        </w:rPr>
        <w:t>promovarea și respectarea valorilor organizaționale (profesionalism, tradiție, dialog social, respect față de oameni și mediu, respect față de cultura organizațională, comunitate, istorie, etc).</w:t>
      </w:r>
    </w:p>
    <w:p>
      <w:pPr>
        <w:pStyle w:val="19"/>
        <w:spacing w:after="0"/>
        <w:ind w:left="-240" w:leftChars="-100" w:right="-334" w:rightChars="-139"/>
        <w:rPr>
          <w:rFonts w:ascii="Trebuchet MS" w:hAnsi="Trebuchet MS" w:cs="Trebuchet MS"/>
          <w:b w:val="0"/>
          <w:bCs w:val="0"/>
          <w:color w:val="auto"/>
        </w:rPr>
      </w:pPr>
    </w:p>
    <w:p>
      <w:pPr>
        <w:pStyle w:val="19"/>
        <w:spacing w:after="0"/>
        <w:ind w:left="-240" w:leftChars="-100" w:right="-334" w:rightChars="-139"/>
        <w:rPr>
          <w:rFonts w:ascii="Trebuchet MS" w:hAnsi="Trebuchet MS" w:cs="Trebuchet MS"/>
          <w:b w:val="0"/>
          <w:bCs w:val="0"/>
          <w:color w:val="auto"/>
        </w:rPr>
      </w:pPr>
      <w:r>
        <w:rPr>
          <w:rFonts w:ascii="Trebuchet MS" w:hAnsi="Trebuchet MS" w:cs="Trebuchet MS"/>
          <w:b w:val="0"/>
          <w:bCs w:val="0"/>
          <w:color w:val="auto"/>
        </w:rPr>
        <w:t xml:space="preserve">În acest sens, Consiliul de administratie trebuie să identifice principalii indicatori de risc cu privire la activitatea Fondului și să îi monitorizeze  permanent cu scopul de a reduce gradul de expunere al fondului la efectele unor riscuri inerente (economico-financiare, comerciale, juridice, operaționale, etc.) </w:t>
      </w:r>
    </w:p>
    <w:p>
      <w:pPr>
        <w:pStyle w:val="263"/>
        <w:tabs>
          <w:tab w:val="left" w:pos="284"/>
        </w:tabs>
        <w:spacing w:after="0"/>
        <w:ind w:left="-240" w:leftChars="-100" w:right="-334" w:rightChars="-139"/>
        <w:jc w:val="both"/>
        <w:rPr>
          <w:rFonts w:ascii="Trebuchet MS" w:hAnsi="Trebuchet MS" w:cs="Trebuchet MS"/>
          <w:b/>
          <w:i/>
          <w:color w:val="auto"/>
          <w:lang w:val="ro-RO"/>
        </w:rPr>
      </w:pPr>
    </w:p>
    <w:p>
      <w:pPr>
        <w:pStyle w:val="263"/>
        <w:tabs>
          <w:tab w:val="left" w:pos="0"/>
        </w:tabs>
        <w:ind w:left="-240" w:leftChars="-100" w:right="-334" w:rightChars="-139"/>
        <w:jc w:val="both"/>
        <w:rPr>
          <w:rFonts w:ascii="Trebuchet MS" w:hAnsi="Trebuchet MS" w:cs="Trebuchet MS"/>
          <w:b/>
          <w:bCs/>
          <w:i/>
          <w:color w:val="auto"/>
          <w:lang w:val="ro-RO"/>
        </w:rPr>
      </w:pPr>
      <w:r>
        <w:rPr>
          <w:rFonts w:ascii="Trebuchet MS" w:hAnsi="Trebuchet MS" w:cs="Trebuchet MS"/>
          <w:b/>
          <w:bCs/>
          <w:color w:val="auto"/>
          <w:lang w:val="ro-RO" w:eastAsia="ro-RO" w:bidi="ro-RO"/>
        </w:rPr>
        <w:t>10. Politica de investiții</w:t>
      </w:r>
      <w:bookmarkEnd w:id="25"/>
      <w:bookmarkEnd w:id="26"/>
    </w:p>
    <w:p>
      <w:pPr>
        <w:pStyle w:val="10"/>
        <w:tabs>
          <w:tab w:val="left" w:pos="0"/>
        </w:tabs>
        <w:spacing w:after="0"/>
        <w:ind w:left="-240" w:leftChars="-100" w:right="-334" w:rightChars="-139"/>
        <w:jc w:val="both"/>
        <w:rPr>
          <w:rFonts w:ascii="Trebuchet MS" w:hAnsi="Trebuchet MS" w:cs="Trebuchet MS"/>
          <w:sz w:val="24"/>
          <w:lang w:val="ro-RO" w:eastAsia="ro-RO" w:bidi="ro-RO"/>
        </w:rPr>
      </w:pPr>
    </w:p>
    <w:p>
      <w:pPr>
        <w:pStyle w:val="10"/>
        <w:tabs>
          <w:tab w:val="left" w:pos="0"/>
        </w:tabs>
        <w:ind w:left="-240" w:leftChars="-100" w:right="-334" w:rightChars="-139"/>
        <w:jc w:val="both"/>
        <w:rPr>
          <w:rFonts w:ascii="Trebuchet MS" w:hAnsi="Trebuchet MS" w:cs="Trebuchet MS"/>
          <w:sz w:val="24"/>
          <w:lang w:val="ro-RO"/>
        </w:rPr>
      </w:pPr>
      <w:r>
        <w:rPr>
          <w:rFonts w:ascii="Trebuchet MS" w:hAnsi="Trebuchet MS" w:cs="Trebuchet MS"/>
          <w:sz w:val="24"/>
          <w:lang w:val="ro-RO" w:eastAsia="ro-RO" w:bidi="ro-RO"/>
        </w:rPr>
        <w:t xml:space="preserve">Acționarul se așteaptă la realizarea unei politici de investiții adecvate, ținând cont de faptul că </w:t>
      </w:r>
      <w:r>
        <w:rPr>
          <w:rFonts w:ascii="Trebuchet MS" w:hAnsi="Trebuchet MS" w:cs="Trebuchet MS"/>
          <w:sz w:val="24"/>
          <w:lang w:val="ro-RO"/>
        </w:rPr>
        <w:t>F.N.G.C.I.M.M. S.A. – IFN</w:t>
      </w:r>
      <w:r>
        <w:rPr>
          <w:rFonts w:ascii="Trebuchet MS" w:hAnsi="Trebuchet MS" w:cs="Trebuchet MS"/>
          <w:sz w:val="24"/>
          <w:lang w:val="ro-RO" w:eastAsia="ro-RO" w:bidi="ro-RO"/>
        </w:rPr>
        <w:t xml:space="preserve"> S.A. își desfășoară activitatea într-un mediu concurențial/competitiv. în acest sens, planul de investiții propus de autoritatea administrativă/executivă trebuie să ducă la îndeplinirea obiectivelor prevăzute în planul de administrare precum și a indicatorilor financiari și nefinanciari rezultați din planul de administrare.</w:t>
      </w:r>
    </w:p>
    <w:p>
      <w:pPr>
        <w:pStyle w:val="10"/>
        <w:tabs>
          <w:tab w:val="left" w:pos="0"/>
        </w:tabs>
        <w:ind w:left="-240" w:leftChars="-100" w:right="-334" w:rightChars="-139"/>
        <w:jc w:val="both"/>
        <w:rPr>
          <w:rFonts w:ascii="Trebuchet MS" w:hAnsi="Trebuchet MS" w:cs="Trebuchet MS"/>
          <w:sz w:val="24"/>
          <w:lang w:val="ro-RO" w:eastAsia="ro-RO" w:bidi="ro-RO"/>
        </w:rPr>
      </w:pPr>
    </w:p>
    <w:p>
      <w:pPr>
        <w:pStyle w:val="10"/>
        <w:tabs>
          <w:tab w:val="left" w:pos="0"/>
        </w:tabs>
        <w:ind w:left="-240" w:leftChars="-100" w:right="-334" w:rightChars="-139"/>
        <w:jc w:val="both"/>
        <w:rPr>
          <w:rFonts w:ascii="Trebuchet MS" w:hAnsi="Trebuchet MS" w:cs="Trebuchet MS"/>
          <w:sz w:val="24"/>
          <w:lang w:val="ro-RO"/>
        </w:rPr>
      </w:pPr>
      <w:r>
        <w:rPr>
          <w:rFonts w:ascii="Trebuchet MS" w:hAnsi="Trebuchet MS" w:cs="Trebuchet MS"/>
          <w:sz w:val="24"/>
          <w:lang w:val="ro-RO" w:eastAsia="ro-RO" w:bidi="ro-RO"/>
        </w:rPr>
        <w:t>Planul de investiții urmează să fie fundamentat pe baza unor studii de fezabilitate, care să asigure eficiența economică a acestor investiții, precum și potențialul câștig al acționarilor. Astfel, planul de investiții trebuie să aibă o valoare adaugată netă (VAN) pozitivă în condițiile unor presupuneri rezonabile cu privire la piață vizând viitoarele beneficii și viitorul cost al capitalului.</w:t>
      </w:r>
    </w:p>
    <w:p>
      <w:pPr>
        <w:pStyle w:val="10"/>
        <w:tabs>
          <w:tab w:val="left" w:pos="0"/>
        </w:tabs>
        <w:ind w:left="-240" w:leftChars="-100" w:right="-334" w:rightChars="-139"/>
        <w:jc w:val="both"/>
        <w:rPr>
          <w:rFonts w:ascii="Trebuchet MS" w:hAnsi="Trebuchet MS" w:cs="Trebuchet MS"/>
          <w:sz w:val="24"/>
          <w:lang w:val="ro-RO" w:eastAsia="ro-RO" w:bidi="ro-RO"/>
        </w:rPr>
      </w:pPr>
    </w:p>
    <w:p>
      <w:pPr>
        <w:pStyle w:val="10"/>
        <w:tabs>
          <w:tab w:val="left" w:pos="0"/>
        </w:tabs>
        <w:ind w:left="-240" w:leftChars="-100" w:right="-334" w:rightChars="-139"/>
        <w:jc w:val="both"/>
        <w:rPr>
          <w:rFonts w:ascii="Trebuchet MS" w:hAnsi="Trebuchet MS" w:cs="Trebuchet MS"/>
          <w:sz w:val="24"/>
          <w:lang w:val="ro-RO"/>
        </w:rPr>
      </w:pPr>
      <w:r>
        <w:rPr>
          <w:rFonts w:ascii="Trebuchet MS" w:hAnsi="Trebuchet MS" w:cs="Trebuchet MS"/>
          <w:sz w:val="24"/>
          <w:lang w:val="ro-RO" w:eastAsia="ro-RO" w:bidi="ro-RO"/>
        </w:rPr>
        <w:t xml:space="preserve">Organele de conducere ale </w:t>
      </w:r>
      <w:r>
        <w:rPr>
          <w:rFonts w:ascii="Trebuchet MS" w:hAnsi="Trebuchet MS" w:cs="Trebuchet MS"/>
          <w:sz w:val="24"/>
          <w:lang w:val="ro-RO"/>
        </w:rPr>
        <w:t>F.N.G.C.I.M.M. S.A. – IFN</w:t>
      </w:r>
      <w:r>
        <w:rPr>
          <w:rFonts w:ascii="Trebuchet MS" w:hAnsi="Trebuchet MS" w:cs="Trebuchet MS"/>
          <w:sz w:val="24"/>
          <w:lang w:val="ro-RO" w:eastAsia="ro-RO" w:bidi="ro-RO"/>
        </w:rPr>
        <w:t xml:space="preserve"> S.A. vor ține seama în întocmirea planului de investiții și de necesitatea asigurării continuității politicii de investiții desfășurată de </w:t>
      </w:r>
      <w:r>
        <w:rPr>
          <w:rFonts w:ascii="Trebuchet MS" w:hAnsi="Trebuchet MS" w:cs="Trebuchet MS"/>
          <w:sz w:val="24"/>
          <w:lang w:val="ro-RO"/>
        </w:rPr>
        <w:t>F.N.G.C.I.M.M. S.A. – IFN</w:t>
      </w:r>
      <w:r>
        <w:rPr>
          <w:rFonts w:ascii="Trebuchet MS" w:hAnsi="Trebuchet MS" w:cs="Trebuchet MS"/>
          <w:sz w:val="24"/>
          <w:lang w:val="ro-RO" w:eastAsia="ro-RO" w:bidi="ro-RO"/>
        </w:rPr>
        <w:t xml:space="preserve"> S.A. în anul 2022, care vizează obiective precum:</w:t>
      </w:r>
    </w:p>
    <w:p>
      <w:pPr>
        <w:pStyle w:val="10"/>
        <w:numPr>
          <w:ilvl w:val="0"/>
          <w:numId w:val="18"/>
        </w:numPr>
        <w:tabs>
          <w:tab w:val="left" w:pos="0"/>
        </w:tabs>
        <w:ind w:left="-240" w:leftChars="-100" w:right="-334" w:rightChars="-139" w:firstLine="0"/>
        <w:jc w:val="both"/>
        <w:rPr>
          <w:rFonts w:ascii="Trebuchet MS" w:hAnsi="Trebuchet MS" w:cs="Trebuchet MS"/>
          <w:sz w:val="24"/>
          <w:lang w:val="ro-RO"/>
        </w:rPr>
      </w:pPr>
      <w:r>
        <w:rPr>
          <w:rFonts w:ascii="Trebuchet MS" w:hAnsi="Trebuchet MS" w:cs="Trebuchet MS"/>
          <w:sz w:val="24"/>
          <w:lang w:val="ro-RO" w:eastAsia="ro-RO" w:bidi="ro-RO"/>
        </w:rPr>
        <w:t>îmbunătățirea performanțelor sistemului informatic;</w:t>
      </w:r>
    </w:p>
    <w:p>
      <w:pPr>
        <w:pStyle w:val="10"/>
        <w:numPr>
          <w:ilvl w:val="0"/>
          <w:numId w:val="18"/>
        </w:numPr>
        <w:tabs>
          <w:tab w:val="left" w:pos="0"/>
        </w:tabs>
        <w:ind w:left="-240" w:leftChars="-100" w:right="-334" w:rightChars="-139" w:firstLine="0"/>
        <w:jc w:val="both"/>
        <w:rPr>
          <w:rFonts w:ascii="Trebuchet MS" w:hAnsi="Trebuchet MS" w:cs="Trebuchet MS"/>
          <w:sz w:val="24"/>
          <w:lang w:val="ro-RO"/>
        </w:rPr>
      </w:pPr>
      <w:r>
        <w:rPr>
          <w:rFonts w:ascii="Trebuchet MS" w:hAnsi="Trebuchet MS" w:cs="Trebuchet MS"/>
          <w:sz w:val="24"/>
          <w:lang w:val="ro-RO" w:eastAsia="ro-RO" w:bidi="ro-RO"/>
        </w:rPr>
        <w:t>extinderea rețelei teritoriale</w:t>
      </w:r>
      <w:r>
        <w:rPr>
          <w:rFonts w:ascii="Trebuchet MS" w:hAnsi="Trebuchet MS" w:cs="Trebuchet MS"/>
          <w:sz w:val="24"/>
          <w:lang w:val="ro-RO" w:eastAsia="en-US" w:bidi="en-US"/>
        </w:rPr>
        <w:t>;</w:t>
      </w:r>
    </w:p>
    <w:p>
      <w:pPr>
        <w:pStyle w:val="10"/>
        <w:numPr>
          <w:ilvl w:val="0"/>
          <w:numId w:val="18"/>
        </w:numPr>
        <w:tabs>
          <w:tab w:val="left" w:pos="0"/>
        </w:tabs>
        <w:ind w:left="-240" w:leftChars="-100" w:right="-334" w:rightChars="-139" w:firstLine="0"/>
        <w:jc w:val="both"/>
        <w:rPr>
          <w:rFonts w:ascii="Trebuchet MS" w:hAnsi="Trebuchet MS" w:cs="Trebuchet MS"/>
          <w:sz w:val="24"/>
          <w:lang w:val="ro-RO"/>
        </w:rPr>
      </w:pPr>
      <w:r>
        <w:rPr>
          <w:rFonts w:ascii="Trebuchet MS" w:hAnsi="Trebuchet MS" w:cs="Trebuchet MS"/>
          <w:sz w:val="24"/>
          <w:lang w:val="ro-RO" w:eastAsia="ro-RO" w:bidi="ro-RO"/>
        </w:rPr>
        <w:t xml:space="preserve">continuarea procesului de schimbare a imaginii </w:t>
      </w:r>
      <w:r>
        <w:rPr>
          <w:rFonts w:ascii="Trebuchet MS" w:hAnsi="Trebuchet MS" w:cs="Trebuchet MS"/>
          <w:sz w:val="24"/>
          <w:lang w:val="ro-RO"/>
        </w:rPr>
        <w:t>F.N.G.C.I.M.M. S.A. – IFN</w:t>
      </w:r>
      <w:r>
        <w:rPr>
          <w:rFonts w:ascii="Trebuchet MS" w:hAnsi="Trebuchet MS" w:cs="Trebuchet MS"/>
          <w:sz w:val="24"/>
          <w:lang w:val="ro-RO" w:eastAsia="ro-RO" w:bidi="ro-RO"/>
        </w:rPr>
        <w:t xml:space="preserve"> S.A.;</w:t>
      </w:r>
    </w:p>
    <w:p>
      <w:pPr>
        <w:pStyle w:val="10"/>
        <w:numPr>
          <w:ilvl w:val="0"/>
          <w:numId w:val="18"/>
        </w:numPr>
        <w:tabs>
          <w:tab w:val="left" w:pos="0"/>
        </w:tabs>
        <w:ind w:left="-240" w:leftChars="-100" w:right="-334" w:rightChars="-139" w:firstLine="0"/>
        <w:jc w:val="both"/>
        <w:rPr>
          <w:rFonts w:ascii="Trebuchet MS" w:hAnsi="Trebuchet MS" w:cs="Trebuchet MS"/>
          <w:sz w:val="24"/>
          <w:lang w:val="ro-RO"/>
        </w:rPr>
      </w:pPr>
      <w:r>
        <w:rPr>
          <w:rFonts w:ascii="Trebuchet MS" w:hAnsi="Trebuchet MS" w:cs="Trebuchet MS"/>
          <w:sz w:val="24"/>
          <w:lang w:val="ro-RO" w:eastAsia="ro-RO" w:bidi="ro-RO"/>
        </w:rPr>
        <w:t>securitatea financiar-bancară.</w:t>
      </w:r>
    </w:p>
    <w:p>
      <w:pPr>
        <w:pStyle w:val="10"/>
        <w:tabs>
          <w:tab w:val="left" w:pos="0"/>
        </w:tabs>
        <w:spacing w:after="0"/>
        <w:ind w:left="-240" w:leftChars="-100" w:right="-334" w:rightChars="-139"/>
        <w:jc w:val="both"/>
        <w:rPr>
          <w:rFonts w:ascii="Trebuchet MS" w:hAnsi="Trebuchet MS" w:cs="Trebuchet MS"/>
          <w:sz w:val="24"/>
          <w:lang w:val="ro-RO"/>
        </w:rPr>
      </w:pPr>
    </w:p>
    <w:p>
      <w:pPr>
        <w:pStyle w:val="260"/>
        <w:keepNext/>
        <w:keepLines/>
        <w:shd w:val="clear" w:color="auto" w:fill="auto"/>
        <w:tabs>
          <w:tab w:val="left" w:pos="0"/>
          <w:tab w:val="left" w:pos="1022"/>
        </w:tabs>
        <w:spacing w:after="0"/>
        <w:ind w:left="-240" w:leftChars="-100" w:right="-334" w:rightChars="-139"/>
        <w:jc w:val="both"/>
        <w:rPr>
          <w:rFonts w:ascii="Trebuchet MS" w:hAnsi="Trebuchet MS" w:cs="Trebuchet MS"/>
          <w:sz w:val="24"/>
          <w:szCs w:val="24"/>
          <w:lang w:val="ro-RO" w:eastAsia="ro-RO" w:bidi="ro-RO"/>
        </w:rPr>
      </w:pPr>
      <w:bookmarkStart w:id="27" w:name="bookmark26"/>
      <w:bookmarkStart w:id="28" w:name="bookmark27"/>
      <w:r>
        <w:rPr>
          <w:rFonts w:ascii="Trebuchet MS" w:hAnsi="Trebuchet MS" w:cs="Trebuchet MS"/>
          <w:sz w:val="24"/>
          <w:szCs w:val="24"/>
          <w:lang w:val="ro-RO" w:eastAsia="ro-RO" w:bidi="ro-RO"/>
        </w:rPr>
        <w:t>11. Etică și integritate</w:t>
      </w:r>
      <w:bookmarkEnd w:id="27"/>
      <w:bookmarkEnd w:id="28"/>
    </w:p>
    <w:p>
      <w:pPr>
        <w:pStyle w:val="260"/>
        <w:keepNext/>
        <w:keepLines/>
        <w:shd w:val="clear" w:color="auto" w:fill="auto"/>
        <w:tabs>
          <w:tab w:val="left" w:pos="0"/>
          <w:tab w:val="left" w:pos="1022"/>
        </w:tabs>
        <w:spacing w:after="0"/>
        <w:ind w:left="-240" w:leftChars="-100" w:right="-334" w:rightChars="-139"/>
        <w:jc w:val="both"/>
        <w:rPr>
          <w:rFonts w:ascii="Trebuchet MS" w:hAnsi="Trebuchet MS" w:cs="Trebuchet MS"/>
          <w:sz w:val="24"/>
          <w:szCs w:val="24"/>
          <w:lang w:val="ro-RO"/>
        </w:rPr>
      </w:pPr>
    </w:p>
    <w:p>
      <w:pPr>
        <w:pStyle w:val="10"/>
        <w:tabs>
          <w:tab w:val="left" w:pos="0"/>
        </w:tabs>
        <w:ind w:left="-240" w:leftChars="-100" w:right="-334" w:rightChars="-139"/>
        <w:jc w:val="both"/>
        <w:rPr>
          <w:rFonts w:ascii="Trebuchet MS" w:hAnsi="Trebuchet MS" w:cs="Trebuchet MS"/>
          <w:sz w:val="24"/>
          <w:lang w:val="ro-RO"/>
        </w:rPr>
      </w:pPr>
      <w:r>
        <w:rPr>
          <w:rFonts w:ascii="Trebuchet MS" w:hAnsi="Trebuchet MS" w:cs="Trebuchet MS"/>
          <w:sz w:val="24"/>
          <w:lang w:val="ro-RO" w:eastAsia="ro-RO" w:bidi="ro-RO"/>
        </w:rPr>
        <w:t xml:space="preserve">Consiliul de administrație este responsabil și pentru stabilirea și revizuirea principiilor cadrului de administrare a activității și a valorilor corporative ale </w:t>
      </w:r>
      <w:r>
        <w:rPr>
          <w:rFonts w:ascii="Trebuchet MS" w:hAnsi="Trebuchet MS" w:cs="Trebuchet MS"/>
          <w:sz w:val="24"/>
          <w:lang w:val="ro-RO"/>
        </w:rPr>
        <w:t>F.N.G.C.I.M.M. S.A. – IFN</w:t>
      </w:r>
      <w:r>
        <w:rPr>
          <w:rFonts w:ascii="Trebuchet MS" w:hAnsi="Trebuchet MS" w:cs="Trebuchet MS"/>
          <w:sz w:val="24"/>
          <w:lang w:val="ro-RO" w:eastAsia="ro-RO" w:bidi="ro-RO"/>
        </w:rPr>
        <w:t xml:space="preserve"> S.A., inclusiv a celor stabilite prin intermediul unui cod de etică și conduită.</w:t>
      </w:r>
    </w:p>
    <w:p>
      <w:pPr>
        <w:pStyle w:val="10"/>
        <w:tabs>
          <w:tab w:val="left" w:pos="0"/>
        </w:tabs>
        <w:spacing w:after="0"/>
        <w:ind w:left="-240" w:leftChars="-100" w:right="-334" w:rightChars="-139"/>
        <w:jc w:val="both"/>
        <w:rPr>
          <w:rFonts w:ascii="Trebuchet MS" w:hAnsi="Trebuchet MS" w:cs="Trebuchet MS"/>
          <w:sz w:val="24"/>
          <w:lang w:val="ro-RO"/>
        </w:rPr>
      </w:pPr>
      <w:r>
        <w:rPr>
          <w:rFonts w:ascii="Trebuchet MS" w:hAnsi="Trebuchet MS" w:cs="Trebuchet MS"/>
          <w:sz w:val="24"/>
          <w:lang w:val="ro-RO" w:eastAsia="ro-RO" w:bidi="ro-RO"/>
        </w:rPr>
        <w:t xml:space="preserve">Obligația adaptării codului de etică la prevederile OUG nr. 109 va reveni noului consiliu de administrație al </w:t>
      </w:r>
      <w:r>
        <w:rPr>
          <w:rFonts w:ascii="Trebuchet MS" w:hAnsi="Trebuchet MS" w:cs="Trebuchet MS"/>
          <w:sz w:val="24"/>
          <w:lang w:val="ro-RO"/>
        </w:rPr>
        <w:t>F.N.G.C.I.M.M. S.A. – IFN</w:t>
      </w:r>
      <w:r>
        <w:rPr>
          <w:rFonts w:ascii="Trebuchet MS" w:hAnsi="Trebuchet MS" w:cs="Trebuchet MS"/>
          <w:sz w:val="24"/>
          <w:lang w:val="ro-RO" w:eastAsia="ro-RO" w:bidi="ro-RO"/>
        </w:rPr>
        <w:t xml:space="preserve"> S.A.</w:t>
      </w:r>
    </w:p>
    <w:p>
      <w:pPr>
        <w:pStyle w:val="10"/>
        <w:tabs>
          <w:tab w:val="left" w:pos="0"/>
        </w:tabs>
        <w:spacing w:after="0"/>
        <w:ind w:left="-240" w:leftChars="-100" w:right="-334" w:rightChars="-139"/>
        <w:jc w:val="both"/>
        <w:rPr>
          <w:rFonts w:ascii="Trebuchet MS" w:hAnsi="Trebuchet MS" w:cs="Trebuchet MS"/>
          <w:sz w:val="24"/>
          <w:lang w:val="ro-RO"/>
        </w:rPr>
      </w:pPr>
      <w:r>
        <w:rPr>
          <w:rFonts w:ascii="Trebuchet MS" w:hAnsi="Trebuchet MS" w:cs="Trebuchet MS"/>
          <w:sz w:val="24"/>
          <w:lang w:val="ro-RO" w:eastAsia="ro-RO" w:bidi="ro-RO"/>
        </w:rPr>
        <w:t xml:space="preserve">Codul de Etică definește idealurile, valorile si principiile pe care angajații le respectă și le aplică în activitatea desfășurată în cadrul </w:t>
      </w:r>
      <w:r>
        <w:rPr>
          <w:rFonts w:ascii="Trebuchet MS" w:hAnsi="Trebuchet MS" w:cs="Trebuchet MS"/>
          <w:sz w:val="24"/>
          <w:lang w:val="ro-RO"/>
        </w:rPr>
        <w:t>F.N.G.C.I.M.M. S.A. – IFN</w:t>
      </w:r>
      <w:r>
        <w:rPr>
          <w:rFonts w:ascii="Trebuchet MS" w:hAnsi="Trebuchet MS" w:cs="Trebuchet MS"/>
          <w:sz w:val="24"/>
          <w:lang w:val="ro-RO" w:eastAsia="ro-RO" w:bidi="ro-RO"/>
        </w:rPr>
        <w:t xml:space="preserve"> S.A.. Codul de etică urmărește promovarea valorilor și principiilor etice în cadrul fondului în vederea creșterii calității serviciilor oferite și a protejării reputației și are un rol educativ, de reglementare și de impunere a valorilor promovate.</w:t>
      </w:r>
    </w:p>
    <w:p>
      <w:pPr>
        <w:pStyle w:val="10"/>
        <w:tabs>
          <w:tab w:val="left" w:pos="0"/>
          <w:tab w:val="left" w:pos="1022"/>
        </w:tabs>
        <w:spacing w:after="0"/>
        <w:ind w:left="-240" w:leftChars="-100" w:right="-334" w:rightChars="-139"/>
        <w:jc w:val="both"/>
        <w:rPr>
          <w:rFonts w:ascii="Trebuchet MS" w:hAnsi="Trebuchet MS" w:cs="Trebuchet MS"/>
          <w:sz w:val="24"/>
          <w:lang w:val="ro-RO"/>
        </w:rPr>
      </w:pPr>
      <w:r>
        <w:rPr>
          <w:rFonts w:ascii="Trebuchet MS" w:hAnsi="Trebuchet MS" w:cs="Trebuchet MS"/>
          <w:sz w:val="24"/>
          <w:lang w:val="ro-RO" w:eastAsia="ro-RO" w:bidi="ro-RO"/>
        </w:rPr>
        <w:t xml:space="preserve">Codul de etică trebuie să reglementeze, printre altele, conflictul de interese și restricțiile post-angajare și să țină cont de prevederile </w:t>
      </w:r>
      <w:r>
        <w:rPr>
          <w:rFonts w:ascii="Trebuchet MS" w:hAnsi="Trebuchet MS" w:cs="Trebuchet MS"/>
          <w:bCs/>
          <w:sz w:val="24"/>
          <w:lang w:val="ro-RO"/>
        </w:rPr>
        <w:t>Legii nr. 93/2009 privind instituțiile financiare nebancare, cu modificările și completările ulterioare</w:t>
      </w:r>
      <w:r>
        <w:rPr>
          <w:rFonts w:ascii="Trebuchet MS" w:hAnsi="Trebuchet MS" w:cs="Trebuchet MS"/>
          <w:sz w:val="24"/>
          <w:lang w:val="ro-RO"/>
        </w:rPr>
        <w:t>,</w:t>
      </w:r>
      <w:r>
        <w:rPr>
          <w:rFonts w:ascii="Trebuchet MS" w:hAnsi="Trebuchet MS" w:cs="Trebuchet MS"/>
          <w:sz w:val="24"/>
          <w:lang w:val="ro-RO" w:eastAsia="ro-RO" w:bidi="ro-RO"/>
        </w:rPr>
        <w:t xml:space="preserve"> și a regulamentelor incidente, cum ar fi aceea că membrii organului de conducere trebuie să dispună în orice moment de bună reputație și integritate morală și să-și desfășoare activitatea (în conformitate cu regulile unei practici financiar bancare prudente și sănătoase.</w:t>
      </w:r>
    </w:p>
    <w:p>
      <w:pPr>
        <w:pStyle w:val="10"/>
        <w:tabs>
          <w:tab w:val="left" w:pos="0"/>
        </w:tabs>
        <w:spacing w:after="0"/>
        <w:ind w:left="-240" w:leftChars="-100" w:right="-334" w:rightChars="-139"/>
        <w:jc w:val="both"/>
        <w:rPr>
          <w:rFonts w:ascii="Trebuchet MS" w:hAnsi="Trebuchet MS" w:cs="Trebuchet MS"/>
          <w:sz w:val="24"/>
          <w:lang w:val="ro-RO"/>
        </w:rPr>
      </w:pPr>
      <w:r>
        <w:rPr>
          <w:rFonts w:ascii="Trebuchet MS" w:hAnsi="Trebuchet MS" w:cs="Trebuchet MS"/>
          <w:sz w:val="24"/>
          <w:lang w:val="ro-RO" w:eastAsia="ro-RO" w:bidi="ro-RO"/>
        </w:rPr>
        <w:t xml:space="preserve">Totodată, consiliul de administrație al </w:t>
      </w:r>
      <w:r>
        <w:rPr>
          <w:rFonts w:ascii="Trebuchet MS" w:hAnsi="Trebuchet MS" w:cs="Trebuchet MS"/>
          <w:sz w:val="24"/>
          <w:lang w:val="ro-RO"/>
        </w:rPr>
        <w:t>F.N.G.C.I.M.M. S.A. – IFN</w:t>
      </w:r>
      <w:r>
        <w:rPr>
          <w:rFonts w:ascii="Trebuchet MS" w:hAnsi="Trebuchet MS" w:cs="Trebuchet MS"/>
          <w:sz w:val="24"/>
          <w:lang w:val="ro-RO" w:eastAsia="ro-RO" w:bidi="ro-RO"/>
        </w:rPr>
        <w:t xml:space="preserve"> S.A. trebuie să asigure un cadru adecvat și eficace aferent controlului intern care să includă funcțiile de administrare a riscurilor, de conformitate și </w:t>
      </w:r>
      <w:r>
        <w:rPr>
          <w:rFonts w:ascii="Trebuchet MS" w:hAnsi="Trebuchet MS" w:cs="Trebuchet MS"/>
          <w:sz w:val="24"/>
          <w:lang w:val="ro-RO" w:eastAsia="en-US" w:bidi="en-US"/>
        </w:rPr>
        <w:t xml:space="preserve">de audit </w:t>
      </w:r>
      <w:r>
        <w:rPr>
          <w:rFonts w:ascii="Trebuchet MS" w:hAnsi="Trebuchet MS" w:cs="Trebuchet MS"/>
          <w:sz w:val="24"/>
          <w:lang w:val="ro-RO" w:eastAsia="ro-RO" w:bidi="ro-RO"/>
        </w:rPr>
        <w:t>intern, precum și un cadru corespunzător privind raportarea financiară și contabilitatea.</w:t>
      </w:r>
    </w:p>
    <w:p>
      <w:pPr>
        <w:pStyle w:val="10"/>
        <w:tabs>
          <w:tab w:val="left" w:pos="0"/>
        </w:tabs>
        <w:spacing w:after="0"/>
        <w:ind w:left="-240" w:leftChars="-100" w:right="-334" w:rightChars="-139"/>
        <w:jc w:val="both"/>
        <w:rPr>
          <w:rFonts w:ascii="Trebuchet MS" w:hAnsi="Trebuchet MS" w:cs="Trebuchet MS"/>
          <w:sz w:val="24"/>
          <w:lang w:val="ro-RO"/>
        </w:rPr>
      </w:pPr>
      <w:r>
        <w:rPr>
          <w:rFonts w:ascii="Trebuchet MS" w:hAnsi="Trebuchet MS" w:cs="Trebuchet MS"/>
          <w:sz w:val="24"/>
          <w:lang w:val="ro-RO" w:eastAsia="ro-RO" w:bidi="ro-RO"/>
        </w:rPr>
        <w:t xml:space="preserve">În acest sens, consiliul de administrație trebuie să dispună de un număr corespunzător de membri neexecutivi cu pregătirea profesională adecvată atribuțiilor pe linia controlului intern și participării în comitetele consultative formate din membri ai organului de conducere, în special în comitetul </w:t>
      </w:r>
      <w:r>
        <w:rPr>
          <w:rFonts w:ascii="Trebuchet MS" w:hAnsi="Trebuchet MS" w:cs="Trebuchet MS"/>
          <w:sz w:val="24"/>
          <w:lang w:val="ro-RO" w:eastAsia="en-US" w:bidi="en-US"/>
        </w:rPr>
        <w:t xml:space="preserve">de audit </w:t>
      </w:r>
      <w:r>
        <w:rPr>
          <w:rFonts w:ascii="Trebuchet MS" w:hAnsi="Trebuchet MS" w:cs="Trebuchet MS"/>
          <w:sz w:val="24"/>
          <w:lang w:val="ro-RO" w:eastAsia="ro-RO" w:bidi="ro-RO"/>
        </w:rPr>
        <w:t>și comitetul de nominalizare și remunerare.</w:t>
      </w:r>
    </w:p>
    <w:p>
      <w:pPr>
        <w:pStyle w:val="10"/>
        <w:tabs>
          <w:tab w:val="left" w:pos="0"/>
        </w:tabs>
        <w:spacing w:after="0"/>
        <w:ind w:left="-240" w:leftChars="-100" w:right="-334" w:rightChars="-139"/>
        <w:jc w:val="both"/>
        <w:rPr>
          <w:rFonts w:ascii="Trebuchet MS" w:hAnsi="Trebuchet MS" w:cs="Trebuchet MS"/>
          <w:sz w:val="24"/>
          <w:lang w:val="ro-RO" w:eastAsia="ro-RO" w:bidi="ro-RO"/>
        </w:rPr>
      </w:pPr>
      <w:r>
        <w:rPr>
          <w:rFonts w:ascii="Trebuchet MS" w:hAnsi="Trebuchet MS" w:cs="Trebuchet MS"/>
          <w:sz w:val="24"/>
          <w:lang w:val="ro-RO" w:eastAsia="ro-RO" w:bidi="ro-RO"/>
        </w:rPr>
        <w:t>În ceea ce privește cooperarea dintre consiliul de administrație și directori, fiecare membru al consiliului de administrație trebuie să-si exercite responsabilitățile cu onestitate, integritate și obiectivitate pentru a putea evalua și pune în discuție în mod eficient deciziile luate de către directori, atunci când este necesar, și pentru a controla și monitoriza în mod eficace procesul de luare a respectivelor decizii.</w:t>
      </w:r>
    </w:p>
    <w:p>
      <w:pPr>
        <w:pStyle w:val="10"/>
        <w:tabs>
          <w:tab w:val="left" w:pos="0"/>
        </w:tabs>
        <w:spacing w:after="0"/>
        <w:ind w:left="-240" w:leftChars="-100" w:right="-334" w:rightChars="-139"/>
        <w:jc w:val="both"/>
        <w:rPr>
          <w:rFonts w:ascii="Trebuchet MS" w:hAnsi="Trebuchet MS" w:cs="Trebuchet MS"/>
          <w:b/>
          <w:bCs/>
          <w:sz w:val="24"/>
          <w:lang w:val="ro-RO" w:eastAsia="ro-RO" w:bidi="ro-RO"/>
        </w:rPr>
      </w:pPr>
    </w:p>
    <w:p>
      <w:pPr>
        <w:pStyle w:val="10"/>
        <w:tabs>
          <w:tab w:val="left" w:pos="0"/>
        </w:tabs>
        <w:ind w:left="-240" w:leftChars="-100" w:right="-334" w:rightChars="-139"/>
        <w:jc w:val="both"/>
        <w:rPr>
          <w:rFonts w:ascii="Trebuchet MS" w:hAnsi="Trebuchet MS" w:cs="Trebuchet MS"/>
          <w:b/>
          <w:bCs/>
          <w:sz w:val="24"/>
          <w:lang w:val="ro-RO" w:eastAsia="ro-RO" w:bidi="ro-RO"/>
        </w:rPr>
      </w:pPr>
      <w:r>
        <w:rPr>
          <w:rFonts w:ascii="Trebuchet MS" w:hAnsi="Trebuchet MS" w:cs="Trebuchet MS"/>
          <w:b/>
          <w:bCs/>
          <w:sz w:val="24"/>
          <w:lang w:val="ro-RO" w:eastAsia="ro-RO" w:bidi="ro-RO"/>
        </w:rPr>
        <w:t xml:space="preserve">12. Dezideratele autorității publice tutelare privind comunicarea cu organele de administrare și conducere ale </w:t>
      </w:r>
      <w:r>
        <w:rPr>
          <w:rFonts w:ascii="Trebuchet MS" w:hAnsi="Trebuchet MS" w:cs="Trebuchet MS"/>
          <w:b/>
          <w:bCs/>
          <w:sz w:val="24"/>
          <w:lang w:val="ro-RO"/>
        </w:rPr>
        <w:t>F.N.G.C.I.M.M. S.A. – IFN</w:t>
      </w:r>
      <w:r>
        <w:rPr>
          <w:rFonts w:ascii="Trebuchet MS" w:hAnsi="Trebuchet MS" w:cs="Trebuchet MS"/>
          <w:b/>
          <w:bCs/>
          <w:sz w:val="24"/>
          <w:lang w:val="ro-RO" w:eastAsia="ro-RO" w:bidi="ro-RO"/>
        </w:rPr>
        <w:t xml:space="preserve"> S.A.</w:t>
      </w:r>
    </w:p>
    <w:p>
      <w:pPr>
        <w:pStyle w:val="10"/>
        <w:tabs>
          <w:tab w:val="left" w:pos="0"/>
        </w:tabs>
        <w:spacing w:after="0"/>
        <w:ind w:left="-240" w:leftChars="-100" w:right="-334" w:rightChars="-139"/>
        <w:rPr>
          <w:rFonts w:ascii="Trebuchet MS" w:hAnsi="Trebuchet MS" w:cs="Trebuchet MS"/>
          <w:b/>
          <w:bCs/>
          <w:sz w:val="24"/>
          <w:lang w:val="ro-RO"/>
        </w:rPr>
      </w:pPr>
    </w:p>
    <w:p>
      <w:pPr>
        <w:pStyle w:val="10"/>
        <w:tabs>
          <w:tab w:val="left" w:pos="0"/>
        </w:tabs>
        <w:spacing w:after="0"/>
        <w:ind w:left="-240" w:leftChars="-100" w:right="-334" w:rightChars="-139"/>
        <w:jc w:val="both"/>
        <w:rPr>
          <w:rFonts w:ascii="Trebuchet MS" w:hAnsi="Trebuchet MS" w:cs="Trebuchet MS"/>
          <w:sz w:val="24"/>
          <w:lang w:val="ro-RO"/>
        </w:rPr>
      </w:pPr>
      <w:r>
        <w:rPr>
          <w:rFonts w:ascii="Trebuchet MS" w:hAnsi="Trebuchet MS" w:cs="Trebuchet MS"/>
          <w:sz w:val="24"/>
          <w:lang w:val="ro-RO" w:eastAsia="ro-RO" w:bidi="ro-RO"/>
        </w:rPr>
        <w:t xml:space="preserve">Guvernul României este angajat să întărească, în continuare răspunderea organelor de conducere a întreprinderilor publice, îmbunătățind gestionarea fondurilor companiei și menționând clar așteptările guvernului, în calitate de reprezentant al acționarului-statul român. În acest sens este necesară îmbunătățirea comunicării cu organele de conducere ale </w:t>
      </w:r>
      <w:r>
        <w:rPr>
          <w:rFonts w:ascii="Trebuchet MS" w:hAnsi="Trebuchet MS" w:cs="Trebuchet MS"/>
          <w:sz w:val="24"/>
          <w:lang w:val="ro-RO"/>
        </w:rPr>
        <w:t>F.N.G.C.I.M.M. S.A. – IFN</w:t>
      </w:r>
      <w:r>
        <w:rPr>
          <w:rFonts w:ascii="Trebuchet MS" w:hAnsi="Trebuchet MS" w:cs="Trebuchet MS"/>
          <w:sz w:val="24"/>
          <w:lang w:val="ro-RO" w:eastAsia="ro-RO" w:bidi="ro-RO"/>
        </w:rPr>
        <w:t xml:space="preserve"> S.A. în vederea susținerii și asigurării unei înțelegeri complete a direcțiilor, așteptărilor și responsabilităților guvernului, precum și alinierea evoluției Fondului la strategiile prioritare implementate de acesta.</w:t>
      </w:r>
    </w:p>
    <w:p>
      <w:pPr>
        <w:pStyle w:val="10"/>
        <w:tabs>
          <w:tab w:val="left" w:pos="0"/>
        </w:tabs>
        <w:spacing w:after="0"/>
        <w:ind w:left="-240" w:leftChars="-100" w:right="-334" w:rightChars="-139"/>
        <w:jc w:val="both"/>
        <w:rPr>
          <w:rFonts w:ascii="Trebuchet MS" w:hAnsi="Trebuchet MS" w:cs="Trebuchet MS"/>
          <w:sz w:val="24"/>
          <w:lang w:val="ro-RO" w:eastAsia="ro-RO" w:bidi="ro-RO"/>
        </w:rPr>
      </w:pPr>
    </w:p>
    <w:p>
      <w:pPr>
        <w:pStyle w:val="10"/>
        <w:tabs>
          <w:tab w:val="left" w:pos="0"/>
        </w:tabs>
        <w:spacing w:after="0"/>
        <w:ind w:left="-240" w:leftChars="-100" w:right="-334" w:rightChars="-139"/>
        <w:jc w:val="both"/>
        <w:rPr>
          <w:rFonts w:ascii="Trebuchet MS" w:hAnsi="Trebuchet MS" w:cs="Trebuchet MS"/>
          <w:sz w:val="24"/>
          <w:lang w:val="ro-RO"/>
        </w:rPr>
      </w:pPr>
      <w:r>
        <w:rPr>
          <w:rFonts w:ascii="Trebuchet MS" w:hAnsi="Trebuchet MS" w:cs="Trebuchet MS"/>
          <w:sz w:val="24"/>
          <w:lang w:val="ro-RO" w:eastAsia="ro-RO" w:bidi="ro-RO"/>
        </w:rPr>
        <w:t xml:space="preserve">Având în vedere faptul că nerealizarea planului de administrare poate afecta predictibilitatea politicii de dividende cuvenite acționarului-statul român și implicit așteptările Guvernului României de la performanța </w:t>
      </w:r>
      <w:r>
        <w:rPr>
          <w:rFonts w:ascii="Trebuchet MS" w:hAnsi="Trebuchet MS" w:cs="Trebuchet MS"/>
          <w:sz w:val="24"/>
          <w:lang w:val="ro-RO"/>
        </w:rPr>
        <w:t>F.N.G.C.I.M.M. S.A. – IFN</w:t>
      </w:r>
      <w:r>
        <w:rPr>
          <w:rFonts w:ascii="Trebuchet MS" w:hAnsi="Trebuchet MS" w:cs="Trebuchet MS"/>
          <w:sz w:val="24"/>
          <w:lang w:val="ro-RO" w:eastAsia="ro-RO" w:bidi="ro-RO"/>
        </w:rPr>
        <w:t xml:space="preserve"> S.A., în contextul țintelor bugetare anuale, este necesară asigurarea unei comunicări adecvate de către organele de conducere a oricăror riscuri semnificative care pot afecta rezultatul financiar al </w:t>
      </w:r>
      <w:r>
        <w:rPr>
          <w:rFonts w:ascii="Trebuchet MS" w:hAnsi="Trebuchet MS" w:cs="Trebuchet MS"/>
          <w:sz w:val="24"/>
          <w:lang w:val="ro-RO"/>
        </w:rPr>
        <w:t>F.N.G.C.I.M.M. S.A. – IFN</w:t>
      </w:r>
      <w:r>
        <w:rPr>
          <w:rFonts w:ascii="Trebuchet MS" w:hAnsi="Trebuchet MS" w:cs="Trebuchet MS"/>
          <w:sz w:val="24"/>
          <w:lang w:val="ro-RO" w:eastAsia="ro-RO" w:bidi="ro-RO"/>
        </w:rPr>
        <w:t xml:space="preserve"> S.A.</w:t>
      </w:r>
    </w:p>
    <w:p>
      <w:pPr>
        <w:pStyle w:val="10"/>
        <w:tabs>
          <w:tab w:val="left" w:pos="0"/>
        </w:tabs>
        <w:spacing w:after="0"/>
        <w:ind w:left="-240" w:leftChars="-100" w:right="-334" w:rightChars="-139"/>
        <w:jc w:val="both"/>
        <w:rPr>
          <w:rFonts w:ascii="Trebuchet MS" w:hAnsi="Trebuchet MS" w:cs="Trebuchet MS"/>
          <w:sz w:val="24"/>
          <w:lang w:val="ro-RO" w:eastAsia="ro-RO" w:bidi="ro-RO"/>
        </w:rPr>
      </w:pPr>
    </w:p>
    <w:p>
      <w:pPr>
        <w:pStyle w:val="10"/>
        <w:tabs>
          <w:tab w:val="left" w:pos="0"/>
        </w:tabs>
        <w:spacing w:after="0"/>
        <w:ind w:left="-240" w:leftChars="-100" w:right="-334" w:rightChars="-139"/>
        <w:jc w:val="both"/>
        <w:rPr>
          <w:rFonts w:ascii="Trebuchet MS" w:hAnsi="Trebuchet MS" w:cs="Trebuchet MS"/>
          <w:sz w:val="24"/>
          <w:lang w:val="ro-RO"/>
        </w:rPr>
      </w:pPr>
      <w:r>
        <w:rPr>
          <w:rFonts w:ascii="Trebuchet MS" w:hAnsi="Trebuchet MS" w:cs="Trebuchet MS"/>
          <w:sz w:val="24"/>
          <w:lang w:val="ro-RO" w:eastAsia="ro-RO" w:bidi="ro-RO"/>
        </w:rPr>
        <w:t>Astfel, în cazul apariției unor abateri semnificative în prognoza planului de</w:t>
      </w:r>
      <w:r>
        <w:rPr>
          <w:rFonts w:ascii="Trebuchet MS" w:hAnsi="Trebuchet MS" w:cs="Trebuchet MS"/>
          <w:sz w:val="24"/>
          <w:lang w:val="ro-RO"/>
        </w:rPr>
        <w:t xml:space="preserve"> </w:t>
      </w:r>
      <w:r>
        <w:rPr>
          <w:rFonts w:ascii="Trebuchet MS" w:hAnsi="Trebuchet MS" w:cs="Trebuchet MS"/>
          <w:sz w:val="24"/>
          <w:lang w:val="ro-RO" w:eastAsia="ro-RO" w:bidi="ro-RO"/>
        </w:rPr>
        <w:t>administrare, Consiliul de administrație trebuie să informeze acționarul, în timp util, cu</w:t>
      </w:r>
      <w:r>
        <w:rPr>
          <w:rFonts w:ascii="Trebuchet MS" w:hAnsi="Trebuchet MS" w:cs="Trebuchet MS"/>
          <w:sz w:val="24"/>
          <w:lang w:val="ro-RO"/>
        </w:rPr>
        <w:t xml:space="preserve"> </w:t>
      </w:r>
      <w:r>
        <w:rPr>
          <w:rFonts w:ascii="Trebuchet MS" w:hAnsi="Trebuchet MS" w:cs="Trebuchet MS"/>
          <w:sz w:val="24"/>
          <w:lang w:val="ro-RO" w:eastAsia="ro-RO" w:bidi="ro-RO"/>
        </w:rPr>
        <w:t>privire la riscurile care pot afecta performanța prognozată, propunând totodată și măsuri de atenuare a acestor riscuri și revizuirea planului de administrare, după caz.</w:t>
      </w:r>
    </w:p>
    <w:p>
      <w:pPr>
        <w:pStyle w:val="10"/>
        <w:tabs>
          <w:tab w:val="left" w:pos="0"/>
        </w:tabs>
        <w:spacing w:after="0"/>
        <w:ind w:left="-240" w:leftChars="-100" w:right="-334" w:rightChars="-139"/>
        <w:jc w:val="both"/>
        <w:rPr>
          <w:rFonts w:ascii="Trebuchet MS" w:hAnsi="Trebuchet MS" w:cs="Trebuchet MS"/>
          <w:sz w:val="24"/>
          <w:lang w:val="ro-RO" w:eastAsia="ro-RO" w:bidi="ro-RO"/>
        </w:rPr>
      </w:pPr>
    </w:p>
    <w:p>
      <w:pPr>
        <w:pStyle w:val="10"/>
        <w:tabs>
          <w:tab w:val="left" w:pos="0"/>
        </w:tabs>
        <w:spacing w:after="0"/>
        <w:ind w:left="-240" w:leftChars="-100" w:right="-334" w:rightChars="-139"/>
        <w:jc w:val="both"/>
        <w:rPr>
          <w:rFonts w:ascii="Trebuchet MS" w:hAnsi="Trebuchet MS" w:cs="Trebuchet MS"/>
          <w:sz w:val="24"/>
          <w:lang w:val="ro-RO"/>
        </w:rPr>
      </w:pPr>
      <w:r>
        <w:rPr>
          <w:rFonts w:ascii="Trebuchet MS" w:hAnsi="Trebuchet MS" w:cs="Trebuchet MS"/>
          <w:sz w:val="24"/>
          <w:lang w:val="ro-RO" w:eastAsia="ro-RO" w:bidi="ro-RO"/>
        </w:rPr>
        <w:t xml:space="preserve">Este de așteptat ca </w:t>
      </w:r>
      <w:r>
        <w:rPr>
          <w:rFonts w:ascii="Trebuchet MS" w:hAnsi="Trebuchet MS" w:cs="Trebuchet MS"/>
          <w:sz w:val="24"/>
          <w:lang w:val="ro-RO"/>
        </w:rPr>
        <w:t>F.N.G.C.I.M.M. S.A. – IFN</w:t>
      </w:r>
      <w:r>
        <w:rPr>
          <w:rFonts w:ascii="Trebuchet MS" w:hAnsi="Trebuchet MS" w:cs="Trebuchet MS"/>
          <w:sz w:val="24"/>
          <w:lang w:val="ro-RO" w:eastAsia="ro-RO" w:bidi="ro-RO"/>
        </w:rPr>
        <w:t xml:space="preserve"> S.A. să raporteze trimestrial, semestrial și anual către autoritatea publică tutelară cu privire la realizarea indicatorilor de performanță din planul de administrare și contractele de mandat ale administratorilor. De asemenea, trebuie să transmită toate informațiile care țin de activitatea societății, necesare întocmirii de către autoritatea publică tutelară a raportului anual privitor la întreprinderile publice aflate în subordine, în conformitate cu prevederile </w:t>
      </w:r>
      <w:r>
        <w:rPr>
          <w:rFonts w:ascii="Trebuchet MS" w:hAnsi="Trebuchet MS" w:cs="Trebuchet MS"/>
          <w:sz w:val="24"/>
          <w:lang w:val="ro-RO" w:eastAsia="en-US" w:bidi="en-US"/>
        </w:rPr>
        <w:t xml:space="preserve">art. </w:t>
      </w:r>
      <w:r>
        <w:rPr>
          <w:rFonts w:ascii="Trebuchet MS" w:hAnsi="Trebuchet MS" w:cs="Trebuchet MS"/>
          <w:sz w:val="24"/>
          <w:lang w:val="ro-RO" w:eastAsia="ro-RO" w:bidi="ro-RO"/>
        </w:rPr>
        <w:t>58 din OUG 109.</w:t>
      </w:r>
    </w:p>
    <w:p>
      <w:pPr>
        <w:pStyle w:val="260"/>
        <w:keepNext/>
        <w:keepLines/>
        <w:shd w:val="clear" w:color="auto" w:fill="auto"/>
        <w:tabs>
          <w:tab w:val="left" w:pos="0"/>
        </w:tabs>
        <w:spacing w:after="0"/>
        <w:ind w:left="-240" w:leftChars="-100" w:right="-334" w:rightChars="-139"/>
        <w:jc w:val="both"/>
        <w:rPr>
          <w:rFonts w:ascii="Trebuchet MS" w:hAnsi="Trebuchet MS" w:cs="Trebuchet MS"/>
          <w:sz w:val="24"/>
          <w:szCs w:val="24"/>
          <w:lang w:val="ro-RO" w:eastAsia="ro-RO" w:bidi="ro-RO"/>
        </w:rPr>
      </w:pPr>
      <w:bookmarkStart w:id="29" w:name="bookmark28"/>
      <w:bookmarkStart w:id="30" w:name="bookmark29"/>
    </w:p>
    <w:p>
      <w:pPr>
        <w:pStyle w:val="260"/>
        <w:keepNext/>
        <w:keepLines/>
        <w:shd w:val="clear" w:color="auto" w:fill="auto"/>
        <w:tabs>
          <w:tab w:val="left" w:pos="0"/>
        </w:tabs>
        <w:spacing w:after="0"/>
        <w:ind w:left="-240" w:leftChars="-100" w:right="-334" w:rightChars="-139"/>
        <w:jc w:val="both"/>
        <w:rPr>
          <w:rFonts w:ascii="Trebuchet MS" w:hAnsi="Trebuchet MS" w:eastAsia="Times New Roman" w:cs="Trebuchet MS"/>
          <w:b w:val="0"/>
          <w:bCs w:val="0"/>
          <w:sz w:val="24"/>
          <w:szCs w:val="24"/>
          <w:lang w:val="ro-RO" w:eastAsia="ro-RO" w:bidi="ro-RO"/>
        </w:rPr>
      </w:pPr>
      <w:r>
        <w:rPr>
          <w:rFonts w:ascii="Trebuchet MS" w:hAnsi="Trebuchet MS" w:cs="Trebuchet MS"/>
          <w:sz w:val="24"/>
          <w:szCs w:val="24"/>
          <w:lang w:val="ro-RO" w:eastAsia="ro-RO" w:bidi="ro-RO"/>
        </w:rPr>
        <w:t xml:space="preserve">13. </w:t>
      </w:r>
      <w:r>
        <w:rPr>
          <w:rFonts w:ascii="Trebuchet MS" w:hAnsi="Trebuchet MS" w:eastAsia="Times New Roman" w:cs="Trebuchet MS"/>
          <w:sz w:val="24"/>
          <w:szCs w:val="24"/>
          <w:lang w:val="ro-RO" w:eastAsia="ro-RO" w:bidi="ro-RO"/>
        </w:rPr>
        <w:t>Remunerația</w:t>
      </w:r>
      <w:r>
        <w:rPr>
          <w:rFonts w:ascii="Trebuchet MS" w:hAnsi="Trebuchet MS" w:eastAsia="Times New Roman" w:cs="Trebuchet MS"/>
          <w:b w:val="0"/>
          <w:bCs w:val="0"/>
          <w:sz w:val="24"/>
          <w:szCs w:val="24"/>
          <w:lang w:val="ro-RO" w:eastAsia="ro-RO" w:bidi="ro-RO"/>
        </w:rPr>
        <w:t xml:space="preserve"> </w:t>
      </w:r>
    </w:p>
    <w:p>
      <w:pPr>
        <w:pStyle w:val="260"/>
        <w:keepNext/>
        <w:keepLines/>
        <w:shd w:val="clear" w:color="auto" w:fill="auto"/>
        <w:tabs>
          <w:tab w:val="left" w:pos="0"/>
        </w:tabs>
        <w:spacing w:after="0"/>
        <w:ind w:left="-240" w:leftChars="-100" w:right="-334" w:rightChars="-139"/>
        <w:jc w:val="both"/>
        <w:rPr>
          <w:rFonts w:ascii="Trebuchet MS" w:hAnsi="Trebuchet MS" w:eastAsia="Times New Roman" w:cs="Trebuchet MS"/>
          <w:b w:val="0"/>
          <w:bCs w:val="0"/>
          <w:sz w:val="24"/>
          <w:szCs w:val="24"/>
          <w:lang w:val="ro-RO" w:eastAsia="ro-RO" w:bidi="ro-RO"/>
        </w:rPr>
      </w:pPr>
    </w:p>
    <w:p>
      <w:pPr>
        <w:pStyle w:val="260"/>
        <w:keepNext/>
        <w:keepLines/>
        <w:shd w:val="clear" w:color="auto" w:fill="auto"/>
        <w:tabs>
          <w:tab w:val="left" w:pos="0"/>
        </w:tabs>
        <w:spacing w:after="0"/>
        <w:ind w:left="-240" w:leftChars="-100" w:right="-334" w:rightChars="-139"/>
        <w:jc w:val="both"/>
        <w:rPr>
          <w:rFonts w:ascii="Trebuchet MS" w:hAnsi="Trebuchet MS" w:eastAsia="Times New Roman" w:cs="Trebuchet MS"/>
          <w:b w:val="0"/>
          <w:bCs w:val="0"/>
          <w:sz w:val="24"/>
          <w:szCs w:val="24"/>
          <w:lang w:val="ro-RO" w:eastAsia="ro-RO" w:bidi="ro-RO"/>
        </w:rPr>
      </w:pPr>
      <w:r>
        <w:rPr>
          <w:rFonts w:ascii="Trebuchet MS" w:hAnsi="Trebuchet MS" w:eastAsia="Times New Roman" w:cs="Trebuchet MS"/>
          <w:b w:val="0"/>
          <w:bCs w:val="0"/>
          <w:sz w:val="24"/>
          <w:szCs w:val="24"/>
          <w:lang w:val="ro-RO" w:eastAsia="ro-RO" w:bidi="ro-RO"/>
        </w:rPr>
        <w:t>Sistemul de remunerare și stimulare a administratorilor și conducerii executive este de asemenea natură încât să ducă la creșterea valorii Întreprinderii Publice. Remunerația directorilor va fi rezonabilă în raport cu alte companii similare. De asemenea, se așteaptă ca propunerile de remunerații pentru conducerea executivă să fie fundamentate de către Comitetul de Nominalizare și Remunerare din cadrul consiliului și se așteptă la o legătură directă între performanța întreprinderii publice și remunerația acordată.</w:t>
      </w:r>
    </w:p>
    <w:p>
      <w:pPr>
        <w:pStyle w:val="260"/>
        <w:keepNext/>
        <w:keepLines/>
        <w:shd w:val="clear" w:color="auto" w:fill="auto"/>
        <w:tabs>
          <w:tab w:val="left" w:pos="0"/>
        </w:tabs>
        <w:spacing w:after="0"/>
        <w:ind w:left="-240" w:leftChars="-100" w:right="-334" w:rightChars="-139"/>
        <w:jc w:val="both"/>
        <w:rPr>
          <w:rFonts w:ascii="Trebuchet MS" w:hAnsi="Trebuchet MS" w:cs="Trebuchet MS"/>
          <w:sz w:val="24"/>
          <w:szCs w:val="24"/>
          <w:lang w:val="ro-RO" w:eastAsia="ro-RO" w:bidi="ro-RO"/>
        </w:rPr>
      </w:pPr>
    </w:p>
    <w:p>
      <w:pPr>
        <w:pStyle w:val="260"/>
        <w:keepNext/>
        <w:keepLines/>
        <w:numPr>
          <w:ilvl w:val="0"/>
          <w:numId w:val="19"/>
        </w:numPr>
        <w:shd w:val="clear" w:color="auto" w:fill="auto"/>
        <w:tabs>
          <w:tab w:val="left" w:pos="0"/>
        </w:tabs>
        <w:spacing w:after="0"/>
        <w:ind w:left="-240" w:leftChars="-100" w:right="-334" w:rightChars="-139"/>
        <w:jc w:val="both"/>
        <w:rPr>
          <w:rFonts w:ascii="Trebuchet MS" w:hAnsi="Trebuchet MS" w:cs="Trebuchet MS"/>
          <w:sz w:val="24"/>
          <w:szCs w:val="24"/>
          <w:lang w:val="ro-RO"/>
        </w:rPr>
      </w:pPr>
      <w:r>
        <w:rPr>
          <w:rFonts w:ascii="Trebuchet MS" w:hAnsi="Trebuchet MS" w:cs="Trebuchet MS"/>
          <w:sz w:val="24"/>
          <w:szCs w:val="24"/>
          <w:lang w:val="ro-RO" w:eastAsia="ro-RO" w:bidi="ro-RO"/>
        </w:rPr>
        <w:t>Concluzii</w:t>
      </w:r>
      <w:bookmarkEnd w:id="29"/>
      <w:bookmarkEnd w:id="30"/>
    </w:p>
    <w:p>
      <w:pPr>
        <w:pStyle w:val="10"/>
        <w:tabs>
          <w:tab w:val="left" w:pos="0"/>
        </w:tabs>
        <w:spacing w:after="0"/>
        <w:ind w:left="-240" w:leftChars="-100" w:right="-334" w:rightChars="-139"/>
        <w:jc w:val="both"/>
        <w:rPr>
          <w:rFonts w:ascii="Trebuchet MS" w:hAnsi="Trebuchet MS" w:cs="Trebuchet MS"/>
          <w:sz w:val="24"/>
          <w:lang w:val="ro-RO" w:eastAsia="ro-RO" w:bidi="ro-RO"/>
        </w:rPr>
      </w:pPr>
    </w:p>
    <w:p>
      <w:pPr>
        <w:pStyle w:val="10"/>
        <w:tabs>
          <w:tab w:val="left" w:pos="0"/>
        </w:tabs>
        <w:spacing w:after="0"/>
        <w:ind w:left="-240" w:leftChars="-100" w:right="-334" w:rightChars="-139"/>
        <w:jc w:val="both"/>
        <w:rPr>
          <w:rFonts w:ascii="Trebuchet MS" w:hAnsi="Trebuchet MS" w:cs="Trebuchet MS"/>
          <w:sz w:val="24"/>
          <w:lang w:val="ro-RO"/>
        </w:rPr>
      </w:pPr>
      <w:r>
        <w:rPr>
          <w:rFonts w:ascii="Trebuchet MS" w:hAnsi="Trebuchet MS" w:cs="Trebuchet MS"/>
          <w:sz w:val="24"/>
          <w:lang w:val="ro-RO" w:eastAsia="ro-RO" w:bidi="ro-RO"/>
        </w:rPr>
        <w:t xml:space="preserve">Prezenta Scrisoare de așteptări stabilește performanțele așteptate de la organele de conducere ale </w:t>
      </w:r>
      <w:r>
        <w:rPr>
          <w:rFonts w:ascii="Trebuchet MS" w:hAnsi="Trebuchet MS" w:cs="Trebuchet MS"/>
          <w:sz w:val="24"/>
          <w:lang w:val="ro-RO"/>
        </w:rPr>
        <w:t>F.N.G.C.I.M.M. S.A. – IFN</w:t>
      </w:r>
      <w:r>
        <w:rPr>
          <w:rFonts w:ascii="Trebuchet MS" w:hAnsi="Trebuchet MS" w:cs="Trebuchet MS"/>
          <w:sz w:val="24"/>
          <w:lang w:val="ro-RO" w:eastAsia="ro-RO" w:bidi="ro-RO"/>
        </w:rPr>
        <w:t xml:space="preserve"> S.A., precum și obiectivele politicii de acționariat, pentru o perioadă de 4 ani (perioada  2022-2026) și stă la baza întocmirii planului de administrare.</w:t>
      </w:r>
    </w:p>
    <w:p>
      <w:pPr>
        <w:pStyle w:val="10"/>
        <w:tabs>
          <w:tab w:val="left" w:pos="0"/>
          <w:tab w:val="left" w:pos="1044"/>
        </w:tabs>
        <w:spacing w:after="0"/>
        <w:ind w:left="-240" w:leftChars="-100" w:right="-334" w:rightChars="-139"/>
        <w:jc w:val="both"/>
        <w:rPr>
          <w:rFonts w:ascii="Trebuchet MS" w:hAnsi="Trebuchet MS" w:cs="Trebuchet MS"/>
          <w:sz w:val="24"/>
          <w:lang w:val="ro-RO" w:eastAsia="ro-RO" w:bidi="ro-RO"/>
        </w:rPr>
      </w:pPr>
    </w:p>
    <w:p>
      <w:pPr>
        <w:pStyle w:val="10"/>
        <w:tabs>
          <w:tab w:val="left" w:pos="0"/>
          <w:tab w:val="left" w:pos="1044"/>
        </w:tabs>
        <w:spacing w:after="0"/>
        <w:ind w:left="-240" w:leftChars="-100" w:right="-334" w:rightChars="-139"/>
        <w:jc w:val="both"/>
        <w:rPr>
          <w:rFonts w:ascii="Trebuchet MS" w:hAnsi="Trebuchet MS" w:cs="Trebuchet MS"/>
          <w:sz w:val="24"/>
          <w:lang w:val="ro-RO"/>
        </w:rPr>
      </w:pPr>
      <w:r>
        <w:rPr>
          <w:rFonts w:ascii="Trebuchet MS" w:hAnsi="Trebuchet MS" w:cs="Trebuchet MS"/>
          <w:sz w:val="24"/>
          <w:lang w:val="ro-RO" w:eastAsia="ro-RO" w:bidi="ro-RO"/>
        </w:rPr>
        <w:t xml:space="preserve">Planul de administrare, ca instrument de lucru al administratorilor și al directorilor, trebuie să acopere atribuțiile </w:t>
      </w:r>
      <w:r>
        <w:rPr>
          <w:rFonts w:ascii="Trebuchet MS" w:hAnsi="Trebuchet MS" w:cs="Trebuchet MS"/>
          <w:sz w:val="24"/>
          <w:lang w:val="ro-RO"/>
        </w:rPr>
        <w:t>F.N.G.C.I.M.M. S.A. – IFN</w:t>
      </w:r>
      <w:r>
        <w:rPr>
          <w:rFonts w:ascii="Trebuchet MS" w:hAnsi="Trebuchet MS" w:cs="Trebuchet MS"/>
          <w:sz w:val="24"/>
          <w:lang w:val="ro-RO" w:eastAsia="ro-RO" w:bidi="ro-RO"/>
        </w:rPr>
        <w:t xml:space="preserve"> S.A. prevăzute prin legislația în vigoare, să</w:t>
      </w:r>
      <w:r>
        <w:rPr>
          <w:rFonts w:ascii="Trebuchet MS" w:hAnsi="Trebuchet MS" w:cs="Trebuchet MS"/>
          <w:sz w:val="24"/>
          <w:lang w:val="ro-RO" w:eastAsia="ro-RO" w:bidi="ro-RO"/>
        </w:rPr>
        <w:tab/>
      </w:r>
      <w:r>
        <w:rPr>
          <w:rFonts w:ascii="Trebuchet MS" w:hAnsi="Trebuchet MS" w:cs="Trebuchet MS"/>
          <w:sz w:val="24"/>
          <w:lang w:val="ro-RO" w:eastAsia="ro-RO" w:bidi="ro-RO"/>
        </w:rPr>
        <w:t>integreze principiile și obiectivele stabilite prin prezenta Scrisoare de Așteptări și să</w:t>
      </w:r>
      <w:r>
        <w:rPr>
          <w:rFonts w:ascii="Trebuchet MS" w:hAnsi="Trebuchet MS" w:cs="Trebuchet MS"/>
          <w:sz w:val="24"/>
          <w:lang w:val="ro-RO"/>
        </w:rPr>
        <w:t xml:space="preserve"> </w:t>
      </w:r>
      <w:r>
        <w:rPr>
          <w:rFonts w:ascii="Trebuchet MS" w:hAnsi="Trebuchet MS" w:cs="Trebuchet MS"/>
          <w:sz w:val="24"/>
          <w:lang w:val="ro-RO" w:eastAsia="ro-RO" w:bidi="ro-RO"/>
        </w:rPr>
        <w:t>furnizeze detalii cu privire la modalitatea de abordare a programelor/ măsurilor in vederea atingerii cerințelor din prezentul document.</w:t>
      </w:r>
    </w:p>
    <w:p>
      <w:pPr>
        <w:pStyle w:val="10"/>
        <w:tabs>
          <w:tab w:val="left" w:pos="0"/>
        </w:tabs>
        <w:spacing w:after="0"/>
        <w:ind w:left="-240" w:leftChars="-100" w:right="-334" w:rightChars="-139"/>
        <w:jc w:val="both"/>
        <w:rPr>
          <w:rFonts w:ascii="Trebuchet MS" w:hAnsi="Trebuchet MS" w:cs="Trebuchet MS"/>
          <w:sz w:val="24"/>
          <w:lang w:val="ro-RO" w:eastAsia="ro-RO" w:bidi="ro-RO"/>
        </w:rPr>
      </w:pPr>
    </w:p>
    <w:p>
      <w:pPr>
        <w:pStyle w:val="10"/>
        <w:tabs>
          <w:tab w:val="left" w:pos="0"/>
        </w:tabs>
        <w:spacing w:after="0"/>
        <w:ind w:left="-240" w:leftChars="-100" w:right="-334" w:rightChars="-139"/>
        <w:jc w:val="both"/>
        <w:rPr>
          <w:rFonts w:ascii="Trebuchet MS" w:hAnsi="Trebuchet MS" w:cs="Trebuchet MS"/>
          <w:sz w:val="24"/>
          <w:lang w:val="ro-RO" w:eastAsia="ro-RO" w:bidi="ro-RO"/>
        </w:rPr>
      </w:pPr>
      <w:r>
        <w:rPr>
          <w:rFonts w:ascii="Trebuchet MS" w:hAnsi="Trebuchet MS" w:cs="Trebuchet MS"/>
          <w:sz w:val="24"/>
          <w:lang w:val="ro-RO" w:eastAsia="ro-RO" w:bidi="ro-RO"/>
        </w:rPr>
        <w:t xml:space="preserve">Indicatorii de performanță financiari și nefinanciari rezultați din Planul de administrare vor fi supuși aprobării Adunării Generale a Acționarilor, după ce întâi vor fi negociați cu reprezentanții acestui organism. Odată aprobați, indicatorii de performanță financiari și nefinanciari constituie elemente față de care se determină componenta variabilă a remunerației pentru administratorii și directorii </w:t>
      </w:r>
      <w:r>
        <w:rPr>
          <w:rFonts w:ascii="Trebuchet MS" w:hAnsi="Trebuchet MS" w:cs="Trebuchet MS"/>
          <w:sz w:val="24"/>
          <w:lang w:val="ro-RO"/>
        </w:rPr>
        <w:t>F.N.G.C.I.M.M. S.A. – IFN</w:t>
      </w:r>
      <w:r>
        <w:rPr>
          <w:rFonts w:ascii="Trebuchet MS" w:hAnsi="Trebuchet MS" w:cs="Trebuchet MS"/>
          <w:sz w:val="24"/>
          <w:lang w:val="ro-RO" w:eastAsia="ro-RO" w:bidi="ro-RO"/>
        </w:rPr>
        <w:t xml:space="preserve"> S.A. în acest sens, contractul de mandat, încheiat la data numirii administratorilor sau directorilor, va fi completat, prin act adițional, cu clauze privind determinarea și plata componentei variabile și cu indicatorii de performanță financiari și nefinanciari aprobați.</w:t>
      </w:r>
    </w:p>
    <w:p>
      <w:pPr>
        <w:pStyle w:val="10"/>
        <w:keepNext w:val="0"/>
        <w:keepLines w:val="0"/>
        <w:pageBreakBefore w:val="0"/>
        <w:widowControl/>
        <w:tabs>
          <w:tab w:val="left" w:pos="0"/>
        </w:tabs>
        <w:kinsoku/>
        <w:wordWrap/>
        <w:overflowPunct/>
        <w:topLinePunct w:val="0"/>
        <w:autoSpaceDE/>
        <w:autoSpaceDN/>
        <w:bidi w:val="0"/>
        <w:adjustRightInd/>
        <w:snapToGrid/>
        <w:ind w:left="-240" w:leftChars="-100" w:right="-334" w:rightChars="-139" w:firstLine="0" w:firstLineChars="0"/>
        <w:jc w:val="both"/>
        <w:textAlignment w:val="auto"/>
        <w:rPr>
          <w:rFonts w:hint="default"/>
          <w:lang w:val="ro-RO" w:eastAsia="ro-RO"/>
        </w:rPr>
      </w:pPr>
    </w:p>
    <w:sectPr>
      <w:headerReference r:id="rId3" w:type="default"/>
      <w:footerReference r:id="rId4" w:type="default"/>
      <w:pgSz w:w="11906" w:h="16838"/>
      <w:pgMar w:top="1440" w:right="1440" w:bottom="1440" w:left="1440"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EFF" w:usb1="C000247B" w:usb2="00000009" w:usb3="00000000" w:csb0="200001FF" w:csb1="00000000"/>
  </w:font>
  <w:font w:name="TimesRomanR">
    <w:altName w:val="Times New Roman"/>
    <w:panose1 w:val="00000000000000000000"/>
    <w:charset w:val="EE"/>
    <w:family w:val="auto"/>
    <w:pitch w:val="default"/>
    <w:sig w:usb0="00000000" w:usb1="00000000" w:usb2="00000000" w:usb3="00000000" w:csb0="00040001" w:csb1="00000000"/>
  </w:font>
  <w:font w:name="Segoe UI">
    <w:panose1 w:val="020B0502040204020203"/>
    <w:charset w:val="00"/>
    <w:family w:val="swiss"/>
    <w:pitch w:val="default"/>
    <w:sig w:usb0="E4002EFF" w:usb1="C000E47F" w:usb2="00000009" w:usb3="00000000" w:csb0="200001FF" w:csb1="00000000"/>
  </w:font>
  <w:font w:name="Mangal">
    <w:altName w:val="Liberation Mono"/>
    <w:panose1 w:val="00000400000000000000"/>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OpenSymbol">
    <w:panose1 w:val="05010000000000000000"/>
    <w:charset w:val="00"/>
    <w:family w:val="auto"/>
    <w:pitch w:val="default"/>
    <w:sig w:usb0="800000AF" w:usb1="1001ECEA" w:usb2="00000000" w:usb3="00000000" w:csb0="00000001" w:csb1="00000000"/>
  </w:font>
  <w:font w:name="Tahoma">
    <w:panose1 w:val="020B0604030504040204"/>
    <w:charset w:val="00"/>
    <w:family w:val="swiss"/>
    <w:pitch w:val="default"/>
    <w:sig w:usb0="E1002EFF" w:usb1="C000605B" w:usb2="00000029" w:usb3="00000000" w:csb0="200101FF" w:csb1="20280000"/>
  </w:font>
  <w:font w:name="Liberation Sans">
    <w:panose1 w:val="020B0604020202020204"/>
    <w:charset w:val="EE"/>
    <w:family w:val="swiss"/>
    <w:pitch w:val="default"/>
    <w:sig w:usb0="E0000AFF" w:usb1="500078FF" w:usb2="00000021" w:usb3="00000000" w:csb0="600001BF" w:csb1="DFF70000"/>
  </w:font>
  <w:font w:name="Microsoft YaHei">
    <w:panose1 w:val="020B0503020204020204"/>
    <w:charset w:val="86"/>
    <w:family w:val="swiss"/>
    <w:pitch w:val="default"/>
    <w:sig w:usb0="80000287" w:usb1="2ACF3C50" w:usb2="00000016" w:usb3="00000000" w:csb0="0004001F" w:csb1="00000000"/>
  </w:font>
  <w:font w:name="Liberation Serif">
    <w:panose1 w:val="02020603050405020304"/>
    <w:charset w:val="EE"/>
    <w:family w:val="roman"/>
    <w:pitch w:val="default"/>
    <w:sig w:usb0="E0000AFF" w:usb1="500078FF" w:usb2="00000021" w:usb3="00000000" w:csb0="600001BF" w:csb1="DFF70000"/>
  </w:font>
  <w:font w:name="Trebuchet MS">
    <w:panose1 w:val="020B0603020202020204"/>
    <w:charset w:val="00"/>
    <w:family w:val="auto"/>
    <w:pitch w:val="default"/>
    <w:sig w:usb0="00000687" w:usb1="00000000" w:usb2="00000000" w:usb3="00000000" w:csb0="2000009F" w:csb1="00000000"/>
  </w:font>
  <w:font w:name="Franklin Gothic Demi">
    <w:altName w:val="Yu Gothic UI Semibold"/>
    <w:panose1 w:val="020B0703020102020204"/>
    <w:charset w:val="00"/>
    <w:family w:val="swiss"/>
    <w:pitch w:val="default"/>
    <w:sig w:usb0="00000000" w:usb1="00000000" w:usb2="00000000" w:usb3="00000000" w:csb0="0000009F" w:csb1="00000000"/>
  </w:font>
  <w:font w:name="Trajan Pro">
    <w:panose1 w:val="02020502050506020301"/>
    <w:charset w:val="00"/>
    <w:family w:val="roman"/>
    <w:pitch w:val="default"/>
    <w:sig w:usb0="800000AF" w:usb1="5000204B" w:usb2="00000000" w:usb3="00000000" w:csb0="0000009B" w:csb1="00000000"/>
  </w:font>
  <w:font w:name="Yu Gothic UI Semibold">
    <w:panose1 w:val="020B07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w:instrText>
    </w:r>
    <w:r>
      <w:fldChar w:fldCharType="separate"/>
    </w:r>
    <w:r>
      <w:rPr>
        <w:lang w:val="en-US" w:eastAsia="en-US"/>
      </w:rPr>
      <w:t>6</w:t>
    </w:r>
    <w:r>
      <w:fldChar w:fldCharType="end"/>
    </w:r>
  </w:p>
  <w:p>
    <w:pPr>
      <w:pStyle w:val="14"/>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numPr>
        <w:ilvl w:val="0"/>
        <w:numId w:val="2"/>
      </w:numPr>
      <w:rPr>
        <w:lang w:val="fr-FR"/>
      </w:rPr>
    </w:pPr>
  </w:p>
  <w:p>
    <w:pPr>
      <w:pStyle w:val="2"/>
      <w:numPr>
        <w:ilvl w:val="0"/>
        <w:numId w:val="2"/>
      </w:numPr>
      <w:ind w:left="1440" w:firstLine="0"/>
      <w:rPr>
        <w:lang w:val="fr-FR"/>
      </w:rPr>
    </w:pPr>
    <w:r>
      <w:rPr>
        <w:sz w:val="24"/>
        <w:lang w:val="fr-FR"/>
      </w:rPr>
      <w:t xml:space="preserve">   </w:t>
    </w:r>
    <w:r>
      <w:rPr>
        <w:sz w:val="24"/>
        <w:lang w:val="fr-FR"/>
      </w:rPr>
      <w:tab/>
    </w:r>
    <w:r>
      <w:rPr>
        <w:sz w:val="24"/>
        <w:lang w:val="fr-FR"/>
      </w:rPr>
      <w:tab/>
    </w:r>
  </w:p>
  <w:p>
    <w:pPr>
      <w:rPr>
        <w:lang w:val="fr-FR"/>
      </w:rPr>
    </w:pPr>
  </w:p>
  <w:p>
    <w:pPr>
      <w:pStyle w:val="2"/>
      <w:numPr>
        <w:ilvl w:val="0"/>
        <w:numId w:val="2"/>
      </w:num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2546D6"/>
    <w:multiLevelType w:val="singleLevel"/>
    <w:tmpl w:val="FD2546D6"/>
    <w:lvl w:ilvl="0" w:tentative="0">
      <w:start w:val="1"/>
      <w:numFmt w:val="lowerLetter"/>
      <w:suff w:val="space"/>
      <w:lvlText w:val="%1."/>
      <w:lvlJc w:val="left"/>
    </w:lvl>
  </w:abstractNum>
  <w:abstractNum w:abstractNumId="1">
    <w:nsid w:val="00000002"/>
    <w:multiLevelType w:val="multilevel"/>
    <w:tmpl w:val="00000002"/>
    <w:lvl w:ilvl="0" w:tentative="0">
      <w:start w:val="1"/>
      <w:numFmt w:val="none"/>
      <w:suff w:val="nothing"/>
      <w:lvlText w:val=""/>
      <w:lvlJc w:val="left"/>
      <w:pPr>
        <w:tabs>
          <w:tab w:val="left" w:pos="0"/>
        </w:tabs>
        <w:ind w:left="432" w:hanging="432"/>
      </w:pPr>
      <w:rPr>
        <w:sz w:val="24"/>
        <w:lang w:val="fr-FR"/>
      </w:r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2">
    <w:nsid w:val="00000003"/>
    <w:multiLevelType w:val="multilevel"/>
    <w:tmpl w:val="00000003"/>
    <w:lvl w:ilvl="0" w:tentative="0">
      <w:start w:val="1"/>
      <w:numFmt w:val="none"/>
      <w:pStyle w:val="2"/>
      <w:suff w:val="nothing"/>
      <w:lvlText w:val=""/>
      <w:lvlJc w:val="left"/>
      <w:pPr>
        <w:tabs>
          <w:tab w:val="left" w:pos="0"/>
        </w:tabs>
        <w:ind w:left="432" w:hanging="432"/>
      </w:pPr>
      <w:rPr>
        <w:rFonts w:cs="Arial"/>
      </w:r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3">
    <w:nsid w:val="078B0A1E"/>
    <w:multiLevelType w:val="multilevel"/>
    <w:tmpl w:val="078B0A1E"/>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0B2E0B25"/>
    <w:multiLevelType w:val="multilevel"/>
    <w:tmpl w:val="0B2E0B2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F711ED1"/>
    <w:multiLevelType w:val="multilevel"/>
    <w:tmpl w:val="0F711ED1"/>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6">
    <w:nsid w:val="11121A28"/>
    <w:multiLevelType w:val="multilevel"/>
    <w:tmpl w:val="11121A2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357207A"/>
    <w:multiLevelType w:val="multilevel"/>
    <w:tmpl w:val="1357207A"/>
    <w:lvl w:ilvl="0" w:tentative="0">
      <w:start w:val="1"/>
      <w:numFmt w:val="lowerLetter"/>
      <w:lvlText w:val="%1)"/>
      <w:lvlJc w:val="left"/>
      <w:pPr>
        <w:ind w:left="900" w:hanging="360"/>
      </w:p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8">
    <w:nsid w:val="25E16713"/>
    <w:multiLevelType w:val="multilevel"/>
    <w:tmpl w:val="25E16713"/>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18F43D3"/>
    <w:multiLevelType w:val="multilevel"/>
    <w:tmpl w:val="418F43D3"/>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ind w:left="1440" w:hanging="360"/>
      </w:pPr>
      <w:rPr>
        <w:rFonts w:hint="default" w:ascii="Wingdings" w:hAnsi="Wingdings"/>
      </w:rPr>
    </w:lvl>
    <w:lvl w:ilvl="2" w:tentative="0">
      <w:start w:val="3"/>
      <w:numFmt w:val="bullet"/>
      <w:lvlText w:val="-"/>
      <w:lvlJc w:val="left"/>
      <w:pPr>
        <w:ind w:left="2160" w:hanging="360"/>
      </w:pPr>
      <w:rPr>
        <w:rFonts w:hint="default" w:ascii="Times New Roman" w:hAnsi="Times New Roman" w:eastAsia="Times New Roman"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0D65D81"/>
    <w:multiLevelType w:val="multilevel"/>
    <w:tmpl w:val="50D65D81"/>
    <w:lvl w:ilvl="0" w:tentative="0">
      <w:start w:val="1"/>
      <w:numFmt w:val="bullet"/>
      <w:lvlText w:val="-"/>
      <w:lvlJc w:val="left"/>
      <w:rPr>
        <w:rFonts w:ascii="Arial" w:hAnsi="Arial" w:eastAsia="Arial" w:cs="Arial"/>
        <w:b w:val="0"/>
        <w:bCs w:val="0"/>
        <w:i w:val="0"/>
        <w:iCs w:val="0"/>
        <w:smallCaps w:val="0"/>
        <w:strike w:val="0"/>
        <w:color w:val="000000"/>
        <w:spacing w:val="0"/>
        <w:w w:val="100"/>
        <w:position w:val="0"/>
        <w:sz w:val="24"/>
        <w:szCs w:val="24"/>
        <w:u w:val="none"/>
        <w:shd w:val="clear" w:color="auto" w:fill="auto"/>
        <w:lang w:val="ro-RO" w:eastAsia="ro-RO" w:bidi="ro-R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54C14546"/>
    <w:multiLevelType w:val="multilevel"/>
    <w:tmpl w:val="54C14546"/>
    <w:lvl w:ilvl="0" w:tentative="0">
      <w:start w:val="19"/>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B6D4122"/>
    <w:multiLevelType w:val="multilevel"/>
    <w:tmpl w:val="5B6D4122"/>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3">
    <w:nsid w:val="5C4E614A"/>
    <w:multiLevelType w:val="multilevel"/>
    <w:tmpl w:val="5C4E614A"/>
    <w:lvl w:ilvl="0" w:tentative="0">
      <w:start w:val="1"/>
      <w:numFmt w:val="lowerLetter"/>
      <w:lvlText w:val="%1)"/>
      <w:lvlJc w:val="left"/>
      <w:pPr>
        <w:ind w:left="720" w:hanging="360"/>
      </w:pPr>
      <w:rPr>
        <w:b/>
        <w:bCs/>
      </w:rPr>
    </w:lvl>
    <w:lvl w:ilvl="1" w:tentative="0">
      <w:start w:val="0"/>
      <w:numFmt w:val="bullet"/>
      <w:lvlText w:val="•"/>
      <w:lvlJc w:val="left"/>
      <w:pPr>
        <w:ind w:left="1440" w:hanging="360"/>
      </w:pPr>
      <w:rPr>
        <w:rFonts w:hint="default" w:ascii="Times New Roman" w:hAnsi="Times New Roman" w:eastAsia="Times New Roman" w:cs="Times New Roman"/>
        <w:b/>
        <w:color w:val="000000"/>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CD108E1"/>
    <w:multiLevelType w:val="multilevel"/>
    <w:tmpl w:val="5CD108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605D115E"/>
    <w:multiLevelType w:val="multilevel"/>
    <w:tmpl w:val="605D115E"/>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3D771AF"/>
    <w:multiLevelType w:val="multilevel"/>
    <w:tmpl w:val="63D771AF"/>
    <w:lvl w:ilvl="0" w:tentative="0">
      <w:start w:val="1"/>
      <w:numFmt w:val="lowerLetter"/>
      <w:lvlText w:val="%1)"/>
      <w:lvlJc w:val="left"/>
      <w:rPr>
        <w:rFonts w:hint="default" w:ascii="Times New Roman" w:hAnsi="Times New Roman" w:eastAsia="Arial" w:cs="Times New Roman"/>
        <w:b/>
        <w:bCs/>
        <w:i/>
        <w:iCs/>
        <w:smallCaps w:val="0"/>
        <w:strike w:val="0"/>
        <w:color w:val="000000"/>
        <w:spacing w:val="0"/>
        <w:w w:val="100"/>
        <w:position w:val="0"/>
        <w:sz w:val="28"/>
        <w:szCs w:val="28"/>
        <w:u w:val="none"/>
        <w:shd w:val="clear" w:color="auto" w:fill="auto"/>
        <w:lang w:val="ro-RO" w:eastAsia="ro-RO" w:bidi="ro-R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6E9A133E"/>
    <w:multiLevelType w:val="singleLevel"/>
    <w:tmpl w:val="6E9A133E"/>
    <w:lvl w:ilvl="0" w:tentative="0">
      <w:start w:val="14"/>
      <w:numFmt w:val="decimal"/>
      <w:suff w:val="space"/>
      <w:lvlText w:val="%1."/>
      <w:lvlJc w:val="left"/>
    </w:lvl>
  </w:abstractNum>
  <w:abstractNum w:abstractNumId="18">
    <w:nsid w:val="7FB50D1A"/>
    <w:multiLevelType w:val="singleLevel"/>
    <w:tmpl w:val="7FB50D1A"/>
    <w:lvl w:ilvl="0" w:tentative="0">
      <w:start w:val="1"/>
      <w:numFmt w:val="upperRoman"/>
      <w:suff w:val="space"/>
      <w:lvlText w:val="%1."/>
      <w:lvlJc w:val="left"/>
    </w:lvl>
  </w:abstractNum>
  <w:num w:numId="1">
    <w:abstractNumId w:val="2"/>
  </w:num>
  <w:num w:numId="2">
    <w:abstractNumId w:val="1"/>
  </w:num>
  <w:num w:numId="3">
    <w:abstractNumId w:val="6"/>
  </w:num>
  <w:num w:numId="4">
    <w:abstractNumId w:val="0"/>
  </w:num>
  <w:num w:numId="5">
    <w:abstractNumId w:val="14"/>
  </w:num>
  <w:num w:numId="6">
    <w:abstractNumId w:val="5"/>
  </w:num>
  <w:num w:numId="7">
    <w:abstractNumId w:val="12"/>
  </w:num>
  <w:num w:numId="8">
    <w:abstractNumId w:val="11"/>
  </w:num>
  <w:num w:numId="9">
    <w:abstractNumId w:val="16"/>
  </w:num>
  <w:num w:numId="10">
    <w:abstractNumId w:val="4"/>
  </w:num>
  <w:num w:numId="11">
    <w:abstractNumId w:val="9"/>
  </w:num>
  <w:num w:numId="12">
    <w:abstractNumId w:val="15"/>
  </w:num>
  <w:num w:numId="13">
    <w:abstractNumId w:val="18"/>
  </w:num>
  <w:num w:numId="14">
    <w:abstractNumId w:val="7"/>
  </w:num>
  <w:num w:numId="15">
    <w:abstractNumId w:val="13"/>
  </w:num>
  <w:num w:numId="16">
    <w:abstractNumId w:val="8"/>
  </w:num>
  <w:num w:numId="17">
    <w:abstractNumId w:val="10"/>
  </w:num>
  <w:num w:numId="18">
    <w:abstractNumId w:val="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20"/>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0A3"/>
    <w:rsid w:val="000108BA"/>
    <w:rsid w:val="000127A5"/>
    <w:rsid w:val="00027735"/>
    <w:rsid w:val="0004078F"/>
    <w:rsid w:val="00075E29"/>
    <w:rsid w:val="000774E4"/>
    <w:rsid w:val="000776DE"/>
    <w:rsid w:val="000805B6"/>
    <w:rsid w:val="00081A03"/>
    <w:rsid w:val="000853D4"/>
    <w:rsid w:val="000861A1"/>
    <w:rsid w:val="00091280"/>
    <w:rsid w:val="000A1F45"/>
    <w:rsid w:val="000A27C0"/>
    <w:rsid w:val="000E7077"/>
    <w:rsid w:val="000F2E08"/>
    <w:rsid w:val="000F60B0"/>
    <w:rsid w:val="00103174"/>
    <w:rsid w:val="001121D8"/>
    <w:rsid w:val="00134540"/>
    <w:rsid w:val="00150935"/>
    <w:rsid w:val="0016173F"/>
    <w:rsid w:val="00174663"/>
    <w:rsid w:val="001A649B"/>
    <w:rsid w:val="001D4D45"/>
    <w:rsid w:val="001F3DA2"/>
    <w:rsid w:val="001F5BA3"/>
    <w:rsid w:val="002132CF"/>
    <w:rsid w:val="0023511D"/>
    <w:rsid w:val="002463B0"/>
    <w:rsid w:val="00246A51"/>
    <w:rsid w:val="00257C28"/>
    <w:rsid w:val="0026732B"/>
    <w:rsid w:val="00280823"/>
    <w:rsid w:val="002B0DAB"/>
    <w:rsid w:val="002B1E6A"/>
    <w:rsid w:val="002C1CF6"/>
    <w:rsid w:val="002E1B10"/>
    <w:rsid w:val="002E4B69"/>
    <w:rsid w:val="00315614"/>
    <w:rsid w:val="00321A56"/>
    <w:rsid w:val="00331C71"/>
    <w:rsid w:val="00372C48"/>
    <w:rsid w:val="00373823"/>
    <w:rsid w:val="003B662D"/>
    <w:rsid w:val="003D070E"/>
    <w:rsid w:val="003D0C50"/>
    <w:rsid w:val="003F4C49"/>
    <w:rsid w:val="00425806"/>
    <w:rsid w:val="00441F6B"/>
    <w:rsid w:val="00457305"/>
    <w:rsid w:val="004A3FA6"/>
    <w:rsid w:val="004B035B"/>
    <w:rsid w:val="004D2E4F"/>
    <w:rsid w:val="004D64E0"/>
    <w:rsid w:val="004D7F22"/>
    <w:rsid w:val="005136B5"/>
    <w:rsid w:val="00513DF0"/>
    <w:rsid w:val="005311BD"/>
    <w:rsid w:val="005377F0"/>
    <w:rsid w:val="005506DE"/>
    <w:rsid w:val="00550781"/>
    <w:rsid w:val="00577643"/>
    <w:rsid w:val="0058797F"/>
    <w:rsid w:val="00595FC2"/>
    <w:rsid w:val="005A6728"/>
    <w:rsid w:val="005D050E"/>
    <w:rsid w:val="005D164A"/>
    <w:rsid w:val="005E68B2"/>
    <w:rsid w:val="00626BDE"/>
    <w:rsid w:val="00627D6F"/>
    <w:rsid w:val="00634F91"/>
    <w:rsid w:val="00642330"/>
    <w:rsid w:val="006438F6"/>
    <w:rsid w:val="006538BF"/>
    <w:rsid w:val="006559E5"/>
    <w:rsid w:val="00655B4A"/>
    <w:rsid w:val="00680015"/>
    <w:rsid w:val="006830DD"/>
    <w:rsid w:val="00695B51"/>
    <w:rsid w:val="006A0DA9"/>
    <w:rsid w:val="006B6671"/>
    <w:rsid w:val="006C0D03"/>
    <w:rsid w:val="006C288E"/>
    <w:rsid w:val="006C52CA"/>
    <w:rsid w:val="006D5668"/>
    <w:rsid w:val="006F03DB"/>
    <w:rsid w:val="006F6E2F"/>
    <w:rsid w:val="00703304"/>
    <w:rsid w:val="007134BF"/>
    <w:rsid w:val="00735ABE"/>
    <w:rsid w:val="00755EC8"/>
    <w:rsid w:val="00781EBC"/>
    <w:rsid w:val="00784FD3"/>
    <w:rsid w:val="007929CE"/>
    <w:rsid w:val="007B220A"/>
    <w:rsid w:val="007B533E"/>
    <w:rsid w:val="007C0AA7"/>
    <w:rsid w:val="007C39E5"/>
    <w:rsid w:val="007C46DE"/>
    <w:rsid w:val="007F103B"/>
    <w:rsid w:val="008258A0"/>
    <w:rsid w:val="0083160F"/>
    <w:rsid w:val="0084510A"/>
    <w:rsid w:val="008474E8"/>
    <w:rsid w:val="00854AB0"/>
    <w:rsid w:val="0086657B"/>
    <w:rsid w:val="00866FB3"/>
    <w:rsid w:val="00867DFA"/>
    <w:rsid w:val="008A061C"/>
    <w:rsid w:val="008A0D91"/>
    <w:rsid w:val="008A2FD0"/>
    <w:rsid w:val="008A7AC5"/>
    <w:rsid w:val="008B3EFD"/>
    <w:rsid w:val="008C1407"/>
    <w:rsid w:val="008D6124"/>
    <w:rsid w:val="008E20FE"/>
    <w:rsid w:val="008F5BB0"/>
    <w:rsid w:val="009061D4"/>
    <w:rsid w:val="00920832"/>
    <w:rsid w:val="00932FC3"/>
    <w:rsid w:val="00943F60"/>
    <w:rsid w:val="00972FA3"/>
    <w:rsid w:val="00974850"/>
    <w:rsid w:val="00984D08"/>
    <w:rsid w:val="009870A3"/>
    <w:rsid w:val="009A11C7"/>
    <w:rsid w:val="009A5930"/>
    <w:rsid w:val="009C3E4A"/>
    <w:rsid w:val="009F0AAB"/>
    <w:rsid w:val="00A07033"/>
    <w:rsid w:val="00A36821"/>
    <w:rsid w:val="00A42BF9"/>
    <w:rsid w:val="00A443A2"/>
    <w:rsid w:val="00A65B38"/>
    <w:rsid w:val="00A67033"/>
    <w:rsid w:val="00A848DD"/>
    <w:rsid w:val="00AD4A2D"/>
    <w:rsid w:val="00B0188F"/>
    <w:rsid w:val="00B11633"/>
    <w:rsid w:val="00B206D6"/>
    <w:rsid w:val="00B617B2"/>
    <w:rsid w:val="00BA7BE0"/>
    <w:rsid w:val="00BC58DA"/>
    <w:rsid w:val="00BD3A81"/>
    <w:rsid w:val="00BE6E64"/>
    <w:rsid w:val="00C01582"/>
    <w:rsid w:val="00C1498F"/>
    <w:rsid w:val="00C35CE1"/>
    <w:rsid w:val="00C57847"/>
    <w:rsid w:val="00C61D33"/>
    <w:rsid w:val="00C75D40"/>
    <w:rsid w:val="00C97F16"/>
    <w:rsid w:val="00CB2F14"/>
    <w:rsid w:val="00CC6C2B"/>
    <w:rsid w:val="00CE40F2"/>
    <w:rsid w:val="00CF55D8"/>
    <w:rsid w:val="00D03EB9"/>
    <w:rsid w:val="00D14D0A"/>
    <w:rsid w:val="00D22A8C"/>
    <w:rsid w:val="00D31E86"/>
    <w:rsid w:val="00D40D67"/>
    <w:rsid w:val="00D47D1E"/>
    <w:rsid w:val="00D51616"/>
    <w:rsid w:val="00D54A7A"/>
    <w:rsid w:val="00D55BF8"/>
    <w:rsid w:val="00D65B87"/>
    <w:rsid w:val="00D763E4"/>
    <w:rsid w:val="00D82D96"/>
    <w:rsid w:val="00D8772A"/>
    <w:rsid w:val="00D96543"/>
    <w:rsid w:val="00DA2984"/>
    <w:rsid w:val="00DD4C72"/>
    <w:rsid w:val="00DE718D"/>
    <w:rsid w:val="00E07F9F"/>
    <w:rsid w:val="00E10F3D"/>
    <w:rsid w:val="00E20910"/>
    <w:rsid w:val="00E2417E"/>
    <w:rsid w:val="00E25E88"/>
    <w:rsid w:val="00E27EF8"/>
    <w:rsid w:val="00E30383"/>
    <w:rsid w:val="00E30576"/>
    <w:rsid w:val="00E3093B"/>
    <w:rsid w:val="00E416D6"/>
    <w:rsid w:val="00E44038"/>
    <w:rsid w:val="00E57A5C"/>
    <w:rsid w:val="00E864FB"/>
    <w:rsid w:val="00EA6025"/>
    <w:rsid w:val="00EC2216"/>
    <w:rsid w:val="00EC472C"/>
    <w:rsid w:val="00EE3358"/>
    <w:rsid w:val="00EE4746"/>
    <w:rsid w:val="00EE6814"/>
    <w:rsid w:val="00F018B0"/>
    <w:rsid w:val="00F3495B"/>
    <w:rsid w:val="00F724B2"/>
    <w:rsid w:val="00F740BC"/>
    <w:rsid w:val="00F85F20"/>
    <w:rsid w:val="00FB3674"/>
    <w:rsid w:val="00FC09BF"/>
    <w:rsid w:val="00FE59D8"/>
    <w:rsid w:val="00FF25B8"/>
    <w:rsid w:val="02B6151E"/>
    <w:rsid w:val="07D93E04"/>
    <w:rsid w:val="0C4B4B41"/>
    <w:rsid w:val="0EA7186D"/>
    <w:rsid w:val="16024176"/>
    <w:rsid w:val="1B134891"/>
    <w:rsid w:val="1EA22AF7"/>
    <w:rsid w:val="1FC11629"/>
    <w:rsid w:val="22730F45"/>
    <w:rsid w:val="22B10E96"/>
    <w:rsid w:val="238A6C89"/>
    <w:rsid w:val="276118A4"/>
    <w:rsid w:val="2A2E2888"/>
    <w:rsid w:val="360044F4"/>
    <w:rsid w:val="381517D4"/>
    <w:rsid w:val="3833702F"/>
    <w:rsid w:val="3A3822B4"/>
    <w:rsid w:val="3BF16304"/>
    <w:rsid w:val="3C304320"/>
    <w:rsid w:val="47171FB8"/>
    <w:rsid w:val="473A1252"/>
    <w:rsid w:val="536E11FF"/>
    <w:rsid w:val="581A32E8"/>
    <w:rsid w:val="5C08573A"/>
    <w:rsid w:val="5DCB02A5"/>
    <w:rsid w:val="62B478AF"/>
    <w:rsid w:val="630465C5"/>
    <w:rsid w:val="64C33B95"/>
    <w:rsid w:val="65A702B8"/>
    <w:rsid w:val="683A392F"/>
    <w:rsid w:val="6C1F2E72"/>
    <w:rsid w:val="6F100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pPr>
    <w:rPr>
      <w:rFonts w:ascii="Times New Roman" w:hAnsi="Times New Roman" w:eastAsia="Times New Roman" w:cs="Times New Roman"/>
      <w:sz w:val="24"/>
      <w:szCs w:val="24"/>
      <w:lang w:val="en-GB" w:eastAsia="zh-CN" w:bidi="ar-SA"/>
    </w:rPr>
  </w:style>
  <w:style w:type="paragraph" w:styleId="2">
    <w:name w:val="heading 1"/>
    <w:basedOn w:val="1"/>
    <w:next w:val="1"/>
    <w:qFormat/>
    <w:uiPriority w:val="0"/>
    <w:pPr>
      <w:keepNext/>
      <w:numPr>
        <w:ilvl w:val="0"/>
        <w:numId w:val="1"/>
      </w:numPr>
      <w:outlineLvl w:val="0"/>
    </w:pPr>
    <w:rPr>
      <w:b/>
      <w:bCs/>
      <w:sz w:val="22"/>
    </w:rPr>
  </w:style>
  <w:style w:type="paragraph" w:styleId="3">
    <w:name w:val="heading 2"/>
    <w:basedOn w:val="1"/>
    <w:next w:val="1"/>
    <w:qFormat/>
    <w:uiPriority w:val="0"/>
    <w:pPr>
      <w:keepNext/>
      <w:tabs>
        <w:tab w:val="left" w:pos="0"/>
      </w:tabs>
      <w:ind w:left="432" w:hanging="432"/>
      <w:outlineLvl w:val="1"/>
    </w:pPr>
    <w:rPr>
      <w:b/>
      <w:bCs/>
      <w:sz w:val="20"/>
    </w:rPr>
  </w:style>
  <w:style w:type="paragraph" w:styleId="4">
    <w:name w:val="heading 3"/>
    <w:basedOn w:val="1"/>
    <w:next w:val="1"/>
    <w:qFormat/>
    <w:uiPriority w:val="0"/>
    <w:pPr>
      <w:keepNext/>
      <w:tabs>
        <w:tab w:val="left" w:pos="0"/>
      </w:tabs>
      <w:ind w:left="432" w:hanging="432"/>
      <w:outlineLvl w:val="2"/>
    </w:pPr>
    <w:rPr>
      <w:rFonts w:ascii="TimesRomanR" w:hAnsi="TimesRomanR" w:cs="TimesRomanR"/>
      <w:b/>
      <w:bCs/>
      <w:sz w:val="28"/>
      <w:szCs w:val="28"/>
    </w:rPr>
  </w:style>
  <w:style w:type="paragraph" w:styleId="5">
    <w:name w:val="heading 4"/>
    <w:basedOn w:val="1"/>
    <w:next w:val="1"/>
    <w:qFormat/>
    <w:uiPriority w:val="0"/>
    <w:pPr>
      <w:keepNext/>
      <w:tabs>
        <w:tab w:val="left" w:pos="0"/>
      </w:tabs>
      <w:ind w:left="432" w:hanging="432"/>
      <w:outlineLvl w:val="3"/>
    </w:pPr>
    <w:rPr>
      <w:b/>
      <w:bCs/>
      <w:szCs w:val="20"/>
    </w:rPr>
  </w:style>
  <w:style w:type="paragraph" w:styleId="6">
    <w:name w:val="heading 5"/>
    <w:basedOn w:val="1"/>
    <w:next w:val="1"/>
    <w:qFormat/>
    <w:uiPriority w:val="0"/>
    <w:pPr>
      <w:keepNext/>
      <w:tabs>
        <w:tab w:val="left" w:pos="0"/>
      </w:tabs>
      <w:ind w:left="432" w:hanging="432"/>
      <w:jc w:val="center"/>
      <w:outlineLvl w:val="4"/>
    </w:pPr>
    <w:rPr>
      <w:b/>
      <w:bCs/>
      <w:sz w:val="28"/>
      <w:lang w:val="en-US"/>
    </w:rPr>
  </w:style>
  <w:style w:type="paragraph" w:styleId="7">
    <w:name w:val="heading 6"/>
    <w:basedOn w:val="1"/>
    <w:next w:val="1"/>
    <w:qFormat/>
    <w:uiPriority w:val="0"/>
    <w:pPr>
      <w:keepNext/>
      <w:tabs>
        <w:tab w:val="left" w:pos="0"/>
      </w:tabs>
      <w:ind w:firstLine="720"/>
      <w:jc w:val="center"/>
      <w:outlineLvl w:val="5"/>
    </w:pPr>
    <w:rPr>
      <w:rFonts w:ascii="TimesRomanR" w:hAnsi="TimesRomanR" w:cs="TimesRomanR"/>
      <w:b/>
      <w:bCs/>
      <w:szCs w:val="20"/>
      <w:lang w:val="en-US"/>
    </w:rPr>
  </w:style>
  <w:style w:type="paragraph" w:styleId="8">
    <w:name w:val="heading 7"/>
    <w:basedOn w:val="1"/>
    <w:next w:val="1"/>
    <w:qFormat/>
    <w:uiPriority w:val="0"/>
    <w:pPr>
      <w:keepNext/>
      <w:tabs>
        <w:tab w:val="left" w:pos="0"/>
      </w:tabs>
      <w:ind w:left="432" w:hanging="432"/>
      <w:jc w:val="both"/>
      <w:outlineLvl w:val="6"/>
    </w:pPr>
    <w:rPr>
      <w:rFonts w:ascii="TimesRomanR" w:hAnsi="TimesRomanR" w:cs="TimesRomanR"/>
      <w:b/>
      <w:bCs/>
      <w:szCs w:val="20"/>
      <w:lang w:val="fr-FR"/>
    </w:rPr>
  </w:style>
  <w:style w:type="character" w:default="1" w:styleId="2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46"/>
    <w:semiHidden/>
    <w:unhideWhenUsed/>
    <w:qFormat/>
    <w:uiPriority w:val="99"/>
    <w:rPr>
      <w:rFonts w:ascii="Segoe UI" w:hAnsi="Segoe UI" w:cs="Segoe UI"/>
      <w:sz w:val="18"/>
      <w:szCs w:val="18"/>
    </w:rPr>
  </w:style>
  <w:style w:type="paragraph" w:styleId="10">
    <w:name w:val="Body Text"/>
    <w:basedOn w:val="1"/>
    <w:qFormat/>
    <w:uiPriority w:val="0"/>
    <w:rPr>
      <w:sz w:val="16"/>
    </w:rPr>
  </w:style>
  <w:style w:type="paragraph" w:styleId="11">
    <w:name w:val="caption"/>
    <w:basedOn w:val="1"/>
    <w:next w:val="1"/>
    <w:qFormat/>
    <w:uiPriority w:val="0"/>
    <w:pPr>
      <w:suppressLineNumbers/>
      <w:spacing w:before="120" w:after="120"/>
    </w:pPr>
    <w:rPr>
      <w:rFonts w:ascii="Arial" w:hAnsi="Arial" w:cs="Mangal"/>
      <w:i/>
      <w:iCs/>
    </w:rPr>
  </w:style>
  <w:style w:type="paragraph" w:styleId="12">
    <w:name w:val="annotation text"/>
    <w:basedOn w:val="1"/>
    <w:link w:val="264"/>
    <w:semiHidden/>
    <w:unhideWhenUsed/>
    <w:qFormat/>
    <w:uiPriority w:val="99"/>
    <w:rPr>
      <w:sz w:val="20"/>
      <w:szCs w:val="20"/>
    </w:rPr>
  </w:style>
  <w:style w:type="paragraph" w:styleId="13">
    <w:name w:val="annotation subject"/>
    <w:basedOn w:val="12"/>
    <w:next w:val="12"/>
    <w:link w:val="265"/>
    <w:semiHidden/>
    <w:unhideWhenUsed/>
    <w:qFormat/>
    <w:uiPriority w:val="99"/>
    <w:rPr>
      <w:b/>
      <w:bCs/>
    </w:rPr>
  </w:style>
  <w:style w:type="paragraph" w:styleId="14">
    <w:name w:val="footer"/>
    <w:basedOn w:val="1"/>
    <w:qFormat/>
    <w:uiPriority w:val="99"/>
    <w:pPr>
      <w:tabs>
        <w:tab w:val="center" w:pos="4153"/>
        <w:tab w:val="right" w:pos="8306"/>
      </w:tabs>
    </w:pPr>
  </w:style>
  <w:style w:type="paragraph" w:styleId="15">
    <w:name w:val="footnote text"/>
    <w:basedOn w:val="1"/>
    <w:link w:val="248"/>
    <w:qFormat/>
    <w:uiPriority w:val="99"/>
    <w:rPr>
      <w:sz w:val="20"/>
      <w:szCs w:val="20"/>
    </w:rPr>
  </w:style>
  <w:style w:type="paragraph" w:styleId="16">
    <w:name w:val="header"/>
    <w:basedOn w:val="1"/>
    <w:link w:val="257"/>
    <w:qFormat/>
    <w:uiPriority w:val="99"/>
    <w:pPr>
      <w:tabs>
        <w:tab w:val="center" w:pos="4153"/>
        <w:tab w:val="right" w:pos="8306"/>
      </w:tabs>
    </w:pPr>
  </w:style>
  <w:style w:type="paragraph" w:styleId="17">
    <w:name w:val="List"/>
    <w:basedOn w:val="10"/>
    <w:qFormat/>
    <w:uiPriority w:val="0"/>
    <w:rPr>
      <w:rFonts w:cs="Mangal"/>
    </w:rPr>
  </w:style>
  <w:style w:type="paragraph" w:styleId="18">
    <w:name w:val="Normal (Web)"/>
    <w:basedOn w:val="1"/>
    <w:qFormat/>
    <w:uiPriority w:val="99"/>
    <w:pPr>
      <w:spacing w:before="280" w:after="280"/>
    </w:pPr>
    <w:rPr>
      <w:color w:val="000000"/>
      <w:lang w:val="en-US"/>
    </w:rPr>
  </w:style>
  <w:style w:type="paragraph" w:styleId="19">
    <w:name w:val="toc 1"/>
    <w:basedOn w:val="1"/>
    <w:next w:val="1"/>
    <w:unhideWhenUsed/>
    <w:qFormat/>
    <w:uiPriority w:val="39"/>
    <w:pPr>
      <w:tabs>
        <w:tab w:val="left" w:pos="440"/>
        <w:tab w:val="right" w:leader="dot" w:pos="9350"/>
      </w:tabs>
      <w:suppressAutoHyphens w:val="0"/>
      <w:ind w:right="-8"/>
      <w:jc w:val="both"/>
    </w:pPr>
    <w:rPr>
      <w:rFonts w:ascii="Arial" w:hAnsi="Arial" w:cs="Arial" w:eastAsiaTheme="minorHAnsi"/>
      <w:b/>
      <w:bCs/>
      <w:color w:val="4472C4" w:themeColor="accent1"/>
      <w:lang w:val="ro-RO" w:eastAsia="en-US"/>
      <w14:textFill>
        <w14:solidFill>
          <w14:schemeClr w14:val="accent1"/>
        </w14:solidFill>
      </w14:textFill>
    </w:rPr>
  </w:style>
  <w:style w:type="character" w:styleId="21">
    <w:name w:val="annotation reference"/>
    <w:basedOn w:val="20"/>
    <w:semiHidden/>
    <w:unhideWhenUsed/>
    <w:qFormat/>
    <w:uiPriority w:val="99"/>
    <w:rPr>
      <w:sz w:val="16"/>
      <w:szCs w:val="16"/>
    </w:rPr>
  </w:style>
  <w:style w:type="character" w:styleId="22">
    <w:name w:val="FollowedHyperlink"/>
    <w:qFormat/>
    <w:uiPriority w:val="0"/>
    <w:rPr>
      <w:color w:val="800080"/>
      <w:u w:val="single"/>
    </w:rPr>
  </w:style>
  <w:style w:type="character" w:styleId="23">
    <w:name w:val="footnote reference"/>
    <w:unhideWhenUsed/>
    <w:qFormat/>
    <w:uiPriority w:val="99"/>
    <w:rPr>
      <w:vertAlign w:val="superscript"/>
    </w:rPr>
  </w:style>
  <w:style w:type="character" w:styleId="24">
    <w:name w:val="Hyperlink"/>
    <w:qFormat/>
    <w:uiPriority w:val="99"/>
    <w:rPr>
      <w:color w:val="0000FF"/>
      <w:u w:val="single"/>
    </w:rPr>
  </w:style>
  <w:style w:type="character" w:styleId="25">
    <w:name w:val="page number"/>
    <w:basedOn w:val="26"/>
    <w:qFormat/>
    <w:uiPriority w:val="0"/>
  </w:style>
  <w:style w:type="character" w:customStyle="1" w:styleId="26">
    <w:name w:val="WW-Default Paragraph Font1"/>
    <w:qFormat/>
    <w:uiPriority w:val="0"/>
  </w:style>
  <w:style w:type="character" w:styleId="27">
    <w:name w:val="Strong"/>
    <w:qFormat/>
    <w:uiPriority w:val="0"/>
    <w:rPr>
      <w:b/>
      <w:bCs/>
    </w:rPr>
  </w:style>
  <w:style w:type="character" w:customStyle="1" w:styleId="29">
    <w:name w:val="WW8Num20z6"/>
    <w:qFormat/>
    <w:uiPriority w:val="0"/>
  </w:style>
  <w:style w:type="character" w:customStyle="1" w:styleId="30">
    <w:name w:val="WW8Num17z3"/>
    <w:qFormat/>
    <w:uiPriority w:val="0"/>
    <w:rPr>
      <w:rFonts w:ascii="Symbol" w:hAnsi="Symbol" w:cs="Symbol"/>
    </w:rPr>
  </w:style>
  <w:style w:type="character" w:customStyle="1" w:styleId="31">
    <w:name w:val="WW8Num24z0"/>
    <w:qFormat/>
    <w:uiPriority w:val="0"/>
    <w:rPr>
      <w:rFonts w:ascii="Arial" w:hAnsi="Arial" w:eastAsia="Times New Roman" w:cs="Arial"/>
      <w:sz w:val="26"/>
    </w:rPr>
  </w:style>
  <w:style w:type="character" w:customStyle="1" w:styleId="32">
    <w:name w:val="WW8Num16z1"/>
    <w:qFormat/>
    <w:uiPriority w:val="0"/>
    <w:rPr>
      <w:rFonts w:ascii="Courier New" w:hAnsi="Courier New" w:cs="Courier New"/>
    </w:rPr>
  </w:style>
  <w:style w:type="character" w:customStyle="1" w:styleId="33">
    <w:name w:val="WW8Num26z3"/>
    <w:qFormat/>
    <w:uiPriority w:val="0"/>
    <w:rPr>
      <w:rFonts w:ascii="Symbol" w:hAnsi="Symbol" w:cs="Symbol"/>
    </w:rPr>
  </w:style>
  <w:style w:type="character" w:customStyle="1" w:styleId="34">
    <w:name w:val="WW8Num22z6"/>
    <w:qFormat/>
    <w:uiPriority w:val="0"/>
  </w:style>
  <w:style w:type="character" w:customStyle="1" w:styleId="35">
    <w:name w:val="WW8Num29z1"/>
    <w:qFormat/>
    <w:uiPriority w:val="0"/>
    <w:rPr>
      <w:rFonts w:ascii="Courier New" w:hAnsi="Courier New" w:cs="Courier New"/>
    </w:rPr>
  </w:style>
  <w:style w:type="character" w:customStyle="1" w:styleId="36">
    <w:name w:val="WW8Num19z3"/>
    <w:qFormat/>
    <w:uiPriority w:val="0"/>
    <w:rPr>
      <w:rFonts w:ascii="Symbol" w:hAnsi="Symbol" w:cs="Symbol"/>
    </w:rPr>
  </w:style>
  <w:style w:type="character" w:customStyle="1" w:styleId="37">
    <w:name w:val="WW8Num30z0"/>
    <w:qFormat/>
    <w:uiPriority w:val="0"/>
    <w:rPr>
      <w:rFonts w:ascii="Arial" w:hAnsi="Arial" w:eastAsia="Times New Roman" w:cs="Arial"/>
    </w:rPr>
  </w:style>
  <w:style w:type="character" w:customStyle="1" w:styleId="38">
    <w:name w:val="WW8Num33z0"/>
    <w:qFormat/>
    <w:uiPriority w:val="0"/>
    <w:rPr>
      <w:rFonts w:ascii="Wingdings" w:hAnsi="Wingdings" w:cs="Wingdings"/>
      <w:sz w:val="24"/>
    </w:rPr>
  </w:style>
  <w:style w:type="character" w:customStyle="1" w:styleId="39">
    <w:name w:val="WW8Num23z0"/>
    <w:qFormat/>
    <w:uiPriority w:val="0"/>
    <w:rPr>
      <w:rFonts w:ascii="Times New Roman" w:hAnsi="Times New Roman" w:eastAsia="Times New Roman" w:cs="Times New Roman"/>
      <w:u w:val="none"/>
    </w:rPr>
  </w:style>
  <w:style w:type="character" w:customStyle="1" w:styleId="40">
    <w:name w:val="WW8Num20z2"/>
    <w:qFormat/>
    <w:uiPriority w:val="0"/>
  </w:style>
  <w:style w:type="character" w:customStyle="1" w:styleId="41">
    <w:name w:val="WW8Num16z0"/>
    <w:qFormat/>
    <w:uiPriority w:val="0"/>
    <w:rPr>
      <w:rFonts w:ascii="Times New Roman" w:hAnsi="Times New Roman" w:eastAsia="Times New Roman" w:cs="Times New Roman"/>
      <w:u w:val="none"/>
    </w:rPr>
  </w:style>
  <w:style w:type="character" w:customStyle="1" w:styleId="42">
    <w:name w:val="WW8Num22z3"/>
    <w:qFormat/>
    <w:uiPriority w:val="0"/>
  </w:style>
  <w:style w:type="character" w:customStyle="1" w:styleId="43">
    <w:name w:val="WW8Num13z1"/>
    <w:qFormat/>
    <w:uiPriority w:val="0"/>
    <w:rPr>
      <w:rFonts w:ascii="Courier New" w:hAnsi="Courier New" w:cs="Courier New"/>
    </w:rPr>
  </w:style>
  <w:style w:type="character" w:customStyle="1" w:styleId="44">
    <w:name w:val="WW8Num29z2"/>
    <w:qFormat/>
    <w:uiPriority w:val="0"/>
    <w:rPr>
      <w:rFonts w:ascii="Wingdings" w:hAnsi="Wingdings" w:cs="Wingdings"/>
    </w:rPr>
  </w:style>
  <w:style w:type="character" w:customStyle="1" w:styleId="45">
    <w:name w:val="WW8Num22z5"/>
    <w:qFormat/>
    <w:uiPriority w:val="0"/>
  </w:style>
  <w:style w:type="character" w:customStyle="1" w:styleId="46">
    <w:name w:val="WW8Num13z3"/>
    <w:qFormat/>
    <w:uiPriority w:val="0"/>
  </w:style>
  <w:style w:type="character" w:customStyle="1" w:styleId="47">
    <w:name w:val="ListLabel 5"/>
    <w:qFormat/>
    <w:uiPriority w:val="0"/>
    <w:rPr>
      <w:rFonts w:ascii="Arial" w:hAnsi="Arial" w:cs="Arial"/>
    </w:rPr>
  </w:style>
  <w:style w:type="character" w:customStyle="1" w:styleId="48">
    <w:name w:val="WW8Num20z3"/>
    <w:qFormat/>
    <w:uiPriority w:val="0"/>
  </w:style>
  <w:style w:type="character" w:customStyle="1" w:styleId="49">
    <w:name w:val="WW8Num22z2"/>
    <w:qFormat/>
    <w:uiPriority w:val="0"/>
  </w:style>
  <w:style w:type="character" w:customStyle="1" w:styleId="50">
    <w:name w:val="WW8Num12z1"/>
    <w:qFormat/>
    <w:uiPriority w:val="0"/>
    <w:rPr>
      <w:rFonts w:ascii="Symbol" w:hAnsi="Symbol" w:cs="Symbol"/>
      <w:color w:val="000000"/>
      <w:u w:val="none"/>
    </w:rPr>
  </w:style>
  <w:style w:type="character" w:customStyle="1" w:styleId="51">
    <w:name w:val="Footer Char"/>
    <w:qFormat/>
    <w:uiPriority w:val="99"/>
    <w:rPr>
      <w:sz w:val="24"/>
      <w:szCs w:val="24"/>
      <w:lang w:val="en-GB" w:eastAsia="zh-CN"/>
    </w:rPr>
  </w:style>
  <w:style w:type="character" w:customStyle="1" w:styleId="52">
    <w:name w:val="WW8Num20z0"/>
    <w:qFormat/>
    <w:uiPriority w:val="0"/>
    <w:rPr>
      <w:b/>
    </w:rPr>
  </w:style>
  <w:style w:type="character" w:customStyle="1" w:styleId="53">
    <w:name w:val="Buline"/>
    <w:qFormat/>
    <w:uiPriority w:val="0"/>
    <w:rPr>
      <w:rFonts w:ascii="OpenSymbol" w:hAnsi="OpenSymbol" w:eastAsia="OpenSymbol" w:cs="OpenSymbol"/>
    </w:rPr>
  </w:style>
  <w:style w:type="character" w:customStyle="1" w:styleId="54">
    <w:name w:val="WW8Num20z4"/>
    <w:qFormat/>
    <w:uiPriority w:val="0"/>
  </w:style>
  <w:style w:type="character" w:customStyle="1" w:styleId="55">
    <w:name w:val="WW8Num19z1"/>
    <w:qFormat/>
    <w:uiPriority w:val="0"/>
    <w:rPr>
      <w:rFonts w:ascii="Courier New" w:hAnsi="Courier New" w:cs="Courier New"/>
    </w:rPr>
  </w:style>
  <w:style w:type="character" w:customStyle="1" w:styleId="56">
    <w:name w:val="Simboluri de numerotare"/>
    <w:qFormat/>
    <w:uiPriority w:val="0"/>
  </w:style>
  <w:style w:type="character" w:customStyle="1" w:styleId="57">
    <w:name w:val="WW8Num27z0"/>
    <w:qFormat/>
    <w:uiPriority w:val="0"/>
    <w:rPr>
      <w:rFonts w:ascii="Times New Roman" w:hAnsi="Times New Roman" w:eastAsia="Times New Roman" w:cs="Times New Roman"/>
      <w:u w:val="none"/>
    </w:rPr>
  </w:style>
  <w:style w:type="character" w:customStyle="1" w:styleId="58">
    <w:name w:val="WW8Num23z4"/>
    <w:qFormat/>
    <w:uiPriority w:val="0"/>
  </w:style>
  <w:style w:type="character" w:customStyle="1" w:styleId="59">
    <w:name w:val="WW8Num3z6"/>
    <w:qFormat/>
    <w:uiPriority w:val="0"/>
  </w:style>
  <w:style w:type="character" w:customStyle="1" w:styleId="60">
    <w:name w:val="WW8Num1z4"/>
    <w:qFormat/>
    <w:uiPriority w:val="0"/>
  </w:style>
  <w:style w:type="character" w:customStyle="1" w:styleId="61">
    <w:name w:val="WW8Num6z4"/>
    <w:qFormat/>
    <w:uiPriority w:val="0"/>
  </w:style>
  <w:style w:type="character" w:customStyle="1" w:styleId="62">
    <w:name w:val="WW8Num12z2"/>
    <w:qFormat/>
    <w:uiPriority w:val="0"/>
    <w:rPr>
      <w:rFonts w:ascii="Wingdings" w:hAnsi="Wingdings" w:cs="Wingdings"/>
    </w:rPr>
  </w:style>
  <w:style w:type="character" w:customStyle="1" w:styleId="63">
    <w:name w:val="WW8Num5z7"/>
    <w:qFormat/>
    <w:uiPriority w:val="0"/>
  </w:style>
  <w:style w:type="character" w:customStyle="1" w:styleId="64">
    <w:name w:val="WW8Num4z1"/>
    <w:qFormat/>
    <w:uiPriority w:val="0"/>
    <w:rPr>
      <w:rFonts w:ascii="Arial" w:hAnsi="Arial" w:eastAsia="Arial" w:cs="Arial"/>
      <w:b/>
      <w:lang w:val="en-US"/>
    </w:rPr>
  </w:style>
  <w:style w:type="character" w:customStyle="1" w:styleId="65">
    <w:name w:val="WW8Num9z2"/>
    <w:qFormat/>
    <w:uiPriority w:val="0"/>
    <w:rPr>
      <w:rFonts w:ascii="Wingdings" w:hAnsi="Wingdings" w:cs="Wingdings"/>
    </w:rPr>
  </w:style>
  <w:style w:type="character" w:customStyle="1" w:styleId="66">
    <w:name w:val="WW8Num2z2"/>
    <w:qFormat/>
    <w:uiPriority w:val="0"/>
  </w:style>
  <w:style w:type="character" w:customStyle="1" w:styleId="67">
    <w:name w:val="WW8Num7z3"/>
    <w:qFormat/>
    <w:uiPriority w:val="0"/>
  </w:style>
  <w:style w:type="character" w:customStyle="1" w:styleId="68">
    <w:name w:val="WW8Num1z3"/>
    <w:qFormat/>
    <w:uiPriority w:val="0"/>
  </w:style>
  <w:style w:type="character" w:customStyle="1" w:styleId="69">
    <w:name w:val="WW8Num4z8"/>
    <w:qFormat/>
    <w:uiPriority w:val="0"/>
  </w:style>
  <w:style w:type="character" w:customStyle="1" w:styleId="70">
    <w:name w:val="WW8Num10z3"/>
    <w:qFormat/>
    <w:uiPriority w:val="0"/>
    <w:rPr>
      <w:rFonts w:ascii="Symbol" w:hAnsi="Symbol" w:cs="Symbol"/>
    </w:rPr>
  </w:style>
  <w:style w:type="character" w:customStyle="1" w:styleId="71">
    <w:name w:val="WW8Num13z7"/>
    <w:qFormat/>
    <w:uiPriority w:val="0"/>
  </w:style>
  <w:style w:type="character" w:customStyle="1" w:styleId="72">
    <w:name w:val="WW8Num2z7"/>
    <w:qFormat/>
    <w:uiPriority w:val="0"/>
  </w:style>
  <w:style w:type="character" w:customStyle="1" w:styleId="73">
    <w:name w:val="WW8Num6z0"/>
    <w:qFormat/>
    <w:uiPriority w:val="0"/>
    <w:rPr>
      <w:rFonts w:ascii="Calibri" w:hAnsi="Calibri" w:cs="Tahoma"/>
    </w:rPr>
  </w:style>
  <w:style w:type="character" w:customStyle="1" w:styleId="74">
    <w:name w:val="WW8Num5z0"/>
    <w:qFormat/>
    <w:uiPriority w:val="0"/>
    <w:rPr>
      <w:rFonts w:ascii="Calibri" w:hAnsi="Calibri" w:cs="Tahoma"/>
    </w:rPr>
  </w:style>
  <w:style w:type="character" w:customStyle="1" w:styleId="75">
    <w:name w:val="WW8Num2z4"/>
    <w:qFormat/>
    <w:uiPriority w:val="0"/>
  </w:style>
  <w:style w:type="character" w:customStyle="1" w:styleId="76">
    <w:name w:val="WW8Num8z3"/>
    <w:qFormat/>
    <w:uiPriority w:val="0"/>
    <w:rPr>
      <w:rFonts w:ascii="Symbol" w:hAnsi="Symbol" w:cs="Symbol"/>
    </w:rPr>
  </w:style>
  <w:style w:type="character" w:customStyle="1" w:styleId="77">
    <w:name w:val="WW8Num2z0"/>
    <w:qFormat/>
    <w:uiPriority w:val="0"/>
    <w:rPr>
      <w:sz w:val="24"/>
      <w:lang w:val="fr-FR"/>
    </w:rPr>
  </w:style>
  <w:style w:type="character" w:customStyle="1" w:styleId="78">
    <w:name w:val="WW8Num6z6"/>
    <w:qFormat/>
    <w:uiPriority w:val="0"/>
  </w:style>
  <w:style w:type="character" w:customStyle="1" w:styleId="79">
    <w:name w:val="WW8Num1z6"/>
    <w:qFormat/>
    <w:uiPriority w:val="0"/>
  </w:style>
  <w:style w:type="character" w:customStyle="1" w:styleId="80">
    <w:name w:val="WW8Num10z1"/>
    <w:qFormat/>
    <w:uiPriority w:val="0"/>
    <w:rPr>
      <w:rFonts w:ascii="Courier New" w:hAnsi="Courier New" w:cs="Courier New"/>
    </w:rPr>
  </w:style>
  <w:style w:type="character" w:customStyle="1" w:styleId="81">
    <w:name w:val="WW8Num4z4"/>
    <w:qFormat/>
    <w:uiPriority w:val="0"/>
  </w:style>
  <w:style w:type="character" w:customStyle="1" w:styleId="82">
    <w:name w:val="WW8Num3z0"/>
    <w:qFormat/>
    <w:uiPriority w:val="0"/>
    <w:rPr>
      <w:rFonts w:cs="Arial"/>
    </w:rPr>
  </w:style>
  <w:style w:type="character" w:customStyle="1" w:styleId="83">
    <w:name w:val="WW8Num13z4"/>
    <w:qFormat/>
    <w:uiPriority w:val="0"/>
  </w:style>
  <w:style w:type="character" w:customStyle="1" w:styleId="84">
    <w:name w:val="WW8Num4z2"/>
    <w:qFormat/>
    <w:uiPriority w:val="0"/>
  </w:style>
  <w:style w:type="character" w:customStyle="1" w:styleId="85">
    <w:name w:val="WW8Num2z8"/>
    <w:qFormat/>
    <w:uiPriority w:val="0"/>
  </w:style>
  <w:style w:type="character" w:customStyle="1" w:styleId="86">
    <w:name w:val="WW8Num9z3"/>
    <w:qFormat/>
    <w:uiPriority w:val="0"/>
    <w:rPr>
      <w:rFonts w:ascii="Symbol" w:hAnsi="Symbol" w:cs="Symbol"/>
    </w:rPr>
  </w:style>
  <w:style w:type="character" w:customStyle="1" w:styleId="87">
    <w:name w:val="WW8Num2z3"/>
    <w:qFormat/>
    <w:uiPriority w:val="0"/>
  </w:style>
  <w:style w:type="character" w:customStyle="1" w:styleId="88">
    <w:name w:val="WW8Num12z4"/>
    <w:qFormat/>
    <w:uiPriority w:val="0"/>
    <w:rPr>
      <w:rFonts w:ascii="Courier New" w:hAnsi="Courier New" w:cs="Courier New"/>
    </w:rPr>
  </w:style>
  <w:style w:type="character" w:customStyle="1" w:styleId="89">
    <w:name w:val="WW8Num8z1"/>
    <w:qFormat/>
    <w:uiPriority w:val="0"/>
    <w:rPr>
      <w:rFonts w:ascii="Courier New" w:hAnsi="Courier New" w:cs="Courier New"/>
    </w:rPr>
  </w:style>
  <w:style w:type="character" w:customStyle="1" w:styleId="90">
    <w:name w:val="WW8Num7z1"/>
    <w:qFormat/>
    <w:uiPriority w:val="0"/>
  </w:style>
  <w:style w:type="character" w:customStyle="1" w:styleId="91">
    <w:name w:val="WW8Num9z8"/>
    <w:qFormat/>
    <w:uiPriority w:val="0"/>
  </w:style>
  <w:style w:type="character" w:customStyle="1" w:styleId="92">
    <w:name w:val="WW8Num2z6"/>
    <w:qFormat/>
    <w:uiPriority w:val="0"/>
  </w:style>
  <w:style w:type="character" w:customStyle="1" w:styleId="93">
    <w:name w:val="WW8Num6z8"/>
    <w:qFormat/>
    <w:uiPriority w:val="0"/>
  </w:style>
  <w:style w:type="character" w:customStyle="1" w:styleId="94">
    <w:name w:val="WW8Num1z7"/>
    <w:qFormat/>
    <w:uiPriority w:val="0"/>
  </w:style>
  <w:style w:type="character" w:customStyle="1" w:styleId="95">
    <w:name w:val="WW8Num1z2"/>
    <w:qFormat/>
    <w:uiPriority w:val="0"/>
  </w:style>
  <w:style w:type="character" w:customStyle="1" w:styleId="96">
    <w:name w:val="WW8Num6z5"/>
    <w:qFormat/>
    <w:uiPriority w:val="0"/>
  </w:style>
  <w:style w:type="character" w:customStyle="1" w:styleId="97">
    <w:name w:val="WW8Num3z7"/>
    <w:qFormat/>
    <w:uiPriority w:val="0"/>
  </w:style>
  <w:style w:type="character" w:customStyle="1" w:styleId="98">
    <w:name w:val="WW8Num15z0"/>
    <w:qFormat/>
    <w:uiPriority w:val="0"/>
    <w:rPr>
      <w:rFonts w:ascii="Wingdings" w:hAnsi="Wingdings" w:cs="Wingdings"/>
      <w:sz w:val="24"/>
    </w:rPr>
  </w:style>
  <w:style w:type="character" w:customStyle="1" w:styleId="99">
    <w:name w:val="WW8Num11z0"/>
    <w:qFormat/>
    <w:uiPriority w:val="0"/>
    <w:rPr>
      <w:rFonts w:ascii="Arial" w:hAnsi="Arial" w:eastAsia="Times New Roman" w:cs="Arial"/>
    </w:rPr>
  </w:style>
  <w:style w:type="character" w:customStyle="1" w:styleId="100">
    <w:name w:val="WW8Num3z4"/>
    <w:qFormat/>
    <w:uiPriority w:val="0"/>
  </w:style>
  <w:style w:type="character" w:customStyle="1" w:styleId="101">
    <w:name w:val="WW8Num9z1"/>
    <w:qFormat/>
    <w:uiPriority w:val="0"/>
    <w:rPr>
      <w:rFonts w:ascii="Courier New" w:hAnsi="Courier New" w:cs="Courier New"/>
    </w:rPr>
  </w:style>
  <w:style w:type="character" w:customStyle="1" w:styleId="102">
    <w:name w:val="WW8Num2z1"/>
    <w:qFormat/>
    <w:uiPriority w:val="0"/>
  </w:style>
  <w:style w:type="character" w:customStyle="1" w:styleId="103">
    <w:name w:val="WW8Num7z7"/>
    <w:qFormat/>
    <w:uiPriority w:val="0"/>
  </w:style>
  <w:style w:type="character" w:customStyle="1" w:styleId="104">
    <w:name w:val="WW8Num1z0"/>
    <w:qFormat/>
    <w:uiPriority w:val="0"/>
  </w:style>
  <w:style w:type="character" w:customStyle="1" w:styleId="105">
    <w:name w:val="WW8Num7z6"/>
    <w:qFormat/>
    <w:uiPriority w:val="0"/>
  </w:style>
  <w:style w:type="character" w:customStyle="1" w:styleId="106">
    <w:name w:val="WW8Num9z4"/>
    <w:qFormat/>
    <w:uiPriority w:val="0"/>
  </w:style>
  <w:style w:type="character" w:customStyle="1" w:styleId="107">
    <w:name w:val="WW8Num10z2"/>
    <w:qFormat/>
    <w:uiPriority w:val="0"/>
    <w:rPr>
      <w:rFonts w:ascii="Wingdings" w:hAnsi="Wingdings" w:cs="Wingdings"/>
    </w:rPr>
  </w:style>
  <w:style w:type="character" w:customStyle="1" w:styleId="108">
    <w:name w:val="WW8Num4z6"/>
    <w:qFormat/>
    <w:uiPriority w:val="0"/>
  </w:style>
  <w:style w:type="character" w:customStyle="1" w:styleId="109">
    <w:name w:val="WW8Num8z2"/>
    <w:qFormat/>
    <w:uiPriority w:val="0"/>
    <w:rPr>
      <w:rFonts w:ascii="Wingdings" w:hAnsi="Wingdings" w:cs="Wingdings"/>
    </w:rPr>
  </w:style>
  <w:style w:type="character" w:customStyle="1" w:styleId="110">
    <w:name w:val="WW8Num1z1"/>
    <w:qFormat/>
    <w:uiPriority w:val="0"/>
  </w:style>
  <w:style w:type="character" w:customStyle="1" w:styleId="111">
    <w:name w:val="WW8Num6z1"/>
    <w:qFormat/>
    <w:uiPriority w:val="0"/>
    <w:rPr>
      <w:rFonts w:ascii="Courier New" w:hAnsi="Courier New" w:cs="Courier New"/>
    </w:rPr>
  </w:style>
  <w:style w:type="character" w:customStyle="1" w:styleId="112">
    <w:name w:val="WW8Num10z0"/>
    <w:qFormat/>
    <w:uiPriority w:val="0"/>
    <w:rPr>
      <w:rFonts w:ascii="Times New Roman" w:hAnsi="Times New Roman" w:eastAsia="Times New Roman" w:cs="Times New Roman"/>
      <w:u w:val="none"/>
    </w:rPr>
  </w:style>
  <w:style w:type="character" w:customStyle="1" w:styleId="113">
    <w:name w:val="WW8Num5z6"/>
    <w:qFormat/>
    <w:uiPriority w:val="0"/>
  </w:style>
  <w:style w:type="character" w:customStyle="1" w:styleId="114">
    <w:name w:val="WW8Num2z5"/>
    <w:qFormat/>
    <w:uiPriority w:val="0"/>
  </w:style>
  <w:style w:type="character" w:customStyle="1" w:styleId="115">
    <w:name w:val="WW8Num7z4"/>
    <w:qFormat/>
    <w:uiPriority w:val="0"/>
  </w:style>
  <w:style w:type="character" w:customStyle="1" w:styleId="116">
    <w:name w:val="WW8Num1z8"/>
    <w:qFormat/>
    <w:uiPriority w:val="0"/>
  </w:style>
  <w:style w:type="character" w:customStyle="1" w:styleId="117">
    <w:name w:val="WW8Num6z3"/>
    <w:qFormat/>
    <w:uiPriority w:val="0"/>
    <w:rPr>
      <w:rFonts w:ascii="Symbol" w:hAnsi="Symbol" w:cs="Symbol"/>
    </w:rPr>
  </w:style>
  <w:style w:type="character" w:customStyle="1" w:styleId="118">
    <w:name w:val="WW8Num1z5"/>
    <w:qFormat/>
    <w:uiPriority w:val="0"/>
  </w:style>
  <w:style w:type="character" w:customStyle="1" w:styleId="119">
    <w:name w:val="WW8Num5z8"/>
    <w:qFormat/>
    <w:uiPriority w:val="0"/>
  </w:style>
  <w:style w:type="character" w:customStyle="1" w:styleId="120">
    <w:name w:val="WW8Num5z1"/>
    <w:qFormat/>
    <w:uiPriority w:val="0"/>
    <w:rPr>
      <w:rFonts w:ascii="Courier New" w:hAnsi="Courier New" w:cs="Courier New"/>
    </w:rPr>
  </w:style>
  <w:style w:type="character" w:customStyle="1" w:styleId="121">
    <w:name w:val="WW8Num4z3"/>
    <w:qFormat/>
    <w:uiPriority w:val="0"/>
  </w:style>
  <w:style w:type="character" w:customStyle="1" w:styleId="122">
    <w:name w:val="WW8Num3z1"/>
    <w:qFormat/>
    <w:uiPriority w:val="0"/>
  </w:style>
  <w:style w:type="character" w:customStyle="1" w:styleId="123">
    <w:name w:val="WW8Num9z5"/>
    <w:qFormat/>
    <w:uiPriority w:val="0"/>
  </w:style>
  <w:style w:type="character" w:customStyle="1" w:styleId="124">
    <w:name w:val="WW8Num5z2"/>
    <w:qFormat/>
    <w:uiPriority w:val="0"/>
    <w:rPr>
      <w:rFonts w:ascii="Wingdings" w:hAnsi="Wingdings" w:cs="Wingdings"/>
    </w:rPr>
  </w:style>
  <w:style w:type="character" w:customStyle="1" w:styleId="125">
    <w:name w:val="WW8Num3z2"/>
    <w:qFormat/>
    <w:uiPriority w:val="0"/>
  </w:style>
  <w:style w:type="character" w:customStyle="1" w:styleId="126">
    <w:name w:val="WW8Num11z1"/>
    <w:qFormat/>
    <w:uiPriority w:val="0"/>
    <w:rPr>
      <w:rFonts w:ascii="Courier New" w:hAnsi="Courier New" w:cs="Courier New"/>
    </w:rPr>
  </w:style>
  <w:style w:type="character" w:customStyle="1" w:styleId="127">
    <w:name w:val="WW8Num3z3"/>
    <w:qFormat/>
    <w:uiPriority w:val="0"/>
  </w:style>
  <w:style w:type="character" w:customStyle="1" w:styleId="128">
    <w:name w:val="WW8Num7z0"/>
    <w:qFormat/>
    <w:uiPriority w:val="0"/>
  </w:style>
  <w:style w:type="character" w:customStyle="1" w:styleId="129">
    <w:name w:val="WW8Num3z5"/>
    <w:qFormat/>
    <w:uiPriority w:val="0"/>
  </w:style>
  <w:style w:type="character" w:customStyle="1" w:styleId="130">
    <w:name w:val="WW8Num6z7"/>
    <w:qFormat/>
    <w:uiPriority w:val="0"/>
  </w:style>
  <w:style w:type="character" w:customStyle="1" w:styleId="131">
    <w:name w:val="WW8Num3z8"/>
    <w:qFormat/>
    <w:uiPriority w:val="0"/>
  </w:style>
  <w:style w:type="character" w:customStyle="1" w:styleId="132">
    <w:name w:val="WW8Num9z0"/>
    <w:qFormat/>
    <w:uiPriority w:val="0"/>
    <w:rPr>
      <w:rFonts w:ascii="Arial" w:hAnsi="Arial" w:eastAsia="Arial" w:cs="Arial"/>
      <w:lang w:val="en-US"/>
    </w:rPr>
  </w:style>
  <w:style w:type="character" w:customStyle="1" w:styleId="133">
    <w:name w:val="WW8Num4z0"/>
    <w:qFormat/>
    <w:uiPriority w:val="0"/>
    <w:rPr>
      <w:rFonts w:ascii="Arial" w:hAnsi="Arial" w:cs="Arial"/>
      <w:b/>
      <w:bCs/>
      <w:sz w:val="24"/>
      <w:szCs w:val="24"/>
    </w:rPr>
  </w:style>
  <w:style w:type="character" w:customStyle="1" w:styleId="134">
    <w:name w:val="WW8Num13z5"/>
    <w:qFormat/>
    <w:uiPriority w:val="0"/>
  </w:style>
  <w:style w:type="character" w:customStyle="1" w:styleId="135">
    <w:name w:val="WW8Num5z3"/>
    <w:qFormat/>
    <w:uiPriority w:val="0"/>
    <w:rPr>
      <w:rFonts w:ascii="Symbol" w:hAnsi="Symbol" w:cs="Symbol"/>
    </w:rPr>
  </w:style>
  <w:style w:type="character" w:customStyle="1" w:styleId="136">
    <w:name w:val="WW8Num4z5"/>
    <w:qFormat/>
    <w:uiPriority w:val="0"/>
  </w:style>
  <w:style w:type="character" w:customStyle="1" w:styleId="137">
    <w:name w:val="WW8Num4z7"/>
    <w:qFormat/>
    <w:uiPriority w:val="0"/>
  </w:style>
  <w:style w:type="character" w:customStyle="1" w:styleId="138">
    <w:name w:val="WW8Num6z2"/>
    <w:qFormat/>
    <w:uiPriority w:val="0"/>
    <w:rPr>
      <w:rFonts w:ascii="Wingdings" w:hAnsi="Wingdings" w:cs="Wingdings"/>
    </w:rPr>
  </w:style>
  <w:style w:type="character" w:customStyle="1" w:styleId="139">
    <w:name w:val="WW8Num8z0"/>
    <w:qFormat/>
    <w:uiPriority w:val="0"/>
    <w:rPr>
      <w:rFonts w:ascii="Arial" w:hAnsi="Arial" w:eastAsia="Arial" w:cs="Arial"/>
      <w:b/>
      <w:bCs/>
      <w:lang w:val="en-US"/>
    </w:rPr>
  </w:style>
  <w:style w:type="character" w:customStyle="1" w:styleId="140">
    <w:name w:val="WW8Num7z2"/>
    <w:qFormat/>
    <w:uiPriority w:val="0"/>
  </w:style>
  <w:style w:type="character" w:customStyle="1" w:styleId="141">
    <w:name w:val="WW8Num7z5"/>
    <w:qFormat/>
    <w:uiPriority w:val="0"/>
  </w:style>
  <w:style w:type="character" w:customStyle="1" w:styleId="142">
    <w:name w:val="WW8Num7z8"/>
    <w:qFormat/>
    <w:uiPriority w:val="0"/>
  </w:style>
  <w:style w:type="character" w:customStyle="1" w:styleId="143">
    <w:name w:val="WW-Default Paragraph Font"/>
    <w:qFormat/>
    <w:uiPriority w:val="0"/>
  </w:style>
  <w:style w:type="character" w:customStyle="1" w:styleId="144">
    <w:name w:val="Default Paragraph Font1"/>
    <w:qFormat/>
    <w:uiPriority w:val="0"/>
  </w:style>
  <w:style w:type="character" w:customStyle="1" w:styleId="145">
    <w:name w:val="WW8Num5z4"/>
    <w:qFormat/>
    <w:uiPriority w:val="0"/>
  </w:style>
  <w:style w:type="character" w:customStyle="1" w:styleId="146">
    <w:name w:val="Default Text:1 Char"/>
    <w:qFormat/>
    <w:uiPriority w:val="0"/>
    <w:rPr>
      <w:sz w:val="24"/>
      <w:lang w:val="en-US" w:bidi="ar-SA"/>
    </w:rPr>
  </w:style>
  <w:style w:type="character" w:customStyle="1" w:styleId="147">
    <w:name w:val="WW8Num5z5"/>
    <w:qFormat/>
    <w:uiPriority w:val="0"/>
  </w:style>
  <w:style w:type="character" w:customStyle="1" w:styleId="148">
    <w:name w:val="WW8Num9z6"/>
    <w:qFormat/>
    <w:uiPriority w:val="0"/>
  </w:style>
  <w:style w:type="character" w:customStyle="1" w:styleId="149">
    <w:name w:val="WW8Num9z7"/>
    <w:qFormat/>
    <w:uiPriority w:val="0"/>
  </w:style>
  <w:style w:type="character" w:customStyle="1" w:styleId="150">
    <w:name w:val="WW8Num32z2"/>
    <w:qFormat/>
    <w:uiPriority w:val="0"/>
    <w:rPr>
      <w:rFonts w:ascii="Wingdings" w:hAnsi="Wingdings" w:cs="Wingdings"/>
    </w:rPr>
  </w:style>
  <w:style w:type="character" w:customStyle="1" w:styleId="151">
    <w:name w:val="WW8Num11z2"/>
    <w:qFormat/>
    <w:uiPriority w:val="0"/>
    <w:rPr>
      <w:rFonts w:ascii="Wingdings" w:hAnsi="Wingdings" w:cs="Wingdings"/>
    </w:rPr>
  </w:style>
  <w:style w:type="character" w:customStyle="1" w:styleId="152">
    <w:name w:val="WW8Num29z3"/>
    <w:qFormat/>
    <w:uiPriority w:val="0"/>
    <w:rPr>
      <w:rFonts w:ascii="Symbol" w:hAnsi="Symbol" w:cs="Symbol"/>
    </w:rPr>
  </w:style>
  <w:style w:type="character" w:customStyle="1" w:styleId="153">
    <w:name w:val="WW8Num11z3"/>
    <w:qFormat/>
    <w:uiPriority w:val="0"/>
    <w:rPr>
      <w:rFonts w:ascii="Symbol" w:hAnsi="Symbol" w:cs="Symbol"/>
    </w:rPr>
  </w:style>
  <w:style w:type="character" w:customStyle="1" w:styleId="154">
    <w:name w:val="WW8Num30z1"/>
    <w:qFormat/>
    <w:uiPriority w:val="0"/>
    <w:rPr>
      <w:rFonts w:ascii="Courier New" w:hAnsi="Courier New" w:cs="Courier New"/>
    </w:rPr>
  </w:style>
  <w:style w:type="character" w:customStyle="1" w:styleId="155">
    <w:name w:val="WW8Num22z8"/>
    <w:qFormat/>
    <w:uiPriority w:val="0"/>
  </w:style>
  <w:style w:type="character" w:customStyle="1" w:styleId="156">
    <w:name w:val="WW8Num12z0"/>
    <w:qFormat/>
    <w:uiPriority w:val="0"/>
    <w:rPr>
      <w:rFonts w:ascii="Symbol" w:hAnsi="Symbol" w:cs="Symbol"/>
      <w:u w:val="none"/>
    </w:rPr>
  </w:style>
  <w:style w:type="character" w:customStyle="1" w:styleId="157">
    <w:name w:val="WW8Num26z2"/>
    <w:qFormat/>
    <w:uiPriority w:val="0"/>
    <w:rPr>
      <w:rFonts w:ascii="Wingdings" w:hAnsi="Wingdings" w:cs="Wingdings"/>
    </w:rPr>
  </w:style>
  <w:style w:type="character" w:customStyle="1" w:styleId="158">
    <w:name w:val="WW8Num22z4"/>
    <w:qFormat/>
    <w:uiPriority w:val="0"/>
  </w:style>
  <w:style w:type="character" w:customStyle="1" w:styleId="159">
    <w:name w:val="WW8Num12z3"/>
    <w:qFormat/>
    <w:uiPriority w:val="0"/>
    <w:rPr>
      <w:rFonts w:ascii="Symbol" w:hAnsi="Symbol" w:cs="Symbol"/>
    </w:rPr>
  </w:style>
  <w:style w:type="character" w:customStyle="1" w:styleId="160">
    <w:name w:val="WW8Num32z3"/>
    <w:qFormat/>
    <w:uiPriority w:val="0"/>
    <w:rPr>
      <w:rFonts w:ascii="Symbol" w:hAnsi="Symbol" w:cs="Symbol"/>
    </w:rPr>
  </w:style>
  <w:style w:type="character" w:customStyle="1" w:styleId="161">
    <w:name w:val="WW8Num22z0"/>
    <w:qFormat/>
    <w:uiPriority w:val="0"/>
    <w:rPr>
      <w:rFonts w:ascii="Times New Roman" w:hAnsi="Times New Roman" w:eastAsia="Times New Roman" w:cs="Times New Roman"/>
      <w:u w:val="none"/>
    </w:rPr>
  </w:style>
  <w:style w:type="character" w:customStyle="1" w:styleId="162">
    <w:name w:val="WW8Num13z0"/>
    <w:qFormat/>
    <w:uiPriority w:val="0"/>
    <w:rPr>
      <w:rFonts w:ascii="Wingdings" w:hAnsi="Wingdings" w:cs="Wingdings"/>
    </w:rPr>
  </w:style>
  <w:style w:type="character" w:customStyle="1" w:styleId="163">
    <w:name w:val="WW8Num13z2"/>
    <w:qFormat/>
    <w:uiPriority w:val="0"/>
  </w:style>
  <w:style w:type="character" w:customStyle="1" w:styleId="164">
    <w:name w:val="WW8Num31z0"/>
    <w:qFormat/>
    <w:uiPriority w:val="0"/>
    <w:rPr>
      <w:rFonts w:ascii="Wingdings" w:hAnsi="Wingdings" w:cs="Wingdings"/>
      <w:sz w:val="24"/>
    </w:rPr>
  </w:style>
  <w:style w:type="character" w:customStyle="1" w:styleId="165">
    <w:name w:val="WW8Num22z7"/>
    <w:qFormat/>
    <w:uiPriority w:val="0"/>
  </w:style>
  <w:style w:type="character" w:customStyle="1" w:styleId="166">
    <w:name w:val="WW8Num13z6"/>
    <w:qFormat/>
    <w:uiPriority w:val="0"/>
  </w:style>
  <w:style w:type="character" w:customStyle="1" w:styleId="167">
    <w:name w:val="WW8Num13z8"/>
    <w:qFormat/>
    <w:uiPriority w:val="0"/>
  </w:style>
  <w:style w:type="character" w:customStyle="1" w:styleId="168">
    <w:name w:val="WW8Num14z0"/>
    <w:qFormat/>
    <w:uiPriority w:val="0"/>
    <w:rPr>
      <w:rFonts w:ascii="Wingdings" w:hAnsi="Wingdings" w:cs="Wingdings"/>
      <w:sz w:val="24"/>
    </w:rPr>
  </w:style>
  <w:style w:type="character" w:customStyle="1" w:styleId="169">
    <w:name w:val="ListLabel 4"/>
    <w:qFormat/>
    <w:uiPriority w:val="0"/>
    <w:rPr>
      <w:rFonts w:cs="Courier New"/>
    </w:rPr>
  </w:style>
  <w:style w:type="character" w:customStyle="1" w:styleId="170">
    <w:name w:val="WW8Num16z2"/>
    <w:qFormat/>
    <w:uiPriority w:val="0"/>
    <w:rPr>
      <w:rFonts w:ascii="Wingdings" w:hAnsi="Wingdings" w:cs="Wingdings"/>
    </w:rPr>
  </w:style>
  <w:style w:type="character" w:customStyle="1" w:styleId="171">
    <w:name w:val="Footnote Characters"/>
    <w:qFormat/>
    <w:uiPriority w:val="0"/>
    <w:rPr>
      <w:vertAlign w:val="superscript"/>
    </w:rPr>
  </w:style>
  <w:style w:type="character" w:customStyle="1" w:styleId="172">
    <w:name w:val="WW8Num24z3"/>
    <w:qFormat/>
    <w:uiPriority w:val="0"/>
    <w:rPr>
      <w:rFonts w:ascii="Symbol" w:hAnsi="Symbol" w:cs="Symbol"/>
    </w:rPr>
  </w:style>
  <w:style w:type="character" w:customStyle="1" w:styleId="173">
    <w:name w:val="WW8Num16z3"/>
    <w:qFormat/>
    <w:uiPriority w:val="0"/>
    <w:rPr>
      <w:rFonts w:ascii="Symbol" w:hAnsi="Symbol" w:cs="Symbol"/>
    </w:rPr>
  </w:style>
  <w:style w:type="character" w:customStyle="1" w:styleId="174">
    <w:name w:val="WW8Num25z1"/>
    <w:qFormat/>
    <w:uiPriority w:val="0"/>
    <w:rPr>
      <w:rFonts w:ascii="Courier New" w:hAnsi="Courier New" w:cs="Courier New"/>
    </w:rPr>
  </w:style>
  <w:style w:type="character" w:customStyle="1" w:styleId="175">
    <w:name w:val="WW8Num19z2"/>
    <w:qFormat/>
    <w:uiPriority w:val="0"/>
    <w:rPr>
      <w:rFonts w:ascii="Wingdings" w:hAnsi="Wingdings" w:cs="Wingdings"/>
    </w:rPr>
  </w:style>
  <w:style w:type="character" w:customStyle="1" w:styleId="176">
    <w:name w:val="WW8Num17z0"/>
    <w:qFormat/>
    <w:uiPriority w:val="0"/>
    <w:rPr>
      <w:rFonts w:ascii="Times New Roman" w:hAnsi="Times New Roman" w:eastAsia="Times New Roman" w:cs="Times New Roman"/>
    </w:rPr>
  </w:style>
  <w:style w:type="character" w:customStyle="1" w:styleId="177">
    <w:name w:val="panchor1"/>
    <w:qFormat/>
    <w:uiPriority w:val="0"/>
    <w:rPr>
      <w:rFonts w:ascii="Courier New" w:hAnsi="Courier New" w:cs="Courier New"/>
      <w:color w:val="0000FF"/>
      <w:sz w:val="22"/>
      <w:szCs w:val="22"/>
      <w:u w:val="single"/>
    </w:rPr>
  </w:style>
  <w:style w:type="character" w:customStyle="1" w:styleId="178">
    <w:name w:val="WW8Num20z5"/>
    <w:qFormat/>
    <w:uiPriority w:val="0"/>
  </w:style>
  <w:style w:type="character" w:customStyle="1" w:styleId="179">
    <w:name w:val="WW8Num17z1"/>
    <w:qFormat/>
    <w:uiPriority w:val="0"/>
    <w:rPr>
      <w:rFonts w:ascii="Courier New" w:hAnsi="Courier New" w:cs="Courier New"/>
    </w:rPr>
  </w:style>
  <w:style w:type="character" w:customStyle="1" w:styleId="180">
    <w:name w:val="WW8Num20z1"/>
    <w:qFormat/>
    <w:uiPriority w:val="0"/>
  </w:style>
  <w:style w:type="character" w:customStyle="1" w:styleId="181">
    <w:name w:val="WW8Num17z2"/>
    <w:qFormat/>
    <w:uiPriority w:val="0"/>
    <w:rPr>
      <w:rFonts w:ascii="Wingdings" w:hAnsi="Wingdings" w:cs="Wingdings"/>
    </w:rPr>
  </w:style>
  <w:style w:type="character" w:customStyle="1" w:styleId="182">
    <w:name w:val="WW8Num18z0"/>
    <w:qFormat/>
    <w:uiPriority w:val="0"/>
    <w:rPr>
      <w:rFonts w:ascii="Arial" w:hAnsi="Arial" w:eastAsia="Times New Roman" w:cs="Arial"/>
    </w:rPr>
  </w:style>
  <w:style w:type="character" w:customStyle="1" w:styleId="183">
    <w:name w:val="WW8Num20z7"/>
    <w:qFormat/>
    <w:uiPriority w:val="0"/>
  </w:style>
  <w:style w:type="character" w:customStyle="1" w:styleId="184">
    <w:name w:val="WW8Num18z1"/>
    <w:qFormat/>
    <w:uiPriority w:val="0"/>
    <w:rPr>
      <w:rFonts w:ascii="Courier New" w:hAnsi="Courier New" w:cs="Courier New"/>
    </w:rPr>
  </w:style>
  <w:style w:type="character" w:customStyle="1" w:styleId="185">
    <w:name w:val="WW8Num24z1"/>
    <w:qFormat/>
    <w:uiPriority w:val="0"/>
    <w:rPr>
      <w:rFonts w:ascii="Courier New" w:hAnsi="Courier New" w:cs="Courier New"/>
    </w:rPr>
  </w:style>
  <w:style w:type="character" w:customStyle="1" w:styleId="186">
    <w:name w:val="WW8Num18z2"/>
    <w:qFormat/>
    <w:uiPriority w:val="0"/>
    <w:rPr>
      <w:rFonts w:ascii="Wingdings" w:hAnsi="Wingdings" w:cs="Wingdings"/>
    </w:rPr>
  </w:style>
  <w:style w:type="character" w:customStyle="1" w:styleId="187">
    <w:name w:val="WW8Num21z1"/>
    <w:qFormat/>
    <w:uiPriority w:val="0"/>
    <w:rPr>
      <w:rFonts w:ascii="Courier New" w:hAnsi="Courier New" w:cs="Courier New"/>
    </w:rPr>
  </w:style>
  <w:style w:type="character" w:customStyle="1" w:styleId="188">
    <w:name w:val="WW8Num18z3"/>
    <w:qFormat/>
    <w:uiPriority w:val="0"/>
    <w:rPr>
      <w:rFonts w:ascii="Symbol" w:hAnsi="Symbol" w:cs="Symbol"/>
    </w:rPr>
  </w:style>
  <w:style w:type="character" w:customStyle="1" w:styleId="189">
    <w:name w:val="WW8Num19z0"/>
    <w:qFormat/>
    <w:uiPriority w:val="0"/>
    <w:rPr>
      <w:rFonts w:ascii="Times New Roman" w:hAnsi="Times New Roman" w:eastAsia="Times New Roman" w:cs="Times New Roman"/>
    </w:rPr>
  </w:style>
  <w:style w:type="character" w:customStyle="1" w:styleId="190">
    <w:name w:val="WW8Num23z8"/>
    <w:qFormat/>
    <w:uiPriority w:val="0"/>
  </w:style>
  <w:style w:type="character" w:customStyle="1" w:styleId="191">
    <w:name w:val="WW8Num20z8"/>
    <w:qFormat/>
    <w:uiPriority w:val="0"/>
  </w:style>
  <w:style w:type="character" w:customStyle="1" w:styleId="192">
    <w:name w:val="WW8Num21z0"/>
    <w:qFormat/>
    <w:uiPriority w:val="0"/>
    <w:rPr>
      <w:rFonts w:ascii="Times New Roman" w:hAnsi="Times New Roman" w:eastAsia="Times New Roman" w:cs="Times New Roman"/>
    </w:rPr>
  </w:style>
  <w:style w:type="character" w:customStyle="1" w:styleId="193">
    <w:name w:val="WW8Num32z0"/>
    <w:qFormat/>
    <w:uiPriority w:val="0"/>
    <w:rPr>
      <w:rFonts w:ascii="Times New Roman" w:hAnsi="Times New Roman" w:eastAsia="Times New Roman" w:cs="Times New Roman"/>
      <w:u w:val="none"/>
    </w:rPr>
  </w:style>
  <w:style w:type="character" w:customStyle="1" w:styleId="194">
    <w:name w:val="WW8Num21z2"/>
    <w:qFormat/>
    <w:uiPriority w:val="0"/>
    <w:rPr>
      <w:rFonts w:ascii="Wingdings" w:hAnsi="Wingdings" w:cs="Wingdings"/>
    </w:rPr>
  </w:style>
  <w:style w:type="character" w:customStyle="1" w:styleId="195">
    <w:name w:val="WW8Num26z1"/>
    <w:qFormat/>
    <w:uiPriority w:val="0"/>
    <w:rPr>
      <w:rFonts w:ascii="Courier New" w:hAnsi="Courier New" w:cs="Courier New"/>
    </w:rPr>
  </w:style>
  <w:style w:type="character" w:customStyle="1" w:styleId="196">
    <w:name w:val="WW8Num21z3"/>
    <w:qFormat/>
    <w:uiPriority w:val="0"/>
    <w:rPr>
      <w:rFonts w:ascii="Symbol" w:hAnsi="Symbol" w:cs="Symbol"/>
    </w:rPr>
  </w:style>
  <w:style w:type="character" w:customStyle="1" w:styleId="197">
    <w:name w:val="WW8Num28z3"/>
    <w:qFormat/>
    <w:uiPriority w:val="0"/>
    <w:rPr>
      <w:rFonts w:ascii="Symbol" w:hAnsi="Symbol" w:cs="Symbol"/>
    </w:rPr>
  </w:style>
  <w:style w:type="character" w:customStyle="1" w:styleId="198">
    <w:name w:val="WW8Num22z1"/>
    <w:qFormat/>
    <w:uiPriority w:val="0"/>
  </w:style>
  <w:style w:type="character" w:customStyle="1" w:styleId="199">
    <w:name w:val="WW8Num26z0"/>
    <w:qFormat/>
    <w:uiPriority w:val="0"/>
    <w:rPr>
      <w:rFonts w:ascii="Arial" w:hAnsi="Arial" w:eastAsia="Times New Roman" w:cs="Arial"/>
    </w:rPr>
  </w:style>
  <w:style w:type="character" w:customStyle="1" w:styleId="200">
    <w:name w:val="WW8Num23z1"/>
    <w:qFormat/>
    <w:uiPriority w:val="0"/>
  </w:style>
  <w:style w:type="character" w:customStyle="1" w:styleId="201">
    <w:name w:val="WW8Num23z2"/>
    <w:qFormat/>
    <w:uiPriority w:val="0"/>
  </w:style>
  <w:style w:type="character" w:customStyle="1" w:styleId="202">
    <w:name w:val="WW8Num25z3"/>
    <w:qFormat/>
    <w:uiPriority w:val="0"/>
    <w:rPr>
      <w:rFonts w:ascii="Symbol" w:hAnsi="Symbol" w:cs="Symbol"/>
    </w:rPr>
  </w:style>
  <w:style w:type="character" w:customStyle="1" w:styleId="203">
    <w:name w:val="WW8Num23z3"/>
    <w:qFormat/>
    <w:uiPriority w:val="0"/>
  </w:style>
  <w:style w:type="character" w:customStyle="1" w:styleId="204">
    <w:name w:val="WW8Num25z0"/>
    <w:qFormat/>
    <w:uiPriority w:val="0"/>
    <w:rPr>
      <w:rFonts w:ascii="Times New Roman" w:hAnsi="Times New Roman" w:eastAsia="Times New Roman" w:cs="Times New Roman"/>
      <w:u w:val="none"/>
    </w:rPr>
  </w:style>
  <w:style w:type="character" w:customStyle="1" w:styleId="205">
    <w:name w:val="WW8Num23z5"/>
    <w:qFormat/>
    <w:uiPriority w:val="0"/>
  </w:style>
  <w:style w:type="character" w:customStyle="1" w:styleId="206">
    <w:name w:val="WW8Num30z3"/>
    <w:qFormat/>
    <w:uiPriority w:val="0"/>
    <w:rPr>
      <w:rFonts w:ascii="Symbol" w:hAnsi="Symbol" w:cs="Symbol"/>
    </w:rPr>
  </w:style>
  <w:style w:type="character" w:customStyle="1" w:styleId="207">
    <w:name w:val="WW8Num23z6"/>
    <w:qFormat/>
    <w:uiPriority w:val="0"/>
  </w:style>
  <w:style w:type="character" w:customStyle="1" w:styleId="208">
    <w:name w:val="WW8Num23z7"/>
    <w:qFormat/>
    <w:uiPriority w:val="0"/>
  </w:style>
  <w:style w:type="character" w:customStyle="1" w:styleId="209">
    <w:name w:val="WW8Num24z2"/>
    <w:qFormat/>
    <w:uiPriority w:val="0"/>
    <w:rPr>
      <w:rFonts w:ascii="Wingdings" w:hAnsi="Wingdings" w:cs="Wingdings"/>
    </w:rPr>
  </w:style>
  <w:style w:type="character" w:customStyle="1" w:styleId="210">
    <w:name w:val="WW8Num25z2"/>
    <w:qFormat/>
    <w:uiPriority w:val="0"/>
    <w:rPr>
      <w:rFonts w:ascii="Wingdings" w:hAnsi="Wingdings" w:cs="Wingdings"/>
    </w:rPr>
  </w:style>
  <w:style w:type="character" w:customStyle="1" w:styleId="211">
    <w:name w:val="WW8Num27z1"/>
    <w:qFormat/>
    <w:uiPriority w:val="0"/>
    <w:rPr>
      <w:rFonts w:ascii="Courier New" w:hAnsi="Courier New" w:cs="Courier New"/>
    </w:rPr>
  </w:style>
  <w:style w:type="character" w:customStyle="1" w:styleId="212">
    <w:name w:val="WW8Num27z2"/>
    <w:qFormat/>
    <w:uiPriority w:val="0"/>
    <w:rPr>
      <w:rFonts w:ascii="Wingdings" w:hAnsi="Wingdings" w:cs="Wingdings"/>
    </w:rPr>
  </w:style>
  <w:style w:type="character" w:customStyle="1" w:styleId="213">
    <w:name w:val="WW8Num27z3"/>
    <w:qFormat/>
    <w:uiPriority w:val="0"/>
    <w:rPr>
      <w:rFonts w:ascii="Symbol" w:hAnsi="Symbol" w:cs="Symbol"/>
    </w:rPr>
  </w:style>
  <w:style w:type="character" w:customStyle="1" w:styleId="214">
    <w:name w:val="WW8Num28z0"/>
    <w:qFormat/>
    <w:uiPriority w:val="0"/>
    <w:rPr>
      <w:rFonts w:ascii="Times New Roman" w:hAnsi="Times New Roman" w:eastAsia="Times New Roman" w:cs="Times New Roman"/>
    </w:rPr>
  </w:style>
  <w:style w:type="character" w:customStyle="1" w:styleId="215">
    <w:name w:val="WW8Num28z1"/>
    <w:qFormat/>
    <w:uiPriority w:val="0"/>
    <w:rPr>
      <w:rFonts w:ascii="Courier New" w:hAnsi="Courier New" w:cs="Courier New"/>
    </w:rPr>
  </w:style>
  <w:style w:type="character" w:customStyle="1" w:styleId="216">
    <w:name w:val="WW8Num28z2"/>
    <w:qFormat/>
    <w:uiPriority w:val="0"/>
    <w:rPr>
      <w:rFonts w:ascii="Wingdings" w:hAnsi="Wingdings" w:cs="Wingdings"/>
    </w:rPr>
  </w:style>
  <w:style w:type="character" w:customStyle="1" w:styleId="217">
    <w:name w:val="WW8Num29z0"/>
    <w:qFormat/>
    <w:uiPriority w:val="0"/>
    <w:rPr>
      <w:rFonts w:ascii="Arial" w:hAnsi="Arial" w:eastAsia="Times New Roman" w:cs="Arial"/>
    </w:rPr>
  </w:style>
  <w:style w:type="character" w:customStyle="1" w:styleId="218">
    <w:name w:val="WW8Num30z2"/>
    <w:qFormat/>
    <w:uiPriority w:val="0"/>
    <w:rPr>
      <w:rFonts w:ascii="Wingdings" w:hAnsi="Wingdings" w:cs="Wingdings"/>
    </w:rPr>
  </w:style>
  <w:style w:type="character" w:customStyle="1" w:styleId="219">
    <w:name w:val="WW8Num32z1"/>
    <w:qFormat/>
    <w:uiPriority w:val="0"/>
    <w:rPr>
      <w:rFonts w:ascii="Courier New" w:hAnsi="Courier New" w:cs="Courier New"/>
    </w:rPr>
  </w:style>
  <w:style w:type="character" w:customStyle="1" w:styleId="220">
    <w:name w:val="ListLabel 3"/>
    <w:qFormat/>
    <w:uiPriority w:val="0"/>
    <w:rPr>
      <w:rFonts w:eastAsia="Calibri" w:cs="Tahoma"/>
    </w:rPr>
  </w:style>
  <w:style w:type="paragraph" w:customStyle="1" w:styleId="221">
    <w:name w:val="Titlu de tabel"/>
    <w:basedOn w:val="222"/>
    <w:qFormat/>
    <w:uiPriority w:val="0"/>
    <w:pPr>
      <w:jc w:val="center"/>
    </w:pPr>
    <w:rPr>
      <w:b/>
      <w:bCs/>
    </w:rPr>
  </w:style>
  <w:style w:type="paragraph" w:customStyle="1" w:styleId="222">
    <w:name w:val="Conținut tabel"/>
    <w:basedOn w:val="1"/>
    <w:qFormat/>
    <w:uiPriority w:val="0"/>
    <w:pPr>
      <w:suppressLineNumbers/>
    </w:pPr>
  </w:style>
  <w:style w:type="paragraph" w:customStyle="1" w:styleId="223">
    <w:name w:val="Heading"/>
    <w:basedOn w:val="1"/>
    <w:next w:val="10"/>
    <w:qFormat/>
    <w:uiPriority w:val="0"/>
    <w:pPr>
      <w:keepNext/>
      <w:spacing w:before="240" w:after="120"/>
    </w:pPr>
    <w:rPr>
      <w:rFonts w:ascii="Liberation Sans" w:hAnsi="Liberation Sans" w:eastAsia="Microsoft YaHei" w:cs="Mangal"/>
      <w:sz w:val="28"/>
      <w:szCs w:val="28"/>
    </w:rPr>
  </w:style>
  <w:style w:type="paragraph" w:customStyle="1" w:styleId="224">
    <w:name w:val="Frame Contents"/>
    <w:basedOn w:val="1"/>
    <w:qFormat/>
    <w:uiPriority w:val="0"/>
  </w:style>
  <w:style w:type="paragraph" w:customStyle="1" w:styleId="225">
    <w:name w:val="Caracter Caracter Char Char Caracter Caracter Char Char Caracter Caracter Caracter Caracter Caracter Char Char Caracter Caracter"/>
    <w:basedOn w:val="1"/>
    <w:qFormat/>
    <w:uiPriority w:val="0"/>
    <w:pPr>
      <w:tabs>
        <w:tab w:val="left" w:pos="709"/>
      </w:tabs>
    </w:pPr>
    <w:rPr>
      <w:rFonts w:ascii="Tahoma" w:hAnsi="Tahoma" w:cs="Tahoma"/>
      <w:lang w:val="pl-PL"/>
    </w:rPr>
  </w:style>
  <w:style w:type="paragraph" w:customStyle="1" w:styleId="226">
    <w:name w:val="Index"/>
    <w:basedOn w:val="1"/>
    <w:qFormat/>
    <w:uiPriority w:val="0"/>
    <w:pPr>
      <w:suppressLineNumbers/>
    </w:pPr>
    <w:rPr>
      <w:rFonts w:cs="Mangal"/>
    </w:rPr>
  </w:style>
  <w:style w:type="paragraph" w:customStyle="1" w:styleId="227">
    <w:name w:val="Body"/>
    <w:qFormat/>
    <w:uiPriority w:val="0"/>
    <w:pPr>
      <w:widowControl w:val="0"/>
    </w:pPr>
    <w:rPr>
      <w:rFonts w:ascii="Calibri" w:hAnsi="Calibri" w:eastAsia="Calibri" w:cs="Calibri"/>
      <w:color w:val="000000"/>
      <w:sz w:val="22"/>
      <w:szCs w:val="22"/>
      <w:u w:color="000000"/>
      <w:lang w:val="en-US" w:eastAsia="en-US" w:bidi="ar-SA"/>
    </w:rPr>
  </w:style>
  <w:style w:type="paragraph" w:customStyle="1" w:styleId="228">
    <w:name w:val="Balloon Text1"/>
    <w:basedOn w:val="1"/>
    <w:qFormat/>
    <w:uiPriority w:val="0"/>
    <w:rPr>
      <w:rFonts w:ascii="Tahoma" w:hAnsi="Tahoma" w:cs="Tahoma"/>
      <w:sz w:val="16"/>
      <w:szCs w:val="16"/>
    </w:rPr>
  </w:style>
  <w:style w:type="paragraph" w:customStyle="1" w:styleId="229">
    <w:name w:val="Body Text 31"/>
    <w:basedOn w:val="1"/>
    <w:qFormat/>
    <w:uiPriority w:val="0"/>
    <w:pPr>
      <w:jc w:val="both"/>
    </w:pPr>
    <w:rPr>
      <w:sz w:val="28"/>
      <w:szCs w:val="20"/>
    </w:rPr>
  </w:style>
  <w:style w:type="paragraph" w:customStyle="1" w:styleId="230">
    <w:name w:val="Stil titlu"/>
    <w:basedOn w:val="1"/>
    <w:next w:val="10"/>
    <w:qFormat/>
    <w:uiPriority w:val="0"/>
    <w:pPr>
      <w:keepNext/>
      <w:spacing w:before="240" w:after="120"/>
    </w:pPr>
    <w:rPr>
      <w:rFonts w:ascii="Liberation Sans" w:hAnsi="Liberation Sans" w:eastAsia="Microsoft YaHei" w:cs="Mangal"/>
      <w:sz w:val="28"/>
      <w:szCs w:val="28"/>
    </w:rPr>
  </w:style>
  <w:style w:type="paragraph" w:customStyle="1" w:styleId="231">
    <w:name w:val="Default"/>
    <w:qFormat/>
    <w:uiPriority w:val="0"/>
    <w:pPr>
      <w:suppressAutoHyphens/>
    </w:pPr>
    <w:rPr>
      <w:rFonts w:ascii="Liberation Serif" w:hAnsi="Liberation Serif" w:eastAsia="SimSun" w:cs="Liberation Serif"/>
      <w:color w:val="000000"/>
      <w:sz w:val="24"/>
      <w:szCs w:val="24"/>
      <w:lang w:val="ro-RO" w:eastAsia="zh-CN" w:bidi="hi-IN"/>
    </w:rPr>
  </w:style>
  <w:style w:type="paragraph" w:customStyle="1" w:styleId="232">
    <w:name w:val="Caracter Caracter"/>
    <w:basedOn w:val="1"/>
    <w:qFormat/>
    <w:uiPriority w:val="0"/>
    <w:rPr>
      <w:lang w:val="pl-PL"/>
    </w:rPr>
  </w:style>
  <w:style w:type="paragraph" w:customStyle="1" w:styleId="233">
    <w:name w:val="CM16"/>
    <w:basedOn w:val="1"/>
    <w:next w:val="1"/>
    <w:qFormat/>
    <w:uiPriority w:val="99"/>
    <w:pPr>
      <w:widowControl w:val="0"/>
      <w:suppressAutoHyphens w:val="0"/>
      <w:spacing w:after="128"/>
    </w:pPr>
    <w:rPr>
      <w:szCs w:val="20"/>
      <w:lang w:val="en-US" w:eastAsia="en-US"/>
    </w:rPr>
  </w:style>
  <w:style w:type="paragraph" w:customStyle="1" w:styleId="234">
    <w:name w:val="Table Text"/>
    <w:basedOn w:val="1"/>
    <w:qFormat/>
    <w:uiPriority w:val="0"/>
    <w:pPr>
      <w:tabs>
        <w:tab w:val="decimal" w:pos="0"/>
      </w:tabs>
    </w:pPr>
    <w:rPr>
      <w:szCs w:val="20"/>
      <w:lang w:val="en-US"/>
    </w:rPr>
  </w:style>
  <w:style w:type="paragraph" w:customStyle="1" w:styleId="235">
    <w:name w:val="Legendă1"/>
    <w:basedOn w:val="1"/>
    <w:qFormat/>
    <w:uiPriority w:val="0"/>
    <w:pPr>
      <w:suppressLineNumbers/>
      <w:spacing w:before="120" w:after="120"/>
    </w:pPr>
    <w:rPr>
      <w:rFonts w:ascii="Arial" w:hAnsi="Arial" w:cs="Mangal"/>
      <w:i/>
      <w:iCs/>
    </w:rPr>
  </w:style>
  <w:style w:type="paragraph" w:customStyle="1" w:styleId="236">
    <w:name w:val="Default Text:1:1"/>
    <w:basedOn w:val="1"/>
    <w:qFormat/>
    <w:uiPriority w:val="0"/>
    <w:pPr>
      <w:autoSpaceDE w:val="0"/>
    </w:pPr>
    <w:rPr>
      <w:lang w:val="en-US"/>
    </w:rPr>
  </w:style>
  <w:style w:type="paragraph" w:styleId="237">
    <w:name w:val="List Paragraph"/>
    <w:basedOn w:val="1"/>
    <w:link w:val="247"/>
    <w:qFormat/>
    <w:uiPriority w:val="34"/>
    <w:pPr>
      <w:ind w:left="708"/>
    </w:pPr>
  </w:style>
  <w:style w:type="paragraph" w:customStyle="1" w:styleId="238">
    <w:name w:val="Body Text 21"/>
    <w:basedOn w:val="1"/>
    <w:qFormat/>
    <w:uiPriority w:val="0"/>
    <w:rPr>
      <w:sz w:val="28"/>
      <w:szCs w:val="20"/>
    </w:rPr>
  </w:style>
  <w:style w:type="paragraph" w:customStyle="1" w:styleId="239">
    <w:name w:val="Default Text:1"/>
    <w:basedOn w:val="1"/>
    <w:qFormat/>
    <w:uiPriority w:val="0"/>
    <w:rPr>
      <w:szCs w:val="20"/>
      <w:lang w:val="en-US"/>
    </w:rPr>
  </w:style>
  <w:style w:type="paragraph" w:customStyle="1" w:styleId="240">
    <w:name w:val="WW-Caption"/>
    <w:basedOn w:val="1"/>
    <w:qFormat/>
    <w:uiPriority w:val="0"/>
    <w:pPr>
      <w:suppressLineNumbers/>
      <w:spacing w:before="120" w:after="120"/>
    </w:pPr>
    <w:rPr>
      <w:rFonts w:cs="Mangal"/>
      <w:i/>
      <w:iCs/>
    </w:rPr>
  </w:style>
  <w:style w:type="paragraph" w:customStyle="1" w:styleId="241">
    <w:name w:val="Table Contents"/>
    <w:basedOn w:val="1"/>
    <w:qFormat/>
    <w:uiPriority w:val="0"/>
    <w:pPr>
      <w:suppressLineNumbers/>
    </w:pPr>
  </w:style>
  <w:style w:type="paragraph" w:customStyle="1" w:styleId="242">
    <w:name w:val="Caracter Caracter1"/>
    <w:basedOn w:val="1"/>
    <w:qFormat/>
    <w:uiPriority w:val="0"/>
    <w:rPr>
      <w:lang w:val="pl-PL"/>
    </w:rPr>
  </w:style>
  <w:style w:type="paragraph" w:customStyle="1" w:styleId="243">
    <w:name w:val="Default Text"/>
    <w:basedOn w:val="1"/>
    <w:qFormat/>
    <w:uiPriority w:val="0"/>
    <w:pPr>
      <w:autoSpaceDE w:val="0"/>
    </w:pPr>
    <w:rPr>
      <w:lang w:val="en-US"/>
    </w:rPr>
  </w:style>
  <w:style w:type="paragraph" w:customStyle="1" w:styleId="244">
    <w:name w:val="Conținut cadru"/>
    <w:basedOn w:val="1"/>
    <w:qFormat/>
    <w:uiPriority w:val="0"/>
  </w:style>
  <w:style w:type="paragraph" w:customStyle="1" w:styleId="245">
    <w:name w:val="List Paragraph1"/>
    <w:basedOn w:val="1"/>
    <w:qFormat/>
    <w:uiPriority w:val="0"/>
    <w:pPr>
      <w:ind w:left="708"/>
    </w:pPr>
  </w:style>
  <w:style w:type="character" w:customStyle="1" w:styleId="246">
    <w:name w:val="Balloon Text Char"/>
    <w:link w:val="9"/>
    <w:semiHidden/>
    <w:qFormat/>
    <w:uiPriority w:val="99"/>
    <w:rPr>
      <w:rFonts w:ascii="Segoe UI" w:hAnsi="Segoe UI" w:cs="Segoe UI"/>
      <w:sz w:val="18"/>
      <w:szCs w:val="18"/>
      <w:lang w:val="en-GB" w:eastAsia="zh-CN"/>
    </w:rPr>
  </w:style>
  <w:style w:type="character" w:customStyle="1" w:styleId="247">
    <w:name w:val="List Paragraph Char"/>
    <w:link w:val="237"/>
    <w:qFormat/>
    <w:uiPriority w:val="34"/>
    <w:rPr>
      <w:sz w:val="24"/>
      <w:szCs w:val="24"/>
      <w:lang w:val="en-GB" w:eastAsia="zh-CN"/>
    </w:rPr>
  </w:style>
  <w:style w:type="character" w:customStyle="1" w:styleId="248">
    <w:name w:val="Footnote Text Char"/>
    <w:link w:val="15"/>
    <w:qFormat/>
    <w:uiPriority w:val="99"/>
    <w:rPr>
      <w:lang w:val="en-GB" w:eastAsia="zh-CN"/>
    </w:rPr>
  </w:style>
  <w:style w:type="paragraph" w:customStyle="1" w:styleId="249">
    <w:name w:val="Style3"/>
    <w:basedOn w:val="1"/>
    <w:qFormat/>
    <w:uiPriority w:val="99"/>
    <w:pPr>
      <w:widowControl w:val="0"/>
      <w:suppressAutoHyphens w:val="0"/>
      <w:autoSpaceDE w:val="0"/>
      <w:autoSpaceDN w:val="0"/>
      <w:adjustRightInd w:val="0"/>
      <w:spacing w:line="320" w:lineRule="exact"/>
      <w:jc w:val="both"/>
    </w:pPr>
    <w:rPr>
      <w:lang w:val="ro-RO" w:eastAsia="ro-RO"/>
    </w:rPr>
  </w:style>
  <w:style w:type="paragraph" w:customStyle="1" w:styleId="250">
    <w:name w:val="Style9"/>
    <w:basedOn w:val="1"/>
    <w:qFormat/>
    <w:uiPriority w:val="99"/>
    <w:pPr>
      <w:widowControl w:val="0"/>
      <w:suppressAutoHyphens w:val="0"/>
      <w:autoSpaceDE w:val="0"/>
      <w:autoSpaceDN w:val="0"/>
      <w:adjustRightInd w:val="0"/>
      <w:spacing w:line="318" w:lineRule="exact"/>
      <w:jc w:val="both"/>
    </w:pPr>
    <w:rPr>
      <w:lang w:val="ro-RO" w:eastAsia="ro-RO"/>
    </w:rPr>
  </w:style>
  <w:style w:type="paragraph" w:customStyle="1" w:styleId="251">
    <w:name w:val="Style26"/>
    <w:basedOn w:val="1"/>
    <w:qFormat/>
    <w:uiPriority w:val="99"/>
    <w:pPr>
      <w:widowControl w:val="0"/>
      <w:suppressAutoHyphens w:val="0"/>
      <w:autoSpaceDE w:val="0"/>
      <w:autoSpaceDN w:val="0"/>
      <w:adjustRightInd w:val="0"/>
      <w:spacing w:line="317" w:lineRule="exact"/>
    </w:pPr>
    <w:rPr>
      <w:lang w:val="ro-RO" w:eastAsia="ro-RO"/>
    </w:rPr>
  </w:style>
  <w:style w:type="character" w:customStyle="1" w:styleId="252">
    <w:name w:val="Font Style37"/>
    <w:qFormat/>
    <w:uiPriority w:val="99"/>
    <w:rPr>
      <w:rFonts w:ascii="Times New Roman" w:hAnsi="Times New Roman"/>
      <w:b/>
      <w:sz w:val="26"/>
    </w:rPr>
  </w:style>
  <w:style w:type="character" w:customStyle="1" w:styleId="253">
    <w:name w:val="Font Style38"/>
    <w:qFormat/>
    <w:uiPriority w:val="99"/>
    <w:rPr>
      <w:rFonts w:ascii="Times New Roman" w:hAnsi="Times New Roman"/>
      <w:sz w:val="26"/>
    </w:rPr>
  </w:style>
  <w:style w:type="paragraph" w:customStyle="1" w:styleId="254">
    <w:name w:val="Style4"/>
    <w:basedOn w:val="1"/>
    <w:qFormat/>
    <w:uiPriority w:val="99"/>
    <w:pPr>
      <w:widowControl w:val="0"/>
      <w:suppressAutoHyphens w:val="0"/>
      <w:autoSpaceDE w:val="0"/>
      <w:autoSpaceDN w:val="0"/>
      <w:adjustRightInd w:val="0"/>
      <w:spacing w:line="324" w:lineRule="exact"/>
      <w:jc w:val="center"/>
    </w:pPr>
    <w:rPr>
      <w:lang w:val="ro-RO" w:eastAsia="ro-RO"/>
    </w:rPr>
  </w:style>
  <w:style w:type="paragraph" w:customStyle="1" w:styleId="255">
    <w:name w:val="Style5"/>
    <w:basedOn w:val="1"/>
    <w:qFormat/>
    <w:uiPriority w:val="99"/>
    <w:pPr>
      <w:widowControl w:val="0"/>
      <w:suppressAutoHyphens w:val="0"/>
      <w:autoSpaceDE w:val="0"/>
      <w:autoSpaceDN w:val="0"/>
      <w:adjustRightInd w:val="0"/>
    </w:pPr>
    <w:rPr>
      <w:lang w:val="ro-RO" w:eastAsia="ro-RO"/>
    </w:rPr>
  </w:style>
  <w:style w:type="character" w:customStyle="1" w:styleId="256">
    <w:name w:val="Font Style45"/>
    <w:qFormat/>
    <w:uiPriority w:val="99"/>
    <w:rPr>
      <w:rFonts w:ascii="Times New Roman" w:hAnsi="Times New Roman"/>
      <w:sz w:val="20"/>
    </w:rPr>
  </w:style>
  <w:style w:type="character" w:customStyle="1" w:styleId="257">
    <w:name w:val="Header Char"/>
    <w:link w:val="16"/>
    <w:qFormat/>
    <w:locked/>
    <w:uiPriority w:val="99"/>
    <w:rPr>
      <w:sz w:val="24"/>
      <w:szCs w:val="24"/>
      <w:lang w:val="en-GB" w:eastAsia="zh-CN"/>
    </w:rPr>
  </w:style>
  <w:style w:type="character" w:customStyle="1" w:styleId="258">
    <w:name w:val="apple-converted-space"/>
    <w:basedOn w:val="20"/>
    <w:qFormat/>
    <w:uiPriority w:val="0"/>
  </w:style>
  <w:style w:type="character" w:customStyle="1" w:styleId="259">
    <w:name w:val="Heading #1_"/>
    <w:basedOn w:val="20"/>
    <w:link w:val="260"/>
    <w:qFormat/>
    <w:uiPriority w:val="0"/>
    <w:rPr>
      <w:rFonts w:ascii="Arial" w:hAnsi="Arial" w:eastAsia="Arial" w:cs="Arial"/>
      <w:b/>
      <w:bCs/>
      <w:shd w:val="clear" w:color="auto" w:fill="FFFFFF"/>
    </w:rPr>
  </w:style>
  <w:style w:type="paragraph" w:customStyle="1" w:styleId="260">
    <w:name w:val="Heading #1"/>
    <w:basedOn w:val="1"/>
    <w:link w:val="259"/>
    <w:qFormat/>
    <w:uiPriority w:val="0"/>
    <w:pPr>
      <w:widowControl w:val="0"/>
      <w:shd w:val="clear" w:color="auto" w:fill="FFFFFF"/>
      <w:suppressAutoHyphens w:val="0"/>
      <w:spacing w:after="250"/>
      <w:outlineLvl w:val="0"/>
    </w:pPr>
    <w:rPr>
      <w:rFonts w:ascii="Arial" w:hAnsi="Arial" w:eastAsia="Arial" w:cs="Arial"/>
      <w:b/>
      <w:bCs/>
      <w:sz w:val="20"/>
      <w:szCs w:val="20"/>
      <w:lang w:val="en-US" w:eastAsia="en-US"/>
    </w:rPr>
  </w:style>
  <w:style w:type="paragraph" w:customStyle="1" w:styleId="261">
    <w:name w:val="a_l"/>
    <w:basedOn w:val="1"/>
    <w:qFormat/>
    <w:uiPriority w:val="0"/>
    <w:pPr>
      <w:suppressAutoHyphens w:val="0"/>
      <w:spacing w:before="100" w:beforeAutospacing="1" w:after="100" w:afterAutospacing="1"/>
    </w:pPr>
    <w:rPr>
      <w:lang w:val="en-US" w:eastAsia="en-US"/>
    </w:rPr>
  </w:style>
  <w:style w:type="paragraph" w:customStyle="1" w:styleId="262">
    <w:name w:val="a_c"/>
    <w:basedOn w:val="1"/>
    <w:qFormat/>
    <w:uiPriority w:val="0"/>
    <w:pPr>
      <w:suppressAutoHyphens w:val="0"/>
      <w:spacing w:before="100" w:beforeAutospacing="1" w:after="100" w:afterAutospacing="1"/>
    </w:pPr>
    <w:rPr>
      <w:lang w:val="en-US" w:eastAsia="en-US"/>
    </w:rPr>
  </w:style>
  <w:style w:type="paragraph" w:customStyle="1" w:styleId="263">
    <w:name w:val="Corp"/>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Times New Roman" w:cs="Times New Roman"/>
      <w:color w:val="000000"/>
      <w:sz w:val="24"/>
      <w:szCs w:val="24"/>
      <w:u w:color="000000"/>
      <w:lang w:val="en-GB" w:eastAsia="en-GB" w:bidi="ar-SA"/>
    </w:rPr>
  </w:style>
  <w:style w:type="character" w:customStyle="1" w:styleId="264">
    <w:name w:val="Comment Text Char"/>
    <w:basedOn w:val="20"/>
    <w:link w:val="12"/>
    <w:semiHidden/>
    <w:qFormat/>
    <w:uiPriority w:val="99"/>
    <w:rPr>
      <w:lang w:val="en-GB" w:eastAsia="zh-CN"/>
    </w:rPr>
  </w:style>
  <w:style w:type="character" w:customStyle="1" w:styleId="265">
    <w:name w:val="Comment Subject Char"/>
    <w:basedOn w:val="264"/>
    <w:link w:val="13"/>
    <w:semiHidden/>
    <w:qFormat/>
    <w:uiPriority w:val="99"/>
    <w:rPr>
      <w:b/>
      <w:bCs/>
      <w:lang w:val="en-GB" w:eastAsia="zh-CN"/>
    </w:rPr>
  </w:style>
  <w:style w:type="paragraph" w:customStyle="1" w:styleId="266">
    <w:name w:val="Titlu 71"/>
    <w:basedOn w:val="267"/>
    <w:next w:val="267"/>
    <w:qFormat/>
    <w:uiPriority w:val="0"/>
    <w:pPr>
      <w:keepNext/>
      <w:jc w:val="both"/>
      <w:outlineLvl w:val="6"/>
    </w:pPr>
    <w:rPr>
      <w:rFonts w:ascii="TimesRomanR" w:hAnsi="TimesRomanR" w:eastAsia="TimesRomanR" w:cs="TimesRomanR"/>
      <w:b/>
      <w:bCs/>
      <w:szCs w:val="20"/>
      <w:lang w:val="fr-FR"/>
    </w:rPr>
  </w:style>
  <w:style w:type="paragraph" w:customStyle="1" w:styleId="267">
    <w:name w:val="Standard"/>
    <w:qFormat/>
    <w:uiPriority w:val="0"/>
    <w:pPr>
      <w:suppressAutoHyphens/>
      <w:autoSpaceDN w:val="0"/>
      <w:spacing w:after="200" w:line="276" w:lineRule="auto"/>
      <w:textAlignment w:val="baseline"/>
    </w:pPr>
    <w:rPr>
      <w:rFonts w:ascii="Calibri" w:hAnsi="Calibri" w:eastAsia="Calibri" w:cs="Times New Roman"/>
      <w:kern w:val="3"/>
      <w:sz w:val="24"/>
      <w:szCs w:val="24"/>
      <w:lang w:val="en-GB"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2.png"/><Relationship Id="rId16" Type="http://schemas.openxmlformats.org/officeDocument/2006/relationships/image" Target="media/image11.emf"/><Relationship Id="rId15" Type="http://schemas.openxmlformats.org/officeDocument/2006/relationships/image" Target="media/image10.emf"/><Relationship Id="rId14" Type="http://schemas.openxmlformats.org/officeDocument/2006/relationships/image" Target="media/image9.png"/><Relationship Id="rId13" Type="http://schemas.openxmlformats.org/officeDocument/2006/relationships/image" Target="media/image8.emf"/><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8632</Words>
  <Characters>49203</Characters>
  <Lines>410</Lines>
  <Paragraphs>115</Paragraphs>
  <TotalTime>42</TotalTime>
  <ScaleCrop>false</ScaleCrop>
  <LinksUpToDate>false</LinksUpToDate>
  <CharactersWithSpaces>57720</CharactersWithSpaces>
  <Application>WPS Office_11.2.0.9150_F1E327BC-269C-435d-A152-05C5408002CA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2020-10-20T15:31:00Z</dcterms:created>
  <dc:creator>Sorana Baciu</dc:creator>
  <cp:lastModifiedBy>67698446</cp:lastModifiedBy>
  <cp:lastPrinted>2020-12-08T13:53:00Z</cp:lastPrinted>
  <dcterms:modified xsi:type="dcterms:W3CDTF">2022-04-19T08:06:21Z</dcterms:modified>
  <dc:title>CABINET MINISTRU</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1033-11.2.0.9150</vt:lpwstr>
  </property>
</Properties>
</file>