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B5202" w14:textId="77777777" w:rsidR="003F4E84" w:rsidRPr="0066150C" w:rsidRDefault="00D7157B" w:rsidP="003F4E84">
      <w:pPr>
        <w:pBdr>
          <w:top w:val="single" w:sz="4" w:space="1" w:color="auto"/>
          <w:bottom w:val="single" w:sz="4" w:space="1" w:color="auto"/>
        </w:pBdr>
        <w:spacing w:after="120" w:line="240" w:lineRule="auto"/>
        <w:jc w:val="right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 xml:space="preserve">Report on general government </w:t>
      </w:r>
      <w:r w:rsidR="00784416" w:rsidRPr="0066150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>budget</w:t>
      </w:r>
    </w:p>
    <w:p w14:paraId="3345F8CF" w14:textId="77777777" w:rsidR="004B7A33" w:rsidRPr="0066150C" w:rsidRDefault="004B7A33" w:rsidP="003F4E84">
      <w:pPr>
        <w:spacing w:after="120" w:line="240" w:lineRule="auto"/>
        <w:jc w:val="right"/>
        <w:rPr>
          <w:rFonts w:ascii="Tahoma" w:hAnsi="Tahoma" w:cs="Tahoma"/>
          <w:b/>
          <w:color w:val="0070C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0070C0"/>
          <w:sz w:val="24"/>
          <w:szCs w:val="24"/>
          <w:lang w:val="en-GB"/>
        </w:rPr>
        <w:t>2019</w:t>
      </w:r>
      <w:r w:rsidR="00526E8B" w:rsidRPr="0066150C">
        <w:rPr>
          <w:rFonts w:ascii="Tahoma" w:hAnsi="Tahoma" w:cs="Tahoma"/>
          <w:b/>
          <w:color w:val="0070C0"/>
          <w:sz w:val="24"/>
          <w:szCs w:val="24"/>
          <w:lang w:val="en-GB"/>
        </w:rPr>
        <w:br/>
      </w:r>
    </w:p>
    <w:p w14:paraId="1E66EE20" w14:textId="01F3EE74" w:rsidR="003F4E84" w:rsidRPr="0066150C" w:rsidRDefault="003F4E84" w:rsidP="003F4E84">
      <w:pPr>
        <w:spacing w:after="120" w:line="240" w:lineRule="auto"/>
        <w:jc w:val="right"/>
        <w:rPr>
          <w:rFonts w:ascii="Tahoma" w:hAnsi="Tahoma" w:cs="Tahoma"/>
          <w:b/>
          <w:color w:val="0070C0"/>
          <w:sz w:val="24"/>
          <w:szCs w:val="24"/>
          <w:lang w:val="en-GB"/>
        </w:rPr>
      </w:pPr>
    </w:p>
    <w:p w14:paraId="060F9908" w14:textId="77777777" w:rsidR="00A90AD7" w:rsidRPr="0066150C" w:rsidRDefault="00A90AD7" w:rsidP="003F4E84">
      <w:pPr>
        <w:spacing w:after="120" w:line="240" w:lineRule="auto"/>
        <w:jc w:val="right"/>
        <w:rPr>
          <w:rFonts w:ascii="Tahoma" w:hAnsi="Tahoma" w:cs="Tahoma"/>
          <w:b/>
          <w:color w:val="0070C0"/>
          <w:sz w:val="24"/>
          <w:szCs w:val="24"/>
          <w:lang w:val="en-GB"/>
        </w:rPr>
      </w:pPr>
    </w:p>
    <w:p w14:paraId="6DC9FBB1" w14:textId="191CB61D" w:rsidR="00CA4A92" w:rsidRPr="0066150C" w:rsidRDefault="00814311" w:rsidP="002B3CC9">
      <w:pPr>
        <w:shd w:val="clear" w:color="auto" w:fill="DEEAF6" w:themeFill="accent1" w:themeFillTint="33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Based on operational data,</w:t>
      </w:r>
      <w:r w:rsidR="000F1E3F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3F7995" w:rsidRPr="0066150C">
        <w:rPr>
          <w:rFonts w:ascii="Tahoma" w:hAnsi="Tahoma" w:cs="Tahoma"/>
          <w:sz w:val="24"/>
          <w:szCs w:val="24"/>
          <w:lang w:val="en-GB"/>
        </w:rPr>
        <w:t>general government budget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in 2019 </w:t>
      </w:r>
      <w:r w:rsidR="003F7995" w:rsidRPr="0066150C">
        <w:rPr>
          <w:rFonts w:ascii="Tahoma" w:hAnsi="Tahoma" w:cs="Tahoma"/>
          <w:sz w:val="24"/>
          <w:szCs w:val="24"/>
          <w:lang w:val="en-GB"/>
        </w:rPr>
        <w:t>registered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 </w:t>
      </w:r>
      <w:r w:rsidR="00207222" w:rsidRPr="0066150C">
        <w:rPr>
          <w:rFonts w:ascii="Tahoma" w:hAnsi="Tahoma" w:cs="Tahoma"/>
          <w:b/>
          <w:sz w:val="24"/>
          <w:szCs w:val="24"/>
          <w:lang w:val="en-GB"/>
        </w:rPr>
        <w:t xml:space="preserve">RON 48.3 billion </w:t>
      </w:r>
      <w:r w:rsidRPr="0066150C">
        <w:rPr>
          <w:rFonts w:ascii="Tahoma" w:hAnsi="Tahoma" w:cs="Tahoma"/>
          <w:b/>
          <w:sz w:val="24"/>
          <w:szCs w:val="24"/>
          <w:lang w:val="en-GB"/>
        </w:rPr>
        <w:t>deficit of (4.6% of GDP)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(Annex</w:t>
      </w:r>
      <w:r w:rsidR="00462388" w:rsidRPr="0066150C">
        <w:rPr>
          <w:rFonts w:ascii="Tahoma" w:hAnsi="Tahoma" w:cs="Tahoma"/>
          <w:sz w:val="24"/>
          <w:szCs w:val="24"/>
          <w:lang w:val="en-GB"/>
        </w:rPr>
        <w:t>es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1 a</w:t>
      </w:r>
      <w:r w:rsidR="00462388" w:rsidRPr="0066150C">
        <w:rPr>
          <w:rFonts w:ascii="Tahoma" w:hAnsi="Tahoma" w:cs="Tahoma"/>
          <w:sz w:val="24"/>
          <w:szCs w:val="24"/>
          <w:lang w:val="en-GB"/>
        </w:rPr>
        <w:t>nd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2). The </w:t>
      </w:r>
      <w:r w:rsidR="003F7995" w:rsidRPr="0066150C">
        <w:rPr>
          <w:rFonts w:ascii="Tahoma" w:hAnsi="Tahoma" w:cs="Tahoma"/>
          <w:sz w:val="24"/>
          <w:szCs w:val="24"/>
          <w:lang w:val="en-GB"/>
        </w:rPr>
        <w:t xml:space="preserve">general government budget outcome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for 2019 indicates a </w:t>
      </w:r>
      <w:r w:rsidR="00281042">
        <w:rPr>
          <w:rFonts w:ascii="Tahoma" w:hAnsi="Tahoma" w:cs="Tahoma"/>
          <w:sz w:val="24"/>
          <w:szCs w:val="24"/>
          <w:lang w:val="en-GB"/>
        </w:rPr>
        <w:t xml:space="preserve">widening by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1.8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 in GDP </w:t>
      </w:r>
      <w:r w:rsidRPr="0066150C">
        <w:rPr>
          <w:rFonts w:ascii="Tahoma" w:hAnsi="Tahoma" w:cs="Tahoma"/>
          <w:sz w:val="24"/>
          <w:szCs w:val="24"/>
          <w:lang w:val="en-GB"/>
        </w:rPr>
        <w:t>in budget deficit</w:t>
      </w:r>
      <w:r w:rsidR="008125BD" w:rsidRPr="0066150C">
        <w:rPr>
          <w:rFonts w:ascii="Tahoma" w:hAnsi="Tahoma" w:cs="Tahoma"/>
          <w:sz w:val="24"/>
          <w:szCs w:val="24"/>
          <w:lang w:val="en-GB"/>
        </w:rPr>
        <w:t>, from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2.8% of GDP in 2018.</w:t>
      </w:r>
    </w:p>
    <w:p w14:paraId="78C9ACBC" w14:textId="77777777" w:rsidR="002B3CC9" w:rsidRPr="0066150C" w:rsidRDefault="002B3CC9" w:rsidP="00CA79E1">
      <w:pPr>
        <w:spacing w:after="120"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6BF496D0" w14:textId="714005FE" w:rsidR="00CE721E" w:rsidRPr="0066150C" w:rsidRDefault="0058077F" w:rsidP="0073781B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2F3B09E9" wp14:editId="3A2401B6">
            <wp:extent cx="5619750" cy="33242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AA6C5" w14:textId="324CD776" w:rsidR="00D830D2" w:rsidRPr="0066150C" w:rsidRDefault="00D830D2" w:rsidP="00D830D2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oP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own calculations</w:t>
      </w:r>
    </w:p>
    <w:p w14:paraId="5B07E002" w14:textId="197E278B" w:rsidR="002B3CC9" w:rsidRPr="0066150C" w:rsidRDefault="002B3CC9" w:rsidP="003B0E9A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Fig.1 </w:t>
      </w:r>
      <w:r w:rsidR="0078441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Budget deficit</w:t>
      </w:r>
      <w:r w:rsidR="003B0E9A" w:rsidRPr="0066150C">
        <w:rPr>
          <w:rStyle w:val="FootnoteReference"/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footnoteReference w:id="1"/>
      </w:r>
    </w:p>
    <w:p w14:paraId="58298E35" w14:textId="18C5E741" w:rsidR="00784416" w:rsidRPr="0066150C" w:rsidRDefault="00784416" w:rsidP="00784416">
      <w:pPr>
        <w:pStyle w:val="ListParagraph"/>
        <w:spacing w:after="0" w:line="360" w:lineRule="auto"/>
        <w:jc w:val="both"/>
        <w:rPr>
          <w:rFonts w:ascii="Tahoma" w:hAnsi="Tahoma" w:cs="Tahoma"/>
          <w:color w:val="767171" w:themeColor="background2" w:themeShade="80"/>
          <w:sz w:val="24"/>
          <w:szCs w:val="24"/>
          <w:lang w:val="en-GB"/>
        </w:rPr>
      </w:pPr>
    </w:p>
    <w:p w14:paraId="7B4557AA" w14:textId="79E61522" w:rsidR="00A90AD7" w:rsidRDefault="00A90AD7" w:rsidP="00784416">
      <w:pPr>
        <w:pStyle w:val="ListParagraph"/>
        <w:spacing w:after="0" w:line="360" w:lineRule="auto"/>
        <w:jc w:val="both"/>
        <w:rPr>
          <w:rFonts w:ascii="Tahoma" w:hAnsi="Tahoma" w:cs="Tahoma"/>
          <w:color w:val="767171" w:themeColor="background2" w:themeShade="80"/>
          <w:sz w:val="24"/>
          <w:szCs w:val="24"/>
          <w:lang w:val="en-GB"/>
        </w:rPr>
      </w:pPr>
    </w:p>
    <w:p w14:paraId="0AC5A3D4" w14:textId="77777777" w:rsidR="00AD6F7B" w:rsidRPr="0066150C" w:rsidRDefault="00AD6F7B" w:rsidP="00784416">
      <w:pPr>
        <w:pStyle w:val="ListParagraph"/>
        <w:spacing w:after="0" w:line="360" w:lineRule="auto"/>
        <w:jc w:val="both"/>
        <w:rPr>
          <w:rFonts w:ascii="Tahoma" w:hAnsi="Tahoma" w:cs="Tahoma"/>
          <w:color w:val="767171" w:themeColor="background2" w:themeShade="80"/>
          <w:sz w:val="24"/>
          <w:szCs w:val="24"/>
          <w:lang w:val="en-GB"/>
        </w:rPr>
      </w:pPr>
    </w:p>
    <w:p w14:paraId="2507E0F9" w14:textId="753F3467" w:rsidR="00A90AD7" w:rsidRPr="0066150C" w:rsidRDefault="00A90AD7" w:rsidP="00784416">
      <w:pPr>
        <w:pStyle w:val="ListParagraph"/>
        <w:spacing w:after="0" w:line="360" w:lineRule="auto"/>
        <w:jc w:val="both"/>
        <w:rPr>
          <w:rFonts w:ascii="Tahoma" w:hAnsi="Tahoma" w:cs="Tahoma"/>
          <w:color w:val="767171" w:themeColor="background2" w:themeShade="80"/>
          <w:sz w:val="24"/>
          <w:szCs w:val="24"/>
          <w:lang w:val="en-GB"/>
        </w:rPr>
      </w:pPr>
    </w:p>
    <w:p w14:paraId="4D416D28" w14:textId="37ADD414" w:rsidR="00F972DC" w:rsidRPr="0066150C" w:rsidRDefault="00D7157B" w:rsidP="00784416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120" w:line="276" w:lineRule="auto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lastRenderedPageBreak/>
        <w:t>general government revenue</w:t>
      </w:r>
    </w:p>
    <w:p w14:paraId="22ADDEE8" w14:textId="77777777" w:rsidR="00A90AD7" w:rsidRPr="0066150C" w:rsidRDefault="00A90AD7" w:rsidP="00A90AD7">
      <w:pPr>
        <w:spacing w:after="120" w:line="276" w:lineRule="auto"/>
        <w:ind w:left="360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</w:p>
    <w:p w14:paraId="0609191E" w14:textId="4BEB1842" w:rsidR="00552EDC" w:rsidRPr="0066150C" w:rsidRDefault="003F7995" w:rsidP="00CF1ED7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Total</w:t>
      </w:r>
      <w:r w:rsidR="00D830D2" w:rsidRPr="0066150C">
        <w:rPr>
          <w:rFonts w:ascii="Tahoma" w:hAnsi="Tahoma" w:cs="Tahoma"/>
          <w:sz w:val="24"/>
          <w:szCs w:val="24"/>
          <w:lang w:val="en-GB"/>
        </w:rPr>
        <w:t xml:space="preserve"> revenue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amounted to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D830D2" w:rsidRPr="0066150C">
        <w:rPr>
          <w:rFonts w:ascii="Tahoma" w:hAnsi="Tahoma" w:cs="Tahoma"/>
          <w:sz w:val="24"/>
          <w:szCs w:val="24"/>
          <w:lang w:val="en-GB"/>
        </w:rPr>
        <w:t>321.13 billion, 8.8% above the level recorded in 2018.</w:t>
      </w:r>
      <w:r w:rsidR="00CF1ED7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Compared to the </w:t>
      </w:r>
      <w:r w:rsidR="00462388" w:rsidRPr="0066150C">
        <w:rPr>
          <w:rFonts w:ascii="Tahoma" w:hAnsi="Tahoma" w:cs="Tahoma"/>
          <w:sz w:val="24"/>
          <w:szCs w:val="24"/>
          <w:lang w:val="en-GB"/>
        </w:rPr>
        <w:t xml:space="preserve">initial target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provided</w:t>
      </w:r>
      <w:r w:rsidR="00462388" w:rsidRPr="0066150C">
        <w:rPr>
          <w:rFonts w:ascii="Tahoma" w:hAnsi="Tahoma" w:cs="Tahoma"/>
          <w:sz w:val="24"/>
          <w:szCs w:val="24"/>
          <w:lang w:val="en-GB"/>
        </w:rPr>
        <w:t xml:space="preserve"> by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 the annual budget law,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general government revenue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 w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as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>21.5 billion</w:t>
      </w:r>
      <w:r w:rsidR="004159B5" w:rsidRPr="0066150C">
        <w:rPr>
          <w:rFonts w:ascii="Tahoma" w:hAnsi="Tahoma" w:cs="Tahoma"/>
          <w:sz w:val="24"/>
          <w:szCs w:val="24"/>
          <w:lang w:val="en-GB"/>
        </w:rPr>
        <w:t xml:space="preserve"> lower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 (93.7%), </w:t>
      </w:r>
      <w:r w:rsidR="00F50086" w:rsidRPr="0066150C">
        <w:rPr>
          <w:rFonts w:ascii="Tahoma" w:hAnsi="Tahoma" w:cs="Tahoma"/>
          <w:sz w:val="24"/>
          <w:szCs w:val="24"/>
          <w:lang w:val="en-GB"/>
        </w:rPr>
        <w:t xml:space="preserve">out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of which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8.4 billion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from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F50086" w:rsidRPr="0066150C">
        <w:rPr>
          <w:rFonts w:ascii="Tahoma" w:hAnsi="Tahoma" w:cs="Tahoma"/>
          <w:sz w:val="24"/>
          <w:szCs w:val="24"/>
          <w:lang w:val="en-GB"/>
        </w:rPr>
        <w:t>EU funds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6.1 billion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tax revenue,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5.8 billion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social contributions, and </w:t>
      </w:r>
      <w:r w:rsidR="009A6614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 xml:space="preserve">1.2 billion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="00552EDC" w:rsidRPr="0066150C">
        <w:rPr>
          <w:rFonts w:ascii="Tahoma" w:hAnsi="Tahoma" w:cs="Tahoma"/>
          <w:sz w:val="24"/>
          <w:szCs w:val="24"/>
          <w:lang w:val="en-GB"/>
        </w:rPr>
        <w:t>non-tax revenue.</w:t>
      </w:r>
    </w:p>
    <w:p w14:paraId="261551B7" w14:textId="0DA3F363" w:rsidR="008154B0" w:rsidRPr="0066150C" w:rsidRDefault="004254A9" w:rsidP="00CF1ED7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However, as a share of GDP, the budget revenue registered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 xml:space="preserve">only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 marginal decrease (0.1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) from 31.0% of GDP in 2018 to 30.9% of GDP in 2019. The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decline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was mainly due to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 xml:space="preserve">a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reduction of non-tax revenue (0.3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) and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>EU funds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(0.4 </w:t>
      </w:r>
      <w:r w:rsidR="003B0E9A" w:rsidRPr="0066150C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),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whereas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014E48" w:rsidRPr="0066150C">
        <w:rPr>
          <w:rFonts w:ascii="Tahoma" w:hAnsi="Tahoma" w:cs="Tahoma"/>
          <w:sz w:val="24"/>
          <w:szCs w:val="24"/>
          <w:lang w:val="en-GB"/>
        </w:rPr>
        <w:t xml:space="preserve">tax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revenue </w:t>
      </w:r>
      <w:r w:rsidR="004159B5" w:rsidRPr="0066150C">
        <w:rPr>
          <w:rFonts w:ascii="Tahoma" w:hAnsi="Tahoma" w:cs="Tahoma"/>
          <w:sz w:val="24"/>
          <w:szCs w:val="24"/>
          <w:lang w:val="en-GB"/>
        </w:rPr>
        <w:t>stood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at 15% of GDP in 2019, and social contributions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 xml:space="preserve">receipts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advanced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by 0.4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GDP.</w:t>
      </w:r>
      <w:r w:rsidR="000A4203" w:rsidRPr="0066150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2"/>
      </w:r>
    </w:p>
    <w:p w14:paraId="04D08C2A" w14:textId="77777777" w:rsidR="00D66ACF" w:rsidRPr="0066150C" w:rsidRDefault="00D66ACF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4F9DDC75" w14:textId="435072C6" w:rsidR="001707DC" w:rsidRPr="0066150C" w:rsidRDefault="00F50086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C</w:t>
      </w:r>
      <w:r w:rsidR="0040565D" w:rsidRPr="0066150C">
        <w:rPr>
          <w:rFonts w:ascii="Tahoma" w:hAnsi="Tahoma" w:cs="Tahoma"/>
          <w:b/>
          <w:i/>
          <w:sz w:val="24"/>
          <w:szCs w:val="24"/>
          <w:lang w:val="en-GB"/>
        </w:rPr>
        <w:t>orporate income tax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 xml:space="preserve">revenue 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amounted to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17.72 billion in 2019, up 13.2% from 2018, mainly </w:t>
      </w:r>
      <w:r w:rsidR="00930CAC">
        <w:rPr>
          <w:rFonts w:ascii="Tahoma" w:hAnsi="Tahoma" w:cs="Tahoma"/>
          <w:sz w:val="24"/>
          <w:szCs w:val="24"/>
          <w:lang w:val="en-GB"/>
        </w:rPr>
        <w:t>driven by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>a</w:t>
      </w:r>
      <w:r w:rsidR="00835E25" w:rsidRPr="0066150C">
        <w:rPr>
          <w:rFonts w:ascii="Tahoma" w:hAnsi="Tahoma" w:cs="Tahoma"/>
          <w:sz w:val="24"/>
          <w:szCs w:val="24"/>
          <w:lang w:val="en-GB"/>
        </w:rPr>
        <w:t xml:space="preserve"> 70% 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increase of the </w:t>
      </w:r>
      <w:r w:rsidRPr="0066150C">
        <w:rPr>
          <w:rFonts w:ascii="Tahoma" w:hAnsi="Tahoma" w:cs="Tahoma"/>
          <w:sz w:val="24"/>
          <w:szCs w:val="24"/>
          <w:lang w:val="en-GB"/>
        </w:rPr>
        <w:t>CIT revenue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due</w:t>
      </w:r>
      <w:r w:rsidR="00014E48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by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the banking sector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D66ACF" w:rsidRPr="0066150C">
        <w:rPr>
          <w:rFonts w:ascii="Tahoma" w:hAnsi="Tahoma" w:cs="Tahoma"/>
          <w:sz w:val="24"/>
          <w:szCs w:val="24"/>
          <w:lang w:val="en-GB"/>
        </w:rPr>
        <w:t>CIT r</w:t>
      </w:r>
      <w:r w:rsidR="0040565D" w:rsidRPr="0066150C">
        <w:rPr>
          <w:rFonts w:ascii="Tahoma" w:hAnsi="Tahoma" w:cs="Tahoma"/>
          <w:sz w:val="24"/>
          <w:szCs w:val="24"/>
          <w:lang w:val="en-GB"/>
        </w:rPr>
        <w:t xml:space="preserve">eceipts rose in December 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>by</w:t>
      </w:r>
      <w:r w:rsidR="00130A50" w:rsidRPr="0066150C">
        <w:rPr>
          <w:rFonts w:ascii="Tahoma" w:hAnsi="Tahoma" w:cs="Tahoma"/>
          <w:sz w:val="24"/>
          <w:szCs w:val="24"/>
          <w:lang w:val="en-GB"/>
        </w:rPr>
        <w:t xml:space="preserve"> 28.4% </w:t>
      </w:r>
      <w:r w:rsidR="00AD6F7B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130A50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AD6F7B">
        <w:rPr>
          <w:rFonts w:ascii="Tahoma" w:hAnsi="Tahoma" w:cs="Tahoma"/>
          <w:sz w:val="24"/>
          <w:szCs w:val="24"/>
          <w:lang w:val="en-GB"/>
        </w:rPr>
        <w:t>)</w:t>
      </w:r>
      <w:r w:rsidR="00130A50" w:rsidRPr="0066150C">
        <w:rPr>
          <w:rFonts w:ascii="Tahoma" w:hAnsi="Tahoma" w:cs="Tahoma"/>
          <w:sz w:val="24"/>
          <w:szCs w:val="24"/>
          <w:lang w:val="en-GB"/>
        </w:rPr>
        <w:t xml:space="preserve">, faster than the pace </w:t>
      </w:r>
      <w:r w:rsidRPr="0066150C">
        <w:rPr>
          <w:rFonts w:ascii="Tahoma" w:hAnsi="Tahoma" w:cs="Tahoma"/>
          <w:sz w:val="24"/>
          <w:szCs w:val="24"/>
          <w:lang w:val="en-GB"/>
        </w:rPr>
        <w:t>reached over the</w:t>
      </w:r>
      <w:r w:rsidR="00130A50" w:rsidRPr="0066150C">
        <w:rPr>
          <w:rFonts w:ascii="Tahoma" w:hAnsi="Tahoma" w:cs="Tahoma"/>
          <w:sz w:val="24"/>
          <w:szCs w:val="24"/>
          <w:lang w:val="en-GB"/>
        </w:rPr>
        <w:t xml:space="preserve"> first 11 months of the year. 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This 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>perf</w:t>
      </w:r>
      <w:r w:rsidR="002123FD" w:rsidRPr="0066150C">
        <w:rPr>
          <w:rFonts w:ascii="Tahoma" w:hAnsi="Tahoma" w:cs="Tahoma"/>
          <w:sz w:val="24"/>
          <w:szCs w:val="24"/>
          <w:lang w:val="en-GB"/>
        </w:rPr>
        <w:t>ormance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>brought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22ED5" w:rsidRPr="0066150C">
        <w:rPr>
          <w:rFonts w:ascii="Tahoma" w:hAnsi="Tahoma" w:cs="Tahoma"/>
          <w:sz w:val="24"/>
          <w:szCs w:val="24"/>
          <w:lang w:val="en-GB"/>
        </w:rPr>
        <w:t>the</w:t>
      </w:r>
      <w:r w:rsidR="00835E25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annual 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>receipts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 xml:space="preserve">above 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the </w:t>
      </w:r>
      <w:r w:rsidR="00924CB6" w:rsidRPr="0066150C">
        <w:rPr>
          <w:rFonts w:ascii="Tahoma" w:hAnsi="Tahoma" w:cs="Tahoma"/>
          <w:sz w:val="24"/>
          <w:szCs w:val="24"/>
          <w:lang w:val="en-GB"/>
        </w:rPr>
        <w:t>initial target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>(by RON 0.53 billion or 103.1%)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761F4CFE" w14:textId="292D6E03" w:rsidR="00CF1ED7" w:rsidRPr="0066150C" w:rsidRDefault="00F50086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P</w:t>
      </w:r>
      <w:r w:rsidR="00961D8B" w:rsidRPr="0066150C">
        <w:rPr>
          <w:rFonts w:ascii="Tahoma" w:hAnsi="Tahoma" w:cs="Tahoma"/>
          <w:b/>
          <w:i/>
          <w:sz w:val="24"/>
          <w:szCs w:val="24"/>
          <w:lang w:val="en-GB"/>
        </w:rPr>
        <w:t>ersonal</w:t>
      </w:r>
      <w:r w:rsidR="00961D8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9F71DD" w:rsidRPr="0066150C">
        <w:rPr>
          <w:rFonts w:ascii="Tahoma" w:hAnsi="Tahoma" w:cs="Tahoma"/>
          <w:b/>
          <w:i/>
          <w:sz w:val="24"/>
          <w:szCs w:val="24"/>
          <w:lang w:val="en-GB"/>
        </w:rPr>
        <w:t>income tax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receipts</w:t>
      </w:r>
      <w:r w:rsidR="000E65A8" w:rsidRPr="0066150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3"/>
      </w:r>
      <w:r w:rsidR="009F71DD" w:rsidRPr="0066150C">
        <w:rPr>
          <w:rFonts w:ascii="Tahoma" w:hAnsi="Tahoma" w:cs="Tahoma"/>
          <w:sz w:val="24"/>
          <w:szCs w:val="24"/>
          <w:lang w:val="en-GB"/>
        </w:rPr>
        <w:t xml:space="preserve"> recorded 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9F71DD" w:rsidRPr="0066150C">
        <w:rPr>
          <w:rFonts w:ascii="Tahoma" w:hAnsi="Tahoma" w:cs="Tahoma"/>
          <w:sz w:val="24"/>
          <w:szCs w:val="24"/>
          <w:lang w:val="en-GB"/>
        </w:rPr>
        <w:t>23.20 billion in 2019, up 2.3% compared to 2018 (but decreasing as a share of GDP, from 2.4% in 2018 to 2.2% in 2019).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6376F5" w:rsidRPr="0066150C">
        <w:rPr>
          <w:rFonts w:ascii="Tahoma" w:hAnsi="Tahoma" w:cs="Tahoma"/>
          <w:sz w:val="24"/>
          <w:szCs w:val="24"/>
          <w:lang w:val="en-GB"/>
        </w:rPr>
        <w:t>A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nnual dynamics mainly reflected 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a 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>statistical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base effect </w:t>
      </w:r>
      <w:r w:rsidRPr="0066150C">
        <w:rPr>
          <w:rFonts w:ascii="Tahoma" w:hAnsi="Tahoma" w:cs="Tahoma"/>
          <w:sz w:val="24"/>
          <w:szCs w:val="24"/>
          <w:lang w:val="en-GB"/>
        </w:rPr>
        <w:t>in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 January 2019 compared to January 2018 due to social contributions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 transfer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 from employers to employees and to a lower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PIT rate </w:t>
      </w:r>
      <w:r w:rsidR="00C22ED5" w:rsidRPr="0066150C">
        <w:rPr>
          <w:rFonts w:ascii="Tahoma" w:hAnsi="Tahoma" w:cs="Tahoma"/>
          <w:sz w:val="24"/>
          <w:szCs w:val="24"/>
          <w:lang w:val="en-GB"/>
        </w:rPr>
        <w:t>(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>from 16% to 10%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 xml:space="preserve"> according to G</w:t>
      </w:r>
      <w:r w:rsidR="002F06DB" w:rsidRPr="0066150C">
        <w:rPr>
          <w:rFonts w:ascii="Tahoma" w:hAnsi="Tahoma" w:cs="Tahoma"/>
          <w:sz w:val="24"/>
          <w:szCs w:val="24"/>
          <w:lang w:val="en-GB"/>
        </w:rPr>
        <w:t>E</w:t>
      </w:r>
      <w:r w:rsidR="00A90AD7" w:rsidRPr="0066150C">
        <w:rPr>
          <w:rFonts w:ascii="Tahoma" w:hAnsi="Tahoma" w:cs="Tahoma"/>
          <w:sz w:val="24"/>
          <w:szCs w:val="24"/>
          <w:lang w:val="en-GB"/>
        </w:rPr>
        <w:t xml:space="preserve">O no.79/2017, 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impact of 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F811A0" w:rsidRPr="0066150C">
        <w:rPr>
          <w:rFonts w:ascii="Tahoma" w:hAnsi="Tahoma" w:cs="Tahoma"/>
          <w:sz w:val="24"/>
          <w:szCs w:val="24"/>
          <w:lang w:val="en-GB"/>
        </w:rPr>
        <w:t xml:space="preserve">1.2 billion). 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>Compared to the initial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 target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0E65A8" w:rsidRPr="0066150C">
        <w:rPr>
          <w:rFonts w:ascii="Tahoma" w:hAnsi="Tahoma" w:cs="Tahoma"/>
          <w:sz w:val="24"/>
          <w:szCs w:val="24"/>
          <w:lang w:val="en-GB"/>
        </w:rPr>
        <w:t xml:space="preserve">PIT 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>revenue</w:t>
      </w:r>
      <w:r w:rsidR="000E65A8" w:rsidRPr="0066150C">
        <w:rPr>
          <w:rFonts w:ascii="Tahoma" w:hAnsi="Tahoma" w:cs="Tahoma"/>
          <w:sz w:val="24"/>
          <w:szCs w:val="24"/>
          <w:lang w:val="en-GB"/>
        </w:rPr>
        <w:t xml:space="preserve"> w</w:t>
      </w:r>
      <w:r w:rsidR="00656D17">
        <w:rPr>
          <w:rFonts w:ascii="Tahoma" w:hAnsi="Tahoma" w:cs="Tahoma"/>
          <w:sz w:val="24"/>
          <w:szCs w:val="24"/>
          <w:lang w:val="en-GB"/>
        </w:rPr>
        <w:t>as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3E4E6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>0.46 billion</w:t>
      </w:r>
      <w:r w:rsidR="00014E48" w:rsidRPr="0066150C">
        <w:rPr>
          <w:rFonts w:ascii="Tahoma" w:hAnsi="Tahoma" w:cs="Tahoma"/>
          <w:sz w:val="24"/>
          <w:szCs w:val="24"/>
          <w:lang w:val="en-GB"/>
        </w:rPr>
        <w:t xml:space="preserve"> lower</w:t>
      </w:r>
      <w:r w:rsidR="002123FD" w:rsidRPr="0066150C">
        <w:rPr>
          <w:rFonts w:ascii="Tahoma" w:hAnsi="Tahoma" w:cs="Tahoma"/>
          <w:sz w:val="24"/>
          <w:szCs w:val="24"/>
          <w:lang w:val="en-GB"/>
        </w:rPr>
        <w:t xml:space="preserve"> (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>98%</w:t>
      </w:r>
      <w:r w:rsidR="002123FD" w:rsidRPr="0066150C">
        <w:rPr>
          <w:rFonts w:ascii="Tahoma" w:hAnsi="Tahoma" w:cs="Tahoma"/>
          <w:sz w:val="24"/>
          <w:szCs w:val="24"/>
          <w:lang w:val="en-GB"/>
        </w:rPr>
        <w:t>)</w:t>
      </w:r>
      <w:r w:rsidR="009345E3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111C33" w:rsidRPr="0066150C">
        <w:rPr>
          <w:rFonts w:ascii="Tahoma" w:hAnsi="Tahoma" w:cs="Tahoma"/>
          <w:sz w:val="24"/>
          <w:szCs w:val="24"/>
          <w:lang w:val="en-GB"/>
        </w:rPr>
        <w:t xml:space="preserve">Labour income tax receipts </w:t>
      </w:r>
      <w:r w:rsidR="00851DCE" w:rsidRPr="0066150C">
        <w:rPr>
          <w:rFonts w:ascii="Tahoma" w:hAnsi="Tahoma" w:cs="Tahoma"/>
          <w:sz w:val="24"/>
          <w:szCs w:val="24"/>
          <w:lang w:val="en-GB"/>
        </w:rPr>
        <w:t xml:space="preserve">account for </w:t>
      </w:r>
      <w:r w:rsidR="00623E18" w:rsidRPr="0066150C">
        <w:rPr>
          <w:rFonts w:ascii="Tahoma" w:hAnsi="Tahoma" w:cs="Tahoma"/>
          <w:sz w:val="24"/>
          <w:szCs w:val="24"/>
          <w:lang w:val="en-GB"/>
        </w:rPr>
        <w:t xml:space="preserve">80% </w:t>
      </w:r>
      <w:r w:rsidR="00851DCE" w:rsidRPr="0066150C">
        <w:rPr>
          <w:rFonts w:ascii="Tahoma" w:hAnsi="Tahoma" w:cs="Tahoma"/>
          <w:sz w:val="24"/>
          <w:szCs w:val="24"/>
          <w:lang w:val="en-GB"/>
        </w:rPr>
        <w:t xml:space="preserve">of </w:t>
      </w:r>
      <w:r w:rsidR="00623E18" w:rsidRPr="0066150C">
        <w:rPr>
          <w:rFonts w:ascii="Tahoma" w:hAnsi="Tahoma" w:cs="Tahoma"/>
          <w:sz w:val="24"/>
          <w:szCs w:val="24"/>
          <w:lang w:val="en-GB"/>
        </w:rPr>
        <w:t>PIT</w:t>
      </w:r>
      <w:r w:rsidR="001005B4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0968F8" w:rsidRPr="0066150C">
        <w:rPr>
          <w:rFonts w:ascii="Tahoma" w:hAnsi="Tahoma" w:cs="Tahoma"/>
          <w:sz w:val="24"/>
          <w:szCs w:val="24"/>
          <w:lang w:val="en-GB"/>
        </w:rPr>
        <w:t xml:space="preserve">Annual dynamics of the </w:t>
      </w:r>
      <w:r w:rsidR="001005B4" w:rsidRPr="0066150C">
        <w:rPr>
          <w:rFonts w:ascii="Tahoma" w:hAnsi="Tahoma" w:cs="Tahoma"/>
          <w:sz w:val="24"/>
          <w:szCs w:val="24"/>
          <w:lang w:val="en-GB"/>
        </w:rPr>
        <w:t>labour</w:t>
      </w:r>
      <w:r w:rsidR="00014E48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1005B4" w:rsidRPr="0066150C">
        <w:rPr>
          <w:rFonts w:ascii="Tahoma" w:hAnsi="Tahoma" w:cs="Tahoma"/>
          <w:sz w:val="24"/>
          <w:szCs w:val="24"/>
          <w:lang w:val="en-GB"/>
        </w:rPr>
        <w:t>income</w:t>
      </w:r>
      <w:r w:rsidR="000968F8" w:rsidRPr="0066150C">
        <w:rPr>
          <w:rFonts w:ascii="Tahoma" w:hAnsi="Tahoma" w:cs="Tahoma"/>
          <w:sz w:val="24"/>
          <w:szCs w:val="24"/>
          <w:lang w:val="en-GB"/>
        </w:rPr>
        <w:t xml:space="preserve"> tax receipts</w:t>
      </w:r>
      <w:r w:rsidR="00507059" w:rsidRPr="0066150C">
        <w:rPr>
          <w:rFonts w:ascii="Tahoma" w:hAnsi="Tahoma" w:cs="Tahoma"/>
          <w:sz w:val="24"/>
          <w:szCs w:val="24"/>
          <w:lang w:val="en-GB"/>
        </w:rPr>
        <w:t xml:space="preserve"> mainly reflects the </w:t>
      </w:r>
      <w:r w:rsidR="003A6CA7" w:rsidRPr="0066150C">
        <w:rPr>
          <w:rFonts w:ascii="Tahoma" w:hAnsi="Tahoma" w:cs="Tahoma"/>
          <w:sz w:val="24"/>
          <w:szCs w:val="24"/>
          <w:lang w:val="en-GB"/>
        </w:rPr>
        <w:t xml:space="preserve">overall </w:t>
      </w:r>
      <w:r w:rsidR="00507059" w:rsidRPr="0066150C">
        <w:rPr>
          <w:rFonts w:ascii="Tahoma" w:hAnsi="Tahoma" w:cs="Tahoma"/>
          <w:sz w:val="24"/>
          <w:szCs w:val="24"/>
          <w:lang w:val="en-GB"/>
        </w:rPr>
        <w:t xml:space="preserve">economy's wage 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>bill</w:t>
      </w:r>
      <w:r w:rsidR="00507059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developments </w:t>
      </w:r>
      <w:r w:rsidR="00507059" w:rsidRPr="0066150C">
        <w:rPr>
          <w:rFonts w:ascii="Tahoma" w:hAnsi="Tahoma" w:cs="Tahoma"/>
          <w:sz w:val="24"/>
          <w:szCs w:val="24"/>
          <w:lang w:val="en-GB"/>
        </w:rPr>
        <w:t xml:space="preserve">(gross average earning increased by 14.7% and the average number of employees by 1% </w:t>
      </w:r>
      <w:r w:rsidR="00014E48" w:rsidRPr="0066150C">
        <w:rPr>
          <w:rFonts w:ascii="Tahoma" w:hAnsi="Tahoma" w:cs="Tahoma"/>
          <w:sz w:val="24"/>
          <w:szCs w:val="24"/>
          <w:lang w:val="en-GB"/>
        </w:rPr>
        <w:t xml:space="preserve">over </w:t>
      </w:r>
      <w:r w:rsidR="00507059" w:rsidRPr="0066150C">
        <w:rPr>
          <w:rFonts w:ascii="Tahoma" w:hAnsi="Tahoma" w:cs="Tahoma"/>
          <w:sz w:val="24"/>
          <w:szCs w:val="24"/>
          <w:lang w:val="en-GB"/>
        </w:rPr>
        <w:t>the reference period)</w:t>
      </w:r>
      <w:r w:rsidR="001005B4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2123FD" w:rsidRPr="0066150C">
        <w:rPr>
          <w:rFonts w:ascii="Tahoma" w:hAnsi="Tahoma" w:cs="Tahoma"/>
          <w:sz w:val="24"/>
          <w:szCs w:val="24"/>
          <w:lang w:val="en-GB"/>
        </w:rPr>
        <w:t>Nevertheless</w:t>
      </w:r>
      <w:r w:rsidR="001005B4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lastRenderedPageBreak/>
        <w:t>exempti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>ng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 xml:space="preserve"> the employees from construction and some industrial sectors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 (according to G</w:t>
      </w:r>
      <w:r w:rsidR="002F06DB" w:rsidRPr="0066150C">
        <w:rPr>
          <w:rFonts w:ascii="Tahoma" w:hAnsi="Tahoma" w:cs="Tahoma"/>
          <w:sz w:val="24"/>
          <w:szCs w:val="24"/>
          <w:lang w:val="en-GB"/>
        </w:rPr>
        <w:t>E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>O no. 114/2018)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 xml:space="preserve"> from the </w:t>
      </w:r>
      <w:r w:rsidR="00553619" w:rsidRPr="0066150C">
        <w:rPr>
          <w:rFonts w:ascii="Tahoma" w:hAnsi="Tahoma" w:cs="Tahoma"/>
          <w:sz w:val="24"/>
          <w:szCs w:val="24"/>
          <w:lang w:val="en-GB"/>
        </w:rPr>
        <w:t xml:space="preserve">labour 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 xml:space="preserve">income tax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>lowered the annual revenue by RON 1.1 billion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29D999F8" w14:textId="30C09EB3" w:rsidR="00CF1ED7" w:rsidRPr="0066150C" w:rsidRDefault="00C65632" w:rsidP="00D43382">
      <w:pPr>
        <w:spacing w:after="120" w:line="360" w:lineRule="auto"/>
        <w:jc w:val="both"/>
        <w:rPr>
          <w:rFonts w:ascii="Tahoma" w:hAnsi="Tahoma" w:cs="Tahoma"/>
          <w:color w:val="C00000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Furthermore</w:t>
      </w:r>
      <w:r w:rsidR="00D43382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amounts related </w:t>
      </w:r>
      <w:r w:rsidR="002F06DB">
        <w:rPr>
          <w:rFonts w:ascii="Tahoma" w:hAnsi="Tahoma" w:cs="Tahoma"/>
          <w:sz w:val="24"/>
          <w:szCs w:val="24"/>
          <w:lang w:val="en-GB"/>
        </w:rPr>
        <w:t xml:space="preserve">to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Single Tax Statement 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>submitted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 by taxpayers and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>s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>ome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 other adjustments incurred in December 2018 adversely affected PIT receipts dynamics in December 2019. </w:t>
      </w:r>
    </w:p>
    <w:p w14:paraId="1BF495F0" w14:textId="3B4ACBE2" w:rsidR="00CF1ED7" w:rsidRPr="0066150C" w:rsidRDefault="00D318B7" w:rsidP="0073781B">
      <w:pPr>
        <w:spacing w:after="0" w:line="240" w:lineRule="auto"/>
        <w:contextualSpacing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159EFE03" wp14:editId="1E1ADFE3">
            <wp:extent cx="6304065" cy="2806263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41" cy="2820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8DFAC" w14:textId="56FA974F" w:rsidR="0032665D" w:rsidRPr="0066150C" w:rsidRDefault="0032665D" w:rsidP="0032665D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oP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NIS, own calculations</w:t>
      </w:r>
    </w:p>
    <w:p w14:paraId="681987E6" w14:textId="77777777" w:rsidR="00CF1ED7" w:rsidRPr="0066150C" w:rsidRDefault="00CF1ED7" w:rsidP="00B16FF6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BA152F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2</w:t>
      </w:r>
      <w:r w:rsidR="00D60BC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9F579F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Personal income tax</w:t>
      </w: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B16FF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revenue</w:t>
      </w:r>
    </w:p>
    <w:p w14:paraId="367F6829" w14:textId="77777777" w:rsidR="00CE721E" w:rsidRPr="0066150C" w:rsidRDefault="00CE721E" w:rsidP="00CF1ED7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50CBAC0F" w14:textId="7A5DBFEA" w:rsidR="00741FED" w:rsidRPr="0066150C" w:rsidRDefault="003A6CA7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S</w:t>
      </w:r>
      <w:r w:rsidR="0032665D" w:rsidRPr="0066150C">
        <w:rPr>
          <w:rFonts w:ascii="Tahoma" w:hAnsi="Tahoma" w:cs="Tahoma"/>
          <w:b/>
          <w:i/>
          <w:sz w:val="24"/>
          <w:szCs w:val="24"/>
          <w:lang w:val="en-GB"/>
        </w:rPr>
        <w:t>ocial contributions</w:t>
      </w:r>
      <w:r w:rsidR="0032665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revenue </w:t>
      </w:r>
      <w:r w:rsidR="0032665D" w:rsidRPr="0066150C">
        <w:rPr>
          <w:rFonts w:ascii="Tahoma" w:hAnsi="Tahoma" w:cs="Tahoma"/>
          <w:sz w:val="24"/>
          <w:szCs w:val="24"/>
          <w:lang w:val="en-GB"/>
        </w:rPr>
        <w:t xml:space="preserve">recorded </w:t>
      </w:r>
      <w:r w:rsidR="00E717A2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32665D" w:rsidRPr="0066150C">
        <w:rPr>
          <w:rFonts w:ascii="Tahoma" w:hAnsi="Tahoma" w:cs="Tahoma"/>
          <w:sz w:val="24"/>
          <w:szCs w:val="24"/>
          <w:lang w:val="en-GB"/>
        </w:rPr>
        <w:t>111.47 billion in 2019</w:t>
      </w:r>
      <w:r w:rsidR="0034015F" w:rsidRPr="0066150C">
        <w:rPr>
          <w:rFonts w:ascii="Tahoma" w:hAnsi="Tahoma" w:cs="Tahoma"/>
          <w:sz w:val="24"/>
          <w:szCs w:val="24"/>
          <w:lang w:val="en-GB"/>
        </w:rPr>
        <w:t xml:space="preserve">, 13.6%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>higher than</w:t>
      </w:r>
      <w:r w:rsidR="0034015F" w:rsidRPr="0066150C">
        <w:rPr>
          <w:rFonts w:ascii="Tahoma" w:hAnsi="Tahoma" w:cs="Tahoma"/>
          <w:sz w:val="24"/>
          <w:szCs w:val="24"/>
          <w:lang w:val="en-GB"/>
        </w:rPr>
        <w:t xml:space="preserve"> 2018 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level </w:t>
      </w:r>
      <w:r w:rsidR="0034015F" w:rsidRPr="0066150C">
        <w:rPr>
          <w:rFonts w:ascii="Tahoma" w:hAnsi="Tahoma" w:cs="Tahoma"/>
          <w:sz w:val="24"/>
          <w:szCs w:val="24"/>
          <w:lang w:val="en-GB"/>
        </w:rPr>
        <w:t xml:space="preserve">(from 10.3%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of GDP </w:t>
      </w:r>
      <w:r w:rsidR="0034015F" w:rsidRPr="0066150C">
        <w:rPr>
          <w:rFonts w:ascii="Tahoma" w:hAnsi="Tahoma" w:cs="Tahoma"/>
          <w:sz w:val="24"/>
          <w:szCs w:val="24"/>
          <w:lang w:val="en-GB"/>
        </w:rPr>
        <w:t>in 2018 to 10.7%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</w:t>
      </w:r>
      <w:r w:rsidR="0034015F" w:rsidRPr="0066150C">
        <w:rPr>
          <w:rFonts w:ascii="Tahoma" w:hAnsi="Tahoma" w:cs="Tahoma"/>
          <w:sz w:val="24"/>
          <w:szCs w:val="24"/>
          <w:lang w:val="en-GB"/>
        </w:rPr>
        <w:t xml:space="preserve"> in 2019). 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>Compared to the initial p</w:t>
      </w:r>
      <w:r w:rsidR="002C248D" w:rsidRPr="0066150C">
        <w:rPr>
          <w:rFonts w:ascii="Tahoma" w:hAnsi="Tahoma" w:cs="Tahoma"/>
          <w:sz w:val="24"/>
          <w:szCs w:val="24"/>
          <w:lang w:val="en-GB"/>
        </w:rPr>
        <w:t>lanning</w:t>
      </w:r>
      <w:r w:rsidR="00656D17">
        <w:rPr>
          <w:rFonts w:ascii="Tahoma" w:hAnsi="Tahoma" w:cs="Tahoma"/>
          <w:sz w:val="24"/>
          <w:szCs w:val="24"/>
          <w:lang w:val="en-GB"/>
        </w:rPr>
        <w:t>, revenue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 xml:space="preserve"> w</w:t>
      </w:r>
      <w:r w:rsidR="00656D17">
        <w:rPr>
          <w:rFonts w:ascii="Tahoma" w:hAnsi="Tahoma" w:cs="Tahoma"/>
          <w:sz w:val="24"/>
          <w:szCs w:val="24"/>
          <w:lang w:val="en-GB"/>
        </w:rPr>
        <w:t>as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717A2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>5.77 billion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lower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 xml:space="preserve"> (</w:t>
      </w:r>
      <w:r w:rsidR="00E717A2" w:rsidRPr="0066150C">
        <w:rPr>
          <w:rFonts w:ascii="Tahoma" w:hAnsi="Tahoma" w:cs="Tahoma"/>
          <w:sz w:val="24"/>
          <w:szCs w:val="24"/>
          <w:lang w:val="en-GB"/>
        </w:rPr>
        <w:t>95.1%</w:t>
      </w:r>
      <w:r w:rsidR="00FC3E5E" w:rsidRPr="0066150C">
        <w:rPr>
          <w:rFonts w:ascii="Tahoma" w:hAnsi="Tahoma" w:cs="Tahoma"/>
          <w:sz w:val="24"/>
          <w:szCs w:val="24"/>
          <w:lang w:val="en-GB"/>
        </w:rPr>
        <w:t>)</w:t>
      </w:r>
      <w:r w:rsidR="00E717A2" w:rsidRPr="0066150C">
        <w:rPr>
          <w:rFonts w:ascii="Tahoma" w:hAnsi="Tahoma" w:cs="Tahoma"/>
          <w:sz w:val="24"/>
          <w:szCs w:val="24"/>
          <w:lang w:val="en-GB"/>
        </w:rPr>
        <w:t>.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 xml:space="preserve"> Similar to </w:t>
      </w:r>
      <w:r w:rsidRPr="0066150C">
        <w:rPr>
          <w:rFonts w:ascii="Tahoma" w:hAnsi="Tahoma" w:cs="Tahoma"/>
          <w:sz w:val="24"/>
          <w:szCs w:val="24"/>
          <w:lang w:val="en-GB"/>
        </w:rPr>
        <w:t>PIT receipts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 xml:space="preserve">, social contributions 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revenue </w:t>
      </w:r>
      <w:r w:rsidR="0066150C">
        <w:rPr>
          <w:rFonts w:ascii="Tahoma" w:hAnsi="Tahoma" w:cs="Tahoma"/>
          <w:sz w:val="24"/>
          <w:szCs w:val="24"/>
          <w:lang w:val="en-GB"/>
        </w:rPr>
        <w:t>is in line with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 xml:space="preserve"> developments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>in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8D183E" w:rsidRPr="0066150C">
        <w:rPr>
          <w:rFonts w:ascii="Tahoma" w:hAnsi="Tahoma" w:cs="Tahoma"/>
          <w:sz w:val="24"/>
          <w:szCs w:val="24"/>
          <w:lang w:val="en-GB"/>
        </w:rPr>
        <w:t xml:space="preserve">overall 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>economy's wage bill</w:t>
      </w:r>
      <w:r w:rsidR="00F171BF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(16% </w:t>
      </w:r>
      <w:r w:rsidR="006376F5" w:rsidRPr="0066150C">
        <w:rPr>
          <w:rFonts w:ascii="Tahoma" w:hAnsi="Tahoma" w:cs="Tahoma"/>
          <w:sz w:val="24"/>
          <w:szCs w:val="24"/>
          <w:lang w:val="en-GB"/>
        </w:rPr>
        <w:t>since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 December 2018 </w:t>
      </w:r>
      <w:r w:rsidR="006376F5" w:rsidRPr="0066150C">
        <w:rPr>
          <w:rFonts w:ascii="Tahoma" w:hAnsi="Tahoma" w:cs="Tahoma"/>
          <w:sz w:val="24"/>
          <w:szCs w:val="24"/>
          <w:lang w:val="en-GB"/>
        </w:rPr>
        <w:t>to</w:t>
      </w:r>
      <w:r w:rsidR="00741FED" w:rsidRPr="0066150C">
        <w:rPr>
          <w:rFonts w:ascii="Tahoma" w:hAnsi="Tahoma" w:cs="Tahoma"/>
          <w:sz w:val="24"/>
          <w:szCs w:val="24"/>
          <w:lang w:val="en-GB"/>
        </w:rPr>
        <w:t xml:space="preserve"> November 2019).</w:t>
      </w:r>
      <w:r w:rsidR="0066150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66150C" w:rsidRPr="006A0C0C">
        <w:rPr>
          <w:rFonts w:ascii="Tahoma" w:hAnsi="Tahoma" w:cs="Tahoma"/>
          <w:sz w:val="24"/>
          <w:szCs w:val="24"/>
          <w:lang w:val="en-GB"/>
        </w:rPr>
        <w:t>In the fourth quarter</w:t>
      </w:r>
      <w:r w:rsidR="006A0C0C">
        <w:rPr>
          <w:rFonts w:ascii="Tahoma" w:hAnsi="Tahoma" w:cs="Tahoma"/>
          <w:sz w:val="24"/>
          <w:szCs w:val="24"/>
          <w:lang w:val="en-GB"/>
        </w:rPr>
        <w:t xml:space="preserve"> s</w:t>
      </w:r>
      <w:r w:rsidR="006A0C0C" w:rsidRPr="006A0C0C">
        <w:rPr>
          <w:rFonts w:ascii="Tahoma" w:hAnsi="Tahoma" w:cs="Tahoma"/>
          <w:sz w:val="24"/>
          <w:szCs w:val="24"/>
          <w:lang w:val="en-GB"/>
        </w:rPr>
        <w:t>ocial contributions</w:t>
      </w:r>
      <w:r w:rsidR="002F06DB">
        <w:rPr>
          <w:rFonts w:ascii="Tahoma" w:hAnsi="Tahoma" w:cs="Tahoma"/>
          <w:sz w:val="24"/>
          <w:szCs w:val="24"/>
          <w:lang w:val="en-GB"/>
        </w:rPr>
        <w:t xml:space="preserve"> receipts</w:t>
      </w:r>
      <w:r w:rsidR="006A0C0C" w:rsidRPr="006A0C0C">
        <w:rPr>
          <w:rFonts w:ascii="Tahoma" w:hAnsi="Tahoma" w:cs="Tahoma"/>
          <w:sz w:val="24"/>
          <w:szCs w:val="24"/>
          <w:lang w:val="en-GB"/>
        </w:rPr>
        <w:t xml:space="preserve"> </w:t>
      </w:r>
      <w:r w:rsidR="0066150C" w:rsidRPr="006A0C0C">
        <w:rPr>
          <w:rFonts w:ascii="Tahoma" w:hAnsi="Tahoma" w:cs="Tahoma"/>
          <w:sz w:val="24"/>
          <w:szCs w:val="24"/>
          <w:lang w:val="en-GB"/>
        </w:rPr>
        <w:t>reflects the easing in wage dynamics</w:t>
      </w:r>
      <w:r w:rsidR="002F06DB">
        <w:rPr>
          <w:rFonts w:ascii="Tahoma" w:hAnsi="Tahoma" w:cs="Tahoma"/>
          <w:sz w:val="24"/>
          <w:szCs w:val="24"/>
          <w:lang w:val="en-GB"/>
        </w:rPr>
        <w:t>.</w:t>
      </w:r>
      <w:r w:rsidR="0066150C" w:rsidRPr="006A0C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D0945" w:rsidRPr="002F06DB">
        <w:rPr>
          <w:rFonts w:ascii="Tahoma" w:hAnsi="Tahoma" w:cs="Tahoma"/>
          <w:sz w:val="24"/>
          <w:szCs w:val="24"/>
          <w:lang w:val="en-GB"/>
        </w:rPr>
        <w:t>Furthermore</w:t>
      </w:r>
      <w:r w:rsidR="00741FED" w:rsidRPr="002F06DB">
        <w:rPr>
          <w:rFonts w:ascii="Tahoma" w:hAnsi="Tahoma" w:cs="Tahoma"/>
          <w:sz w:val="24"/>
          <w:szCs w:val="24"/>
          <w:lang w:val="en-GB"/>
        </w:rPr>
        <w:t xml:space="preserve">, the receipts dynamics was </w:t>
      </w:r>
      <w:r w:rsidR="002F06DB" w:rsidRPr="002F06DB">
        <w:rPr>
          <w:rFonts w:ascii="Tahoma" w:hAnsi="Tahoma" w:cs="Tahoma"/>
          <w:sz w:val="24"/>
          <w:szCs w:val="24"/>
          <w:lang w:val="en-GB"/>
        </w:rPr>
        <w:t>adversely</w:t>
      </w:r>
      <w:r w:rsidR="00CD0945" w:rsidRPr="002F06DB">
        <w:rPr>
          <w:rFonts w:ascii="Tahoma" w:hAnsi="Tahoma" w:cs="Tahoma"/>
          <w:sz w:val="24"/>
          <w:szCs w:val="24"/>
          <w:lang w:val="en-GB"/>
        </w:rPr>
        <w:t xml:space="preserve"> </w:t>
      </w:r>
      <w:r w:rsidR="00741FED" w:rsidRPr="002F06DB">
        <w:rPr>
          <w:rFonts w:ascii="Tahoma" w:hAnsi="Tahoma" w:cs="Tahoma"/>
          <w:sz w:val="24"/>
          <w:szCs w:val="24"/>
          <w:lang w:val="en-GB"/>
        </w:rPr>
        <w:t>affected by exempting the employees from construction and some industrial sectors from the health insurance contribution</w:t>
      </w:r>
      <w:r w:rsidR="004E05F2" w:rsidRPr="002F06DB">
        <w:rPr>
          <w:rFonts w:ascii="Tahoma" w:hAnsi="Tahoma" w:cs="Tahoma"/>
          <w:sz w:val="24"/>
          <w:szCs w:val="24"/>
          <w:lang w:val="en-GB"/>
        </w:rPr>
        <w:t xml:space="preserve">, as well as by reducing the </w:t>
      </w:r>
      <w:r w:rsidR="00CD0945" w:rsidRPr="002F06DB">
        <w:rPr>
          <w:rFonts w:ascii="Tahoma" w:hAnsi="Tahoma" w:cs="Tahoma"/>
          <w:sz w:val="24"/>
          <w:szCs w:val="24"/>
          <w:lang w:val="en-GB"/>
        </w:rPr>
        <w:t xml:space="preserve">social </w:t>
      </w:r>
      <w:r w:rsidR="004E05F2" w:rsidRPr="002F06DB">
        <w:rPr>
          <w:rFonts w:ascii="Tahoma" w:hAnsi="Tahoma" w:cs="Tahoma"/>
          <w:sz w:val="24"/>
          <w:szCs w:val="24"/>
          <w:lang w:val="en-GB"/>
        </w:rPr>
        <w:t>contribution</w:t>
      </w:r>
      <w:r w:rsidR="00CD0945" w:rsidRPr="002F06DB">
        <w:rPr>
          <w:rFonts w:ascii="Tahoma" w:hAnsi="Tahoma" w:cs="Tahoma"/>
          <w:sz w:val="24"/>
          <w:szCs w:val="24"/>
          <w:lang w:val="en-GB"/>
        </w:rPr>
        <w:t>s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 xml:space="preserve"> due by employers (according to </w:t>
      </w:r>
      <w:r w:rsidR="00930CAC" w:rsidRPr="002F06DB">
        <w:rPr>
          <w:rFonts w:ascii="Tahoma" w:hAnsi="Tahoma" w:cs="Tahoma"/>
          <w:sz w:val="24"/>
          <w:szCs w:val="24"/>
          <w:lang w:val="en-GB"/>
        </w:rPr>
        <w:t>G</w:t>
      </w:r>
      <w:r w:rsidR="002F06DB" w:rsidRPr="002F06DB">
        <w:rPr>
          <w:rFonts w:ascii="Tahoma" w:hAnsi="Tahoma" w:cs="Tahoma"/>
          <w:sz w:val="24"/>
          <w:szCs w:val="24"/>
          <w:lang w:val="en-GB"/>
        </w:rPr>
        <w:t>E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 xml:space="preserve">O </w:t>
      </w:r>
      <w:r w:rsidR="00930CAC" w:rsidRPr="002F06DB">
        <w:rPr>
          <w:rFonts w:ascii="Tahoma" w:hAnsi="Tahoma" w:cs="Tahoma"/>
          <w:sz w:val="24"/>
          <w:szCs w:val="24"/>
          <w:lang w:val="en-GB"/>
        </w:rPr>
        <w:t>no.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>114/2018, with a negative impact of</w:t>
      </w:r>
      <w:r w:rsidR="008D183E" w:rsidRPr="002F06DB">
        <w:rPr>
          <w:rFonts w:ascii="Tahoma" w:hAnsi="Tahoma" w:cs="Tahoma"/>
          <w:sz w:val="24"/>
          <w:szCs w:val="24"/>
          <w:lang w:val="en-GB"/>
        </w:rPr>
        <w:t xml:space="preserve"> RON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 xml:space="preserve"> 1.6 billion) and, to a lesser extent, </w:t>
      </w:r>
      <w:r w:rsidR="002F06DB" w:rsidRPr="002F06DB">
        <w:rPr>
          <w:rFonts w:ascii="Tahoma" w:hAnsi="Tahoma" w:cs="Tahoma"/>
          <w:sz w:val="24"/>
          <w:szCs w:val="24"/>
          <w:lang w:val="en-GB"/>
        </w:rPr>
        <w:t>by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 xml:space="preserve"> transfers to the second </w:t>
      </w:r>
      <w:r w:rsidR="008D183E" w:rsidRPr="002F06DB">
        <w:rPr>
          <w:rFonts w:ascii="Tahoma" w:hAnsi="Tahoma" w:cs="Tahoma"/>
          <w:sz w:val="24"/>
          <w:szCs w:val="24"/>
          <w:lang w:val="en-GB"/>
        </w:rPr>
        <w:t xml:space="preserve">pillar 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>pension</w:t>
      </w:r>
      <w:r w:rsidR="008D183E" w:rsidRPr="002F06DB">
        <w:rPr>
          <w:rFonts w:ascii="Tahoma" w:hAnsi="Tahoma" w:cs="Tahoma"/>
          <w:sz w:val="24"/>
          <w:szCs w:val="24"/>
          <w:lang w:val="en-GB"/>
        </w:rPr>
        <w:t xml:space="preserve"> fund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 xml:space="preserve"> (</w:t>
      </w:r>
      <w:r w:rsidR="008D183E" w:rsidRPr="002F06DB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CE435B" w:rsidRPr="002F06DB">
        <w:rPr>
          <w:rFonts w:ascii="Tahoma" w:hAnsi="Tahoma" w:cs="Tahoma"/>
          <w:sz w:val="24"/>
          <w:szCs w:val="24"/>
          <w:lang w:val="en-GB"/>
        </w:rPr>
        <w:t>8.5 billion in 2019).</w:t>
      </w:r>
      <w:r w:rsidR="002F06DB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30949A03" w14:textId="23A272F2" w:rsidR="00CE435B" w:rsidRPr="0066150C" w:rsidRDefault="006A0C0C" w:rsidP="00CE435B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In addition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>social contributions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 xml:space="preserve"> transfer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from the employer to the employee according to </w:t>
      </w:r>
      <w:r>
        <w:rPr>
          <w:rFonts w:ascii="Tahoma" w:hAnsi="Tahoma" w:cs="Tahoma"/>
          <w:sz w:val="24"/>
          <w:szCs w:val="24"/>
          <w:lang w:val="en-GB"/>
        </w:rPr>
        <w:t>G</w:t>
      </w:r>
      <w:r w:rsidR="002F06DB">
        <w:rPr>
          <w:rFonts w:ascii="Tahoma" w:hAnsi="Tahoma" w:cs="Tahoma"/>
          <w:sz w:val="24"/>
          <w:szCs w:val="24"/>
          <w:lang w:val="en-GB"/>
        </w:rPr>
        <w:t>E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O </w:t>
      </w:r>
      <w:r>
        <w:rPr>
          <w:rFonts w:ascii="Tahoma" w:hAnsi="Tahoma" w:cs="Tahoma"/>
          <w:sz w:val="24"/>
          <w:szCs w:val="24"/>
          <w:lang w:val="en-GB"/>
        </w:rPr>
        <w:t xml:space="preserve">no. 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79/2017 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>brought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a significant increase 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>in</w:t>
      </w:r>
      <w:r w:rsidR="00656D17">
        <w:rPr>
          <w:rFonts w:ascii="Tahoma" w:hAnsi="Tahoma" w:cs="Tahoma"/>
          <w:sz w:val="24"/>
          <w:szCs w:val="24"/>
          <w:lang w:val="en-GB"/>
        </w:rPr>
        <w:t xml:space="preserve"> revenue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in January 2019 compared to January 2018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 (significant base effect)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>.</w:t>
      </w:r>
      <w:r w:rsidR="00041D0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>Monthly dynamics of social contributions</w:t>
      </w:r>
      <w:r w:rsidR="00CF5187" w:rsidRPr="0066150C">
        <w:rPr>
          <w:rFonts w:ascii="Tahoma" w:hAnsi="Tahoma" w:cs="Tahoma"/>
          <w:sz w:val="24"/>
          <w:szCs w:val="24"/>
          <w:lang w:val="en-GB"/>
        </w:rPr>
        <w:t xml:space="preserve"> revenue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steadily slowed down to a minimum level in October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>,</w:t>
      </w:r>
      <w:r w:rsidR="00B14A66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but </w:t>
      </w:r>
      <w:r w:rsidR="00930CAC" w:rsidRPr="00930CAC">
        <w:rPr>
          <w:rFonts w:ascii="Tahoma" w:hAnsi="Tahoma" w:cs="Tahoma"/>
          <w:sz w:val="24"/>
          <w:szCs w:val="24"/>
          <w:lang w:val="en-GB"/>
        </w:rPr>
        <w:t>flatten</w:t>
      </w:r>
      <w:r w:rsidRPr="00930CAC">
        <w:rPr>
          <w:rFonts w:ascii="Tahoma" w:hAnsi="Tahoma" w:cs="Tahoma"/>
          <w:sz w:val="24"/>
          <w:szCs w:val="24"/>
          <w:lang w:val="en-GB"/>
        </w:rPr>
        <w:t>ed</w:t>
      </w:r>
      <w:r w:rsidR="00930CAC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over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November-December at an average of 10.1% </w:t>
      </w:r>
      <w:r w:rsidR="00281321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CE435B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281321">
        <w:rPr>
          <w:rFonts w:ascii="Tahoma" w:hAnsi="Tahoma" w:cs="Tahoma"/>
          <w:sz w:val="24"/>
          <w:szCs w:val="24"/>
          <w:lang w:val="en-GB"/>
        </w:rPr>
        <w:t>)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4FE52168" w14:textId="3E5EB99D" w:rsidR="00CF1ED7" w:rsidRPr="0066150C" w:rsidRDefault="00D318B7" w:rsidP="005D0771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69DBE690" wp14:editId="655FCE0F">
            <wp:extent cx="6231429" cy="304274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48" cy="3057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F7517" w14:textId="3D705316" w:rsidR="00CE435B" w:rsidRPr="0066150C" w:rsidRDefault="00CE435B" w:rsidP="00CE435B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NIS, own calculations</w:t>
      </w:r>
    </w:p>
    <w:p w14:paraId="317BB2D2" w14:textId="77777777" w:rsidR="00CF1ED7" w:rsidRPr="0066150C" w:rsidRDefault="00CF1ED7" w:rsidP="00B16FF6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BA152F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3</w:t>
      </w:r>
      <w:r w:rsidR="00D60BC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B16FF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Social contribution revenue</w:t>
      </w:r>
    </w:p>
    <w:p w14:paraId="7187F65B" w14:textId="77777777" w:rsidR="00C1718B" w:rsidRPr="0066150C" w:rsidRDefault="00C1718B" w:rsidP="00CF1ED7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</w:p>
    <w:p w14:paraId="0802F99F" w14:textId="1DB9DC69" w:rsidR="009833EE" w:rsidRPr="0066150C" w:rsidRDefault="00CF5187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E</w:t>
      </w:r>
      <w:r w:rsidR="00CE435B" w:rsidRPr="0066150C">
        <w:rPr>
          <w:rFonts w:ascii="Tahoma" w:hAnsi="Tahoma" w:cs="Tahoma"/>
          <w:b/>
          <w:i/>
          <w:sz w:val="24"/>
          <w:szCs w:val="24"/>
          <w:lang w:val="en-GB"/>
        </w:rPr>
        <w:t>xcise duties</w:t>
      </w:r>
      <w:r w:rsidRPr="0066150C">
        <w:rPr>
          <w:rFonts w:ascii="Tahoma" w:hAnsi="Tahoma" w:cs="Tahoma"/>
          <w:b/>
          <w:i/>
          <w:sz w:val="24"/>
          <w:szCs w:val="24"/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>receipts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 amounted to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CE435B" w:rsidRPr="0066150C">
        <w:rPr>
          <w:rFonts w:ascii="Tahoma" w:hAnsi="Tahoma" w:cs="Tahoma"/>
          <w:sz w:val="24"/>
          <w:szCs w:val="24"/>
          <w:lang w:val="en-GB"/>
        </w:rPr>
        <w:t xml:space="preserve">31.46 billion in 2019, up 10.3% 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from the previous year's revenue. Compared to the initial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>target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>, revenue w</w:t>
      </w:r>
      <w:r w:rsidR="00656D17">
        <w:rPr>
          <w:rFonts w:ascii="Tahoma" w:hAnsi="Tahoma" w:cs="Tahoma"/>
          <w:sz w:val="24"/>
          <w:szCs w:val="24"/>
          <w:lang w:val="en-GB"/>
        </w:rPr>
        <w:t>as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>RON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 0.39 billion </w:t>
      </w:r>
      <w:r w:rsidR="003D1A87" w:rsidRPr="0066150C">
        <w:rPr>
          <w:rFonts w:ascii="Tahoma" w:hAnsi="Tahoma" w:cs="Tahoma"/>
          <w:sz w:val="24"/>
          <w:szCs w:val="24"/>
          <w:lang w:val="en-GB"/>
        </w:rPr>
        <w:t xml:space="preserve">higher 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>(101.3%)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>,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 mainly reflecting </w:t>
      </w:r>
      <w:r w:rsidR="00B14A66" w:rsidRPr="0066150C">
        <w:rPr>
          <w:rFonts w:ascii="Tahoma" w:hAnsi="Tahoma" w:cs="Tahoma"/>
          <w:sz w:val="24"/>
          <w:szCs w:val="24"/>
          <w:lang w:val="en-GB"/>
        </w:rPr>
        <w:t xml:space="preserve">a 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16% </w:t>
      </w:r>
      <w:r w:rsidR="00281321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B4492C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281321">
        <w:rPr>
          <w:rFonts w:ascii="Tahoma" w:hAnsi="Tahoma" w:cs="Tahoma"/>
          <w:sz w:val="24"/>
          <w:szCs w:val="24"/>
          <w:lang w:val="en-GB"/>
        </w:rPr>
        <w:t>)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 increase in revenue in December. </w:t>
      </w:r>
      <w:r w:rsidR="00B14A66" w:rsidRPr="0066150C">
        <w:rPr>
          <w:rFonts w:ascii="Tahoma" w:hAnsi="Tahoma" w:cs="Tahoma"/>
          <w:sz w:val="24"/>
          <w:szCs w:val="24"/>
          <w:lang w:val="en-GB"/>
        </w:rPr>
        <w:t>As a share of GDP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, excise revenue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stood 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>at 3.0% in 2019,</w:t>
      </w:r>
      <w:r w:rsidR="003D1A87">
        <w:rPr>
          <w:rFonts w:ascii="Tahoma" w:hAnsi="Tahoma" w:cs="Tahoma"/>
          <w:sz w:val="24"/>
          <w:szCs w:val="24"/>
          <w:lang w:val="en-GB"/>
        </w:rPr>
        <w:t xml:space="preserve"> with</w:t>
      </w:r>
      <w:r w:rsidR="00B4492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44E25" w:rsidRPr="0066150C">
        <w:rPr>
          <w:rFonts w:ascii="Tahoma" w:hAnsi="Tahoma" w:cs="Tahoma"/>
          <w:sz w:val="24"/>
          <w:szCs w:val="24"/>
          <w:lang w:val="en-GB"/>
        </w:rPr>
        <w:t>energy products and tobacco</w:t>
      </w:r>
      <w:r w:rsidR="003D1A87" w:rsidRPr="003D1A87">
        <w:rPr>
          <w:rFonts w:ascii="Tahoma" w:hAnsi="Tahoma" w:cs="Tahoma"/>
          <w:sz w:val="24"/>
          <w:szCs w:val="24"/>
          <w:lang w:val="en-GB"/>
        </w:rPr>
        <w:t xml:space="preserve"> </w:t>
      </w:r>
      <w:r w:rsidR="003D1A87" w:rsidRPr="0066150C">
        <w:rPr>
          <w:rFonts w:ascii="Tahoma" w:hAnsi="Tahoma" w:cs="Tahoma"/>
          <w:sz w:val="24"/>
          <w:szCs w:val="24"/>
          <w:lang w:val="en-GB"/>
        </w:rPr>
        <w:t>excise</w:t>
      </w:r>
      <w:r w:rsidR="003D1A87">
        <w:rPr>
          <w:rFonts w:ascii="Tahoma" w:hAnsi="Tahoma" w:cs="Tahoma"/>
          <w:sz w:val="24"/>
          <w:szCs w:val="24"/>
          <w:lang w:val="en-GB"/>
        </w:rPr>
        <w:t xml:space="preserve">s </w:t>
      </w:r>
      <w:r w:rsidR="00B64666" w:rsidRPr="0066150C">
        <w:rPr>
          <w:rFonts w:ascii="Tahoma" w:hAnsi="Tahoma" w:cs="Tahoma"/>
          <w:sz w:val="24"/>
          <w:szCs w:val="24"/>
          <w:lang w:val="en-GB"/>
        </w:rPr>
        <w:t>account</w:t>
      </w:r>
      <w:r w:rsidR="00623E18" w:rsidRPr="0066150C">
        <w:rPr>
          <w:rFonts w:ascii="Tahoma" w:hAnsi="Tahoma" w:cs="Tahoma"/>
          <w:sz w:val="24"/>
          <w:szCs w:val="24"/>
          <w:lang w:val="en-GB"/>
        </w:rPr>
        <w:t>ing</w:t>
      </w:r>
      <w:r w:rsidR="00B64666" w:rsidRPr="0066150C">
        <w:rPr>
          <w:rFonts w:ascii="Tahoma" w:hAnsi="Tahoma" w:cs="Tahoma"/>
          <w:sz w:val="24"/>
          <w:szCs w:val="24"/>
          <w:lang w:val="en-GB"/>
        </w:rPr>
        <w:t xml:space="preserve"> for </w:t>
      </w:r>
      <w:r w:rsidR="00623E18" w:rsidRPr="0066150C">
        <w:rPr>
          <w:rFonts w:ascii="Tahoma" w:hAnsi="Tahoma" w:cs="Tahoma"/>
          <w:sz w:val="24"/>
          <w:szCs w:val="24"/>
          <w:lang w:val="en-GB"/>
        </w:rPr>
        <w:t xml:space="preserve">96.5% of </w:t>
      </w:r>
      <w:r w:rsidR="003D1A87">
        <w:rPr>
          <w:rFonts w:ascii="Tahoma" w:hAnsi="Tahoma" w:cs="Tahoma"/>
          <w:sz w:val="24"/>
          <w:szCs w:val="24"/>
          <w:lang w:val="en-GB"/>
        </w:rPr>
        <w:t>all</w:t>
      </w:r>
      <w:r w:rsidR="00C44E25"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752F0646" w14:textId="3288AD0F" w:rsidR="00CF1ED7" w:rsidRPr="0066150C" w:rsidRDefault="00BA6522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Compared to 2018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>,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excise revenue </w:t>
      </w:r>
      <w:r w:rsidR="002445E4"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energy products </w:t>
      </w:r>
      <w:r w:rsidR="00DC276C">
        <w:rPr>
          <w:rFonts w:ascii="Tahoma" w:hAnsi="Tahoma" w:cs="Tahoma"/>
          <w:sz w:val="24"/>
          <w:szCs w:val="24"/>
          <w:lang w:val="en-GB"/>
        </w:rPr>
        <w:t>grew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by 6.4%, due to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>a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 3.1%</w:t>
      </w:r>
      <w:r w:rsidR="0025780B">
        <w:rPr>
          <w:rFonts w:ascii="Tahoma" w:hAnsi="Tahoma" w:cs="Tahoma"/>
          <w:sz w:val="24"/>
          <w:szCs w:val="24"/>
          <w:lang w:val="en-GB"/>
        </w:rPr>
        <w:t xml:space="preserve"> h</w:t>
      </w:r>
      <w:r w:rsidR="003D1A87">
        <w:rPr>
          <w:rFonts w:ascii="Tahoma" w:hAnsi="Tahoma" w:cs="Tahoma"/>
          <w:sz w:val="24"/>
          <w:szCs w:val="24"/>
          <w:lang w:val="en-GB"/>
        </w:rPr>
        <w:t>ike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B746C" w:rsidRPr="0066150C">
        <w:rPr>
          <w:rFonts w:ascii="Tahoma" w:hAnsi="Tahoma" w:cs="Tahoma"/>
          <w:sz w:val="24"/>
          <w:szCs w:val="24"/>
          <w:lang w:val="en-GB"/>
        </w:rPr>
        <w:t>level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 for fuels and a 7% </w:t>
      </w:r>
      <w:r w:rsidR="0025780B">
        <w:rPr>
          <w:rFonts w:ascii="Tahoma" w:hAnsi="Tahoma" w:cs="Tahoma"/>
          <w:sz w:val="24"/>
          <w:szCs w:val="24"/>
          <w:lang w:val="en-GB"/>
        </w:rPr>
        <w:t>rise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 in fuels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consumption.</w:t>
      </w:r>
      <w:r w:rsidRPr="0066150C">
        <w:rPr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Excise revenue </w:t>
      </w:r>
      <w:r w:rsidR="002445E4"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tobacco products </w:t>
      </w:r>
      <w:r w:rsidR="00DC276C">
        <w:rPr>
          <w:rFonts w:ascii="Tahoma" w:hAnsi="Tahoma" w:cs="Tahoma"/>
          <w:sz w:val="24"/>
          <w:szCs w:val="24"/>
          <w:lang w:val="en-GB"/>
        </w:rPr>
        <w:t>was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17.7%</w:t>
      </w:r>
      <w:r w:rsidR="00DC276C">
        <w:rPr>
          <w:rFonts w:ascii="Tahoma" w:hAnsi="Tahoma" w:cs="Tahoma"/>
          <w:sz w:val="24"/>
          <w:szCs w:val="24"/>
          <w:lang w:val="en-GB"/>
        </w:rPr>
        <w:t xml:space="preserve"> larger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compare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>d to 2018, mainly reflecting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an 8% </w:t>
      </w:r>
      <w:r w:rsidRPr="0066150C">
        <w:rPr>
          <w:rFonts w:ascii="Tahoma" w:hAnsi="Tahoma" w:cs="Tahoma"/>
          <w:sz w:val="24"/>
          <w:szCs w:val="24"/>
          <w:lang w:val="en-GB"/>
        </w:rPr>
        <w:t>increase in excise duty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445E4" w:rsidRPr="0066150C">
        <w:rPr>
          <w:rFonts w:ascii="Tahoma" w:hAnsi="Tahoma" w:cs="Tahoma"/>
          <w:sz w:val="24"/>
          <w:szCs w:val="24"/>
          <w:lang w:val="en-GB"/>
        </w:rPr>
        <w:t>level for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 xml:space="preserve"> cigarettes.</w:t>
      </w:r>
    </w:p>
    <w:p w14:paraId="2810B081" w14:textId="0A6377AB" w:rsidR="00CF1ED7" w:rsidRPr="0066150C" w:rsidRDefault="00D318B7" w:rsidP="00C92CD0">
      <w:pPr>
        <w:spacing w:after="0"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4558E51A" wp14:editId="6A970C29">
            <wp:extent cx="6137328" cy="283518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57" cy="284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500F1F" w14:textId="3D18CE6F" w:rsidR="00B16FF6" w:rsidRPr="0066150C" w:rsidRDefault="00B16FF6" w:rsidP="00B16FF6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NIS, own calculations</w:t>
      </w:r>
    </w:p>
    <w:p w14:paraId="5160CBF6" w14:textId="77777777" w:rsidR="00CF1ED7" w:rsidRPr="0066150C" w:rsidRDefault="00CF1ED7" w:rsidP="00CF1ED7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BA152F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4</w:t>
      </w:r>
      <w:r w:rsidR="00D60BC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B16FF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Excise duties revenue</w:t>
      </w: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</w:p>
    <w:p w14:paraId="097D82F3" w14:textId="77777777" w:rsidR="00F155D7" w:rsidRPr="0066150C" w:rsidRDefault="00F155D7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6055248B" w14:textId="362CACB6" w:rsidR="00E56FF2" w:rsidRDefault="00BA6522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VAT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receipts </w:t>
      </w:r>
      <w:r w:rsidR="00C642E7">
        <w:rPr>
          <w:rFonts w:ascii="Tahoma" w:hAnsi="Tahoma" w:cs="Tahoma"/>
          <w:sz w:val="24"/>
          <w:szCs w:val="24"/>
          <w:lang w:val="en-GB"/>
        </w:rPr>
        <w:t>amounted to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3522E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65.42 billion in 2019, </w:t>
      </w:r>
      <w:r w:rsidR="000B06D6" w:rsidRPr="0066150C">
        <w:rPr>
          <w:rFonts w:ascii="Tahoma" w:hAnsi="Tahoma" w:cs="Tahoma"/>
          <w:sz w:val="24"/>
          <w:szCs w:val="24"/>
          <w:lang w:val="en-GB"/>
        </w:rPr>
        <w:t>up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9.7% compared to 2018. </w:t>
      </w:r>
      <w:r w:rsidR="00765034" w:rsidRPr="0066150C">
        <w:rPr>
          <w:rFonts w:ascii="Tahoma" w:hAnsi="Tahoma" w:cs="Tahoma"/>
          <w:sz w:val="24"/>
          <w:szCs w:val="24"/>
          <w:lang w:val="en-GB"/>
        </w:rPr>
        <w:t xml:space="preserve">As a </w:t>
      </w:r>
      <w:r w:rsidRPr="0066150C">
        <w:rPr>
          <w:rFonts w:ascii="Tahoma" w:hAnsi="Tahoma" w:cs="Tahoma"/>
          <w:sz w:val="24"/>
          <w:szCs w:val="24"/>
          <w:lang w:val="en-GB"/>
        </w:rPr>
        <w:t>share of GDP</w:t>
      </w:r>
      <w:r w:rsidR="00CD0AA8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656D17">
        <w:rPr>
          <w:rFonts w:ascii="Tahoma" w:hAnsi="Tahoma" w:cs="Tahoma"/>
          <w:sz w:val="24"/>
          <w:szCs w:val="24"/>
          <w:lang w:val="en-GB"/>
        </w:rPr>
        <w:t>VAT revenue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642E7">
        <w:rPr>
          <w:rFonts w:ascii="Tahoma" w:hAnsi="Tahoma" w:cs="Tahoma"/>
          <w:sz w:val="24"/>
          <w:szCs w:val="24"/>
          <w:lang w:val="en-GB"/>
        </w:rPr>
        <w:t>stood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at 6.3% in 2019. Compared to the initial </w:t>
      </w:r>
      <w:r w:rsidR="00CD0AA8" w:rsidRPr="0066150C">
        <w:rPr>
          <w:rFonts w:ascii="Tahoma" w:hAnsi="Tahoma" w:cs="Tahoma"/>
          <w:sz w:val="24"/>
          <w:szCs w:val="24"/>
          <w:lang w:val="en-GB"/>
        </w:rPr>
        <w:t>target</w:t>
      </w:r>
      <w:r w:rsidR="00656D17">
        <w:rPr>
          <w:rFonts w:ascii="Tahoma" w:hAnsi="Tahoma" w:cs="Tahoma"/>
          <w:sz w:val="24"/>
          <w:szCs w:val="24"/>
          <w:lang w:val="en-GB"/>
        </w:rPr>
        <w:t>, the revenue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w</w:t>
      </w:r>
      <w:r w:rsidR="00656D17">
        <w:rPr>
          <w:rFonts w:ascii="Tahoma" w:hAnsi="Tahoma" w:cs="Tahoma"/>
          <w:sz w:val="24"/>
          <w:szCs w:val="24"/>
          <w:lang w:val="en-GB"/>
        </w:rPr>
        <w:t>as</w:t>
      </w:r>
      <w:r w:rsidR="00835E25" w:rsidRPr="0066150C">
        <w:rPr>
          <w:rFonts w:ascii="Tahoma" w:hAnsi="Tahoma" w:cs="Tahoma"/>
          <w:sz w:val="24"/>
          <w:szCs w:val="24"/>
          <w:lang w:val="en-GB"/>
        </w:rPr>
        <w:t xml:space="preserve"> RON 4.23 billion</w:t>
      </w:r>
      <w:r w:rsidR="00F53857">
        <w:rPr>
          <w:rFonts w:ascii="Tahoma" w:hAnsi="Tahoma" w:cs="Tahoma"/>
          <w:sz w:val="24"/>
          <w:szCs w:val="24"/>
          <w:lang w:val="en-GB"/>
        </w:rPr>
        <w:t xml:space="preserve"> lower (</w:t>
      </w:r>
      <w:r w:rsidR="00CD0AA8" w:rsidRPr="0066150C">
        <w:rPr>
          <w:rFonts w:ascii="Tahoma" w:hAnsi="Tahoma" w:cs="Tahoma"/>
          <w:sz w:val="24"/>
          <w:szCs w:val="24"/>
          <w:lang w:val="en-GB"/>
        </w:rPr>
        <w:t>93.9%</w:t>
      </w:r>
      <w:r w:rsidR="00F53857">
        <w:rPr>
          <w:rFonts w:ascii="Tahoma" w:hAnsi="Tahoma" w:cs="Tahoma"/>
          <w:sz w:val="24"/>
          <w:szCs w:val="24"/>
          <w:lang w:val="en-GB"/>
        </w:rPr>
        <w:t>)</w:t>
      </w:r>
      <w:r w:rsidRPr="0066150C">
        <w:rPr>
          <w:rFonts w:ascii="Tahoma" w:hAnsi="Tahoma" w:cs="Tahoma"/>
          <w:sz w:val="24"/>
          <w:szCs w:val="24"/>
          <w:lang w:val="en-GB"/>
        </w:rPr>
        <w:t>. VAT receipts rose</w:t>
      </w:r>
      <w:r w:rsidR="00321CDC" w:rsidRPr="0066150C">
        <w:rPr>
          <w:rFonts w:ascii="Tahoma" w:hAnsi="Tahoma" w:cs="Tahoma"/>
          <w:sz w:val="24"/>
          <w:szCs w:val="24"/>
          <w:lang w:val="en-GB"/>
        </w:rPr>
        <w:t xml:space="preserve"> by 8.1% </w:t>
      </w:r>
      <w:r w:rsidR="00281321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321CDC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281321">
        <w:rPr>
          <w:rFonts w:ascii="Tahoma" w:hAnsi="Tahoma" w:cs="Tahoma"/>
          <w:sz w:val="24"/>
          <w:szCs w:val="24"/>
          <w:lang w:val="en-GB"/>
        </w:rPr>
        <w:t>)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in December</w:t>
      </w:r>
      <w:r w:rsidR="00321CDC" w:rsidRPr="0066150C">
        <w:rPr>
          <w:rFonts w:ascii="Tahoma" w:hAnsi="Tahoma" w:cs="Tahoma"/>
          <w:sz w:val="24"/>
          <w:szCs w:val="24"/>
          <w:lang w:val="en-GB"/>
        </w:rPr>
        <w:t>, faster than the</w:t>
      </w:r>
      <w:r w:rsidR="001E2F10">
        <w:rPr>
          <w:rFonts w:ascii="Tahoma" w:hAnsi="Tahoma" w:cs="Tahoma"/>
          <w:sz w:val="24"/>
          <w:szCs w:val="24"/>
          <w:lang w:val="en-GB"/>
        </w:rPr>
        <w:t xml:space="preserve"> </w:t>
      </w:r>
      <w:r w:rsidR="001E2F10" w:rsidRPr="0066150C">
        <w:rPr>
          <w:rFonts w:ascii="Tahoma" w:hAnsi="Tahoma" w:cs="Tahoma"/>
          <w:sz w:val="24"/>
          <w:szCs w:val="24"/>
          <w:lang w:val="en-GB"/>
        </w:rPr>
        <w:t>relevant macroeconomic base (turnover in trade, services and industry)</w:t>
      </w:r>
      <w:r w:rsidR="00E56FF2">
        <w:rPr>
          <w:rFonts w:ascii="Tahoma" w:hAnsi="Tahoma" w:cs="Tahoma"/>
          <w:sz w:val="24"/>
          <w:szCs w:val="24"/>
          <w:lang w:val="en-GB"/>
        </w:rPr>
        <w:t>.</w:t>
      </w:r>
    </w:p>
    <w:p w14:paraId="16832ED3" w14:textId="77777777" w:rsidR="00E56FF2" w:rsidRDefault="00E56FF2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5EE8CEE6" w14:textId="27C06024" w:rsidR="00BA152F" w:rsidRPr="0066150C" w:rsidRDefault="00D318B7" w:rsidP="0073781B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18A7FE4E" wp14:editId="2DAF0904">
            <wp:extent cx="5952490" cy="381864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463" cy="383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6351C" w14:textId="419BC055" w:rsidR="00C92CD0" w:rsidRPr="0066150C" w:rsidRDefault="00C92CD0" w:rsidP="00C92CD0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NIS, own calculations</w:t>
      </w:r>
    </w:p>
    <w:p w14:paraId="1A4027B3" w14:textId="77777777" w:rsidR="00313230" w:rsidRPr="0066150C" w:rsidRDefault="00313230" w:rsidP="008343FE">
      <w:pPr>
        <w:pStyle w:val="ListParagraph"/>
        <w:spacing w:before="240"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BA152F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5</w:t>
      </w:r>
      <w:r w:rsidR="00D60BC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C92CD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VAT revenue</w:t>
      </w:r>
    </w:p>
    <w:p w14:paraId="2A3FBE2B" w14:textId="77777777" w:rsidR="003F4E84" w:rsidRPr="0066150C" w:rsidRDefault="003F4E84" w:rsidP="00313230">
      <w:pPr>
        <w:pStyle w:val="ListParagraph"/>
        <w:spacing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p w14:paraId="6A6F3DAD" w14:textId="356D32C1" w:rsidR="00CF1ED7" w:rsidRPr="0066150C" w:rsidRDefault="0025293A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In 2019, </w:t>
      </w:r>
      <w:r w:rsidR="00C62EE0" w:rsidRPr="0066150C">
        <w:rPr>
          <w:rFonts w:ascii="Tahoma" w:hAnsi="Tahoma" w:cs="Tahoma"/>
          <w:sz w:val="24"/>
          <w:szCs w:val="24"/>
          <w:lang w:val="en-GB"/>
        </w:rPr>
        <w:t>gross VAT revenue (excluding refunds) increased by 11%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CD0AA8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C62EE0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1E2F10" w:rsidRPr="001E2F10">
        <w:rPr>
          <w:rFonts w:ascii="Tahoma" w:hAnsi="Tahoma" w:cs="Tahoma"/>
          <w:sz w:val="24"/>
          <w:szCs w:val="24"/>
          <w:lang w:val="en-GB"/>
        </w:rPr>
        <w:t>whereas</w:t>
      </w:r>
      <w:r w:rsidR="00B64666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D0AA8" w:rsidRPr="0066150C">
        <w:rPr>
          <w:rFonts w:ascii="Tahoma" w:hAnsi="Tahoma" w:cs="Tahoma"/>
          <w:sz w:val="24"/>
          <w:szCs w:val="24"/>
          <w:lang w:val="en-GB"/>
        </w:rPr>
        <w:t>VAT refunds rose</w:t>
      </w:r>
      <w:r w:rsidR="00C62EE0" w:rsidRPr="0066150C">
        <w:rPr>
          <w:rFonts w:ascii="Tahoma" w:hAnsi="Tahoma" w:cs="Tahoma"/>
          <w:sz w:val="24"/>
          <w:szCs w:val="24"/>
          <w:lang w:val="en-GB"/>
        </w:rPr>
        <w:t xml:space="preserve"> by 1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>4.5% (</w:t>
      </w:r>
      <w:r w:rsidR="00DE553D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>18.8 billion in 2019)</w:t>
      </w:r>
      <w:r w:rsidR="00F7443E" w:rsidRPr="0066150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4"/>
      </w:r>
      <w:r w:rsidRPr="0066150C">
        <w:rPr>
          <w:rFonts w:ascii="Tahoma" w:hAnsi="Tahoma" w:cs="Tahoma"/>
          <w:sz w:val="24"/>
          <w:szCs w:val="24"/>
          <w:lang w:val="en-GB"/>
        </w:rPr>
        <w:t>,</w:t>
      </w:r>
      <w:r w:rsidR="00CF1ED7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while the relevant macroeconomic base </w:t>
      </w:r>
      <w:r w:rsidR="00E6277F">
        <w:rPr>
          <w:rFonts w:ascii="Tahoma" w:hAnsi="Tahoma" w:cs="Tahoma"/>
          <w:sz w:val="24"/>
          <w:szCs w:val="24"/>
          <w:lang w:val="en-GB"/>
        </w:rPr>
        <w:t>grew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 on average by 10.4% in 2019</w:t>
      </w:r>
      <w:r w:rsidR="00CF1ED7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Pr="0066150C">
        <w:rPr>
          <w:rFonts w:ascii="Tahoma" w:hAnsi="Tahoma" w:cs="Tahoma"/>
          <w:sz w:val="24"/>
          <w:szCs w:val="24"/>
          <w:lang w:val="en-GB"/>
        </w:rPr>
        <w:t>Furthermore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DE553D" w:rsidRPr="0066150C">
        <w:rPr>
          <w:rFonts w:ascii="Tahoma" w:hAnsi="Tahoma" w:cs="Tahoma"/>
          <w:sz w:val="24"/>
          <w:szCs w:val="24"/>
          <w:lang w:val="en-GB"/>
        </w:rPr>
        <w:t xml:space="preserve">2019 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VAT receipts dynamics was </w:t>
      </w:r>
      <w:r w:rsidR="00C61E22">
        <w:rPr>
          <w:rFonts w:ascii="Tahoma" w:hAnsi="Tahoma" w:cs="Tahoma"/>
          <w:sz w:val="24"/>
          <w:szCs w:val="24"/>
          <w:lang w:val="en-GB"/>
        </w:rPr>
        <w:t>adversely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 affected by the</w:t>
      </w:r>
      <w:r w:rsidR="001E2F10">
        <w:rPr>
          <w:rFonts w:ascii="Tahoma" w:hAnsi="Tahoma" w:cs="Tahoma"/>
          <w:sz w:val="24"/>
          <w:szCs w:val="24"/>
          <w:lang w:val="en-GB"/>
        </w:rPr>
        <w:t xml:space="preserve"> </w:t>
      </w:r>
      <w:r w:rsidR="001E2F10" w:rsidRPr="001E2F10">
        <w:rPr>
          <w:rFonts w:ascii="Tahoma" w:hAnsi="Tahoma" w:cs="Tahoma"/>
          <w:sz w:val="24"/>
          <w:szCs w:val="24"/>
          <w:lang w:val="en-GB"/>
        </w:rPr>
        <w:t xml:space="preserve">broadening </w:t>
      </w:r>
      <w:r w:rsidR="001E2F10">
        <w:rPr>
          <w:rFonts w:ascii="Tahoma" w:hAnsi="Tahoma" w:cs="Tahoma"/>
          <w:sz w:val="24"/>
          <w:szCs w:val="24"/>
          <w:lang w:val="en-GB"/>
        </w:rPr>
        <w:t xml:space="preserve">of the 5% </w:t>
      </w:r>
      <w:r w:rsidR="001E2F10" w:rsidRPr="0066150C">
        <w:rPr>
          <w:rFonts w:ascii="Tahoma" w:hAnsi="Tahoma" w:cs="Tahoma"/>
          <w:sz w:val="24"/>
          <w:szCs w:val="24"/>
          <w:lang w:val="en-GB"/>
        </w:rPr>
        <w:t xml:space="preserve">reduced </w:t>
      </w:r>
      <w:r w:rsidR="00A9275D" w:rsidRPr="0066150C">
        <w:rPr>
          <w:rFonts w:ascii="Tahoma" w:hAnsi="Tahoma" w:cs="Tahoma"/>
          <w:sz w:val="24"/>
          <w:szCs w:val="24"/>
          <w:lang w:val="en-GB"/>
        </w:rPr>
        <w:t xml:space="preserve">VAT rate </w:t>
      </w:r>
      <w:r w:rsidR="001E2F10">
        <w:rPr>
          <w:rFonts w:ascii="Tahoma" w:hAnsi="Tahoma" w:cs="Tahoma"/>
          <w:sz w:val="24"/>
          <w:szCs w:val="24"/>
          <w:lang w:val="en-GB"/>
        </w:rPr>
        <w:t xml:space="preserve">to 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restaurant and catering services, high quality food deliveries, </w:t>
      </w:r>
      <w:r w:rsidR="00C84B3B">
        <w:rPr>
          <w:rFonts w:ascii="Tahoma" w:hAnsi="Tahoma" w:cs="Tahoma"/>
          <w:sz w:val="24"/>
          <w:szCs w:val="24"/>
          <w:lang w:val="en-GB"/>
        </w:rPr>
        <w:t xml:space="preserve">hotel 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 xml:space="preserve">accommodation services </w:t>
      </w:r>
      <w:r w:rsidR="001E2F10">
        <w:rPr>
          <w:rFonts w:ascii="Tahoma" w:hAnsi="Tahoma" w:cs="Tahoma"/>
          <w:sz w:val="24"/>
          <w:szCs w:val="24"/>
          <w:lang w:val="en-GB"/>
        </w:rPr>
        <w:t>(</w:t>
      </w:r>
      <w:r w:rsidR="001E2F10" w:rsidRPr="0066150C">
        <w:rPr>
          <w:rFonts w:ascii="Tahoma" w:hAnsi="Tahoma" w:cs="Tahoma"/>
          <w:sz w:val="24"/>
          <w:szCs w:val="24"/>
          <w:lang w:val="en-GB"/>
        </w:rPr>
        <w:t>from 9%</w:t>
      </w:r>
      <w:r w:rsidR="00E03C59" w:rsidRPr="0066150C">
        <w:rPr>
          <w:rFonts w:ascii="Tahoma" w:hAnsi="Tahoma" w:cs="Tahoma"/>
          <w:sz w:val="24"/>
          <w:szCs w:val="24"/>
          <w:lang w:val="en-GB"/>
        </w:rPr>
        <w:t>).</w:t>
      </w:r>
      <w:r w:rsidR="001E2F10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489E0FAE" w14:textId="5FC6C9A2" w:rsidR="00CF1ED7" w:rsidRPr="0066150C" w:rsidRDefault="00E03C59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Revenue from </w:t>
      </w: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taxes on use of goods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decreased by</w:t>
      </w:r>
      <w:r w:rsidR="00DE553D" w:rsidRPr="0066150C">
        <w:rPr>
          <w:rFonts w:ascii="Tahoma" w:hAnsi="Tahoma" w:cs="Tahoma"/>
          <w:sz w:val="24"/>
          <w:szCs w:val="24"/>
          <w:lang w:val="en-GB"/>
        </w:rPr>
        <w:t xml:space="preserve"> RON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0.27 billion compared to 2018,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 xml:space="preserve"> mainly due to RON 3.0 billion refunds of </w:t>
      </w:r>
      <w:r w:rsidR="00A9275D" w:rsidRPr="0066150C">
        <w:rPr>
          <w:rFonts w:ascii="Tahoma" w:hAnsi="Tahoma" w:cs="Tahoma"/>
          <w:sz w:val="24"/>
          <w:szCs w:val="24"/>
          <w:lang w:val="en-GB"/>
        </w:rPr>
        <w:t xml:space="preserve">environment stamp duty for cars </w:t>
      </w:r>
      <w:r w:rsidR="003C3F3D">
        <w:rPr>
          <w:rFonts w:ascii="Tahoma" w:hAnsi="Tahoma" w:cs="Tahoma"/>
          <w:sz w:val="24"/>
          <w:szCs w:val="24"/>
          <w:lang w:val="en-GB"/>
        </w:rPr>
        <w:t>collected in previous years (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>in 2018 were refunded RON 1.6 billion</w:t>
      </w:r>
      <w:r w:rsidR="003C3F3D">
        <w:rPr>
          <w:rFonts w:ascii="Tahoma" w:hAnsi="Tahoma" w:cs="Tahoma"/>
          <w:sz w:val="24"/>
          <w:szCs w:val="24"/>
          <w:lang w:val="en-GB"/>
        </w:rPr>
        <w:t>)</w:t>
      </w:r>
      <w:r w:rsidR="00A9275D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966991" w:rsidRPr="0066150C">
        <w:rPr>
          <w:rFonts w:ascii="Tahoma" w:hAnsi="Tahoma" w:cs="Tahoma"/>
          <w:sz w:val="24"/>
          <w:szCs w:val="24"/>
          <w:lang w:val="en-GB"/>
        </w:rPr>
        <w:t>Gambling t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>ax</w:t>
      </w:r>
      <w:r w:rsidR="00966991" w:rsidRPr="0066150C">
        <w:rPr>
          <w:rFonts w:ascii="Tahoma" w:hAnsi="Tahoma" w:cs="Tahoma"/>
          <w:sz w:val="24"/>
          <w:szCs w:val="24"/>
          <w:lang w:val="en-GB"/>
        </w:rPr>
        <w:t xml:space="preserve"> revenue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 increased </w:t>
      </w:r>
      <w:r w:rsidR="00281321">
        <w:rPr>
          <w:rFonts w:ascii="Tahoma" w:hAnsi="Tahoma" w:cs="Tahoma"/>
          <w:sz w:val="24"/>
          <w:szCs w:val="24"/>
          <w:lang w:val="en-GB"/>
        </w:rPr>
        <w:t>by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 a</w:t>
      </w:r>
      <w:r w:rsidR="00700B62">
        <w:rPr>
          <w:rFonts w:ascii="Tahoma" w:hAnsi="Tahoma" w:cs="Tahoma"/>
          <w:sz w:val="24"/>
          <w:szCs w:val="24"/>
          <w:lang w:val="en-GB"/>
        </w:rPr>
        <w:t>n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 annual </w:t>
      </w:r>
      <w:r w:rsidR="003C3F3D" w:rsidRPr="0066150C">
        <w:rPr>
          <w:rFonts w:ascii="Tahoma" w:hAnsi="Tahoma" w:cs="Tahoma"/>
          <w:sz w:val="24"/>
          <w:szCs w:val="24"/>
          <w:lang w:val="en-GB"/>
        </w:rPr>
        <w:t>25.7%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 pace 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in 2019. However, revenue from taxes on the use of goods were 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>RON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 3.5 billion</w:t>
      </w:r>
      <w:r w:rsidR="00835E25" w:rsidRPr="0066150C">
        <w:rPr>
          <w:rFonts w:ascii="Tahoma" w:hAnsi="Tahoma" w:cs="Tahoma"/>
          <w:sz w:val="24"/>
          <w:szCs w:val="24"/>
          <w:lang w:val="en-GB"/>
        </w:rPr>
        <w:t xml:space="preserve"> lower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 compared to the initial </w:t>
      </w:r>
      <w:r w:rsidR="00A9275D" w:rsidRPr="0066150C">
        <w:rPr>
          <w:rFonts w:ascii="Tahoma" w:hAnsi="Tahoma" w:cs="Tahoma"/>
          <w:sz w:val="24"/>
          <w:szCs w:val="24"/>
          <w:lang w:val="en-GB"/>
        </w:rPr>
        <w:t>target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, mainly </w:t>
      </w:r>
      <w:r w:rsidR="00A9275D" w:rsidRPr="0066150C">
        <w:rPr>
          <w:rFonts w:ascii="Tahoma" w:hAnsi="Tahoma" w:cs="Tahoma"/>
          <w:sz w:val="24"/>
          <w:szCs w:val="24"/>
          <w:lang w:val="en-GB"/>
        </w:rPr>
        <w:t>due to postponed 5G frequencies sale</w:t>
      </w:r>
      <w:r w:rsidR="00CD0B3D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72CC6D62" w14:textId="1890DB4E" w:rsidR="00CF1ED7" w:rsidRPr="0066150C" w:rsidRDefault="00CD0B3D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lastRenderedPageBreak/>
        <w:t>Non-tax revenue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61E22" w:rsidRPr="0066150C">
        <w:rPr>
          <w:rFonts w:ascii="Tahoma" w:hAnsi="Tahoma" w:cs="Tahoma"/>
          <w:sz w:val="24"/>
          <w:szCs w:val="24"/>
          <w:lang w:val="en-GB"/>
        </w:rPr>
        <w:t>totalled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B137F5">
        <w:rPr>
          <w:rFonts w:ascii="Tahoma" w:hAnsi="Tahoma" w:cs="Tahoma"/>
          <w:sz w:val="24"/>
          <w:szCs w:val="24"/>
          <w:lang w:val="en-GB"/>
        </w:rPr>
        <w:t>27.09 billion in 2019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6277F">
        <w:rPr>
          <w:rFonts w:ascii="Tahoma" w:hAnsi="Tahoma" w:cs="Tahoma"/>
          <w:sz w:val="24"/>
          <w:szCs w:val="24"/>
          <w:lang w:val="en-GB"/>
        </w:rPr>
        <w:t>(-</w:t>
      </w:r>
      <w:r w:rsidRPr="0066150C">
        <w:rPr>
          <w:rFonts w:ascii="Tahoma" w:hAnsi="Tahoma" w:cs="Tahoma"/>
          <w:sz w:val="24"/>
          <w:szCs w:val="24"/>
          <w:lang w:val="en-GB"/>
        </w:rPr>
        <w:t>0.4%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A60532" w:rsidRPr="00E6277F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E6277F">
        <w:rPr>
          <w:rFonts w:ascii="Tahoma" w:hAnsi="Tahoma" w:cs="Tahoma"/>
          <w:sz w:val="24"/>
          <w:szCs w:val="24"/>
          <w:lang w:val="en-GB"/>
        </w:rPr>
        <w:t>)</w:t>
      </w:r>
      <w:r w:rsidR="00B137F5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B137F5" w:rsidRPr="0066150C">
        <w:rPr>
          <w:rFonts w:ascii="Tahoma" w:hAnsi="Tahoma" w:cs="Tahoma"/>
          <w:sz w:val="24"/>
          <w:szCs w:val="24"/>
          <w:lang w:val="en-GB"/>
        </w:rPr>
        <w:t>RON 1.20 billion lower</w:t>
      </w:r>
      <w:r w:rsidR="00B137F5">
        <w:rPr>
          <w:rFonts w:ascii="Tahoma" w:hAnsi="Tahoma" w:cs="Tahoma"/>
          <w:sz w:val="24"/>
          <w:szCs w:val="24"/>
          <w:lang w:val="en-GB"/>
        </w:rPr>
        <w:t xml:space="preserve"> c</w:t>
      </w:r>
      <w:r w:rsidR="00977D9F" w:rsidRPr="0066150C">
        <w:rPr>
          <w:rFonts w:ascii="Tahoma" w:hAnsi="Tahoma" w:cs="Tahoma"/>
          <w:sz w:val="24"/>
          <w:szCs w:val="24"/>
          <w:lang w:val="en-GB"/>
        </w:rPr>
        <w:t xml:space="preserve">ompared to the initial 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>target</w:t>
      </w:r>
      <w:r w:rsidR="00B137F5">
        <w:rPr>
          <w:rFonts w:ascii="Tahoma" w:hAnsi="Tahoma" w:cs="Tahoma"/>
          <w:sz w:val="24"/>
          <w:szCs w:val="24"/>
          <w:lang w:val="en-GB"/>
        </w:rPr>
        <w:t xml:space="preserve"> </w:t>
      </w:r>
      <w:r w:rsidR="00F53857">
        <w:rPr>
          <w:rFonts w:ascii="Tahoma" w:hAnsi="Tahoma" w:cs="Tahoma"/>
          <w:sz w:val="24"/>
          <w:szCs w:val="24"/>
          <w:lang w:val="en-GB"/>
        </w:rPr>
        <w:t>(</w:t>
      </w:r>
      <w:r w:rsidR="00F53857" w:rsidRPr="0066150C">
        <w:rPr>
          <w:rFonts w:ascii="Tahoma" w:hAnsi="Tahoma" w:cs="Tahoma"/>
          <w:sz w:val="24"/>
          <w:szCs w:val="24"/>
          <w:lang w:val="en-GB"/>
        </w:rPr>
        <w:t>95,8%</w:t>
      </w:r>
      <w:r w:rsidR="00F53857">
        <w:rPr>
          <w:rFonts w:ascii="Tahoma" w:hAnsi="Tahoma" w:cs="Tahoma"/>
          <w:sz w:val="24"/>
          <w:szCs w:val="24"/>
          <w:lang w:val="en-GB"/>
        </w:rPr>
        <w:t>)</w:t>
      </w:r>
      <w:r w:rsidR="00977D9F" w:rsidRPr="0066150C">
        <w:rPr>
          <w:rFonts w:ascii="Tahoma" w:hAnsi="Tahoma" w:cs="Tahoma"/>
          <w:sz w:val="24"/>
          <w:szCs w:val="24"/>
          <w:lang w:val="en-GB"/>
        </w:rPr>
        <w:t xml:space="preserve">. Revenue from 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>SOEs</w:t>
      </w:r>
      <w:r w:rsidR="00977D9F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 xml:space="preserve">dividends </w:t>
      </w:r>
      <w:r w:rsidR="00977D9F" w:rsidRPr="0066150C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payments from the autonomous administrations net profit </w:t>
      </w:r>
      <w:r w:rsidR="00656D17">
        <w:rPr>
          <w:rFonts w:ascii="Tahoma" w:hAnsi="Tahoma" w:cs="Tahoma"/>
          <w:sz w:val="24"/>
          <w:szCs w:val="24"/>
          <w:lang w:val="en-GB"/>
        </w:rPr>
        <w:t>was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5.97 billion in 2019,</w:t>
      </w:r>
      <w:r w:rsidR="0054788C" w:rsidRPr="0066150C">
        <w:rPr>
          <w:lang w:val="en-GB"/>
        </w:rPr>
        <w:t xml:space="preserve">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20% lower than the 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 xml:space="preserve">2018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receipts, as a result of 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lower </w:t>
      </w:r>
      <w:r w:rsidR="003C3F3D" w:rsidRPr="0066150C">
        <w:rPr>
          <w:rFonts w:ascii="Tahoma" w:hAnsi="Tahoma" w:cs="Tahoma"/>
          <w:sz w:val="24"/>
          <w:szCs w:val="24"/>
          <w:lang w:val="en-GB"/>
        </w:rPr>
        <w:t>additional dividends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3C3F3D">
        <w:rPr>
          <w:rFonts w:ascii="Tahoma" w:hAnsi="Tahoma" w:cs="Tahoma"/>
          <w:sz w:val="24"/>
          <w:szCs w:val="24"/>
          <w:lang w:val="en-GB"/>
        </w:rPr>
        <w:t>by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22A7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1.3 billion 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 xml:space="preserve">in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December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>,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3C3F3D">
        <w:rPr>
          <w:rFonts w:ascii="Tahoma" w:hAnsi="Tahoma" w:cs="Tahoma"/>
          <w:sz w:val="24"/>
          <w:szCs w:val="24"/>
          <w:lang w:val="en-GB"/>
        </w:rPr>
        <w:t>according to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GEO </w:t>
      </w:r>
      <w:r w:rsidR="004D05CA">
        <w:rPr>
          <w:rFonts w:ascii="Tahoma" w:hAnsi="Tahoma" w:cs="Tahoma"/>
          <w:sz w:val="24"/>
          <w:szCs w:val="24"/>
          <w:lang w:val="en-GB"/>
        </w:rPr>
        <w:t>no.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114/2018.</w:t>
      </w:r>
      <w:r w:rsidR="00CF1ED7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Non-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 xml:space="preserve">tax 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>revenue to the state budget (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from concessions, interest, services and other activities, administrative and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license</w:t>
      </w:r>
      <w:r w:rsidR="004D05CA">
        <w:rPr>
          <w:rFonts w:ascii="Tahoma" w:hAnsi="Tahoma" w:cs="Tahoma"/>
          <w:sz w:val="24"/>
          <w:szCs w:val="24"/>
          <w:lang w:val="en-GB"/>
        </w:rPr>
        <w:t xml:space="preserve">s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fees, 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>penalties and confiscations</w:t>
      </w:r>
      <w:r w:rsidR="00A60532" w:rsidRPr="0066150C">
        <w:rPr>
          <w:rFonts w:ascii="Tahoma" w:hAnsi="Tahoma" w:cs="Tahoma"/>
          <w:sz w:val="24"/>
          <w:szCs w:val="24"/>
          <w:lang w:val="en-GB"/>
        </w:rPr>
        <w:t>)</w:t>
      </w:r>
      <w:r w:rsidR="0054788C" w:rsidRPr="0066150C">
        <w:rPr>
          <w:rFonts w:ascii="Tahoma" w:hAnsi="Tahoma" w:cs="Tahoma"/>
          <w:sz w:val="24"/>
          <w:szCs w:val="24"/>
          <w:lang w:val="en-GB"/>
        </w:rPr>
        <w:t xml:space="preserve"> increased by 15.1% compared to 2018.</w:t>
      </w:r>
    </w:p>
    <w:p w14:paraId="278D4D60" w14:textId="65951E36" w:rsidR="00311CDB" w:rsidRPr="0066150C" w:rsidRDefault="007F5BD4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When excluding RON 3.8 billion EU refunds from retrospective</w:t>
      </w:r>
      <w:r w:rsidRPr="0066150C">
        <w:rPr>
          <w:rStyle w:val="FootnoteReference"/>
          <w:rFonts w:ascii="Tahoma" w:hAnsi="Tahoma" w:cs="Tahoma"/>
          <w:sz w:val="24"/>
          <w:szCs w:val="24"/>
          <w:lang w:val="en-GB"/>
        </w:rPr>
        <w:footnoteReference w:id="5"/>
      </w:r>
      <w:r w:rsidRPr="0066150C">
        <w:rPr>
          <w:rFonts w:ascii="Tahoma" w:hAnsi="Tahoma" w:cs="Tahoma"/>
          <w:sz w:val="24"/>
          <w:szCs w:val="24"/>
          <w:lang w:val="en-GB"/>
        </w:rPr>
        <w:t>,</w:t>
      </w:r>
      <w:r w:rsidRPr="0066150C">
        <w:rPr>
          <w:rFonts w:ascii="Tahoma" w:hAnsi="Tahoma" w:cs="Tahoma"/>
          <w:b/>
          <w:i/>
          <w:sz w:val="24"/>
          <w:szCs w:val="24"/>
          <w:lang w:val="en-GB"/>
        </w:rPr>
        <w:t xml:space="preserve"> </w:t>
      </w:r>
      <w:r w:rsidR="00311CDB" w:rsidRPr="0066150C">
        <w:rPr>
          <w:rFonts w:ascii="Tahoma" w:hAnsi="Tahoma" w:cs="Tahoma"/>
          <w:b/>
          <w:i/>
          <w:sz w:val="24"/>
          <w:szCs w:val="24"/>
          <w:lang w:val="en-GB"/>
        </w:rPr>
        <w:t>EU Re</w:t>
      </w: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funds</w:t>
      </w:r>
      <w:r w:rsidR="00311CDB" w:rsidRPr="0066150C">
        <w:rPr>
          <w:rFonts w:ascii="Tahoma" w:hAnsi="Tahoma" w:cs="Tahoma"/>
          <w:b/>
          <w:i/>
          <w:sz w:val="24"/>
          <w:szCs w:val="24"/>
          <w:lang w:val="en-GB"/>
        </w:rPr>
        <w:t xml:space="preserve"> and donations</w:t>
      </w:r>
      <w:r w:rsidR="00311CD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149AC" w:rsidRPr="0066150C">
        <w:rPr>
          <w:rFonts w:ascii="Tahoma" w:hAnsi="Tahoma" w:cs="Tahoma"/>
          <w:sz w:val="24"/>
          <w:szCs w:val="24"/>
          <w:lang w:val="en-GB"/>
        </w:rPr>
        <w:t xml:space="preserve">amounted to 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149AC" w:rsidRPr="0066150C">
        <w:rPr>
          <w:rFonts w:ascii="Tahoma" w:hAnsi="Tahoma" w:cs="Tahoma"/>
          <w:sz w:val="24"/>
          <w:szCs w:val="24"/>
          <w:lang w:val="en-GB"/>
        </w:rPr>
        <w:t>25.32 billion in 2019 (2.4% of GDP), slightly higher than in 2018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4149AC" w:rsidRPr="0066150C">
        <w:rPr>
          <w:rFonts w:ascii="Tahoma" w:hAnsi="Tahoma" w:cs="Tahoma"/>
          <w:sz w:val="24"/>
          <w:szCs w:val="24"/>
          <w:lang w:val="en-GB"/>
        </w:rPr>
        <w:t xml:space="preserve">but 0.8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="004149AC" w:rsidRPr="0066150C">
        <w:rPr>
          <w:rFonts w:ascii="Tahoma" w:hAnsi="Tahoma" w:cs="Tahoma"/>
          <w:sz w:val="24"/>
          <w:szCs w:val="24"/>
          <w:lang w:val="en-GB"/>
        </w:rPr>
        <w:t xml:space="preserve"> of GDP </w:t>
      </w:r>
      <w:r w:rsidR="003C3F3D">
        <w:rPr>
          <w:rFonts w:ascii="Tahoma" w:hAnsi="Tahoma" w:cs="Tahoma"/>
          <w:sz w:val="24"/>
          <w:szCs w:val="24"/>
          <w:lang w:val="en-GB"/>
        </w:rPr>
        <w:t>behind</w:t>
      </w:r>
      <w:r w:rsidR="004149AC" w:rsidRPr="0066150C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 xml:space="preserve">initial target. </w:t>
      </w:r>
    </w:p>
    <w:p w14:paraId="72DE309E" w14:textId="77777777" w:rsidR="00CF1ED7" w:rsidRPr="0066150C" w:rsidRDefault="00CF1ED7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50FC07F2" w14:textId="6AA1A82E" w:rsidR="00CF1ED7" w:rsidRPr="0066150C" w:rsidRDefault="003C3F3D" w:rsidP="00CF1ED7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after="120" w:line="360" w:lineRule="auto"/>
        <w:ind w:hanging="1080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t>general government expenditure</w:t>
      </w:r>
    </w:p>
    <w:p w14:paraId="6FC9B424" w14:textId="77777777" w:rsidR="00CF1ED7" w:rsidRPr="0066150C" w:rsidRDefault="00CF1ED7" w:rsidP="00CF1ED7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2810B221" w14:textId="7412D2E3" w:rsidR="004A4B30" w:rsidRPr="0066150C" w:rsidRDefault="00E9176D" w:rsidP="004A4B30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General government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expenditure amounted to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 xml:space="preserve"> RON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369.43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b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>illion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(35.5% of GDP), </w:t>
      </w:r>
      <w:r w:rsidRPr="0066150C">
        <w:rPr>
          <w:rFonts w:ascii="Tahoma" w:hAnsi="Tahoma" w:cs="Tahoma"/>
          <w:sz w:val="24"/>
          <w:szCs w:val="24"/>
          <w:lang w:val="en-GB"/>
        </w:rPr>
        <w:t>up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14.7% compared to the previous year,</w:t>
      </w:r>
      <w:r w:rsidR="00C61E22">
        <w:rPr>
          <w:rFonts w:ascii="Tahoma" w:hAnsi="Tahoma" w:cs="Tahoma"/>
          <w:sz w:val="24"/>
          <w:szCs w:val="24"/>
          <w:lang w:val="en-GB"/>
        </w:rPr>
        <w:t xml:space="preserve"> but marginally lower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61E22" w:rsidRPr="0066150C">
        <w:rPr>
          <w:rFonts w:ascii="Tahoma" w:hAnsi="Tahoma" w:cs="Tahoma"/>
          <w:sz w:val="24"/>
          <w:szCs w:val="24"/>
          <w:lang w:val="en-GB"/>
        </w:rPr>
        <w:t xml:space="preserve">compared to the initial target </w:t>
      </w:r>
      <w:r w:rsidR="00C61E22">
        <w:rPr>
          <w:rFonts w:ascii="Tahoma" w:hAnsi="Tahoma" w:cs="Tahoma"/>
          <w:sz w:val="24"/>
          <w:szCs w:val="24"/>
          <w:lang w:val="en-GB"/>
        </w:rPr>
        <w:t>(</w:t>
      </w:r>
      <w:r w:rsidRPr="0066150C">
        <w:rPr>
          <w:rFonts w:ascii="Tahoma" w:hAnsi="Tahoma" w:cs="Tahoma"/>
          <w:sz w:val="24"/>
          <w:szCs w:val="24"/>
          <w:lang w:val="en-GB"/>
        </w:rPr>
        <w:t>99.6%</w:t>
      </w:r>
      <w:r w:rsidR="00C61E22">
        <w:rPr>
          <w:rFonts w:ascii="Tahoma" w:hAnsi="Tahoma" w:cs="Tahoma"/>
          <w:sz w:val="24"/>
          <w:szCs w:val="24"/>
          <w:lang w:val="en-GB"/>
        </w:rPr>
        <w:t>)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. 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otal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expenditure increased by 1.7 </w:t>
      </w:r>
      <w:r w:rsidR="003C3F3D">
        <w:rPr>
          <w:rFonts w:ascii="Tahoma" w:hAnsi="Tahoma" w:cs="Tahoma"/>
          <w:sz w:val="24"/>
          <w:szCs w:val="24"/>
          <w:lang w:val="en-GB"/>
        </w:rPr>
        <w:t>pp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, from 33.8% of GDP in 2018 to 35.5% of GDP in 2019.</w:t>
      </w:r>
    </w:p>
    <w:p w14:paraId="295CADEF" w14:textId="7EEE039E" w:rsidR="004A4B30" w:rsidRPr="0066150C" w:rsidRDefault="004A4B30" w:rsidP="001A2254">
      <w:pPr>
        <w:shd w:val="clear" w:color="auto" w:fill="D9D9D9" w:themeFill="background1" w:themeFillShade="D9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The expansion of budget expenditure is explained by the increase</w:t>
      </w:r>
      <w:r w:rsidR="00E9176D" w:rsidRPr="0066150C">
        <w:rPr>
          <w:rFonts w:ascii="Tahoma" w:hAnsi="Tahoma" w:cs="Tahoma"/>
          <w:sz w:val="24"/>
          <w:szCs w:val="24"/>
          <w:lang w:val="en-GB"/>
        </w:rPr>
        <w:t>,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9176D" w:rsidRPr="0066150C">
        <w:rPr>
          <w:rFonts w:ascii="Tahoma" w:hAnsi="Tahoma" w:cs="Tahoma"/>
          <w:sz w:val="24"/>
          <w:szCs w:val="24"/>
          <w:lang w:val="en-GB"/>
        </w:rPr>
        <w:t xml:space="preserve">as a share of GDP,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of </w:t>
      </w:r>
      <w:r w:rsidR="00483BA3" w:rsidRPr="0066150C">
        <w:rPr>
          <w:rFonts w:ascii="Tahoma" w:hAnsi="Tahoma" w:cs="Tahoma"/>
          <w:sz w:val="24"/>
          <w:szCs w:val="24"/>
          <w:lang w:val="en-GB"/>
        </w:rPr>
        <w:t xml:space="preserve">compensation of employees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by 0.8 </w:t>
      </w:r>
      <w:r w:rsidR="003C3F3D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social assistance by 0.4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investment by 0.6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and goods and services </w:t>
      </w:r>
      <w:r w:rsidR="00E9176D" w:rsidRPr="0066150C">
        <w:rPr>
          <w:rFonts w:ascii="Tahoma" w:hAnsi="Tahoma" w:cs="Tahoma"/>
          <w:sz w:val="24"/>
          <w:szCs w:val="24"/>
          <w:lang w:val="en-GB"/>
        </w:rPr>
        <w:t xml:space="preserve">by 0.4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="00E9176D"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63896F22" w14:textId="77777777" w:rsidR="001A2254" w:rsidRPr="0066150C" w:rsidRDefault="001A2254" w:rsidP="001A2254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097A1950" w14:textId="4F81DCCD" w:rsidR="004A4B30" w:rsidRPr="0066150C" w:rsidRDefault="00483BA3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 xml:space="preserve">Compensation of employees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grew by 18,8% </w:t>
      </w:r>
      <w:r w:rsidR="00A12711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0D3A0D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A12711">
        <w:rPr>
          <w:rFonts w:ascii="Tahoma" w:hAnsi="Tahoma" w:cs="Tahoma"/>
          <w:sz w:val="24"/>
          <w:szCs w:val="24"/>
          <w:lang w:val="en-GB"/>
        </w:rPr>
        <w:t>)</w:t>
      </w:r>
      <w:r w:rsidR="000D3A0D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in 2019, to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102.34 billion, </w:t>
      </w:r>
      <w:r w:rsidR="003C3F3D">
        <w:rPr>
          <w:rFonts w:ascii="Tahoma" w:hAnsi="Tahoma" w:cs="Tahoma"/>
          <w:sz w:val="24"/>
          <w:szCs w:val="24"/>
          <w:lang w:val="en-GB"/>
        </w:rPr>
        <w:t>in line with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the initial </w:t>
      </w:r>
      <w:r w:rsidR="000D3A0D" w:rsidRPr="0066150C">
        <w:rPr>
          <w:rFonts w:ascii="Tahoma" w:hAnsi="Tahoma" w:cs="Tahoma"/>
          <w:sz w:val="24"/>
          <w:szCs w:val="24"/>
          <w:lang w:val="en-GB"/>
        </w:rPr>
        <w:t>target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As a share of GDP, </w:t>
      </w:r>
      <w:r w:rsidRPr="0066150C">
        <w:rPr>
          <w:rFonts w:ascii="Tahoma" w:hAnsi="Tahoma" w:cs="Tahoma"/>
          <w:sz w:val="24"/>
          <w:szCs w:val="24"/>
          <w:lang w:val="en-GB"/>
        </w:rPr>
        <w:t>compensation of employees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increased by 0.8 </w:t>
      </w:r>
      <w:r w:rsidR="003C3F3D">
        <w:rPr>
          <w:rFonts w:ascii="Tahoma" w:hAnsi="Tahoma" w:cs="Tahoma"/>
          <w:sz w:val="24"/>
          <w:szCs w:val="24"/>
          <w:lang w:val="en-GB"/>
        </w:rPr>
        <w:t>pp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, from 9% in 2018 to 9.8% in 2019. </w:t>
      </w:r>
      <w:proofErr w:type="gramStart"/>
      <w:r w:rsidR="004A4B30" w:rsidRPr="0066150C">
        <w:rPr>
          <w:rFonts w:ascii="Tahoma" w:hAnsi="Tahoma" w:cs="Tahoma"/>
          <w:sz w:val="24"/>
          <w:szCs w:val="24"/>
          <w:lang w:val="en-GB"/>
        </w:rPr>
        <w:t>Th</w:t>
      </w:r>
      <w:r w:rsidR="00A65BD1" w:rsidRPr="0066150C">
        <w:rPr>
          <w:rFonts w:ascii="Tahoma" w:hAnsi="Tahoma" w:cs="Tahoma"/>
          <w:sz w:val="24"/>
          <w:szCs w:val="24"/>
          <w:lang w:val="en-GB"/>
        </w:rPr>
        <w:t>is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0D3A0D" w:rsidRPr="0066150C">
        <w:rPr>
          <w:rFonts w:ascii="Tahoma" w:hAnsi="Tahoma" w:cs="Tahoma"/>
          <w:sz w:val="24"/>
          <w:szCs w:val="24"/>
          <w:lang w:val="en-GB"/>
        </w:rPr>
        <w:t>dynamics</w:t>
      </w:r>
      <w:proofErr w:type="gramEnd"/>
      <w:r w:rsidR="000D3A0D" w:rsidRPr="0066150C">
        <w:rPr>
          <w:rFonts w:ascii="Tahoma" w:hAnsi="Tahoma" w:cs="Tahoma"/>
          <w:sz w:val="24"/>
          <w:szCs w:val="24"/>
          <w:lang w:val="en-GB"/>
        </w:rPr>
        <w:t xml:space="preserve"> is mainly explained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by </w:t>
      </w:r>
      <w:r w:rsidR="00E56FF2">
        <w:rPr>
          <w:rFonts w:ascii="Tahoma" w:hAnsi="Tahoma" w:cs="Tahoma"/>
          <w:sz w:val="24"/>
          <w:szCs w:val="24"/>
          <w:lang w:val="en-GB"/>
        </w:rPr>
        <w:t xml:space="preserve">the hikes in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public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wages </w:t>
      </w:r>
      <w:r w:rsidR="00E56FF2">
        <w:rPr>
          <w:rFonts w:ascii="Tahoma" w:hAnsi="Tahoma" w:cs="Tahoma"/>
          <w:sz w:val="24"/>
          <w:szCs w:val="24"/>
          <w:lang w:val="en-GB"/>
        </w:rPr>
        <w:t>(</w:t>
      </w:r>
      <w:r w:rsidR="003C3F3D">
        <w:rPr>
          <w:rFonts w:ascii="Tahoma" w:hAnsi="Tahoma" w:cs="Tahoma"/>
          <w:sz w:val="24"/>
          <w:szCs w:val="24"/>
          <w:lang w:val="en-GB"/>
        </w:rPr>
        <w:t>according to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Law 153/2017</w:t>
      </w:r>
      <w:r w:rsidR="00E56FF2">
        <w:rPr>
          <w:rFonts w:ascii="Tahoma" w:hAnsi="Tahoma" w:cs="Tahoma"/>
          <w:sz w:val="24"/>
          <w:szCs w:val="24"/>
          <w:lang w:val="en-GB"/>
        </w:rPr>
        <w:t>)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and</w:t>
      </w:r>
      <w:r w:rsidR="00E56FF2">
        <w:rPr>
          <w:rFonts w:ascii="Tahoma" w:hAnsi="Tahoma" w:cs="Tahoma"/>
          <w:sz w:val="24"/>
          <w:szCs w:val="24"/>
          <w:lang w:val="en-GB"/>
        </w:rPr>
        <w:t xml:space="preserve"> in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minimum wage. 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This amount also includes wage settlements </w:t>
      </w:r>
      <w:r w:rsidR="003C3F3D" w:rsidRPr="0066150C">
        <w:rPr>
          <w:rFonts w:ascii="Tahoma" w:hAnsi="Tahoma" w:cs="Tahoma"/>
          <w:sz w:val="24"/>
          <w:szCs w:val="24"/>
          <w:lang w:val="en-GB"/>
        </w:rPr>
        <w:t xml:space="preserve">for state universities </w:t>
      </w:r>
      <w:r w:rsidR="003C3F3D">
        <w:rPr>
          <w:rFonts w:ascii="Tahoma" w:hAnsi="Tahoma" w:cs="Tahoma"/>
          <w:sz w:val="24"/>
          <w:szCs w:val="24"/>
          <w:lang w:val="en-GB"/>
        </w:rPr>
        <w:t xml:space="preserve">personnel </w:t>
      </w:r>
      <w:r w:rsidR="002A10F4" w:rsidRPr="0066150C">
        <w:rPr>
          <w:rFonts w:ascii="Tahoma" w:hAnsi="Tahoma" w:cs="Tahoma"/>
          <w:sz w:val="24"/>
          <w:szCs w:val="24"/>
          <w:lang w:val="en-GB"/>
        </w:rPr>
        <w:t xml:space="preserve">stipulated by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Law 85/2016</w:t>
      </w:r>
      <w:r w:rsidR="002A10F4" w:rsidRPr="0066150C">
        <w:rPr>
          <w:rFonts w:ascii="Tahoma" w:hAnsi="Tahoma" w:cs="Tahoma"/>
          <w:sz w:val="24"/>
          <w:szCs w:val="24"/>
          <w:lang w:val="en-GB"/>
        </w:rPr>
        <w:t xml:space="preserve"> - 2018 arrears and </w:t>
      </w:r>
      <w:r w:rsidR="002A10F4" w:rsidRPr="0066150C">
        <w:rPr>
          <w:rFonts w:ascii="Tahoma" w:hAnsi="Tahoma" w:cs="Tahoma"/>
          <w:sz w:val="24"/>
          <w:szCs w:val="24"/>
          <w:lang w:val="en-GB"/>
        </w:rPr>
        <w:lastRenderedPageBreak/>
        <w:t>payments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 corresponding to 2019,</w:t>
      </w:r>
      <w:r w:rsidR="007132A5">
        <w:rPr>
          <w:rFonts w:ascii="Tahoma" w:hAnsi="Tahoma" w:cs="Tahoma"/>
          <w:sz w:val="24"/>
          <w:szCs w:val="24"/>
          <w:lang w:val="en-GB"/>
        </w:rPr>
        <w:t xml:space="preserve">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as well as</w:t>
      </w:r>
      <w:r w:rsidR="007132A5">
        <w:rPr>
          <w:rFonts w:ascii="Tahoma" w:hAnsi="Tahoma" w:cs="Tahoma"/>
          <w:sz w:val="24"/>
          <w:szCs w:val="24"/>
          <w:lang w:val="en-GB"/>
        </w:rPr>
        <w:t xml:space="preserve"> settlements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56FF2">
        <w:rPr>
          <w:rFonts w:ascii="Tahoma" w:hAnsi="Tahoma" w:cs="Tahoma"/>
          <w:sz w:val="24"/>
          <w:szCs w:val="24"/>
          <w:lang w:val="en-GB"/>
        </w:rPr>
        <w:t>as to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court decisions related to 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>wage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rights in </w:t>
      </w:r>
      <w:r w:rsidR="007132A5">
        <w:rPr>
          <w:rFonts w:ascii="Tahoma" w:hAnsi="Tahoma" w:cs="Tahoma"/>
          <w:sz w:val="24"/>
          <w:szCs w:val="24"/>
          <w:lang w:val="en-GB"/>
        </w:rPr>
        <w:t>e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ducation and </w:t>
      </w:r>
      <w:r w:rsidR="00E56FF2">
        <w:rPr>
          <w:rFonts w:ascii="Tahoma" w:hAnsi="Tahoma" w:cs="Tahoma"/>
          <w:sz w:val="24"/>
          <w:szCs w:val="24"/>
          <w:lang w:val="en-GB"/>
        </w:rPr>
        <w:t>j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ustice</w:t>
      </w:r>
      <w:r w:rsidR="00A12711">
        <w:rPr>
          <w:rFonts w:ascii="Tahoma" w:hAnsi="Tahoma" w:cs="Tahoma"/>
          <w:sz w:val="24"/>
          <w:szCs w:val="24"/>
          <w:lang w:val="en-GB"/>
        </w:rPr>
        <w:t xml:space="preserve"> (impact of </w:t>
      </w:r>
      <w:r w:rsidR="00A12711" w:rsidRPr="0066150C">
        <w:rPr>
          <w:rFonts w:ascii="Tahoma" w:hAnsi="Tahoma" w:cs="Tahoma"/>
          <w:sz w:val="24"/>
          <w:szCs w:val="24"/>
          <w:lang w:val="en-GB"/>
        </w:rPr>
        <w:t>RON 1.7 billion</w:t>
      </w:r>
      <w:r w:rsidR="00A12711">
        <w:rPr>
          <w:rFonts w:ascii="Tahoma" w:hAnsi="Tahoma" w:cs="Tahoma"/>
          <w:sz w:val="24"/>
          <w:szCs w:val="24"/>
          <w:lang w:val="en-GB"/>
        </w:rPr>
        <w:t>).</w:t>
      </w:r>
    </w:p>
    <w:p w14:paraId="2C29C65D" w14:textId="6FD8BEDD" w:rsidR="004A4B30" w:rsidRPr="0066150C" w:rsidRDefault="004A4B30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Goods and services expenditure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amounted to 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E56FF2">
        <w:rPr>
          <w:rFonts w:ascii="Tahoma" w:hAnsi="Tahoma" w:cs="Tahoma"/>
          <w:sz w:val="24"/>
          <w:szCs w:val="24"/>
          <w:lang w:val="en-GB"/>
        </w:rPr>
        <w:t>52.78 billion (</w:t>
      </w:r>
      <w:r w:rsidRPr="00E56FF2">
        <w:rPr>
          <w:rFonts w:ascii="Tahoma" w:hAnsi="Tahoma" w:cs="Tahoma"/>
          <w:sz w:val="24"/>
          <w:szCs w:val="24"/>
          <w:lang w:val="en-GB"/>
        </w:rPr>
        <w:t>18.3%</w:t>
      </w:r>
      <w:r w:rsidR="00A12711">
        <w:rPr>
          <w:rFonts w:ascii="Tahoma" w:hAnsi="Tahoma" w:cs="Tahoma"/>
          <w:sz w:val="24"/>
          <w:szCs w:val="24"/>
          <w:lang w:val="en-GB"/>
        </w:rPr>
        <w:t>,</w:t>
      </w:r>
      <w:r w:rsidRPr="00E56FF2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4C5C99" w:rsidRPr="00E56FF2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E56FF2">
        <w:rPr>
          <w:rFonts w:ascii="Tahoma" w:hAnsi="Tahoma" w:cs="Tahoma"/>
          <w:sz w:val="24"/>
          <w:szCs w:val="24"/>
          <w:lang w:val="en-GB"/>
        </w:rPr>
        <w:t>)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>4 billion</w:t>
      </w:r>
      <w:r w:rsidR="00E56FF2">
        <w:rPr>
          <w:rFonts w:ascii="Tahoma" w:hAnsi="Tahoma" w:cs="Tahoma"/>
          <w:sz w:val="24"/>
          <w:szCs w:val="24"/>
          <w:lang w:val="en-GB"/>
        </w:rPr>
        <w:t xml:space="preserve"> above </w:t>
      </w:r>
      <w:r w:rsidR="00E56FF2" w:rsidRPr="0066150C">
        <w:rPr>
          <w:rFonts w:ascii="Tahoma" w:hAnsi="Tahoma" w:cs="Tahoma"/>
          <w:sz w:val="24"/>
          <w:szCs w:val="24"/>
          <w:lang w:val="en-GB"/>
        </w:rPr>
        <w:t>the initial target</w:t>
      </w:r>
      <w:r w:rsidR="00E56FF2">
        <w:rPr>
          <w:rFonts w:ascii="Tahoma" w:hAnsi="Tahoma" w:cs="Tahoma"/>
          <w:sz w:val="24"/>
          <w:szCs w:val="24"/>
          <w:lang w:val="en-GB"/>
        </w:rPr>
        <w:t xml:space="preserve">, 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>due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>to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56FF2">
        <w:rPr>
          <w:rFonts w:ascii="Tahoma" w:hAnsi="Tahoma" w:cs="Tahoma"/>
          <w:sz w:val="24"/>
          <w:szCs w:val="24"/>
          <w:lang w:val="en-GB"/>
        </w:rPr>
        <w:t>additional spending for drugs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>and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C5C99" w:rsidRPr="0066150C">
        <w:rPr>
          <w:rFonts w:ascii="Tahoma" w:hAnsi="Tahoma" w:cs="Tahoma"/>
          <w:sz w:val="24"/>
          <w:szCs w:val="24"/>
          <w:lang w:val="en-GB"/>
        </w:rPr>
        <w:t>overdue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invoices </w:t>
      </w:r>
      <w:r w:rsidR="00E56FF2">
        <w:rPr>
          <w:rFonts w:ascii="Tahoma" w:hAnsi="Tahoma" w:cs="Tahoma"/>
          <w:sz w:val="24"/>
          <w:szCs w:val="24"/>
          <w:lang w:val="en-GB"/>
        </w:rPr>
        <w:t>in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local public administration.</w:t>
      </w:r>
    </w:p>
    <w:p w14:paraId="59ABAF61" w14:textId="69B57160" w:rsidR="004A4B30" w:rsidRPr="0066150C" w:rsidRDefault="004A4B30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Interest expenditure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amounted to RON 12.15 billion, </w:t>
      </w:r>
      <w:r w:rsidRPr="0066150C">
        <w:rPr>
          <w:rFonts w:ascii="Tahoma" w:hAnsi="Tahoma" w:cs="Tahoma"/>
          <w:sz w:val="24"/>
          <w:szCs w:val="24"/>
          <w:lang w:val="en-GB"/>
        </w:rPr>
        <w:t>6,1%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7132A5">
        <w:rPr>
          <w:rFonts w:ascii="Tahoma" w:hAnsi="Tahoma" w:cs="Tahoma"/>
          <w:sz w:val="24"/>
          <w:szCs w:val="24"/>
          <w:lang w:val="en-GB"/>
        </w:rPr>
        <w:t>lower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compared to 2018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and 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1.26 billion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below the initial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>target</w:t>
      </w:r>
      <w:r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2A741506" w14:textId="543BB885" w:rsidR="004A4B30" w:rsidRPr="0066150C" w:rsidRDefault="004A4B30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Subsidies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amounted to </w:t>
      </w:r>
      <w:r w:rsidR="000948BA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>7.11 billion</w:t>
      </w:r>
      <w:r w:rsidR="00A65BD1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 xml:space="preserve">and stood at </w:t>
      </w:r>
      <w:r w:rsidRPr="0066150C">
        <w:rPr>
          <w:rFonts w:ascii="Tahoma" w:hAnsi="Tahoma" w:cs="Tahoma"/>
          <w:sz w:val="24"/>
          <w:szCs w:val="24"/>
          <w:lang w:val="en-GB"/>
        </w:rPr>
        <w:t>0.7% of GDP.</w:t>
      </w:r>
    </w:p>
    <w:p w14:paraId="42575987" w14:textId="6095F3F5" w:rsidR="00D05EA1" w:rsidRPr="0066150C" w:rsidRDefault="000948BA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S</w:t>
      </w:r>
      <w:r w:rsidR="004A4B30" w:rsidRPr="0066150C">
        <w:rPr>
          <w:rFonts w:ascii="Tahoma" w:hAnsi="Tahoma" w:cs="Tahoma"/>
          <w:b/>
          <w:i/>
          <w:sz w:val="24"/>
          <w:szCs w:val="24"/>
          <w:lang w:val="en-GB"/>
        </w:rPr>
        <w:t>ocial assistance expenditure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>amounted to RON 114.74 billion, up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13.2%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12711">
        <w:rPr>
          <w:rFonts w:ascii="Tahoma" w:hAnsi="Tahoma" w:cs="Tahoma"/>
          <w:sz w:val="24"/>
          <w:szCs w:val="24"/>
          <w:lang w:val="en-GB"/>
        </w:rPr>
        <w:t>(</w:t>
      </w:r>
      <w:proofErr w:type="spellStart"/>
      <w:r w:rsidR="00805BFB" w:rsidRPr="0066150C">
        <w:rPr>
          <w:rFonts w:ascii="Tahoma" w:hAnsi="Tahoma" w:cs="Tahoma"/>
          <w:sz w:val="24"/>
          <w:szCs w:val="24"/>
          <w:lang w:val="en-GB"/>
        </w:rPr>
        <w:t>yoy</w:t>
      </w:r>
      <w:proofErr w:type="spellEnd"/>
      <w:r w:rsidR="00A12711">
        <w:rPr>
          <w:rFonts w:ascii="Tahoma" w:hAnsi="Tahoma" w:cs="Tahoma"/>
          <w:sz w:val="24"/>
          <w:szCs w:val="24"/>
          <w:lang w:val="en-GB"/>
        </w:rPr>
        <w:t>)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proofErr w:type="gramStart"/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This </w:t>
      </w:r>
      <w:r w:rsidR="00805BFB" w:rsidRPr="0066150C">
        <w:rPr>
          <w:rFonts w:ascii="Tahoma" w:hAnsi="Tahoma" w:cs="Tahoma"/>
          <w:sz w:val="24"/>
          <w:szCs w:val="24"/>
          <w:lang w:val="en-GB"/>
        </w:rPr>
        <w:t>dynamics</w:t>
      </w:r>
      <w:proofErr w:type="gramEnd"/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A65BD1" w:rsidRPr="0066150C">
        <w:rPr>
          <w:rFonts w:ascii="Tahoma" w:hAnsi="Tahoma" w:cs="Tahoma"/>
          <w:sz w:val="24"/>
          <w:szCs w:val="24"/>
          <w:lang w:val="en-GB"/>
        </w:rPr>
        <w:t xml:space="preserve">is </w:t>
      </w:r>
      <w:r w:rsidR="00B1312D" w:rsidRPr="0066150C">
        <w:rPr>
          <w:rFonts w:ascii="Tahoma" w:hAnsi="Tahoma" w:cs="Tahoma"/>
          <w:sz w:val="24"/>
          <w:szCs w:val="24"/>
          <w:lang w:val="en-GB"/>
        </w:rPr>
        <w:t xml:space="preserve">mainly </w:t>
      </w:r>
      <w:r w:rsidR="00A65BD1" w:rsidRPr="0066150C">
        <w:rPr>
          <w:rFonts w:ascii="Tahoma" w:hAnsi="Tahoma" w:cs="Tahoma"/>
          <w:sz w:val="24"/>
          <w:szCs w:val="24"/>
          <w:lang w:val="en-GB"/>
        </w:rPr>
        <w:t>explained by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>increases in: (</w:t>
      </w:r>
      <w:proofErr w:type="spellStart"/>
      <w:r w:rsidR="00DB722C" w:rsidRPr="0066150C">
        <w:rPr>
          <w:rFonts w:ascii="Tahoma" w:hAnsi="Tahoma" w:cs="Tahoma"/>
          <w:sz w:val="24"/>
          <w:szCs w:val="24"/>
          <w:lang w:val="en-GB"/>
        </w:rPr>
        <w:t>i</w:t>
      </w:r>
      <w:proofErr w:type="spellEnd"/>
      <w:r w:rsidR="00DB722C" w:rsidRPr="0066150C">
        <w:rPr>
          <w:rFonts w:ascii="Tahoma" w:hAnsi="Tahoma" w:cs="Tahoma"/>
          <w:sz w:val="24"/>
          <w:szCs w:val="24"/>
          <w:lang w:val="en-GB"/>
        </w:rPr>
        <w:t xml:space="preserve">)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pension point by 10% as of July 1st, 2018 (to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RON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1,100) and by 15% since September 1st, 2019 (to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1,265)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>;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>(ii)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social allowance for pensioners as of July 1st, 2018 and September 1st 2019 (from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520 to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 RON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640 and subsequently to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704) and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>(iii)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E6277F">
        <w:rPr>
          <w:rFonts w:ascii="Tahoma" w:hAnsi="Tahoma" w:cs="Tahoma"/>
          <w:sz w:val="24"/>
          <w:szCs w:val="24"/>
          <w:lang w:val="en-GB"/>
        </w:rPr>
        <w:t>child</w:t>
      </w:r>
      <w:r w:rsidR="007132A5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allowances. Compared to the initial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>target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 xml:space="preserve">social assistance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(pensions, </w:t>
      </w:r>
      <w:r w:rsidR="007132A5">
        <w:rPr>
          <w:rFonts w:ascii="Tahoma" w:hAnsi="Tahoma" w:cs="Tahoma"/>
          <w:sz w:val="24"/>
          <w:szCs w:val="24"/>
          <w:lang w:val="en-GB"/>
        </w:rPr>
        <w:t>child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allowances, </w:t>
      </w:r>
      <w:r w:rsidR="007132A5">
        <w:rPr>
          <w:rFonts w:ascii="Tahoma" w:hAnsi="Tahoma" w:cs="Tahoma"/>
          <w:sz w:val="24"/>
          <w:szCs w:val="24"/>
          <w:lang w:val="en-GB"/>
        </w:rPr>
        <w:t xml:space="preserve">disability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allowances, </w:t>
      </w:r>
      <w:r w:rsidR="007132A5">
        <w:rPr>
          <w:rFonts w:ascii="Tahoma" w:hAnsi="Tahoma" w:cs="Tahoma"/>
          <w:sz w:val="24"/>
          <w:szCs w:val="24"/>
          <w:lang w:val="en-GB"/>
        </w:rPr>
        <w:t xml:space="preserve">maternity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allowances etc.) were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DB722C" w:rsidRPr="0066150C">
        <w:rPr>
          <w:rFonts w:ascii="Tahoma" w:hAnsi="Tahoma" w:cs="Tahoma"/>
          <w:sz w:val="24"/>
          <w:szCs w:val="24"/>
          <w:lang w:val="en-GB"/>
        </w:rPr>
        <w:t xml:space="preserve">5.2 billion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higher. </w:t>
      </w:r>
      <w:r w:rsidR="00DB722C" w:rsidRPr="007132A5">
        <w:rPr>
          <w:rFonts w:ascii="Tahoma" w:hAnsi="Tahoma" w:cs="Tahoma"/>
          <w:sz w:val="24"/>
          <w:szCs w:val="24"/>
          <w:lang w:val="en-GB"/>
        </w:rPr>
        <w:t xml:space="preserve">RON 1.2 billion correspond to </w:t>
      </w:r>
      <w:r w:rsidR="00743333" w:rsidRPr="007132A5">
        <w:rPr>
          <w:rFonts w:ascii="Tahoma" w:hAnsi="Tahoma" w:cs="Tahoma"/>
          <w:sz w:val="24"/>
          <w:szCs w:val="24"/>
          <w:lang w:val="en-GB"/>
        </w:rPr>
        <w:t xml:space="preserve">overdue health insurance payments </w:t>
      </w:r>
      <w:r w:rsidR="007132A5" w:rsidRPr="007132A5">
        <w:rPr>
          <w:rFonts w:ascii="Tahoma" w:hAnsi="Tahoma" w:cs="Tahoma"/>
          <w:sz w:val="24"/>
          <w:szCs w:val="24"/>
          <w:lang w:val="en-GB"/>
        </w:rPr>
        <w:t>on</w:t>
      </w:r>
      <w:r w:rsidR="004A4B30" w:rsidRPr="007132A5">
        <w:rPr>
          <w:rFonts w:ascii="Tahoma" w:hAnsi="Tahoma" w:cs="Tahoma"/>
          <w:sz w:val="24"/>
          <w:szCs w:val="24"/>
          <w:lang w:val="en-GB"/>
        </w:rPr>
        <w:t xml:space="preserve"> medical leave</w:t>
      </w:r>
      <w:r w:rsidR="007132A5">
        <w:rPr>
          <w:rFonts w:ascii="Tahoma" w:hAnsi="Tahoma" w:cs="Tahoma"/>
          <w:sz w:val="24"/>
          <w:szCs w:val="24"/>
          <w:lang w:val="en-GB"/>
        </w:rPr>
        <w:t>.</w:t>
      </w:r>
    </w:p>
    <w:p w14:paraId="2C125B6C" w14:textId="4EBFEAA8" w:rsidR="004A4B30" w:rsidRPr="0066150C" w:rsidRDefault="004A4B30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Other expenditure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(mainly amounts related to the payment titles issued by the National Authority for Properties Restitution according to legislation in force, scholarships for students and civil damages) amounted to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>7.62 billio</w:t>
      </w:r>
      <w:r w:rsidR="00794167" w:rsidRPr="0066150C">
        <w:rPr>
          <w:rFonts w:ascii="Tahoma" w:hAnsi="Tahoma" w:cs="Tahoma"/>
          <w:sz w:val="24"/>
          <w:szCs w:val="24"/>
          <w:lang w:val="en-GB"/>
        </w:rPr>
        <w:t xml:space="preserve">n </w:t>
      </w:r>
      <w:r w:rsidRPr="0066150C">
        <w:rPr>
          <w:rFonts w:ascii="Tahoma" w:hAnsi="Tahoma" w:cs="Tahoma"/>
          <w:sz w:val="24"/>
          <w:szCs w:val="24"/>
          <w:lang w:val="en-GB"/>
        </w:rPr>
        <w:t>in 2019</w:t>
      </w:r>
      <w:r w:rsidR="00D479D8" w:rsidRPr="0066150C">
        <w:rPr>
          <w:rFonts w:ascii="Tahoma" w:hAnsi="Tahoma" w:cs="Tahoma"/>
          <w:sz w:val="24"/>
          <w:szCs w:val="24"/>
          <w:lang w:val="en-GB"/>
        </w:rPr>
        <w:t>,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1.5 billion above the </w:t>
      </w:r>
      <w:r w:rsidR="001C177D">
        <w:rPr>
          <w:rFonts w:ascii="Tahoma" w:hAnsi="Tahoma" w:cs="Tahoma"/>
          <w:sz w:val="24"/>
          <w:szCs w:val="24"/>
          <w:lang w:val="en-GB"/>
        </w:rPr>
        <w:t>initial</w:t>
      </w:r>
      <w:r w:rsidR="00B64A5B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479D8" w:rsidRPr="0066150C">
        <w:rPr>
          <w:rFonts w:ascii="Tahoma" w:hAnsi="Tahoma" w:cs="Tahoma"/>
          <w:sz w:val="24"/>
          <w:szCs w:val="24"/>
          <w:lang w:val="en-GB"/>
        </w:rPr>
        <w:t>target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. This increase also includes </w:t>
      </w:r>
      <w:r w:rsidR="00D479D8" w:rsidRPr="0066150C">
        <w:rPr>
          <w:rFonts w:ascii="Tahoma" w:hAnsi="Tahoma" w:cs="Tahoma"/>
          <w:sz w:val="24"/>
          <w:szCs w:val="24"/>
          <w:lang w:val="en-GB"/>
        </w:rPr>
        <w:t xml:space="preserve">the settlement of RON 0.91 billion in December </w:t>
      </w:r>
      <w:r w:rsidR="001C177D">
        <w:rPr>
          <w:rFonts w:ascii="Tahoma" w:hAnsi="Tahoma" w:cs="Tahoma"/>
          <w:sz w:val="24"/>
          <w:szCs w:val="24"/>
          <w:lang w:val="en-GB"/>
        </w:rPr>
        <w:t>as to</w:t>
      </w:r>
      <w:r w:rsidR="00D479D8" w:rsidRPr="0066150C">
        <w:rPr>
          <w:rFonts w:ascii="Tahoma" w:hAnsi="Tahoma" w:cs="Tahoma"/>
          <w:sz w:val="24"/>
          <w:szCs w:val="24"/>
          <w:lang w:val="en-GB"/>
        </w:rPr>
        <w:t xml:space="preserve"> arbitration decision issued by the International Centre for Settlement of Investment Dispute (Arbitration File no. ARB / 05/20).</w:t>
      </w:r>
    </w:p>
    <w:p w14:paraId="722C42DA" w14:textId="0C47AA1A" w:rsidR="00460E3C" w:rsidRPr="0066150C" w:rsidRDefault="00B64A5B" w:rsidP="004A4B30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i/>
          <w:sz w:val="24"/>
          <w:szCs w:val="24"/>
          <w:lang w:val="en-GB"/>
        </w:rPr>
        <w:t>I</w:t>
      </w:r>
      <w:r w:rsidR="004A4B30" w:rsidRPr="0066150C">
        <w:rPr>
          <w:rFonts w:ascii="Tahoma" w:hAnsi="Tahoma" w:cs="Tahoma"/>
          <w:b/>
          <w:i/>
          <w:sz w:val="24"/>
          <w:szCs w:val="24"/>
          <w:lang w:val="en-GB"/>
        </w:rPr>
        <w:t>nvestment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, which include capital expenditure, as well as </w:t>
      </w:r>
      <w:r w:rsidR="00B1312D" w:rsidRPr="0066150C">
        <w:rPr>
          <w:rFonts w:ascii="Tahoma" w:hAnsi="Tahoma" w:cs="Tahoma"/>
          <w:sz w:val="24"/>
          <w:szCs w:val="24"/>
          <w:lang w:val="en-GB"/>
        </w:rPr>
        <w:t xml:space="preserve">spending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related to </w:t>
      </w:r>
      <w:r w:rsidR="004A4B30" w:rsidRPr="00E6277F">
        <w:rPr>
          <w:rFonts w:ascii="Tahoma" w:hAnsi="Tahoma" w:cs="Tahoma"/>
          <w:sz w:val="24"/>
          <w:szCs w:val="24"/>
          <w:lang w:val="en-GB"/>
        </w:rPr>
        <w:t>development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programs financed from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domestic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and external sources, amounted to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43.61 billion (4.2% of GDP). </w:t>
      </w:r>
      <w:r w:rsidR="007132A5">
        <w:rPr>
          <w:rFonts w:ascii="Tahoma" w:hAnsi="Tahoma" w:cs="Tahoma"/>
          <w:sz w:val="24"/>
          <w:szCs w:val="24"/>
          <w:lang w:val="en-GB"/>
        </w:rPr>
        <w:t xml:space="preserve">The 27.4% annual increase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was mainly </w:t>
      </w:r>
      <w:r w:rsidR="007132A5">
        <w:rPr>
          <w:rFonts w:ascii="Tahoma" w:hAnsi="Tahoma" w:cs="Tahoma"/>
          <w:sz w:val="24"/>
          <w:szCs w:val="24"/>
          <w:lang w:val="en-GB"/>
        </w:rPr>
        <w:t>driven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by </w:t>
      </w:r>
      <w:r w:rsidR="00DF1651">
        <w:rPr>
          <w:rFonts w:ascii="Tahoma" w:hAnsi="Tahoma" w:cs="Tahoma"/>
          <w:sz w:val="24"/>
          <w:szCs w:val="24"/>
          <w:lang w:val="en-GB"/>
        </w:rPr>
        <w:t xml:space="preserve">the settlement of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invoices issued </w:t>
      </w:r>
      <w:r w:rsidR="00394396" w:rsidRPr="0066150C">
        <w:rPr>
          <w:rFonts w:ascii="Tahoma" w:hAnsi="Tahoma" w:cs="Tahoma"/>
          <w:sz w:val="24"/>
          <w:szCs w:val="24"/>
          <w:lang w:val="en-GB"/>
        </w:rPr>
        <w:t>over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the last two months (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16.8 billion, representing 38.5% of </w:t>
      </w:r>
      <w:r w:rsidRPr="0066150C">
        <w:rPr>
          <w:rFonts w:ascii="Tahoma" w:hAnsi="Tahoma" w:cs="Tahoma"/>
          <w:sz w:val="24"/>
          <w:szCs w:val="24"/>
          <w:lang w:val="en-GB"/>
        </w:rPr>
        <w:t>total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annual investments) </w:t>
      </w:r>
      <w:r w:rsidR="00394396" w:rsidRPr="0066150C">
        <w:rPr>
          <w:rFonts w:ascii="Tahoma" w:hAnsi="Tahoma" w:cs="Tahoma"/>
          <w:sz w:val="24"/>
          <w:szCs w:val="24"/>
          <w:lang w:val="en-GB"/>
        </w:rPr>
        <w:t>for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F1651">
        <w:rPr>
          <w:rFonts w:ascii="Tahoma" w:hAnsi="Tahoma" w:cs="Tahoma"/>
          <w:sz w:val="24"/>
          <w:szCs w:val="24"/>
          <w:lang w:val="en-GB"/>
        </w:rPr>
        <w:t xml:space="preserve">the investment projects in </w:t>
      </w:r>
      <w:r w:rsidR="004A4B30" w:rsidRPr="0066150C">
        <w:rPr>
          <w:rFonts w:ascii="Tahoma" w:hAnsi="Tahoma" w:cs="Tahoma"/>
          <w:sz w:val="24"/>
          <w:szCs w:val="24"/>
          <w:lang w:val="en-GB"/>
        </w:rPr>
        <w:t>central and local administration</w:t>
      </w:r>
      <w:r w:rsidR="00DF1651">
        <w:rPr>
          <w:rFonts w:ascii="Tahoma" w:hAnsi="Tahoma" w:cs="Tahoma"/>
          <w:sz w:val="24"/>
          <w:szCs w:val="24"/>
          <w:lang w:val="en-GB"/>
        </w:rPr>
        <w:t xml:space="preserve"> (bringing the final capital expenditure </w:t>
      </w:r>
      <w:r w:rsidR="00460E3C" w:rsidRPr="0066150C">
        <w:rPr>
          <w:rFonts w:ascii="Tahoma" w:hAnsi="Tahoma" w:cs="Tahoma"/>
          <w:sz w:val="24"/>
          <w:szCs w:val="24"/>
          <w:lang w:val="en-GB"/>
        </w:rPr>
        <w:t xml:space="preserve">RON 4.95 billion </w:t>
      </w:r>
      <w:r w:rsidR="00DF1651">
        <w:rPr>
          <w:rFonts w:ascii="Tahoma" w:hAnsi="Tahoma" w:cs="Tahoma"/>
          <w:sz w:val="24"/>
          <w:szCs w:val="24"/>
          <w:lang w:val="en-GB"/>
        </w:rPr>
        <w:t xml:space="preserve">above </w:t>
      </w:r>
      <w:r w:rsidR="00394396" w:rsidRPr="0066150C">
        <w:rPr>
          <w:rFonts w:ascii="Tahoma" w:hAnsi="Tahoma" w:cs="Tahoma"/>
          <w:sz w:val="24"/>
          <w:szCs w:val="24"/>
          <w:lang w:val="en-GB"/>
        </w:rPr>
        <w:t>initial target</w:t>
      </w:r>
      <w:r w:rsidR="00DF1651">
        <w:rPr>
          <w:rFonts w:ascii="Tahoma" w:hAnsi="Tahoma" w:cs="Tahoma"/>
          <w:sz w:val="24"/>
          <w:szCs w:val="24"/>
          <w:lang w:val="en-GB"/>
        </w:rPr>
        <w:t>)</w:t>
      </w:r>
      <w:r w:rsidR="00460E3C"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</w:p>
    <w:p w14:paraId="4EFDB46C" w14:textId="5E99A706" w:rsidR="00CE2B39" w:rsidRPr="0066150C" w:rsidRDefault="00D318B7" w:rsidP="008343FE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lastRenderedPageBreak/>
        <w:drawing>
          <wp:inline distT="0" distB="0" distL="0" distR="0" wp14:anchorId="5F26D5BE" wp14:editId="0120B3AD">
            <wp:extent cx="6230620" cy="27495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F65E1" w14:textId="0BBEA4C5" w:rsidR="005D0771" w:rsidRPr="0066150C" w:rsidRDefault="005D0771" w:rsidP="005D0771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own calculations</w:t>
      </w:r>
    </w:p>
    <w:p w14:paraId="61F44FFD" w14:textId="489C4AE5" w:rsidR="00CE2B39" w:rsidRPr="0066150C" w:rsidRDefault="00CE2B39" w:rsidP="00CE2B39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9C3388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703ACE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6</w:t>
      </w: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1F7E5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P</w:t>
      </w:r>
      <w:r w:rsidR="005D0771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ublic investment</w:t>
      </w:r>
      <w:r w:rsidR="001F7E5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spending</w:t>
      </w:r>
    </w:p>
    <w:p w14:paraId="74AD826F" w14:textId="391D25D7" w:rsidR="009E4B9C" w:rsidRPr="0066150C" w:rsidRDefault="00D05EA1" w:rsidP="00571D08">
      <w:pPr>
        <w:spacing w:after="120" w:line="360" w:lineRule="auto"/>
        <w:jc w:val="both"/>
        <w:rPr>
          <w:rFonts w:ascii="Helv" w:hAnsi="Helv" w:cs="Helv"/>
          <w:color w:val="000000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On the other hand, expenditure </w:t>
      </w:r>
      <w:r w:rsidR="00663EA7" w:rsidRPr="0066150C">
        <w:rPr>
          <w:rFonts w:ascii="Tahoma" w:hAnsi="Tahoma" w:cs="Tahoma"/>
          <w:sz w:val="24"/>
          <w:szCs w:val="24"/>
          <w:lang w:val="en-GB"/>
        </w:rPr>
        <w:t>for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projects financed from non-reimbursable external funds (including EU subsidies for agriculture) amounted to </w:t>
      </w:r>
      <w:r w:rsidR="00F5008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27.99 billion, </w:t>
      </w:r>
      <w:r w:rsidR="00F50086" w:rsidRPr="0066150C">
        <w:rPr>
          <w:rFonts w:ascii="Tahoma" w:hAnsi="Tahoma" w:cs="Tahoma"/>
          <w:sz w:val="24"/>
          <w:szCs w:val="24"/>
          <w:lang w:val="en-GB"/>
        </w:rPr>
        <w:t xml:space="preserve">RON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10.43 billion lower than the initial </w:t>
      </w:r>
      <w:r w:rsidR="00F50086" w:rsidRPr="0066150C">
        <w:rPr>
          <w:rFonts w:ascii="Tahoma" w:hAnsi="Tahoma" w:cs="Tahoma"/>
          <w:sz w:val="24"/>
          <w:szCs w:val="24"/>
          <w:lang w:val="en-GB"/>
        </w:rPr>
        <w:t>target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. </w:t>
      </w:r>
      <w:r w:rsidR="00DF1651" w:rsidRPr="00E6277F">
        <w:rPr>
          <w:rFonts w:ascii="Tahoma" w:hAnsi="Tahoma" w:cs="Tahoma"/>
          <w:sz w:val="24"/>
          <w:szCs w:val="24"/>
          <w:lang w:val="en-GB"/>
        </w:rPr>
        <w:t xml:space="preserve">A slow </w:t>
      </w:r>
      <w:r w:rsidRPr="00E6277F">
        <w:rPr>
          <w:rFonts w:ascii="Tahoma" w:hAnsi="Tahoma" w:cs="Tahoma"/>
          <w:sz w:val="24"/>
          <w:szCs w:val="24"/>
          <w:lang w:val="en-GB"/>
        </w:rPr>
        <w:t xml:space="preserve">implementation of projects financed from </w:t>
      </w:r>
      <w:r w:rsidR="00DF1651">
        <w:rPr>
          <w:rFonts w:ascii="Tahoma" w:hAnsi="Tahoma" w:cs="Tahoma"/>
          <w:sz w:val="24"/>
          <w:szCs w:val="24"/>
          <w:lang w:val="en-GB"/>
        </w:rPr>
        <w:t>EU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funds was also reflected on the revenue side</w:t>
      </w:r>
      <w:r w:rsidR="00DF1651">
        <w:rPr>
          <w:rFonts w:ascii="Tahoma" w:hAnsi="Tahoma" w:cs="Tahoma"/>
          <w:sz w:val="24"/>
          <w:szCs w:val="24"/>
          <w:lang w:val="en-GB"/>
        </w:rPr>
        <w:t xml:space="preserve"> </w:t>
      </w:r>
      <w:r w:rsidR="001C177D">
        <w:rPr>
          <w:rFonts w:ascii="Tahoma" w:hAnsi="Tahoma" w:cs="Tahoma"/>
          <w:sz w:val="24"/>
          <w:szCs w:val="24"/>
          <w:lang w:val="en-GB"/>
        </w:rPr>
        <w:t>(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0.8 </w:t>
      </w:r>
      <w:r w:rsidR="00E6277F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 </w:t>
      </w:r>
      <w:r w:rsidR="00DF1651">
        <w:rPr>
          <w:rFonts w:ascii="Tahoma" w:hAnsi="Tahoma" w:cs="Tahoma"/>
          <w:sz w:val="24"/>
          <w:szCs w:val="24"/>
          <w:lang w:val="en-GB"/>
        </w:rPr>
        <w:t>lower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663EA7" w:rsidRPr="0066150C">
        <w:rPr>
          <w:rFonts w:ascii="Tahoma" w:hAnsi="Tahoma" w:cs="Tahoma"/>
          <w:sz w:val="24"/>
          <w:szCs w:val="24"/>
          <w:lang w:val="en-GB"/>
        </w:rPr>
        <w:t>initial target</w:t>
      </w:r>
      <w:r w:rsidR="00E6277F">
        <w:rPr>
          <w:rFonts w:ascii="Tahoma" w:hAnsi="Tahoma" w:cs="Tahoma"/>
          <w:sz w:val="24"/>
          <w:szCs w:val="24"/>
          <w:lang w:val="en-GB"/>
        </w:rPr>
        <w:t>)</w:t>
      </w:r>
      <w:r w:rsidR="00663EA7"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3F71E13F" w14:textId="77777777" w:rsidR="007B5527" w:rsidRPr="0066150C" w:rsidRDefault="005D0771" w:rsidP="005D0771">
      <w:pPr>
        <w:spacing w:after="0" w:line="24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noProof/>
          <w:color w:val="767171" w:themeColor="background2" w:themeShade="80"/>
          <w:sz w:val="24"/>
          <w:szCs w:val="24"/>
          <w:lang w:val="en-US"/>
        </w:rPr>
        <w:drawing>
          <wp:inline distT="0" distB="0" distL="0" distR="0" wp14:anchorId="111995C8" wp14:editId="1D93CDE2">
            <wp:extent cx="5628234" cy="2790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755" cy="280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DB10B8" w14:textId="467EA7C2" w:rsidR="005D0771" w:rsidRPr="0066150C" w:rsidRDefault="005D0771" w:rsidP="005D0771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own calculations</w:t>
      </w:r>
    </w:p>
    <w:p w14:paraId="051D2CBA" w14:textId="521CD260" w:rsidR="00751BF9" w:rsidRPr="0066150C" w:rsidRDefault="00751BF9" w:rsidP="00751BF9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703ACE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7</w:t>
      </w: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5D0771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Public investment </w:t>
      </w:r>
      <w:r w:rsidR="001F7E56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structure</w:t>
      </w:r>
    </w:p>
    <w:p w14:paraId="4ACB9A92" w14:textId="1CEA28A7" w:rsidR="00663EA7" w:rsidRPr="0066150C" w:rsidRDefault="00663EA7" w:rsidP="00751BF9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</w:p>
    <w:p w14:paraId="4B4992CB" w14:textId="77777777" w:rsidR="00703ACE" w:rsidRPr="0066150C" w:rsidRDefault="00D05EA1" w:rsidP="00D05EA1">
      <w:pPr>
        <w:pStyle w:val="ListParagraph"/>
        <w:numPr>
          <w:ilvl w:val="0"/>
          <w:numId w:val="2"/>
        </w:numPr>
        <w:shd w:val="clear" w:color="auto" w:fill="D9D9D9" w:themeFill="background1" w:themeFillShade="D9"/>
        <w:spacing w:before="160" w:after="120" w:line="360" w:lineRule="auto"/>
        <w:ind w:hanging="1080"/>
        <w:jc w:val="both"/>
        <w:rPr>
          <w:rFonts w:ascii="Tahoma" w:hAnsi="Tahoma" w:cs="Tahoma"/>
          <w:b/>
          <w:caps/>
          <w:color w:val="0070C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aps/>
          <w:color w:val="0070C0"/>
          <w:sz w:val="24"/>
          <w:szCs w:val="24"/>
          <w:lang w:val="en-GB"/>
        </w:rPr>
        <w:lastRenderedPageBreak/>
        <w:t>budget deficit – comparison to targets</w:t>
      </w:r>
    </w:p>
    <w:p w14:paraId="622A10F9" w14:textId="128E500F" w:rsidR="001C52B3" w:rsidRPr="0066150C" w:rsidRDefault="00D05EA1" w:rsidP="001C52B3">
      <w:pPr>
        <w:shd w:val="clear" w:color="auto" w:fill="DEEAF6" w:themeFill="accent1" w:themeFillTint="33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The sharp deterioration of budget deficit in 2019 </w:t>
      </w:r>
      <w:r w:rsidR="00281042">
        <w:rPr>
          <w:rFonts w:ascii="Tahoma" w:hAnsi="Tahoma" w:cs="Tahoma"/>
          <w:sz w:val="24"/>
          <w:szCs w:val="24"/>
          <w:lang w:val="en-GB"/>
        </w:rPr>
        <w:t>compared to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81042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2,76% of GDP </w:t>
      </w:r>
      <w:r w:rsidR="00281042">
        <w:rPr>
          <w:rFonts w:ascii="Tahoma" w:hAnsi="Tahoma" w:cs="Tahoma"/>
          <w:sz w:val="24"/>
          <w:szCs w:val="24"/>
          <w:lang w:val="en-GB"/>
        </w:rPr>
        <w:t xml:space="preserve">target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was </w:t>
      </w:r>
      <w:r w:rsidR="00154C33" w:rsidRPr="0066150C">
        <w:rPr>
          <w:rFonts w:ascii="Tahoma" w:hAnsi="Tahoma" w:cs="Tahoma"/>
          <w:sz w:val="24"/>
          <w:szCs w:val="24"/>
          <w:lang w:val="en-GB"/>
        </w:rPr>
        <w:t>due to planned increase of certain expenditure categories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in </w:t>
      </w:r>
      <w:r w:rsidR="00281042">
        <w:rPr>
          <w:rFonts w:ascii="Tahoma" w:hAnsi="Tahoma" w:cs="Tahoma"/>
          <w:sz w:val="24"/>
          <w:szCs w:val="24"/>
          <w:lang w:val="en-GB"/>
        </w:rPr>
        <w:t>line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60E3C" w:rsidRPr="0066150C">
        <w:rPr>
          <w:rFonts w:ascii="Tahoma" w:hAnsi="Tahoma" w:cs="Tahoma"/>
          <w:sz w:val="24"/>
          <w:szCs w:val="24"/>
          <w:lang w:val="en-GB"/>
        </w:rPr>
        <w:t xml:space="preserve">to </w:t>
      </w:r>
      <w:r w:rsidRPr="0066150C">
        <w:rPr>
          <w:rFonts w:ascii="Tahoma" w:hAnsi="Tahoma" w:cs="Tahoma"/>
          <w:sz w:val="24"/>
          <w:szCs w:val="24"/>
          <w:lang w:val="en-GB"/>
        </w:rPr>
        <w:t>the annual budget law approved at the beginning of 2019</w:t>
      </w:r>
      <w:r w:rsidR="00460E3C" w:rsidRPr="0066150C">
        <w:rPr>
          <w:rFonts w:ascii="Tahoma" w:hAnsi="Tahoma" w:cs="Tahoma"/>
          <w:sz w:val="24"/>
          <w:szCs w:val="24"/>
          <w:lang w:val="en-GB"/>
        </w:rPr>
        <w:t>,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81042">
        <w:rPr>
          <w:rFonts w:ascii="Tahoma" w:hAnsi="Tahoma" w:cs="Tahoma"/>
          <w:sz w:val="24"/>
          <w:szCs w:val="24"/>
          <w:lang w:val="en-GB"/>
        </w:rPr>
        <w:t>not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154C33" w:rsidRPr="0066150C">
        <w:rPr>
          <w:rFonts w:ascii="Tahoma" w:hAnsi="Tahoma" w:cs="Tahoma"/>
          <w:sz w:val="24"/>
          <w:szCs w:val="24"/>
          <w:lang w:val="en-GB"/>
        </w:rPr>
        <w:t>offset by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656D17">
        <w:rPr>
          <w:rFonts w:ascii="Tahoma" w:hAnsi="Tahoma" w:cs="Tahoma"/>
          <w:sz w:val="24"/>
          <w:szCs w:val="24"/>
          <w:lang w:val="en-GB"/>
        </w:rPr>
        <w:t>a</w:t>
      </w:r>
      <w:r w:rsidR="007D4A8A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281042">
        <w:rPr>
          <w:rFonts w:ascii="Tahoma" w:hAnsi="Tahoma" w:cs="Tahoma"/>
          <w:sz w:val="24"/>
          <w:szCs w:val="24"/>
          <w:lang w:val="en-GB"/>
        </w:rPr>
        <w:t xml:space="preserve">corresponding </w:t>
      </w:r>
      <w:r w:rsidR="00154C33" w:rsidRPr="0066150C">
        <w:rPr>
          <w:rFonts w:ascii="Tahoma" w:hAnsi="Tahoma" w:cs="Tahoma"/>
          <w:sz w:val="24"/>
          <w:szCs w:val="24"/>
          <w:lang w:val="en-GB"/>
        </w:rPr>
        <w:t>revenue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154C33" w:rsidRPr="0066150C">
        <w:rPr>
          <w:rFonts w:ascii="Tahoma" w:hAnsi="Tahoma" w:cs="Tahoma"/>
          <w:sz w:val="24"/>
          <w:szCs w:val="24"/>
          <w:lang w:val="en-GB"/>
        </w:rPr>
        <w:t xml:space="preserve">increase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or substantial savings </w:t>
      </w:r>
      <w:r w:rsidR="00281042">
        <w:rPr>
          <w:rFonts w:ascii="Tahoma" w:hAnsi="Tahoma" w:cs="Tahoma"/>
          <w:sz w:val="24"/>
          <w:szCs w:val="24"/>
          <w:lang w:val="en-GB"/>
        </w:rPr>
        <w:t>in other spending items</w:t>
      </w:r>
      <w:r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7FA3446F" w14:textId="77777777" w:rsidR="00F14666" w:rsidRPr="0066150C" w:rsidRDefault="00F14666" w:rsidP="00682712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35854825" w14:textId="4F2EA57F" w:rsidR="00744E04" w:rsidRDefault="00B6402E" w:rsidP="00682712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D05EA1">
        <w:rPr>
          <w:rFonts w:ascii="Tahoma" w:hAnsi="Tahoma" w:cs="Tahoma"/>
          <w:sz w:val="24"/>
          <w:szCs w:val="24"/>
          <w:lang w:val="en-US"/>
        </w:rPr>
        <w:t xml:space="preserve">Compared to </w:t>
      </w:r>
      <w:r w:rsidR="00854369">
        <w:rPr>
          <w:rFonts w:ascii="Tahoma" w:hAnsi="Tahoma" w:cs="Tahoma"/>
          <w:sz w:val="24"/>
          <w:szCs w:val="24"/>
          <w:lang w:val="en-US"/>
        </w:rPr>
        <w:t>2018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, the significant exceeding of programmed budget expenditure by 2.5 </w:t>
      </w:r>
      <w:r>
        <w:rPr>
          <w:rFonts w:ascii="Tahoma" w:hAnsi="Tahoma" w:cs="Tahoma"/>
          <w:sz w:val="24"/>
          <w:szCs w:val="24"/>
          <w:lang w:val="en-US"/>
        </w:rPr>
        <w:t>pp of GDP,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 directed </w:t>
      </w:r>
      <w:r>
        <w:rPr>
          <w:rFonts w:ascii="Tahoma" w:hAnsi="Tahoma" w:cs="Tahoma"/>
          <w:sz w:val="24"/>
          <w:szCs w:val="24"/>
          <w:lang w:val="en-US"/>
        </w:rPr>
        <w:t>in particular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 towards the increase</w:t>
      </w:r>
      <w:r>
        <w:rPr>
          <w:rFonts w:ascii="Tahoma" w:hAnsi="Tahoma" w:cs="Tahoma"/>
          <w:sz w:val="24"/>
          <w:szCs w:val="24"/>
          <w:lang w:val="en-US"/>
        </w:rPr>
        <w:t>s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 of </w:t>
      </w:r>
      <w:r>
        <w:rPr>
          <w:rFonts w:ascii="Tahoma" w:hAnsi="Tahoma" w:cs="Tahoma"/>
          <w:sz w:val="24"/>
          <w:szCs w:val="24"/>
          <w:lang w:val="en-US"/>
        </w:rPr>
        <w:t>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) 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investments (1.29 </w:t>
      </w:r>
      <w:r>
        <w:rPr>
          <w:rFonts w:ascii="Tahoma" w:hAnsi="Tahoma" w:cs="Tahoma"/>
          <w:sz w:val="24"/>
          <w:szCs w:val="24"/>
          <w:lang w:val="en-US"/>
        </w:rPr>
        <w:t>pp</w:t>
      </w:r>
      <w:r w:rsidRPr="00D05EA1">
        <w:rPr>
          <w:rFonts w:ascii="Tahoma" w:hAnsi="Tahoma" w:cs="Tahoma"/>
          <w:sz w:val="24"/>
          <w:szCs w:val="24"/>
          <w:lang w:val="en-US"/>
        </w:rPr>
        <w:t>, to 4.89% of GDP in 2019)</w:t>
      </w:r>
      <w:r>
        <w:rPr>
          <w:rFonts w:ascii="Tahoma" w:hAnsi="Tahoma" w:cs="Tahoma"/>
          <w:sz w:val="24"/>
          <w:szCs w:val="24"/>
          <w:lang w:val="en-US"/>
        </w:rPr>
        <w:t xml:space="preserve"> and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 xml:space="preserve">(ii) 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compensation of employees (1.0 </w:t>
      </w:r>
      <w:r>
        <w:rPr>
          <w:rFonts w:ascii="Tahoma" w:hAnsi="Tahoma" w:cs="Tahoma"/>
          <w:sz w:val="24"/>
          <w:szCs w:val="24"/>
          <w:lang w:val="en-US"/>
        </w:rPr>
        <w:t>pp</w:t>
      </w:r>
      <w:r w:rsidRPr="00D05EA1">
        <w:rPr>
          <w:rFonts w:ascii="Tahoma" w:hAnsi="Tahoma" w:cs="Tahoma"/>
          <w:sz w:val="24"/>
          <w:szCs w:val="24"/>
          <w:lang w:val="en-US"/>
        </w:rPr>
        <w:t>, to 10% of GDP in 2019)</w:t>
      </w:r>
      <w:r>
        <w:rPr>
          <w:rFonts w:ascii="Tahoma" w:hAnsi="Tahoma" w:cs="Tahoma"/>
          <w:sz w:val="24"/>
          <w:szCs w:val="24"/>
          <w:lang w:val="en-US"/>
        </w:rPr>
        <w:t>,</w:t>
      </w:r>
      <w:r w:rsidRPr="00D05EA1">
        <w:rPr>
          <w:rFonts w:ascii="Tahoma" w:hAnsi="Tahoma" w:cs="Tahoma"/>
          <w:sz w:val="24"/>
          <w:szCs w:val="24"/>
          <w:lang w:val="en-US"/>
        </w:rPr>
        <w:t xml:space="preserve"> was projected to be covered by a broa</w:t>
      </w:r>
      <w:r>
        <w:rPr>
          <w:rFonts w:ascii="Tahoma" w:hAnsi="Tahoma" w:cs="Tahoma"/>
          <w:sz w:val="24"/>
          <w:szCs w:val="24"/>
          <w:lang w:val="en-US"/>
        </w:rPr>
        <w:t>d increase in budget revenue (by 2.5 pp of GDP</w:t>
      </w:r>
      <w:r w:rsidRPr="00D05EA1">
        <w:rPr>
          <w:rFonts w:ascii="Tahoma" w:hAnsi="Tahoma" w:cs="Tahoma"/>
          <w:sz w:val="24"/>
          <w:szCs w:val="24"/>
          <w:lang w:val="en-US"/>
        </w:rPr>
        <w:t>)</w:t>
      </w:r>
      <w:r>
        <w:rPr>
          <w:rFonts w:ascii="Tahoma" w:hAnsi="Tahoma" w:cs="Tahoma"/>
          <w:sz w:val="24"/>
          <w:szCs w:val="24"/>
          <w:lang w:val="en-US"/>
        </w:rPr>
        <w:t>.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84B3B">
        <w:rPr>
          <w:rFonts w:ascii="Tahoma" w:hAnsi="Tahoma" w:cs="Tahoma"/>
          <w:sz w:val="24"/>
          <w:szCs w:val="24"/>
          <w:lang w:val="en-GB"/>
        </w:rPr>
        <w:t>However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, the projected increase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in budget revenue</w:t>
      </w:r>
      <w:r w:rsidR="00C84B3B">
        <w:rPr>
          <w:rFonts w:ascii="Tahoma" w:hAnsi="Tahoma" w:cs="Tahoma"/>
          <w:sz w:val="24"/>
          <w:szCs w:val="24"/>
          <w:lang w:val="en-GB"/>
        </w:rPr>
        <w:t xml:space="preserve"> </w:t>
      </w:r>
      <w:r w:rsidR="004861C1">
        <w:rPr>
          <w:rFonts w:ascii="Tahoma" w:hAnsi="Tahoma" w:cs="Tahoma"/>
          <w:sz w:val="24"/>
          <w:szCs w:val="24"/>
          <w:lang w:val="en-GB"/>
        </w:rPr>
        <w:t>through</w:t>
      </w:r>
      <w:r w:rsidR="00C84B3B">
        <w:rPr>
          <w:rFonts w:ascii="Tahoma" w:hAnsi="Tahoma" w:cs="Tahoma"/>
          <w:sz w:val="24"/>
          <w:szCs w:val="24"/>
          <w:lang w:val="en-GB"/>
        </w:rPr>
        <w:t xml:space="preserve"> 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improving tax collection (0.9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), </w:t>
      </w:r>
      <w:r w:rsidR="00C95D92" w:rsidRPr="0066150C">
        <w:rPr>
          <w:rFonts w:ascii="Tahoma" w:hAnsi="Tahoma" w:cs="Tahoma"/>
          <w:sz w:val="24"/>
          <w:szCs w:val="24"/>
          <w:lang w:val="en-GB"/>
        </w:rPr>
        <w:t xml:space="preserve">increasing 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social contribution</w:t>
      </w:r>
      <w:r w:rsidR="00C95D92" w:rsidRPr="0066150C">
        <w:rPr>
          <w:rFonts w:ascii="Tahoma" w:hAnsi="Tahoma" w:cs="Tahoma"/>
          <w:sz w:val="24"/>
          <w:szCs w:val="24"/>
          <w:lang w:val="en-GB"/>
        </w:rPr>
        <w:t xml:space="preserve"> revenue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 (1.2 </w:t>
      </w:r>
      <w:r>
        <w:rPr>
          <w:rFonts w:ascii="Tahoma" w:hAnsi="Tahoma" w:cs="Tahoma"/>
          <w:sz w:val="24"/>
          <w:szCs w:val="24"/>
          <w:lang w:val="en-GB"/>
        </w:rPr>
        <w:t>pp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) and</w:t>
      </w:r>
      <w:r w:rsidR="00D57785" w:rsidRPr="0066150C">
        <w:rPr>
          <w:rFonts w:ascii="Tahoma" w:hAnsi="Tahoma" w:cs="Tahoma"/>
          <w:sz w:val="24"/>
          <w:szCs w:val="24"/>
          <w:lang w:val="en-GB"/>
        </w:rPr>
        <w:t xml:space="preserve"> EU funds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 (0.4 </w:t>
      </w:r>
      <w:r>
        <w:rPr>
          <w:rFonts w:ascii="Tahoma" w:hAnsi="Tahoma" w:cs="Tahoma"/>
          <w:sz w:val="24"/>
          <w:szCs w:val="24"/>
          <w:lang w:val="en-GB"/>
        </w:rPr>
        <w:t>pp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) </w:t>
      </w:r>
      <w:r>
        <w:rPr>
          <w:rFonts w:ascii="Tahoma" w:hAnsi="Tahoma" w:cs="Tahoma"/>
          <w:sz w:val="24"/>
          <w:szCs w:val="24"/>
          <w:lang w:val="en-GB"/>
        </w:rPr>
        <w:t xml:space="preserve">proved to be based on </w:t>
      </w:r>
      <w:r w:rsidRPr="0066150C">
        <w:rPr>
          <w:rFonts w:ascii="Tahoma" w:hAnsi="Tahoma" w:cs="Tahoma"/>
          <w:sz w:val="24"/>
          <w:szCs w:val="24"/>
          <w:lang w:val="en-GB"/>
        </w:rPr>
        <w:t>sources with a high degree of uncertainty</w:t>
      </w:r>
      <w:r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did not materialize </w:t>
      </w:r>
      <w:r w:rsidR="00B1312D" w:rsidRPr="0066150C">
        <w:rPr>
          <w:rFonts w:ascii="Tahoma" w:hAnsi="Tahoma" w:cs="Tahoma"/>
          <w:sz w:val="24"/>
          <w:szCs w:val="24"/>
          <w:lang w:val="en-GB"/>
        </w:rPr>
        <w:t>to a large extent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.</w:t>
      </w:r>
      <w:r w:rsidR="00682712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552D7A8C" w14:textId="713744E6" w:rsidR="00744E04" w:rsidRPr="0066150C" w:rsidRDefault="007F1EB4" w:rsidP="008343FE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 wp14:anchorId="2CCDD25E" wp14:editId="123EB1FA">
            <wp:extent cx="6364605" cy="299339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33529" w14:textId="7D6580E3" w:rsidR="00EB574F" w:rsidRPr="0066150C" w:rsidRDefault="00EB574F" w:rsidP="00EB574F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own calculations</w:t>
      </w:r>
    </w:p>
    <w:p w14:paraId="77DB39BC" w14:textId="77777777" w:rsidR="00744E04" w:rsidRPr="0066150C" w:rsidRDefault="00744E04" w:rsidP="00744E04">
      <w:pPr>
        <w:pStyle w:val="ListParagraph"/>
        <w:spacing w:line="36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703ACE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8</w:t>
      </w: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C15CDC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Budget revenue</w:t>
      </w:r>
    </w:p>
    <w:p w14:paraId="3042EB51" w14:textId="1D5E4C99" w:rsidR="00682712" w:rsidRPr="0066150C" w:rsidRDefault="00D05EA1" w:rsidP="00682712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Thus,</w:t>
      </w:r>
      <w:r w:rsidR="004861C1">
        <w:rPr>
          <w:rFonts w:ascii="Tahoma" w:hAnsi="Tahoma" w:cs="Tahoma"/>
          <w:sz w:val="24"/>
          <w:szCs w:val="24"/>
          <w:lang w:val="en-GB"/>
        </w:rPr>
        <w:t xml:space="preserve"> total revenue was </w:t>
      </w:r>
      <w:r w:rsidR="004861C1" w:rsidRPr="0066150C">
        <w:rPr>
          <w:rFonts w:ascii="Tahoma" w:hAnsi="Tahoma" w:cs="Tahoma"/>
          <w:sz w:val="24"/>
          <w:szCs w:val="24"/>
          <w:lang w:val="en-GB"/>
        </w:rPr>
        <w:t xml:space="preserve">2.7 </w:t>
      </w:r>
      <w:r w:rsidR="004861C1">
        <w:rPr>
          <w:rFonts w:ascii="Tahoma" w:hAnsi="Tahoma" w:cs="Tahoma"/>
          <w:sz w:val="24"/>
          <w:szCs w:val="24"/>
          <w:lang w:val="en-GB"/>
        </w:rPr>
        <w:t>pp</w:t>
      </w:r>
      <w:r w:rsidR="004861C1" w:rsidRPr="0066150C">
        <w:rPr>
          <w:rFonts w:ascii="Tahoma" w:hAnsi="Tahoma" w:cs="Tahoma"/>
          <w:sz w:val="24"/>
          <w:szCs w:val="24"/>
          <w:lang w:val="en-GB"/>
        </w:rPr>
        <w:t xml:space="preserve"> of GDP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861C1">
        <w:rPr>
          <w:rFonts w:ascii="Tahoma" w:hAnsi="Tahoma" w:cs="Tahoma"/>
          <w:sz w:val="24"/>
          <w:szCs w:val="24"/>
          <w:lang w:val="en-GB"/>
        </w:rPr>
        <w:t xml:space="preserve">lower than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the initial </w:t>
      </w:r>
      <w:r w:rsidR="00D57785" w:rsidRPr="0066150C">
        <w:rPr>
          <w:rFonts w:ascii="Tahoma" w:hAnsi="Tahoma" w:cs="Tahoma"/>
          <w:sz w:val="24"/>
          <w:szCs w:val="24"/>
          <w:lang w:val="en-GB"/>
        </w:rPr>
        <w:t>target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out of which 0.9 </w:t>
      </w:r>
      <w:r w:rsidR="000662DE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861C1">
        <w:rPr>
          <w:rFonts w:ascii="Tahoma" w:hAnsi="Tahoma" w:cs="Tahoma"/>
          <w:sz w:val="24"/>
          <w:szCs w:val="24"/>
          <w:lang w:val="en-GB"/>
        </w:rPr>
        <w:t>from</w:t>
      </w:r>
      <w:r w:rsidR="00656D17">
        <w:rPr>
          <w:rFonts w:ascii="Tahoma" w:hAnsi="Tahoma" w:cs="Tahoma"/>
          <w:sz w:val="24"/>
          <w:szCs w:val="24"/>
          <w:lang w:val="en-GB"/>
        </w:rPr>
        <w:t xml:space="preserve"> tax revenue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, 0.8 </w:t>
      </w:r>
      <w:r w:rsidR="000662DE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861C1">
        <w:rPr>
          <w:rFonts w:ascii="Tahoma" w:hAnsi="Tahoma" w:cs="Tahoma"/>
          <w:sz w:val="24"/>
          <w:szCs w:val="24"/>
          <w:lang w:val="en-GB"/>
        </w:rPr>
        <w:t>from</w:t>
      </w:r>
      <w:r w:rsidR="004861C1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social contributions and 0,9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4861C1">
        <w:rPr>
          <w:rFonts w:ascii="Tahoma" w:hAnsi="Tahoma" w:cs="Tahoma"/>
          <w:sz w:val="24"/>
          <w:szCs w:val="24"/>
          <w:lang w:val="en-GB"/>
        </w:rPr>
        <w:t>from</w:t>
      </w:r>
      <w:r w:rsidR="004861C1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D57785" w:rsidRPr="0066150C">
        <w:rPr>
          <w:rFonts w:ascii="Tahoma" w:hAnsi="Tahoma" w:cs="Tahoma"/>
          <w:sz w:val="24"/>
          <w:szCs w:val="24"/>
          <w:lang w:val="en-GB"/>
        </w:rPr>
        <w:t xml:space="preserve">EU </w:t>
      </w:r>
      <w:r w:rsidRPr="0066150C">
        <w:rPr>
          <w:rFonts w:ascii="Tahoma" w:hAnsi="Tahoma" w:cs="Tahoma"/>
          <w:sz w:val="24"/>
          <w:szCs w:val="24"/>
          <w:lang w:val="en-GB"/>
        </w:rPr>
        <w:t>funds received</w:t>
      </w:r>
      <w:r w:rsidR="000662DE">
        <w:rPr>
          <w:rFonts w:ascii="Tahoma" w:hAnsi="Tahoma" w:cs="Tahoma"/>
          <w:sz w:val="24"/>
          <w:szCs w:val="24"/>
          <w:lang w:val="en-GB"/>
        </w:rPr>
        <w:t>.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At the same time, total expenditure reached a nominal level close to the initial </w:t>
      </w:r>
      <w:r w:rsidR="00D57785" w:rsidRPr="0066150C">
        <w:rPr>
          <w:rFonts w:ascii="Tahoma" w:hAnsi="Tahoma" w:cs="Tahoma"/>
          <w:sz w:val="24"/>
          <w:szCs w:val="24"/>
          <w:lang w:val="en-GB"/>
        </w:rPr>
        <w:t xml:space="preserve">target </w:t>
      </w:r>
      <w:r w:rsidRPr="0066150C">
        <w:rPr>
          <w:rFonts w:ascii="Tahoma" w:hAnsi="Tahoma" w:cs="Tahoma"/>
          <w:sz w:val="24"/>
          <w:szCs w:val="24"/>
          <w:lang w:val="en-GB"/>
        </w:rPr>
        <w:t>(only RON 1 billion</w:t>
      </w:r>
      <w:r w:rsidR="00342B87">
        <w:rPr>
          <w:rFonts w:ascii="Tahoma" w:hAnsi="Tahoma" w:cs="Tahoma"/>
          <w:sz w:val="24"/>
          <w:szCs w:val="24"/>
          <w:lang w:val="en-GB"/>
        </w:rPr>
        <w:t xml:space="preserve"> </w:t>
      </w:r>
      <w:r w:rsidR="00342B87">
        <w:rPr>
          <w:rFonts w:ascii="Tahoma" w:hAnsi="Tahoma" w:cs="Tahoma"/>
          <w:sz w:val="24"/>
          <w:szCs w:val="24"/>
          <w:lang w:val="en-GB"/>
        </w:rPr>
        <w:lastRenderedPageBreak/>
        <w:t>lower than targeted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), given that initial </w:t>
      </w:r>
      <w:r w:rsidRPr="004861C1">
        <w:rPr>
          <w:rFonts w:ascii="Tahoma" w:hAnsi="Tahoma" w:cs="Tahoma"/>
          <w:sz w:val="24"/>
          <w:szCs w:val="24"/>
          <w:lang w:val="en-GB"/>
        </w:rPr>
        <w:t>underestimation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social assistance </w:t>
      </w:r>
      <w:r w:rsidR="00E04682">
        <w:rPr>
          <w:rFonts w:ascii="Tahoma" w:hAnsi="Tahoma" w:cs="Tahoma"/>
          <w:sz w:val="24"/>
          <w:szCs w:val="24"/>
          <w:lang w:val="en-GB"/>
        </w:rPr>
        <w:t>spending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(0.3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 </w:t>
      </w:r>
      <w:r w:rsidR="00342B87">
        <w:rPr>
          <w:rFonts w:ascii="Tahoma" w:hAnsi="Tahoma" w:cs="Tahoma"/>
          <w:sz w:val="24"/>
          <w:szCs w:val="24"/>
          <w:lang w:val="en-GB"/>
        </w:rPr>
        <w:t xml:space="preserve">-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pensions, </w:t>
      </w:r>
      <w:r w:rsidR="00E6277F">
        <w:rPr>
          <w:rFonts w:ascii="Tahoma" w:hAnsi="Tahoma" w:cs="Tahoma"/>
          <w:sz w:val="24"/>
          <w:szCs w:val="24"/>
          <w:lang w:val="en-GB"/>
        </w:rPr>
        <w:t>child</w:t>
      </w:r>
      <w:r w:rsidR="000662DE"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allowance, </w:t>
      </w:r>
      <w:r w:rsidR="000662DE" w:rsidRPr="0066150C">
        <w:rPr>
          <w:rFonts w:ascii="Tahoma" w:hAnsi="Tahoma" w:cs="Tahoma"/>
          <w:sz w:val="24"/>
          <w:szCs w:val="24"/>
          <w:lang w:val="en-GB"/>
        </w:rPr>
        <w:t xml:space="preserve">disabilities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allowance, parental benefits) and goods and services expenditure (0.3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GDP) were offset by </w:t>
      </w:r>
      <w:r w:rsidR="000662DE">
        <w:rPr>
          <w:rFonts w:ascii="Tahoma" w:hAnsi="Tahoma" w:cs="Tahoma"/>
          <w:sz w:val="24"/>
          <w:szCs w:val="24"/>
          <w:lang w:val="en-GB"/>
        </w:rPr>
        <w:t xml:space="preserve">lower than targeted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investment (0.7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GDP).</w:t>
      </w:r>
    </w:p>
    <w:p w14:paraId="124A4C62" w14:textId="5E357D27" w:rsidR="008343FE" w:rsidRPr="0066150C" w:rsidRDefault="004861C1" w:rsidP="008343FE">
      <w:pPr>
        <w:spacing w:after="0" w:line="240" w:lineRule="auto"/>
        <w:jc w:val="center"/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</w:pPr>
      <w:r>
        <w:rPr>
          <w:rFonts w:ascii="Tahoma" w:hAnsi="Tahoma" w:cs="Tahoma"/>
          <w:b/>
          <w:noProof/>
          <w:color w:val="767171" w:themeColor="background2" w:themeShade="80"/>
          <w:sz w:val="24"/>
          <w:szCs w:val="24"/>
          <w:lang w:val="en-US"/>
        </w:rPr>
        <w:drawing>
          <wp:inline distT="0" distB="0" distL="0" distR="0" wp14:anchorId="58C35CF0" wp14:editId="257FEC1E">
            <wp:extent cx="6346190" cy="33051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06" cy="331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109CB" w14:textId="18908F8C" w:rsidR="00C15CDC" w:rsidRPr="0066150C" w:rsidRDefault="00C15CDC" w:rsidP="00C15CDC">
      <w:pPr>
        <w:pStyle w:val="ListParagraph"/>
        <w:spacing w:line="360" w:lineRule="auto"/>
        <w:rPr>
          <w:rFonts w:ascii="Tahoma" w:hAnsi="Tahoma" w:cs="Tahoma"/>
          <w:color w:val="767171" w:themeColor="background2" w:themeShade="80"/>
          <w:szCs w:val="24"/>
          <w:lang w:val="en-GB"/>
        </w:rPr>
      </w:pP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 xml:space="preserve">Source: </w:t>
      </w:r>
      <w:proofErr w:type="spellStart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M</w:t>
      </w:r>
      <w:r w:rsidR="00462388"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o</w:t>
      </w:r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PF</w:t>
      </w:r>
      <w:proofErr w:type="spellEnd"/>
      <w:r w:rsidRPr="0066150C">
        <w:rPr>
          <w:rFonts w:ascii="Tahoma" w:hAnsi="Tahoma" w:cs="Tahoma"/>
          <w:color w:val="767171" w:themeColor="background2" w:themeShade="80"/>
          <w:szCs w:val="24"/>
          <w:lang w:val="en-GB"/>
        </w:rPr>
        <w:t>, own calculations</w:t>
      </w:r>
    </w:p>
    <w:p w14:paraId="70C18171" w14:textId="77777777" w:rsidR="001D03AF" w:rsidRPr="0066150C" w:rsidRDefault="00B87BDE" w:rsidP="00744E04">
      <w:pPr>
        <w:spacing w:after="120" w:line="360" w:lineRule="auto"/>
        <w:jc w:val="center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Fig.</w:t>
      </w:r>
      <w:r w:rsidR="00703ACE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9</w:t>
      </w:r>
      <w:r w:rsidR="00D60BC0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 </w:t>
      </w:r>
      <w:r w:rsidR="00C15CDC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 xml:space="preserve">Budget </w:t>
      </w:r>
      <w:bookmarkStart w:id="0" w:name="_GoBack"/>
      <w:r w:rsidR="00C15CDC" w:rsidRPr="0066150C">
        <w:rPr>
          <w:rFonts w:ascii="Tahoma" w:hAnsi="Tahoma" w:cs="Tahoma"/>
          <w:b/>
          <w:color w:val="767171" w:themeColor="background2" w:themeShade="80"/>
          <w:sz w:val="24"/>
          <w:szCs w:val="24"/>
          <w:lang w:val="en-GB"/>
        </w:rPr>
        <w:t>expenditure</w:t>
      </w:r>
      <w:bookmarkEnd w:id="0"/>
    </w:p>
    <w:p w14:paraId="4A8FBDF1" w14:textId="7E26CC4E" w:rsidR="00CF1ED7" w:rsidRPr="0066150C" w:rsidRDefault="00D05EA1" w:rsidP="000F1E3F">
      <w:pPr>
        <w:shd w:val="clear" w:color="auto" w:fill="DEEAF6" w:themeFill="accent1" w:themeFillTint="33"/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 xml:space="preserve">Compared to the </w:t>
      </w:r>
      <w:r w:rsidR="000662DE">
        <w:rPr>
          <w:rFonts w:ascii="Tahoma" w:hAnsi="Tahoma" w:cs="Tahoma"/>
          <w:sz w:val="24"/>
          <w:szCs w:val="24"/>
          <w:lang w:val="en-GB"/>
        </w:rPr>
        <w:t>second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budget rectification target (4,4% of GDP), the budget deficit </w:t>
      </w:r>
      <w:r w:rsidR="000662DE">
        <w:rPr>
          <w:rFonts w:ascii="Tahoma" w:hAnsi="Tahoma" w:cs="Tahoma"/>
          <w:sz w:val="24"/>
          <w:szCs w:val="24"/>
          <w:lang w:val="en-GB"/>
        </w:rPr>
        <w:t>expanded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more than projected (+0.2 </w:t>
      </w:r>
      <w:r w:rsidR="00342B87">
        <w:rPr>
          <w:rFonts w:ascii="Tahoma" w:hAnsi="Tahoma" w:cs="Tahoma"/>
          <w:sz w:val="24"/>
          <w:szCs w:val="24"/>
          <w:lang w:val="en-GB"/>
        </w:rPr>
        <w:t>pp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of GDP), due to:</w:t>
      </w:r>
    </w:p>
    <w:p w14:paraId="0776A3FD" w14:textId="7C01A656" w:rsidR="00D05EA1" w:rsidRPr="0066150C" w:rsidRDefault="00E04682" w:rsidP="00D05EA1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lower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additional dividends </w:t>
      </w:r>
      <w:r>
        <w:rPr>
          <w:rFonts w:ascii="Tahoma" w:hAnsi="Tahoma" w:cs="Tahoma"/>
          <w:sz w:val="24"/>
          <w:szCs w:val="24"/>
          <w:lang w:val="en-GB"/>
        </w:rPr>
        <w:t>by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RON </w:t>
      </w:r>
      <w:r>
        <w:rPr>
          <w:rFonts w:ascii="Tahoma" w:hAnsi="Tahoma" w:cs="Tahoma"/>
          <w:sz w:val="24"/>
          <w:szCs w:val="24"/>
          <w:lang w:val="en-GB"/>
        </w:rPr>
        <w:t>1.3 billion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 from </w:t>
      </w:r>
      <w:r w:rsidR="001F7E56" w:rsidRPr="0066150C">
        <w:rPr>
          <w:rFonts w:ascii="Tahoma" w:hAnsi="Tahoma" w:cs="Tahoma"/>
          <w:sz w:val="24"/>
          <w:szCs w:val="24"/>
          <w:lang w:val="en-GB"/>
        </w:rPr>
        <w:t>SOEs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, </w:t>
      </w:r>
      <w:r>
        <w:rPr>
          <w:rFonts w:ascii="Tahoma" w:hAnsi="Tahoma" w:cs="Tahoma"/>
          <w:sz w:val="24"/>
          <w:szCs w:val="24"/>
          <w:lang w:val="en-GB"/>
        </w:rPr>
        <w:t>according to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 xml:space="preserve"> GEO </w:t>
      </w:r>
      <w:r w:rsidR="004861C1">
        <w:rPr>
          <w:rFonts w:ascii="Tahoma" w:hAnsi="Tahoma" w:cs="Tahoma"/>
          <w:sz w:val="24"/>
          <w:szCs w:val="24"/>
          <w:lang w:val="en-GB"/>
        </w:rPr>
        <w:t>no.</w:t>
      </w:r>
      <w:r w:rsidR="00D05EA1" w:rsidRPr="0066150C">
        <w:rPr>
          <w:rFonts w:ascii="Tahoma" w:hAnsi="Tahoma" w:cs="Tahoma"/>
          <w:sz w:val="24"/>
          <w:szCs w:val="24"/>
          <w:lang w:val="en-GB"/>
        </w:rPr>
        <w:t>114/2018, as such payment would have adversely affected the investment capacity of these companies.</w:t>
      </w:r>
      <w:r w:rsidR="000662DE"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6D7DE7CA" w14:textId="7A84E08E" w:rsidR="00D05EA1" w:rsidRPr="0066150C" w:rsidRDefault="00D05EA1" w:rsidP="00D05EA1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66150C">
        <w:rPr>
          <w:rFonts w:ascii="Tahoma" w:hAnsi="Tahoma" w:cs="Tahoma"/>
          <w:sz w:val="24"/>
          <w:szCs w:val="24"/>
          <w:lang w:val="en-GB"/>
        </w:rPr>
        <w:t>RON 0.91 billion</w:t>
      </w:r>
      <w:r w:rsidR="00E04682">
        <w:rPr>
          <w:rFonts w:ascii="Tahoma" w:hAnsi="Tahoma" w:cs="Tahoma"/>
          <w:sz w:val="24"/>
          <w:szCs w:val="24"/>
          <w:lang w:val="en-GB"/>
        </w:rPr>
        <w:t xml:space="preserve"> settlement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from </w:t>
      </w:r>
      <w:r w:rsidR="00E04682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budget reserve fund </w:t>
      </w:r>
      <w:r w:rsidR="004861C1">
        <w:rPr>
          <w:rFonts w:ascii="Tahoma" w:hAnsi="Tahoma" w:cs="Tahoma"/>
          <w:sz w:val="24"/>
          <w:szCs w:val="24"/>
          <w:lang w:val="en-GB"/>
        </w:rPr>
        <w:t>as to</w:t>
      </w:r>
      <w:r w:rsidRPr="0066150C">
        <w:rPr>
          <w:rFonts w:ascii="Tahoma" w:hAnsi="Tahoma" w:cs="Tahoma"/>
          <w:sz w:val="24"/>
          <w:szCs w:val="24"/>
          <w:lang w:val="en-GB"/>
        </w:rPr>
        <w:t xml:space="preserve"> </w:t>
      </w:r>
      <w:r w:rsidR="00C656E7">
        <w:rPr>
          <w:rFonts w:ascii="Tahoma" w:hAnsi="Tahoma" w:cs="Tahoma"/>
          <w:sz w:val="24"/>
          <w:szCs w:val="24"/>
          <w:lang w:val="en-GB"/>
        </w:rPr>
        <w:t xml:space="preserve">the </w:t>
      </w:r>
      <w:r w:rsidRPr="0066150C">
        <w:rPr>
          <w:rFonts w:ascii="Tahoma" w:hAnsi="Tahoma" w:cs="Tahoma"/>
          <w:sz w:val="24"/>
          <w:szCs w:val="24"/>
          <w:lang w:val="en-GB"/>
        </w:rPr>
        <w:t>arbitration decision issued by the International Centre for Settlement of Inv</w:t>
      </w:r>
      <w:r w:rsidR="00E04682">
        <w:rPr>
          <w:rFonts w:ascii="Tahoma" w:hAnsi="Tahoma" w:cs="Tahoma"/>
          <w:sz w:val="24"/>
          <w:szCs w:val="24"/>
          <w:lang w:val="en-GB"/>
        </w:rPr>
        <w:t>estment Dispute (file no. ARB/05/20)</w:t>
      </w:r>
      <w:r w:rsidRPr="0066150C">
        <w:rPr>
          <w:rFonts w:ascii="Tahoma" w:hAnsi="Tahoma" w:cs="Tahoma"/>
          <w:sz w:val="24"/>
          <w:szCs w:val="24"/>
          <w:lang w:val="en-GB"/>
        </w:rPr>
        <w:t>.</w:t>
      </w:r>
    </w:p>
    <w:p w14:paraId="4CBA2395" w14:textId="7C3CD9E0" w:rsidR="00E04682" w:rsidRDefault="00E04682" w:rsidP="00E04682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0662DE">
        <w:rPr>
          <w:rFonts w:ascii="Tahoma" w:hAnsi="Tahoma" w:cs="Tahoma"/>
          <w:sz w:val="24"/>
          <w:szCs w:val="24"/>
          <w:lang w:val="en-GB"/>
        </w:rPr>
        <w:t>additional payments incurred</w:t>
      </w:r>
      <w:r>
        <w:rPr>
          <w:rFonts w:ascii="Tahoma" w:hAnsi="Tahoma" w:cs="Tahoma"/>
          <w:sz w:val="24"/>
          <w:szCs w:val="24"/>
          <w:lang w:val="en-GB"/>
        </w:rPr>
        <w:t xml:space="preserve"> in</w:t>
      </w:r>
      <w:r w:rsidRPr="000662DE">
        <w:rPr>
          <w:rFonts w:ascii="Tahoma" w:hAnsi="Tahoma" w:cs="Tahoma"/>
          <w:sz w:val="24"/>
          <w:szCs w:val="24"/>
          <w:lang w:val="en-GB"/>
        </w:rPr>
        <w:t xml:space="preserve"> administrative-territorial units</w:t>
      </w:r>
      <w:r>
        <w:rPr>
          <w:rFonts w:ascii="Tahoma" w:hAnsi="Tahoma" w:cs="Tahoma"/>
          <w:sz w:val="24"/>
          <w:szCs w:val="24"/>
          <w:lang w:val="en-GB"/>
        </w:rPr>
        <w:t>,</w:t>
      </w:r>
      <w:r w:rsidRPr="00E04682">
        <w:rPr>
          <w:rFonts w:ascii="Tahoma" w:hAnsi="Tahoma" w:cs="Tahoma"/>
          <w:sz w:val="24"/>
          <w:szCs w:val="24"/>
          <w:lang w:val="en-GB"/>
        </w:rPr>
        <w:t xml:space="preserve"> </w:t>
      </w:r>
      <w:r w:rsidRPr="000662DE">
        <w:rPr>
          <w:rFonts w:ascii="Tahoma" w:hAnsi="Tahoma" w:cs="Tahoma"/>
          <w:sz w:val="24"/>
          <w:szCs w:val="24"/>
          <w:lang w:val="en-GB"/>
        </w:rPr>
        <w:t xml:space="preserve">well above the </w:t>
      </w:r>
      <w:r w:rsidRPr="000662DE">
        <w:rPr>
          <w:rFonts w:ascii="Tahoma" w:hAnsi="Tahoma" w:cs="Tahoma"/>
          <w:color w:val="000000" w:themeColor="text1"/>
          <w:sz w:val="24"/>
          <w:szCs w:val="24"/>
          <w:lang w:val="en-GB"/>
        </w:rPr>
        <w:t>dynamics</w:t>
      </w:r>
      <w:r w:rsidRPr="000662DE">
        <w:rPr>
          <w:rFonts w:ascii="Tahoma" w:hAnsi="Tahoma" w:cs="Tahoma"/>
          <w:sz w:val="24"/>
          <w:szCs w:val="24"/>
          <w:lang w:val="en-GB"/>
        </w:rPr>
        <w:t xml:space="preserve"> in December 2018 </w:t>
      </w:r>
      <w:r>
        <w:rPr>
          <w:rFonts w:ascii="Tahoma" w:hAnsi="Tahoma" w:cs="Tahoma"/>
          <w:sz w:val="24"/>
          <w:szCs w:val="24"/>
          <w:lang w:val="en-GB"/>
        </w:rPr>
        <w:t xml:space="preserve">or </w:t>
      </w:r>
      <w:r w:rsidRPr="000662DE">
        <w:rPr>
          <w:rFonts w:ascii="Tahoma" w:hAnsi="Tahoma" w:cs="Tahoma"/>
          <w:sz w:val="24"/>
          <w:szCs w:val="24"/>
          <w:lang w:val="en-GB"/>
        </w:rPr>
        <w:t>Jan-Nov 2019</w:t>
      </w:r>
      <w:r>
        <w:rPr>
          <w:rFonts w:ascii="Tahoma" w:hAnsi="Tahoma" w:cs="Tahoma"/>
          <w:sz w:val="24"/>
          <w:szCs w:val="24"/>
          <w:lang w:val="en-GB"/>
        </w:rPr>
        <w:t xml:space="preserve"> average (</w:t>
      </w:r>
      <w:r w:rsidRPr="000662DE">
        <w:rPr>
          <w:rFonts w:ascii="Tahoma" w:hAnsi="Tahoma" w:cs="Tahoma"/>
          <w:sz w:val="24"/>
          <w:szCs w:val="24"/>
          <w:lang w:val="en-GB"/>
        </w:rPr>
        <w:t>RON 1.3 billion impact in December</w:t>
      </w:r>
      <w:r>
        <w:rPr>
          <w:rFonts w:ascii="Tahoma" w:hAnsi="Tahoma" w:cs="Tahoma"/>
          <w:sz w:val="24"/>
          <w:szCs w:val="24"/>
          <w:lang w:val="en-GB"/>
        </w:rPr>
        <w:t xml:space="preserve"> 2019)</w:t>
      </w:r>
      <w:r w:rsidRPr="000662DE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sectPr w:rsidR="00E04682" w:rsidSect="00526E8B">
      <w:footerReference w:type="default" r:id="rId17"/>
      <w:pgSz w:w="12240" w:h="15840"/>
      <w:pgMar w:top="117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B4ED0" w14:textId="77777777" w:rsidR="00E34607" w:rsidRDefault="00E34607" w:rsidP="006704C5">
      <w:pPr>
        <w:spacing w:after="0" w:line="240" w:lineRule="auto"/>
      </w:pPr>
      <w:r>
        <w:separator/>
      </w:r>
    </w:p>
  </w:endnote>
  <w:endnote w:type="continuationSeparator" w:id="0">
    <w:p w14:paraId="64613A5C" w14:textId="77777777" w:rsidR="00E34607" w:rsidRDefault="00E34607" w:rsidP="006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0"/>
      <w:gridCol w:w="4410"/>
    </w:tblGrid>
    <w:tr w:rsidR="00B64666" w14:paraId="5F29E76B" w14:textId="77777777" w:rsidTr="004149AC">
      <w:trPr>
        <w:trHeight w:hRule="exact" w:val="115"/>
        <w:jc w:val="center"/>
      </w:trPr>
      <w:tc>
        <w:tcPr>
          <w:tcW w:w="5400" w:type="dxa"/>
          <w:shd w:val="clear" w:color="auto" w:fill="5B9BD5" w:themeFill="accent1"/>
          <w:tcMar>
            <w:top w:w="0" w:type="dxa"/>
            <w:bottom w:w="0" w:type="dxa"/>
          </w:tcMar>
        </w:tcPr>
        <w:p w14:paraId="3CA5A0D4" w14:textId="77777777" w:rsidR="00B64666" w:rsidRDefault="00B64666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410" w:type="dxa"/>
          <w:shd w:val="clear" w:color="auto" w:fill="5B9BD5" w:themeFill="accent1"/>
          <w:tcMar>
            <w:top w:w="0" w:type="dxa"/>
            <w:bottom w:w="0" w:type="dxa"/>
          </w:tcMar>
        </w:tcPr>
        <w:p w14:paraId="3917BFE8" w14:textId="77777777" w:rsidR="00B64666" w:rsidRDefault="00B64666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64666" w14:paraId="782D03A7" w14:textId="77777777" w:rsidTr="004149AC">
      <w:trPr>
        <w:jc w:val="center"/>
      </w:trPr>
      <w:sdt>
        <w:sdtPr>
          <w:rPr>
            <w:rFonts w:ascii="Tahoma" w:hAnsi="Tahoma" w:cs="Tahoma"/>
            <w:caps/>
            <w:color w:val="808080" w:themeColor="background1" w:themeShade="80"/>
            <w:sz w:val="18"/>
            <w:szCs w:val="18"/>
            <w:lang w:val="en-US"/>
          </w:rPr>
          <w:alias w:val="Author"/>
          <w:tag w:val=""/>
          <w:id w:val="1534151868"/>
          <w:placeholder>
            <w:docPart w:val="D84F477074C5474DB153439CBFE5B89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400" w:type="dxa"/>
              <w:shd w:val="clear" w:color="auto" w:fill="auto"/>
              <w:vAlign w:val="center"/>
            </w:tcPr>
            <w:p w14:paraId="659FE04A" w14:textId="0CC795A2" w:rsidR="00B64666" w:rsidRPr="00CA4A92" w:rsidRDefault="00B64666" w:rsidP="00207222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</w:rPr>
              </w:pPr>
              <w:r w:rsidRPr="004149AC"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 xml:space="preserve">EXECUTION OF </w:t>
              </w:r>
              <w:r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 xml:space="preserve">THE GENERAL government BUDGET </w:t>
              </w:r>
              <w:r w:rsidRPr="004149AC">
                <w:rPr>
                  <w:rFonts w:ascii="Tahoma" w:hAnsi="Tahoma" w:cs="Tahoma"/>
                  <w:caps/>
                  <w:color w:val="808080" w:themeColor="background1" w:themeShade="80"/>
                  <w:sz w:val="18"/>
                  <w:szCs w:val="18"/>
                  <w:lang w:val="en-US"/>
                </w:rPr>
                <w:t>2019</w:t>
              </w:r>
            </w:p>
          </w:tc>
        </w:sdtContent>
      </w:sdt>
      <w:tc>
        <w:tcPr>
          <w:tcW w:w="4410" w:type="dxa"/>
          <w:shd w:val="clear" w:color="auto" w:fill="auto"/>
          <w:vAlign w:val="center"/>
        </w:tcPr>
        <w:p w14:paraId="416C70B7" w14:textId="3D152DFD" w:rsidR="00B64666" w:rsidRPr="00CA4A92" w:rsidRDefault="00B64666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</w:pPr>
          <w:r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A4A92">
            <w:rPr>
              <w:rFonts w:ascii="Tahoma" w:hAnsi="Tahoma" w:cs="Tahoma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56D17">
            <w:rPr>
              <w:rFonts w:ascii="Tahoma" w:hAnsi="Tahoma" w:cs="Tahoma"/>
              <w:caps/>
              <w:noProof/>
              <w:color w:val="808080" w:themeColor="background1" w:themeShade="80"/>
              <w:sz w:val="18"/>
              <w:szCs w:val="18"/>
            </w:rPr>
            <w:t>11</w:t>
          </w:r>
          <w:r w:rsidRPr="00CA4A92">
            <w:rPr>
              <w:rFonts w:ascii="Tahoma" w:hAnsi="Tahoma" w:cs="Tahoma"/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1F22270" w14:textId="77777777" w:rsidR="00B64666" w:rsidRDefault="00B6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66E91" w14:textId="77777777" w:rsidR="00E34607" w:rsidRDefault="00E34607" w:rsidP="006704C5">
      <w:pPr>
        <w:spacing w:after="0" w:line="240" w:lineRule="auto"/>
      </w:pPr>
      <w:r>
        <w:separator/>
      </w:r>
    </w:p>
  </w:footnote>
  <w:footnote w:type="continuationSeparator" w:id="0">
    <w:p w14:paraId="3BD6669E" w14:textId="77777777" w:rsidR="00E34607" w:rsidRDefault="00E34607" w:rsidP="006704C5">
      <w:pPr>
        <w:spacing w:after="0" w:line="240" w:lineRule="auto"/>
      </w:pPr>
      <w:r>
        <w:continuationSeparator/>
      </w:r>
    </w:p>
  </w:footnote>
  <w:footnote w:id="1">
    <w:p w14:paraId="5A7214A8" w14:textId="539EE245" w:rsidR="003B0E9A" w:rsidRPr="0066150C" w:rsidRDefault="003B0E9A" w:rsidP="003B0E9A">
      <w:pPr>
        <w:spacing w:after="0" w:line="240" w:lineRule="auto"/>
        <w:jc w:val="both"/>
        <w:rPr>
          <w:rFonts w:ascii="Tahoma" w:hAnsi="Tahoma" w:cs="Tahoma"/>
          <w:color w:val="767171" w:themeColor="background2" w:themeShade="80"/>
          <w:sz w:val="16"/>
          <w:szCs w:val="24"/>
          <w:lang w:val="en-GB"/>
        </w:rPr>
      </w:pPr>
      <w:r w:rsidRPr="0066150C">
        <w:rPr>
          <w:rStyle w:val="FootnoteReference"/>
          <w:lang w:val="en-GB"/>
        </w:rPr>
        <w:footnoteRef/>
      </w:r>
      <w:r w:rsidRPr="0066150C">
        <w:rPr>
          <w:lang w:val="en-GB"/>
        </w:rPr>
        <w:t xml:space="preserve"> </w:t>
      </w:r>
      <w:r w:rsidRPr="0066150C">
        <w:rPr>
          <w:rFonts w:ascii="Tahoma" w:hAnsi="Tahoma" w:cs="Tahoma"/>
          <w:color w:val="767171" w:themeColor="background2" w:themeShade="80"/>
          <w:sz w:val="16"/>
          <w:szCs w:val="24"/>
          <w:lang w:val="en-GB"/>
        </w:rPr>
        <w:t xml:space="preserve">Share in GDP has changed following the revision of the 2018 GDP and estimated GDP in 2019 </w:t>
      </w:r>
    </w:p>
    <w:p w14:paraId="727405E4" w14:textId="2C6F5085" w:rsidR="003B0E9A" w:rsidRPr="0066150C" w:rsidRDefault="003B0E9A" w:rsidP="003B0E9A">
      <w:pPr>
        <w:pStyle w:val="FootnoteText"/>
        <w:tabs>
          <w:tab w:val="left" w:pos="645"/>
        </w:tabs>
        <w:rPr>
          <w:lang w:val="en-GB"/>
        </w:rPr>
      </w:pPr>
    </w:p>
  </w:footnote>
  <w:footnote w:id="2">
    <w:p w14:paraId="133D0546" w14:textId="77777777" w:rsidR="00B64666" w:rsidRPr="0066150C" w:rsidRDefault="00B64666">
      <w:pPr>
        <w:pStyle w:val="FootnoteText"/>
        <w:rPr>
          <w:lang w:val="en-GB"/>
        </w:rPr>
      </w:pPr>
      <w:r w:rsidRPr="0066150C">
        <w:rPr>
          <w:rStyle w:val="FootnoteReference"/>
          <w:lang w:val="en-GB"/>
        </w:rPr>
        <w:footnoteRef/>
      </w:r>
      <w:r w:rsidRPr="0066150C">
        <w:rPr>
          <w:color w:val="808080" w:themeColor="background1" w:themeShade="80"/>
          <w:lang w:val="en-GB"/>
        </w:rPr>
        <w:t>The differences between total data and the sum of components are due to rounding</w:t>
      </w:r>
    </w:p>
  </w:footnote>
  <w:footnote w:id="3">
    <w:p w14:paraId="7E412D1E" w14:textId="35B81772" w:rsidR="00B64666" w:rsidRPr="0066150C" w:rsidRDefault="00B64666">
      <w:pPr>
        <w:pStyle w:val="FootnoteText"/>
        <w:rPr>
          <w:lang w:val="en-GB"/>
        </w:rPr>
      </w:pPr>
      <w:r w:rsidRPr="0066150C">
        <w:rPr>
          <w:rStyle w:val="FootnoteReference"/>
          <w:lang w:val="en-GB"/>
        </w:rPr>
        <w:footnoteRef/>
      </w:r>
      <w:r w:rsidRPr="0066150C">
        <w:rPr>
          <w:lang w:val="en-GB"/>
        </w:rPr>
        <w:t xml:space="preserve"> </w:t>
      </w:r>
      <w:r w:rsidRPr="0066150C">
        <w:rPr>
          <w:color w:val="808080" w:themeColor="background1" w:themeShade="80"/>
          <w:lang w:val="en-GB"/>
        </w:rPr>
        <w:t>PIT revenue includes tax receipts from labour income, capital income and other</w:t>
      </w:r>
      <w:r w:rsidR="00A90AD7" w:rsidRPr="0066150C">
        <w:rPr>
          <w:color w:val="808080" w:themeColor="background1" w:themeShade="80"/>
          <w:lang w:val="en-GB"/>
        </w:rPr>
        <w:t xml:space="preserve"> </w:t>
      </w:r>
      <w:r w:rsidRPr="0066150C">
        <w:rPr>
          <w:color w:val="808080" w:themeColor="background1" w:themeShade="80"/>
          <w:lang w:val="en-GB"/>
        </w:rPr>
        <w:t>s</w:t>
      </w:r>
      <w:r w:rsidR="00A90AD7" w:rsidRPr="0066150C">
        <w:rPr>
          <w:color w:val="808080" w:themeColor="background1" w:themeShade="80"/>
          <w:lang w:val="en-GB"/>
        </w:rPr>
        <w:t>ources</w:t>
      </w:r>
      <w:r w:rsidRPr="0066150C">
        <w:rPr>
          <w:color w:val="808080" w:themeColor="background1" w:themeShade="80"/>
          <w:lang w:val="en-GB"/>
        </w:rPr>
        <w:t xml:space="preserve"> (</w:t>
      </w:r>
      <w:r w:rsidR="00A90AD7" w:rsidRPr="0066150C">
        <w:rPr>
          <w:color w:val="808080" w:themeColor="background1" w:themeShade="80"/>
          <w:lang w:val="en-GB"/>
        </w:rPr>
        <w:t xml:space="preserve">mostly </w:t>
      </w:r>
      <w:r w:rsidRPr="0066150C">
        <w:rPr>
          <w:color w:val="808080" w:themeColor="background1" w:themeShade="80"/>
          <w:lang w:val="en-GB"/>
        </w:rPr>
        <w:t>pensions)</w:t>
      </w:r>
    </w:p>
  </w:footnote>
  <w:footnote w:id="4">
    <w:p w14:paraId="2700061A" w14:textId="5E14D13F" w:rsidR="00B64666" w:rsidRPr="0066150C" w:rsidRDefault="00B64666">
      <w:pPr>
        <w:pStyle w:val="FootnoteText"/>
        <w:rPr>
          <w:lang w:val="en-GB"/>
        </w:rPr>
      </w:pPr>
      <w:r w:rsidRPr="00281321">
        <w:rPr>
          <w:rStyle w:val="FootnoteReference"/>
          <w:color w:val="7F7F7F" w:themeColor="text1" w:themeTint="80"/>
          <w:lang w:val="en-GB"/>
        </w:rPr>
        <w:footnoteRef/>
      </w:r>
      <w:r w:rsidRPr="00281321">
        <w:rPr>
          <w:color w:val="7F7F7F" w:themeColor="text1" w:themeTint="80"/>
          <w:lang w:val="en-GB"/>
        </w:rPr>
        <w:t xml:space="preserve"> </w:t>
      </w:r>
      <w:r w:rsidRPr="00281321">
        <w:rPr>
          <w:rFonts w:ascii="Tahoma" w:hAnsi="Tahoma" w:cs="Tahoma"/>
          <w:color w:val="7F7F7F" w:themeColor="text1" w:themeTint="80"/>
          <w:lang w:val="en-GB"/>
        </w:rPr>
        <w:t>During Nov-Dec VAT refunds increased by 64% compared to the same period in 2018</w:t>
      </w:r>
      <w:r w:rsidRPr="0066150C">
        <w:rPr>
          <w:rFonts w:ascii="Tahoma" w:hAnsi="Tahoma" w:cs="Tahoma"/>
          <w:lang w:val="en-GB"/>
        </w:rPr>
        <w:t>.</w:t>
      </w:r>
    </w:p>
  </w:footnote>
  <w:footnote w:id="5">
    <w:p w14:paraId="7FFE9B2D" w14:textId="5CED832C" w:rsidR="00B64666" w:rsidRPr="0066150C" w:rsidRDefault="00B64666" w:rsidP="007F5BD4">
      <w:pPr>
        <w:pStyle w:val="FootnoteText"/>
        <w:jc w:val="both"/>
        <w:rPr>
          <w:lang w:val="en-GB"/>
        </w:rPr>
      </w:pPr>
      <w:r w:rsidRPr="0066150C">
        <w:rPr>
          <w:rStyle w:val="FootnoteReference"/>
          <w:lang w:val="en-GB"/>
        </w:rPr>
        <w:footnoteRef/>
      </w:r>
      <w:r w:rsidRPr="0066150C">
        <w:rPr>
          <w:lang w:val="en-GB"/>
        </w:rPr>
        <w:t xml:space="preserve"> </w:t>
      </w:r>
      <w:r w:rsidRPr="00A12711">
        <w:rPr>
          <w:rFonts w:ascii="Tahoma" w:hAnsi="Tahoma" w:cs="Tahoma"/>
          <w:color w:val="7F7F7F" w:themeColor="text1" w:themeTint="80"/>
          <w:lang w:val="en-GB"/>
        </w:rPr>
        <w:t>EU refunds for projects financed from the national budget between 2014-2018, which were retrospectively considered eligible by the European Commission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559"/>
    <w:multiLevelType w:val="hybridMultilevel"/>
    <w:tmpl w:val="60F623AE"/>
    <w:lvl w:ilvl="0" w:tplc="A59CE0C4">
      <w:numFmt w:val="bullet"/>
      <w:lvlText w:val="-"/>
      <w:lvlJc w:val="left"/>
      <w:pPr>
        <w:ind w:left="10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" w15:restartNumberingAfterBreak="0">
    <w:nsid w:val="19AE6EB8"/>
    <w:multiLevelType w:val="hybridMultilevel"/>
    <w:tmpl w:val="A8B84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316B"/>
    <w:multiLevelType w:val="hybridMultilevel"/>
    <w:tmpl w:val="AC76A1EE"/>
    <w:lvl w:ilvl="0" w:tplc="30126C2E">
      <w:numFmt w:val="bullet"/>
      <w:lvlText w:val="-"/>
      <w:lvlJc w:val="left"/>
      <w:pPr>
        <w:ind w:left="750" w:hanging="39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1D8C"/>
    <w:multiLevelType w:val="hybridMultilevel"/>
    <w:tmpl w:val="A3C410EA"/>
    <w:lvl w:ilvl="0" w:tplc="6F76A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8D3"/>
    <w:multiLevelType w:val="hybridMultilevel"/>
    <w:tmpl w:val="B202A21C"/>
    <w:lvl w:ilvl="0" w:tplc="731EB55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3916"/>
    <w:multiLevelType w:val="hybridMultilevel"/>
    <w:tmpl w:val="7480F156"/>
    <w:lvl w:ilvl="0" w:tplc="30126C2E">
      <w:numFmt w:val="bullet"/>
      <w:lvlText w:val="-"/>
      <w:lvlJc w:val="left"/>
      <w:pPr>
        <w:ind w:left="750" w:hanging="39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97CC7"/>
    <w:multiLevelType w:val="hybridMultilevel"/>
    <w:tmpl w:val="C51EB1E6"/>
    <w:lvl w:ilvl="0" w:tplc="52C60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23"/>
    <w:rsid w:val="00001E8C"/>
    <w:rsid w:val="00014E48"/>
    <w:rsid w:val="0001630B"/>
    <w:rsid w:val="00017361"/>
    <w:rsid w:val="00032A05"/>
    <w:rsid w:val="00041D0D"/>
    <w:rsid w:val="000443DD"/>
    <w:rsid w:val="00052351"/>
    <w:rsid w:val="000613CB"/>
    <w:rsid w:val="000662DE"/>
    <w:rsid w:val="0008264F"/>
    <w:rsid w:val="000916B5"/>
    <w:rsid w:val="000942F8"/>
    <w:rsid w:val="000948BA"/>
    <w:rsid w:val="000951A2"/>
    <w:rsid w:val="000968F8"/>
    <w:rsid w:val="000A25FA"/>
    <w:rsid w:val="000A4203"/>
    <w:rsid w:val="000A62E1"/>
    <w:rsid w:val="000B06D6"/>
    <w:rsid w:val="000C30DF"/>
    <w:rsid w:val="000C5478"/>
    <w:rsid w:val="000C7970"/>
    <w:rsid w:val="000D3A0D"/>
    <w:rsid w:val="000D653B"/>
    <w:rsid w:val="000E65A8"/>
    <w:rsid w:val="000F0A63"/>
    <w:rsid w:val="000F10A9"/>
    <w:rsid w:val="000F1E3F"/>
    <w:rsid w:val="000F62DB"/>
    <w:rsid w:val="000F7D67"/>
    <w:rsid w:val="001005B4"/>
    <w:rsid w:val="00107875"/>
    <w:rsid w:val="00111C33"/>
    <w:rsid w:val="001133BE"/>
    <w:rsid w:val="00122DF5"/>
    <w:rsid w:val="00125818"/>
    <w:rsid w:val="00130A50"/>
    <w:rsid w:val="00142FC5"/>
    <w:rsid w:val="00153418"/>
    <w:rsid w:val="00154C33"/>
    <w:rsid w:val="00156388"/>
    <w:rsid w:val="001707DC"/>
    <w:rsid w:val="00175AD6"/>
    <w:rsid w:val="0018055E"/>
    <w:rsid w:val="001A2254"/>
    <w:rsid w:val="001B1E6F"/>
    <w:rsid w:val="001B60DA"/>
    <w:rsid w:val="001B70D2"/>
    <w:rsid w:val="001C177D"/>
    <w:rsid w:val="001C52B3"/>
    <w:rsid w:val="001D03AF"/>
    <w:rsid w:val="001D06A7"/>
    <w:rsid w:val="001D0753"/>
    <w:rsid w:val="001D44C7"/>
    <w:rsid w:val="001D6927"/>
    <w:rsid w:val="001E2F10"/>
    <w:rsid w:val="001E4EAE"/>
    <w:rsid w:val="001E6762"/>
    <w:rsid w:val="001F16B2"/>
    <w:rsid w:val="001F1E8A"/>
    <w:rsid w:val="001F36DD"/>
    <w:rsid w:val="001F7E56"/>
    <w:rsid w:val="00206989"/>
    <w:rsid w:val="00207222"/>
    <w:rsid w:val="00207AFA"/>
    <w:rsid w:val="002123FD"/>
    <w:rsid w:val="00214764"/>
    <w:rsid w:val="002200B1"/>
    <w:rsid w:val="00222A76"/>
    <w:rsid w:val="0022634D"/>
    <w:rsid w:val="00231AE5"/>
    <w:rsid w:val="00232E16"/>
    <w:rsid w:val="0023449A"/>
    <w:rsid w:val="00237850"/>
    <w:rsid w:val="00241CAA"/>
    <w:rsid w:val="002445E4"/>
    <w:rsid w:val="0025293A"/>
    <w:rsid w:val="00253FAE"/>
    <w:rsid w:val="00256949"/>
    <w:rsid w:val="0025780B"/>
    <w:rsid w:val="00274B69"/>
    <w:rsid w:val="00274F7D"/>
    <w:rsid w:val="00281042"/>
    <w:rsid w:val="00281321"/>
    <w:rsid w:val="002915B1"/>
    <w:rsid w:val="0029776C"/>
    <w:rsid w:val="002A10F4"/>
    <w:rsid w:val="002A7F1B"/>
    <w:rsid w:val="002B0F64"/>
    <w:rsid w:val="002B3CC9"/>
    <w:rsid w:val="002C248D"/>
    <w:rsid w:val="002D4811"/>
    <w:rsid w:val="002E2223"/>
    <w:rsid w:val="002E7628"/>
    <w:rsid w:val="002F06DB"/>
    <w:rsid w:val="002F4790"/>
    <w:rsid w:val="00302BA3"/>
    <w:rsid w:val="00311431"/>
    <w:rsid w:val="00311CDB"/>
    <w:rsid w:val="003129BF"/>
    <w:rsid w:val="00313230"/>
    <w:rsid w:val="00321CDC"/>
    <w:rsid w:val="0032665D"/>
    <w:rsid w:val="0034015F"/>
    <w:rsid w:val="00342B87"/>
    <w:rsid w:val="00353276"/>
    <w:rsid w:val="003565E1"/>
    <w:rsid w:val="00356F6A"/>
    <w:rsid w:val="00360906"/>
    <w:rsid w:val="003667AE"/>
    <w:rsid w:val="003773F4"/>
    <w:rsid w:val="00392457"/>
    <w:rsid w:val="00392E3D"/>
    <w:rsid w:val="00394396"/>
    <w:rsid w:val="0039710E"/>
    <w:rsid w:val="003A6CA7"/>
    <w:rsid w:val="003B0E9A"/>
    <w:rsid w:val="003B1D0B"/>
    <w:rsid w:val="003B44A7"/>
    <w:rsid w:val="003C3F3D"/>
    <w:rsid w:val="003D1A87"/>
    <w:rsid w:val="003E4E66"/>
    <w:rsid w:val="003F37F1"/>
    <w:rsid w:val="003F4337"/>
    <w:rsid w:val="003F4E84"/>
    <w:rsid w:val="003F7995"/>
    <w:rsid w:val="0040565D"/>
    <w:rsid w:val="00406E25"/>
    <w:rsid w:val="00407EFE"/>
    <w:rsid w:val="00410E69"/>
    <w:rsid w:val="004149AC"/>
    <w:rsid w:val="00414D79"/>
    <w:rsid w:val="004159B5"/>
    <w:rsid w:val="00423CAE"/>
    <w:rsid w:val="004254A9"/>
    <w:rsid w:val="004305E3"/>
    <w:rsid w:val="004320A1"/>
    <w:rsid w:val="00434C82"/>
    <w:rsid w:val="00452ACC"/>
    <w:rsid w:val="00460E3C"/>
    <w:rsid w:val="00462388"/>
    <w:rsid w:val="0048352B"/>
    <w:rsid w:val="00483BA3"/>
    <w:rsid w:val="0048518E"/>
    <w:rsid w:val="004861C1"/>
    <w:rsid w:val="004901E4"/>
    <w:rsid w:val="004A1E84"/>
    <w:rsid w:val="004A4B30"/>
    <w:rsid w:val="004B7A33"/>
    <w:rsid w:val="004C373B"/>
    <w:rsid w:val="004C5C99"/>
    <w:rsid w:val="004D05CA"/>
    <w:rsid w:val="004D6936"/>
    <w:rsid w:val="004E05F2"/>
    <w:rsid w:val="004E0E38"/>
    <w:rsid w:val="004E0EDE"/>
    <w:rsid w:val="004E126B"/>
    <w:rsid w:val="004E13C1"/>
    <w:rsid w:val="004E2A7B"/>
    <w:rsid w:val="004F2959"/>
    <w:rsid w:val="0050613A"/>
    <w:rsid w:val="00507059"/>
    <w:rsid w:val="00511104"/>
    <w:rsid w:val="005145FF"/>
    <w:rsid w:val="005233AC"/>
    <w:rsid w:val="00526E8B"/>
    <w:rsid w:val="00527A5F"/>
    <w:rsid w:val="005316E8"/>
    <w:rsid w:val="005458DC"/>
    <w:rsid w:val="0054788C"/>
    <w:rsid w:val="00547F5F"/>
    <w:rsid w:val="00552EDC"/>
    <w:rsid w:val="00553619"/>
    <w:rsid w:val="005623F6"/>
    <w:rsid w:val="005656AD"/>
    <w:rsid w:val="00565CBB"/>
    <w:rsid w:val="00571D08"/>
    <w:rsid w:val="00573953"/>
    <w:rsid w:val="0057521B"/>
    <w:rsid w:val="0058077F"/>
    <w:rsid w:val="00581AF2"/>
    <w:rsid w:val="005842BD"/>
    <w:rsid w:val="0058551F"/>
    <w:rsid w:val="005879EE"/>
    <w:rsid w:val="005922C0"/>
    <w:rsid w:val="005964AB"/>
    <w:rsid w:val="005A37CF"/>
    <w:rsid w:val="005A4448"/>
    <w:rsid w:val="005A7458"/>
    <w:rsid w:val="005C1DD0"/>
    <w:rsid w:val="005D0771"/>
    <w:rsid w:val="005D35E7"/>
    <w:rsid w:val="005E58C4"/>
    <w:rsid w:val="005F2DA2"/>
    <w:rsid w:val="005F3004"/>
    <w:rsid w:val="00622EAC"/>
    <w:rsid w:val="00623A5E"/>
    <w:rsid w:val="00623E18"/>
    <w:rsid w:val="006306E1"/>
    <w:rsid w:val="006376F5"/>
    <w:rsid w:val="00656D17"/>
    <w:rsid w:val="0066150C"/>
    <w:rsid w:val="00663EA7"/>
    <w:rsid w:val="00667C1C"/>
    <w:rsid w:val="006704C5"/>
    <w:rsid w:val="00671CB8"/>
    <w:rsid w:val="00672393"/>
    <w:rsid w:val="006730CA"/>
    <w:rsid w:val="00682712"/>
    <w:rsid w:val="0069273C"/>
    <w:rsid w:val="006A012D"/>
    <w:rsid w:val="006A0560"/>
    <w:rsid w:val="006A0C0C"/>
    <w:rsid w:val="006A46E7"/>
    <w:rsid w:val="006C0750"/>
    <w:rsid w:val="006C76FA"/>
    <w:rsid w:val="006E2931"/>
    <w:rsid w:val="006E734C"/>
    <w:rsid w:val="006F3F63"/>
    <w:rsid w:val="006F6BF2"/>
    <w:rsid w:val="00700B62"/>
    <w:rsid w:val="00703ACE"/>
    <w:rsid w:val="007121BE"/>
    <w:rsid w:val="007132A5"/>
    <w:rsid w:val="00721CAF"/>
    <w:rsid w:val="00734D13"/>
    <w:rsid w:val="0073781B"/>
    <w:rsid w:val="00740BCB"/>
    <w:rsid w:val="00740FA8"/>
    <w:rsid w:val="00741961"/>
    <w:rsid w:val="00741FED"/>
    <w:rsid w:val="00742502"/>
    <w:rsid w:val="00742F88"/>
    <w:rsid w:val="00743084"/>
    <w:rsid w:val="00743333"/>
    <w:rsid w:val="00744377"/>
    <w:rsid w:val="00744E04"/>
    <w:rsid w:val="00746D5E"/>
    <w:rsid w:val="00751BF9"/>
    <w:rsid w:val="007536F7"/>
    <w:rsid w:val="00754831"/>
    <w:rsid w:val="00765034"/>
    <w:rsid w:val="00771F9D"/>
    <w:rsid w:val="00784416"/>
    <w:rsid w:val="00791FEB"/>
    <w:rsid w:val="00794167"/>
    <w:rsid w:val="007A0DDC"/>
    <w:rsid w:val="007A23F1"/>
    <w:rsid w:val="007B5527"/>
    <w:rsid w:val="007D4A8A"/>
    <w:rsid w:val="007D76CC"/>
    <w:rsid w:val="007D782E"/>
    <w:rsid w:val="007E48B7"/>
    <w:rsid w:val="007F1EB4"/>
    <w:rsid w:val="007F5BD4"/>
    <w:rsid w:val="00805BFB"/>
    <w:rsid w:val="00807885"/>
    <w:rsid w:val="008125BD"/>
    <w:rsid w:val="00814311"/>
    <w:rsid w:val="008154B0"/>
    <w:rsid w:val="0082174B"/>
    <w:rsid w:val="008343FE"/>
    <w:rsid w:val="00835E25"/>
    <w:rsid w:val="00851DCE"/>
    <w:rsid w:val="00854369"/>
    <w:rsid w:val="00854A05"/>
    <w:rsid w:val="00883977"/>
    <w:rsid w:val="008841E4"/>
    <w:rsid w:val="00886DFA"/>
    <w:rsid w:val="00896686"/>
    <w:rsid w:val="008A2ED1"/>
    <w:rsid w:val="008A36A6"/>
    <w:rsid w:val="008B1FD4"/>
    <w:rsid w:val="008B44CC"/>
    <w:rsid w:val="008D183E"/>
    <w:rsid w:val="008D4EFA"/>
    <w:rsid w:val="008D5E65"/>
    <w:rsid w:val="008E2FC1"/>
    <w:rsid w:val="008E39D6"/>
    <w:rsid w:val="008F735B"/>
    <w:rsid w:val="009008DE"/>
    <w:rsid w:val="0090243B"/>
    <w:rsid w:val="00910F23"/>
    <w:rsid w:val="00924CB6"/>
    <w:rsid w:val="00930CAC"/>
    <w:rsid w:val="00933946"/>
    <w:rsid w:val="009345E3"/>
    <w:rsid w:val="00934745"/>
    <w:rsid w:val="00934D73"/>
    <w:rsid w:val="00936B61"/>
    <w:rsid w:val="00943365"/>
    <w:rsid w:val="00961D8B"/>
    <w:rsid w:val="00964866"/>
    <w:rsid w:val="00966991"/>
    <w:rsid w:val="00973651"/>
    <w:rsid w:val="009746E7"/>
    <w:rsid w:val="009775C3"/>
    <w:rsid w:val="00977D9F"/>
    <w:rsid w:val="0098278D"/>
    <w:rsid w:val="009833EE"/>
    <w:rsid w:val="009A25BD"/>
    <w:rsid w:val="009A4D06"/>
    <w:rsid w:val="009A5F48"/>
    <w:rsid w:val="009A6614"/>
    <w:rsid w:val="009C2214"/>
    <w:rsid w:val="009C3388"/>
    <w:rsid w:val="009E35E8"/>
    <w:rsid w:val="009E3FE6"/>
    <w:rsid w:val="009E44CE"/>
    <w:rsid w:val="009E4B9C"/>
    <w:rsid w:val="009F579F"/>
    <w:rsid w:val="009F71DD"/>
    <w:rsid w:val="00A02EF0"/>
    <w:rsid w:val="00A052F0"/>
    <w:rsid w:val="00A12711"/>
    <w:rsid w:val="00A1533A"/>
    <w:rsid w:val="00A15402"/>
    <w:rsid w:val="00A32899"/>
    <w:rsid w:val="00A44D76"/>
    <w:rsid w:val="00A45C4C"/>
    <w:rsid w:val="00A46A47"/>
    <w:rsid w:val="00A60532"/>
    <w:rsid w:val="00A65BD1"/>
    <w:rsid w:val="00A71A0A"/>
    <w:rsid w:val="00A725CE"/>
    <w:rsid w:val="00A86B38"/>
    <w:rsid w:val="00A90AD7"/>
    <w:rsid w:val="00A9275D"/>
    <w:rsid w:val="00AA6EE5"/>
    <w:rsid w:val="00AB29F1"/>
    <w:rsid w:val="00AB3DBD"/>
    <w:rsid w:val="00AC33D2"/>
    <w:rsid w:val="00AC5273"/>
    <w:rsid w:val="00AC72CD"/>
    <w:rsid w:val="00AD0F1A"/>
    <w:rsid w:val="00AD6F7B"/>
    <w:rsid w:val="00AD74AC"/>
    <w:rsid w:val="00AE54C4"/>
    <w:rsid w:val="00AF7AEA"/>
    <w:rsid w:val="00B03261"/>
    <w:rsid w:val="00B1312D"/>
    <w:rsid w:val="00B137F5"/>
    <w:rsid w:val="00B14A66"/>
    <w:rsid w:val="00B16FF6"/>
    <w:rsid w:val="00B17760"/>
    <w:rsid w:val="00B25F58"/>
    <w:rsid w:val="00B42D64"/>
    <w:rsid w:val="00B44140"/>
    <w:rsid w:val="00B4492C"/>
    <w:rsid w:val="00B519D8"/>
    <w:rsid w:val="00B551D0"/>
    <w:rsid w:val="00B55707"/>
    <w:rsid w:val="00B6048A"/>
    <w:rsid w:val="00B6402E"/>
    <w:rsid w:val="00B64666"/>
    <w:rsid w:val="00B64A5B"/>
    <w:rsid w:val="00B67E3C"/>
    <w:rsid w:val="00B734CD"/>
    <w:rsid w:val="00B87BDE"/>
    <w:rsid w:val="00B91201"/>
    <w:rsid w:val="00B921B0"/>
    <w:rsid w:val="00B92EB8"/>
    <w:rsid w:val="00BA152F"/>
    <w:rsid w:val="00BA17B1"/>
    <w:rsid w:val="00BA480E"/>
    <w:rsid w:val="00BA63CD"/>
    <w:rsid w:val="00BA6522"/>
    <w:rsid w:val="00BA66BF"/>
    <w:rsid w:val="00BA7231"/>
    <w:rsid w:val="00BB1057"/>
    <w:rsid w:val="00BE3856"/>
    <w:rsid w:val="00BE4BB6"/>
    <w:rsid w:val="00BE5D00"/>
    <w:rsid w:val="00BE7B9B"/>
    <w:rsid w:val="00BF0246"/>
    <w:rsid w:val="00BF69A8"/>
    <w:rsid w:val="00C067B1"/>
    <w:rsid w:val="00C15CDC"/>
    <w:rsid w:val="00C16D94"/>
    <w:rsid w:val="00C1718B"/>
    <w:rsid w:val="00C22ED5"/>
    <w:rsid w:val="00C267BD"/>
    <w:rsid w:val="00C361BA"/>
    <w:rsid w:val="00C374F4"/>
    <w:rsid w:val="00C44E25"/>
    <w:rsid w:val="00C50AC2"/>
    <w:rsid w:val="00C51147"/>
    <w:rsid w:val="00C56676"/>
    <w:rsid w:val="00C61E22"/>
    <w:rsid w:val="00C624BA"/>
    <w:rsid w:val="00C62EE0"/>
    <w:rsid w:val="00C642E7"/>
    <w:rsid w:val="00C65632"/>
    <w:rsid w:val="00C656E7"/>
    <w:rsid w:val="00C7250A"/>
    <w:rsid w:val="00C83108"/>
    <w:rsid w:val="00C84B3B"/>
    <w:rsid w:val="00C87154"/>
    <w:rsid w:val="00C8723C"/>
    <w:rsid w:val="00C877EE"/>
    <w:rsid w:val="00C90455"/>
    <w:rsid w:val="00C92CD0"/>
    <w:rsid w:val="00C9325A"/>
    <w:rsid w:val="00C95D92"/>
    <w:rsid w:val="00CA3901"/>
    <w:rsid w:val="00CA4A92"/>
    <w:rsid w:val="00CA50CD"/>
    <w:rsid w:val="00CA79E1"/>
    <w:rsid w:val="00CB5101"/>
    <w:rsid w:val="00CB72EB"/>
    <w:rsid w:val="00CC03AF"/>
    <w:rsid w:val="00CC402A"/>
    <w:rsid w:val="00CC4F2C"/>
    <w:rsid w:val="00CD0945"/>
    <w:rsid w:val="00CD0AA8"/>
    <w:rsid w:val="00CD0B3D"/>
    <w:rsid w:val="00CD33CA"/>
    <w:rsid w:val="00CD578B"/>
    <w:rsid w:val="00CE2B39"/>
    <w:rsid w:val="00CE2C24"/>
    <w:rsid w:val="00CE435B"/>
    <w:rsid w:val="00CE54D7"/>
    <w:rsid w:val="00CE6770"/>
    <w:rsid w:val="00CE721E"/>
    <w:rsid w:val="00CF1ED7"/>
    <w:rsid w:val="00CF5187"/>
    <w:rsid w:val="00D00C34"/>
    <w:rsid w:val="00D05EA1"/>
    <w:rsid w:val="00D1037B"/>
    <w:rsid w:val="00D109D6"/>
    <w:rsid w:val="00D318B7"/>
    <w:rsid w:val="00D31D3A"/>
    <w:rsid w:val="00D3522E"/>
    <w:rsid w:val="00D36298"/>
    <w:rsid w:val="00D374AE"/>
    <w:rsid w:val="00D43382"/>
    <w:rsid w:val="00D450FA"/>
    <w:rsid w:val="00D479D8"/>
    <w:rsid w:val="00D506AC"/>
    <w:rsid w:val="00D57785"/>
    <w:rsid w:val="00D60BC0"/>
    <w:rsid w:val="00D66ACF"/>
    <w:rsid w:val="00D7157B"/>
    <w:rsid w:val="00D830D2"/>
    <w:rsid w:val="00D856CE"/>
    <w:rsid w:val="00D96816"/>
    <w:rsid w:val="00DA35E4"/>
    <w:rsid w:val="00DB722C"/>
    <w:rsid w:val="00DB746C"/>
    <w:rsid w:val="00DC276C"/>
    <w:rsid w:val="00DD36C2"/>
    <w:rsid w:val="00DD3FBA"/>
    <w:rsid w:val="00DD5C43"/>
    <w:rsid w:val="00DD7648"/>
    <w:rsid w:val="00DE2EB1"/>
    <w:rsid w:val="00DE553D"/>
    <w:rsid w:val="00DE5601"/>
    <w:rsid w:val="00DF01F7"/>
    <w:rsid w:val="00DF1651"/>
    <w:rsid w:val="00DF6426"/>
    <w:rsid w:val="00DF707F"/>
    <w:rsid w:val="00E03C59"/>
    <w:rsid w:val="00E04682"/>
    <w:rsid w:val="00E16164"/>
    <w:rsid w:val="00E25FC5"/>
    <w:rsid w:val="00E34607"/>
    <w:rsid w:val="00E56254"/>
    <w:rsid w:val="00E56FF2"/>
    <w:rsid w:val="00E6277F"/>
    <w:rsid w:val="00E717A2"/>
    <w:rsid w:val="00E74759"/>
    <w:rsid w:val="00E74A8C"/>
    <w:rsid w:val="00E75196"/>
    <w:rsid w:val="00E82CC6"/>
    <w:rsid w:val="00E87431"/>
    <w:rsid w:val="00E9176D"/>
    <w:rsid w:val="00E92C88"/>
    <w:rsid w:val="00EB0ECB"/>
    <w:rsid w:val="00EB574F"/>
    <w:rsid w:val="00EB7155"/>
    <w:rsid w:val="00EC3F79"/>
    <w:rsid w:val="00ED2E85"/>
    <w:rsid w:val="00ED3350"/>
    <w:rsid w:val="00ED3C31"/>
    <w:rsid w:val="00EE3559"/>
    <w:rsid w:val="00EE6404"/>
    <w:rsid w:val="00EF2503"/>
    <w:rsid w:val="00EF6134"/>
    <w:rsid w:val="00EF74C2"/>
    <w:rsid w:val="00F01CD6"/>
    <w:rsid w:val="00F07738"/>
    <w:rsid w:val="00F14666"/>
    <w:rsid w:val="00F155D7"/>
    <w:rsid w:val="00F156D5"/>
    <w:rsid w:val="00F170F2"/>
    <w:rsid w:val="00F171BF"/>
    <w:rsid w:val="00F22F81"/>
    <w:rsid w:val="00F27CC4"/>
    <w:rsid w:val="00F405DB"/>
    <w:rsid w:val="00F42E28"/>
    <w:rsid w:val="00F50086"/>
    <w:rsid w:val="00F53291"/>
    <w:rsid w:val="00F53857"/>
    <w:rsid w:val="00F7443E"/>
    <w:rsid w:val="00F811A0"/>
    <w:rsid w:val="00F82E5B"/>
    <w:rsid w:val="00F859E9"/>
    <w:rsid w:val="00F94C90"/>
    <w:rsid w:val="00F972DC"/>
    <w:rsid w:val="00FA10B7"/>
    <w:rsid w:val="00FA11D3"/>
    <w:rsid w:val="00FB6A82"/>
    <w:rsid w:val="00FC0E54"/>
    <w:rsid w:val="00FC3E5E"/>
    <w:rsid w:val="00FD1E06"/>
    <w:rsid w:val="00FD1F6D"/>
    <w:rsid w:val="00FF1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951C4"/>
  <w15:docId w15:val="{2445AF2F-D3B4-4285-9525-39474F6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6D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4C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0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4C5"/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87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9E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9EE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EE"/>
    <w:rPr>
      <w:rFonts w:ascii="Segoe UI" w:hAnsi="Segoe UI" w:cs="Segoe UI"/>
      <w:sz w:val="18"/>
      <w:szCs w:val="1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6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6E7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746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56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6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5632"/>
    <w:pPr>
      <w:spacing w:after="0" w:line="240" w:lineRule="auto"/>
    </w:pPr>
    <w:rPr>
      <w:lang w:val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014E4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4F477074C5474DB153439CBFE5B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C4DB-4B98-4828-A2DB-7CEFE3A6E5F7}"/>
      </w:docPartPr>
      <w:docPartBody>
        <w:p w:rsidR="00B20AF3" w:rsidRDefault="007D235C" w:rsidP="007D235C">
          <w:pPr>
            <w:pStyle w:val="D84F477074C5474DB153439CBFE5B89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235C"/>
    <w:rsid w:val="00003060"/>
    <w:rsid w:val="00126D45"/>
    <w:rsid w:val="002535A9"/>
    <w:rsid w:val="00266D62"/>
    <w:rsid w:val="0027247A"/>
    <w:rsid w:val="003528E2"/>
    <w:rsid w:val="003A18EB"/>
    <w:rsid w:val="004E2B15"/>
    <w:rsid w:val="005D0CF2"/>
    <w:rsid w:val="00607D6D"/>
    <w:rsid w:val="00644648"/>
    <w:rsid w:val="00660F79"/>
    <w:rsid w:val="00667264"/>
    <w:rsid w:val="006D26BC"/>
    <w:rsid w:val="006E4CB8"/>
    <w:rsid w:val="00757288"/>
    <w:rsid w:val="007C272E"/>
    <w:rsid w:val="007D235C"/>
    <w:rsid w:val="00824870"/>
    <w:rsid w:val="00827E85"/>
    <w:rsid w:val="0087400D"/>
    <w:rsid w:val="008B294D"/>
    <w:rsid w:val="00920B36"/>
    <w:rsid w:val="009F6538"/>
    <w:rsid w:val="00B20AF3"/>
    <w:rsid w:val="00B83DF3"/>
    <w:rsid w:val="00C81CF7"/>
    <w:rsid w:val="00D51E4B"/>
    <w:rsid w:val="00DC1E03"/>
    <w:rsid w:val="00DE4240"/>
    <w:rsid w:val="00DF60E2"/>
    <w:rsid w:val="00E1117C"/>
    <w:rsid w:val="00E37535"/>
    <w:rsid w:val="00E421C4"/>
    <w:rsid w:val="00E74945"/>
    <w:rsid w:val="00E9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3FAA469BF41AFB80B15BA8B3BC5C7">
    <w:name w:val="DC53FAA469BF41AFB80B15BA8B3BC5C7"/>
    <w:rsid w:val="007D235C"/>
  </w:style>
  <w:style w:type="paragraph" w:customStyle="1" w:styleId="A63BA8AA347747239C28BBD29DF049A6">
    <w:name w:val="A63BA8AA347747239C28BBD29DF049A6"/>
    <w:rsid w:val="007D235C"/>
  </w:style>
  <w:style w:type="paragraph" w:customStyle="1" w:styleId="EFE17D0A18134B018CED955263547CFF">
    <w:name w:val="EFE17D0A18134B018CED955263547CFF"/>
    <w:rsid w:val="007D235C"/>
  </w:style>
  <w:style w:type="paragraph" w:customStyle="1" w:styleId="9F4ED5013DF44E3199274DF65CB4D04D">
    <w:name w:val="9F4ED5013DF44E3199274DF65CB4D04D"/>
    <w:rsid w:val="007D235C"/>
  </w:style>
  <w:style w:type="paragraph" w:customStyle="1" w:styleId="AE61C2965EC946FA873DC7359A55B5A6">
    <w:name w:val="AE61C2965EC946FA873DC7359A55B5A6"/>
    <w:rsid w:val="007D235C"/>
  </w:style>
  <w:style w:type="character" w:styleId="PlaceholderText">
    <w:name w:val="Placeholder Text"/>
    <w:basedOn w:val="DefaultParagraphFont"/>
    <w:uiPriority w:val="99"/>
    <w:semiHidden/>
    <w:rsid w:val="007D235C"/>
    <w:rPr>
      <w:color w:val="808080"/>
    </w:rPr>
  </w:style>
  <w:style w:type="paragraph" w:customStyle="1" w:styleId="D84F477074C5474DB153439CBFE5B89B">
    <w:name w:val="D84F477074C5474DB153439CBFE5B89B"/>
    <w:rsid w:val="007D2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B4EAD-8693-47D9-9EF8-E174D18A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Finantelor Publice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EXECUTION OF THE GENERAL government BUDGET 2019</dc:creator>
  <cp:keywords/>
  <dc:description/>
  <cp:lastModifiedBy>GEORGIANA BALABAN</cp:lastModifiedBy>
  <cp:revision>21</cp:revision>
  <cp:lastPrinted>2020-01-28T08:24:00Z</cp:lastPrinted>
  <dcterms:created xsi:type="dcterms:W3CDTF">2020-02-07T10:29:00Z</dcterms:created>
  <dcterms:modified xsi:type="dcterms:W3CDTF">2020-02-10T11:02:00Z</dcterms:modified>
</cp:coreProperties>
</file>