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89" w:rsidRDefault="00751112">
      <w:pPr>
        <w:pStyle w:val="Heading10"/>
        <w:keepNext/>
        <w:keepLines/>
        <w:spacing w:line="0" w:lineRule="atLeast"/>
      </w:pPr>
      <w:bookmarkStart w:id="0" w:name="bookmark0"/>
      <w:bookmarkStart w:id="1" w:name="_GoBack"/>
      <w:bookmarkEnd w:id="1"/>
      <w:permStart w:id="949112531" w:edGrp="everyone"/>
      <w:permEnd w:id="949112531"/>
      <w:proofErr w:type="spellStart"/>
      <w:r>
        <w:rPr>
          <w:rStyle w:val="Heading1"/>
          <w:smallCaps/>
        </w:rPr>
        <w:t>specificatii</w:t>
      </w:r>
      <w:proofErr w:type="spellEnd"/>
      <w:r>
        <w:rPr>
          <w:rStyle w:val="Heading1"/>
          <w:smallCaps/>
        </w:rPr>
        <w:t xml:space="preserve"> tehnice</w:t>
      </w:r>
      <w:bookmarkEnd w:id="0"/>
    </w:p>
    <w:p w:rsidR="00E97E89" w:rsidRDefault="00751112">
      <w:pPr>
        <w:pStyle w:val="Bodytext20"/>
      </w:pPr>
      <w:r>
        <w:rPr>
          <w:rStyle w:val="Bodytext2"/>
        </w:rPr>
        <w:t>&gt;</w:t>
      </w:r>
    </w:p>
    <w:p w:rsidR="00E97E89" w:rsidRDefault="00751112">
      <w:pPr>
        <w:pStyle w:val="BodyText"/>
        <w:spacing w:after="240"/>
        <w:ind w:firstLine="720"/>
        <w:jc w:val="both"/>
      </w:pPr>
      <w:r>
        <w:rPr>
          <w:rStyle w:val="BodyTextChar"/>
        </w:rPr>
        <w:t>Ministerul Finanțelor Publice a achiziționat în anul 2014 un sistem de supraveghere video care este compus din: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763"/>
        <w:gridCol w:w="1728"/>
        <w:gridCol w:w="1694"/>
        <w:gridCol w:w="1507"/>
      </w:tblGrid>
      <w:tr w:rsidR="00E97E89">
        <w:tblPrEx>
          <w:tblCellMar>
            <w:top w:w="0" w:type="dxa"/>
            <w:bottom w:w="0" w:type="dxa"/>
          </w:tblCellMar>
        </w:tblPrEx>
        <w:trPr>
          <w:trHeight w:hRule="exact" w:val="566"/>
          <w:jc w:val="center"/>
        </w:trPr>
        <w:tc>
          <w:tcPr>
            <w:tcW w:w="734" w:type="dxa"/>
            <w:tcBorders>
              <w:top w:val="single" w:sz="4" w:space="0" w:color="auto"/>
              <w:left w:val="single" w:sz="4" w:space="0" w:color="auto"/>
            </w:tcBorders>
            <w:shd w:val="clear" w:color="auto" w:fill="auto"/>
          </w:tcPr>
          <w:p w:rsidR="00E97E89" w:rsidRDefault="00751112">
            <w:pPr>
              <w:pStyle w:val="Other0"/>
              <w:ind w:firstLine="0"/>
              <w:jc w:val="center"/>
            </w:pPr>
            <w:r>
              <w:rPr>
                <w:rStyle w:val="Other"/>
                <w:b/>
                <w:bCs/>
              </w:rPr>
              <w:t>Nr. crt.</w:t>
            </w:r>
          </w:p>
        </w:tc>
        <w:tc>
          <w:tcPr>
            <w:tcW w:w="3763"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b/>
                <w:bCs/>
              </w:rPr>
              <w:t>Denumire echipament</w:t>
            </w:r>
          </w:p>
        </w:tc>
        <w:tc>
          <w:tcPr>
            <w:tcW w:w="1728"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b/>
                <w:bCs/>
              </w:rPr>
              <w:t>Cantitate</w:t>
            </w:r>
          </w:p>
        </w:tc>
        <w:tc>
          <w:tcPr>
            <w:tcW w:w="169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b/>
                <w:bCs/>
              </w:rPr>
              <w:t>Producător</w:t>
            </w:r>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278"/>
          <w:jc w:val="center"/>
        </w:trPr>
        <w:tc>
          <w:tcPr>
            <w:tcW w:w="734" w:type="dxa"/>
            <w:tcBorders>
              <w:top w:val="single" w:sz="4" w:space="0" w:color="auto"/>
              <w:left w:val="single" w:sz="4" w:space="0" w:color="auto"/>
            </w:tcBorders>
            <w:shd w:val="clear" w:color="auto" w:fill="auto"/>
          </w:tcPr>
          <w:p w:rsidR="00E97E89" w:rsidRDefault="00751112">
            <w:pPr>
              <w:pStyle w:val="Other0"/>
              <w:spacing w:line="240" w:lineRule="auto"/>
              <w:ind w:firstLine="280"/>
            </w:pPr>
            <w:r>
              <w:rPr>
                <w:rStyle w:val="Other"/>
              </w:rPr>
              <w:t>1</w:t>
            </w:r>
          </w:p>
        </w:tc>
        <w:tc>
          <w:tcPr>
            <w:tcW w:w="3763" w:type="dxa"/>
            <w:tcBorders>
              <w:top w:val="single" w:sz="4" w:space="0" w:color="auto"/>
              <w:left w:val="single" w:sz="4" w:space="0" w:color="auto"/>
            </w:tcBorders>
            <w:shd w:val="clear" w:color="auto" w:fill="auto"/>
          </w:tcPr>
          <w:p w:rsidR="00E97E89" w:rsidRDefault="00751112">
            <w:pPr>
              <w:pStyle w:val="Other0"/>
              <w:spacing w:line="240" w:lineRule="auto"/>
              <w:ind w:firstLine="0"/>
            </w:pPr>
            <w:r>
              <w:rPr>
                <w:rStyle w:val="Other"/>
              </w:rPr>
              <w:t>înregistrator video digital</w:t>
            </w:r>
          </w:p>
        </w:tc>
        <w:tc>
          <w:tcPr>
            <w:tcW w:w="1728"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1</w:t>
            </w:r>
          </w:p>
        </w:tc>
        <w:tc>
          <w:tcPr>
            <w:tcW w:w="1694"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MSS</w:t>
            </w:r>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547"/>
          <w:jc w:val="center"/>
        </w:trPr>
        <w:tc>
          <w:tcPr>
            <w:tcW w:w="73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280"/>
            </w:pPr>
            <w:r>
              <w:rPr>
                <w:rStyle w:val="Other"/>
              </w:rPr>
              <w:t>2</w:t>
            </w:r>
          </w:p>
        </w:tc>
        <w:tc>
          <w:tcPr>
            <w:tcW w:w="3763" w:type="dxa"/>
            <w:tcBorders>
              <w:top w:val="single" w:sz="4" w:space="0" w:color="auto"/>
              <w:left w:val="single" w:sz="4" w:space="0" w:color="auto"/>
            </w:tcBorders>
            <w:shd w:val="clear" w:color="auto" w:fill="auto"/>
            <w:vAlign w:val="bottom"/>
          </w:tcPr>
          <w:p w:rsidR="00E97E89" w:rsidRDefault="00751112">
            <w:pPr>
              <w:pStyle w:val="Other0"/>
              <w:ind w:firstLine="0"/>
            </w:pPr>
            <w:r>
              <w:rPr>
                <w:rStyle w:val="Other"/>
              </w:rPr>
              <w:t xml:space="preserve">Cameră de exterior </w:t>
            </w:r>
            <w:proofErr w:type="spellStart"/>
            <w:r>
              <w:rPr>
                <w:rStyle w:val="Other"/>
              </w:rPr>
              <w:t>Day</w:t>
            </w:r>
            <w:proofErr w:type="spellEnd"/>
            <w:r>
              <w:rPr>
                <w:rStyle w:val="Other"/>
              </w:rPr>
              <w:t>/</w:t>
            </w:r>
            <w:proofErr w:type="spellStart"/>
            <w:r>
              <w:rPr>
                <w:rStyle w:val="Other"/>
              </w:rPr>
              <w:t>night</w:t>
            </w:r>
            <w:proofErr w:type="spellEnd"/>
            <w:r>
              <w:rPr>
                <w:rStyle w:val="Other"/>
              </w:rPr>
              <w:t xml:space="preserve"> </w:t>
            </w:r>
            <w:proofErr w:type="spellStart"/>
            <w:r>
              <w:rPr>
                <w:rStyle w:val="Other"/>
              </w:rPr>
              <w:t>Hikvision</w:t>
            </w:r>
            <w:proofErr w:type="spellEnd"/>
          </w:p>
        </w:tc>
        <w:tc>
          <w:tcPr>
            <w:tcW w:w="1728"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rPr>
              <w:t>8</w:t>
            </w:r>
          </w:p>
        </w:tc>
        <w:tc>
          <w:tcPr>
            <w:tcW w:w="169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proofErr w:type="spellStart"/>
            <w:r>
              <w:rPr>
                <w:rStyle w:val="Other"/>
              </w:rPr>
              <w:t>Hikvision</w:t>
            </w:r>
            <w:proofErr w:type="spellEnd"/>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547"/>
          <w:jc w:val="center"/>
        </w:trPr>
        <w:tc>
          <w:tcPr>
            <w:tcW w:w="73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280"/>
            </w:pPr>
            <w:r>
              <w:rPr>
                <w:rStyle w:val="Other"/>
              </w:rPr>
              <w:t>3</w:t>
            </w:r>
          </w:p>
        </w:tc>
        <w:tc>
          <w:tcPr>
            <w:tcW w:w="3763" w:type="dxa"/>
            <w:tcBorders>
              <w:top w:val="single" w:sz="4" w:space="0" w:color="auto"/>
              <w:left w:val="single" w:sz="4" w:space="0" w:color="auto"/>
            </w:tcBorders>
            <w:shd w:val="clear" w:color="auto" w:fill="auto"/>
            <w:vAlign w:val="bottom"/>
          </w:tcPr>
          <w:p w:rsidR="00E97E89" w:rsidRDefault="00751112">
            <w:pPr>
              <w:pStyle w:val="Other0"/>
              <w:spacing w:line="240" w:lineRule="auto"/>
              <w:ind w:firstLine="0"/>
            </w:pPr>
            <w:r>
              <w:rPr>
                <w:rStyle w:val="Other"/>
              </w:rPr>
              <w:t>Cameră de exterior</w:t>
            </w:r>
          </w:p>
          <w:p w:rsidR="00E97E89" w:rsidRDefault="00751112">
            <w:pPr>
              <w:pStyle w:val="Other0"/>
              <w:spacing w:line="240" w:lineRule="auto"/>
              <w:ind w:firstLine="0"/>
            </w:pPr>
            <w:proofErr w:type="spellStart"/>
            <w:r>
              <w:rPr>
                <w:rStyle w:val="Other"/>
              </w:rPr>
              <w:t>Day</w:t>
            </w:r>
            <w:proofErr w:type="spellEnd"/>
            <w:r>
              <w:rPr>
                <w:rStyle w:val="Other"/>
              </w:rPr>
              <w:t>/</w:t>
            </w:r>
            <w:proofErr w:type="spellStart"/>
            <w:r>
              <w:rPr>
                <w:rStyle w:val="Other"/>
              </w:rPr>
              <w:t>night</w:t>
            </w:r>
            <w:proofErr w:type="spellEnd"/>
            <w:r>
              <w:rPr>
                <w:rStyle w:val="Other"/>
              </w:rPr>
              <w:t xml:space="preserve"> </w:t>
            </w:r>
            <w:r>
              <w:rPr>
                <w:rStyle w:val="Other"/>
                <w:lang w:val="en-US" w:eastAsia="en-US" w:bidi="en-US"/>
              </w:rPr>
              <w:t xml:space="preserve">Speed </w:t>
            </w:r>
            <w:r>
              <w:rPr>
                <w:rStyle w:val="Other"/>
              </w:rPr>
              <w:t>Dome</w:t>
            </w:r>
          </w:p>
        </w:tc>
        <w:tc>
          <w:tcPr>
            <w:tcW w:w="1728"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rPr>
              <w:t>1</w:t>
            </w:r>
          </w:p>
        </w:tc>
        <w:tc>
          <w:tcPr>
            <w:tcW w:w="169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proofErr w:type="spellStart"/>
            <w:r>
              <w:rPr>
                <w:rStyle w:val="Other"/>
              </w:rPr>
              <w:t>Vivotek</w:t>
            </w:r>
            <w:proofErr w:type="spellEnd"/>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552"/>
          <w:jc w:val="center"/>
        </w:trPr>
        <w:tc>
          <w:tcPr>
            <w:tcW w:w="73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280"/>
            </w:pPr>
            <w:r>
              <w:rPr>
                <w:rStyle w:val="Other"/>
              </w:rPr>
              <w:t>4</w:t>
            </w:r>
          </w:p>
        </w:tc>
        <w:tc>
          <w:tcPr>
            <w:tcW w:w="3763" w:type="dxa"/>
            <w:tcBorders>
              <w:top w:val="single" w:sz="4" w:space="0" w:color="auto"/>
              <w:left w:val="single" w:sz="4" w:space="0" w:color="auto"/>
            </w:tcBorders>
            <w:shd w:val="clear" w:color="auto" w:fill="auto"/>
          </w:tcPr>
          <w:p w:rsidR="00E97E89" w:rsidRDefault="00751112">
            <w:pPr>
              <w:pStyle w:val="Other0"/>
              <w:ind w:firstLine="0"/>
            </w:pPr>
            <w:r>
              <w:rPr>
                <w:rStyle w:val="Other"/>
              </w:rPr>
              <w:t xml:space="preserve">Cameră de interior </w:t>
            </w:r>
            <w:proofErr w:type="spellStart"/>
            <w:r>
              <w:rPr>
                <w:rStyle w:val="Other"/>
              </w:rPr>
              <w:t>Hikvision</w:t>
            </w:r>
            <w:proofErr w:type="spellEnd"/>
          </w:p>
        </w:tc>
        <w:tc>
          <w:tcPr>
            <w:tcW w:w="1728"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r>
              <w:rPr>
                <w:rStyle w:val="Other"/>
              </w:rPr>
              <w:t>46</w:t>
            </w:r>
          </w:p>
        </w:tc>
        <w:tc>
          <w:tcPr>
            <w:tcW w:w="1694" w:type="dxa"/>
            <w:tcBorders>
              <w:top w:val="single" w:sz="4" w:space="0" w:color="auto"/>
              <w:left w:val="single" w:sz="4" w:space="0" w:color="auto"/>
            </w:tcBorders>
            <w:shd w:val="clear" w:color="auto" w:fill="auto"/>
            <w:vAlign w:val="center"/>
          </w:tcPr>
          <w:p w:rsidR="00E97E89" w:rsidRDefault="00751112">
            <w:pPr>
              <w:pStyle w:val="Other0"/>
              <w:spacing w:line="240" w:lineRule="auto"/>
              <w:ind w:firstLine="0"/>
              <w:jc w:val="center"/>
            </w:pPr>
            <w:proofErr w:type="spellStart"/>
            <w:r>
              <w:rPr>
                <w:rStyle w:val="Other"/>
              </w:rPr>
              <w:t>Hikvision</w:t>
            </w:r>
            <w:proofErr w:type="spellEnd"/>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278"/>
          <w:jc w:val="center"/>
        </w:trPr>
        <w:tc>
          <w:tcPr>
            <w:tcW w:w="734" w:type="dxa"/>
            <w:tcBorders>
              <w:top w:val="single" w:sz="4" w:space="0" w:color="auto"/>
              <w:left w:val="single" w:sz="4" w:space="0" w:color="auto"/>
            </w:tcBorders>
            <w:shd w:val="clear" w:color="auto" w:fill="auto"/>
          </w:tcPr>
          <w:p w:rsidR="00E97E89" w:rsidRDefault="00751112">
            <w:pPr>
              <w:pStyle w:val="Other0"/>
              <w:spacing w:line="240" w:lineRule="auto"/>
              <w:ind w:firstLine="280"/>
            </w:pPr>
            <w:r>
              <w:rPr>
                <w:rStyle w:val="Other"/>
              </w:rPr>
              <w:t>5</w:t>
            </w:r>
          </w:p>
        </w:tc>
        <w:tc>
          <w:tcPr>
            <w:tcW w:w="3763" w:type="dxa"/>
            <w:tcBorders>
              <w:top w:val="single" w:sz="4" w:space="0" w:color="auto"/>
              <w:left w:val="single" w:sz="4" w:space="0" w:color="auto"/>
            </w:tcBorders>
            <w:shd w:val="clear" w:color="auto" w:fill="auto"/>
          </w:tcPr>
          <w:p w:rsidR="00E97E89" w:rsidRDefault="00751112">
            <w:pPr>
              <w:pStyle w:val="Other0"/>
              <w:spacing w:line="240" w:lineRule="auto"/>
              <w:ind w:firstLine="0"/>
            </w:pPr>
            <w:r>
              <w:rPr>
                <w:rStyle w:val="Other"/>
              </w:rPr>
              <w:t xml:space="preserve">Monitor </w:t>
            </w:r>
            <w:r>
              <w:rPr>
                <w:rStyle w:val="Other"/>
                <w:lang w:val="en-US" w:eastAsia="en-US" w:bidi="en-US"/>
              </w:rPr>
              <w:t xml:space="preserve">LCD </w:t>
            </w:r>
            <w:r>
              <w:rPr>
                <w:rStyle w:val="Other"/>
              </w:rPr>
              <w:t>32"</w:t>
            </w:r>
          </w:p>
        </w:tc>
        <w:tc>
          <w:tcPr>
            <w:tcW w:w="1728"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1</w:t>
            </w:r>
          </w:p>
        </w:tc>
        <w:tc>
          <w:tcPr>
            <w:tcW w:w="1694"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Samsung</w:t>
            </w:r>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278"/>
          <w:jc w:val="center"/>
        </w:trPr>
        <w:tc>
          <w:tcPr>
            <w:tcW w:w="734" w:type="dxa"/>
            <w:tcBorders>
              <w:top w:val="single" w:sz="4" w:space="0" w:color="auto"/>
              <w:left w:val="single" w:sz="4" w:space="0" w:color="auto"/>
            </w:tcBorders>
            <w:shd w:val="clear" w:color="auto" w:fill="auto"/>
          </w:tcPr>
          <w:p w:rsidR="00E97E89" w:rsidRDefault="00751112">
            <w:pPr>
              <w:pStyle w:val="Other0"/>
              <w:spacing w:line="240" w:lineRule="auto"/>
              <w:ind w:firstLine="280"/>
            </w:pPr>
            <w:r>
              <w:rPr>
                <w:rStyle w:val="Other"/>
              </w:rPr>
              <w:t>6</w:t>
            </w:r>
          </w:p>
        </w:tc>
        <w:tc>
          <w:tcPr>
            <w:tcW w:w="3763" w:type="dxa"/>
            <w:tcBorders>
              <w:top w:val="single" w:sz="4" w:space="0" w:color="auto"/>
              <w:left w:val="single" w:sz="4" w:space="0" w:color="auto"/>
            </w:tcBorders>
            <w:shd w:val="clear" w:color="auto" w:fill="auto"/>
          </w:tcPr>
          <w:p w:rsidR="00E97E89" w:rsidRDefault="00751112">
            <w:pPr>
              <w:pStyle w:val="Other0"/>
              <w:spacing w:line="240" w:lineRule="auto"/>
              <w:ind w:firstLine="0"/>
            </w:pPr>
            <w:r>
              <w:rPr>
                <w:rStyle w:val="Other"/>
              </w:rPr>
              <w:t>UPS</w:t>
            </w:r>
          </w:p>
        </w:tc>
        <w:tc>
          <w:tcPr>
            <w:tcW w:w="1728"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1</w:t>
            </w:r>
          </w:p>
        </w:tc>
        <w:tc>
          <w:tcPr>
            <w:tcW w:w="1694"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 xml:space="preserve">Power </w:t>
            </w:r>
            <w:r>
              <w:rPr>
                <w:rStyle w:val="Other"/>
                <w:lang w:val="en-US" w:eastAsia="en-US" w:bidi="en-US"/>
              </w:rPr>
              <w:t>Walker</w:t>
            </w:r>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274"/>
          <w:jc w:val="center"/>
        </w:trPr>
        <w:tc>
          <w:tcPr>
            <w:tcW w:w="734" w:type="dxa"/>
            <w:tcBorders>
              <w:top w:val="single" w:sz="4" w:space="0" w:color="auto"/>
              <w:left w:val="single" w:sz="4" w:space="0" w:color="auto"/>
            </w:tcBorders>
            <w:shd w:val="clear" w:color="auto" w:fill="auto"/>
          </w:tcPr>
          <w:p w:rsidR="00E97E89" w:rsidRDefault="00751112">
            <w:pPr>
              <w:pStyle w:val="Other0"/>
              <w:spacing w:line="240" w:lineRule="auto"/>
              <w:ind w:firstLine="280"/>
            </w:pPr>
            <w:r>
              <w:rPr>
                <w:rStyle w:val="Other"/>
              </w:rPr>
              <w:t>7</w:t>
            </w:r>
          </w:p>
        </w:tc>
        <w:tc>
          <w:tcPr>
            <w:tcW w:w="3763" w:type="dxa"/>
            <w:tcBorders>
              <w:top w:val="single" w:sz="4" w:space="0" w:color="auto"/>
              <w:left w:val="single" w:sz="4" w:space="0" w:color="auto"/>
            </w:tcBorders>
            <w:shd w:val="clear" w:color="auto" w:fill="auto"/>
          </w:tcPr>
          <w:p w:rsidR="00E97E89" w:rsidRDefault="00751112">
            <w:pPr>
              <w:pStyle w:val="Other0"/>
              <w:spacing w:line="240" w:lineRule="auto"/>
              <w:ind w:firstLine="0"/>
            </w:pPr>
            <w:r>
              <w:rPr>
                <w:rStyle w:val="Other"/>
                <w:lang w:val="en-US" w:eastAsia="en-US" w:bidi="en-US"/>
              </w:rPr>
              <w:t xml:space="preserve">Switch </w:t>
            </w:r>
            <w:r>
              <w:rPr>
                <w:rStyle w:val="Other"/>
              </w:rPr>
              <w:t>8 porturi</w:t>
            </w:r>
          </w:p>
        </w:tc>
        <w:tc>
          <w:tcPr>
            <w:tcW w:w="1728" w:type="dxa"/>
            <w:tcBorders>
              <w:top w:val="single" w:sz="4" w:space="0" w:color="auto"/>
              <w:left w:val="single" w:sz="4" w:space="0" w:color="auto"/>
            </w:tcBorders>
            <w:shd w:val="clear" w:color="auto" w:fill="auto"/>
          </w:tcPr>
          <w:p w:rsidR="00E97E89" w:rsidRDefault="00751112">
            <w:pPr>
              <w:pStyle w:val="Other0"/>
              <w:spacing w:line="240" w:lineRule="auto"/>
              <w:ind w:firstLine="0"/>
              <w:jc w:val="center"/>
            </w:pPr>
            <w:r>
              <w:rPr>
                <w:rStyle w:val="Other"/>
              </w:rPr>
              <w:t>6</w:t>
            </w:r>
          </w:p>
        </w:tc>
        <w:tc>
          <w:tcPr>
            <w:tcW w:w="1694" w:type="dxa"/>
            <w:tcBorders>
              <w:top w:val="single" w:sz="4" w:space="0" w:color="auto"/>
              <w:left w:val="single" w:sz="4" w:space="0" w:color="auto"/>
            </w:tcBorders>
            <w:shd w:val="clear" w:color="auto" w:fill="auto"/>
          </w:tcPr>
          <w:p w:rsidR="00E97E89" w:rsidRDefault="00E97E89">
            <w:pPr>
              <w:rPr>
                <w:sz w:val="10"/>
                <w:szCs w:val="10"/>
              </w:rPr>
            </w:pPr>
          </w:p>
        </w:tc>
        <w:tc>
          <w:tcPr>
            <w:tcW w:w="1507" w:type="dxa"/>
            <w:tcBorders>
              <w:top w:val="single" w:sz="4" w:space="0" w:color="auto"/>
              <w:left w:val="single" w:sz="4" w:space="0" w:color="auto"/>
              <w:right w:val="single" w:sz="4" w:space="0" w:color="auto"/>
            </w:tcBorders>
            <w:shd w:val="clear" w:color="auto" w:fill="auto"/>
          </w:tcPr>
          <w:p w:rsidR="00E97E89" w:rsidRDefault="00E97E89">
            <w:pPr>
              <w:rPr>
                <w:sz w:val="10"/>
                <w:szCs w:val="10"/>
              </w:rPr>
            </w:pPr>
          </w:p>
        </w:tc>
      </w:tr>
      <w:tr w:rsidR="00E97E89">
        <w:tblPrEx>
          <w:tblCellMar>
            <w:top w:w="0" w:type="dxa"/>
            <w:bottom w:w="0" w:type="dxa"/>
          </w:tblCellMar>
        </w:tblPrEx>
        <w:trPr>
          <w:trHeight w:hRule="exact" w:val="298"/>
          <w:jc w:val="center"/>
        </w:trPr>
        <w:tc>
          <w:tcPr>
            <w:tcW w:w="734" w:type="dxa"/>
            <w:tcBorders>
              <w:top w:val="single" w:sz="4" w:space="0" w:color="auto"/>
              <w:left w:val="single" w:sz="4" w:space="0" w:color="auto"/>
              <w:bottom w:val="single" w:sz="4" w:space="0" w:color="auto"/>
            </w:tcBorders>
            <w:shd w:val="clear" w:color="auto" w:fill="auto"/>
          </w:tcPr>
          <w:p w:rsidR="00E97E89" w:rsidRDefault="00751112">
            <w:pPr>
              <w:pStyle w:val="Other0"/>
              <w:spacing w:line="240" w:lineRule="auto"/>
              <w:ind w:firstLine="280"/>
            </w:pPr>
            <w:r>
              <w:rPr>
                <w:rStyle w:val="Other"/>
              </w:rPr>
              <w:t>8</w:t>
            </w:r>
          </w:p>
        </w:tc>
        <w:tc>
          <w:tcPr>
            <w:tcW w:w="3763" w:type="dxa"/>
            <w:tcBorders>
              <w:top w:val="single" w:sz="4" w:space="0" w:color="auto"/>
              <w:left w:val="single" w:sz="4" w:space="0" w:color="auto"/>
              <w:bottom w:val="single" w:sz="4" w:space="0" w:color="auto"/>
            </w:tcBorders>
            <w:shd w:val="clear" w:color="auto" w:fill="auto"/>
          </w:tcPr>
          <w:p w:rsidR="00E97E89" w:rsidRDefault="00751112">
            <w:pPr>
              <w:pStyle w:val="Other0"/>
              <w:spacing w:line="240" w:lineRule="auto"/>
              <w:ind w:firstLine="0"/>
            </w:pPr>
            <w:r>
              <w:rPr>
                <w:rStyle w:val="Other"/>
                <w:lang w:val="en-US" w:eastAsia="en-US" w:bidi="en-US"/>
              </w:rPr>
              <w:t xml:space="preserve">Switch </w:t>
            </w:r>
            <w:r>
              <w:rPr>
                <w:rStyle w:val="Other"/>
              </w:rPr>
              <w:t>16 porturi</w:t>
            </w:r>
          </w:p>
        </w:tc>
        <w:tc>
          <w:tcPr>
            <w:tcW w:w="1728" w:type="dxa"/>
            <w:tcBorders>
              <w:top w:val="single" w:sz="4" w:space="0" w:color="auto"/>
              <w:left w:val="single" w:sz="4" w:space="0" w:color="auto"/>
              <w:bottom w:val="single" w:sz="4" w:space="0" w:color="auto"/>
            </w:tcBorders>
            <w:shd w:val="clear" w:color="auto" w:fill="auto"/>
          </w:tcPr>
          <w:p w:rsidR="00E97E89" w:rsidRDefault="00751112">
            <w:pPr>
              <w:pStyle w:val="Other0"/>
              <w:spacing w:line="240" w:lineRule="auto"/>
              <w:ind w:firstLine="0"/>
              <w:jc w:val="center"/>
            </w:pPr>
            <w:r>
              <w:rPr>
                <w:rStyle w:val="Other"/>
              </w:rPr>
              <w:t>1</w:t>
            </w:r>
          </w:p>
        </w:tc>
        <w:tc>
          <w:tcPr>
            <w:tcW w:w="1694" w:type="dxa"/>
            <w:tcBorders>
              <w:top w:val="single" w:sz="4" w:space="0" w:color="auto"/>
              <w:left w:val="single" w:sz="4" w:space="0" w:color="auto"/>
              <w:bottom w:val="single" w:sz="4" w:space="0" w:color="auto"/>
            </w:tcBorders>
            <w:shd w:val="clear" w:color="auto" w:fill="auto"/>
          </w:tcPr>
          <w:p w:rsidR="00E97E89" w:rsidRDefault="00E97E89">
            <w:pPr>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97E89" w:rsidRDefault="00E97E89">
            <w:pPr>
              <w:rPr>
                <w:sz w:val="10"/>
                <w:szCs w:val="10"/>
              </w:rPr>
            </w:pPr>
          </w:p>
        </w:tc>
      </w:tr>
    </w:tbl>
    <w:p w:rsidR="00E97E89" w:rsidRDefault="00E97E89">
      <w:pPr>
        <w:spacing w:after="239" w:line="1" w:lineRule="exact"/>
      </w:pPr>
    </w:p>
    <w:p w:rsidR="00E97E89" w:rsidRDefault="00751112">
      <w:pPr>
        <w:pStyle w:val="BodyText"/>
        <w:ind w:firstLine="720"/>
        <w:jc w:val="both"/>
      </w:pPr>
      <w:r>
        <w:rPr>
          <w:rStyle w:val="BodyTextChar"/>
        </w:rPr>
        <w:t xml:space="preserve">Ministerul Finanțelor își </w:t>
      </w:r>
      <w:r>
        <w:rPr>
          <w:rStyle w:val="BodyTextChar"/>
        </w:rPr>
        <w:t>propune să achiziționeze servicii de mentenanță prin care se urmărește funcționarea continuă la parametrii normali și asigurarea funcționării tuturor echipamentelor sistemului de supraveghere video instalat la sediul MF, în condiții de siguranță.</w:t>
      </w:r>
    </w:p>
    <w:p w:rsidR="00E97E89" w:rsidRDefault="00751112">
      <w:pPr>
        <w:pStyle w:val="BodyText"/>
        <w:ind w:firstLine="720"/>
        <w:jc w:val="both"/>
      </w:pPr>
      <w:r>
        <w:rPr>
          <w:rStyle w:val="BodyTextChar"/>
        </w:rPr>
        <w:t>Prin ment</w:t>
      </w:r>
      <w:r>
        <w:rPr>
          <w:rStyle w:val="BodyTextChar"/>
        </w:rPr>
        <w:t>enanță înțelegem întreținere tehnică minim o dată / lună a echipamentelor sistemului de monitorizare în scopul prevenirii situațiilor de nefuncționare a acestora, verificării echipamentelor, remedierii defectelor constatate, înlocuirii consumabilelor atunc</w:t>
      </w:r>
      <w:r>
        <w:rPr>
          <w:rStyle w:val="BodyTextChar"/>
        </w:rPr>
        <w:t>i când este necesar.</w:t>
      </w:r>
    </w:p>
    <w:p w:rsidR="00E97E89" w:rsidRDefault="00751112">
      <w:pPr>
        <w:pStyle w:val="BodyText"/>
        <w:ind w:firstLine="720"/>
        <w:jc w:val="both"/>
      </w:pPr>
      <w:r>
        <w:rPr>
          <w:rStyle w:val="BodyTextChar"/>
        </w:rPr>
        <w:t>Funcționarea corectă a sistemului presupune atât captarea, transferul si reținerea datelor în condiții de siguranță cât și de securitate a sistemului în ansamblu. Prestatorul desemnat câștigător va avea obligația să asigure funcționare</w:t>
      </w:r>
      <w:r>
        <w:rPr>
          <w:rStyle w:val="BodyTextChar"/>
        </w:rPr>
        <w:t>a corectă a sistemului, astfel încât acesta să nu fie supus unei acțiuni de citire, alterare sau ștergere neautorizată, precedată de intruziunea neautorizată care poate conduce la alterarea informației electronice sau însușirea acesteia.</w:t>
      </w:r>
    </w:p>
    <w:p w:rsidR="00E97E89" w:rsidRDefault="00751112">
      <w:pPr>
        <w:pStyle w:val="BodyText"/>
        <w:spacing w:after="120"/>
        <w:ind w:firstLine="720"/>
        <w:jc w:val="both"/>
        <w:sectPr w:rsidR="00E97E89">
          <w:footerReference w:type="default" r:id="rId7"/>
          <w:pgSz w:w="11900" w:h="16840"/>
          <w:pgMar w:top="2319" w:right="1124" w:bottom="2497" w:left="1334" w:header="1891" w:footer="3" w:gutter="0"/>
          <w:pgNumType w:start="1"/>
          <w:cols w:space="720"/>
          <w:noEndnote/>
          <w:docGrid w:linePitch="360"/>
        </w:sectPr>
      </w:pPr>
      <w:r>
        <w:rPr>
          <w:rStyle w:val="BodyTextChar"/>
        </w:rPr>
        <w:t xml:space="preserve">Prestatorul trebuie sa dețină </w:t>
      </w:r>
      <w:r>
        <w:rPr>
          <w:rStyle w:val="BodyTextChar"/>
          <w:b/>
          <w:bCs/>
        </w:rPr>
        <w:t xml:space="preserve">Licență de funcționare I.G.P.R </w:t>
      </w:r>
      <w:r>
        <w:rPr>
          <w:rStyle w:val="BodyTextChar"/>
        </w:rPr>
        <w:t>ș</w:t>
      </w:r>
      <w:r>
        <w:rPr>
          <w:rStyle w:val="BodyTextChar"/>
        </w:rPr>
        <w:t xml:space="preserve">i să fie licențiat pentru </w:t>
      </w:r>
      <w:r>
        <w:rPr>
          <w:rStyle w:val="BodyTextChar"/>
          <w:b/>
          <w:bCs/>
        </w:rPr>
        <w:t xml:space="preserve">proiectare, instalare și întreținere a sistemelor de securitate cf. Legii nr. 333/2003, </w:t>
      </w:r>
      <w:r>
        <w:rPr>
          <w:rStyle w:val="BodyTextChar"/>
        </w:rPr>
        <w:t xml:space="preserve">cu modificările și completările ulterioare </w:t>
      </w:r>
      <w:r>
        <w:rPr>
          <w:rStyle w:val="BodyTextChar"/>
          <w:b/>
          <w:bCs/>
        </w:rPr>
        <w:t>ș</w:t>
      </w:r>
      <w:r>
        <w:rPr>
          <w:rStyle w:val="BodyTextChar"/>
          <w:b/>
          <w:bCs/>
        </w:rPr>
        <w:t xml:space="preserve">i H.G. 301/2012, </w:t>
      </w:r>
      <w:r>
        <w:rPr>
          <w:rStyle w:val="BodyTextChar"/>
        </w:rPr>
        <w:t>cu modificările și completările ulterioare. Menționăm că este solicitată și licența pentru proiectarea sist</w:t>
      </w:r>
      <w:r>
        <w:rPr>
          <w:rStyle w:val="BodyTextChar"/>
        </w:rPr>
        <w:t>emelor de securitate, întrucât - în cazul în care se vor solicita relocări de echipamente sau înlocuiri, va trebui întocmită actualizarea proiectului tehnic și refacerea calculelor energetice. în vederea asigurării unor servicii la cele mai înalte standard</w:t>
      </w:r>
      <w:r>
        <w:rPr>
          <w:rStyle w:val="BodyTextChar"/>
        </w:rPr>
        <w:t xml:space="preserve">e, prestatorul va avea implementat un sistem de management al calității conform ISO 9001 - Sistemul de management al calității și ISO 27001 - </w:t>
      </w:r>
      <w:r>
        <w:rPr>
          <w:rStyle w:val="BodyTextChar"/>
          <w:i/>
          <w:iCs/>
        </w:rPr>
        <w:t>Tehnologia informației. Tehnici de securitate. Sistem de management al securității informației.</w:t>
      </w:r>
    </w:p>
    <w:p w:rsidR="00E97E89" w:rsidRDefault="00751112">
      <w:pPr>
        <w:pStyle w:val="BodyText"/>
        <w:spacing w:after="260"/>
        <w:ind w:firstLine="740"/>
        <w:jc w:val="both"/>
      </w:pPr>
      <w:r>
        <w:rPr>
          <w:rStyle w:val="BodyTextChar"/>
        </w:rPr>
        <w:lastRenderedPageBreak/>
        <w:t>De asemenea, prest</w:t>
      </w:r>
      <w:r>
        <w:rPr>
          <w:rStyle w:val="BodyTextChar"/>
        </w:rPr>
        <w:t>atorul va trebui să facă dovada că deține personal calificat și avizat I.G.P.R. pentru prestarea serviciilor: minim 1 inginer sisteme de securitate - COR 215222. Prestatorul va pune la dispoziția beneficiarului, pe toată durata derulării acordului-cadru, s</w:t>
      </w:r>
      <w:r>
        <w:rPr>
          <w:rStyle w:val="BodyTextChar"/>
        </w:rPr>
        <w:t>pecialiști care vor asigura derularea continuă și în bune condiții a activității de întreținere a echipamentelor. întreg personalul care asigură întreținerea va fi instruit și atestat conform reglementărilor în vigoare.</w:t>
      </w:r>
    </w:p>
    <w:p w:rsidR="00E97E89" w:rsidRDefault="00751112">
      <w:pPr>
        <w:pStyle w:val="BodyText"/>
        <w:spacing w:after="260" w:line="257" w:lineRule="auto"/>
        <w:ind w:firstLine="0"/>
      </w:pPr>
      <w:r>
        <w:rPr>
          <w:rStyle w:val="BodyTextChar"/>
        </w:rPr>
        <w:t>Perioada de derulare a acordului-cad</w:t>
      </w:r>
      <w:r>
        <w:rPr>
          <w:rStyle w:val="BodyTextChar"/>
        </w:rPr>
        <w:t>ru: 24 luni.</w:t>
      </w:r>
    </w:p>
    <w:p w:rsidR="00E97E89" w:rsidRDefault="00751112">
      <w:pPr>
        <w:pStyle w:val="BodyText"/>
        <w:spacing w:after="120" w:line="259" w:lineRule="auto"/>
        <w:ind w:firstLine="0"/>
        <w:jc w:val="both"/>
      </w:pPr>
      <w:r>
        <w:rPr>
          <w:rStyle w:val="BodyTextChar"/>
          <w:b/>
          <w:bCs/>
        </w:rPr>
        <w:t>Executarea întreținerilor tehnice lunare pentru sistemul de monitorizare video se va efectua pentru toate echipamentele din tabelul de mai sus.</w:t>
      </w:r>
    </w:p>
    <w:p w:rsidR="00E97E89" w:rsidRDefault="00751112">
      <w:pPr>
        <w:pStyle w:val="BodyText"/>
        <w:spacing w:after="120" w:line="216" w:lineRule="auto"/>
        <w:ind w:firstLine="0"/>
        <w:jc w:val="both"/>
      </w:pPr>
      <w:r>
        <w:rPr>
          <w:rStyle w:val="BodyTextChar"/>
        </w:rPr>
        <w:t>Menționăm că locațiile cu dispunerea tuturor echipamentelor sunt trecute în planșele desenate din p</w:t>
      </w:r>
      <w:r>
        <w:rPr>
          <w:rStyle w:val="BodyTextChar"/>
        </w:rPr>
        <w:t xml:space="preserve">roiectul sistemului - acestea vor fi puse la dispoziția ofertantului câștigător, având caracter </w:t>
      </w:r>
      <w:r>
        <w:rPr>
          <w:rStyle w:val="BodyTextChar"/>
          <w:lang w:val="en-US" w:eastAsia="en-US" w:bidi="en-US"/>
        </w:rPr>
        <w:t xml:space="preserve">confidential. </w:t>
      </w:r>
      <w:r>
        <w:rPr>
          <w:rStyle w:val="BodyTextChar"/>
        </w:rPr>
        <w:t>»</w:t>
      </w:r>
    </w:p>
    <w:p w:rsidR="00E97E89" w:rsidRDefault="00751112">
      <w:pPr>
        <w:pStyle w:val="BodyText"/>
        <w:spacing w:after="120" w:line="257" w:lineRule="auto"/>
        <w:ind w:firstLine="0"/>
      </w:pPr>
      <w:r>
        <w:rPr>
          <w:rStyle w:val="BodyTextChar"/>
        </w:rPr>
        <w:t>întreținerea tehnică lunară va cuprinde minim următoarele operațiuni:</w:t>
      </w:r>
    </w:p>
    <w:p w:rsidR="00E97E89" w:rsidRDefault="00751112">
      <w:pPr>
        <w:pStyle w:val="BodyText"/>
        <w:numPr>
          <w:ilvl w:val="0"/>
          <w:numId w:val="1"/>
        </w:numPr>
        <w:tabs>
          <w:tab w:val="left" w:pos="1076"/>
        </w:tabs>
        <w:spacing w:line="262" w:lineRule="auto"/>
        <w:ind w:left="1060" w:hanging="320"/>
        <w:jc w:val="both"/>
      </w:pPr>
      <w:r>
        <w:rPr>
          <w:rStyle w:val="BodyTextChar"/>
        </w:rPr>
        <w:t>verificarea funcționării părților constituente ale sistemului de supravegh</w:t>
      </w:r>
      <w:r>
        <w:rPr>
          <w:rStyle w:val="BodyTextChar"/>
        </w:rPr>
        <w:t>ere video în toate regimurile de lucru, cu luarea măsurilor de remediere;</w:t>
      </w:r>
    </w:p>
    <w:p w:rsidR="00E97E89" w:rsidRDefault="00751112">
      <w:pPr>
        <w:pStyle w:val="BodyText"/>
        <w:numPr>
          <w:ilvl w:val="0"/>
          <w:numId w:val="1"/>
        </w:numPr>
        <w:tabs>
          <w:tab w:val="left" w:pos="1076"/>
        </w:tabs>
        <w:spacing w:line="262" w:lineRule="auto"/>
        <w:ind w:left="1060" w:hanging="320"/>
        <w:jc w:val="both"/>
      </w:pPr>
      <w:r>
        <w:rPr>
          <w:rStyle w:val="BodyTextChar"/>
        </w:rPr>
        <w:t>verificarea vizuală și testarea integrității componentelor sistemului de securitate;</w:t>
      </w:r>
    </w:p>
    <w:p w:rsidR="00E97E89" w:rsidRDefault="00751112">
      <w:pPr>
        <w:pStyle w:val="BodyText"/>
        <w:numPr>
          <w:ilvl w:val="0"/>
          <w:numId w:val="1"/>
        </w:numPr>
        <w:tabs>
          <w:tab w:val="left" w:pos="1076"/>
        </w:tabs>
        <w:spacing w:line="262" w:lineRule="auto"/>
        <w:ind w:left="1060" w:hanging="320"/>
        <w:jc w:val="both"/>
      </w:pPr>
      <w:r>
        <w:rPr>
          <w:rStyle w:val="BodyTextChar"/>
        </w:rPr>
        <w:t>focalizarea lentilelor camerelor de supraveghere, verificarea stării surselor de alimentare, cură</w:t>
      </w:r>
      <w:r>
        <w:rPr>
          <w:rStyle w:val="BodyTextChar"/>
        </w:rPr>
        <w:t>ț</w:t>
      </w:r>
      <w:r>
        <w:rPr>
          <w:rStyle w:val="BodyTextChar"/>
        </w:rPr>
        <w:t xml:space="preserve">area de impurități a echipamentelor (carcase, lentile, </w:t>
      </w:r>
      <w:r>
        <w:rPr>
          <w:rStyle w:val="BodyTextChar"/>
          <w:lang w:val="en-US" w:eastAsia="en-US" w:bidi="en-US"/>
        </w:rPr>
        <w:t>etc.);</w:t>
      </w:r>
    </w:p>
    <w:p w:rsidR="00E97E89" w:rsidRDefault="00751112">
      <w:pPr>
        <w:pStyle w:val="BodyText"/>
        <w:numPr>
          <w:ilvl w:val="0"/>
          <w:numId w:val="1"/>
        </w:numPr>
        <w:tabs>
          <w:tab w:val="left" w:pos="1076"/>
        </w:tabs>
        <w:spacing w:line="262" w:lineRule="auto"/>
        <w:ind w:left="1060" w:hanging="320"/>
        <w:jc w:val="both"/>
      </w:pPr>
      <w:r>
        <w:rPr>
          <w:rStyle w:val="BodyTextChar"/>
        </w:rPr>
        <w:t>verificarea modului de instalare / poziționare, prindere și susținere a echipamentelor pe stâlpi, clădiri, pereți, rack-uri, incinte de protecție, cu luarea măsurilor de remediere;</w:t>
      </w:r>
    </w:p>
    <w:p w:rsidR="00E97E89" w:rsidRDefault="00751112">
      <w:pPr>
        <w:pStyle w:val="BodyText"/>
        <w:numPr>
          <w:ilvl w:val="0"/>
          <w:numId w:val="1"/>
        </w:numPr>
        <w:tabs>
          <w:tab w:val="left" w:pos="1076"/>
        </w:tabs>
        <w:spacing w:line="262" w:lineRule="auto"/>
        <w:ind w:left="1060" w:hanging="320"/>
        <w:jc w:val="both"/>
      </w:pPr>
      <w:r>
        <w:rPr>
          <w:rStyle w:val="BodyTextChar"/>
        </w:rPr>
        <w:t xml:space="preserve">verificarea </w:t>
      </w:r>
      <w:r>
        <w:rPr>
          <w:rStyle w:val="BodyTextChar"/>
        </w:rPr>
        <w:t xml:space="preserve">stării tehnice a traseelor de cabluri, a </w:t>
      </w:r>
      <w:proofErr w:type="spellStart"/>
      <w:r>
        <w:rPr>
          <w:rStyle w:val="BodyTextChar"/>
        </w:rPr>
        <w:t>switch</w:t>
      </w:r>
      <w:proofErr w:type="spellEnd"/>
      <w:r>
        <w:rPr>
          <w:rStyle w:val="BodyTextChar"/>
        </w:rPr>
        <w:t>-urilor, cu luarea măsurilor de remediere;</w:t>
      </w:r>
    </w:p>
    <w:p w:rsidR="00E97E89" w:rsidRDefault="00751112">
      <w:pPr>
        <w:pStyle w:val="BodyText"/>
        <w:numPr>
          <w:ilvl w:val="0"/>
          <w:numId w:val="1"/>
        </w:numPr>
        <w:tabs>
          <w:tab w:val="left" w:pos="1076"/>
        </w:tabs>
        <w:spacing w:line="262" w:lineRule="auto"/>
        <w:ind w:left="1060" w:hanging="320"/>
        <w:jc w:val="both"/>
      </w:pPr>
      <w:r>
        <w:rPr>
          <w:rStyle w:val="BodyTextChar"/>
        </w:rPr>
        <w:t xml:space="preserve">curățare </w:t>
      </w:r>
      <w:proofErr w:type="spellStart"/>
      <w:r>
        <w:rPr>
          <w:rStyle w:val="BodyTextChar"/>
        </w:rPr>
        <w:t>registri</w:t>
      </w:r>
      <w:proofErr w:type="spellEnd"/>
      <w:r>
        <w:rPr>
          <w:rStyle w:val="BodyTextChar"/>
        </w:rPr>
        <w:t xml:space="preserve"> și setări sistem de operare, optimizare și realizare setări suplimentare software, </w:t>
      </w:r>
      <w:r>
        <w:rPr>
          <w:rStyle w:val="BodyTextChar"/>
          <w:lang w:val="en-US" w:eastAsia="en-US" w:bidi="en-US"/>
        </w:rPr>
        <w:t xml:space="preserve">up-grade </w:t>
      </w:r>
      <w:r>
        <w:rPr>
          <w:rStyle w:val="BodyTextChar"/>
        </w:rPr>
        <w:t xml:space="preserve">software, sistem operare si </w:t>
      </w:r>
      <w:proofErr w:type="spellStart"/>
      <w:r>
        <w:rPr>
          <w:rStyle w:val="BodyTextChar"/>
        </w:rPr>
        <w:t>aplicatii</w:t>
      </w:r>
      <w:proofErr w:type="spellEnd"/>
      <w:r>
        <w:rPr>
          <w:rStyle w:val="BodyTextChar"/>
        </w:rPr>
        <w:t xml:space="preserve"> software </w:t>
      </w:r>
      <w:r>
        <w:rPr>
          <w:rStyle w:val="BodyTextChar"/>
          <w:lang w:val="en-US" w:eastAsia="en-US" w:bidi="en-US"/>
        </w:rPr>
        <w:t>IP;</w:t>
      </w:r>
    </w:p>
    <w:p w:rsidR="00E97E89" w:rsidRDefault="00751112">
      <w:pPr>
        <w:pStyle w:val="BodyText"/>
        <w:numPr>
          <w:ilvl w:val="0"/>
          <w:numId w:val="1"/>
        </w:numPr>
        <w:tabs>
          <w:tab w:val="left" w:pos="1036"/>
        </w:tabs>
        <w:ind w:firstLine="700"/>
      </w:pPr>
      <w:r>
        <w:rPr>
          <w:rStyle w:val="BodyTextChar"/>
        </w:rPr>
        <w:t>verif</w:t>
      </w:r>
      <w:r>
        <w:rPr>
          <w:rStyle w:val="BodyTextChar"/>
        </w:rPr>
        <w:t xml:space="preserve">icarea acumulatorilor/UPS-urilor si înlocuirea celor </w:t>
      </w:r>
      <w:proofErr w:type="spellStart"/>
      <w:r>
        <w:rPr>
          <w:rStyle w:val="BodyTextChar"/>
        </w:rPr>
        <w:t>uzati</w:t>
      </w:r>
      <w:proofErr w:type="spellEnd"/>
      <w:r>
        <w:rPr>
          <w:rStyle w:val="BodyTextChar"/>
        </w:rPr>
        <w:t>;</w:t>
      </w:r>
    </w:p>
    <w:p w:rsidR="00E97E89" w:rsidRDefault="00751112">
      <w:pPr>
        <w:pStyle w:val="BodyText"/>
        <w:spacing w:after="260"/>
        <w:ind w:firstLine="0"/>
        <w:jc w:val="both"/>
      </w:pPr>
      <w:r>
        <w:rPr>
          <w:rStyle w:val="BodyTextChar"/>
        </w:rPr>
        <w:t>în urma întreținerii tehnice lunare, prestatorul va întocmi un proces verbal care va fi semnat atât de prestator cât și de beneficiar.</w:t>
      </w:r>
    </w:p>
    <w:p w:rsidR="00E97E89" w:rsidRDefault="00751112">
      <w:pPr>
        <w:pStyle w:val="BodyText"/>
        <w:spacing w:line="257" w:lineRule="auto"/>
        <w:ind w:firstLine="0"/>
        <w:jc w:val="both"/>
      </w:pPr>
      <w:r>
        <w:rPr>
          <w:rStyle w:val="BodyTextChar"/>
          <w:b/>
          <w:bCs/>
        </w:rPr>
        <w:t xml:space="preserve">Executarea reparațiilor la părțile componente ale sistemului </w:t>
      </w:r>
      <w:r>
        <w:rPr>
          <w:rStyle w:val="BodyTextChar"/>
          <w:b/>
          <w:bCs/>
        </w:rPr>
        <w:t>de supraveghere video.</w:t>
      </w:r>
    </w:p>
    <w:p w:rsidR="00E97E89" w:rsidRDefault="00751112">
      <w:pPr>
        <w:pStyle w:val="BodyText"/>
        <w:spacing w:line="257" w:lineRule="auto"/>
        <w:ind w:firstLine="0"/>
        <w:jc w:val="both"/>
      </w:pPr>
      <w:r>
        <w:rPr>
          <w:rStyle w:val="BodyTextChar"/>
        </w:rPr>
        <w:t>Reparațiile care se pot efectua sunt:</w:t>
      </w:r>
    </w:p>
    <w:p w:rsidR="00E97E89" w:rsidRDefault="00751112">
      <w:pPr>
        <w:pStyle w:val="BodyText"/>
        <w:numPr>
          <w:ilvl w:val="0"/>
          <w:numId w:val="2"/>
        </w:numPr>
        <w:tabs>
          <w:tab w:val="left" w:pos="760"/>
        </w:tabs>
        <w:spacing w:line="257" w:lineRule="auto"/>
        <w:ind w:left="700" w:hanging="300"/>
        <w:jc w:val="both"/>
      </w:pPr>
      <w:r>
        <w:rPr>
          <w:rStyle w:val="BodyTextChar"/>
        </w:rPr>
        <w:t>reparații curente care vor consta în diagnosticarea defectelor apărute pe perioada derulării acordului-cadru și remedierea acestora fără ca aceasta să se efectueze în service-uri specializate (de</w:t>
      </w:r>
      <w:r>
        <w:rPr>
          <w:rStyle w:val="BodyTextChar"/>
        </w:rPr>
        <w:t xml:space="preserve"> exemplu înlocuirea carcasei unei camere video care s-a spart ca urmare a lovirii acesteia cu un obiect contondent);</w:t>
      </w:r>
    </w:p>
    <w:p w:rsidR="00E97E89" w:rsidRDefault="00751112">
      <w:pPr>
        <w:pStyle w:val="BodyText"/>
        <w:numPr>
          <w:ilvl w:val="0"/>
          <w:numId w:val="2"/>
        </w:numPr>
        <w:tabs>
          <w:tab w:val="left" w:pos="760"/>
        </w:tabs>
        <w:spacing w:after="180" w:line="257" w:lineRule="auto"/>
        <w:ind w:left="700" w:hanging="300"/>
        <w:jc w:val="both"/>
        <w:sectPr w:rsidR="00E97E89">
          <w:footerReference w:type="default" r:id="rId8"/>
          <w:pgSz w:w="11900" w:h="16840"/>
          <w:pgMar w:top="1470" w:right="1349" w:bottom="2545" w:left="1330" w:header="1042" w:footer="3" w:gutter="0"/>
          <w:cols w:space="720"/>
          <w:noEndnote/>
          <w:docGrid w:linePitch="360"/>
        </w:sectPr>
      </w:pPr>
      <w:r>
        <w:rPr>
          <w:rStyle w:val="BodyTextChar"/>
        </w:rPr>
        <w:t>reparații complexe care nu pot fi executate de către personalul prestatorului și în co</w:t>
      </w:r>
      <w:r>
        <w:rPr>
          <w:rStyle w:val="BodyTextChar"/>
        </w:rPr>
        <w:t>nsecință acesta va apela la service-uri specializate; în această situație prestatorul are obligația de a înlocui echipamentul defect, cu altul funcțional, pe durata cât cel defect se află în service.</w:t>
      </w:r>
    </w:p>
    <w:p w:rsidR="00E97E89" w:rsidRDefault="00751112">
      <w:pPr>
        <w:pStyle w:val="BodyText"/>
        <w:spacing w:line="290" w:lineRule="auto"/>
        <w:ind w:firstLine="720"/>
        <w:jc w:val="both"/>
      </w:pPr>
      <w:r>
        <w:rPr>
          <w:rStyle w:val="BodyTextChar"/>
        </w:rPr>
        <w:lastRenderedPageBreak/>
        <w:t xml:space="preserve">Contravaloarea pieselor de schimb consumate in procesul </w:t>
      </w:r>
      <w:r>
        <w:rPr>
          <w:rStyle w:val="BodyTextChar"/>
        </w:rPr>
        <w:t>de reparații se va suporta de către beneficiar, iar manopera este suportată de prestator în baza abonamentului lunar de întreținere.</w:t>
      </w:r>
    </w:p>
    <w:p w:rsidR="00E97E89" w:rsidRDefault="00751112">
      <w:pPr>
        <w:pStyle w:val="BodyText"/>
        <w:spacing w:line="290" w:lineRule="auto"/>
        <w:ind w:firstLine="720"/>
        <w:jc w:val="both"/>
      </w:pPr>
      <w:r>
        <w:rPr>
          <w:rStyle w:val="BodyTextChar"/>
        </w:rPr>
        <w:t>Prestatorul se obligă să aplice un adaos comercial de maxim 10% adăugat la prețul pieselor de schimb și să prezinte documen</w:t>
      </w:r>
      <w:r>
        <w:rPr>
          <w:rStyle w:val="BodyTextChar"/>
        </w:rPr>
        <w:t>te justificative în acest sens.</w:t>
      </w:r>
    </w:p>
    <w:p w:rsidR="00E97E89" w:rsidRDefault="00751112">
      <w:pPr>
        <w:pStyle w:val="BodyText"/>
        <w:ind w:firstLine="720"/>
        <w:jc w:val="both"/>
      </w:pPr>
      <w:r>
        <w:rPr>
          <w:rStyle w:val="BodyTextChar"/>
        </w:rPr>
        <w:t>Prestatorul se obligă să intervină la cererea beneficiarului în termen de maxim 6 ore de la sesizarea beneficiarului pentru constatarea oricăror defecțiuni apărute în sistem.</w:t>
      </w:r>
    </w:p>
    <w:p w:rsidR="00E97E89" w:rsidRDefault="00751112">
      <w:pPr>
        <w:pStyle w:val="BodyText"/>
        <w:ind w:firstLine="720"/>
        <w:jc w:val="both"/>
      </w:pPr>
      <w:r>
        <w:rPr>
          <w:rStyle w:val="BodyTextChar"/>
        </w:rPr>
        <w:t>Termenul de remediere a oricăror defecțiuni apăru</w:t>
      </w:r>
      <w:r>
        <w:rPr>
          <w:rStyle w:val="BodyTextChar"/>
        </w:rPr>
        <w:t>te în sistem este în funcție de gravitatea defectului și este cuprins între 4 și 24 de ore de la acceptarea de către beneficiar a devizului.</w:t>
      </w:r>
    </w:p>
    <w:p w:rsidR="00E97E89" w:rsidRDefault="00751112">
      <w:pPr>
        <w:pStyle w:val="BodyText"/>
        <w:ind w:firstLine="720"/>
        <w:jc w:val="both"/>
      </w:pPr>
      <w:r>
        <w:rPr>
          <w:rStyle w:val="BodyTextChar"/>
        </w:rPr>
        <w:t xml:space="preserve">Urmare solicitării emise de beneficiar, prestatorul se va deplasa în locația comunicată, va depista defecțiunea și </w:t>
      </w:r>
      <w:r>
        <w:rPr>
          <w:rStyle w:val="BodyTextChar"/>
        </w:rPr>
        <w:t xml:space="preserve">va întocmi o </w:t>
      </w:r>
      <w:r>
        <w:rPr>
          <w:rStyle w:val="BodyTextChar"/>
          <w:b/>
          <w:bCs/>
        </w:rPr>
        <w:t xml:space="preserve">Notă de constatare </w:t>
      </w:r>
      <w:r>
        <w:rPr>
          <w:rStyle w:val="BodyTextChar"/>
        </w:rPr>
        <w:t xml:space="preserve">ce se va semna de către reprezentantul </w:t>
      </w:r>
      <w:r>
        <w:rPr>
          <w:rStyle w:val="BodyTextChar"/>
          <w:lang w:val="en-US" w:eastAsia="en-US" w:bidi="en-US"/>
        </w:rPr>
        <w:t xml:space="preserve">MF, </w:t>
      </w:r>
      <w:r>
        <w:rPr>
          <w:rStyle w:val="BodyTextChar"/>
        </w:rPr>
        <w:t>care a solicitat remedierea acestuia.</w:t>
      </w:r>
    </w:p>
    <w:p w:rsidR="00E97E89" w:rsidRDefault="00751112">
      <w:pPr>
        <w:pStyle w:val="BodyText"/>
        <w:ind w:firstLine="720"/>
        <w:jc w:val="both"/>
      </w:pPr>
      <w:r>
        <w:rPr>
          <w:rStyle w:val="BodyTextChar"/>
        </w:rPr>
        <w:t xml:space="preserve">Prestatorul, în baza notei de constatare, va transmite beneficiarului în termen de 24 ore un </w:t>
      </w:r>
      <w:r>
        <w:rPr>
          <w:rStyle w:val="BodyTextChar"/>
          <w:b/>
          <w:bCs/>
        </w:rPr>
        <w:t>deviz de reparații.</w:t>
      </w:r>
    </w:p>
    <w:p w:rsidR="00E97E89" w:rsidRDefault="00751112">
      <w:pPr>
        <w:pStyle w:val="BodyText"/>
        <w:ind w:firstLine="720"/>
        <w:jc w:val="both"/>
      </w:pPr>
      <w:r>
        <w:rPr>
          <w:rStyle w:val="BodyTextChar"/>
        </w:rPr>
        <w:t xml:space="preserve">Beneficiarul are obligația de </w:t>
      </w:r>
      <w:r>
        <w:rPr>
          <w:rStyle w:val="BodyTextChar"/>
        </w:rPr>
        <w:t>a accepta/ refuza în maxim 24 ore devizul de reparații și de a îl transmite/ comunica prestatorului în vederea remedierii.</w:t>
      </w:r>
    </w:p>
    <w:p w:rsidR="00E97E89" w:rsidRDefault="00751112">
      <w:pPr>
        <w:pStyle w:val="BodyText"/>
        <w:ind w:firstLine="720"/>
        <w:jc w:val="both"/>
      </w:pPr>
      <w:r>
        <w:rPr>
          <w:rStyle w:val="BodyTextChar"/>
        </w:rPr>
        <w:t xml:space="preserve">După efectuarea reparației se va întocmi </w:t>
      </w:r>
      <w:r>
        <w:rPr>
          <w:rStyle w:val="BodyTextChar"/>
          <w:b/>
          <w:bCs/>
        </w:rPr>
        <w:t xml:space="preserve">Procesul verbal de recepție </w:t>
      </w:r>
      <w:r>
        <w:rPr>
          <w:rStyle w:val="BodyTextChar"/>
        </w:rPr>
        <w:t>semnat de ambele părți, respectiv din partea reprezentantului MF</w:t>
      </w:r>
      <w:r>
        <w:rPr>
          <w:rStyle w:val="BodyTextChar"/>
        </w:rPr>
        <w:t xml:space="preserve"> ce a sesizat defecțiunea, iar din partea prestatorului reprezentantul acestuia.</w:t>
      </w:r>
    </w:p>
    <w:p w:rsidR="00E97E89" w:rsidRDefault="00751112">
      <w:pPr>
        <w:pStyle w:val="BodyText"/>
        <w:ind w:firstLine="720"/>
        <w:jc w:val="both"/>
      </w:pPr>
      <w:r>
        <w:rPr>
          <w:rStyle w:val="BodyTextChar"/>
        </w:rPr>
        <w:t>Prestatorul are obligația de a deține un stoc minim de piese necesare remedierii în timp optim a sistemului, nefiind permisă invocarea lipsei pieselor de schimb.</w:t>
      </w:r>
    </w:p>
    <w:p w:rsidR="00E97E89" w:rsidRDefault="00751112">
      <w:pPr>
        <w:pStyle w:val="BodyText"/>
        <w:ind w:firstLine="820"/>
        <w:jc w:val="both"/>
      </w:pPr>
      <w:r>
        <w:rPr>
          <w:rStyle w:val="BodyTextChar"/>
        </w:rPr>
        <w:t xml:space="preserve">Prestatorul </w:t>
      </w:r>
      <w:r>
        <w:rPr>
          <w:rStyle w:val="BodyTextChar"/>
        </w:rPr>
        <w:t>se obligă să acorde garanție de minim 6 luni pentru reparațiile efectuate, iar pentru echipamentele nou înlocuite se aplică termenele de garanție oferite de producător.</w:t>
      </w:r>
    </w:p>
    <w:p w:rsidR="00E97E89" w:rsidRDefault="00751112">
      <w:pPr>
        <w:pStyle w:val="BodyText"/>
        <w:ind w:firstLine="820"/>
        <w:jc w:val="both"/>
      </w:pPr>
      <w:r>
        <w:rPr>
          <w:rStyle w:val="BodyTextChar"/>
        </w:rPr>
        <w:t>Piesele de schimb defecte și echipamentele înlocuite vor rămâne în proprietatea benefic</w:t>
      </w:r>
      <w:r>
        <w:rPr>
          <w:rStyle w:val="BodyTextChar"/>
        </w:rPr>
        <w:t>iarului.</w:t>
      </w:r>
    </w:p>
    <w:p w:rsidR="00E97E89" w:rsidRDefault="00751112">
      <w:pPr>
        <w:pStyle w:val="BodyText"/>
        <w:ind w:firstLine="820"/>
        <w:jc w:val="both"/>
      </w:pPr>
      <w:r>
        <w:rPr>
          <w:rStyle w:val="BodyTextChar"/>
        </w:rPr>
        <w:t>în situația în care, din vina prestatorului, se produc deteriorări ale echipamentelor în timpul intervenției (service, reparație,</w:t>
      </w:r>
      <w:r>
        <w:rPr>
          <w:rStyle w:val="BodyTextChar"/>
          <w:lang w:val="en-US" w:eastAsia="en-US" w:bidi="en-US"/>
        </w:rPr>
        <w:t xml:space="preserve">etc.), </w:t>
      </w:r>
      <w:r>
        <w:rPr>
          <w:rStyle w:val="BodyTextChar"/>
        </w:rPr>
        <w:t>prestatorul este obligat să le remedieze pe cheltuiala sa. în acest caz, prestatorul va suporta inclusiv contra</w:t>
      </w:r>
      <w:r>
        <w:rPr>
          <w:rStyle w:val="BodyTextChar"/>
        </w:rPr>
        <w:t>valoarea pieselor de schimb ce necesită a fi înlocuite.</w:t>
      </w:r>
    </w:p>
    <w:p w:rsidR="00E97E89" w:rsidRDefault="00751112">
      <w:pPr>
        <w:pStyle w:val="BodyText"/>
        <w:ind w:firstLine="820"/>
        <w:jc w:val="both"/>
      </w:pPr>
      <w:r>
        <w:rPr>
          <w:rStyle w:val="BodyTextChar"/>
        </w:rPr>
        <w:t>Prestatorul va asigura transportul personalului și materialelor pentru întreținere și reparații la sediile beneficiarului.</w:t>
      </w:r>
    </w:p>
    <w:p w:rsidR="00E97E89" w:rsidRDefault="00751112">
      <w:pPr>
        <w:pStyle w:val="BodyText"/>
        <w:ind w:firstLine="820"/>
        <w:jc w:val="both"/>
      </w:pPr>
      <w:r>
        <w:rPr>
          <w:rStyle w:val="BodyTextChar"/>
        </w:rPr>
        <w:t>Prestatorul este obligat ca înaintea începerii lucrărilor să anunțe responsab</w:t>
      </w:r>
      <w:r>
        <w:rPr>
          <w:rStyle w:val="BodyTextChar"/>
        </w:rPr>
        <w:t>ilul de contract despre începerea lucrării. în timpul prestării serviciului, personalul prestatorului este obligat să respecte normele de conduită în cadrul instituției.</w:t>
      </w:r>
    </w:p>
    <w:p w:rsidR="00E97E89" w:rsidRDefault="00751112">
      <w:pPr>
        <w:pStyle w:val="BodyText"/>
        <w:ind w:firstLine="820"/>
        <w:jc w:val="both"/>
      </w:pPr>
      <w:r>
        <w:rPr>
          <w:rStyle w:val="BodyTextChar"/>
        </w:rPr>
        <w:t>Personalul prestatorului este supus normelor de protecția muncii impuse la sediul bene</w:t>
      </w:r>
      <w:r>
        <w:rPr>
          <w:rStyle w:val="BodyTextChar"/>
        </w:rPr>
        <w:t>ficiarului, acesta asigurându-se pentru toate riscurile ce ar putea să apară privind personalul propriu și reprezentanții împuterniciți să verifice, să testeze sau să recepționeze lucrările.</w:t>
      </w:r>
    </w:p>
    <w:p w:rsidR="00E97E89" w:rsidRDefault="00751112">
      <w:pPr>
        <w:pStyle w:val="BodyText"/>
        <w:ind w:firstLine="720"/>
        <w:jc w:val="both"/>
        <w:sectPr w:rsidR="00E97E89">
          <w:footerReference w:type="default" r:id="rId9"/>
          <w:pgSz w:w="11900" w:h="16840"/>
          <w:pgMar w:top="1465" w:right="1349" w:bottom="2550" w:left="1316" w:header="1037" w:footer="3" w:gutter="0"/>
          <w:cols w:space="720"/>
          <w:noEndnote/>
          <w:docGrid w:linePitch="360"/>
        </w:sectPr>
      </w:pPr>
      <w:r>
        <w:rPr>
          <w:rStyle w:val="BodyTextChar"/>
        </w:rPr>
        <w:t>Totodată est</w:t>
      </w:r>
      <w:r>
        <w:rPr>
          <w:rStyle w:val="BodyTextChar"/>
        </w:rPr>
        <w:t>e răspunzător atât de siguranța tuturor operațiunilor și metodelor de execuție utilizate, cât și de calificarea personalului folosit pe toată durata contractului, inclusiv de respectarea normelor SSM și PSI-SU de către angajații executantului.</w:t>
      </w:r>
    </w:p>
    <w:p w:rsidR="00E97E89" w:rsidRDefault="00751112">
      <w:pPr>
        <w:pStyle w:val="BodyText"/>
        <w:spacing w:line="252" w:lineRule="auto"/>
        <w:ind w:firstLine="700"/>
        <w:jc w:val="both"/>
      </w:pPr>
      <w:r>
        <w:rPr>
          <w:rStyle w:val="BodyTextChar"/>
        </w:rPr>
        <w:lastRenderedPageBreak/>
        <w:t>Preluarea de</w:t>
      </w:r>
      <w:r>
        <w:rPr>
          <w:rStyle w:val="BodyTextChar"/>
        </w:rPr>
        <w:t xml:space="preserve"> către prestator a </w:t>
      </w:r>
      <w:proofErr w:type="spellStart"/>
      <w:r>
        <w:rPr>
          <w:rStyle w:val="BodyTextChar"/>
        </w:rPr>
        <w:t>sezizărilor</w:t>
      </w:r>
      <w:proofErr w:type="spellEnd"/>
      <w:r>
        <w:rPr>
          <w:rStyle w:val="BodyTextChar"/>
        </w:rPr>
        <w:t xml:space="preserve"> se va face printr-un serviciu </w:t>
      </w:r>
      <w:r>
        <w:rPr>
          <w:rStyle w:val="BodyTextChar"/>
          <w:lang w:val="en-US" w:eastAsia="en-US" w:bidi="en-US"/>
        </w:rPr>
        <w:t xml:space="preserve">de tip Help- Desk, </w:t>
      </w:r>
      <w:r>
        <w:rPr>
          <w:rStyle w:val="BodyTextChar"/>
        </w:rPr>
        <w:t>care va fi disponibil pe durata contractului între orele 8</w:t>
      </w:r>
      <w:r>
        <w:rPr>
          <w:rStyle w:val="BodyTextChar"/>
          <w:vertAlign w:val="superscript"/>
        </w:rPr>
        <w:t>OO</w:t>
      </w:r>
      <w:r>
        <w:rPr>
          <w:rStyle w:val="BodyTextChar"/>
        </w:rPr>
        <w:t>-18°°.</w:t>
      </w:r>
    </w:p>
    <w:p w:rsidR="00E97E89" w:rsidRDefault="00751112">
      <w:pPr>
        <w:pStyle w:val="BodyText"/>
        <w:spacing w:line="252" w:lineRule="auto"/>
        <w:ind w:firstLine="700"/>
        <w:jc w:val="both"/>
      </w:pPr>
      <w:r>
        <w:rPr>
          <w:rStyle w:val="BodyTextChar"/>
        </w:rPr>
        <w:t>Prestatorul va asigura disponibilitatea intervenirii în caz de urgență și în afara programului normal de lucr</w:t>
      </w:r>
      <w:r>
        <w:rPr>
          <w:rStyle w:val="BodyTextChar"/>
        </w:rPr>
        <w:t>u al beneficiarului.</w:t>
      </w:r>
    </w:p>
    <w:p w:rsidR="00E97E89" w:rsidRDefault="00751112">
      <w:pPr>
        <w:pStyle w:val="BodyText"/>
        <w:spacing w:after="1580" w:line="252" w:lineRule="auto"/>
        <w:ind w:firstLine="700"/>
        <w:jc w:val="both"/>
      </w:pPr>
      <w:r>
        <w:rPr>
          <w:rStyle w:val="BodyTextChar"/>
        </w:rPr>
        <w:t xml:space="preserve">In condițiile în care remedierea defecțiunilor necesita preluarea </w:t>
      </w:r>
      <w:proofErr w:type="spellStart"/>
      <w:r>
        <w:rPr>
          <w:rStyle w:val="BodyTextChar"/>
        </w:rPr>
        <w:t>dspozitivelor</w:t>
      </w:r>
      <w:proofErr w:type="spellEnd"/>
      <w:r>
        <w:rPr>
          <w:rStyle w:val="BodyTextChar"/>
        </w:rPr>
        <w:t xml:space="preserve"> in laborator, prestatorul are obligația </w:t>
      </w:r>
      <w:proofErr w:type="spellStart"/>
      <w:r>
        <w:rPr>
          <w:rStyle w:val="BodyTextChar"/>
        </w:rPr>
        <w:t>inlocuirii</w:t>
      </w:r>
      <w:proofErr w:type="spellEnd"/>
      <w:r>
        <w:rPr>
          <w:rStyle w:val="BodyTextChar"/>
        </w:rPr>
        <w:t xml:space="preserve"> acestora cu dispozitive din dotare pana la remedierea si punerea in funcțiune a dispozitivului MF.</w:t>
      </w:r>
    </w:p>
    <w:p w:rsidR="00E97E89" w:rsidRDefault="00751112">
      <w:pPr>
        <w:pStyle w:val="BodyText"/>
        <w:spacing w:line="240" w:lineRule="auto"/>
        <w:ind w:firstLine="0"/>
      </w:pPr>
      <w:r>
        <w:rPr>
          <w:rStyle w:val="BodyTextChar"/>
        </w:rPr>
        <w:t>Exper</w:t>
      </w:r>
      <w:r>
        <w:rPr>
          <w:rStyle w:val="BodyTextChar"/>
        </w:rPr>
        <w:t>t superior</w:t>
      </w:r>
    </w:p>
    <w:p w:rsidR="00E97E89" w:rsidRDefault="00751112">
      <w:pPr>
        <w:pStyle w:val="BodyText"/>
        <w:spacing w:line="240" w:lineRule="auto"/>
        <w:ind w:firstLine="0"/>
      </w:pPr>
      <w:proofErr w:type="spellStart"/>
      <w:r>
        <w:rPr>
          <w:rStyle w:val="BodyTextChar"/>
          <w:lang w:val="en-US" w:eastAsia="en-US" w:bidi="en-US"/>
        </w:rPr>
        <w:t>Valenti</w:t>
      </w:r>
      <w:proofErr w:type="spellEnd"/>
      <w:r>
        <w:rPr>
          <w:rStyle w:val="BodyTextChar"/>
          <w:lang w:val="en-US" w:eastAsia="en-US" w:bidi="en-US"/>
        </w:rPr>
        <w:t>/Gheorghe</w:t>
      </w:r>
    </w:p>
    <w:sectPr w:rsidR="00E97E89">
      <w:footerReference w:type="default" r:id="rId10"/>
      <w:pgSz w:w="11900" w:h="16840"/>
      <w:pgMar w:top="1337" w:right="1344" w:bottom="2663" w:left="1344" w:header="90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112" w:rsidRDefault="00751112">
      <w:r>
        <w:separator/>
      </w:r>
    </w:p>
  </w:endnote>
  <w:endnote w:type="continuationSeparator" w:id="0">
    <w:p w:rsidR="00751112" w:rsidRDefault="007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89" w:rsidRDefault="00751112">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6589395</wp:posOffset>
              </wp:positionH>
              <wp:positionV relativeFrom="page">
                <wp:posOffset>9107805</wp:posOffset>
              </wp:positionV>
              <wp:extent cx="4254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6680"/>
                      </a:xfrm>
                      <a:prstGeom prst="rect">
                        <a:avLst/>
                      </a:prstGeom>
                      <a:noFill/>
                    </wps:spPr>
                    <wps:txbx>
                      <w:txbxContent>
                        <w:p w:rsidR="00E97E89" w:rsidRDefault="00751112">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8.85000000000002pt;margin-top:717.14999999999998pt;width:3.3500000000000001pt;height:8.4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89" w:rsidRDefault="00751112">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6598920</wp:posOffset>
              </wp:positionH>
              <wp:positionV relativeFrom="page">
                <wp:posOffset>9077325</wp:posOffset>
              </wp:positionV>
              <wp:extent cx="6985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69850" cy="106680"/>
                      </a:xfrm>
                      <a:prstGeom prst="rect">
                        <a:avLst/>
                      </a:prstGeom>
                      <a:noFill/>
                    </wps:spPr>
                    <wps:txbx>
                      <w:txbxContent>
                        <w:p w:rsidR="00E97E89" w:rsidRDefault="00751112">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 id="_x0000_s1029" type="#_x0000_t202" style="position:absolute;margin-left:519.60000000000002pt;margin-top:714.75pt;width:5.5pt;height:8.40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sz w:val="22"/>
                          <w:szCs w:val="22"/>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89" w:rsidRDefault="00751112">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6599555</wp:posOffset>
              </wp:positionH>
              <wp:positionV relativeFrom="page">
                <wp:posOffset>9074150</wp:posOffset>
              </wp:positionV>
              <wp:extent cx="6985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69850" cy="109855"/>
                      </a:xfrm>
                      <a:prstGeom prst="rect">
                        <a:avLst/>
                      </a:prstGeom>
                      <a:noFill/>
                    </wps:spPr>
                    <wps:txbx>
                      <w:txbxContent>
                        <w:p w:rsidR="00E97E89" w:rsidRDefault="00751112">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 id="_x0000_s1031" type="#_x0000_t202" style="position:absolute;margin-left:519.64999999999998pt;margin-top:714.5pt;width:5.5pt;height:8.6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sz w:val="22"/>
                          <w:szCs w:val="22"/>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E89" w:rsidRDefault="00751112">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6593205</wp:posOffset>
              </wp:positionH>
              <wp:positionV relativeFrom="page">
                <wp:posOffset>9002395</wp:posOffset>
              </wp:positionV>
              <wp:extent cx="6985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69850" cy="106680"/>
                      </a:xfrm>
                      <a:prstGeom prst="rect">
                        <a:avLst/>
                      </a:prstGeom>
                      <a:noFill/>
                    </wps:spPr>
                    <wps:txbx>
                      <w:txbxContent>
                        <w:p w:rsidR="00E97E89" w:rsidRDefault="00751112">
                          <w:pPr>
                            <w:pStyle w:val="Headerorfooter20"/>
                            <w:rPr>
                              <w:sz w:val="22"/>
                              <w:szCs w:val="22"/>
                            </w:rPr>
                          </w:pPr>
                          <w:r>
                            <w:fldChar w:fldCharType="begin"/>
                          </w:r>
                          <w:r>
                            <w:instrText xml:space="preserve"> PAGE \* MERGEFORMAT </w:instrText>
                          </w:r>
                          <w:r>
                            <w:fldChar w:fldCharType="separate"/>
                          </w:r>
                          <w:r>
                            <w:rPr>
                              <w:rStyle w:val="Headerorfooter2"/>
                              <w:rFonts w:ascii="Arial" w:eastAsia="Arial" w:hAnsi="Arial" w:cs="Arial"/>
                              <w:sz w:val="22"/>
                              <w:szCs w:val="22"/>
                            </w:rPr>
                            <w:t>#</w:t>
                          </w:r>
                          <w:r>
                            <w:rPr>
                              <w:rStyle w:val="Headerorfooter2"/>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 id="_x0000_s1033" type="#_x0000_t202" style="position:absolute;margin-left:519.14999999999998pt;margin-top:708.85000000000002pt;width:5.5pt;height:8.40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sz w:val="22"/>
                          <w:szCs w:val="22"/>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112" w:rsidRDefault="00751112"/>
  </w:footnote>
  <w:footnote w:type="continuationSeparator" w:id="0">
    <w:p w:rsidR="00751112" w:rsidRDefault="007511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934"/>
    <w:multiLevelType w:val="multilevel"/>
    <w:tmpl w:val="401831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450CD"/>
    <w:multiLevelType w:val="multilevel"/>
    <w:tmpl w:val="1F02DF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eMVs2WBkOifAlxvjRy5/DQbLNyxYPKpd386P2SaTUZ9J4daHGIMoZuORtZjhN9wy75Fc+fZQTQ0hNa0GnHk4QA==" w:salt="E3KE9XQKJAKtOVWuQx1zUg=="/>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89"/>
    <w:rsid w:val="00751112"/>
    <w:rsid w:val="00DE6DE2"/>
    <w:rsid w:val="00E97E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9435D-1D4D-4211-B031-ABE34329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paragraph" w:customStyle="1" w:styleId="Heading10">
    <w:name w:val="Heading #1"/>
    <w:basedOn w:val="Normal"/>
    <w:link w:val="Heading1"/>
    <w:pPr>
      <w:spacing w:line="67" w:lineRule="exact"/>
      <w:jc w:val="center"/>
      <w:outlineLvl w:val="0"/>
    </w:pPr>
    <w:rPr>
      <w:rFonts w:ascii="Arial" w:eastAsia="Arial" w:hAnsi="Arial" w:cs="Arial"/>
      <w:smallCap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240" w:line="67" w:lineRule="exact"/>
      <w:jc w:val="center"/>
    </w:pPr>
    <w:rPr>
      <w:rFonts w:ascii="Arial" w:eastAsia="Arial" w:hAnsi="Arial" w:cs="Arial"/>
      <w:sz w:val="11"/>
      <w:szCs w:val="11"/>
    </w:rPr>
  </w:style>
  <w:style w:type="paragraph" w:styleId="BodyText">
    <w:name w:val="Body Text"/>
    <w:basedOn w:val="Normal"/>
    <w:link w:val="BodyTextChar"/>
    <w:qFormat/>
    <w:pPr>
      <w:spacing w:line="254" w:lineRule="auto"/>
      <w:ind w:firstLine="400"/>
    </w:pPr>
    <w:rPr>
      <w:rFonts w:ascii="Arial" w:eastAsia="Arial" w:hAnsi="Arial" w:cs="Arial"/>
      <w:sz w:val="22"/>
      <w:szCs w:val="22"/>
    </w:rPr>
  </w:style>
  <w:style w:type="paragraph" w:customStyle="1" w:styleId="Other0">
    <w:name w:val="Other"/>
    <w:basedOn w:val="Normal"/>
    <w:link w:val="Other"/>
    <w:pPr>
      <w:spacing w:line="254" w:lineRule="auto"/>
      <w:ind w:firstLine="4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7414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TEODORESCU</dc:creator>
  <cp:lastModifiedBy>MARGARETA TEODORESCU</cp:lastModifiedBy>
  <cp:revision>2</cp:revision>
  <dcterms:created xsi:type="dcterms:W3CDTF">2022-08-04T11:41:00Z</dcterms:created>
  <dcterms:modified xsi:type="dcterms:W3CDTF">2022-08-04T11:41:00Z</dcterms:modified>
</cp:coreProperties>
</file>