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16E" w:rsidRDefault="00FE716E">
      <w:pPr>
        <w:rPr>
          <w:rFonts w:ascii="Arial" w:hAnsi="Arial" w:cs="Arial"/>
          <w:bCs/>
          <w:u w:val="single"/>
          <w:lang w:val="ro-RO"/>
        </w:rPr>
      </w:pPr>
    </w:p>
    <w:p w:rsidR="00330D14" w:rsidRDefault="00FE716E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eastAsia="Arial" w:hAnsi="Arial" w:cs="Arial"/>
          <w:b/>
          <w:bCs/>
          <w:lang w:val="ro-RO"/>
        </w:rPr>
        <w:t xml:space="preserve">   </w:t>
      </w:r>
      <w:r>
        <w:rPr>
          <w:rFonts w:ascii="Arial" w:hAnsi="Arial" w:cs="Arial"/>
          <w:b/>
          <w:bCs/>
          <w:lang w:val="ro-RO"/>
        </w:rPr>
        <w:tab/>
      </w:r>
      <w:r>
        <w:rPr>
          <w:rFonts w:ascii="Arial" w:hAnsi="Arial" w:cs="Arial"/>
          <w:b/>
          <w:bCs/>
          <w:lang w:val="ro-RO"/>
        </w:rPr>
        <w:tab/>
      </w:r>
      <w:r>
        <w:rPr>
          <w:rFonts w:ascii="Arial" w:hAnsi="Arial" w:cs="Arial"/>
          <w:b/>
          <w:bCs/>
          <w:lang w:val="ro-RO"/>
        </w:rPr>
        <w:tab/>
      </w:r>
      <w:r>
        <w:rPr>
          <w:rFonts w:ascii="Arial" w:hAnsi="Arial" w:cs="Arial"/>
          <w:b/>
          <w:bCs/>
          <w:lang w:val="ro-RO"/>
        </w:rPr>
        <w:tab/>
      </w:r>
      <w:r>
        <w:rPr>
          <w:rFonts w:ascii="Arial" w:hAnsi="Arial" w:cs="Arial"/>
          <w:b/>
          <w:bCs/>
          <w:lang w:val="ro-RO"/>
        </w:rPr>
        <w:tab/>
      </w:r>
    </w:p>
    <w:p w:rsidR="00FE716E" w:rsidRDefault="00FE716E" w:rsidP="00863CC9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>Informaţii utile</w:t>
      </w:r>
    </w:p>
    <w:p w:rsidR="00330D14" w:rsidRDefault="00330D14" w:rsidP="000C136E">
      <w:pPr>
        <w:jc w:val="both"/>
        <w:rPr>
          <w:rFonts w:ascii="Arial" w:hAnsi="Arial" w:cs="Arial"/>
          <w:b/>
          <w:bCs/>
          <w:i/>
          <w:lang w:val="ro-RO"/>
        </w:rPr>
      </w:pPr>
    </w:p>
    <w:p w:rsidR="00FE716E" w:rsidRDefault="00FE716E">
      <w:pPr>
        <w:jc w:val="center"/>
        <w:rPr>
          <w:rFonts w:ascii="Arial" w:hAnsi="Arial" w:cs="Arial"/>
          <w:b/>
          <w:i/>
          <w:lang w:val="ro-RO"/>
        </w:rPr>
      </w:pPr>
      <w:r w:rsidRPr="00C4714F">
        <w:rPr>
          <w:rFonts w:ascii="Arial" w:hAnsi="Arial" w:cs="Arial"/>
          <w:b/>
          <w:bCs/>
          <w:i/>
          <w:lang w:val="ro-RO"/>
        </w:rPr>
        <w:t xml:space="preserve">pentru </w:t>
      </w:r>
      <w:r w:rsidR="00116993" w:rsidRPr="00C4714F">
        <w:rPr>
          <w:rFonts w:ascii="Arial" w:hAnsi="Arial" w:cs="Arial"/>
          <w:b/>
          <w:bCs/>
          <w:i/>
          <w:lang w:val="ro-RO"/>
        </w:rPr>
        <w:t xml:space="preserve">entitățile </w:t>
      </w:r>
      <w:r w:rsidRPr="00C4714F">
        <w:rPr>
          <w:rFonts w:ascii="Arial" w:hAnsi="Arial" w:cs="Arial"/>
          <w:b/>
          <w:i/>
          <w:lang w:val="ro-RO"/>
        </w:rPr>
        <w:t>care au obligaţia de a aplica</w:t>
      </w:r>
      <w:r>
        <w:rPr>
          <w:rFonts w:ascii="Arial" w:hAnsi="Arial" w:cs="Arial"/>
          <w:b/>
          <w:i/>
          <w:lang w:val="ro-RO"/>
        </w:rPr>
        <w:t xml:space="preserve"> </w:t>
      </w:r>
    </w:p>
    <w:p w:rsidR="00FE716E" w:rsidRDefault="00FE716E">
      <w:pPr>
        <w:jc w:val="center"/>
        <w:rPr>
          <w:rFonts w:ascii="Arial" w:eastAsia="Arial" w:hAnsi="Arial" w:cs="Arial"/>
          <w:bCs/>
          <w:lang w:val="ro-RO"/>
        </w:rPr>
      </w:pPr>
      <w:r>
        <w:rPr>
          <w:rFonts w:ascii="Arial" w:hAnsi="Arial" w:cs="Arial"/>
          <w:b/>
          <w:i/>
          <w:lang w:val="ro-RO"/>
        </w:rPr>
        <w:t xml:space="preserve">Standardele Internaţionale de Raportare Financiară (IFRS) </w:t>
      </w:r>
    </w:p>
    <w:p w:rsidR="00330D14" w:rsidRDefault="00330D14">
      <w:pPr>
        <w:jc w:val="center"/>
        <w:rPr>
          <w:rFonts w:ascii="Arial" w:eastAsia="Arial" w:hAnsi="Arial" w:cs="Arial"/>
          <w:bCs/>
          <w:lang w:val="ro-RO"/>
        </w:rPr>
      </w:pPr>
    </w:p>
    <w:p w:rsidR="00FE716E" w:rsidRDefault="00FE716E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  <w:r>
        <w:rPr>
          <w:rFonts w:ascii="Arial" w:eastAsia="Arial" w:hAnsi="Arial" w:cs="Arial"/>
          <w:bCs/>
          <w:lang w:val="ro-RO"/>
        </w:rPr>
        <w:t xml:space="preserve">                      </w:t>
      </w:r>
    </w:p>
    <w:p w:rsidR="00FC1994" w:rsidRDefault="00FE716E" w:rsidP="00021B88">
      <w:pPr>
        <w:autoSpaceDE w:val="0"/>
        <w:ind w:left="-181" w:right="284"/>
        <w:jc w:val="both"/>
        <w:rPr>
          <w:rFonts w:ascii="Arial" w:hAnsi="Arial" w:cs="Arial"/>
          <w:bCs/>
          <w:sz w:val="28"/>
          <w:szCs w:val="28"/>
          <w:lang w:val="ro-RO"/>
        </w:rPr>
      </w:pPr>
      <w:r>
        <w:rPr>
          <w:rFonts w:ascii="Arial" w:hAnsi="Arial" w:cs="Arial"/>
          <w:bCs/>
          <w:sz w:val="28"/>
          <w:szCs w:val="28"/>
          <w:lang w:val="ro-RO"/>
        </w:rPr>
        <w:t xml:space="preserve">Potrivit prevederilor </w:t>
      </w:r>
      <w:r>
        <w:rPr>
          <w:rFonts w:ascii="Arial" w:hAnsi="Arial" w:cs="Arial"/>
          <w:b/>
          <w:bCs/>
          <w:i/>
          <w:sz w:val="28"/>
          <w:szCs w:val="28"/>
          <w:lang w:val="ro-RO"/>
        </w:rPr>
        <w:t>Ordinului ministrului finanţelor publice nr. 881 din 25 iunie 2012</w:t>
      </w:r>
      <w:r>
        <w:rPr>
          <w:rFonts w:ascii="Arial" w:hAnsi="Arial" w:cs="Arial"/>
          <w:b/>
          <w:i/>
          <w:sz w:val="28"/>
          <w:szCs w:val="28"/>
          <w:lang w:val="ro-RO"/>
        </w:rPr>
        <w:t xml:space="preserve"> privind aplicarea de către societăţile comerciale ale căror valori mobiliare sunt admise la tranzacţionare pe o piaţă reglementată, a Standardelor Internaţionale de Raportare Financiară</w:t>
      </w:r>
      <w:r>
        <w:rPr>
          <w:rFonts w:ascii="Arial" w:hAnsi="Arial" w:cs="Arial"/>
          <w:bCs/>
          <w:sz w:val="28"/>
          <w:szCs w:val="28"/>
          <w:lang w:val="ro-RO"/>
        </w:rPr>
        <w:t xml:space="preserve">, </w:t>
      </w:r>
      <w:r w:rsidR="001507B8" w:rsidRPr="00A5732B">
        <w:rPr>
          <w:rFonts w:ascii="Arial" w:hAnsi="Arial" w:cs="Arial"/>
          <w:bCs/>
          <w:i/>
          <w:sz w:val="28"/>
          <w:szCs w:val="28"/>
          <w:lang w:val="ro-RO"/>
        </w:rPr>
        <w:t>cu modificările ulterioare</w:t>
      </w:r>
      <w:r>
        <w:rPr>
          <w:rFonts w:ascii="Arial" w:hAnsi="Arial" w:cs="Arial"/>
          <w:bCs/>
          <w:sz w:val="28"/>
          <w:szCs w:val="28"/>
          <w:lang w:val="ro-RO"/>
        </w:rPr>
        <w:t xml:space="preserve">, </w:t>
      </w:r>
      <w:r>
        <w:rPr>
          <w:rFonts w:ascii="Arial" w:hAnsi="Arial" w:cs="Arial"/>
          <w:sz w:val="28"/>
          <w:szCs w:val="28"/>
          <w:lang w:val="ro-RO"/>
        </w:rPr>
        <w:t>începând cu exerciţiul financiar al anului 2012, societăţile ale căror valori mobiliare sunt admise la tranzacţionare pe o piaţă reglementată au obligaţia de a aplica</w:t>
      </w:r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Standardele Internaţionale de Raportare Financiară (IFRS) la întocmirea situaţiilor financiare anuale individuale.</w:t>
      </w:r>
    </w:p>
    <w:p w:rsidR="00FC1994" w:rsidRDefault="00FC1994" w:rsidP="00FC1994">
      <w:pPr>
        <w:autoSpaceDE w:val="0"/>
        <w:ind w:left="-181" w:right="284" w:firstLine="720"/>
        <w:jc w:val="both"/>
        <w:rPr>
          <w:rFonts w:ascii="Arial" w:hAnsi="Arial" w:cs="Arial"/>
          <w:bCs/>
          <w:sz w:val="28"/>
          <w:szCs w:val="28"/>
          <w:lang w:val="ro-RO"/>
        </w:rPr>
      </w:pPr>
    </w:p>
    <w:p w:rsidR="00666AC0" w:rsidRDefault="00161359" w:rsidP="00021B88">
      <w:pPr>
        <w:autoSpaceDE w:val="0"/>
        <w:ind w:left="-181" w:right="284"/>
        <w:jc w:val="both"/>
        <w:rPr>
          <w:rFonts w:ascii="Arial" w:hAnsi="Arial" w:cs="Arial"/>
          <w:b/>
          <w:i/>
          <w:sz w:val="28"/>
          <w:szCs w:val="28"/>
          <w:lang w:val="ro-RO"/>
        </w:rPr>
      </w:pPr>
      <w:r>
        <w:rPr>
          <w:rFonts w:ascii="Arial" w:hAnsi="Arial" w:cs="Arial"/>
          <w:bCs/>
          <w:sz w:val="28"/>
          <w:szCs w:val="28"/>
          <w:lang w:val="ro-RO"/>
        </w:rPr>
        <w:t>Prin urmare, în prezent, a</w:t>
      </w:r>
      <w:r w:rsidR="00666AC0">
        <w:rPr>
          <w:rFonts w:ascii="Arial" w:hAnsi="Arial" w:cs="Arial"/>
          <w:bCs/>
          <w:sz w:val="28"/>
          <w:szCs w:val="28"/>
          <w:lang w:val="ro-RO"/>
        </w:rPr>
        <w:t xml:space="preserve">ceste entități aplică </w:t>
      </w:r>
      <w:r w:rsidR="00947EEF">
        <w:rPr>
          <w:rFonts w:ascii="Arial" w:hAnsi="Arial" w:cs="Arial"/>
          <w:b/>
          <w:i/>
          <w:sz w:val="28"/>
          <w:szCs w:val="28"/>
          <w:lang w:val="ro-RO"/>
        </w:rPr>
        <w:t>Reglementările</w:t>
      </w:r>
      <w:r w:rsidR="00666AC0">
        <w:rPr>
          <w:rFonts w:ascii="Arial" w:hAnsi="Arial" w:cs="Arial"/>
          <w:b/>
          <w:i/>
          <w:sz w:val="28"/>
          <w:szCs w:val="28"/>
          <w:lang w:val="ro-RO"/>
        </w:rPr>
        <w:t xml:space="preserve"> contabile conforme cu Standardele Interna</w:t>
      </w:r>
      <w:r w:rsidR="00947EEF">
        <w:rPr>
          <w:rFonts w:ascii="Arial" w:hAnsi="Arial" w:cs="Arial"/>
          <w:b/>
          <w:i/>
          <w:sz w:val="28"/>
          <w:szCs w:val="28"/>
          <w:lang w:val="ro-RO"/>
        </w:rPr>
        <w:t xml:space="preserve">ţionale de Raportare Financiară, aprobate prin </w:t>
      </w:r>
      <w:r w:rsidR="00947EEF">
        <w:rPr>
          <w:rFonts w:ascii="Arial" w:hAnsi="Arial" w:cs="Arial"/>
          <w:b/>
          <w:bCs/>
          <w:i/>
          <w:sz w:val="28"/>
          <w:szCs w:val="28"/>
          <w:lang w:val="ro-RO"/>
        </w:rPr>
        <w:t>Ordinul ministrului finanţelor publice nr. 2.844 din 12 decembrie 2016</w:t>
      </w:r>
      <w:r w:rsidR="00947EEF">
        <w:rPr>
          <w:rFonts w:ascii="Arial" w:hAnsi="Arial" w:cs="Arial"/>
          <w:bCs/>
          <w:i/>
          <w:sz w:val="28"/>
          <w:szCs w:val="28"/>
          <w:lang w:val="ro-RO"/>
        </w:rPr>
        <w:t xml:space="preserve"> </w:t>
      </w:r>
      <w:r w:rsidR="00666AC0">
        <w:rPr>
          <w:rFonts w:ascii="Arial" w:hAnsi="Arial" w:cs="Arial"/>
          <w:b/>
          <w:i/>
          <w:sz w:val="28"/>
          <w:szCs w:val="28"/>
          <w:lang w:val="ro-RO"/>
        </w:rPr>
        <w:t>(publicat în M.O. al României nr. 1.020 din 19 decembrie 2016)</w:t>
      </w:r>
      <w:r w:rsidR="00947EEF">
        <w:rPr>
          <w:rFonts w:ascii="Arial" w:hAnsi="Arial" w:cs="Arial"/>
          <w:b/>
          <w:i/>
          <w:sz w:val="28"/>
          <w:szCs w:val="28"/>
          <w:lang w:val="ro-RO"/>
        </w:rPr>
        <w:t>,</w:t>
      </w:r>
      <w:r w:rsidR="00947EEF">
        <w:rPr>
          <w:rFonts w:ascii="Arial" w:hAnsi="Arial" w:cs="Arial"/>
          <w:sz w:val="28"/>
          <w:szCs w:val="28"/>
          <w:lang w:val="ro-RO"/>
        </w:rPr>
        <w:t xml:space="preserve"> </w:t>
      </w:r>
      <w:r w:rsidR="00666AC0" w:rsidRPr="00200963">
        <w:rPr>
          <w:rFonts w:ascii="Arial" w:hAnsi="Arial" w:cs="Arial"/>
          <w:b/>
          <w:i/>
          <w:sz w:val="28"/>
          <w:szCs w:val="28"/>
          <w:lang w:val="ro-RO"/>
        </w:rPr>
        <w:t>cu modificările și completările ulterioare</w:t>
      </w:r>
      <w:r w:rsidR="00666AC0">
        <w:rPr>
          <w:rFonts w:ascii="Arial" w:hAnsi="Arial" w:cs="Arial"/>
          <w:b/>
          <w:i/>
          <w:sz w:val="28"/>
          <w:szCs w:val="28"/>
          <w:lang w:val="ro-RO"/>
        </w:rPr>
        <w:t>.</w:t>
      </w:r>
    </w:p>
    <w:p w:rsidR="00666AC0" w:rsidRDefault="00666AC0" w:rsidP="00FC1994">
      <w:pPr>
        <w:autoSpaceDE w:val="0"/>
        <w:ind w:left="-181" w:right="284" w:firstLine="720"/>
        <w:jc w:val="both"/>
        <w:rPr>
          <w:rFonts w:ascii="Arial" w:hAnsi="Arial" w:cs="Arial"/>
          <w:bCs/>
          <w:sz w:val="28"/>
          <w:szCs w:val="28"/>
          <w:lang w:val="ro-RO"/>
        </w:rPr>
      </w:pPr>
    </w:p>
    <w:p w:rsidR="00C4714F" w:rsidRPr="00C4714F" w:rsidRDefault="00C4714F" w:rsidP="00021B88">
      <w:pPr>
        <w:autoSpaceDE w:val="0"/>
        <w:ind w:left="-181" w:right="284"/>
        <w:jc w:val="both"/>
        <w:rPr>
          <w:rFonts w:ascii="Arial" w:hAnsi="Arial" w:cs="Arial"/>
          <w:bCs/>
          <w:sz w:val="28"/>
          <w:szCs w:val="28"/>
          <w:lang w:val="ro-RO"/>
        </w:rPr>
      </w:pPr>
      <w:r>
        <w:rPr>
          <w:rFonts w:ascii="Arial" w:hAnsi="Arial" w:cs="Arial"/>
          <w:bCs/>
          <w:sz w:val="28"/>
          <w:szCs w:val="28"/>
          <w:lang w:val="ro-RO"/>
        </w:rPr>
        <w:t xml:space="preserve">De asemenea, </w:t>
      </w:r>
      <w:r w:rsidR="00FC1994">
        <w:rPr>
          <w:rFonts w:ascii="Arial" w:hAnsi="Arial" w:cs="Arial"/>
          <w:bCs/>
          <w:sz w:val="28"/>
          <w:szCs w:val="28"/>
          <w:lang w:val="ro-RO"/>
        </w:rPr>
        <w:t>î</w:t>
      </w:r>
      <w:r w:rsidRPr="00FC1994">
        <w:rPr>
          <w:rFonts w:ascii="Arial" w:hAnsi="Arial" w:cs="Arial"/>
          <w:bCs/>
          <w:sz w:val="28"/>
          <w:szCs w:val="28"/>
          <w:lang w:val="ro-RO"/>
        </w:rPr>
        <w:t>ncepând cu exerciţiul financiar al anului 2018</w:t>
      </w:r>
      <w:r>
        <w:rPr>
          <w:sz w:val="28"/>
          <w:szCs w:val="28"/>
          <w:lang w:val="en-US" w:eastAsia="en-US"/>
        </w:rPr>
        <w:t xml:space="preserve">, </w:t>
      </w:r>
      <w:r w:rsidRPr="00FC1994">
        <w:rPr>
          <w:rFonts w:ascii="Arial" w:hAnsi="Arial" w:cs="Arial"/>
          <w:bCs/>
          <w:sz w:val="28"/>
          <w:szCs w:val="28"/>
          <w:lang w:val="ro-RO"/>
        </w:rPr>
        <w:t>în baza</w:t>
      </w:r>
      <w:r>
        <w:rPr>
          <w:sz w:val="28"/>
          <w:szCs w:val="28"/>
          <w:lang w:val="en-US" w:eastAsia="en-US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  <w:lang w:val="ro-RO"/>
        </w:rPr>
        <w:t>Ordinului ministrului finanţelor publice nr. 666 din 9 iunie 2015</w:t>
      </w:r>
      <w:r w:rsidR="00CA06C2">
        <w:rPr>
          <w:rFonts w:ascii="Arial" w:hAnsi="Arial" w:cs="Arial"/>
          <w:b/>
          <w:bCs/>
          <w:i/>
          <w:sz w:val="28"/>
          <w:szCs w:val="28"/>
          <w:lang w:val="ro-RO"/>
        </w:rPr>
        <w:t xml:space="preserve"> </w:t>
      </w:r>
      <w:r w:rsidR="00CA06C2">
        <w:rPr>
          <w:rFonts w:ascii="Arial" w:hAnsi="Arial" w:cs="Arial"/>
          <w:b/>
          <w:i/>
          <w:sz w:val="28"/>
          <w:szCs w:val="28"/>
          <w:lang w:val="ro-RO"/>
        </w:rPr>
        <w:t>(publicat în M.O. al României nr. 442 din 22 iunie 2015)</w:t>
      </w:r>
      <w:r>
        <w:rPr>
          <w:rFonts w:ascii="Arial" w:hAnsi="Arial" w:cs="Arial"/>
          <w:b/>
          <w:bCs/>
          <w:i/>
          <w:sz w:val="28"/>
          <w:szCs w:val="28"/>
          <w:lang w:val="ro-RO"/>
        </w:rPr>
        <w:t xml:space="preserve">, unele entități cu capital de stat </w:t>
      </w:r>
      <w:r w:rsidRPr="00161359">
        <w:rPr>
          <w:rFonts w:ascii="Arial" w:hAnsi="Arial" w:cs="Arial"/>
          <w:bCs/>
          <w:sz w:val="28"/>
          <w:szCs w:val="28"/>
          <w:lang w:val="ro-RO"/>
        </w:rPr>
        <w:t>nominalizate în anexa la ordinul men</w:t>
      </w:r>
      <w:r w:rsidR="00FC1994" w:rsidRPr="00161359">
        <w:rPr>
          <w:rFonts w:ascii="Arial" w:hAnsi="Arial" w:cs="Arial"/>
          <w:bCs/>
          <w:sz w:val="28"/>
          <w:szCs w:val="28"/>
          <w:lang w:val="ro-RO"/>
        </w:rPr>
        <w:t xml:space="preserve">ționat au obligația de a </w:t>
      </w:r>
      <w:r w:rsidR="00161359" w:rsidRPr="00161359">
        <w:rPr>
          <w:rFonts w:ascii="Arial" w:hAnsi="Arial" w:cs="Arial"/>
          <w:bCs/>
          <w:sz w:val="28"/>
          <w:szCs w:val="28"/>
          <w:lang w:val="ro-RO"/>
        </w:rPr>
        <w:t>o</w:t>
      </w:r>
      <w:r w:rsidR="00FC1994" w:rsidRPr="00161359">
        <w:rPr>
          <w:rFonts w:ascii="Arial" w:hAnsi="Arial" w:cs="Arial"/>
          <w:bCs/>
          <w:sz w:val="28"/>
          <w:szCs w:val="28"/>
          <w:lang w:val="ro-RO"/>
        </w:rPr>
        <w:t>rganiz</w:t>
      </w:r>
      <w:r w:rsidR="00161359" w:rsidRPr="00161359">
        <w:rPr>
          <w:rFonts w:ascii="Arial" w:hAnsi="Arial" w:cs="Arial"/>
          <w:bCs/>
          <w:sz w:val="28"/>
          <w:szCs w:val="28"/>
          <w:lang w:val="ro-RO"/>
        </w:rPr>
        <w:t xml:space="preserve">a </w:t>
      </w:r>
      <w:r w:rsidR="00FC1994" w:rsidRPr="00161359">
        <w:rPr>
          <w:rFonts w:ascii="Arial" w:hAnsi="Arial" w:cs="Arial"/>
          <w:bCs/>
          <w:sz w:val="28"/>
          <w:szCs w:val="28"/>
          <w:lang w:val="ro-RO"/>
        </w:rPr>
        <w:t>şi conduc</w:t>
      </w:r>
      <w:r w:rsidR="00161359" w:rsidRPr="00161359">
        <w:rPr>
          <w:rFonts w:ascii="Arial" w:hAnsi="Arial" w:cs="Arial"/>
          <w:bCs/>
          <w:sz w:val="28"/>
          <w:szCs w:val="28"/>
          <w:lang w:val="ro-RO"/>
        </w:rPr>
        <w:t>e</w:t>
      </w:r>
      <w:r w:rsidR="00FC1994" w:rsidRPr="00161359">
        <w:rPr>
          <w:rFonts w:ascii="Arial" w:hAnsi="Arial" w:cs="Arial"/>
          <w:bCs/>
          <w:sz w:val="28"/>
          <w:szCs w:val="28"/>
          <w:lang w:val="ro-RO"/>
        </w:rPr>
        <w:t xml:space="preserve"> contabilitatea potrivit </w:t>
      </w:r>
      <w:r w:rsidR="00FC1994" w:rsidRPr="0003186E">
        <w:rPr>
          <w:rFonts w:ascii="Arial" w:hAnsi="Arial" w:cs="Arial"/>
          <w:bCs/>
          <w:i/>
          <w:sz w:val="28"/>
          <w:szCs w:val="28"/>
          <w:lang w:val="ro-RO"/>
        </w:rPr>
        <w:t>Reglementărilor contabile conforme cu Standardele internaţionale de raportare financiară</w:t>
      </w:r>
      <w:r w:rsidR="00161359" w:rsidRPr="0003186E">
        <w:rPr>
          <w:rFonts w:ascii="Arial" w:hAnsi="Arial" w:cs="Arial"/>
          <w:bCs/>
          <w:i/>
          <w:sz w:val="28"/>
          <w:szCs w:val="28"/>
          <w:lang w:val="ro-RO"/>
        </w:rPr>
        <w:t xml:space="preserve"> aprobate prin Ordinul ministrului finanţelor publice nr. 2.844/2016</w:t>
      </w:r>
      <w:r w:rsidR="00161359" w:rsidRPr="00161359">
        <w:rPr>
          <w:rFonts w:ascii="Arial" w:hAnsi="Arial" w:cs="Arial"/>
          <w:bCs/>
          <w:sz w:val="28"/>
          <w:szCs w:val="28"/>
          <w:lang w:val="ro-RO"/>
        </w:rPr>
        <w:t>.</w:t>
      </w:r>
    </w:p>
    <w:p w:rsidR="00C4714F" w:rsidRDefault="00C4714F" w:rsidP="00C4714F">
      <w:pPr>
        <w:ind w:right="284"/>
        <w:jc w:val="both"/>
        <w:rPr>
          <w:rFonts w:ascii="Arial" w:hAnsi="Arial" w:cs="Arial"/>
          <w:bCs/>
          <w:sz w:val="28"/>
          <w:szCs w:val="28"/>
          <w:lang w:val="ro-RO"/>
        </w:rPr>
      </w:pPr>
      <w:r>
        <w:rPr>
          <w:rFonts w:ascii="Arial" w:hAnsi="Arial" w:cs="Arial"/>
          <w:bCs/>
          <w:sz w:val="28"/>
          <w:szCs w:val="28"/>
          <w:lang w:val="ro-RO"/>
        </w:rPr>
        <w:t xml:space="preserve">       </w:t>
      </w:r>
    </w:p>
    <w:p w:rsidR="00FE716E" w:rsidRDefault="00FE716E" w:rsidP="00021B88">
      <w:pPr>
        <w:ind w:left="-181" w:right="284"/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Cs/>
          <w:sz w:val="28"/>
          <w:szCs w:val="28"/>
          <w:lang w:val="ro-RO"/>
        </w:rPr>
        <w:t>Potrivit</w:t>
      </w:r>
      <w:r>
        <w:rPr>
          <w:rFonts w:ascii="Arial" w:hAnsi="Arial" w:cs="Arial"/>
          <w:b/>
          <w:bCs/>
          <w:i/>
          <w:sz w:val="28"/>
          <w:szCs w:val="28"/>
          <w:lang w:val="ro-RO"/>
        </w:rPr>
        <w:t xml:space="preserve"> </w:t>
      </w:r>
      <w:r w:rsidRPr="00C80C22">
        <w:rPr>
          <w:rFonts w:ascii="Arial" w:hAnsi="Arial" w:cs="Arial"/>
          <w:bCs/>
          <w:sz w:val="28"/>
          <w:szCs w:val="28"/>
          <w:lang w:val="ro-RO"/>
        </w:rPr>
        <w:t xml:space="preserve">Ordinului ministrului finanţelor publice nr. </w:t>
      </w:r>
      <w:r w:rsidR="00DE4B88" w:rsidRPr="00C80C22">
        <w:rPr>
          <w:rFonts w:ascii="Arial" w:hAnsi="Arial" w:cs="Arial"/>
          <w:bCs/>
          <w:sz w:val="28"/>
          <w:szCs w:val="28"/>
          <w:lang w:val="ro-RO"/>
        </w:rPr>
        <w:t>2.844</w:t>
      </w:r>
      <w:r w:rsidR="00982C4C" w:rsidRPr="00C80C22">
        <w:rPr>
          <w:rFonts w:ascii="Arial" w:hAnsi="Arial" w:cs="Arial"/>
          <w:bCs/>
          <w:sz w:val="28"/>
          <w:szCs w:val="28"/>
          <w:lang w:val="ro-RO"/>
        </w:rPr>
        <w:t>/</w:t>
      </w:r>
      <w:r w:rsidRPr="00C80C22">
        <w:rPr>
          <w:rFonts w:ascii="Arial" w:hAnsi="Arial" w:cs="Arial"/>
          <w:bCs/>
          <w:sz w:val="28"/>
          <w:szCs w:val="28"/>
          <w:lang w:val="ro-RO"/>
        </w:rPr>
        <w:t>201</w:t>
      </w:r>
      <w:r w:rsidR="00DE4B88" w:rsidRPr="00C80C22">
        <w:rPr>
          <w:rFonts w:ascii="Arial" w:hAnsi="Arial" w:cs="Arial"/>
          <w:bCs/>
          <w:sz w:val="28"/>
          <w:szCs w:val="28"/>
          <w:lang w:val="ro-RO"/>
        </w:rPr>
        <w:t>6</w:t>
      </w:r>
      <w:r w:rsidR="00200963" w:rsidRPr="00C80C22">
        <w:rPr>
          <w:rFonts w:ascii="Arial" w:hAnsi="Arial" w:cs="Arial"/>
          <w:sz w:val="28"/>
          <w:szCs w:val="28"/>
          <w:lang w:val="ro-RO"/>
        </w:rPr>
        <w:t xml:space="preserve">, </w:t>
      </w:r>
      <w:r w:rsidRPr="00C80C22">
        <w:rPr>
          <w:rStyle w:val="ln2tarticol"/>
          <w:rFonts w:ascii="Arial" w:hAnsi="Arial" w:cs="Arial"/>
          <w:b/>
          <w:sz w:val="28"/>
          <w:szCs w:val="28"/>
          <w:lang w:val="ro-RO"/>
        </w:rPr>
        <w:t xml:space="preserve">Standardele Internaţionale de Raportare Financiară (IFRS) reprezintă standardele adoptate potrivit procedurii prevăzute de </w:t>
      </w:r>
      <w:r w:rsidRPr="00AD4275">
        <w:rPr>
          <w:rStyle w:val="ln2tarticol"/>
          <w:rFonts w:ascii="Arial" w:hAnsi="Arial" w:cs="Arial"/>
          <w:b/>
          <w:i/>
          <w:sz w:val="28"/>
          <w:szCs w:val="28"/>
          <w:lang w:val="ro-RO"/>
        </w:rPr>
        <w:t>Regulamentul (CE) nr. 1.606/2002 al Parlamentului European şi al Consiliului din 19 iulie 2002 privind aplicarea standardelor internaţionale de contabilitate</w:t>
      </w:r>
      <w:r w:rsidRPr="00C80C22">
        <w:rPr>
          <w:rStyle w:val="ln2tarticol"/>
          <w:rFonts w:ascii="Arial" w:hAnsi="Arial" w:cs="Arial"/>
          <w:b/>
          <w:sz w:val="28"/>
          <w:szCs w:val="28"/>
          <w:lang w:val="ro-RO"/>
        </w:rPr>
        <w:t>.</w:t>
      </w:r>
      <w:r>
        <w:rPr>
          <w:rStyle w:val="ln2tarticol"/>
          <w:rFonts w:ascii="Arial" w:hAnsi="Arial" w:cs="Arial"/>
          <w:sz w:val="28"/>
          <w:szCs w:val="28"/>
          <w:lang w:val="ro-RO"/>
        </w:rPr>
        <w:t xml:space="preserve"> </w:t>
      </w:r>
      <w:r>
        <w:rPr>
          <w:rStyle w:val="ln2articol1"/>
          <w:rFonts w:ascii="Arial" w:hAnsi="Arial" w:cs="Arial"/>
          <w:sz w:val="28"/>
          <w:szCs w:val="28"/>
          <w:lang w:val="ro-RO"/>
        </w:rPr>
        <w:tab/>
      </w:r>
    </w:p>
    <w:p w:rsidR="00DE4B88" w:rsidRDefault="00DE4B88">
      <w:pPr>
        <w:ind w:left="-181" w:right="284" w:firstLine="72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FE716E" w:rsidRDefault="00FE716E" w:rsidP="00021B88">
      <w:pPr>
        <w:ind w:left="-181" w:right="284"/>
        <w:jc w:val="both"/>
        <w:rPr>
          <w:rFonts w:ascii="Arial" w:hAnsi="Arial" w:cs="Arial"/>
          <w:bCs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Standardele Internaţionale de Raportare Financiară (IFRS)</w:t>
      </w:r>
      <w:r>
        <w:rPr>
          <w:rFonts w:ascii="Arial" w:hAnsi="Arial" w:cs="Arial"/>
          <w:sz w:val="28"/>
          <w:szCs w:val="28"/>
          <w:lang w:val="ro-RO"/>
        </w:rPr>
        <w:t xml:space="preserve"> sunt </w:t>
      </w:r>
      <w:r w:rsidR="00DE4B88">
        <w:rPr>
          <w:rFonts w:ascii="Arial" w:hAnsi="Arial" w:cs="Arial"/>
          <w:sz w:val="28"/>
          <w:szCs w:val="28"/>
          <w:lang w:val="ro-RO"/>
        </w:rPr>
        <w:t xml:space="preserve">emise </w:t>
      </w:r>
      <w:r>
        <w:rPr>
          <w:rFonts w:ascii="Arial" w:hAnsi="Arial" w:cs="Arial"/>
          <w:sz w:val="28"/>
          <w:szCs w:val="28"/>
          <w:lang w:val="ro-RO"/>
        </w:rPr>
        <w:t>de Consiliul pentru Standarde Internaţionale de Contabilitate (International Accounting Standards Board – IASB</w:t>
      </w:r>
      <w:r w:rsidR="005D2DB7">
        <w:rPr>
          <w:rFonts w:ascii="Arial" w:hAnsi="Arial" w:cs="Arial"/>
          <w:sz w:val="28"/>
          <w:szCs w:val="28"/>
          <w:lang w:val="ro-RO"/>
        </w:rPr>
        <w:t xml:space="preserve">, </w:t>
      </w:r>
      <w:hyperlink r:id="rId8" w:history="1">
        <w:r w:rsidR="005D2DB7" w:rsidRPr="00C34864">
          <w:rPr>
            <w:rStyle w:val="Hyperlink"/>
            <w:rFonts w:ascii="Arial" w:hAnsi="Arial" w:cs="Arial"/>
            <w:sz w:val="28"/>
            <w:szCs w:val="28"/>
            <w:lang w:val="ro-RO"/>
          </w:rPr>
          <w:t>https://www.ifrs.org/</w:t>
        </w:r>
      </w:hyperlink>
      <w:r>
        <w:rPr>
          <w:rFonts w:ascii="Arial" w:hAnsi="Arial" w:cs="Arial"/>
          <w:sz w:val="28"/>
          <w:szCs w:val="28"/>
          <w:lang w:val="ro-RO"/>
        </w:rPr>
        <w:t>).</w:t>
      </w:r>
    </w:p>
    <w:p w:rsidR="00FE716E" w:rsidRDefault="00DE4B88" w:rsidP="00021B88">
      <w:pPr>
        <w:ind w:left="-181" w:right="284"/>
        <w:jc w:val="both"/>
        <w:rPr>
          <w:rFonts w:ascii="Arial" w:hAnsi="Arial" w:cs="Arial"/>
          <w:i/>
          <w:color w:val="000000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</w:t>
      </w:r>
      <w:r w:rsidR="00FE716E">
        <w:rPr>
          <w:rFonts w:ascii="Arial" w:hAnsi="Arial" w:cs="Arial"/>
          <w:sz w:val="28"/>
          <w:szCs w:val="28"/>
          <w:lang w:val="ro-RO"/>
        </w:rPr>
        <w:t xml:space="preserve">entru a fi aplicabile entităţilor din Uniunea Europeană, </w:t>
      </w:r>
      <w:r w:rsidR="00FE716E">
        <w:rPr>
          <w:rFonts w:ascii="Arial" w:hAnsi="Arial" w:cs="Arial"/>
          <w:b/>
          <w:bCs/>
          <w:sz w:val="28"/>
          <w:szCs w:val="28"/>
          <w:lang w:val="ro-RO"/>
        </w:rPr>
        <w:t>standardele de contabilitate</w:t>
      </w:r>
      <w:r w:rsidR="00621BA7">
        <w:rPr>
          <w:rFonts w:ascii="Arial" w:hAnsi="Arial" w:cs="Arial"/>
          <w:b/>
          <w:bCs/>
          <w:sz w:val="28"/>
          <w:szCs w:val="28"/>
          <w:lang w:val="ro-RO"/>
        </w:rPr>
        <w:t xml:space="preserve"> (IFRS)</w:t>
      </w:r>
      <w:r w:rsidR="00FE716E">
        <w:rPr>
          <w:rFonts w:ascii="Arial" w:hAnsi="Arial" w:cs="Arial"/>
          <w:b/>
          <w:bCs/>
          <w:sz w:val="28"/>
          <w:szCs w:val="28"/>
          <w:lang w:val="ro-RO"/>
        </w:rPr>
        <w:t xml:space="preserve"> emise de IASB</w:t>
      </w:r>
      <w:r w:rsidR="00FE716E">
        <w:rPr>
          <w:rFonts w:ascii="Arial" w:hAnsi="Arial" w:cs="Arial"/>
          <w:b/>
          <w:sz w:val="28"/>
          <w:szCs w:val="28"/>
          <w:lang w:val="ro-RO"/>
        </w:rPr>
        <w:t xml:space="preserve"> sunt supuse unei analize la nivelul Uniunii Europene</w:t>
      </w:r>
      <w:r w:rsidR="00FE716E">
        <w:rPr>
          <w:rFonts w:ascii="Arial" w:hAnsi="Arial" w:cs="Arial"/>
          <w:sz w:val="28"/>
          <w:szCs w:val="28"/>
          <w:lang w:val="ro-RO"/>
        </w:rPr>
        <w:t xml:space="preserve">, procesul finalizându-se prin emiterea de </w:t>
      </w:r>
      <w:r w:rsidR="00FE716E">
        <w:rPr>
          <w:rFonts w:ascii="Arial" w:hAnsi="Arial" w:cs="Arial"/>
          <w:i/>
          <w:sz w:val="28"/>
          <w:szCs w:val="28"/>
          <w:lang w:val="ro-RO"/>
        </w:rPr>
        <w:t xml:space="preserve">regulamente </w:t>
      </w:r>
      <w:r w:rsidR="00AD4275">
        <w:rPr>
          <w:rFonts w:ascii="Arial" w:hAnsi="Arial" w:cs="Arial"/>
          <w:i/>
          <w:sz w:val="28"/>
          <w:szCs w:val="28"/>
          <w:lang w:val="ro-RO"/>
        </w:rPr>
        <w:t>europene</w:t>
      </w:r>
      <w:r w:rsidR="00FE716E">
        <w:rPr>
          <w:rFonts w:ascii="Arial" w:hAnsi="Arial" w:cs="Arial"/>
          <w:i/>
          <w:sz w:val="28"/>
          <w:szCs w:val="28"/>
          <w:lang w:val="ro-RO"/>
        </w:rPr>
        <w:t xml:space="preserve"> de adoptare a standardelor</w:t>
      </w:r>
      <w:r w:rsidR="00FE716E">
        <w:rPr>
          <w:rFonts w:ascii="Arial" w:hAnsi="Arial" w:cs="Arial"/>
          <w:sz w:val="28"/>
          <w:szCs w:val="28"/>
          <w:lang w:val="ro-RO"/>
        </w:rPr>
        <w:t>.</w:t>
      </w:r>
    </w:p>
    <w:p w:rsidR="00FE716E" w:rsidRDefault="00FE716E">
      <w:pPr>
        <w:ind w:left="-181" w:right="284" w:firstLine="720"/>
        <w:jc w:val="both"/>
        <w:rPr>
          <w:rFonts w:ascii="Arial" w:hAnsi="Arial" w:cs="Arial"/>
          <w:i/>
          <w:color w:val="000000"/>
          <w:sz w:val="28"/>
          <w:szCs w:val="28"/>
          <w:lang w:val="ro-RO"/>
        </w:rPr>
      </w:pPr>
    </w:p>
    <w:p w:rsidR="00FE716E" w:rsidRPr="00B5137D" w:rsidRDefault="00FE716E" w:rsidP="00021B88">
      <w:pPr>
        <w:ind w:left="-181" w:right="284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i/>
          <w:color w:val="000000"/>
          <w:sz w:val="28"/>
          <w:szCs w:val="28"/>
          <w:lang w:val="ro-RO"/>
        </w:rPr>
        <w:lastRenderedPageBreak/>
        <w:t>Regulamentul (CE) nr. 1606/</w:t>
      </w:r>
      <w:r w:rsidRPr="00863CC9">
        <w:rPr>
          <w:rFonts w:ascii="Arial" w:hAnsi="Arial" w:cs="Arial"/>
          <w:i/>
          <w:color w:val="000000"/>
          <w:sz w:val="28"/>
          <w:szCs w:val="28"/>
          <w:lang w:val="ro-RO"/>
        </w:rPr>
        <w:t>2002</w:t>
      </w:r>
      <w:r w:rsidRPr="00863CC9">
        <w:rPr>
          <w:rFonts w:ascii="Arial" w:hAnsi="Arial" w:cs="Arial"/>
          <w:i/>
          <w:sz w:val="28"/>
          <w:szCs w:val="28"/>
          <w:lang w:val="ro-RO"/>
        </w:rPr>
        <w:t xml:space="preserve"> </w:t>
      </w:r>
      <w:r w:rsidR="00621BA7" w:rsidRPr="00863CC9">
        <w:rPr>
          <w:rStyle w:val="ln2tarticol"/>
          <w:rFonts w:ascii="Arial" w:hAnsi="Arial" w:cs="Arial"/>
          <w:i/>
          <w:sz w:val="28"/>
          <w:szCs w:val="28"/>
          <w:lang w:val="ro-RO"/>
        </w:rPr>
        <w:t>al Parlamentului European şi al Consiliului din 19 iulie 2002 privind aplicarea standardelor internaţionale de contabilitate</w:t>
      </w:r>
      <w:r w:rsidR="00621BA7" w:rsidRPr="00863CC9">
        <w:rPr>
          <w:rFonts w:ascii="Arial" w:hAnsi="Arial" w:cs="Arial"/>
          <w:i/>
          <w:sz w:val="28"/>
          <w:szCs w:val="28"/>
          <w:lang w:val="ro-RO"/>
        </w:rPr>
        <w:t xml:space="preserve"> </w:t>
      </w:r>
      <w:r w:rsidR="00621BA7" w:rsidRPr="00B5137D">
        <w:rPr>
          <w:rFonts w:ascii="Arial" w:hAnsi="Arial" w:cs="Arial"/>
          <w:sz w:val="28"/>
          <w:szCs w:val="28"/>
          <w:lang w:val="ro-RO"/>
        </w:rPr>
        <w:t>reprezintă cadrul legal european în baza căruia standardele IFRS sunt</w:t>
      </w:r>
      <w:r w:rsidRPr="00B5137D">
        <w:rPr>
          <w:rFonts w:ascii="Arial" w:hAnsi="Arial" w:cs="Arial"/>
          <w:sz w:val="28"/>
          <w:szCs w:val="28"/>
          <w:lang w:val="ro-RO"/>
        </w:rPr>
        <w:t xml:space="preserve"> adopta</w:t>
      </w:r>
      <w:r w:rsidR="00621BA7" w:rsidRPr="00B5137D">
        <w:rPr>
          <w:rFonts w:ascii="Arial" w:hAnsi="Arial" w:cs="Arial"/>
          <w:sz w:val="28"/>
          <w:szCs w:val="28"/>
          <w:lang w:val="ro-RO"/>
        </w:rPr>
        <w:t>te</w:t>
      </w:r>
      <w:r w:rsidR="00863CC9" w:rsidRPr="00B5137D">
        <w:rPr>
          <w:rFonts w:ascii="Arial" w:hAnsi="Arial" w:cs="Arial"/>
          <w:sz w:val="28"/>
          <w:szCs w:val="28"/>
          <w:lang w:val="ro-RO"/>
        </w:rPr>
        <w:t xml:space="preserve"> </w:t>
      </w:r>
      <w:r w:rsidRPr="00B5137D">
        <w:rPr>
          <w:rFonts w:ascii="Arial" w:hAnsi="Arial" w:cs="Arial"/>
          <w:sz w:val="28"/>
          <w:szCs w:val="28"/>
          <w:lang w:val="ro-RO"/>
        </w:rPr>
        <w:t>şi utiliza</w:t>
      </w:r>
      <w:r w:rsidR="00621BA7" w:rsidRPr="00B5137D">
        <w:rPr>
          <w:rFonts w:ascii="Arial" w:hAnsi="Arial" w:cs="Arial"/>
          <w:sz w:val="28"/>
          <w:szCs w:val="28"/>
          <w:lang w:val="ro-RO"/>
        </w:rPr>
        <w:t>te</w:t>
      </w:r>
      <w:r w:rsidRPr="00B5137D">
        <w:rPr>
          <w:rFonts w:ascii="Arial" w:hAnsi="Arial" w:cs="Arial"/>
          <w:sz w:val="28"/>
          <w:szCs w:val="28"/>
          <w:lang w:val="ro-RO"/>
        </w:rPr>
        <w:t xml:space="preserve"> în cadrul </w:t>
      </w:r>
      <w:r w:rsidR="00621BA7" w:rsidRPr="00B5137D">
        <w:rPr>
          <w:rFonts w:ascii="Arial" w:hAnsi="Arial" w:cs="Arial"/>
          <w:sz w:val="28"/>
          <w:szCs w:val="28"/>
          <w:lang w:val="ro-RO"/>
        </w:rPr>
        <w:t xml:space="preserve">Uniunii </w:t>
      </w:r>
      <w:r w:rsidRPr="00B5137D">
        <w:rPr>
          <w:rFonts w:ascii="Arial" w:hAnsi="Arial" w:cs="Arial"/>
          <w:sz w:val="28"/>
          <w:szCs w:val="28"/>
          <w:lang w:val="ro-RO"/>
        </w:rPr>
        <w:t>Europene</w:t>
      </w:r>
      <w:r w:rsidR="00621BA7" w:rsidRPr="00B5137D">
        <w:rPr>
          <w:rFonts w:ascii="Arial" w:hAnsi="Arial" w:cs="Arial"/>
          <w:sz w:val="28"/>
          <w:szCs w:val="28"/>
          <w:lang w:val="ro-RO"/>
        </w:rPr>
        <w:t xml:space="preserve">. </w:t>
      </w:r>
      <w:r w:rsidRPr="00B5137D">
        <w:rPr>
          <w:rFonts w:ascii="Arial" w:hAnsi="Arial" w:cs="Arial"/>
          <w:sz w:val="28"/>
          <w:szCs w:val="28"/>
          <w:lang w:val="ro-RO"/>
        </w:rPr>
        <w:t xml:space="preserve">Conform definiţiei cuprinse în Regulamentul (CE) nr. 1606/2002, </w:t>
      </w:r>
      <w:r w:rsidRPr="007F44B7">
        <w:rPr>
          <w:rFonts w:ascii="Arial" w:hAnsi="Arial" w:cs="Arial"/>
          <w:b/>
          <w:sz w:val="28"/>
          <w:szCs w:val="28"/>
          <w:lang w:val="ro-RO"/>
        </w:rPr>
        <w:t xml:space="preserve">standardele internaţionale de contabilitate înseamnă </w:t>
      </w:r>
      <w:r w:rsidRPr="00B5137D">
        <w:rPr>
          <w:rFonts w:ascii="Arial" w:hAnsi="Arial" w:cs="Arial"/>
          <w:sz w:val="28"/>
          <w:szCs w:val="28"/>
          <w:lang w:val="ro-RO"/>
        </w:rPr>
        <w:t>Standardele Internaţionale de Contabilitate (IAS), Standardele Internaţionale de Raportare Financiară (IFRS) şi Interpretările corespunzătoare (Interpretările SIC-IFRIC), amendamentele ulterioare aduse standardelor respective şi interpretărilor aferente, standardele viitoare şi interpretările aferente emise sau adoptate de către Consiliul  Standardelor Internaţionale de Contabilitate (IASB).</w:t>
      </w:r>
    </w:p>
    <w:p w:rsidR="00FE716E" w:rsidRPr="00B5137D" w:rsidRDefault="00FE716E" w:rsidP="00021B88">
      <w:pPr>
        <w:ind w:left="-181" w:right="284"/>
        <w:jc w:val="both"/>
        <w:rPr>
          <w:rFonts w:ascii="Arial" w:hAnsi="Arial" w:cs="Arial"/>
          <w:sz w:val="28"/>
          <w:szCs w:val="28"/>
          <w:lang w:val="ro-RO"/>
        </w:rPr>
      </w:pPr>
      <w:r w:rsidRPr="00B5137D">
        <w:rPr>
          <w:rFonts w:ascii="Arial" w:hAnsi="Arial" w:cs="Arial"/>
          <w:sz w:val="28"/>
          <w:szCs w:val="28"/>
          <w:lang w:val="ro-RO"/>
        </w:rPr>
        <w:t>Comisia Europeană decide asupra aplicabilităţii standardelor internaţionale de contabilitate</w:t>
      </w:r>
      <w:r w:rsidR="00D93B72">
        <w:rPr>
          <w:rFonts w:ascii="Arial" w:hAnsi="Arial" w:cs="Arial"/>
          <w:sz w:val="28"/>
          <w:szCs w:val="28"/>
          <w:lang w:val="ro-RO"/>
        </w:rPr>
        <w:t xml:space="preserve"> de către companiile europene</w:t>
      </w:r>
      <w:r w:rsidRPr="00B5137D">
        <w:rPr>
          <w:rFonts w:ascii="Arial" w:hAnsi="Arial" w:cs="Arial"/>
          <w:sz w:val="28"/>
          <w:szCs w:val="28"/>
          <w:lang w:val="ro-RO"/>
        </w:rPr>
        <w:t>, cu respectarea procedurilor, principiilor şi criteriilor de la nivelul Comisiei.</w:t>
      </w:r>
    </w:p>
    <w:p w:rsidR="00FE716E" w:rsidRDefault="00FE716E">
      <w:pPr>
        <w:ind w:left="-181" w:right="284" w:firstLine="720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FE716E" w:rsidRDefault="00FE716E" w:rsidP="00021B88">
      <w:pPr>
        <w:ind w:left="-181" w:right="284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Toate regulamentele europene de adoptare a standardelor internaţionale de contabilitate </w:t>
      </w:r>
      <w:r w:rsidR="00621BA7">
        <w:rPr>
          <w:rFonts w:ascii="Arial" w:hAnsi="Arial" w:cs="Arial"/>
          <w:sz w:val="28"/>
          <w:szCs w:val="28"/>
          <w:lang w:val="ro-RO"/>
        </w:rPr>
        <w:t xml:space="preserve">publicate </w:t>
      </w:r>
      <w:r>
        <w:rPr>
          <w:rFonts w:ascii="Arial" w:hAnsi="Arial" w:cs="Arial"/>
          <w:sz w:val="28"/>
          <w:szCs w:val="28"/>
          <w:lang w:val="ro-RO"/>
        </w:rPr>
        <w:t xml:space="preserve">de IASB sunt </w:t>
      </w:r>
      <w:r w:rsidR="002A5CAC">
        <w:rPr>
          <w:rFonts w:ascii="Arial" w:hAnsi="Arial" w:cs="Arial"/>
          <w:sz w:val="28"/>
          <w:szCs w:val="28"/>
          <w:lang w:val="ro-RO"/>
        </w:rPr>
        <w:t>a</w:t>
      </w:r>
      <w:r w:rsidR="00863CC9">
        <w:rPr>
          <w:rFonts w:ascii="Arial" w:hAnsi="Arial" w:cs="Arial"/>
          <w:sz w:val="28"/>
          <w:szCs w:val="28"/>
          <w:lang w:val="ro-RO"/>
        </w:rPr>
        <w:t>probate</w:t>
      </w:r>
      <w:r>
        <w:rPr>
          <w:rFonts w:ascii="Arial" w:hAnsi="Arial" w:cs="Arial"/>
          <w:sz w:val="28"/>
          <w:szCs w:val="28"/>
          <w:lang w:val="ro-RO"/>
        </w:rPr>
        <w:t xml:space="preserve"> în baza </w:t>
      </w:r>
      <w:r>
        <w:rPr>
          <w:rFonts w:ascii="Arial" w:hAnsi="Arial" w:cs="Arial"/>
          <w:i/>
          <w:sz w:val="28"/>
          <w:szCs w:val="28"/>
          <w:lang w:val="ro-RO"/>
        </w:rPr>
        <w:t>Regulamentului (CE) nr. 1606/2002</w:t>
      </w:r>
      <w:r>
        <w:rPr>
          <w:rFonts w:ascii="Arial" w:hAnsi="Arial" w:cs="Arial"/>
          <w:sz w:val="28"/>
          <w:szCs w:val="28"/>
          <w:lang w:val="ro-RO"/>
        </w:rPr>
        <w:t>.</w:t>
      </w:r>
    </w:p>
    <w:p w:rsidR="001C122D" w:rsidRPr="00E3579C" w:rsidRDefault="00BA7F83" w:rsidP="001C122D">
      <w:pPr>
        <w:pStyle w:val="oj-doc-ti"/>
        <w:shd w:val="clear" w:color="auto" w:fill="FFFFFF"/>
        <w:spacing w:before="240" w:beforeAutospacing="0" w:after="120" w:afterAutospacing="0" w:line="312" w:lineRule="atLeast"/>
        <w:ind w:left="-142" w:right="282"/>
        <w:jc w:val="both"/>
        <w:rPr>
          <w:b/>
          <w:bCs/>
          <w:color w:val="333333"/>
          <w:sz w:val="27"/>
          <w:szCs w:val="27"/>
        </w:rPr>
      </w:pPr>
      <w:r w:rsidRPr="00C4714F">
        <w:rPr>
          <w:rFonts w:ascii="Arial" w:hAnsi="Arial" w:cs="Arial"/>
          <w:sz w:val="28"/>
          <w:szCs w:val="28"/>
          <w:lang w:val="ro-RO"/>
        </w:rPr>
        <w:t xml:space="preserve">Actul normativ european </w:t>
      </w:r>
      <w:r w:rsidRPr="008A1C8A">
        <w:rPr>
          <w:rFonts w:ascii="Arial" w:hAnsi="Arial" w:cs="Arial"/>
          <w:b/>
          <w:sz w:val="28"/>
          <w:szCs w:val="28"/>
          <w:lang w:val="ro-RO"/>
        </w:rPr>
        <w:t>în vigoare</w:t>
      </w:r>
      <w:r w:rsidRPr="00C4714F">
        <w:rPr>
          <w:rFonts w:ascii="Arial" w:hAnsi="Arial" w:cs="Arial"/>
          <w:sz w:val="28"/>
          <w:szCs w:val="28"/>
          <w:lang w:val="ro-RO"/>
        </w:rPr>
        <w:t xml:space="preserve"> emis în temeiul Regulamentului (CE) nr. 1.606/2002, care cuprinde toate standardele și amendamentele aduse acestora este </w:t>
      </w:r>
      <w:r w:rsidR="001C122D" w:rsidRPr="00E3579C">
        <w:rPr>
          <w:rFonts w:ascii="Arial" w:hAnsi="Arial" w:cs="Arial"/>
          <w:b/>
          <w:sz w:val="28"/>
          <w:szCs w:val="28"/>
          <w:lang w:val="ro-RO"/>
        </w:rPr>
        <w:t>Regulamentul (UE) 2023/1803</w:t>
      </w:r>
      <w:r w:rsidR="00736CC5" w:rsidRPr="00E3579C">
        <w:rPr>
          <w:rStyle w:val="FootnoteReference"/>
          <w:rFonts w:ascii="Arial" w:hAnsi="Arial" w:cs="Arial"/>
          <w:b/>
          <w:sz w:val="28"/>
          <w:szCs w:val="28"/>
          <w:lang w:val="ro-RO"/>
        </w:rPr>
        <w:footnoteReference w:id="1"/>
      </w:r>
      <w:r w:rsidR="001C122D" w:rsidRPr="00E3579C">
        <w:rPr>
          <w:rFonts w:ascii="Arial" w:hAnsi="Arial" w:cs="Arial"/>
          <w:b/>
          <w:sz w:val="28"/>
          <w:szCs w:val="28"/>
          <w:lang w:val="ro-RO"/>
        </w:rPr>
        <w:t> al Comisiei din 13 august 2023 de adoptare a anumitor standarde internaționale de contabilitate în conformitate cu Regulamentul (CE) nr. 1606/2002 al Parlamentului European și al Consiliului.</w:t>
      </w:r>
      <w:r w:rsidR="001C122D" w:rsidRPr="00E3579C">
        <w:rPr>
          <w:b/>
          <w:bCs/>
          <w:color w:val="333333"/>
          <w:sz w:val="27"/>
          <w:szCs w:val="27"/>
        </w:rPr>
        <w:t xml:space="preserve"> </w:t>
      </w:r>
    </w:p>
    <w:p w:rsidR="00881919" w:rsidRPr="00C4714F" w:rsidRDefault="001C122D" w:rsidP="00021B88">
      <w:pPr>
        <w:ind w:left="-181" w:right="284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</w:t>
      </w:r>
      <w:r w:rsidR="00BA7F83" w:rsidRPr="00C4714F">
        <w:rPr>
          <w:rFonts w:ascii="Arial" w:hAnsi="Arial" w:cs="Arial"/>
          <w:sz w:val="28"/>
          <w:szCs w:val="28"/>
          <w:lang w:val="ro-RO"/>
        </w:rPr>
        <w:t>e măsură ce IASB  publică noi standarde, în mod corespunzător, Comisia Europeană emite regulamente prin care se adoptă noile standarde sau amendamente ale acestora, pen</w:t>
      </w:r>
      <w:r w:rsidR="00E46C37" w:rsidRPr="00C4714F">
        <w:rPr>
          <w:rFonts w:ascii="Arial" w:hAnsi="Arial" w:cs="Arial"/>
          <w:sz w:val="28"/>
          <w:szCs w:val="28"/>
          <w:lang w:val="ro-RO"/>
        </w:rPr>
        <w:t xml:space="preserve">tru uzul entităţilor europene. </w:t>
      </w:r>
    </w:p>
    <w:p w:rsidR="00E46C37" w:rsidRPr="00C4714F" w:rsidRDefault="00E46C37" w:rsidP="00021B88">
      <w:pPr>
        <w:ind w:left="-181" w:right="284"/>
        <w:jc w:val="both"/>
        <w:rPr>
          <w:rFonts w:ascii="Arial" w:hAnsi="Arial" w:cs="Arial"/>
          <w:i/>
          <w:sz w:val="28"/>
          <w:szCs w:val="28"/>
          <w:lang w:val="ro-RO"/>
        </w:rPr>
      </w:pPr>
      <w:r w:rsidRPr="00C4714F">
        <w:rPr>
          <w:rFonts w:ascii="Arial" w:hAnsi="Arial" w:cs="Arial"/>
          <w:sz w:val="28"/>
          <w:szCs w:val="28"/>
          <w:lang w:val="ro-RO"/>
        </w:rPr>
        <w:t xml:space="preserve">Periodic, Comisia Europeană </w:t>
      </w:r>
      <w:r w:rsidR="00583DF5" w:rsidRPr="00C4714F">
        <w:rPr>
          <w:rFonts w:ascii="Arial" w:hAnsi="Arial" w:cs="Arial"/>
          <w:sz w:val="28"/>
          <w:szCs w:val="28"/>
          <w:lang w:val="ro-RO"/>
        </w:rPr>
        <w:t xml:space="preserve">publică o </w:t>
      </w:r>
      <w:r w:rsidR="00583DF5" w:rsidRPr="00C4714F">
        <w:rPr>
          <w:rFonts w:ascii="Arial" w:hAnsi="Arial" w:cs="Arial"/>
          <w:i/>
          <w:sz w:val="28"/>
          <w:szCs w:val="28"/>
          <w:lang w:val="ro-RO"/>
        </w:rPr>
        <w:t>versiune consolidată</w:t>
      </w:r>
      <w:r w:rsidR="005F0EAE">
        <w:rPr>
          <w:rFonts w:ascii="Arial" w:hAnsi="Arial" w:cs="Arial"/>
          <w:sz w:val="28"/>
          <w:szCs w:val="28"/>
          <w:lang w:val="ro-RO"/>
        </w:rPr>
        <w:t xml:space="preserve"> a Regulamentului (CE) nr. 2023</w:t>
      </w:r>
      <w:r w:rsidR="00583DF5" w:rsidRPr="00C4714F">
        <w:rPr>
          <w:rFonts w:ascii="Arial" w:hAnsi="Arial" w:cs="Arial"/>
          <w:sz w:val="28"/>
          <w:szCs w:val="28"/>
          <w:lang w:val="ro-RO"/>
        </w:rPr>
        <w:t>/</w:t>
      </w:r>
      <w:r w:rsidR="00E3579C">
        <w:rPr>
          <w:rFonts w:ascii="Arial" w:hAnsi="Arial" w:cs="Arial"/>
          <w:sz w:val="28"/>
          <w:szCs w:val="28"/>
          <w:lang w:val="ro-RO"/>
        </w:rPr>
        <w:t>1803</w:t>
      </w:r>
      <w:r w:rsidR="00583DF5" w:rsidRPr="00C4714F">
        <w:rPr>
          <w:rFonts w:ascii="Arial" w:hAnsi="Arial" w:cs="Arial"/>
          <w:sz w:val="28"/>
          <w:szCs w:val="28"/>
          <w:lang w:val="ro-RO"/>
        </w:rPr>
        <w:t xml:space="preserve"> care include standardele adoptate în UE, la zi. </w:t>
      </w:r>
      <w:r w:rsidR="00694473" w:rsidRPr="00C4714F">
        <w:rPr>
          <w:rFonts w:ascii="Arial" w:hAnsi="Arial" w:cs="Arial"/>
          <w:i/>
          <w:sz w:val="28"/>
          <w:szCs w:val="28"/>
          <w:lang w:val="ro-RO"/>
        </w:rPr>
        <w:t>Această</w:t>
      </w:r>
      <w:r w:rsidR="00583DF5" w:rsidRPr="00C4714F">
        <w:rPr>
          <w:rFonts w:ascii="Arial" w:hAnsi="Arial" w:cs="Arial"/>
          <w:i/>
          <w:sz w:val="28"/>
          <w:szCs w:val="28"/>
          <w:lang w:val="ro-RO"/>
        </w:rPr>
        <w:t xml:space="preserve"> versiune consolidată nu are caracter oficial, însă reprezintă un instrument util pentru ent</w:t>
      </w:r>
      <w:r w:rsidR="000502A5" w:rsidRPr="00C4714F">
        <w:rPr>
          <w:rFonts w:ascii="Arial" w:hAnsi="Arial" w:cs="Arial"/>
          <w:i/>
          <w:sz w:val="28"/>
          <w:szCs w:val="28"/>
          <w:lang w:val="ro-RO"/>
        </w:rPr>
        <w:t>i</w:t>
      </w:r>
      <w:r w:rsidR="00583DF5" w:rsidRPr="00C4714F">
        <w:rPr>
          <w:rFonts w:ascii="Arial" w:hAnsi="Arial" w:cs="Arial"/>
          <w:i/>
          <w:sz w:val="28"/>
          <w:szCs w:val="28"/>
          <w:lang w:val="ro-RO"/>
        </w:rPr>
        <w:t>tățile care aplică IFRS.</w:t>
      </w:r>
    </w:p>
    <w:p w:rsidR="00021B88" w:rsidRDefault="00583DF5" w:rsidP="00021B88">
      <w:pPr>
        <w:ind w:left="-181" w:right="284"/>
        <w:jc w:val="both"/>
        <w:rPr>
          <w:rFonts w:ascii="Arial" w:hAnsi="Arial" w:cs="Arial"/>
          <w:color w:val="0070C0"/>
          <w:sz w:val="22"/>
          <w:szCs w:val="22"/>
          <w:lang w:val="ro-RO"/>
        </w:rPr>
      </w:pPr>
      <w:r w:rsidRPr="00C4714F">
        <w:rPr>
          <w:rFonts w:ascii="Arial" w:hAnsi="Arial" w:cs="Arial"/>
          <w:sz w:val="28"/>
          <w:szCs w:val="28"/>
          <w:lang w:val="ro-RO"/>
        </w:rPr>
        <w:t>Atât versiunea consolidată a Regu</w:t>
      </w:r>
      <w:r w:rsidR="001C122D">
        <w:rPr>
          <w:rFonts w:ascii="Arial" w:hAnsi="Arial" w:cs="Arial"/>
          <w:sz w:val="28"/>
          <w:szCs w:val="28"/>
          <w:lang w:val="ro-RO"/>
        </w:rPr>
        <w:t>lamentului (CE) 2023/1803</w:t>
      </w:r>
      <w:r w:rsidRPr="00C4714F">
        <w:rPr>
          <w:rFonts w:ascii="Arial" w:hAnsi="Arial" w:cs="Arial"/>
          <w:sz w:val="28"/>
          <w:szCs w:val="28"/>
          <w:lang w:val="ro-RO"/>
        </w:rPr>
        <w:t xml:space="preserve">, cât și alte </w:t>
      </w:r>
      <w:r w:rsidR="00694473" w:rsidRPr="00C4714F">
        <w:rPr>
          <w:rFonts w:ascii="Arial" w:hAnsi="Arial" w:cs="Arial"/>
          <w:sz w:val="28"/>
          <w:szCs w:val="28"/>
          <w:lang w:val="ro-RO"/>
        </w:rPr>
        <w:t>i</w:t>
      </w:r>
      <w:r w:rsidRPr="00C4714F">
        <w:rPr>
          <w:rFonts w:ascii="Arial" w:hAnsi="Arial" w:cs="Arial"/>
          <w:sz w:val="28"/>
          <w:szCs w:val="28"/>
          <w:lang w:val="ro-RO"/>
        </w:rPr>
        <w:t xml:space="preserve">nformații cu privire la aplicarea IFRS în UE se regăsesc pe site-ul Comisiei Europene, la secțiunea </w:t>
      </w:r>
      <w:r w:rsidRPr="00C4714F">
        <w:rPr>
          <w:rFonts w:ascii="Arial" w:hAnsi="Arial" w:cs="Arial"/>
          <w:i/>
          <w:sz w:val="28"/>
          <w:szCs w:val="28"/>
          <w:lang w:val="ro-RO"/>
        </w:rPr>
        <w:t>Company Reporting</w:t>
      </w:r>
      <w:r w:rsidRPr="00C4714F">
        <w:rPr>
          <w:rFonts w:ascii="Arial" w:hAnsi="Arial" w:cs="Arial"/>
          <w:sz w:val="28"/>
          <w:szCs w:val="28"/>
          <w:lang w:val="ro-RO"/>
        </w:rPr>
        <w:t xml:space="preserve"> </w:t>
      </w:r>
      <w:r w:rsidRPr="00C4714F">
        <w:rPr>
          <w:rFonts w:ascii="Arial" w:hAnsi="Arial" w:cs="Arial"/>
          <w:color w:val="0070C0"/>
          <w:sz w:val="22"/>
          <w:szCs w:val="22"/>
          <w:lang w:val="ro-RO"/>
        </w:rPr>
        <w:t>(</w:t>
      </w:r>
      <w:hyperlink r:id="rId9" w:history="1">
        <w:r w:rsidR="00C67B63" w:rsidRPr="00C4714F">
          <w:rPr>
            <w:rStyle w:val="Hyperlink"/>
            <w:rFonts w:ascii="Arial" w:hAnsi="Arial" w:cs="Arial"/>
            <w:sz w:val="20"/>
            <w:szCs w:val="20"/>
          </w:rPr>
          <w:t>http://ec.europa.eu/finance/company-reporting/index_en.htm</w:t>
        </w:r>
      </w:hyperlink>
      <w:r w:rsidRPr="00C4714F">
        <w:rPr>
          <w:rFonts w:ascii="Arial" w:hAnsi="Arial" w:cs="Arial"/>
          <w:color w:val="0070C0"/>
          <w:sz w:val="22"/>
          <w:szCs w:val="22"/>
          <w:lang w:val="ro-RO"/>
        </w:rPr>
        <w:t>).</w:t>
      </w:r>
    </w:p>
    <w:p w:rsidR="00933840" w:rsidRDefault="00933840">
      <w:pPr>
        <w:ind w:left="-181" w:right="284" w:firstLine="720"/>
        <w:jc w:val="both"/>
        <w:rPr>
          <w:rFonts w:ascii="Arial" w:hAnsi="Arial" w:cs="Arial"/>
          <w:sz w:val="28"/>
          <w:szCs w:val="28"/>
          <w:lang w:val="ro-RO"/>
        </w:rPr>
      </w:pPr>
    </w:p>
    <w:p w:rsidR="000358C8" w:rsidRDefault="00FE716E" w:rsidP="00BD2B69">
      <w:pPr>
        <w:ind w:left="-142"/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lastRenderedPageBreak/>
        <w:t xml:space="preserve">În </w:t>
      </w:r>
      <w:r w:rsidR="00E35FFC">
        <w:rPr>
          <w:rFonts w:ascii="Arial" w:hAnsi="Arial" w:cs="Arial"/>
          <w:b/>
          <w:sz w:val="28"/>
          <w:szCs w:val="28"/>
          <w:lang w:val="ro-RO"/>
        </w:rPr>
        <w:t>Anexa</w:t>
      </w:r>
      <w:r w:rsidRPr="00674FFA">
        <w:rPr>
          <w:rFonts w:ascii="Arial" w:hAnsi="Arial" w:cs="Arial"/>
          <w:b/>
          <w:sz w:val="28"/>
          <w:szCs w:val="28"/>
          <w:lang w:val="ro-RO"/>
        </w:rPr>
        <w:t xml:space="preserve"> 1</w:t>
      </w:r>
      <w:r>
        <w:rPr>
          <w:rFonts w:ascii="Arial" w:hAnsi="Arial" w:cs="Arial"/>
          <w:sz w:val="28"/>
          <w:szCs w:val="28"/>
          <w:lang w:val="ro-RO"/>
        </w:rPr>
        <w:t xml:space="preserve"> este prezentată o </w:t>
      </w:r>
      <w:r w:rsidR="006A5DCC">
        <w:rPr>
          <w:rFonts w:ascii="Arial" w:hAnsi="Arial" w:cs="Arial"/>
          <w:sz w:val="28"/>
          <w:szCs w:val="28"/>
          <w:lang w:val="ro-RO"/>
        </w:rPr>
        <w:t xml:space="preserve">listă, în ordine cronologică, </w:t>
      </w:r>
      <w:r w:rsidRPr="00674FFA">
        <w:rPr>
          <w:rFonts w:ascii="Arial" w:hAnsi="Arial" w:cs="Arial"/>
          <w:sz w:val="28"/>
          <w:szCs w:val="28"/>
          <w:lang w:val="ro-RO"/>
        </w:rPr>
        <w:t xml:space="preserve">a regulamentelor </w:t>
      </w:r>
      <w:r w:rsidR="00F2474F" w:rsidRPr="00674FFA">
        <w:rPr>
          <w:rFonts w:ascii="Arial" w:hAnsi="Arial" w:cs="Arial"/>
          <w:sz w:val="28"/>
          <w:szCs w:val="28"/>
          <w:lang w:val="ro-RO"/>
        </w:rPr>
        <w:t xml:space="preserve">europene prin care au fost aprobate </w:t>
      </w:r>
      <w:r w:rsidR="00BB38C1" w:rsidRPr="00BB38C1">
        <w:rPr>
          <w:rFonts w:ascii="Arial" w:hAnsi="Arial" w:cs="Arial"/>
          <w:b/>
          <w:sz w:val="28"/>
          <w:szCs w:val="28"/>
          <w:lang w:val="ro-RO"/>
        </w:rPr>
        <w:t>amendamente ulterioare la</w:t>
      </w:r>
      <w:r w:rsidR="00BB38C1">
        <w:rPr>
          <w:rFonts w:ascii="Arial" w:hAnsi="Arial" w:cs="Arial"/>
          <w:sz w:val="28"/>
          <w:szCs w:val="28"/>
          <w:lang w:val="ro-RO"/>
        </w:rPr>
        <w:t xml:space="preserve"> </w:t>
      </w:r>
      <w:r w:rsidR="00BB38C1" w:rsidRPr="00E3579C">
        <w:rPr>
          <w:rFonts w:ascii="Arial" w:hAnsi="Arial" w:cs="Arial"/>
          <w:b/>
          <w:sz w:val="28"/>
          <w:szCs w:val="28"/>
          <w:lang w:val="ro-RO"/>
        </w:rPr>
        <w:t>Regulamentul (UE) 2023/1803</w:t>
      </w:r>
      <w:r w:rsidR="0055098E" w:rsidRPr="00674FFA">
        <w:rPr>
          <w:rFonts w:ascii="Arial" w:hAnsi="Arial" w:cs="Arial"/>
          <w:sz w:val="28"/>
          <w:szCs w:val="28"/>
          <w:lang w:val="ro-RO"/>
        </w:rPr>
        <w:t>.</w:t>
      </w:r>
      <w:r w:rsidR="00F2474F">
        <w:rPr>
          <w:rFonts w:ascii="Arial" w:hAnsi="Arial" w:cs="Arial"/>
          <w:b/>
          <w:sz w:val="28"/>
          <w:szCs w:val="28"/>
          <w:lang w:val="ro-RO"/>
        </w:rPr>
        <w:t xml:space="preserve"> </w:t>
      </w:r>
    </w:p>
    <w:p w:rsidR="00A5732B" w:rsidRPr="00674FFA" w:rsidRDefault="00A5732B" w:rsidP="00BD2B69">
      <w:pPr>
        <w:ind w:left="-142" w:firstLine="720"/>
        <w:jc w:val="both"/>
      </w:pPr>
      <w:bookmarkStart w:id="0" w:name="_GoBack"/>
      <w:bookmarkEnd w:id="0"/>
    </w:p>
    <w:p w:rsidR="00FE716E" w:rsidRPr="002D48F6" w:rsidRDefault="00FE716E" w:rsidP="00BD2B69">
      <w:pPr>
        <w:ind w:left="-142" w:firstLine="72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FE716E" w:rsidRDefault="00FE716E" w:rsidP="00BD2B69">
      <w:pPr>
        <w:ind w:left="-142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2D48F6">
        <w:rPr>
          <w:rFonts w:ascii="Arial" w:hAnsi="Arial" w:cs="Arial"/>
          <w:b/>
          <w:sz w:val="28"/>
          <w:szCs w:val="28"/>
          <w:lang w:val="ro-RO"/>
        </w:rPr>
        <w:t>Lista societăţilor cărora le sunt incidente prevederile OMF</w:t>
      </w:r>
      <w:r w:rsidR="003C15A0">
        <w:rPr>
          <w:rFonts w:ascii="Arial" w:hAnsi="Arial" w:cs="Arial"/>
          <w:b/>
          <w:sz w:val="28"/>
          <w:szCs w:val="28"/>
          <w:lang w:val="ro-RO"/>
        </w:rPr>
        <w:t>P</w:t>
      </w:r>
      <w:r w:rsidRPr="002D48F6">
        <w:rPr>
          <w:rFonts w:ascii="Arial" w:hAnsi="Arial" w:cs="Arial"/>
          <w:b/>
          <w:sz w:val="28"/>
          <w:szCs w:val="28"/>
          <w:lang w:val="ro-RO"/>
        </w:rPr>
        <w:t xml:space="preserve"> nr. 881/2012 este publicată pe</w:t>
      </w:r>
      <w:r>
        <w:rPr>
          <w:rFonts w:ascii="ArialMT" w:hAnsi="ArialMT" w:cs="ArialMT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o-RO"/>
        </w:rPr>
        <w:t>site</w:t>
      </w:r>
      <w:r>
        <w:rPr>
          <w:rFonts w:ascii="Arial" w:hAnsi="Arial" w:cs="Arial"/>
          <w:b/>
          <w:sz w:val="28"/>
          <w:szCs w:val="28"/>
          <w:lang w:val="ro-RO"/>
        </w:rPr>
        <w:t>-ul Autorităţii de Supraveghere Financiară (</w:t>
      </w:r>
      <w:r w:rsidR="00BD2B69">
        <w:rPr>
          <w:rFonts w:ascii="Arial" w:hAnsi="Arial" w:cs="Arial"/>
          <w:b/>
          <w:sz w:val="28"/>
          <w:szCs w:val="28"/>
          <w:lang w:val="ro-RO"/>
        </w:rPr>
        <w:t>www.asformania.ro</w:t>
      </w:r>
      <w:r>
        <w:rPr>
          <w:rFonts w:ascii="Arial" w:hAnsi="Arial" w:cs="Arial"/>
          <w:b/>
          <w:sz w:val="28"/>
          <w:szCs w:val="28"/>
          <w:lang w:val="ro-RO"/>
        </w:rPr>
        <w:t>) – Sectorul Instrumentelor şi Inv</w:t>
      </w:r>
      <w:r w:rsidR="00BE70E3">
        <w:rPr>
          <w:rFonts w:ascii="Arial" w:hAnsi="Arial" w:cs="Arial"/>
          <w:b/>
          <w:sz w:val="28"/>
          <w:szCs w:val="28"/>
          <w:lang w:val="ro-RO"/>
        </w:rPr>
        <w:t>estiţiilor Financiare (</w:t>
      </w:r>
      <w:r w:rsidR="007D3AFC" w:rsidRPr="007D3AFC">
        <w:rPr>
          <w:rFonts w:ascii="Arial" w:hAnsi="Arial" w:cs="Arial"/>
          <w:b/>
          <w:i/>
          <w:sz w:val="28"/>
          <w:szCs w:val="28"/>
          <w:lang w:val="ro-RO"/>
        </w:rPr>
        <w:t>secțiunea Supraveghere</w:t>
      </w:r>
      <w:r w:rsidR="00BD2B6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7D3AFC" w:rsidRPr="007D3AFC">
        <w:rPr>
          <w:rFonts w:ascii="Arial" w:hAnsi="Arial" w:cs="Arial"/>
          <w:b/>
          <w:i/>
          <w:sz w:val="28"/>
          <w:szCs w:val="28"/>
          <w:lang w:val="ro-RO"/>
        </w:rPr>
        <w:t>&gt;</w:t>
      </w:r>
      <w:r w:rsidR="00BD2B6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7D3AFC" w:rsidRPr="007D3AFC">
        <w:rPr>
          <w:rFonts w:ascii="Arial" w:hAnsi="Arial" w:cs="Arial"/>
          <w:b/>
          <w:i/>
          <w:sz w:val="28"/>
          <w:szCs w:val="28"/>
          <w:lang w:val="ro-RO"/>
        </w:rPr>
        <w:t>Piața de capital</w:t>
      </w:r>
      <w:r w:rsidR="00BD2B6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7D3AFC" w:rsidRPr="007D3AFC">
        <w:rPr>
          <w:rFonts w:ascii="Arial" w:hAnsi="Arial" w:cs="Arial"/>
          <w:b/>
          <w:i/>
          <w:sz w:val="28"/>
          <w:szCs w:val="28"/>
          <w:lang w:val="ro-RO"/>
        </w:rPr>
        <w:t>&gt;</w:t>
      </w:r>
      <w:r w:rsidR="00BD2B6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7D3AFC" w:rsidRPr="007D3AFC">
        <w:rPr>
          <w:rFonts w:ascii="Arial" w:hAnsi="Arial" w:cs="Arial"/>
          <w:b/>
          <w:i/>
          <w:sz w:val="28"/>
          <w:szCs w:val="28"/>
          <w:lang w:val="ro-RO"/>
        </w:rPr>
        <w:t>Emitenți</w:t>
      </w:r>
      <w:r w:rsidR="00BD2B6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7D3AFC" w:rsidRPr="007D3AFC">
        <w:rPr>
          <w:rFonts w:ascii="Arial" w:hAnsi="Arial" w:cs="Arial"/>
          <w:b/>
          <w:i/>
          <w:sz w:val="28"/>
          <w:szCs w:val="28"/>
          <w:lang w:val="ro-RO"/>
        </w:rPr>
        <w:t>&gt;</w:t>
      </w:r>
      <w:r w:rsidR="00BD2B6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443256">
        <w:rPr>
          <w:rFonts w:ascii="Arial" w:hAnsi="Arial" w:cs="Arial"/>
          <w:b/>
          <w:i/>
          <w:sz w:val="28"/>
          <w:szCs w:val="28"/>
          <w:lang w:val="ro-RO"/>
        </w:rPr>
        <w:t>Transparență</w:t>
      </w:r>
      <w:r w:rsidR="00BD2B6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443256">
        <w:rPr>
          <w:rFonts w:ascii="Arial" w:hAnsi="Arial" w:cs="Arial"/>
          <w:b/>
          <w:i/>
          <w:sz w:val="28"/>
          <w:szCs w:val="28"/>
          <w:lang w:val="ro-RO"/>
        </w:rPr>
        <w:t>&gt;</w:t>
      </w:r>
      <w:r w:rsidR="00BD2B6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7D3AFC" w:rsidRPr="007D3AFC">
        <w:rPr>
          <w:rFonts w:ascii="Arial" w:hAnsi="Arial" w:cs="Arial"/>
          <w:b/>
          <w:i/>
          <w:sz w:val="28"/>
          <w:szCs w:val="28"/>
          <w:lang w:val="ro-RO"/>
        </w:rPr>
        <w:t>Societăți comerciale sub incidența O.M.F. 881/2012</w:t>
      </w:r>
      <w:r w:rsidR="007D3AFC">
        <w:rPr>
          <w:rFonts w:ascii="Arial" w:hAnsi="Arial" w:cs="Arial"/>
          <w:b/>
          <w:sz w:val="28"/>
          <w:szCs w:val="28"/>
          <w:lang w:val="ro-RO"/>
        </w:rPr>
        <w:t>).</w:t>
      </w:r>
      <w:r w:rsidR="006F179D">
        <w:rPr>
          <w:rFonts w:ascii="Arial" w:hAnsi="Arial" w:cs="Arial"/>
          <w:color w:val="000000"/>
          <w:sz w:val="20"/>
          <w:szCs w:val="20"/>
          <w:lang w:val="en-US" w:eastAsia="en-US"/>
        </w:rPr>
        <w:t>.</w:t>
      </w:r>
    </w:p>
    <w:p w:rsidR="00FE716E" w:rsidRDefault="00FE716E">
      <w:pPr>
        <w:jc w:val="both"/>
        <w:rPr>
          <w:rFonts w:ascii="Arial" w:hAnsi="Arial" w:cs="Arial"/>
          <w:b/>
          <w:i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ab/>
      </w:r>
    </w:p>
    <w:p w:rsidR="00FE716E" w:rsidRDefault="00FE716E">
      <w:pPr>
        <w:ind w:firstLine="720"/>
        <w:jc w:val="both"/>
        <w:rPr>
          <w:rFonts w:ascii="Arial" w:hAnsi="Arial" w:cs="Arial"/>
          <w:b/>
          <w:i/>
          <w:sz w:val="28"/>
          <w:szCs w:val="28"/>
          <w:lang w:val="ro-RO"/>
        </w:rPr>
      </w:pPr>
    </w:p>
    <w:sectPr w:rsidR="00FE716E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09" w:rsidRDefault="006B0309">
      <w:r>
        <w:separator/>
      </w:r>
    </w:p>
  </w:endnote>
  <w:endnote w:type="continuationSeparator" w:id="0">
    <w:p w:rsidR="006B0309" w:rsidRDefault="006B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6E" w:rsidRDefault="00116993">
    <w:pPr>
      <w:pStyle w:val="Footer"/>
      <w:ind w:right="360"/>
      <w:jc w:val="right"/>
      <w:rPr>
        <w:lang w:val="ro-RO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6340475</wp:posOffset>
              </wp:positionH>
              <wp:positionV relativeFrom="paragraph">
                <wp:posOffset>635</wp:posOffset>
              </wp:positionV>
              <wp:extent cx="857885" cy="173355"/>
              <wp:effectExtent l="6350" t="8890" r="254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16E" w:rsidRDefault="00FE716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B38C1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9.25pt;margin-top:.05pt;width:67.55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" stroked="f">
              <v:fill opacity="0"/>
              <v:textbox inset="0,0,0,0">
                <w:txbxContent>
                  <w:p w:rsidR="00FE716E" w:rsidRDefault="00FE716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B38C1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09" w:rsidRDefault="006B0309">
      <w:r>
        <w:separator/>
      </w:r>
    </w:p>
  </w:footnote>
  <w:footnote w:type="continuationSeparator" w:id="0">
    <w:p w:rsidR="006B0309" w:rsidRDefault="006B0309">
      <w:r>
        <w:continuationSeparator/>
      </w:r>
    </w:p>
  </w:footnote>
  <w:footnote w:id="1">
    <w:p w:rsidR="00736CC5" w:rsidRPr="008A1C8A" w:rsidRDefault="00736CC5" w:rsidP="00736CC5">
      <w:pPr>
        <w:ind w:left="-181" w:right="284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8A1C8A" w:rsidRPr="008A1C8A">
        <w:rPr>
          <w:rFonts w:ascii="Arial" w:hAnsi="Arial" w:cs="Arial"/>
          <w:sz w:val="20"/>
          <w:szCs w:val="20"/>
          <w:lang w:val="ro-RO"/>
        </w:rPr>
        <w:t xml:space="preserve">Acest act normativ a abrogat </w:t>
      </w:r>
      <w:r w:rsidRPr="008A1C8A">
        <w:rPr>
          <w:rFonts w:ascii="Arial" w:hAnsi="Arial" w:cs="Arial"/>
          <w:i/>
          <w:sz w:val="20"/>
          <w:szCs w:val="20"/>
          <w:lang w:val="ro-RO"/>
        </w:rPr>
        <w:t>Regulamentul (CE) nr. 1126/2008 de adoptare a anumitor standarde internaționale de contabilitate în conformitate cu Regulamentul (CE) nr. 1606/2002 al Parlamentului European și al Consiliului</w:t>
      </w:r>
      <w:r w:rsidRPr="008A1C8A">
        <w:rPr>
          <w:rFonts w:ascii="Arial" w:hAnsi="Arial" w:cs="Arial"/>
          <w:sz w:val="20"/>
          <w:szCs w:val="20"/>
          <w:lang w:val="ro-RO"/>
        </w:rPr>
        <w:t>.</w:t>
      </w:r>
      <w:r w:rsidRPr="008A1C8A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736CC5" w:rsidRDefault="00736CC5" w:rsidP="00736CC5">
      <w:pPr>
        <w:ind w:left="-181" w:right="284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736CC5" w:rsidRPr="00736CC5" w:rsidRDefault="00736CC5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6E" w:rsidRDefault="00FE716E">
    <w:pPr>
      <w:pStyle w:val="Heading1"/>
      <w:rPr>
        <w:lang w:val="fr-FR"/>
      </w:rPr>
    </w:pPr>
  </w:p>
  <w:p w:rsidR="00FE716E" w:rsidRDefault="00FE716E">
    <w:pPr>
      <w:pStyle w:val="Heading1"/>
      <w:ind w:left="1440" w:firstLine="0"/>
      <w:rPr>
        <w:lang w:val="fr-FR"/>
      </w:rPr>
    </w:pPr>
    <w:r>
      <w:rPr>
        <w:sz w:val="24"/>
        <w:lang w:val="fr-FR"/>
      </w:rPr>
      <w:t xml:space="preserve">   </w:t>
    </w:r>
    <w:r>
      <w:rPr>
        <w:sz w:val="24"/>
        <w:lang w:val="fr-FR"/>
      </w:rPr>
      <w:tab/>
    </w:r>
    <w:r>
      <w:rPr>
        <w:sz w:val="24"/>
        <w:lang w:val="fr-FR"/>
      </w:rPr>
      <w:tab/>
    </w:r>
  </w:p>
  <w:p w:rsidR="00FE716E" w:rsidRDefault="00FE716E">
    <w:pPr>
      <w:rPr>
        <w:lang w:val="fr-FR"/>
      </w:rPr>
    </w:pPr>
  </w:p>
  <w:p w:rsidR="00FE716E" w:rsidRDefault="00FE716E">
    <w:pPr>
      <w:pStyle w:val="Heading1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EB"/>
    <w:rsid w:val="000036B3"/>
    <w:rsid w:val="00021B88"/>
    <w:rsid w:val="0003186E"/>
    <w:rsid w:val="000358C8"/>
    <w:rsid w:val="00047F6B"/>
    <w:rsid w:val="000502A5"/>
    <w:rsid w:val="0007222E"/>
    <w:rsid w:val="00087B2D"/>
    <w:rsid w:val="000C136E"/>
    <w:rsid w:val="00105CEB"/>
    <w:rsid w:val="00116993"/>
    <w:rsid w:val="00131094"/>
    <w:rsid w:val="00135C60"/>
    <w:rsid w:val="001507B8"/>
    <w:rsid w:val="00161359"/>
    <w:rsid w:val="001C122D"/>
    <w:rsid w:val="001F70CF"/>
    <w:rsid w:val="00200963"/>
    <w:rsid w:val="002861AC"/>
    <w:rsid w:val="002A5CAC"/>
    <w:rsid w:val="002D48F6"/>
    <w:rsid w:val="002E04FB"/>
    <w:rsid w:val="0032783D"/>
    <w:rsid w:val="00330D14"/>
    <w:rsid w:val="00350929"/>
    <w:rsid w:val="003621CA"/>
    <w:rsid w:val="003B0144"/>
    <w:rsid w:val="003C15A0"/>
    <w:rsid w:val="00443256"/>
    <w:rsid w:val="00515601"/>
    <w:rsid w:val="0054177D"/>
    <w:rsid w:val="0055098E"/>
    <w:rsid w:val="00583DF5"/>
    <w:rsid w:val="00584415"/>
    <w:rsid w:val="005D2DB7"/>
    <w:rsid w:val="005F0EAE"/>
    <w:rsid w:val="00621BA7"/>
    <w:rsid w:val="00665CC2"/>
    <w:rsid w:val="00666AC0"/>
    <w:rsid w:val="00673579"/>
    <w:rsid w:val="00674FFA"/>
    <w:rsid w:val="00694473"/>
    <w:rsid w:val="006A5DCC"/>
    <w:rsid w:val="006B0309"/>
    <w:rsid w:val="006F179D"/>
    <w:rsid w:val="006F79A0"/>
    <w:rsid w:val="00700FF9"/>
    <w:rsid w:val="00736CC5"/>
    <w:rsid w:val="00745155"/>
    <w:rsid w:val="007977F5"/>
    <w:rsid w:val="007B7C0A"/>
    <w:rsid w:val="007D3AFC"/>
    <w:rsid w:val="007F44B7"/>
    <w:rsid w:val="00855707"/>
    <w:rsid w:val="00863CC9"/>
    <w:rsid w:val="00881919"/>
    <w:rsid w:val="00893230"/>
    <w:rsid w:val="008A1C8A"/>
    <w:rsid w:val="009216D2"/>
    <w:rsid w:val="0093220D"/>
    <w:rsid w:val="00933840"/>
    <w:rsid w:val="00945146"/>
    <w:rsid w:val="00947EEF"/>
    <w:rsid w:val="00950DF5"/>
    <w:rsid w:val="009549A2"/>
    <w:rsid w:val="00982C4C"/>
    <w:rsid w:val="00A04F51"/>
    <w:rsid w:val="00A5732B"/>
    <w:rsid w:val="00A65100"/>
    <w:rsid w:val="00A87FCD"/>
    <w:rsid w:val="00AD1C30"/>
    <w:rsid w:val="00AD4275"/>
    <w:rsid w:val="00AD7093"/>
    <w:rsid w:val="00AF4E79"/>
    <w:rsid w:val="00AF76CB"/>
    <w:rsid w:val="00B5137D"/>
    <w:rsid w:val="00BA3721"/>
    <w:rsid w:val="00BA7F83"/>
    <w:rsid w:val="00BB38C1"/>
    <w:rsid w:val="00BD2B69"/>
    <w:rsid w:val="00BE70E3"/>
    <w:rsid w:val="00C2558F"/>
    <w:rsid w:val="00C4714F"/>
    <w:rsid w:val="00C61977"/>
    <w:rsid w:val="00C67B63"/>
    <w:rsid w:val="00C77870"/>
    <w:rsid w:val="00C80C22"/>
    <w:rsid w:val="00C87513"/>
    <w:rsid w:val="00C9554F"/>
    <w:rsid w:val="00CA06C2"/>
    <w:rsid w:val="00D02066"/>
    <w:rsid w:val="00D10F63"/>
    <w:rsid w:val="00D16670"/>
    <w:rsid w:val="00D17AEC"/>
    <w:rsid w:val="00D42C81"/>
    <w:rsid w:val="00D56D27"/>
    <w:rsid w:val="00D93B72"/>
    <w:rsid w:val="00D97BAA"/>
    <w:rsid w:val="00DE4B88"/>
    <w:rsid w:val="00E3579C"/>
    <w:rsid w:val="00E35FFC"/>
    <w:rsid w:val="00E46967"/>
    <w:rsid w:val="00E46C37"/>
    <w:rsid w:val="00F2474F"/>
    <w:rsid w:val="00FC1994"/>
    <w:rsid w:val="00FC6BCD"/>
    <w:rsid w:val="00FE4A91"/>
    <w:rsid w:val="00FE716E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4F437C"/>
  <w15:chartTrackingRefBased/>
  <w15:docId w15:val="{DE98F112-164D-4543-82D2-69A57556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TimesRomanR" w:hAnsi="TimesRomanR" w:cs="TimesRoman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left="0" w:firstLine="720"/>
      <w:jc w:val="center"/>
      <w:outlineLvl w:val="5"/>
    </w:pPr>
    <w:rPr>
      <w:rFonts w:ascii="TimesRomanR" w:hAnsi="TimesRomanR" w:cs="TimesRomanR"/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rFonts w:ascii="TimesRomanR" w:hAnsi="TimesRomanR" w:cs="TimesRomanR"/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  <w:strike w:val="0"/>
      <w:dstrike w:val="0"/>
      <w:u w:val="none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strike w:val="0"/>
      <w:dstrike w:val="0"/>
      <w:u w:val="none"/>
    </w:rPr>
  </w:style>
  <w:style w:type="character" w:customStyle="1" w:styleId="WW8Num10z1">
    <w:name w:val="WW8Num10z1"/>
    <w:rPr>
      <w:rFonts w:ascii="Symbol" w:hAnsi="Symbol" w:cs="Symbol"/>
      <w:strike w:val="0"/>
      <w:dstrike w:val="0"/>
      <w:color w:val="auto"/>
      <w:u w:val="none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strike w:val="0"/>
      <w:dstrike w:val="0"/>
      <w:u w:val="none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  <w:strike w:val="0"/>
      <w:dstrike w:val="0"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strike w:val="0"/>
      <w:dstrike w:val="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strike w:val="0"/>
      <w:dstrike w:val="0"/>
      <w:u w:val="none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  <w:strike w:val="0"/>
      <w:dstrike w:val="0"/>
      <w:u w:val="none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  <w:strike w:val="0"/>
      <w:dstrike w:val="0"/>
      <w:u w:val="none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customStyle="1" w:styleId="ln2talineat">
    <w:name w:val="ln2talineat"/>
    <w:basedOn w:val="DefaultParagraphFont"/>
  </w:style>
  <w:style w:type="character" w:customStyle="1" w:styleId="ln2articol1">
    <w:name w:val="ln2articol1"/>
    <w:rPr>
      <w:b/>
      <w:bCs/>
      <w:color w:val="0000AF"/>
    </w:rPr>
  </w:style>
  <w:style w:type="character" w:customStyle="1" w:styleId="ln2tarticol">
    <w:name w:val="ln2tarticol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sz w:val="1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autoSpaceDE w:val="0"/>
    </w:pPr>
    <w:rPr>
      <w:lang w:val="en-US"/>
    </w:rPr>
  </w:style>
  <w:style w:type="paragraph" w:styleId="BodyText2">
    <w:name w:val="Body Text 2"/>
    <w:basedOn w:val="Normal"/>
    <w:rPr>
      <w:sz w:val="28"/>
      <w:szCs w:val="20"/>
    </w:rPr>
  </w:style>
  <w:style w:type="paragraph" w:styleId="BodyText3">
    <w:name w:val="Body Text 3"/>
    <w:basedOn w:val="Normal"/>
    <w:pPr>
      <w:jc w:val="both"/>
    </w:pPr>
    <w:rPr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Pr>
      <w:szCs w:val="20"/>
      <w:lang w:val="en-US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Cs w:val="20"/>
      <w:lang w:val="en-US"/>
    </w:rPr>
  </w:style>
  <w:style w:type="paragraph" w:customStyle="1" w:styleId="CaracterCaracter1">
    <w:name w:val="Caracter Caracter1"/>
    <w:basedOn w:val="Normal"/>
    <w:rPr>
      <w:lang w:val="pl-PL"/>
    </w:rPr>
  </w:style>
  <w:style w:type="paragraph" w:styleId="NormalWeb">
    <w:name w:val="Normal (Web)"/>
    <w:basedOn w:val="Normal"/>
    <w:uiPriority w:val="99"/>
    <w:pPr>
      <w:spacing w:before="280" w:after="280"/>
    </w:pPr>
    <w:rPr>
      <w:color w:val="000000"/>
      <w:lang w:val="en-US"/>
    </w:rPr>
  </w:style>
  <w:style w:type="paragraph" w:customStyle="1" w:styleId="CaracterCaracter1CharCharCaracterCaracter">
    <w:name w:val="Caracter Caracter1 Char Char Caracter Caracter"/>
    <w:basedOn w:val="Normal"/>
    <w:rPr>
      <w:lang w:val="pl-PL"/>
    </w:rPr>
  </w:style>
  <w:style w:type="paragraph" w:customStyle="1" w:styleId="CaracterCaracter1CharChar">
    <w:name w:val="Caracter Caracter1 Char Char"/>
    <w:basedOn w:val="Normal"/>
    <w:rPr>
      <w:lang w:val="pl-PL"/>
    </w:rPr>
  </w:style>
  <w:style w:type="paragraph" w:customStyle="1" w:styleId="CaracterCaracterCaracterCharCaracter">
    <w:name w:val="Caracter Caracter Caracter Char Caracter"/>
    <w:basedOn w:val="Normal"/>
    <w:rPr>
      <w:lang w:val="pl-PL"/>
    </w:rPr>
  </w:style>
  <w:style w:type="paragraph" w:customStyle="1" w:styleId="CaracterCaracter">
    <w:name w:val="Caracter Caracter"/>
    <w:basedOn w:val="Normal"/>
    <w:rPr>
      <w:lang w:val="pl-PL"/>
    </w:rPr>
  </w:style>
  <w:style w:type="paragraph" w:customStyle="1" w:styleId="ln2acttitlu">
    <w:name w:val="ln2acttitlu"/>
    <w:basedOn w:val="Normal"/>
    <w:pPr>
      <w:spacing w:before="280" w:after="280"/>
      <w:jc w:val="center"/>
    </w:pPr>
    <w:rPr>
      <w:color w:val="000010"/>
      <w:sz w:val="18"/>
      <w:szCs w:val="18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aracterCaracter2">
    <w:name w:val="Caracter Caracter2"/>
    <w:basedOn w:val="Normal"/>
    <w:rPr>
      <w:lang w:val="pl-PL"/>
    </w:rPr>
  </w:style>
  <w:style w:type="paragraph" w:customStyle="1" w:styleId="FrameContents">
    <w:name w:val="Frame Contents"/>
    <w:basedOn w:val="Normal"/>
  </w:style>
  <w:style w:type="paragraph" w:customStyle="1" w:styleId="oj-doc-ti">
    <w:name w:val="oj-doc-ti"/>
    <w:basedOn w:val="Normal"/>
    <w:rsid w:val="001C122D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highlight">
    <w:name w:val="highlight"/>
    <w:basedOn w:val="DefaultParagraphFont"/>
    <w:rsid w:val="001C122D"/>
  </w:style>
  <w:style w:type="character" w:styleId="FootnoteReference">
    <w:name w:val="footnote reference"/>
    <w:basedOn w:val="DefaultParagraphFont"/>
    <w:rsid w:val="005F0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finance/company-reporting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98CA-8988-49C2-A9F2-2000A1CE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MINISTRU</vt:lpstr>
    </vt:vector>
  </TitlesOfParts>
  <Company>mf</Company>
  <LinksUpToDate>false</LinksUpToDate>
  <CharactersWithSpaces>5258</CharactersWithSpaces>
  <SharedDoc>false</SharedDoc>
  <HLinks>
    <vt:vector size="6" baseType="variant"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http://eur-lex.europa.eu/legal-content/EN/ALL/?uri=celex:32008R1126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MINISTRU</dc:title>
  <dc:subject/>
  <dc:creator>Tazkiller</dc:creator>
  <cp:keywords/>
  <dc:description/>
  <cp:lastModifiedBy>MONICA BIZON</cp:lastModifiedBy>
  <cp:revision>55</cp:revision>
  <cp:lastPrinted>2016-12-29T08:06:00Z</cp:lastPrinted>
  <dcterms:created xsi:type="dcterms:W3CDTF">2020-01-06T10:09:00Z</dcterms:created>
  <dcterms:modified xsi:type="dcterms:W3CDTF">2024-02-01T11:44:00Z</dcterms:modified>
</cp:coreProperties>
</file>