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86F" w:rsidRDefault="004E286F">
      <w:pPr>
        <w:pStyle w:val="Default"/>
        <w:jc w:val="center"/>
        <w:rPr>
          <w:rFonts w:ascii="Trebuchet MS" w:hAnsi="Trebuchet MS"/>
          <w:b/>
          <w:bCs/>
          <w:lang w:val="ro-RO"/>
        </w:rPr>
      </w:pPr>
    </w:p>
    <w:p w:rsidR="004E286F" w:rsidRDefault="00F01005">
      <w:pPr>
        <w:pStyle w:val="Default"/>
        <w:jc w:val="center"/>
        <w:rPr>
          <w:rFonts w:ascii="Trebuchet MS" w:hAnsi="Trebuchet MS"/>
          <w:b/>
          <w:bCs/>
          <w:lang w:val="ro-RO"/>
        </w:rPr>
      </w:pPr>
      <w:r>
        <w:rPr>
          <w:rFonts w:ascii="Trebuchet MS" w:hAnsi="Trebuchet MS"/>
          <w:b/>
          <w:bCs/>
          <w:lang w:val="ro-RO"/>
        </w:rPr>
        <w:t>CAIET DE SARCINI</w:t>
      </w:r>
    </w:p>
    <w:p w:rsidR="004E286F" w:rsidRDefault="00F01005">
      <w:pPr>
        <w:pStyle w:val="Default"/>
        <w:jc w:val="center"/>
      </w:pPr>
      <w:r>
        <w:rPr>
          <w:rFonts w:ascii="Trebuchet MS" w:hAnsi="Trebuchet MS"/>
          <w:b/>
          <w:bCs/>
          <w:lang w:val="ro-RO"/>
        </w:rPr>
        <w:t>pentru achiziția publică a serviciului de expertiză tehnică judiciară</w:t>
      </w:r>
      <w:r>
        <w:rPr>
          <w:rStyle w:val="FootnoteReference"/>
          <w:rFonts w:ascii="Trebuchet MS" w:hAnsi="Trebuchet MS"/>
          <w:b/>
          <w:bCs/>
          <w:lang w:val="ro-RO"/>
        </w:rPr>
        <w:footnoteReference w:id="1"/>
      </w:r>
      <w:r>
        <w:rPr>
          <w:rFonts w:ascii="Trebuchet MS" w:hAnsi="Trebuchet MS"/>
          <w:b/>
          <w:bCs/>
          <w:lang w:val="ro-RO"/>
        </w:rPr>
        <w:t xml:space="preserve"> în specializarea  evaluarea imobiliară în cadrul dosarului nr. </w:t>
      </w:r>
      <w:r>
        <w:rPr>
          <w:rFonts w:ascii="Trebuchet MS" w:eastAsia="Arial" w:hAnsi="Trebuchet MS"/>
          <w:b/>
          <w:bCs/>
          <w:lang w:val="ro-RO"/>
        </w:rPr>
        <w:t xml:space="preserve">4624/117/2024 </w:t>
      </w:r>
      <w:r>
        <w:rPr>
          <w:rFonts w:ascii="Trebuchet MS" w:hAnsi="Trebuchet MS"/>
          <w:b/>
          <w:bCs/>
          <w:lang w:val="ro-RO"/>
        </w:rPr>
        <w:t>aflat pe rolul Tribunalului Cluj</w:t>
      </w:r>
    </w:p>
    <w:p w:rsidR="004E286F" w:rsidRDefault="004E286F">
      <w:pPr>
        <w:pStyle w:val="Default"/>
        <w:jc w:val="center"/>
        <w:rPr>
          <w:rFonts w:ascii="Trebuchet MS" w:hAnsi="Trebuchet MS"/>
          <w:b/>
          <w:bCs/>
          <w:i/>
          <w:iCs/>
          <w:lang w:val="ro-RO"/>
        </w:rPr>
      </w:pPr>
    </w:p>
    <w:p w:rsidR="004E286F" w:rsidRDefault="00F01005">
      <w:pPr>
        <w:pStyle w:val="Default"/>
        <w:spacing w:before="120" w:after="120"/>
      </w:pPr>
      <w:r>
        <w:rPr>
          <w:rFonts w:ascii="Trebuchet MS" w:hAnsi="Trebuchet MS"/>
          <w:b/>
          <w:bCs/>
          <w:lang w:val="ro-RO"/>
        </w:rPr>
        <w:tab/>
        <w:t>Cod CPV :71319000-7</w:t>
      </w:r>
    </w:p>
    <w:p w:rsidR="004E286F" w:rsidRDefault="004E286F">
      <w:pPr>
        <w:pStyle w:val="Textbodyindent"/>
        <w:spacing w:before="120"/>
        <w:ind w:left="0"/>
        <w:jc w:val="both"/>
        <w:rPr>
          <w:rFonts w:ascii="Trebuchet MS" w:hAnsi="Trebuchet MS" w:cs="Arial"/>
          <w:b/>
          <w:bCs/>
        </w:rPr>
      </w:pPr>
      <w:bookmarkStart w:id="0" w:name="_GoBack"/>
      <w:bookmarkEnd w:id="0"/>
    </w:p>
    <w:p w:rsidR="004E286F" w:rsidRDefault="00F01005">
      <w:pPr>
        <w:pStyle w:val="Textbodyindent"/>
        <w:spacing w:before="6" w:after="6"/>
        <w:ind w:left="0"/>
        <w:jc w:val="both"/>
      </w:pPr>
      <w:r>
        <w:rPr>
          <w:rStyle w:val="Titlu2Caracter"/>
          <w:rFonts w:eastAsia="SimSun" w:cs="Times New Roman"/>
          <w:kern w:val="0"/>
          <w:lang w:eastAsia="en-US" w:bidi="ar-SA"/>
        </w:rPr>
        <w:tab/>
      </w:r>
      <w:r>
        <w:rPr>
          <w:rStyle w:val="Titlu2Caracter"/>
          <w:rFonts w:eastAsia="SimSun" w:cs="Times New Roman"/>
          <w:b/>
          <w:bCs/>
          <w:kern w:val="0"/>
          <w:lang w:eastAsia="en-US" w:bidi="ar-SA"/>
        </w:rPr>
        <w:t>1.</w:t>
      </w:r>
      <w:r>
        <w:rPr>
          <w:rStyle w:val="Titlu2Caracter"/>
          <w:rFonts w:eastAsia="SimSun" w:cs="Times New Roman"/>
          <w:kern w:val="0"/>
          <w:lang w:eastAsia="en-US" w:bidi="ar-SA"/>
        </w:rPr>
        <w:t xml:space="preserve"> </w:t>
      </w:r>
      <w:r>
        <w:rPr>
          <w:rStyle w:val="BodytextBold"/>
          <w:rFonts w:ascii="Trebuchet MS" w:eastAsia="SimSun" w:hAnsi="Trebuchet MS" w:cs="Arial"/>
          <w:b w:val="0"/>
          <w:bCs w:val="0"/>
          <w:color w:val="000000"/>
          <w:shd w:val="clear" w:color="auto" w:fill="FFFFFF"/>
          <w:lang w:val="en-GB" w:bidi="ar-SA"/>
        </w:rPr>
        <w:t xml:space="preserve">Pe rolul Tribunalului Cluj s-a </w:t>
      </w:r>
      <w:r>
        <w:rPr>
          <w:rFonts w:ascii="Trebuchet MS" w:hAnsi="Trebuchet MS"/>
          <w:color w:val="000000"/>
          <w:lang w:val="en-GB"/>
        </w:rPr>
        <w:t>înregistrat dosarul nr.</w:t>
      </w:r>
      <w:r>
        <w:rPr>
          <w:rFonts w:ascii="Trebuchet MS" w:hAnsi="Trebuchet MS"/>
          <w:color w:val="000000"/>
        </w:rPr>
        <w:t xml:space="preserve"> 4624/117/2024 cu termen </w:t>
      </w:r>
      <w:r>
        <w:rPr>
          <w:rFonts w:ascii="Trebuchet MS" w:hAnsi="Trebuchet MS"/>
          <w:color w:val="000000"/>
        </w:rPr>
        <w:t>de judecată la data de 06.06.2025,</w:t>
      </w:r>
      <w:r>
        <w:rPr>
          <w:rFonts w:ascii="Trebuchet MS" w:hAnsi="Trebuchet MS"/>
          <w:color w:val="000000"/>
          <w:lang w:val="en-GB"/>
        </w:rPr>
        <w:t xml:space="preserve"> litigiu inițiat de către reclamanta, S.C. POLUS TRANSILVANIA COMPANIE DE INVESTIȚII S.A., </w:t>
      </w:r>
      <w:r>
        <w:rPr>
          <w:rFonts w:ascii="Trebuchet MS" w:hAnsi="Trebuchet MS"/>
          <w:color w:val="000000"/>
        </w:rPr>
        <w:t>prin care s-a solicitat instanței ca, prin hotărârea ce se va pronunța, în contradictoriu cu Statul Român, prin Ministerul Finanțel</w:t>
      </w:r>
      <w:r>
        <w:rPr>
          <w:rFonts w:ascii="Trebuchet MS" w:hAnsi="Trebuchet MS"/>
          <w:color w:val="000000"/>
        </w:rPr>
        <w:t>or – să se dispună:</w:t>
      </w:r>
    </w:p>
    <w:p w:rsidR="004E286F" w:rsidRDefault="00F01005">
      <w:pPr>
        <w:pStyle w:val="Standard"/>
        <w:numPr>
          <w:ilvl w:val="0"/>
          <w:numId w:val="5"/>
        </w:numPr>
        <w:tabs>
          <w:tab w:val="left" w:pos="720"/>
        </w:tabs>
        <w:spacing w:before="238" w:after="100"/>
        <w:jc w:val="both"/>
        <w:rPr>
          <w:rFonts w:ascii="Trebuchet MS" w:hAnsi="Trebuchet MS"/>
          <w:color w:val="000000"/>
        </w:rPr>
      </w:pPr>
      <w:r>
        <w:rPr>
          <w:rFonts w:ascii="Trebuchet MS" w:hAnsi="Trebuchet MS"/>
          <w:color w:val="000000"/>
        </w:rPr>
        <w:t>constatarea, în principal – cu titlu gratuit și, în subsidiar, cu titlu oneros, a dreptului de superficie asupra suprafeței de teren de 347.678 mp, necesară exploatării dreptului de proprietate asupra construcției edificată de către rec</w:t>
      </w:r>
      <w:r>
        <w:rPr>
          <w:rFonts w:ascii="Trebuchet MS" w:hAnsi="Trebuchet MS"/>
          <w:color w:val="000000"/>
        </w:rPr>
        <w:t>lamantă;</w:t>
      </w:r>
    </w:p>
    <w:p w:rsidR="004E286F" w:rsidRDefault="00F01005">
      <w:pPr>
        <w:pStyle w:val="Standard"/>
        <w:numPr>
          <w:ilvl w:val="0"/>
          <w:numId w:val="3"/>
        </w:numPr>
        <w:tabs>
          <w:tab w:val="left" w:pos="720"/>
        </w:tabs>
        <w:spacing w:before="238" w:after="100"/>
        <w:jc w:val="both"/>
      </w:pPr>
      <w:r>
        <w:rPr>
          <w:rFonts w:ascii="Trebuchet MS" w:hAnsi="Trebuchet MS"/>
          <w:color w:val="000000"/>
        </w:rPr>
        <w:t>în subsidiar, constatarea existenței dreptului de folosință asupra suprafeței de 347.678 mp, cu consecința obligării Statului Român la încheierea unui contract de concesiune sau închiriere</w:t>
      </w:r>
      <w:r>
        <w:rPr>
          <w:rFonts w:ascii="Trebuchet MS" w:hAnsi="Trebuchet MS"/>
          <w:color w:val="000000"/>
          <w:lang w:val="en-US"/>
        </w:rPr>
        <w:t>;</w:t>
      </w:r>
    </w:p>
    <w:p w:rsidR="004E286F" w:rsidRDefault="00F01005">
      <w:pPr>
        <w:pStyle w:val="Standard"/>
        <w:numPr>
          <w:ilvl w:val="0"/>
          <w:numId w:val="3"/>
        </w:numPr>
        <w:tabs>
          <w:tab w:val="left" w:pos="720"/>
        </w:tabs>
        <w:spacing w:before="238" w:after="100"/>
        <w:jc w:val="both"/>
      </w:pPr>
      <w:r>
        <w:rPr>
          <w:rFonts w:ascii="Trebuchet MS" w:hAnsi="Trebuchet MS"/>
          <w:color w:val="000000"/>
          <w:lang w:val="en-US"/>
        </w:rPr>
        <w:t xml:space="preserve">constatarea </w:t>
      </w:r>
      <w:r>
        <w:rPr>
          <w:rFonts w:ascii="Trebuchet MS" w:hAnsi="Trebuchet MS"/>
          <w:color w:val="000000"/>
        </w:rPr>
        <w:t>încetării uzului și interesului public, respe</w:t>
      </w:r>
      <w:r>
        <w:rPr>
          <w:rFonts w:ascii="Trebuchet MS" w:hAnsi="Trebuchet MS"/>
          <w:color w:val="000000"/>
        </w:rPr>
        <w:t>ctiv destinației de bun public a terenului suprafața de 333.404 mp. (suprafața inițială de 347.678 mp. din care se scade suprafața expropriată) situată în Florești, județul Cluj, înscris în prezent în cărțile funciare nr.50336 Florești (nr. CF vechi 9411),</w:t>
      </w:r>
      <w:r>
        <w:rPr>
          <w:rFonts w:ascii="Trebuchet MS" w:hAnsi="Trebuchet MS"/>
          <w:color w:val="000000"/>
        </w:rPr>
        <w:t xml:space="preserve"> nr. 51726 (CF vechi 8901)</w:t>
      </w:r>
      <w:r>
        <w:rPr>
          <w:rFonts w:ascii="Trebuchet MS" w:hAnsi="Trebuchet MS"/>
          <w:color w:val="000000"/>
          <w:lang w:val="en-US"/>
        </w:rPr>
        <w:t>;</w:t>
      </w:r>
    </w:p>
    <w:p w:rsidR="004E286F" w:rsidRDefault="00F01005">
      <w:pPr>
        <w:pStyle w:val="Standard"/>
        <w:numPr>
          <w:ilvl w:val="0"/>
          <w:numId w:val="3"/>
        </w:numPr>
        <w:tabs>
          <w:tab w:val="left" w:pos="720"/>
        </w:tabs>
        <w:spacing w:before="238" w:after="100"/>
        <w:jc w:val="both"/>
      </w:pPr>
      <w:r>
        <w:rPr>
          <w:rFonts w:ascii="Trebuchet MS" w:hAnsi="Trebuchet MS"/>
          <w:color w:val="000000"/>
          <w:lang w:val="en-US"/>
        </w:rPr>
        <w:t>obligarea Statului Rom</w:t>
      </w:r>
      <w:r>
        <w:rPr>
          <w:rFonts w:ascii="Trebuchet MS" w:hAnsi="Trebuchet MS"/>
          <w:color w:val="000000"/>
        </w:rPr>
        <w:t>ân la emiterea unei hotărâri de Guvern prin care să dispună trecerea din proprietatea privată a Statului Român a terenului cu suprafața de 333.404 mp (suprafața inițială de 347.678 mp. din care se scade sup</w:t>
      </w:r>
      <w:r>
        <w:rPr>
          <w:rFonts w:ascii="Trebuchet MS" w:hAnsi="Trebuchet MS"/>
          <w:color w:val="000000"/>
        </w:rPr>
        <w:t>rafața expropriată) situată în Florești, jud. Cluj, înscris în prezent în cărțile funciare nr.50336 Florești (nr.CF vechi 9411), nr.51726 (nr. CF vechi 8901)</w:t>
      </w:r>
      <w:r>
        <w:rPr>
          <w:rFonts w:ascii="Trebuchet MS" w:hAnsi="Trebuchet MS"/>
          <w:color w:val="000000"/>
          <w:lang w:val="en-US"/>
        </w:rPr>
        <w:t>;</w:t>
      </w:r>
    </w:p>
    <w:p w:rsidR="004E286F" w:rsidRDefault="00F01005">
      <w:pPr>
        <w:pStyle w:val="Standard"/>
        <w:numPr>
          <w:ilvl w:val="0"/>
          <w:numId w:val="3"/>
        </w:numPr>
        <w:tabs>
          <w:tab w:val="left" w:pos="720"/>
        </w:tabs>
        <w:spacing w:before="238" w:after="100"/>
        <w:jc w:val="both"/>
      </w:pPr>
      <w:r>
        <w:rPr>
          <w:rFonts w:ascii="Trebuchet MS" w:hAnsi="Trebuchet MS"/>
          <w:color w:val="000000"/>
          <w:lang w:val="en-US"/>
        </w:rPr>
        <w:t xml:space="preserve">constatarea dreptului de superficie al Polus Transilvania, </w:t>
      </w:r>
      <w:r>
        <w:rPr>
          <w:rFonts w:ascii="Trebuchet MS" w:hAnsi="Trebuchet MS"/>
          <w:color w:val="000000"/>
        </w:rPr>
        <w:t>î</w:t>
      </w:r>
      <w:r>
        <w:rPr>
          <w:rFonts w:ascii="Trebuchet MS" w:hAnsi="Trebuchet MS"/>
          <w:color w:val="000000"/>
          <w:lang w:val="en-US"/>
        </w:rPr>
        <w:t xml:space="preserve">n conformitate cu prevederile </w:t>
      </w:r>
      <w:r>
        <w:rPr>
          <w:rFonts w:ascii="Trebuchet MS" w:hAnsi="Trebuchet MS"/>
          <w:color w:val="000000"/>
          <w:lang w:val="en-US"/>
        </w:rPr>
        <w:t>Vechiului Cod Civil asupra suprafeței de teren de 333.404 (suprafața ințială de 347.678 mp din care se scade suprafața expropriată) situat în Florești, județul Cluj, înscris în prezent cărțile funciare nr.50336 Florești (nr. CF vechi 9411), nr.51726 (nr. C</w:t>
      </w:r>
      <w:r>
        <w:rPr>
          <w:rFonts w:ascii="Trebuchet MS" w:hAnsi="Trebuchet MS"/>
          <w:color w:val="000000"/>
          <w:lang w:val="en-US"/>
        </w:rPr>
        <w:t>F vechi 8901), necesară exploatării dreptului de proprietate asupra construcțiilor edificate de Polus Transilvania asupra acestui teren;</w:t>
      </w:r>
    </w:p>
    <w:p w:rsidR="004E286F" w:rsidRDefault="00F01005">
      <w:pPr>
        <w:pStyle w:val="Standard"/>
        <w:numPr>
          <w:ilvl w:val="0"/>
          <w:numId w:val="3"/>
        </w:numPr>
        <w:tabs>
          <w:tab w:val="left" w:pos="720"/>
        </w:tabs>
        <w:spacing w:before="238" w:after="100"/>
        <w:jc w:val="both"/>
      </w:pPr>
      <w:r>
        <w:rPr>
          <w:rFonts w:ascii="Trebuchet MS" w:hAnsi="Trebuchet MS"/>
          <w:color w:val="000000"/>
        </w:rPr>
        <w:t>în ipotezele prevăzute la lit.c) și d) și în principal, constatarea că dreptul de superficie are caracter gratuit</w:t>
      </w:r>
      <w:r>
        <w:rPr>
          <w:rFonts w:ascii="Trebuchet MS" w:hAnsi="Trebuchet MS"/>
          <w:color w:val="000000"/>
          <w:lang w:val="en-US"/>
        </w:rPr>
        <w:t>;</w:t>
      </w:r>
    </w:p>
    <w:p w:rsidR="004E286F" w:rsidRDefault="00F01005">
      <w:pPr>
        <w:pStyle w:val="Standard"/>
        <w:numPr>
          <w:ilvl w:val="0"/>
          <w:numId w:val="3"/>
        </w:numPr>
        <w:tabs>
          <w:tab w:val="left" w:pos="720"/>
        </w:tabs>
        <w:spacing w:before="238" w:after="100"/>
        <w:jc w:val="both"/>
      </w:pPr>
      <w:r>
        <w:rPr>
          <w:rFonts w:ascii="Trebuchet MS" w:hAnsi="Trebuchet MS"/>
          <w:color w:val="000000"/>
        </w:rPr>
        <w:t>în i</w:t>
      </w:r>
      <w:r>
        <w:rPr>
          <w:rFonts w:ascii="Trebuchet MS" w:hAnsi="Trebuchet MS"/>
          <w:color w:val="000000"/>
        </w:rPr>
        <w:t>potezele prevăzute la lit.c) și d) și în principal, constatarea că dreptul de superficie are caracter oneros</w:t>
      </w:r>
      <w:r>
        <w:rPr>
          <w:rFonts w:ascii="Trebuchet MS" w:hAnsi="Trebuchet MS"/>
          <w:color w:val="000000"/>
          <w:lang w:val="en-US"/>
        </w:rPr>
        <w:t>;</w:t>
      </w:r>
    </w:p>
    <w:p w:rsidR="004E286F" w:rsidRDefault="00F01005">
      <w:pPr>
        <w:pStyle w:val="Standard"/>
        <w:numPr>
          <w:ilvl w:val="0"/>
          <w:numId w:val="3"/>
        </w:numPr>
        <w:tabs>
          <w:tab w:val="left" w:pos="720"/>
        </w:tabs>
        <w:spacing w:before="238" w:after="100"/>
        <w:jc w:val="both"/>
        <w:rPr>
          <w:rFonts w:ascii="Trebuchet MS" w:hAnsi="Trebuchet MS"/>
          <w:color w:val="000000"/>
          <w:lang w:val="en-US"/>
        </w:rPr>
      </w:pPr>
      <w:r>
        <w:rPr>
          <w:rFonts w:ascii="Trebuchet MS" w:hAnsi="Trebuchet MS"/>
          <w:color w:val="000000"/>
          <w:lang w:val="en-US"/>
        </w:rPr>
        <w:t xml:space="preserve"> constatarea dreptului de folosință al Polus Transilvania asupra suprafeței de 347.678 mp din care se scade suprafața expropriată situat în Floreș</w:t>
      </w:r>
      <w:r>
        <w:rPr>
          <w:rFonts w:ascii="Trebuchet MS" w:hAnsi="Trebuchet MS"/>
          <w:color w:val="000000"/>
          <w:lang w:val="en-US"/>
        </w:rPr>
        <w:t xml:space="preserve">ti, jud. Cluj, înscris în prezent în cărțile funciare nr.50336 Florești (nr. CF vechi 9411), nr.51726 (nr. CF vechi 8901), necesară exploatării dreptului de proprietate asupra </w:t>
      </w:r>
      <w:r>
        <w:rPr>
          <w:rFonts w:ascii="Trebuchet MS" w:hAnsi="Trebuchet MS"/>
          <w:color w:val="000000"/>
          <w:lang w:val="en-US"/>
        </w:rPr>
        <w:lastRenderedPageBreak/>
        <w:t>construcțiilor edificate de Polus Transilvania asupra acestui teren;</w:t>
      </w:r>
    </w:p>
    <w:p w:rsidR="004E286F" w:rsidRDefault="00F01005">
      <w:pPr>
        <w:pStyle w:val="Standard"/>
        <w:numPr>
          <w:ilvl w:val="0"/>
          <w:numId w:val="3"/>
        </w:numPr>
        <w:tabs>
          <w:tab w:val="left" w:pos="720"/>
        </w:tabs>
        <w:spacing w:before="238" w:after="100"/>
        <w:jc w:val="both"/>
      </w:pPr>
      <w:r>
        <w:rPr>
          <w:rFonts w:ascii="Trebuchet MS" w:hAnsi="Trebuchet MS"/>
          <w:color w:val="000000"/>
          <w:lang w:val="en-US"/>
        </w:rPr>
        <w:t>Obligarea S</w:t>
      </w:r>
      <w:r>
        <w:rPr>
          <w:rFonts w:ascii="Trebuchet MS" w:hAnsi="Trebuchet MS"/>
          <w:color w:val="000000"/>
          <w:lang w:val="en-US"/>
        </w:rPr>
        <w:t>tatului Ro</w:t>
      </w:r>
      <w:r>
        <w:rPr>
          <w:rFonts w:ascii="Trebuchet MS" w:hAnsi="Trebuchet MS"/>
          <w:color w:val="000000"/>
        </w:rPr>
        <w:t>mân la încheierea unui contract de concesiune, respectiv închiriere cu Polus Transilvania cu privire la terenul cu suprafața de 333.404 suprafața inițială de 347.678 mp. din care se scade suprafața expropriată) situat în Florești, jud. Cluj, însc</w:t>
      </w:r>
      <w:r>
        <w:rPr>
          <w:rFonts w:ascii="Trebuchet MS" w:hAnsi="Trebuchet MS"/>
          <w:color w:val="000000"/>
        </w:rPr>
        <w:t>ris în prezent în cărțile funciare</w:t>
      </w:r>
      <w:r>
        <w:rPr>
          <w:rFonts w:ascii="Trebuchet MS" w:hAnsi="Trebuchet MS"/>
          <w:color w:val="000000"/>
          <w:lang w:val="en-US"/>
        </w:rPr>
        <w:t xml:space="preserve"> nr.50336 Florești (nr. CF vechi 9411), nr.51726 (nr. CF vechi 8901), necesară exploatării dreptului de proprietate asupra construcțiilor edificate de Polus Transilvania asupra acestui  teren.</w:t>
      </w:r>
      <w:r>
        <w:rPr>
          <w:rFonts w:ascii="Trebuchet MS" w:hAnsi="Trebuchet MS"/>
          <w:color w:val="000000"/>
        </w:rPr>
        <w:t xml:space="preserve">  </w:t>
      </w:r>
    </w:p>
    <w:p w:rsidR="004E286F" w:rsidRDefault="00F01005">
      <w:pPr>
        <w:pStyle w:val="Standard"/>
        <w:spacing w:before="238" w:after="100"/>
        <w:jc w:val="both"/>
      </w:pPr>
      <w:r>
        <w:rPr>
          <w:rFonts w:ascii="Trebuchet MS" w:hAnsi="Trebuchet MS"/>
          <w:color w:val="000000"/>
        </w:rPr>
        <w:tab/>
        <w:t>În cauză, instituția noast</w:t>
      </w:r>
      <w:r>
        <w:rPr>
          <w:rFonts w:ascii="Trebuchet MS" w:hAnsi="Trebuchet MS"/>
          <w:color w:val="000000"/>
        </w:rPr>
        <w:t xml:space="preserve">ră, în reprezentarea Statului Român, a formulat propriile pretenții, prin cererea reconvențională, solicitând instanței ca, prin hotărârea ce va pronunța, să dispună - în ipoteza în care, prin absurd, va încuviința constituirea unui drept de superficie în </w:t>
      </w:r>
      <w:r>
        <w:rPr>
          <w:rFonts w:ascii="Trebuchet MS" w:hAnsi="Trebuchet MS"/>
          <w:color w:val="000000"/>
        </w:rPr>
        <w:t xml:space="preserve">favoarea reclamantei asupra suprafeței de 347.678 mp./obligarea Statului Român prin Ministerul Finanțelor la încheierea unui contract de închiriere/concesiune, obligarea reclamantei </w:t>
      </w:r>
      <w:r>
        <w:rPr>
          <w:rFonts w:ascii="Trebuchet MS" w:hAnsi="Trebuchet MS"/>
          <w:b/>
          <w:bCs/>
          <w:color w:val="000000"/>
        </w:rPr>
        <w:t>POLUS TRANSILVANIA COMPANIE DE INVESTITII</w:t>
      </w:r>
      <w:r>
        <w:rPr>
          <w:rFonts w:ascii="Trebuchet MS" w:hAnsi="Trebuchet MS"/>
          <w:color w:val="000000"/>
        </w:rPr>
        <w:t xml:space="preserve"> </w:t>
      </w:r>
      <w:r>
        <w:rPr>
          <w:rFonts w:ascii="Trebuchet MS" w:hAnsi="Trebuchet MS"/>
          <w:b/>
          <w:bCs/>
          <w:color w:val="000000"/>
        </w:rPr>
        <w:t>SA</w:t>
      </w:r>
      <w:r>
        <w:rPr>
          <w:rFonts w:ascii="Trebuchet MS" w:hAnsi="Trebuchet MS"/>
          <w:color w:val="000000"/>
        </w:rPr>
        <w:t xml:space="preserve"> la plata contravalorii unei r</w:t>
      </w:r>
      <w:r>
        <w:rPr>
          <w:rFonts w:ascii="Trebuchet MS" w:hAnsi="Trebuchet MS"/>
          <w:color w:val="000000"/>
        </w:rPr>
        <w:t>ate lunare egală cu chiria stabilită pe piața liberă de la momentul constituirii dreptului de superficie/dreptului de folosință, evaluată provizoriu la suma de 417.213,6 euro/lună.</w:t>
      </w:r>
    </w:p>
    <w:p w:rsidR="004E286F" w:rsidRDefault="00F01005">
      <w:pPr>
        <w:pStyle w:val="Standard"/>
        <w:spacing w:before="240"/>
        <w:jc w:val="both"/>
        <w:rPr>
          <w:rFonts w:ascii="Trebuchet MS" w:eastAsia="Arial" w:hAnsi="Trebuchet MS" w:cs="Trebuchet MS"/>
        </w:rPr>
      </w:pPr>
      <w:r>
        <w:rPr>
          <w:rFonts w:ascii="Trebuchet MS" w:eastAsia="Arial" w:hAnsi="Trebuchet MS" w:cs="Trebuchet MS"/>
        </w:rPr>
        <w:tab/>
        <w:t>În cauză, reclamanta a solicitat proba cu expertiză tehnică în specializar</w:t>
      </w:r>
      <w:r>
        <w:rPr>
          <w:rFonts w:ascii="Trebuchet MS" w:eastAsia="Arial" w:hAnsi="Trebuchet MS" w:cs="Trebuchet MS"/>
        </w:rPr>
        <w:t>ea evaluare imobiliară, având ca obiectiv stabilirea cuantumului prestației superficiarului, respectiv a cuantumului redevenței sau prețului închirierii.</w:t>
      </w:r>
    </w:p>
    <w:p w:rsidR="004E286F" w:rsidRDefault="00F01005">
      <w:pPr>
        <w:pStyle w:val="Standard"/>
        <w:spacing w:before="238" w:after="100"/>
        <w:jc w:val="both"/>
        <w:rPr>
          <w:rFonts w:ascii="Trebuchet MS" w:hAnsi="Trebuchet MS"/>
          <w:color w:val="000000"/>
        </w:rPr>
      </w:pPr>
      <w:r>
        <w:rPr>
          <w:rFonts w:ascii="Trebuchet MS" w:hAnsi="Trebuchet MS"/>
          <w:color w:val="000000"/>
        </w:rPr>
        <w:tab/>
        <w:t>În acest litigiu, Ministerul Finanțelor, în reprezentarea Statului Român, a solicitat instanței, prin</w:t>
      </w:r>
      <w:r>
        <w:rPr>
          <w:rFonts w:ascii="Trebuchet MS" w:hAnsi="Trebuchet MS"/>
          <w:color w:val="000000"/>
        </w:rPr>
        <w:t xml:space="preserve"> cererea reconvențională, încuviințarea probei cu expertiză, în vederea stabilirii contravalorii chiriei lunare aferente imobilului în litigiu – aceasta urmând a fi discutată, ulterior, la termenele de judecată acordate în acest sens.</w:t>
      </w:r>
    </w:p>
    <w:p w:rsidR="004E286F" w:rsidRDefault="00F01005">
      <w:pPr>
        <w:pStyle w:val="Standard"/>
        <w:spacing w:before="238" w:after="100"/>
        <w:jc w:val="both"/>
        <w:rPr>
          <w:rFonts w:ascii="Trebuchet MS" w:hAnsi="Trebuchet MS"/>
          <w:color w:val="000000"/>
        </w:rPr>
      </w:pPr>
      <w:r>
        <w:rPr>
          <w:rFonts w:ascii="Trebuchet MS" w:hAnsi="Trebuchet MS"/>
          <w:color w:val="000000"/>
        </w:rPr>
        <w:tab/>
        <w:t xml:space="preserve">Așa fiind, pentru a </w:t>
      </w:r>
      <w:r>
        <w:rPr>
          <w:rFonts w:ascii="Trebuchet MS" w:hAnsi="Trebuchet MS"/>
          <w:color w:val="000000"/>
        </w:rPr>
        <w:t>se asigura o apărare eficientă în litigiu, Ministerul Finanțelor în reprezentarea Staului Român, va solicita instanței să încuviințeze participarea unui consilier – expert parte care să asiste la lucrările efecuate de către expertul judiciar ce va fi desem</w:t>
      </w:r>
      <w:r>
        <w:rPr>
          <w:rFonts w:ascii="Trebuchet MS" w:hAnsi="Trebuchet MS"/>
          <w:color w:val="000000"/>
        </w:rPr>
        <w:t>nat de către instanță, sens în care, se impune contractarea unor servicii de expertiză în specializarea evaluare bunuri imobile.</w:t>
      </w:r>
    </w:p>
    <w:p w:rsidR="004E286F" w:rsidRDefault="004E286F">
      <w:pPr>
        <w:pStyle w:val="Standard"/>
        <w:spacing w:before="6" w:after="6"/>
        <w:jc w:val="both"/>
      </w:pPr>
    </w:p>
    <w:p w:rsidR="004E286F" w:rsidRDefault="00F01005">
      <w:pPr>
        <w:pStyle w:val="Standard"/>
        <w:jc w:val="both"/>
      </w:pPr>
      <w:r>
        <w:rPr>
          <w:rFonts w:ascii="Trebuchet MS" w:eastAsia="Times New Roman" w:hAnsi="Trebuchet MS" w:cs="Trebuchet MS"/>
          <w:i/>
          <w:iCs/>
          <w:color w:val="CE181E"/>
          <w:kern w:val="0"/>
          <w:shd w:val="clear" w:color="auto" w:fill="FFFFFF"/>
          <w:lang w:bidi="ar-SA"/>
        </w:rPr>
        <w:tab/>
      </w:r>
      <w:r>
        <w:rPr>
          <w:rFonts w:ascii="Trebuchet MS" w:hAnsi="Trebuchet MS" w:cs="Arial"/>
          <w:color w:val="000000"/>
        </w:rPr>
        <w:t>Astfel, date fiind implicațiile deosebite ale cauzei, pentru a preîntâmpina apariția unor situații de natură să afecteze cali</w:t>
      </w:r>
      <w:r>
        <w:rPr>
          <w:rFonts w:ascii="Trebuchet MS" w:hAnsi="Trebuchet MS" w:cs="Arial"/>
          <w:color w:val="000000"/>
        </w:rPr>
        <w:t>tatea expertizei judiciare, în temeiul dispozițiilor art. 330 alin. (5) din Codul de procedură civilă s-a apreciat ca fiind util ca expertul parte desemnat de Ministerul Finanțelor, să participe la efectuarea expertizei alături de expertul desemnat de inst</w:t>
      </w:r>
      <w:r>
        <w:rPr>
          <w:rFonts w:ascii="Trebuchet MS" w:hAnsi="Trebuchet MS" w:cs="Arial"/>
          <w:color w:val="000000"/>
        </w:rPr>
        <w:t>anța de judecată.</w:t>
      </w:r>
    </w:p>
    <w:p w:rsidR="004E286F" w:rsidRDefault="00F01005">
      <w:pPr>
        <w:pStyle w:val="Standard"/>
        <w:jc w:val="both"/>
        <w:rPr>
          <w:rFonts w:ascii="Trebuchet MS" w:hAnsi="Trebuchet MS" w:cs="Arial"/>
          <w:color w:val="000000"/>
        </w:rPr>
      </w:pPr>
      <w:r>
        <w:rPr>
          <w:rFonts w:ascii="Trebuchet MS" w:hAnsi="Trebuchet MS" w:cs="Arial"/>
          <w:color w:val="000000"/>
        </w:rPr>
        <w:tab/>
      </w:r>
    </w:p>
    <w:p w:rsidR="004E286F" w:rsidRDefault="004E286F">
      <w:pPr>
        <w:pStyle w:val="Standard"/>
        <w:jc w:val="both"/>
        <w:rPr>
          <w:rFonts w:ascii="Trebuchet MS" w:hAnsi="Trebuchet MS" w:cs="Arial"/>
          <w:color w:val="000000"/>
        </w:rPr>
      </w:pPr>
    </w:p>
    <w:p w:rsidR="004E286F" w:rsidRDefault="00F01005">
      <w:pPr>
        <w:pStyle w:val="Default"/>
        <w:rPr>
          <w:rFonts w:ascii="Trebuchet MS" w:hAnsi="Trebuchet MS"/>
          <w:b/>
          <w:bCs/>
          <w:lang w:val="ro-RO"/>
        </w:rPr>
      </w:pPr>
      <w:r>
        <w:rPr>
          <w:rFonts w:ascii="Trebuchet MS" w:hAnsi="Trebuchet MS"/>
          <w:b/>
          <w:bCs/>
          <w:lang w:val="ro-RO"/>
        </w:rPr>
        <w:tab/>
        <w:t>2. Obiectul contractului</w:t>
      </w:r>
    </w:p>
    <w:p w:rsidR="004E286F" w:rsidRDefault="004E286F">
      <w:pPr>
        <w:pStyle w:val="Standard"/>
        <w:autoSpaceDE w:val="0"/>
        <w:jc w:val="both"/>
        <w:rPr>
          <w:rFonts w:ascii="Trebuchet MS" w:hAnsi="Trebuchet MS" w:cs="Arial"/>
        </w:rPr>
      </w:pPr>
    </w:p>
    <w:p w:rsidR="004E286F" w:rsidRDefault="00F01005">
      <w:pPr>
        <w:pStyle w:val="Standard"/>
        <w:autoSpaceDE w:val="0"/>
        <w:jc w:val="both"/>
      </w:pPr>
      <w:r>
        <w:rPr>
          <w:rFonts w:ascii="Trebuchet MS" w:hAnsi="Trebuchet MS" w:cs="Arial"/>
        </w:rPr>
        <w:tab/>
        <w:t>Asistarea expertului judiciar desemnat de instanță în activitatea de întocmire a raportului de expertiză</w:t>
      </w:r>
      <w:r>
        <w:rPr>
          <w:rFonts w:ascii="Trebuchet MS" w:hAnsi="Trebuchet MS" w:cs="Arial"/>
          <w:color w:val="000000"/>
        </w:rPr>
        <w:t xml:space="preserve"> în specialitatea evaluare imobiliară</w:t>
      </w:r>
      <w:r>
        <w:rPr>
          <w:rFonts w:ascii="Trebuchet MS" w:hAnsi="Trebuchet MS" w:cs="Arial"/>
        </w:rPr>
        <w:t xml:space="preserve">, precum și după caz, întocmirea unei lucrări separate cu privire </w:t>
      </w:r>
      <w:r>
        <w:rPr>
          <w:rFonts w:ascii="Trebuchet MS" w:hAnsi="Trebuchet MS" w:cs="Arial"/>
        </w:rPr>
        <w:t>la obiectivele expertizei dispuse de organul judiciar; formularea unui răspuns la întrebările stabilite de organele judiciare pentru expertul judiciar desemnat sau la cele stabilite de către Ministerul Finanțelor, formularea observațiilor la concluziile ra</w:t>
      </w:r>
      <w:r>
        <w:rPr>
          <w:rFonts w:ascii="Trebuchet MS" w:hAnsi="Trebuchet MS" w:cs="Arial"/>
        </w:rPr>
        <w:t xml:space="preserve">portului de expertiză tehnică judiciară, la obiecțiunile formulate de celelalte părți și la răspunsurile expertului judiciar, și susținerea punctului său de vedere, dacă este convocat de organele judiciare sau se solicită din partea </w:t>
      </w:r>
      <w:r>
        <w:rPr>
          <w:rFonts w:ascii="Trebuchet MS" w:hAnsi="Trebuchet MS" w:cs="Arial"/>
        </w:rPr>
        <w:lastRenderedPageBreak/>
        <w:t>Ministerului Finanțelor</w:t>
      </w:r>
      <w:r>
        <w:rPr>
          <w:rFonts w:ascii="Trebuchet MS" w:hAnsi="Trebuchet MS" w:cs="Arial"/>
        </w:rPr>
        <w:t>, în față organelor judiciare, în vederea realizării obiectivului/obiectivelor expertizei încuviințată de către instanță.</w:t>
      </w:r>
    </w:p>
    <w:p w:rsidR="004E286F" w:rsidRDefault="004E286F">
      <w:pPr>
        <w:pStyle w:val="Default"/>
        <w:rPr>
          <w:rFonts w:ascii="Trebuchet MS" w:hAnsi="Trebuchet MS"/>
          <w:b/>
          <w:bCs/>
          <w:lang w:val="ro-RO"/>
        </w:rPr>
      </w:pPr>
    </w:p>
    <w:p w:rsidR="004E286F" w:rsidRDefault="00F01005">
      <w:pPr>
        <w:pStyle w:val="Default"/>
      </w:pPr>
      <w:r>
        <w:rPr>
          <w:rFonts w:ascii="Trebuchet MS" w:hAnsi="Trebuchet MS"/>
          <w:b/>
          <w:bCs/>
          <w:lang w:val="ro-RO"/>
        </w:rPr>
        <w:tab/>
        <w:t>3. Descrierea serviciilor ce vor fi achiziționate</w:t>
      </w:r>
    </w:p>
    <w:p w:rsidR="004E286F" w:rsidRDefault="004E286F">
      <w:pPr>
        <w:pStyle w:val="Default"/>
        <w:rPr>
          <w:rFonts w:ascii="Trebuchet MS" w:hAnsi="Trebuchet MS"/>
          <w:lang w:val="ro-RO"/>
        </w:rPr>
      </w:pPr>
    </w:p>
    <w:p w:rsidR="004E286F" w:rsidRDefault="00F01005">
      <w:pPr>
        <w:pStyle w:val="Default"/>
        <w:jc w:val="both"/>
        <w:rPr>
          <w:rFonts w:ascii="Trebuchet MS" w:hAnsi="Trebuchet MS"/>
          <w:lang w:val="ro-RO"/>
        </w:rPr>
      </w:pPr>
      <w:r>
        <w:rPr>
          <w:rFonts w:ascii="Trebuchet MS" w:hAnsi="Trebuchet MS"/>
          <w:lang w:val="ro-RO"/>
        </w:rPr>
        <w:tab/>
        <w:t>Contractul de servicii de expertiză în specialitatea evaluare imobiliară se va e</w:t>
      </w:r>
      <w:r>
        <w:rPr>
          <w:rFonts w:ascii="Trebuchet MS" w:hAnsi="Trebuchet MS"/>
          <w:lang w:val="ro-RO"/>
        </w:rPr>
        <w:t>xecuta în conformitate cu prevederile legislației naționale.</w:t>
      </w:r>
    </w:p>
    <w:p w:rsidR="004E286F" w:rsidRDefault="004E286F">
      <w:pPr>
        <w:pStyle w:val="Default"/>
        <w:jc w:val="both"/>
        <w:rPr>
          <w:rFonts w:ascii="Trebuchet MS" w:hAnsi="Trebuchet MS"/>
          <w:lang w:val="ro-RO"/>
        </w:rPr>
      </w:pPr>
    </w:p>
    <w:p w:rsidR="004E286F" w:rsidRDefault="00F01005">
      <w:pPr>
        <w:pStyle w:val="Default"/>
        <w:rPr>
          <w:rFonts w:ascii="Trebuchet MS" w:hAnsi="Trebuchet MS"/>
          <w:b/>
          <w:bCs/>
          <w:lang w:val="ro-RO"/>
        </w:rPr>
      </w:pPr>
      <w:r>
        <w:rPr>
          <w:rFonts w:ascii="Trebuchet MS" w:hAnsi="Trebuchet MS"/>
          <w:b/>
          <w:bCs/>
          <w:lang w:val="ro-RO"/>
        </w:rPr>
        <w:tab/>
        <w:t>3.1. Specificații Tehnice:</w:t>
      </w:r>
    </w:p>
    <w:p w:rsidR="004E286F" w:rsidRDefault="004E286F">
      <w:pPr>
        <w:pStyle w:val="Default"/>
        <w:rPr>
          <w:rFonts w:ascii="Trebuchet MS" w:hAnsi="Trebuchet MS"/>
          <w:b/>
          <w:bCs/>
          <w:lang w:val="ro-RO"/>
        </w:rPr>
      </w:pPr>
    </w:p>
    <w:p w:rsidR="004E286F" w:rsidRDefault="00F01005">
      <w:pPr>
        <w:pStyle w:val="Standard"/>
        <w:jc w:val="both"/>
      </w:pPr>
      <w:r>
        <w:rPr>
          <w:rFonts w:ascii="Trebuchet MS" w:hAnsi="Trebuchet MS" w:cs="Arial"/>
          <w:b/>
        </w:rPr>
        <w:tab/>
        <w:t>A.</w:t>
      </w:r>
      <w:r>
        <w:rPr>
          <w:rFonts w:ascii="Trebuchet MS" w:hAnsi="Trebuchet MS" w:cs="Arial"/>
        </w:rPr>
        <w:t xml:space="preserve"> Expertul tehnic judiciar </w:t>
      </w:r>
      <w:r>
        <w:rPr>
          <w:rFonts w:ascii="Trebuchet MS" w:hAnsi="Trebuchet MS" w:cs="Arial"/>
          <w:color w:val="000000"/>
        </w:rPr>
        <w:t xml:space="preserve">în specializarea evaluare imobiliară </w:t>
      </w:r>
      <w:r>
        <w:rPr>
          <w:rFonts w:ascii="Trebuchet MS" w:hAnsi="Trebuchet MS" w:cs="Arial"/>
        </w:rPr>
        <w:t>urmează sa verifice şi să-și spună punctul de vedere față de concluziile expertizei</w:t>
      </w:r>
      <w:r>
        <w:rPr>
          <w:rFonts w:ascii="Trebuchet MS" w:hAnsi="Trebuchet MS" w:cs="Arial"/>
          <w:b/>
        </w:rPr>
        <w:t>.</w:t>
      </w:r>
    </w:p>
    <w:p w:rsidR="004E286F" w:rsidRDefault="004E286F">
      <w:pPr>
        <w:pStyle w:val="Standard"/>
        <w:jc w:val="both"/>
        <w:rPr>
          <w:rFonts w:ascii="Trebuchet MS" w:hAnsi="Trebuchet MS" w:cs="Arial"/>
          <w:b/>
        </w:rPr>
      </w:pPr>
    </w:p>
    <w:p w:rsidR="004E286F" w:rsidRDefault="00F01005">
      <w:pPr>
        <w:pStyle w:val="Standard"/>
        <w:autoSpaceDE w:val="0"/>
        <w:jc w:val="both"/>
      </w:pPr>
      <w:r>
        <w:rPr>
          <w:rFonts w:ascii="Trebuchet MS" w:hAnsi="Trebuchet MS" w:cs="Arial"/>
          <w:b/>
          <w:lang w:eastAsia="ar-SA"/>
        </w:rPr>
        <w:tab/>
        <w:t>B.</w:t>
      </w:r>
      <w:r>
        <w:rPr>
          <w:rFonts w:ascii="Trebuchet MS" w:hAnsi="Trebuchet MS" w:cs="Arial"/>
          <w:lang w:eastAsia="ar-SA"/>
        </w:rPr>
        <w:t xml:space="preserve"> Expertul </w:t>
      </w:r>
      <w:r>
        <w:rPr>
          <w:rFonts w:ascii="Trebuchet MS" w:hAnsi="Trebuchet MS" w:cs="Arial"/>
          <w:lang w:eastAsia="ar-SA"/>
        </w:rPr>
        <w:t>angajat va participa la efectuarea lucrării în calitate de expert parte, precum şi după caz, va întocmi o lucrare separată cu privire la obiectivele expertizei dispuse de organul judiciar; va formula un răspuns la întrebările stabilite de organele judiciar</w:t>
      </w:r>
      <w:r>
        <w:rPr>
          <w:rFonts w:ascii="Trebuchet MS" w:hAnsi="Trebuchet MS" w:cs="Arial"/>
          <w:lang w:eastAsia="ar-SA"/>
        </w:rPr>
        <w:t>e pentru expertul tehnic judiciar desemnat sau la cele stabilite de către Ministerul Finanțelor, va formula observații la concluziile raportului de expertiză tehnică judiciară, la obiecțiunile formulate de celelalte părți şi la răspunsurile expertului judi</w:t>
      </w:r>
      <w:r>
        <w:rPr>
          <w:rFonts w:ascii="Trebuchet MS" w:hAnsi="Trebuchet MS" w:cs="Arial"/>
          <w:lang w:eastAsia="ar-SA"/>
        </w:rPr>
        <w:t>ciar, şi va susține punctul său de vedere, dacă este convocat de organele judiciare sau se solicită din partea Ministerului Finanțelor, în fața organelor judiciare,</w:t>
      </w:r>
      <w:r>
        <w:rPr>
          <w:rFonts w:ascii="Trebuchet MS" w:hAnsi="Trebuchet MS" w:cs="Arial"/>
          <w:color w:val="FF3333"/>
          <w:lang w:eastAsia="ar-SA"/>
        </w:rPr>
        <w:t xml:space="preserve"> </w:t>
      </w:r>
      <w:r>
        <w:rPr>
          <w:rFonts w:ascii="Trebuchet MS" w:hAnsi="Trebuchet MS" w:cs="Arial"/>
          <w:color w:val="000000"/>
          <w:lang w:eastAsia="ar-SA"/>
        </w:rPr>
        <w:t>toate aceste lucrări fiind efectuate fără plata unor sume suplimentare.</w:t>
      </w:r>
    </w:p>
    <w:p w:rsidR="004E286F" w:rsidRDefault="004E286F">
      <w:pPr>
        <w:pStyle w:val="Standard"/>
        <w:autoSpaceDE w:val="0"/>
        <w:jc w:val="both"/>
        <w:rPr>
          <w:rFonts w:ascii="Trebuchet MS" w:hAnsi="Trebuchet MS" w:cs="Arial"/>
          <w:color w:val="FF3333"/>
          <w:lang w:eastAsia="ar-SA"/>
        </w:rPr>
      </w:pPr>
    </w:p>
    <w:p w:rsidR="004E286F" w:rsidRDefault="00F01005">
      <w:pPr>
        <w:pStyle w:val="Standard"/>
        <w:autoSpaceDE w:val="0"/>
        <w:jc w:val="both"/>
      </w:pPr>
      <w:r>
        <w:rPr>
          <w:rFonts w:ascii="Trebuchet MS" w:hAnsi="Trebuchet MS" w:cs="Arial"/>
          <w:b/>
          <w:lang w:eastAsia="ar-SA"/>
        </w:rPr>
        <w:tab/>
        <w:t xml:space="preserve">4. </w:t>
      </w:r>
      <w:r>
        <w:rPr>
          <w:rFonts w:ascii="Trebuchet MS" w:hAnsi="Trebuchet MS" w:cs="Arial"/>
          <w:b/>
          <w:bCs/>
          <w:lang w:eastAsia="ar-SA"/>
        </w:rPr>
        <w:t>Durata contrac</w:t>
      </w:r>
      <w:r>
        <w:rPr>
          <w:rFonts w:ascii="Trebuchet MS" w:hAnsi="Trebuchet MS" w:cs="Arial"/>
          <w:b/>
          <w:bCs/>
          <w:lang w:eastAsia="ar-SA"/>
        </w:rPr>
        <w:t>tului</w:t>
      </w:r>
      <w:r>
        <w:rPr>
          <w:rFonts w:ascii="Trebuchet MS" w:hAnsi="Trebuchet MS" w:cs="Arial"/>
          <w:lang w:eastAsia="ar-SA"/>
        </w:rPr>
        <w:t xml:space="preserve">: </w:t>
      </w:r>
      <w:r>
        <w:rPr>
          <w:rFonts w:ascii="Trebuchet MS" w:hAnsi="Trebuchet MS" w:cs="Arial"/>
          <w:bCs/>
          <w:lang w:eastAsia="ar-SA" w:bidi="ar-SA"/>
        </w:rPr>
        <w:t xml:space="preserve">Contractul intră în vigoare la data semnării de către ambele părți și este valabil până la finalizarea dosarului nr. </w:t>
      </w:r>
      <w:r>
        <w:rPr>
          <w:rFonts w:ascii="Trebuchet MS" w:eastAsia="Arial" w:hAnsi="Trebuchet MS" w:cs="Arial"/>
          <w:b/>
          <w:bCs/>
          <w:color w:val="000000"/>
          <w:lang w:bidi="ar-SA"/>
        </w:rPr>
        <w:t>4624/117/2024</w:t>
      </w:r>
      <w:r>
        <w:rPr>
          <w:rFonts w:ascii="Trebuchet MS" w:hAnsi="Trebuchet MS" w:cs="Arial"/>
          <w:bCs/>
          <w:lang w:eastAsia="ar-SA" w:bidi="ar-SA"/>
        </w:rPr>
        <w:t>.</w:t>
      </w:r>
    </w:p>
    <w:p w:rsidR="004E286F" w:rsidRDefault="004E286F">
      <w:pPr>
        <w:pStyle w:val="Standard"/>
        <w:autoSpaceDE w:val="0"/>
        <w:jc w:val="both"/>
        <w:rPr>
          <w:rFonts w:ascii="Trebuchet MS" w:hAnsi="Trebuchet MS" w:cs="Arial"/>
          <w:lang w:eastAsia="ar-SA"/>
        </w:rPr>
      </w:pPr>
    </w:p>
    <w:p w:rsidR="004E286F" w:rsidRDefault="00F01005">
      <w:pPr>
        <w:pStyle w:val="Standard"/>
        <w:jc w:val="both"/>
      </w:pPr>
      <w:r>
        <w:rPr>
          <w:rFonts w:ascii="Trebuchet MS" w:hAnsi="Trebuchet MS" w:cs="Arial"/>
          <w:b/>
        </w:rPr>
        <w:tab/>
        <w:t>5.</w:t>
      </w:r>
      <w:r>
        <w:rPr>
          <w:rFonts w:ascii="Trebuchet MS" w:hAnsi="Trebuchet MS" w:cs="Arial"/>
          <w:b/>
          <w:color w:val="111111"/>
          <w:shd w:val="clear" w:color="auto" w:fill="FFFFFF"/>
        </w:rPr>
        <w:t>Cerințe minime</w:t>
      </w:r>
    </w:p>
    <w:p w:rsidR="004E286F" w:rsidRDefault="004E286F">
      <w:pPr>
        <w:pStyle w:val="DefaultText"/>
        <w:ind w:firstLine="540"/>
        <w:jc w:val="both"/>
        <w:rPr>
          <w:rFonts w:ascii="Trebuchet MS" w:hAnsi="Trebuchet MS" w:cs="Arial"/>
          <w:b/>
          <w:color w:val="111111"/>
          <w:shd w:val="clear" w:color="auto" w:fill="FFFFFF"/>
        </w:rPr>
      </w:pPr>
    </w:p>
    <w:p w:rsidR="004E286F" w:rsidRDefault="00F01005">
      <w:pPr>
        <w:pStyle w:val="DefaultText"/>
        <w:jc w:val="both"/>
      </w:pPr>
      <w:r>
        <w:rPr>
          <w:rFonts w:ascii="Trebuchet MS" w:hAnsi="Trebuchet MS" w:cs="Arial"/>
          <w:color w:val="111111"/>
          <w:shd w:val="clear" w:color="auto" w:fill="FFFFFF"/>
        </w:rPr>
        <w:tab/>
        <w:t xml:space="preserve">1. Expertul desemnat pentru îndeplinirea contractului </w:t>
      </w:r>
      <w:r>
        <w:rPr>
          <w:rFonts w:ascii="Trebuchet MS" w:hAnsi="Trebuchet MS" w:cs="Arial"/>
        </w:rPr>
        <w:t>trebuie să demonstreze că</w:t>
      </w:r>
      <w:r>
        <w:rPr>
          <w:rFonts w:ascii="Trebuchet MS" w:hAnsi="Trebuchet MS"/>
        </w:rPr>
        <w:t xml:space="preserve"> are calitatea de</w:t>
      </w:r>
      <w:r>
        <w:rPr>
          <w:rFonts w:ascii="Trebuchet MS" w:hAnsi="Trebuchet MS"/>
        </w:rPr>
        <w:t xml:space="preserve"> membru activ al ANEVAR și deține viza anuală de liberă practică, conform dispozițiilor Ordonanței Guvernului nr. 24/2011.</w:t>
      </w:r>
    </w:p>
    <w:p w:rsidR="004E286F" w:rsidRDefault="004E286F">
      <w:pPr>
        <w:pStyle w:val="DefaultText"/>
        <w:jc w:val="both"/>
        <w:rPr>
          <w:rFonts w:ascii="Trebuchet MS" w:hAnsi="Trebuchet MS"/>
        </w:rPr>
      </w:pPr>
    </w:p>
    <w:p w:rsidR="004E286F" w:rsidRDefault="00F01005">
      <w:pPr>
        <w:pStyle w:val="DefaultText"/>
        <w:jc w:val="both"/>
      </w:pPr>
      <w:r>
        <w:rPr>
          <w:rFonts w:ascii="Trebuchet MS" w:hAnsi="Trebuchet MS" w:cs="Arial"/>
          <w:lang w:eastAsia="ro-RO"/>
        </w:rPr>
        <w:tab/>
        <w:t>2. Expertul cheie desemnat pentru î</w:t>
      </w:r>
      <w:r>
        <w:rPr>
          <w:rFonts w:ascii="Trebuchet MS" w:hAnsi="Trebuchet MS" w:cs="Arial"/>
        </w:rPr>
        <w:t>ndeplinirea contractului va face dovada că a mai prestat servicii de expertiză în sensul întocmi</w:t>
      </w:r>
      <w:r>
        <w:rPr>
          <w:rFonts w:ascii="Trebuchet MS" w:hAnsi="Trebuchet MS" w:cs="Arial"/>
        </w:rPr>
        <w:t>rii unui raport de expertiză în specializarea evaluare imobiliară.</w:t>
      </w:r>
    </w:p>
    <w:p w:rsidR="004E286F" w:rsidRDefault="00F01005">
      <w:pPr>
        <w:pStyle w:val="DefaultText"/>
        <w:jc w:val="both"/>
        <w:rPr>
          <w:rFonts w:ascii="Trebuchet MS" w:eastAsia="Arial" w:hAnsi="Trebuchet MS" w:cs="Arial"/>
          <w:bCs/>
          <w:shd w:val="clear" w:color="auto" w:fill="FFFFFF"/>
          <w:lang w:eastAsia="ro-RO"/>
        </w:rPr>
      </w:pPr>
      <w:r>
        <w:rPr>
          <w:rFonts w:ascii="Trebuchet MS" w:eastAsia="Arial" w:hAnsi="Trebuchet MS" w:cs="Arial"/>
          <w:bCs/>
          <w:shd w:val="clear" w:color="auto" w:fill="FFFFFF"/>
          <w:lang w:eastAsia="ro-RO"/>
        </w:rPr>
        <w:tab/>
      </w:r>
    </w:p>
    <w:p w:rsidR="004E286F" w:rsidRDefault="00F01005">
      <w:pPr>
        <w:pStyle w:val="Default"/>
        <w:jc w:val="both"/>
        <w:rPr>
          <w:rFonts w:ascii="Trebuchet MS" w:hAnsi="Trebuchet MS"/>
          <w:b/>
          <w:bCs/>
          <w:lang w:val="ro-RO"/>
        </w:rPr>
      </w:pPr>
      <w:r>
        <w:rPr>
          <w:rFonts w:ascii="Trebuchet MS" w:hAnsi="Trebuchet MS"/>
          <w:b/>
          <w:bCs/>
          <w:lang w:val="ro-RO"/>
        </w:rPr>
        <w:tab/>
        <w:t>6. Legislația aplicată</w:t>
      </w:r>
    </w:p>
    <w:p w:rsidR="004E286F" w:rsidRDefault="004E286F">
      <w:pPr>
        <w:pStyle w:val="Default"/>
        <w:jc w:val="both"/>
        <w:rPr>
          <w:rFonts w:ascii="Trebuchet MS" w:hAnsi="Trebuchet MS"/>
          <w:b/>
          <w:bCs/>
          <w:lang w:val="ro-RO"/>
        </w:rPr>
      </w:pPr>
    </w:p>
    <w:p w:rsidR="004E286F" w:rsidRDefault="00F01005">
      <w:pPr>
        <w:pStyle w:val="Default"/>
        <w:jc w:val="both"/>
        <w:rPr>
          <w:rFonts w:ascii="Trebuchet MS" w:hAnsi="Trebuchet MS"/>
          <w:lang w:val="ro-RO"/>
        </w:rPr>
      </w:pPr>
      <w:r>
        <w:rPr>
          <w:rFonts w:ascii="Trebuchet MS" w:hAnsi="Trebuchet MS"/>
          <w:lang w:val="ro-RO"/>
        </w:rPr>
        <w:tab/>
        <w:t>a) Legea nr. 98/2016, privind achizițiile publice, cu modificările şi completările ulterioare;</w:t>
      </w:r>
    </w:p>
    <w:p w:rsidR="004E286F" w:rsidRDefault="00F01005">
      <w:pPr>
        <w:pStyle w:val="Default"/>
        <w:jc w:val="both"/>
      </w:pPr>
      <w:r>
        <w:rPr>
          <w:rFonts w:ascii="Trebuchet MS" w:hAnsi="Trebuchet MS"/>
          <w:lang w:val="ro-RO"/>
        </w:rPr>
        <w:tab/>
        <w:t xml:space="preserve">b) H.G. nr. </w:t>
      </w:r>
      <w:r>
        <w:rPr>
          <w:rFonts w:ascii="Trebuchet MS" w:hAnsi="Trebuchet MS"/>
          <w:color w:val="030303"/>
          <w:spacing w:val="-15"/>
          <w:lang w:val="ro-RO"/>
        </w:rPr>
        <w:t>395/2016 pentru aprobarea Normelor metodologice de ap</w:t>
      </w:r>
      <w:r>
        <w:rPr>
          <w:rFonts w:ascii="Trebuchet MS" w:hAnsi="Trebuchet MS"/>
          <w:color w:val="030303"/>
          <w:spacing w:val="-15"/>
          <w:lang w:val="ro-RO"/>
        </w:rPr>
        <w:t>licare a prevederilor referitoare la atribuirea contractului de achiziție publică/acordului-cadru din Legea nr. 98/2016 privind achizițiile publice</w:t>
      </w:r>
      <w:r>
        <w:rPr>
          <w:rFonts w:ascii="Trebuchet MS" w:hAnsi="Trebuchet MS"/>
          <w:lang w:val="ro-RO"/>
        </w:rPr>
        <w:t>, cu modificările şi completările ulterioare;</w:t>
      </w:r>
    </w:p>
    <w:p w:rsidR="004E286F" w:rsidRDefault="00F01005">
      <w:pPr>
        <w:pStyle w:val="Default"/>
        <w:jc w:val="both"/>
        <w:rPr>
          <w:rFonts w:ascii="Trebuchet MS" w:hAnsi="Trebuchet MS"/>
          <w:lang w:val="ro-RO"/>
        </w:rPr>
      </w:pPr>
      <w:r>
        <w:rPr>
          <w:rFonts w:ascii="Trebuchet MS" w:hAnsi="Trebuchet MS"/>
          <w:lang w:val="ro-RO"/>
        </w:rPr>
        <w:t xml:space="preserve">          c) Lege nr. 554/2004, privind contenciosul administra</w:t>
      </w:r>
      <w:r>
        <w:rPr>
          <w:rFonts w:ascii="Trebuchet MS" w:hAnsi="Trebuchet MS"/>
          <w:lang w:val="ro-RO"/>
        </w:rPr>
        <w:t>tiv;</w:t>
      </w:r>
    </w:p>
    <w:p w:rsidR="004E286F" w:rsidRDefault="00F01005">
      <w:pPr>
        <w:pStyle w:val="Default"/>
        <w:spacing w:after="140"/>
        <w:jc w:val="both"/>
        <w:rPr>
          <w:rFonts w:ascii="Trebuchet MS" w:hAnsi="Trebuchet MS"/>
          <w:lang w:val="ro-RO"/>
        </w:rPr>
      </w:pPr>
      <w:r>
        <w:rPr>
          <w:rFonts w:ascii="Trebuchet MS" w:hAnsi="Trebuchet MS"/>
          <w:lang w:val="ro-RO"/>
        </w:rPr>
        <w:tab/>
        <w:t>c) alte acte normative ce guvernează achizițiile publice.</w:t>
      </w:r>
    </w:p>
    <w:p w:rsidR="004E286F" w:rsidRDefault="00F01005">
      <w:pPr>
        <w:pStyle w:val="Default"/>
        <w:spacing w:after="140"/>
        <w:jc w:val="both"/>
      </w:pPr>
      <w:r>
        <w:rPr>
          <w:rFonts w:ascii="Trebuchet MS" w:hAnsi="Trebuchet MS"/>
          <w:b/>
          <w:bCs/>
          <w:lang w:val="ro-RO"/>
        </w:rPr>
        <w:tab/>
        <w:t xml:space="preserve">7. Sursa de finanțare: </w:t>
      </w:r>
      <w:r>
        <w:rPr>
          <w:rFonts w:ascii="Trebuchet MS" w:hAnsi="Trebuchet MS"/>
          <w:lang w:val="ro-RO"/>
        </w:rPr>
        <w:t>bugetul de stat</w:t>
      </w:r>
    </w:p>
    <w:p w:rsidR="004E286F" w:rsidRDefault="00F01005">
      <w:pPr>
        <w:pStyle w:val="BodyText"/>
      </w:pPr>
      <w:r>
        <w:rPr>
          <w:b/>
          <w:bCs/>
          <w:sz w:val="24"/>
        </w:rPr>
        <w:tab/>
        <w:t xml:space="preserve">8. </w:t>
      </w:r>
      <w:r>
        <w:rPr>
          <w:rFonts w:cs="Arial"/>
          <w:b/>
          <w:bCs/>
          <w:sz w:val="24"/>
          <w:lang w:eastAsia="ro-RO"/>
        </w:rPr>
        <w:t xml:space="preserve">Criteriul de atribuire: </w:t>
      </w:r>
      <w:r>
        <w:rPr>
          <w:rFonts w:cs="Arial"/>
          <w:sz w:val="24"/>
        </w:rPr>
        <w:t>ofertele cele mai avantajoase din punct de vedere tehnico – economic.</w:t>
      </w:r>
    </w:p>
    <w:p w:rsidR="004E286F" w:rsidRDefault="00F01005">
      <w:pPr>
        <w:pStyle w:val="BodyText"/>
        <w:rPr>
          <w:rFonts w:cs="Arial"/>
          <w:sz w:val="24"/>
        </w:rPr>
      </w:pPr>
      <w:r>
        <w:rPr>
          <w:rFonts w:cs="Arial"/>
          <w:sz w:val="24"/>
        </w:rPr>
        <w:t>1.Prețul ofertei (40 puncte)</w:t>
      </w:r>
    </w:p>
    <w:p w:rsidR="004E286F" w:rsidRDefault="00F01005">
      <w:pPr>
        <w:pStyle w:val="BodyText"/>
        <w:suppressAutoHyphens w:val="0"/>
        <w:spacing w:after="0"/>
        <w:rPr>
          <w:rFonts w:cs="Arial"/>
          <w:sz w:val="24"/>
        </w:rPr>
      </w:pPr>
      <w:r>
        <w:rPr>
          <w:rFonts w:cs="Arial"/>
          <w:sz w:val="24"/>
        </w:rPr>
        <w:t xml:space="preserve">2.Tehnic - experiența </w:t>
      </w:r>
      <w:r>
        <w:rPr>
          <w:rFonts w:cs="Arial"/>
          <w:sz w:val="24"/>
        </w:rPr>
        <w:t xml:space="preserve">similarã a experților propuși pentru îndeplinirea contractului (60 </w:t>
      </w:r>
      <w:r>
        <w:rPr>
          <w:rFonts w:cs="Arial"/>
          <w:sz w:val="24"/>
        </w:rPr>
        <w:lastRenderedPageBreak/>
        <w:t>puncte) astfel:</w:t>
      </w:r>
    </w:p>
    <w:p w:rsidR="004E286F" w:rsidRDefault="00F01005">
      <w:pPr>
        <w:pStyle w:val="BodyText"/>
        <w:suppressAutoHyphens w:val="0"/>
        <w:spacing w:after="0"/>
        <w:rPr>
          <w:rFonts w:cs="Arial"/>
          <w:sz w:val="24"/>
        </w:rPr>
      </w:pPr>
      <w:r>
        <w:rPr>
          <w:rFonts w:cs="Arial"/>
          <w:sz w:val="24"/>
        </w:rPr>
        <w:t>-10 puncte – pentru prezentarea a douã rapoarte de expertizã</w:t>
      </w:r>
    </w:p>
    <w:p w:rsidR="004E286F" w:rsidRDefault="00F01005">
      <w:pPr>
        <w:pStyle w:val="BodyText"/>
        <w:suppressAutoHyphens w:val="0"/>
        <w:spacing w:after="0"/>
        <w:rPr>
          <w:rFonts w:cs="Arial"/>
          <w:sz w:val="24"/>
        </w:rPr>
      </w:pPr>
      <w:r>
        <w:rPr>
          <w:rFonts w:cs="Arial"/>
          <w:sz w:val="24"/>
        </w:rPr>
        <w:t>-20 puncte – pentru prezentarea a trei rapoarte de expertizã</w:t>
      </w:r>
    </w:p>
    <w:p w:rsidR="004E286F" w:rsidRDefault="00F01005">
      <w:pPr>
        <w:pStyle w:val="BodyText"/>
        <w:suppressAutoHyphens w:val="0"/>
        <w:spacing w:after="0"/>
        <w:rPr>
          <w:rFonts w:cs="Arial"/>
          <w:sz w:val="24"/>
        </w:rPr>
      </w:pPr>
      <w:r>
        <w:rPr>
          <w:rFonts w:cs="Arial"/>
          <w:sz w:val="24"/>
        </w:rPr>
        <w:t>-30 puncte – pentru prezentarea a patru rapoarte de</w:t>
      </w:r>
      <w:r>
        <w:rPr>
          <w:rFonts w:cs="Arial"/>
          <w:sz w:val="24"/>
        </w:rPr>
        <w:t xml:space="preserve"> expertizã</w:t>
      </w:r>
    </w:p>
    <w:p w:rsidR="004E286F" w:rsidRDefault="00F01005">
      <w:pPr>
        <w:pStyle w:val="BodyText"/>
        <w:suppressAutoHyphens w:val="0"/>
        <w:spacing w:after="0"/>
        <w:rPr>
          <w:rFonts w:cs="Arial"/>
          <w:sz w:val="24"/>
        </w:rPr>
      </w:pPr>
      <w:r>
        <w:rPr>
          <w:rFonts w:cs="Arial"/>
          <w:sz w:val="24"/>
        </w:rPr>
        <w:t>-40 puncte – pentru prezentarea a cinci rapoarte de expertizã</w:t>
      </w:r>
    </w:p>
    <w:p w:rsidR="004E286F" w:rsidRDefault="00F01005">
      <w:pPr>
        <w:pStyle w:val="BodyText"/>
        <w:suppressAutoHyphens w:val="0"/>
        <w:spacing w:after="0"/>
        <w:rPr>
          <w:rFonts w:cs="Arial"/>
          <w:sz w:val="24"/>
        </w:rPr>
      </w:pPr>
      <w:r>
        <w:rPr>
          <w:rFonts w:cs="Arial"/>
          <w:sz w:val="24"/>
        </w:rPr>
        <w:t>-50 puncte – pentru prezentarea a șase rapoarte de expertizã</w:t>
      </w:r>
    </w:p>
    <w:p w:rsidR="004E286F" w:rsidRDefault="00F01005">
      <w:pPr>
        <w:pStyle w:val="BodyText"/>
        <w:suppressAutoHyphens w:val="0"/>
        <w:spacing w:after="0"/>
        <w:rPr>
          <w:rFonts w:cs="Arial"/>
          <w:sz w:val="24"/>
        </w:rPr>
      </w:pPr>
      <w:r>
        <w:rPr>
          <w:rFonts w:cs="Arial"/>
          <w:sz w:val="24"/>
        </w:rPr>
        <w:t>-60 puncte – pentru prezentarea a șapte rapoarte de expertizã</w:t>
      </w:r>
    </w:p>
    <w:p w:rsidR="004E286F" w:rsidRDefault="00F01005">
      <w:pPr>
        <w:pStyle w:val="BodyText"/>
        <w:rPr>
          <w:rFonts w:cs="Arial"/>
          <w:sz w:val="24"/>
        </w:rPr>
      </w:pPr>
      <w:r>
        <w:rPr>
          <w:rFonts w:cs="Arial"/>
          <w:sz w:val="24"/>
        </w:rPr>
        <w:t xml:space="preserve">Rapoartele de expertizã prezentate atât pentru demonstrarea </w:t>
      </w:r>
      <w:r>
        <w:rPr>
          <w:rFonts w:cs="Arial"/>
          <w:sz w:val="24"/>
        </w:rPr>
        <w:t>experienței experților cât și pentru obținerea de puncte suplimentare trebuie sã fie din domeniul pentru care se depune oferta. În sens contrar acestea nu vor putea fi punctate.</w:t>
      </w:r>
    </w:p>
    <w:p w:rsidR="004E286F" w:rsidRDefault="00F01005">
      <w:pPr>
        <w:pStyle w:val="BodyText"/>
        <w:rPr>
          <w:rFonts w:cs="Arial"/>
          <w:sz w:val="24"/>
        </w:rPr>
      </w:pPr>
      <w:r>
        <w:rPr>
          <w:rFonts w:cs="Arial"/>
          <w:sz w:val="24"/>
        </w:rPr>
        <w:t xml:space="preserve">P1 – Propunerea financiarã – maximum 40 de puncte </w:t>
      </w:r>
    </w:p>
    <w:p w:rsidR="004E286F" w:rsidRDefault="00F01005">
      <w:pPr>
        <w:pStyle w:val="BodyText"/>
        <w:rPr>
          <w:rFonts w:cs="Arial"/>
          <w:sz w:val="24"/>
        </w:rPr>
      </w:pPr>
      <w:r>
        <w:rPr>
          <w:rFonts w:cs="Arial"/>
          <w:sz w:val="24"/>
        </w:rPr>
        <w:t>Propunerea financiarã = tar</w:t>
      </w:r>
      <w:r>
        <w:rPr>
          <w:rFonts w:cs="Arial"/>
          <w:sz w:val="24"/>
        </w:rPr>
        <w:t xml:space="preserve">if/orã (lei, fãrã TVA) x numãrul de ore estimat </w:t>
      </w:r>
    </w:p>
    <w:p w:rsidR="004E286F" w:rsidRDefault="00F01005">
      <w:pPr>
        <w:pStyle w:val="BodyText"/>
        <w:suppressAutoHyphens w:val="0"/>
        <w:spacing w:after="0"/>
        <w:rPr>
          <w:rFonts w:cs="Arial"/>
          <w:sz w:val="24"/>
        </w:rPr>
      </w:pPr>
      <w:r>
        <w:rPr>
          <w:rFonts w:cs="Arial"/>
          <w:sz w:val="24"/>
        </w:rPr>
        <w:t>Prețul luat în considerare va fi cel ofertat. Pentru factorul de evaluare „Propunerea financiarã” – P1 punctajul se va acorda astfel:</w:t>
      </w:r>
    </w:p>
    <w:p w:rsidR="004E286F" w:rsidRDefault="00F01005">
      <w:pPr>
        <w:pStyle w:val="BodyText"/>
        <w:suppressAutoHyphens w:val="0"/>
        <w:spacing w:after="0"/>
        <w:rPr>
          <w:rFonts w:cs="Arial"/>
          <w:sz w:val="24"/>
        </w:rPr>
      </w:pPr>
      <w:r>
        <w:rPr>
          <w:rFonts w:cs="Arial"/>
          <w:sz w:val="24"/>
        </w:rPr>
        <w:t>a) pentru cel mai scãzut dintre prețurile ofertelor se acordã punctajul m</w:t>
      </w:r>
      <w:r>
        <w:rPr>
          <w:rFonts w:cs="Arial"/>
          <w:sz w:val="24"/>
        </w:rPr>
        <w:t>axim alocat factorului de evaluare:</w:t>
      </w:r>
    </w:p>
    <w:p w:rsidR="004E286F" w:rsidRDefault="00F01005">
      <w:pPr>
        <w:pStyle w:val="BodyText"/>
        <w:suppressAutoHyphens w:val="0"/>
        <w:spacing w:after="0"/>
        <w:rPr>
          <w:rFonts w:cs="Arial"/>
          <w:sz w:val="24"/>
        </w:rPr>
      </w:pPr>
      <w:r>
        <w:rPr>
          <w:rFonts w:cs="Arial"/>
          <w:sz w:val="24"/>
        </w:rPr>
        <w:t>P1 = 40 puncte = preț minim;</w:t>
      </w:r>
    </w:p>
    <w:p w:rsidR="004E286F" w:rsidRDefault="00F01005">
      <w:pPr>
        <w:pStyle w:val="BodyText"/>
        <w:suppressAutoHyphens w:val="0"/>
        <w:spacing w:after="0"/>
        <w:rPr>
          <w:rFonts w:cs="Arial"/>
          <w:sz w:val="24"/>
        </w:rPr>
      </w:pPr>
      <w:r>
        <w:rPr>
          <w:rFonts w:cs="Arial"/>
          <w:sz w:val="24"/>
        </w:rPr>
        <w:t>b) pentru alt preț decât cel prevãzut la lit. a) punctajul se calculeazã dupã algoritmul:</w:t>
      </w:r>
    </w:p>
    <w:p w:rsidR="004E286F" w:rsidRDefault="00F01005">
      <w:pPr>
        <w:pStyle w:val="BodyText"/>
        <w:suppressAutoHyphens w:val="0"/>
        <w:spacing w:after="0"/>
        <w:rPr>
          <w:rFonts w:cs="Arial"/>
          <w:sz w:val="24"/>
        </w:rPr>
      </w:pPr>
      <w:r>
        <w:rPr>
          <w:rFonts w:cs="Arial"/>
          <w:sz w:val="24"/>
        </w:rPr>
        <w:t>P1n= (preþ minim/Pn) * 40.</w:t>
      </w:r>
    </w:p>
    <w:p w:rsidR="004E286F" w:rsidRDefault="00F01005">
      <w:pPr>
        <w:pStyle w:val="BodyText"/>
        <w:suppressAutoHyphens w:val="0"/>
        <w:spacing w:after="0"/>
        <w:rPr>
          <w:rFonts w:cs="Arial"/>
          <w:sz w:val="24"/>
        </w:rPr>
      </w:pPr>
      <w:r>
        <w:rPr>
          <w:rFonts w:cs="Arial"/>
          <w:sz w:val="24"/>
        </w:rPr>
        <w:t>unde: P1n= punctaj factor de evaluare al ofertei financiare curente</w:t>
      </w:r>
    </w:p>
    <w:p w:rsidR="004E286F" w:rsidRDefault="00F01005">
      <w:pPr>
        <w:pStyle w:val="BodyText"/>
        <w:suppressAutoHyphens w:val="0"/>
        <w:spacing w:after="0"/>
        <w:rPr>
          <w:rFonts w:cs="Arial"/>
          <w:sz w:val="24"/>
        </w:rPr>
      </w:pPr>
      <w:r>
        <w:rPr>
          <w:rFonts w:cs="Arial"/>
          <w:sz w:val="24"/>
        </w:rPr>
        <w:t>Preț m</w:t>
      </w:r>
      <w:r>
        <w:rPr>
          <w:rFonts w:cs="Arial"/>
          <w:sz w:val="24"/>
        </w:rPr>
        <w:t xml:space="preserve">inim = preþul cel mai scãzut oferit de ofertanți pentru realizarea contractului </w:t>
      </w:r>
    </w:p>
    <w:p w:rsidR="004E286F" w:rsidRDefault="00F01005">
      <w:pPr>
        <w:pStyle w:val="BodyText"/>
        <w:suppressAutoHyphens w:val="0"/>
        <w:spacing w:after="0"/>
        <w:rPr>
          <w:rFonts w:cs="Arial"/>
          <w:sz w:val="24"/>
        </w:rPr>
      </w:pPr>
      <w:r>
        <w:rPr>
          <w:rFonts w:cs="Arial"/>
          <w:sz w:val="24"/>
        </w:rPr>
        <w:t>Pn = preþul ofertei curente</w:t>
      </w:r>
    </w:p>
    <w:p w:rsidR="004E286F" w:rsidRDefault="00F01005">
      <w:pPr>
        <w:pStyle w:val="BodyText"/>
        <w:suppressAutoHyphens w:val="0"/>
        <w:spacing w:after="0"/>
        <w:rPr>
          <w:rFonts w:cs="Arial"/>
          <w:sz w:val="24"/>
        </w:rPr>
      </w:pPr>
      <w:r>
        <w:rPr>
          <w:rFonts w:cs="Arial"/>
          <w:sz w:val="24"/>
        </w:rPr>
        <w:t>P2 – Calitatea ofertei tehnice – maximum 60 de puncte</w:t>
      </w:r>
    </w:p>
    <w:p w:rsidR="004E286F" w:rsidRDefault="00F01005">
      <w:pPr>
        <w:pStyle w:val="BodyText"/>
        <w:suppressAutoHyphens w:val="0"/>
        <w:spacing w:after="0"/>
        <w:rPr>
          <w:rFonts w:cs="Arial"/>
          <w:sz w:val="24"/>
        </w:rPr>
      </w:pPr>
      <w:r>
        <w:rPr>
          <w:rFonts w:cs="Arial"/>
          <w:sz w:val="24"/>
        </w:rPr>
        <w:t>Punctajul final (PFn) pentru fiecare ofertã se va obține însumând punctajele pentru fiecare f</w:t>
      </w:r>
      <w:r>
        <w:rPr>
          <w:rFonts w:cs="Arial"/>
          <w:sz w:val="24"/>
        </w:rPr>
        <w:t xml:space="preserve">actor de evaluare. </w:t>
      </w:r>
    </w:p>
    <w:p w:rsidR="004E286F" w:rsidRDefault="00F01005">
      <w:pPr>
        <w:pStyle w:val="BodyText"/>
        <w:suppressAutoHyphens w:val="0"/>
        <w:spacing w:after="0"/>
        <w:rPr>
          <w:rFonts w:cs="Arial"/>
          <w:sz w:val="24"/>
        </w:rPr>
      </w:pPr>
      <w:r>
        <w:rPr>
          <w:rFonts w:cs="Arial"/>
          <w:sz w:val="24"/>
        </w:rPr>
        <w:t>PFn = P1n + P2</w:t>
      </w:r>
    </w:p>
    <w:p w:rsidR="004E286F" w:rsidRDefault="004E286F">
      <w:pPr>
        <w:pStyle w:val="Default"/>
        <w:jc w:val="both"/>
        <w:rPr>
          <w:rFonts w:ascii="Trebuchet MS" w:hAnsi="Trebuchet MS"/>
          <w:lang w:val="ro-RO"/>
        </w:rPr>
      </w:pPr>
    </w:p>
    <w:p w:rsidR="004E286F" w:rsidRDefault="00F01005">
      <w:pPr>
        <w:pStyle w:val="Standard"/>
        <w:jc w:val="both"/>
      </w:pPr>
      <w:r>
        <w:rPr>
          <w:rFonts w:ascii="Trebuchet MS" w:hAnsi="Trebuchet MS" w:cs="Arial"/>
          <w:b/>
          <w:bCs/>
          <w:lang w:eastAsia="ro-RO"/>
        </w:rPr>
        <w:t xml:space="preserve"> </w:t>
      </w:r>
      <w:r>
        <w:rPr>
          <w:rFonts w:ascii="Trebuchet MS" w:hAnsi="Trebuchet MS" w:cs="Arial"/>
          <w:b/>
          <w:bCs/>
          <w:lang w:eastAsia="ro-RO"/>
        </w:rPr>
        <w:tab/>
      </w:r>
      <w:r>
        <w:rPr>
          <w:rFonts w:ascii="Trebuchet MS" w:hAnsi="Trebuchet MS"/>
          <w:b/>
          <w:bCs/>
        </w:rPr>
        <w:t>9. Valoarea estimată</w:t>
      </w:r>
      <w:r>
        <w:rPr>
          <w:rFonts w:ascii="Trebuchet MS" w:hAnsi="Trebuchet MS"/>
        </w:rPr>
        <w:t xml:space="preserve">: </w:t>
      </w:r>
      <w:bookmarkStart w:id="1" w:name="__DdeLink__14860_3693320955"/>
      <w:r>
        <w:rPr>
          <w:rFonts w:ascii="Trebuchet MS" w:hAnsi="Trebuchet MS" w:cs="Arial"/>
          <w:color w:val="000000"/>
          <w:lang w:eastAsia="ro-RO" w:bidi="ar-SA"/>
        </w:rPr>
        <w:t>suma de 22.860 lei reprezent</w:t>
      </w:r>
      <w:r>
        <w:rPr>
          <w:rFonts w:ascii="Trebuchet MS" w:hAnsi="Trebuchet MS"/>
          <w:color w:val="000000"/>
        </w:rPr>
        <w:t>ând echivalentul sumei de 4500 euro fără TVA, respectiv 27.203,4 lei TVA inclus reprezentând echivalentul a 5.355 euro TVA inclus, la cursul de 5,08 lei -1 euro, curs B</w:t>
      </w:r>
      <w:r>
        <w:rPr>
          <w:rFonts w:ascii="Trebuchet MS" w:hAnsi="Trebuchet MS"/>
          <w:color w:val="000000"/>
        </w:rPr>
        <w:t xml:space="preserve">NR din data de 20.05.2025.  </w:t>
      </w:r>
    </w:p>
    <w:p w:rsidR="004E286F" w:rsidRDefault="004E286F">
      <w:pPr>
        <w:pStyle w:val="Standard"/>
        <w:jc w:val="both"/>
        <w:rPr>
          <w:rFonts w:ascii="Trebuchet MS" w:hAnsi="Trebuchet MS" w:cs="Arial"/>
          <w:color w:val="000000"/>
          <w:lang w:eastAsia="ro-RO" w:bidi="ar-SA"/>
        </w:rPr>
      </w:pPr>
    </w:p>
    <w:p w:rsidR="004E286F" w:rsidRDefault="00F01005">
      <w:pPr>
        <w:pStyle w:val="Default"/>
        <w:jc w:val="both"/>
      </w:pPr>
      <w:r>
        <w:rPr>
          <w:rFonts w:ascii="Trebuchet MS" w:hAnsi="Trebuchet MS"/>
          <w:b/>
          <w:bCs/>
          <w:lang w:val="ro-RO"/>
        </w:rPr>
        <w:tab/>
        <w:t>10. Adresa achizitorului</w:t>
      </w:r>
      <w:r>
        <w:rPr>
          <w:rFonts w:ascii="Trebuchet MS" w:hAnsi="Trebuchet MS"/>
          <w:lang w:val="ro-RO"/>
        </w:rPr>
        <w:t>: Ministerul Finanțelor, Bd. Libertății nr. 16, Sector 5, București.</w:t>
      </w:r>
    </w:p>
    <w:p w:rsidR="004E286F" w:rsidRDefault="004E286F">
      <w:pPr>
        <w:pStyle w:val="Default"/>
        <w:jc w:val="both"/>
        <w:rPr>
          <w:rFonts w:ascii="Trebuchet MS" w:hAnsi="Trebuchet MS"/>
          <w:lang w:val="ro-RO"/>
        </w:rPr>
      </w:pPr>
    </w:p>
    <w:p w:rsidR="004E286F" w:rsidRDefault="00F01005">
      <w:pPr>
        <w:pStyle w:val="Default"/>
        <w:jc w:val="both"/>
        <w:rPr>
          <w:rFonts w:ascii="Trebuchet MS" w:hAnsi="Trebuchet MS"/>
          <w:b/>
          <w:bCs/>
          <w:lang w:val="ro-RO"/>
        </w:rPr>
      </w:pPr>
      <w:r>
        <w:rPr>
          <w:rFonts w:ascii="Trebuchet MS" w:hAnsi="Trebuchet MS"/>
          <w:b/>
          <w:bCs/>
          <w:lang w:val="ro-RO"/>
        </w:rPr>
        <w:tab/>
        <w:t>11. RECEPȚIA</w:t>
      </w:r>
    </w:p>
    <w:p w:rsidR="004E286F" w:rsidRDefault="00F01005">
      <w:pPr>
        <w:pStyle w:val="Default"/>
        <w:jc w:val="both"/>
        <w:rPr>
          <w:rFonts w:ascii="Trebuchet MS" w:hAnsi="Trebuchet MS"/>
          <w:lang w:val="ro-RO"/>
        </w:rPr>
      </w:pPr>
      <w:r>
        <w:rPr>
          <w:rFonts w:ascii="Trebuchet MS" w:hAnsi="Trebuchet MS"/>
          <w:lang w:val="ro-RO"/>
        </w:rPr>
        <w:tab/>
        <w:t xml:space="preserve">Bunurile urmează să fie livrate pe suport de hârtie. Recepția se efectuează printr-un proces - verbal semnat de </w:t>
      </w:r>
      <w:r>
        <w:rPr>
          <w:rFonts w:ascii="Trebuchet MS" w:hAnsi="Trebuchet MS"/>
          <w:lang w:val="ro-RO"/>
        </w:rPr>
        <w:t>reprezentanții părților contractante care constituie anexă la factură.</w:t>
      </w:r>
    </w:p>
    <w:p w:rsidR="004E286F" w:rsidRDefault="004E286F">
      <w:pPr>
        <w:pStyle w:val="Default"/>
        <w:jc w:val="both"/>
        <w:rPr>
          <w:rFonts w:ascii="Trebuchet MS" w:hAnsi="Trebuchet MS"/>
          <w:lang w:val="ro-RO"/>
        </w:rPr>
      </w:pPr>
    </w:p>
    <w:p w:rsidR="004E286F" w:rsidRDefault="00F01005">
      <w:pPr>
        <w:pStyle w:val="Default"/>
        <w:jc w:val="both"/>
      </w:pPr>
      <w:r>
        <w:rPr>
          <w:rFonts w:ascii="Trebuchet MS" w:hAnsi="Trebuchet MS"/>
          <w:b/>
          <w:bCs/>
          <w:lang w:val="ro-RO"/>
        </w:rPr>
        <w:tab/>
        <w:t xml:space="preserve">12. </w:t>
      </w:r>
      <w:r>
        <w:rPr>
          <w:rFonts w:ascii="Trebuchet MS" w:hAnsi="Trebuchet MS"/>
          <w:lang w:val="ro-RO"/>
        </w:rPr>
        <w:t xml:space="preserve">Plata facturilor se va efectua conform dispozițiilor Legii nr. 72/2013 privind măsurile pentru combaterea întârzierii în executarea obligațiilor de plată a unor sume de bani </w:t>
      </w:r>
      <w:r>
        <w:rPr>
          <w:rFonts w:ascii="Trebuchet MS" w:hAnsi="Trebuchet MS"/>
          <w:lang w:val="ro-RO"/>
        </w:rPr>
        <w:t xml:space="preserve">rezultând din contractele încheiate între profesioniști şi între aceștia şi autoritățile contractante și potrivit prevederilor O.U.G nr. 120/2021, aprobată cu modificări prin Legea nr. 139/2022, în baza facturii fiscale emise în sistemul                   </w:t>
      </w:r>
      <w:r>
        <w:rPr>
          <w:rFonts w:ascii="Trebuchet MS" w:hAnsi="Trebuchet MS"/>
          <w:lang w:val="ro-RO"/>
        </w:rPr>
        <w:t xml:space="preserve"> Ro-eFactura, în funcție de forma de organizare a ofertantului.</w:t>
      </w:r>
    </w:p>
    <w:p w:rsidR="004E286F" w:rsidRDefault="004E286F">
      <w:pPr>
        <w:pStyle w:val="Default"/>
        <w:jc w:val="both"/>
        <w:rPr>
          <w:rFonts w:ascii="Trebuchet MS" w:hAnsi="Trebuchet MS"/>
          <w:lang w:val="ro-RO"/>
        </w:rPr>
      </w:pPr>
    </w:p>
    <w:p w:rsidR="004E286F" w:rsidRDefault="004E286F">
      <w:pPr>
        <w:pStyle w:val="Default"/>
        <w:jc w:val="both"/>
        <w:rPr>
          <w:rFonts w:ascii="Trebuchet MS" w:hAnsi="Trebuchet MS"/>
          <w:lang w:val="ro-RO"/>
        </w:rPr>
      </w:pPr>
    </w:p>
    <w:p w:rsidR="004E286F" w:rsidRDefault="004E286F">
      <w:pPr>
        <w:pStyle w:val="Default"/>
        <w:jc w:val="both"/>
        <w:rPr>
          <w:rFonts w:ascii="Trebuchet MS" w:hAnsi="Trebuchet MS"/>
          <w:lang w:val="ro-RO"/>
        </w:rPr>
      </w:pPr>
    </w:p>
    <w:bookmarkEnd w:id="1"/>
    <w:p w:rsidR="004E286F" w:rsidRDefault="004E286F">
      <w:pPr>
        <w:pStyle w:val="Standard"/>
        <w:jc w:val="center"/>
        <w:rPr>
          <w:rFonts w:ascii="Trebuchet MS" w:eastAsia="Times New Roman" w:hAnsi="Trebuchet MS" w:cs="Arial"/>
          <w:color w:val="000000"/>
          <w:lang w:bidi="ar-SA"/>
        </w:rPr>
      </w:pPr>
    </w:p>
    <w:sectPr w:rsidR="004E286F">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005" w:rsidRDefault="00F01005">
      <w:r>
        <w:separator/>
      </w:r>
    </w:p>
  </w:endnote>
  <w:endnote w:type="continuationSeparator" w:id="0">
    <w:p w:rsidR="00F01005" w:rsidRDefault="00F0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F58" w:rsidRDefault="00F01005">
    <w:pPr>
      <w:pStyle w:val="Footer"/>
      <w:jc w:val="right"/>
    </w:pPr>
    <w:r>
      <w:fldChar w:fldCharType="begin"/>
    </w:r>
    <w:r>
      <w:instrText xml:space="preserve"> PAGE </w:instrText>
    </w:r>
    <w:r>
      <w:fldChar w:fldCharType="separate"/>
    </w:r>
    <w:r w:rsidR="0004219C">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005" w:rsidRDefault="00F01005">
      <w:r>
        <w:rPr>
          <w:color w:val="000000"/>
        </w:rPr>
        <w:separator/>
      </w:r>
    </w:p>
  </w:footnote>
  <w:footnote w:type="continuationSeparator" w:id="0">
    <w:p w:rsidR="00F01005" w:rsidRDefault="00F01005">
      <w:r>
        <w:continuationSeparator/>
      </w:r>
    </w:p>
  </w:footnote>
  <w:footnote w:id="1">
    <w:p w:rsidR="004E286F" w:rsidRDefault="00F01005">
      <w:pPr>
        <w:pStyle w:val="Standard"/>
        <w:autoSpaceDE w:val="0"/>
        <w:jc w:val="both"/>
      </w:pPr>
      <w:r>
        <w:rPr>
          <w:rStyle w:val="FootnoteReference"/>
        </w:rPr>
        <w:footnoteRef/>
      </w:r>
      <w:r>
        <w:rPr>
          <w:rFonts w:ascii="Trebuchet MS" w:hAnsi="Trebuchet MS" w:cs="Arial"/>
          <w:sz w:val="16"/>
          <w:szCs w:val="16"/>
        </w:rPr>
        <w:t>Asistarea expertului judiciar desemnat de instanță în activitatea de întocmire a raportului de</w:t>
      </w:r>
      <w:r>
        <w:rPr>
          <w:rFonts w:ascii="Trebuchet MS" w:hAnsi="Trebuchet MS" w:cs="Arial"/>
          <w:sz w:val="16"/>
          <w:szCs w:val="16"/>
        </w:rPr>
        <w:t xml:space="preserve"> expertiză</w:t>
      </w:r>
      <w:r>
        <w:rPr>
          <w:rFonts w:ascii="Trebuchet MS" w:hAnsi="Trebuchet MS" w:cs="Arial"/>
          <w:color w:val="000000"/>
          <w:sz w:val="16"/>
          <w:szCs w:val="16"/>
        </w:rPr>
        <w:t xml:space="preserve"> în specialitatea fiscalitate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B36"/>
    <w:multiLevelType w:val="multilevel"/>
    <w:tmpl w:val="59A8E700"/>
    <w:styleLink w:val="WWNum1a"/>
    <w:lvl w:ilvl="0">
      <w:start w:val="3"/>
      <w:numFmt w:val="decimal"/>
      <w:lvlText w:val="%1."/>
      <w:lvlJc w:val="left"/>
      <w:pPr>
        <w:ind w:left="450" w:hanging="450"/>
      </w:pPr>
      <w:rPr>
        <w:rFonts w:cs="Times New Roman"/>
        <w:b/>
      </w:rPr>
    </w:lvl>
    <w:lvl w:ilvl="1">
      <w:start w:val="2"/>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2160" w:hanging="2160"/>
      </w:pPr>
      <w:rPr>
        <w:rFonts w:cs="Times New Roman"/>
        <w:b/>
      </w:rPr>
    </w:lvl>
  </w:abstractNum>
  <w:abstractNum w:abstractNumId="1" w15:restartNumberingAfterBreak="0">
    <w:nsid w:val="3F445151"/>
    <w:multiLevelType w:val="multilevel"/>
    <w:tmpl w:val="962805D4"/>
    <w:styleLink w:val="WW8Num2"/>
    <w:lvl w:ilvl="0">
      <w:numFmt w:val="bullet"/>
      <w:lvlText w:val=""/>
      <w:lvlJc w:val="left"/>
      <w:pPr>
        <w:ind w:left="720" w:hanging="360"/>
      </w:pPr>
      <w:rPr>
        <w:rFonts w:ascii="Symbol" w:hAnsi="Symbol" w:cs="OpenSymbol, 'Arial Unicode MS'"/>
        <w:color w:val="000000"/>
        <w:lang w:val="ro-RO"/>
      </w:rPr>
    </w:lvl>
    <w:lvl w:ilvl="1">
      <w:numFmt w:val="bullet"/>
      <w:lvlText w:val=""/>
      <w:lvlJc w:val="left"/>
      <w:pPr>
        <w:ind w:left="1080" w:hanging="360"/>
      </w:pPr>
      <w:rPr>
        <w:rFonts w:ascii="Symbol" w:hAnsi="Symbol" w:cs="OpenSymbol, 'Arial Unicode MS'"/>
        <w:color w:val="000000"/>
        <w:lang w:val="ro-RO"/>
      </w:rPr>
    </w:lvl>
    <w:lvl w:ilvl="2">
      <w:numFmt w:val="bullet"/>
      <w:lvlText w:val=""/>
      <w:lvlJc w:val="left"/>
      <w:pPr>
        <w:ind w:left="1440" w:hanging="360"/>
      </w:pPr>
      <w:rPr>
        <w:rFonts w:ascii="Symbol" w:hAnsi="Symbol" w:cs="OpenSymbol, 'Arial Unicode MS'"/>
        <w:color w:val="000000"/>
        <w:lang w:val="ro-RO"/>
      </w:rPr>
    </w:lvl>
    <w:lvl w:ilvl="3">
      <w:numFmt w:val="bullet"/>
      <w:lvlText w:val=""/>
      <w:lvlJc w:val="left"/>
      <w:pPr>
        <w:ind w:left="1800" w:hanging="360"/>
      </w:pPr>
      <w:rPr>
        <w:rFonts w:ascii="Symbol" w:hAnsi="Symbol" w:cs="OpenSymbol, 'Arial Unicode MS'"/>
        <w:color w:val="000000"/>
        <w:lang w:val="ro-RO"/>
      </w:rPr>
    </w:lvl>
    <w:lvl w:ilvl="4">
      <w:numFmt w:val="bullet"/>
      <w:lvlText w:val=""/>
      <w:lvlJc w:val="left"/>
      <w:pPr>
        <w:ind w:left="2160" w:hanging="360"/>
      </w:pPr>
      <w:rPr>
        <w:rFonts w:ascii="Symbol" w:hAnsi="Symbol" w:cs="OpenSymbol, 'Arial Unicode MS'"/>
        <w:color w:val="000000"/>
        <w:lang w:val="ro-RO"/>
      </w:rPr>
    </w:lvl>
    <w:lvl w:ilvl="5">
      <w:numFmt w:val="bullet"/>
      <w:lvlText w:val=""/>
      <w:lvlJc w:val="left"/>
      <w:pPr>
        <w:ind w:left="2520" w:hanging="360"/>
      </w:pPr>
      <w:rPr>
        <w:rFonts w:ascii="Symbol" w:hAnsi="Symbol" w:cs="OpenSymbol, 'Arial Unicode MS'"/>
        <w:color w:val="000000"/>
        <w:lang w:val="ro-RO"/>
      </w:rPr>
    </w:lvl>
    <w:lvl w:ilvl="6">
      <w:numFmt w:val="bullet"/>
      <w:lvlText w:val=""/>
      <w:lvlJc w:val="left"/>
      <w:pPr>
        <w:ind w:left="2880" w:hanging="360"/>
      </w:pPr>
      <w:rPr>
        <w:rFonts w:ascii="Symbol" w:hAnsi="Symbol" w:cs="OpenSymbol, 'Arial Unicode MS'"/>
        <w:color w:val="000000"/>
        <w:lang w:val="ro-RO"/>
      </w:rPr>
    </w:lvl>
    <w:lvl w:ilvl="7">
      <w:numFmt w:val="bullet"/>
      <w:lvlText w:val=""/>
      <w:lvlJc w:val="left"/>
      <w:pPr>
        <w:ind w:left="3240" w:hanging="360"/>
      </w:pPr>
      <w:rPr>
        <w:rFonts w:ascii="Symbol" w:hAnsi="Symbol" w:cs="OpenSymbol, 'Arial Unicode MS'"/>
        <w:color w:val="000000"/>
        <w:lang w:val="ro-RO"/>
      </w:rPr>
    </w:lvl>
    <w:lvl w:ilvl="8">
      <w:numFmt w:val="bullet"/>
      <w:lvlText w:val=""/>
      <w:lvlJc w:val="left"/>
      <w:pPr>
        <w:ind w:left="3600" w:hanging="360"/>
      </w:pPr>
      <w:rPr>
        <w:rFonts w:ascii="Symbol" w:hAnsi="Symbol" w:cs="OpenSymbol, 'Arial Unicode MS'"/>
        <w:color w:val="000000"/>
        <w:lang w:val="ro-RO"/>
      </w:rPr>
    </w:lvl>
  </w:abstractNum>
  <w:abstractNum w:abstractNumId="2" w15:restartNumberingAfterBreak="0">
    <w:nsid w:val="5E356B77"/>
    <w:multiLevelType w:val="multilevel"/>
    <w:tmpl w:val="E9F0230E"/>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7BB23A6C"/>
    <w:multiLevelType w:val="multilevel"/>
    <w:tmpl w:val="11101854"/>
    <w:styleLink w:val="WWNum2"/>
    <w:lvl w:ilvl="0">
      <w:numFmt w:val="bullet"/>
      <w:lvlText w:val=""/>
      <w:lvlJc w:val="left"/>
      <w:pPr>
        <w:ind w:left="720" w:hanging="360"/>
      </w:pPr>
      <w:rPr>
        <w:rFonts w:ascii="Symbol" w:hAnsi="Symbol" w:cs="Symbol"/>
      </w:rPr>
    </w:lvl>
    <w:lvl w:ilvl="1">
      <w:numFmt w:val="bullet"/>
      <w:lvlText w:val="◦"/>
      <w:lvlJc w:val="left"/>
      <w:pPr>
        <w:ind w:left="1080" w:hanging="360"/>
      </w:pPr>
      <w:rPr>
        <w:rFonts w:ascii="Times New Roman" w:hAnsi="Times New Roman" w:cs="OpenSymbol"/>
      </w:rPr>
    </w:lvl>
    <w:lvl w:ilvl="2">
      <w:numFmt w:val="bullet"/>
      <w:lvlText w:val="▪"/>
      <w:lvlJc w:val="left"/>
      <w:pPr>
        <w:ind w:left="1440" w:hanging="360"/>
      </w:pPr>
      <w:rPr>
        <w:rFonts w:ascii="Times New Roman" w:hAnsi="Times New Roman"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Times New Roman" w:hAnsi="Times New Roman" w:cs="OpenSymbol"/>
      </w:rPr>
    </w:lvl>
    <w:lvl w:ilvl="5">
      <w:numFmt w:val="bullet"/>
      <w:lvlText w:val="▪"/>
      <w:lvlJc w:val="left"/>
      <w:pPr>
        <w:ind w:left="2520" w:hanging="360"/>
      </w:pPr>
      <w:rPr>
        <w:rFonts w:ascii="Times New Roman" w:hAnsi="Times New Roman"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Times New Roman" w:hAnsi="Times New Roman" w:cs="OpenSymbol"/>
      </w:rPr>
    </w:lvl>
    <w:lvl w:ilvl="8">
      <w:numFmt w:val="bullet"/>
      <w:lvlText w:val="▪"/>
      <w:lvlJc w:val="left"/>
      <w:pPr>
        <w:ind w:left="3600" w:hanging="360"/>
      </w:pPr>
      <w:rPr>
        <w:rFonts w:ascii="Times New Roman" w:hAnsi="Times New Roman" w:cs="OpenSymbol"/>
      </w:rPr>
    </w:lvl>
  </w:abstractNum>
  <w:num w:numId="1">
    <w:abstractNumId w:val="1"/>
  </w:num>
  <w:num w:numId="2">
    <w:abstractNumId w:val="3"/>
  </w:num>
  <w:num w:numId="3">
    <w:abstractNumId w:val="2"/>
  </w:num>
  <w:num w:numId="4">
    <w:abstractNumId w:val="0"/>
  </w:num>
  <w:num w:numId="5">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E286F"/>
    <w:rsid w:val="0004219C"/>
    <w:rsid w:val="004E286F"/>
    <w:rsid w:val="00F0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5B8FE-9111-451F-9D4D-C247038D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ro-RO"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Heading"/>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suppressAutoHyphens/>
      <w:autoSpaceDE w:val="0"/>
    </w:pPr>
    <w:rPr>
      <w:rFonts w:ascii="Arial" w:eastAsia="Times New Roman" w:hAnsi="Arial" w:cs="Arial"/>
      <w:color w:val="000000"/>
      <w:lang w:val="en-US" w:bidi="ar-SA"/>
    </w:rPr>
  </w:style>
  <w:style w:type="paragraph" w:customStyle="1" w:styleId="Textbodyindent">
    <w:name w:val="Text body indent"/>
    <w:basedOn w:val="Standard"/>
    <w:pPr>
      <w:spacing w:after="120"/>
      <w:ind w:left="283"/>
    </w:pPr>
  </w:style>
  <w:style w:type="paragraph" w:customStyle="1" w:styleId="DefaultText">
    <w:name w:val="Default Text"/>
    <w:basedOn w:val="Standard"/>
  </w:style>
  <w:style w:type="paragraph" w:styleId="BalloonText">
    <w:name w:val="Balloon Text"/>
    <w:basedOn w:val="Standard"/>
    <w:next w:val="CaracterCaracter"/>
    <w:rPr>
      <w:rFonts w:ascii="Tahoma" w:eastAsia="Tahoma" w:hAnsi="Tahoma" w:cs="Tahoma"/>
      <w:sz w:val="16"/>
      <w:szCs w:val="16"/>
    </w:rPr>
  </w:style>
  <w:style w:type="paragraph" w:customStyle="1" w:styleId="CaracterCaracter">
    <w:name w:val="Caracter Caracter"/>
    <w:basedOn w:val="Standard"/>
    <w:next w:val="HTMLPreformatted"/>
    <w:rPr>
      <w:lang w:val="pl-PL"/>
    </w:rPr>
  </w:style>
  <w:style w:type="paragraph" w:styleId="HTMLPreformatted">
    <w:name w:val="HTML Preformatted"/>
    <w:basedOn w:val="Standard"/>
    <w:next w:val="Framecontent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Framecontents">
    <w:name w:val="Frame contents"/>
    <w:basedOn w:val="Standard"/>
    <w:next w:val="Style28"/>
  </w:style>
  <w:style w:type="paragraph" w:customStyle="1" w:styleId="Style28">
    <w:name w:val="Style28"/>
    <w:basedOn w:val="Standard"/>
    <w:next w:val="Style10"/>
    <w:pPr>
      <w:suppressAutoHyphens w:val="0"/>
      <w:jc w:val="both"/>
    </w:pPr>
  </w:style>
  <w:style w:type="paragraph" w:customStyle="1" w:styleId="Style10">
    <w:name w:val="Style10"/>
    <w:basedOn w:val="Standard"/>
    <w:next w:val="Style27"/>
    <w:pPr>
      <w:suppressAutoHyphens w:val="0"/>
      <w:spacing w:line="326" w:lineRule="exact"/>
      <w:jc w:val="both"/>
    </w:pPr>
  </w:style>
  <w:style w:type="paragraph" w:customStyle="1" w:styleId="Style27">
    <w:name w:val="Style27"/>
    <w:basedOn w:val="Standard"/>
    <w:next w:val="Style1"/>
    <w:pPr>
      <w:spacing w:line="216" w:lineRule="exact"/>
      <w:jc w:val="both"/>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HeaderandFooter"/>
  </w:style>
  <w:style w:type="paragraph" w:customStyle="1" w:styleId="Footnote">
    <w:name w:val="Footnote"/>
    <w:basedOn w:val="Standard"/>
    <w:pPr>
      <w:suppressLineNumbers/>
      <w:ind w:left="340" w:hanging="340"/>
    </w:pPr>
    <w:rPr>
      <w:sz w:val="20"/>
      <w:szCs w:val="20"/>
    </w:rPr>
  </w:style>
  <w:style w:type="paragraph" w:customStyle="1" w:styleId="TableNormal1">
    <w:name w:val="Table Normal1"/>
    <w:pPr>
      <w:widowControl/>
      <w:suppressAutoHyphens/>
      <w:textAlignment w:val="auto"/>
    </w:pPr>
    <w:rPr>
      <w:rFonts w:ascii="Calibri" w:eastAsia="Calibri" w:hAnsi="Calibri" w:cs="Times New Roman"/>
      <w:sz w:val="20"/>
      <w:szCs w:val="20"/>
      <w:lang w:val="en-US" w:eastAsia="en-US" w:bidi="ar-SA"/>
    </w:rPr>
  </w:style>
  <w:style w:type="character" w:customStyle="1" w:styleId="WW8Num2z0">
    <w:name w:val="WW8Num2z0"/>
    <w:rPr>
      <w:rFonts w:ascii="Symbol" w:eastAsia="Symbol" w:hAnsi="Symbol" w:cs="OpenSymbol, 'Arial Unicode MS'"/>
      <w:color w:val="000000"/>
      <w:lang w:val="ro-RO"/>
    </w:rPr>
  </w:style>
  <w:style w:type="character" w:customStyle="1" w:styleId="BulletSymbols">
    <w:name w:val="Bullet Symbols"/>
    <w:rPr>
      <w:rFonts w:ascii="OpenSymbol" w:eastAsia="OpenSymbol" w:hAnsi="OpenSymbol" w:cs="OpenSymbol"/>
    </w:rPr>
  </w:style>
  <w:style w:type="character" w:styleId="CommentReference">
    <w:name w:val="annotation reference"/>
    <w:rPr>
      <w:sz w:val="16"/>
      <w:szCs w:val="16"/>
    </w:rPr>
  </w:style>
  <w:style w:type="character" w:customStyle="1" w:styleId="BodytextBold">
    <w:name w:val="Body text + Bold"/>
    <w:rPr>
      <w:rFonts w:ascii="Times New Roman" w:eastAsia="Times New Roman" w:hAnsi="Times New Roman" w:cs="Times New Roman"/>
      <w:b/>
      <w:bCs/>
      <w:i w:val="0"/>
      <w:iCs w:val="0"/>
      <w:caps w:val="0"/>
      <w:smallCaps w:val="0"/>
      <w:strike w:val="0"/>
      <w:dstrike w:val="0"/>
      <w:spacing w:val="0"/>
      <w:sz w:val="24"/>
      <w:szCs w:val="24"/>
    </w:rPr>
  </w:style>
  <w:style w:type="character" w:customStyle="1" w:styleId="FontStyle52">
    <w:name w:val="Font Style52"/>
    <w:rPr>
      <w:rFonts w:ascii="Times New Roman" w:eastAsia="Times New Roman" w:hAnsi="Times New Roman" w:cs="Times New Roman"/>
      <w:b/>
      <w:bCs/>
      <w:sz w:val="24"/>
      <w:szCs w:val="24"/>
    </w:rPr>
  </w:style>
  <w:style w:type="character" w:customStyle="1" w:styleId="Titlu2Caracter">
    <w:name w:val="Titlu 2 Caracter"/>
    <w:rPr>
      <w:rFonts w:ascii="Trebuchet MS" w:eastAsia="Times New Roman" w:hAnsi="Trebuchet MS" w:cs="Trebuchet MS"/>
      <w:sz w:val="24"/>
      <w:szCs w:val="26"/>
      <w:lang w:val="ro-RO"/>
    </w:rPr>
  </w:style>
  <w:style w:type="character" w:customStyle="1" w:styleId="ListLabel10">
    <w:name w:val="ListLabel 10"/>
    <w:rPr>
      <w:rFonts w:cs="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rFonts w:cs="Times New Roman"/>
      <w:b/>
    </w:rPr>
  </w:style>
  <w:style w:type="character" w:customStyle="1" w:styleId="ListLabel29">
    <w:name w:val="ListLabel 29"/>
    <w:rPr>
      <w:rFonts w:cs="Times New Roman"/>
      <w:b/>
    </w:rPr>
  </w:style>
  <w:style w:type="character" w:customStyle="1" w:styleId="ListLabel30">
    <w:name w:val="ListLabel 30"/>
    <w:rPr>
      <w:rFonts w:cs="Times New Roman"/>
      <w:b/>
    </w:rPr>
  </w:style>
  <w:style w:type="character" w:customStyle="1" w:styleId="ListLabel31">
    <w:name w:val="ListLabel 31"/>
    <w:rPr>
      <w:rFonts w:cs="Times New Roman"/>
      <w:b/>
    </w:rPr>
  </w:style>
  <w:style w:type="character" w:customStyle="1" w:styleId="ListLabel32">
    <w:name w:val="ListLabel 32"/>
    <w:rPr>
      <w:rFonts w:cs="Times New Roman"/>
      <w:b/>
    </w:rPr>
  </w:style>
  <w:style w:type="character" w:customStyle="1" w:styleId="ListLabel33">
    <w:name w:val="ListLabel 33"/>
    <w:rPr>
      <w:rFonts w:cs="Times New Roman"/>
      <w:b/>
    </w:rPr>
  </w:style>
  <w:style w:type="character" w:customStyle="1" w:styleId="ListLabel34">
    <w:name w:val="ListLabel 34"/>
    <w:rPr>
      <w:rFonts w:cs="Times New Roman"/>
      <w:b/>
    </w:rPr>
  </w:style>
  <w:style w:type="character" w:customStyle="1" w:styleId="ListLabel35">
    <w:name w:val="ListLabel 35"/>
    <w:rPr>
      <w:rFonts w:cs="Times New Roman"/>
      <w:b/>
    </w:rPr>
  </w:style>
  <w:style w:type="character" w:customStyle="1" w:styleId="ListLabel36">
    <w:name w:val="ListLabel 36"/>
    <w:rPr>
      <w:rFonts w:cs="Times New Roman"/>
      <w:b/>
    </w:rPr>
  </w:style>
  <w:style w:type="character" w:styleId="FootnoteReference">
    <w:name w:val="footnote reference"/>
    <w:basedOn w:val="DefaultParagraphFont"/>
    <w:rPr>
      <w:position w:val="0"/>
      <w:vertAlign w:val="superscript"/>
    </w:rPr>
  </w:style>
  <w:style w:type="paragraph" w:styleId="BodyText">
    <w:name w:val="Body Text"/>
    <w:basedOn w:val="Normal"/>
    <w:pPr>
      <w:spacing w:after="120"/>
      <w:jc w:val="both"/>
      <w:textAlignment w:val="auto"/>
    </w:pPr>
    <w:rPr>
      <w:rFonts w:ascii="Trebuchet MS" w:eastAsia="Times New Roman" w:hAnsi="Trebuchet MS" w:cs="Times New Roman"/>
      <w:kern w:val="0"/>
      <w:sz w:val="16"/>
      <w:lang w:bidi="ar-SA"/>
    </w:rPr>
  </w:style>
  <w:style w:type="character" w:customStyle="1" w:styleId="BodyTextChar">
    <w:name w:val="Body Text Char"/>
    <w:basedOn w:val="DefaultParagraphFont"/>
    <w:rPr>
      <w:rFonts w:ascii="Trebuchet MS" w:eastAsia="Times New Roman" w:hAnsi="Trebuchet MS" w:cs="Times New Roman"/>
      <w:kern w:val="0"/>
      <w:sz w:val="16"/>
      <w:lang w:bidi="ar-SA"/>
    </w:rPr>
  </w:style>
  <w:style w:type="numbering" w:customStyle="1" w:styleId="WW8Num2">
    <w:name w:val="WW8Num2"/>
    <w:basedOn w:val="NoList"/>
    <w:pPr>
      <w:numPr>
        <w:numId w:val="1"/>
      </w:numPr>
    </w:pPr>
  </w:style>
  <w:style w:type="numbering" w:customStyle="1" w:styleId="WWNum2">
    <w:name w:val="WWNum2"/>
    <w:basedOn w:val="NoList"/>
    <w:pPr>
      <w:numPr>
        <w:numId w:val="2"/>
      </w:numPr>
    </w:pPr>
  </w:style>
  <w:style w:type="numbering" w:customStyle="1" w:styleId="WWNum1">
    <w:name w:val="WWNum1"/>
    <w:basedOn w:val="NoList"/>
    <w:pPr>
      <w:numPr>
        <w:numId w:val="3"/>
      </w:numPr>
    </w:pPr>
  </w:style>
  <w:style w:type="numbering" w:customStyle="1" w:styleId="WWNum1a">
    <w:name w:val="WWNum1a"/>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ROXANA-DESPINA MADIRJAC</dc:creator>
  <cp:lastModifiedBy>ROXANA-DESPINA MADIRJAC</cp:lastModifiedBy>
  <cp:revision>2</cp:revision>
  <cp:lastPrinted>2024-06-03T11:49:00Z</cp:lastPrinted>
  <dcterms:created xsi:type="dcterms:W3CDTF">2025-06-11T12:00:00Z</dcterms:created>
  <dcterms:modified xsi:type="dcterms:W3CDTF">2025-06-11T12:00:00Z</dcterms:modified>
</cp:coreProperties>
</file>