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8F7" w:rsidRPr="004568F7" w:rsidRDefault="004568F7" w:rsidP="004568F7">
      <w:pPr>
        <w:suppressAutoHyphens w:val="0"/>
        <w:spacing w:after="0"/>
        <w:jc w:val="right"/>
        <w:rPr>
          <w:rFonts w:ascii="Trebuchet MS" w:hAnsi="Trebuchet MS" w:cs="Times New Roman"/>
          <w:b/>
          <w:sz w:val="24"/>
          <w:szCs w:val="24"/>
        </w:rPr>
      </w:pPr>
      <w:r w:rsidRPr="004568F7">
        <w:rPr>
          <w:rFonts w:ascii="Trebuchet MS" w:hAnsi="Trebuchet MS" w:cs="Times New Roman"/>
          <w:b/>
          <w:sz w:val="24"/>
          <w:szCs w:val="24"/>
        </w:rPr>
        <w:t>An</w:t>
      </w:r>
      <w:r w:rsidR="00141B9D">
        <w:rPr>
          <w:rFonts w:ascii="Trebuchet MS" w:hAnsi="Trebuchet MS" w:cs="Times New Roman"/>
          <w:b/>
          <w:sz w:val="24"/>
          <w:szCs w:val="24"/>
        </w:rPr>
        <w:t xml:space="preserve">nex </w:t>
      </w:r>
      <w:bookmarkStart w:id="0" w:name="_GoBack"/>
      <w:bookmarkEnd w:id="0"/>
      <w:r w:rsidR="00141B9D">
        <w:rPr>
          <w:rFonts w:ascii="Trebuchet MS" w:hAnsi="Trebuchet MS" w:cs="Times New Roman"/>
          <w:b/>
          <w:sz w:val="24"/>
          <w:szCs w:val="24"/>
        </w:rPr>
        <w:t>no</w:t>
      </w:r>
      <w:r w:rsidRPr="004568F7">
        <w:rPr>
          <w:rFonts w:ascii="Trebuchet MS" w:hAnsi="Trebuchet MS" w:cs="Times New Roman"/>
          <w:b/>
          <w:sz w:val="24"/>
          <w:szCs w:val="24"/>
        </w:rPr>
        <w:t>. 1</w:t>
      </w:r>
    </w:p>
    <w:p w:rsidR="004568F7" w:rsidRDefault="004568F7" w:rsidP="004568F7">
      <w:pPr>
        <w:spacing w:before="120" w:after="120" w:line="240" w:lineRule="auto"/>
        <w:jc w:val="center"/>
        <w:rPr>
          <w:rFonts w:ascii="Trebuchet MS" w:hAnsi="Trebuchet MS" w:cs="Times New Roman"/>
          <w:b/>
          <w:sz w:val="24"/>
          <w:szCs w:val="24"/>
        </w:rPr>
      </w:pPr>
    </w:p>
    <w:p w:rsidR="004568F7" w:rsidRPr="004568F7" w:rsidRDefault="004568F7" w:rsidP="004568F7">
      <w:pPr>
        <w:spacing w:before="120" w:after="120" w:line="240" w:lineRule="auto"/>
        <w:jc w:val="center"/>
        <w:rPr>
          <w:rFonts w:ascii="Trebuchet MS" w:hAnsi="Trebuchet MS" w:cs="Times New Roman"/>
          <w:b/>
          <w:sz w:val="24"/>
          <w:szCs w:val="24"/>
        </w:rPr>
      </w:pPr>
    </w:p>
    <w:p w:rsidR="004568F7" w:rsidRDefault="00141B9D" w:rsidP="00141B9D">
      <w:pPr>
        <w:spacing w:before="120" w:after="120" w:line="240" w:lineRule="auto"/>
        <w:jc w:val="center"/>
        <w:rPr>
          <w:rFonts w:ascii="Trebuchet MS" w:hAnsi="Trebuchet MS" w:cs="Times New Roman"/>
          <w:b/>
          <w:sz w:val="24"/>
          <w:szCs w:val="24"/>
        </w:rPr>
      </w:pPr>
      <w:r>
        <w:rPr>
          <w:rFonts w:ascii="Trebuchet MS" w:hAnsi="Trebuchet MS" w:cs="Times New Roman"/>
          <w:b/>
          <w:sz w:val="24"/>
          <w:szCs w:val="24"/>
        </w:rPr>
        <w:t>T</w:t>
      </w:r>
      <w:r w:rsidR="004568F7" w:rsidRPr="004568F7">
        <w:rPr>
          <w:rFonts w:ascii="Trebuchet MS" w:hAnsi="Trebuchet MS" w:cs="Times New Roman"/>
          <w:b/>
          <w:sz w:val="24"/>
          <w:szCs w:val="24"/>
        </w:rPr>
        <w:t>e</w:t>
      </w:r>
      <w:r>
        <w:rPr>
          <w:rFonts w:ascii="Trebuchet MS" w:hAnsi="Trebuchet MS" w:cs="Times New Roman"/>
          <w:b/>
          <w:sz w:val="24"/>
          <w:szCs w:val="24"/>
        </w:rPr>
        <w:t>c</w:t>
      </w:r>
      <w:r w:rsidR="004568F7" w:rsidRPr="004568F7">
        <w:rPr>
          <w:rFonts w:ascii="Trebuchet MS" w:hAnsi="Trebuchet MS" w:cs="Times New Roman"/>
          <w:b/>
          <w:sz w:val="24"/>
          <w:szCs w:val="24"/>
        </w:rPr>
        <w:t>hnic</w:t>
      </w:r>
      <w:r>
        <w:rPr>
          <w:rFonts w:ascii="Trebuchet MS" w:hAnsi="Trebuchet MS" w:cs="Times New Roman"/>
          <w:b/>
          <w:sz w:val="24"/>
          <w:szCs w:val="24"/>
        </w:rPr>
        <w:t xml:space="preserve">al </w:t>
      </w:r>
      <w:r w:rsidRPr="004568F7">
        <w:rPr>
          <w:rFonts w:ascii="Trebuchet MS" w:hAnsi="Trebuchet MS" w:cs="Times New Roman"/>
          <w:b/>
          <w:sz w:val="24"/>
          <w:szCs w:val="24"/>
        </w:rPr>
        <w:t>Of</w:t>
      </w:r>
      <w:r>
        <w:rPr>
          <w:rFonts w:ascii="Trebuchet MS" w:hAnsi="Trebuchet MS" w:cs="Times New Roman"/>
          <w:b/>
          <w:sz w:val="24"/>
          <w:szCs w:val="24"/>
        </w:rPr>
        <w:t>f</w:t>
      </w:r>
      <w:r w:rsidRPr="004568F7">
        <w:rPr>
          <w:rFonts w:ascii="Trebuchet MS" w:hAnsi="Trebuchet MS" w:cs="Times New Roman"/>
          <w:b/>
          <w:sz w:val="24"/>
          <w:szCs w:val="24"/>
        </w:rPr>
        <w:t>er</w:t>
      </w:r>
    </w:p>
    <w:p w:rsidR="004568F7" w:rsidRPr="004568F7" w:rsidRDefault="004568F7" w:rsidP="004568F7">
      <w:pPr>
        <w:spacing w:before="120" w:after="120" w:line="240" w:lineRule="auto"/>
        <w:jc w:val="center"/>
        <w:rPr>
          <w:rFonts w:ascii="Trebuchet MS" w:hAnsi="Trebuchet MS" w:cs="Times New Roman"/>
          <w:b/>
          <w:sz w:val="24"/>
          <w:szCs w:val="24"/>
        </w:rPr>
      </w:pPr>
    </w:p>
    <w:p w:rsidR="004568F7" w:rsidRPr="004568F7" w:rsidRDefault="004568F7" w:rsidP="004568F7">
      <w:pPr>
        <w:spacing w:before="120" w:after="120" w:line="240" w:lineRule="auto"/>
        <w:jc w:val="center"/>
        <w:rPr>
          <w:rFonts w:cs="Times New Roman"/>
          <w:b/>
          <w:sz w:val="24"/>
          <w:szCs w:val="24"/>
        </w:rPr>
      </w:pPr>
    </w:p>
    <w:tbl>
      <w:tblPr>
        <w:tblStyle w:val="TableGrid"/>
        <w:tblW w:w="5261" w:type="pct"/>
        <w:jc w:val="center"/>
        <w:tblLook w:val="04A0" w:firstRow="1" w:lastRow="0" w:firstColumn="1" w:lastColumn="0" w:noHBand="0" w:noVBand="1"/>
      </w:tblPr>
      <w:tblGrid>
        <w:gridCol w:w="2909"/>
        <w:gridCol w:w="1191"/>
        <w:gridCol w:w="1191"/>
        <w:gridCol w:w="1207"/>
        <w:gridCol w:w="1352"/>
        <w:gridCol w:w="1215"/>
      </w:tblGrid>
      <w:tr w:rsidR="00EF7001" w:rsidRPr="004568F7" w:rsidTr="00EF7001">
        <w:trPr>
          <w:trHeight w:val="452"/>
          <w:jc w:val="center"/>
        </w:trPr>
        <w:tc>
          <w:tcPr>
            <w:tcW w:w="1604" w:type="pct"/>
            <w:vMerge w:val="restart"/>
            <w:shd w:val="clear" w:color="auto" w:fill="auto"/>
            <w:tcMar>
              <w:left w:w="108" w:type="dxa"/>
            </w:tcMar>
          </w:tcPr>
          <w:p w:rsidR="004568F7" w:rsidRPr="004568F7" w:rsidRDefault="00141B9D" w:rsidP="004568F7">
            <w:pPr>
              <w:pStyle w:val="ListParagraph"/>
              <w:numPr>
                <w:ilvl w:val="0"/>
                <w:numId w:val="0"/>
              </w:numPr>
              <w:jc w:val="center"/>
              <w:rPr>
                <w:szCs w:val="24"/>
              </w:rPr>
            </w:pPr>
            <w:r>
              <w:rPr>
                <w:szCs w:val="24"/>
              </w:rPr>
              <w:t>Service Type</w:t>
            </w:r>
          </w:p>
        </w:tc>
        <w:tc>
          <w:tcPr>
            <w:tcW w:w="657" w:type="pct"/>
            <w:vMerge w:val="restart"/>
          </w:tcPr>
          <w:p w:rsidR="004568F7" w:rsidRPr="004568F7" w:rsidRDefault="00141B9D" w:rsidP="004568F7">
            <w:pPr>
              <w:pStyle w:val="ListParagraph"/>
              <w:numPr>
                <w:ilvl w:val="0"/>
                <w:numId w:val="0"/>
              </w:numPr>
              <w:jc w:val="center"/>
              <w:rPr>
                <w:szCs w:val="24"/>
              </w:rPr>
            </w:pPr>
            <w:r>
              <w:rPr>
                <w:szCs w:val="24"/>
              </w:rPr>
              <w:t>Country</w:t>
            </w:r>
          </w:p>
        </w:tc>
        <w:tc>
          <w:tcPr>
            <w:tcW w:w="2739" w:type="pct"/>
            <w:gridSpan w:val="4"/>
          </w:tcPr>
          <w:p w:rsidR="004568F7" w:rsidRPr="004568F7" w:rsidRDefault="00141B9D" w:rsidP="00141B9D">
            <w:pPr>
              <w:pStyle w:val="ListParagraph"/>
              <w:numPr>
                <w:ilvl w:val="0"/>
                <w:numId w:val="0"/>
              </w:numPr>
              <w:jc w:val="center"/>
              <w:rPr>
                <w:szCs w:val="24"/>
              </w:rPr>
            </w:pPr>
            <w:r>
              <w:rPr>
                <w:szCs w:val="24"/>
              </w:rPr>
              <w:t>Years</w:t>
            </w:r>
          </w:p>
        </w:tc>
      </w:tr>
      <w:tr w:rsidR="00EF7001" w:rsidRPr="004568F7" w:rsidTr="00EF7001">
        <w:trPr>
          <w:jc w:val="center"/>
        </w:trPr>
        <w:tc>
          <w:tcPr>
            <w:tcW w:w="1604" w:type="pct"/>
            <w:vMerge/>
            <w:shd w:val="clear" w:color="auto" w:fill="auto"/>
            <w:tcMar>
              <w:left w:w="108" w:type="dxa"/>
            </w:tcMar>
          </w:tcPr>
          <w:p w:rsidR="004568F7" w:rsidRPr="004568F7" w:rsidRDefault="004568F7" w:rsidP="005919CF">
            <w:pPr>
              <w:jc w:val="both"/>
              <w:rPr>
                <w:rFonts w:ascii="Trebuchet MS" w:hAnsi="Trebuchet MS" w:cs="Times New Roman"/>
                <w:sz w:val="24"/>
                <w:szCs w:val="24"/>
              </w:rPr>
            </w:pPr>
          </w:p>
        </w:tc>
        <w:tc>
          <w:tcPr>
            <w:tcW w:w="657" w:type="pct"/>
            <w:vMerge/>
          </w:tcPr>
          <w:p w:rsidR="004568F7" w:rsidRPr="004568F7" w:rsidRDefault="004568F7" w:rsidP="005919CF">
            <w:pPr>
              <w:jc w:val="both"/>
              <w:rPr>
                <w:rFonts w:ascii="Trebuchet MS" w:hAnsi="Trebuchet MS" w:cs="Times New Roman"/>
                <w:sz w:val="24"/>
                <w:szCs w:val="24"/>
              </w:rPr>
            </w:pPr>
          </w:p>
        </w:tc>
        <w:tc>
          <w:tcPr>
            <w:tcW w:w="657" w:type="pct"/>
          </w:tcPr>
          <w:p w:rsidR="004568F7" w:rsidRPr="004568F7" w:rsidRDefault="004568F7" w:rsidP="005919CF">
            <w:pPr>
              <w:jc w:val="center"/>
              <w:rPr>
                <w:rFonts w:ascii="Trebuchet MS" w:hAnsi="Trebuchet MS" w:cs="Times New Roman"/>
                <w:sz w:val="24"/>
                <w:szCs w:val="24"/>
              </w:rPr>
            </w:pPr>
            <w:r w:rsidRPr="004568F7">
              <w:rPr>
                <w:rFonts w:ascii="Trebuchet MS" w:hAnsi="Trebuchet MS" w:cs="Times New Roman"/>
                <w:sz w:val="24"/>
                <w:szCs w:val="24"/>
              </w:rPr>
              <w:t>2020</w:t>
            </w:r>
          </w:p>
        </w:tc>
        <w:tc>
          <w:tcPr>
            <w:tcW w:w="666" w:type="pct"/>
          </w:tcPr>
          <w:p w:rsidR="004568F7" w:rsidRPr="004568F7" w:rsidRDefault="004568F7" w:rsidP="005919CF">
            <w:pPr>
              <w:jc w:val="center"/>
              <w:rPr>
                <w:rFonts w:ascii="Trebuchet MS" w:hAnsi="Trebuchet MS" w:cs="Times New Roman"/>
                <w:sz w:val="24"/>
                <w:szCs w:val="24"/>
              </w:rPr>
            </w:pPr>
            <w:r w:rsidRPr="004568F7">
              <w:rPr>
                <w:rFonts w:ascii="Trebuchet MS" w:hAnsi="Trebuchet MS" w:cs="Times New Roman"/>
                <w:sz w:val="24"/>
                <w:szCs w:val="24"/>
              </w:rPr>
              <w:t>2021</w:t>
            </w:r>
          </w:p>
        </w:tc>
        <w:tc>
          <w:tcPr>
            <w:tcW w:w="746" w:type="pct"/>
          </w:tcPr>
          <w:p w:rsidR="004568F7" w:rsidRPr="004568F7" w:rsidRDefault="004568F7" w:rsidP="005919CF">
            <w:pPr>
              <w:jc w:val="center"/>
              <w:rPr>
                <w:rFonts w:ascii="Trebuchet MS" w:hAnsi="Trebuchet MS" w:cs="Times New Roman"/>
                <w:sz w:val="24"/>
                <w:szCs w:val="24"/>
              </w:rPr>
            </w:pPr>
            <w:r w:rsidRPr="004568F7">
              <w:rPr>
                <w:rFonts w:ascii="Trebuchet MS" w:hAnsi="Trebuchet MS" w:cs="Times New Roman"/>
                <w:sz w:val="24"/>
                <w:szCs w:val="24"/>
              </w:rPr>
              <w:t>2022</w:t>
            </w:r>
          </w:p>
        </w:tc>
        <w:tc>
          <w:tcPr>
            <w:tcW w:w="669" w:type="pct"/>
          </w:tcPr>
          <w:p w:rsidR="004568F7" w:rsidRPr="004568F7" w:rsidRDefault="004568F7" w:rsidP="005919CF">
            <w:pPr>
              <w:jc w:val="center"/>
              <w:rPr>
                <w:rFonts w:ascii="Trebuchet MS" w:hAnsi="Trebuchet MS" w:cs="Times New Roman"/>
                <w:sz w:val="24"/>
                <w:szCs w:val="24"/>
              </w:rPr>
            </w:pPr>
            <w:r w:rsidRPr="004568F7">
              <w:rPr>
                <w:rFonts w:ascii="Trebuchet MS" w:hAnsi="Trebuchet MS" w:cs="Times New Roman"/>
                <w:sz w:val="24"/>
                <w:szCs w:val="24"/>
              </w:rPr>
              <w:t>2023</w:t>
            </w:r>
          </w:p>
        </w:tc>
      </w:tr>
      <w:tr w:rsidR="00EF7001" w:rsidRPr="004568F7" w:rsidTr="00EF7001">
        <w:trPr>
          <w:jc w:val="center"/>
        </w:trPr>
        <w:tc>
          <w:tcPr>
            <w:tcW w:w="1604" w:type="pct"/>
            <w:shd w:val="clear" w:color="auto" w:fill="auto"/>
            <w:tcMar>
              <w:left w:w="108" w:type="dxa"/>
            </w:tcMar>
          </w:tcPr>
          <w:p w:rsidR="004568F7" w:rsidRPr="00141B9D" w:rsidRDefault="004568F7" w:rsidP="00141B9D">
            <w:pPr>
              <w:jc w:val="both"/>
              <w:rPr>
                <w:rFonts w:ascii="Trebuchet MS" w:hAnsi="Trebuchet MS" w:cs="Times New Roman"/>
                <w:sz w:val="24"/>
                <w:szCs w:val="24"/>
                <w:lang w:val="en-US"/>
              </w:rPr>
            </w:pPr>
            <w:r w:rsidRPr="004568F7">
              <w:rPr>
                <w:rFonts w:ascii="Trebuchet MS" w:hAnsi="Trebuchet MS" w:cs="Times New Roman"/>
                <w:sz w:val="24"/>
                <w:szCs w:val="24"/>
              </w:rPr>
              <w:t xml:space="preserve">i) </w:t>
            </w:r>
            <w:r w:rsidR="00141B9D" w:rsidRPr="00141B9D">
              <w:rPr>
                <w:rFonts w:ascii="Trebuchet MS" w:hAnsi="Trebuchet MS" w:cs="Times New Roman"/>
                <w:sz w:val="24"/>
                <w:szCs w:val="24"/>
                <w:lang w:val="en"/>
              </w:rPr>
              <w:t>the external evaluation of green / social / sustainability bond frameworks of sovereign issuers*, for which the bidder provided such services between January 1, 2020 and June 30, 2023 inclusive</w:t>
            </w:r>
            <w:r w:rsidRPr="004568F7">
              <w:rPr>
                <w:rFonts w:ascii="Trebuchet MS" w:hAnsi="Trebuchet MS" w:cs="Times New Roman"/>
                <w:sz w:val="24"/>
                <w:szCs w:val="24"/>
              </w:rPr>
              <w:t xml:space="preserve"> </w:t>
            </w:r>
          </w:p>
        </w:tc>
        <w:tc>
          <w:tcPr>
            <w:tcW w:w="657" w:type="pct"/>
          </w:tcPr>
          <w:p w:rsidR="004568F7" w:rsidRPr="004568F7" w:rsidRDefault="004568F7" w:rsidP="005919CF">
            <w:pPr>
              <w:jc w:val="both"/>
              <w:rPr>
                <w:rFonts w:ascii="Trebuchet MS" w:hAnsi="Trebuchet MS" w:cs="Times New Roman"/>
                <w:sz w:val="24"/>
                <w:szCs w:val="24"/>
              </w:rPr>
            </w:pPr>
          </w:p>
        </w:tc>
        <w:tc>
          <w:tcPr>
            <w:tcW w:w="657" w:type="pct"/>
          </w:tcPr>
          <w:p w:rsidR="004568F7" w:rsidRPr="004568F7" w:rsidRDefault="004568F7" w:rsidP="005919CF">
            <w:pPr>
              <w:jc w:val="both"/>
              <w:rPr>
                <w:rFonts w:ascii="Trebuchet MS" w:hAnsi="Trebuchet MS" w:cs="Times New Roman"/>
                <w:sz w:val="24"/>
                <w:szCs w:val="24"/>
              </w:rPr>
            </w:pPr>
          </w:p>
        </w:tc>
        <w:tc>
          <w:tcPr>
            <w:tcW w:w="666" w:type="pct"/>
          </w:tcPr>
          <w:p w:rsidR="004568F7" w:rsidRPr="004568F7" w:rsidRDefault="004568F7" w:rsidP="005919CF">
            <w:pPr>
              <w:jc w:val="both"/>
              <w:rPr>
                <w:rFonts w:ascii="Trebuchet MS" w:hAnsi="Trebuchet MS" w:cs="Times New Roman"/>
                <w:sz w:val="24"/>
                <w:szCs w:val="24"/>
              </w:rPr>
            </w:pPr>
          </w:p>
        </w:tc>
        <w:tc>
          <w:tcPr>
            <w:tcW w:w="746" w:type="pct"/>
          </w:tcPr>
          <w:p w:rsidR="004568F7" w:rsidRPr="004568F7" w:rsidRDefault="004568F7" w:rsidP="005919CF">
            <w:pPr>
              <w:jc w:val="both"/>
              <w:rPr>
                <w:rFonts w:ascii="Trebuchet MS" w:hAnsi="Trebuchet MS" w:cs="Times New Roman"/>
                <w:sz w:val="24"/>
                <w:szCs w:val="24"/>
              </w:rPr>
            </w:pPr>
          </w:p>
        </w:tc>
        <w:tc>
          <w:tcPr>
            <w:tcW w:w="669" w:type="pct"/>
          </w:tcPr>
          <w:p w:rsidR="004568F7" w:rsidRPr="004568F7" w:rsidRDefault="004568F7" w:rsidP="005919CF">
            <w:pPr>
              <w:jc w:val="both"/>
              <w:rPr>
                <w:rFonts w:ascii="Trebuchet MS" w:hAnsi="Trebuchet MS" w:cs="Times New Roman"/>
                <w:sz w:val="24"/>
                <w:szCs w:val="24"/>
              </w:rPr>
            </w:pPr>
          </w:p>
        </w:tc>
      </w:tr>
      <w:tr w:rsidR="00EF7001" w:rsidRPr="004568F7" w:rsidTr="00EF7001">
        <w:trPr>
          <w:jc w:val="center"/>
        </w:trPr>
        <w:tc>
          <w:tcPr>
            <w:tcW w:w="1604" w:type="pct"/>
            <w:shd w:val="clear" w:color="auto" w:fill="auto"/>
            <w:tcMar>
              <w:left w:w="108" w:type="dxa"/>
            </w:tcMar>
          </w:tcPr>
          <w:p w:rsidR="004568F7" w:rsidRPr="00141B9D" w:rsidRDefault="004568F7" w:rsidP="005919CF">
            <w:pPr>
              <w:jc w:val="both"/>
              <w:rPr>
                <w:rFonts w:ascii="Trebuchet MS" w:hAnsi="Trebuchet MS" w:cs="Times New Roman"/>
                <w:sz w:val="24"/>
                <w:szCs w:val="24"/>
                <w:lang w:val="en-US"/>
              </w:rPr>
            </w:pPr>
            <w:r w:rsidRPr="004568F7">
              <w:rPr>
                <w:rFonts w:ascii="Trebuchet MS" w:hAnsi="Trebuchet MS" w:cs="Times New Roman"/>
                <w:sz w:val="24"/>
                <w:szCs w:val="24"/>
              </w:rPr>
              <w:t xml:space="preserve">ii) </w:t>
            </w:r>
            <w:r w:rsidR="00141B9D" w:rsidRPr="00141B9D">
              <w:rPr>
                <w:rFonts w:ascii="Trebuchet MS" w:hAnsi="Trebuchet MS" w:cs="Times New Roman"/>
                <w:sz w:val="24"/>
                <w:szCs w:val="24"/>
                <w:lang w:val="en"/>
              </w:rPr>
              <w:t>external evaluation of allocation reports related to green bonds / made by sovereign issuers*, in the period January 1, 2020 – June 30, 2023 inclusive</w:t>
            </w:r>
          </w:p>
        </w:tc>
        <w:tc>
          <w:tcPr>
            <w:tcW w:w="657" w:type="pct"/>
          </w:tcPr>
          <w:p w:rsidR="004568F7" w:rsidRPr="004568F7" w:rsidRDefault="004568F7" w:rsidP="005919CF">
            <w:pPr>
              <w:jc w:val="both"/>
              <w:rPr>
                <w:rFonts w:ascii="Trebuchet MS" w:hAnsi="Trebuchet MS" w:cs="Times New Roman"/>
                <w:sz w:val="24"/>
                <w:szCs w:val="24"/>
              </w:rPr>
            </w:pPr>
          </w:p>
        </w:tc>
        <w:tc>
          <w:tcPr>
            <w:tcW w:w="657" w:type="pct"/>
          </w:tcPr>
          <w:p w:rsidR="004568F7" w:rsidRPr="004568F7" w:rsidRDefault="004568F7" w:rsidP="005919CF">
            <w:pPr>
              <w:jc w:val="both"/>
              <w:rPr>
                <w:rFonts w:ascii="Trebuchet MS" w:hAnsi="Trebuchet MS" w:cs="Times New Roman"/>
                <w:sz w:val="24"/>
                <w:szCs w:val="24"/>
              </w:rPr>
            </w:pPr>
          </w:p>
        </w:tc>
        <w:tc>
          <w:tcPr>
            <w:tcW w:w="666" w:type="pct"/>
          </w:tcPr>
          <w:p w:rsidR="004568F7" w:rsidRPr="004568F7" w:rsidRDefault="004568F7" w:rsidP="005919CF">
            <w:pPr>
              <w:jc w:val="both"/>
              <w:rPr>
                <w:rFonts w:ascii="Trebuchet MS" w:hAnsi="Trebuchet MS" w:cs="Times New Roman"/>
                <w:sz w:val="24"/>
                <w:szCs w:val="24"/>
              </w:rPr>
            </w:pPr>
          </w:p>
        </w:tc>
        <w:tc>
          <w:tcPr>
            <w:tcW w:w="746" w:type="pct"/>
          </w:tcPr>
          <w:p w:rsidR="004568F7" w:rsidRPr="004568F7" w:rsidRDefault="004568F7" w:rsidP="005919CF">
            <w:pPr>
              <w:jc w:val="both"/>
              <w:rPr>
                <w:rFonts w:ascii="Trebuchet MS" w:hAnsi="Trebuchet MS" w:cs="Times New Roman"/>
                <w:sz w:val="24"/>
                <w:szCs w:val="24"/>
              </w:rPr>
            </w:pPr>
          </w:p>
        </w:tc>
        <w:tc>
          <w:tcPr>
            <w:tcW w:w="669" w:type="pct"/>
          </w:tcPr>
          <w:p w:rsidR="004568F7" w:rsidRPr="004568F7" w:rsidRDefault="004568F7" w:rsidP="005919CF">
            <w:pPr>
              <w:jc w:val="both"/>
              <w:rPr>
                <w:rFonts w:ascii="Trebuchet MS" w:hAnsi="Trebuchet MS" w:cs="Times New Roman"/>
                <w:sz w:val="24"/>
                <w:szCs w:val="24"/>
              </w:rPr>
            </w:pPr>
          </w:p>
        </w:tc>
      </w:tr>
    </w:tbl>
    <w:p w:rsidR="004568F7" w:rsidRDefault="004568F7" w:rsidP="004568F7">
      <w:pPr>
        <w:spacing w:before="120" w:after="120" w:line="240" w:lineRule="auto"/>
        <w:jc w:val="both"/>
        <w:rPr>
          <w:rFonts w:ascii="Trebuchet MS" w:hAnsi="Trebuchet MS" w:cs="Times New Roman"/>
          <w:i/>
          <w:sz w:val="24"/>
          <w:szCs w:val="24"/>
        </w:rPr>
      </w:pPr>
    </w:p>
    <w:p w:rsidR="00141B9D" w:rsidRPr="00141B9D" w:rsidRDefault="00141B9D" w:rsidP="00141B9D">
      <w:pPr>
        <w:spacing w:before="120" w:after="120" w:line="240" w:lineRule="auto"/>
        <w:jc w:val="both"/>
        <w:rPr>
          <w:rFonts w:ascii="Trebuchet MS" w:hAnsi="Trebuchet MS" w:cs="Times New Roman"/>
          <w:i/>
          <w:sz w:val="24"/>
          <w:szCs w:val="24"/>
          <w:lang w:val="en-US"/>
        </w:rPr>
      </w:pPr>
      <w:r w:rsidRPr="00141B9D">
        <w:rPr>
          <w:rFonts w:ascii="Trebuchet MS" w:hAnsi="Trebuchet MS" w:cs="Times New Roman"/>
          <w:i/>
          <w:sz w:val="24"/>
          <w:szCs w:val="24"/>
          <w:lang w:val="en"/>
        </w:rPr>
        <w:t>* In the category of sovereign issuers, only state-level issuers are included, which issue public debt instruments, through an entity authorized for this purpose, for example the Ministry of Finance. International financial institutions established on the basis of international treaties or state-owned companies are not considered to be part of the category of sovereign issuers.</w:t>
      </w:r>
    </w:p>
    <w:p w:rsidR="004568F7" w:rsidRPr="004568F7" w:rsidRDefault="004568F7" w:rsidP="004568F7">
      <w:pPr>
        <w:spacing w:before="120" w:after="120" w:line="240" w:lineRule="auto"/>
        <w:jc w:val="both"/>
        <w:rPr>
          <w:rFonts w:ascii="Trebuchet MS" w:hAnsi="Trebuchet MS" w:cs="Times New Roman"/>
          <w:i/>
          <w:sz w:val="24"/>
          <w:szCs w:val="24"/>
        </w:rPr>
      </w:pPr>
    </w:p>
    <w:p w:rsidR="00141B9D" w:rsidRPr="00141B9D" w:rsidRDefault="00141B9D" w:rsidP="00141B9D">
      <w:pPr>
        <w:spacing w:before="120" w:after="120" w:line="240" w:lineRule="auto"/>
        <w:jc w:val="both"/>
        <w:rPr>
          <w:rFonts w:ascii="Trebuchet MS" w:hAnsi="Trebuchet MS" w:cs="Times New Roman"/>
          <w:i/>
          <w:sz w:val="24"/>
          <w:szCs w:val="24"/>
          <w:lang w:val="en-US"/>
        </w:rPr>
      </w:pPr>
      <w:r w:rsidRPr="00141B9D">
        <w:rPr>
          <w:rFonts w:ascii="Trebuchet MS" w:hAnsi="Trebuchet MS" w:cs="Times New Roman"/>
          <w:i/>
          <w:sz w:val="24"/>
          <w:szCs w:val="24"/>
          <w:lang w:val="en"/>
        </w:rPr>
        <w:t>NOTE: The table will indicate clear references to the completed external evaluation reports so that the contracting authority can verify the fulfillment of the minimum requirement/requirements for awarding the technical score.</w:t>
      </w:r>
    </w:p>
    <w:p w:rsidR="004568F7" w:rsidRPr="004568F7" w:rsidRDefault="004568F7" w:rsidP="004568F7">
      <w:pPr>
        <w:spacing w:before="120" w:after="120" w:line="240" w:lineRule="auto"/>
        <w:jc w:val="both"/>
        <w:rPr>
          <w:rFonts w:ascii="Trebuchet MS" w:hAnsi="Trebuchet MS" w:cs="Times New Roman"/>
          <w:sz w:val="24"/>
          <w:szCs w:val="24"/>
        </w:rPr>
      </w:pPr>
      <w:r w:rsidRPr="004568F7">
        <w:rPr>
          <w:rFonts w:ascii="Trebuchet MS" w:hAnsi="Trebuchet MS" w:cs="Times New Roman"/>
          <w:i/>
          <w:sz w:val="24"/>
          <w:szCs w:val="24"/>
        </w:rPr>
        <w:t xml:space="preserve"> </w:t>
      </w:r>
    </w:p>
    <w:p w:rsidR="00234305" w:rsidRPr="004568F7" w:rsidRDefault="00234305" w:rsidP="004568F7"/>
    <w:sectPr w:rsidR="00234305" w:rsidRPr="004568F7" w:rsidSect="00EF7001">
      <w:pgSz w:w="11906" w:h="16838" w:code="9"/>
      <w:pgMar w:top="851" w:right="1841"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FC4" w:rsidRDefault="00DA0FC4" w:rsidP="0084002C">
      <w:pPr>
        <w:spacing w:after="0" w:line="240" w:lineRule="auto"/>
      </w:pPr>
      <w:r>
        <w:separator/>
      </w:r>
    </w:p>
  </w:endnote>
  <w:endnote w:type="continuationSeparator" w:id="0">
    <w:p w:rsidR="00DA0FC4" w:rsidRDefault="00DA0FC4" w:rsidP="00840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FC4" w:rsidRDefault="00DA0FC4" w:rsidP="0084002C">
      <w:pPr>
        <w:spacing w:after="0" w:line="240" w:lineRule="auto"/>
      </w:pPr>
      <w:r>
        <w:separator/>
      </w:r>
    </w:p>
  </w:footnote>
  <w:footnote w:type="continuationSeparator" w:id="0">
    <w:p w:rsidR="00DA0FC4" w:rsidRDefault="00DA0FC4" w:rsidP="008400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C0416"/>
    <w:multiLevelType w:val="multilevel"/>
    <w:tmpl w:val="E938A3DE"/>
    <w:lvl w:ilvl="0">
      <w:start w:val="1"/>
      <w:numFmt w:val="decimal"/>
      <w:pStyle w:val="Heading1"/>
      <w:suff w:val="space"/>
      <w:lvlText w:val="CAPITOLUL %1."/>
      <w:lvlJc w:val="left"/>
      <w:pPr>
        <w:ind w:left="432" w:hanging="432"/>
      </w:pPr>
      <w:rPr>
        <w:rFonts w:hint="default"/>
        <w:b/>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3EBC6F29"/>
    <w:multiLevelType w:val="hybridMultilevel"/>
    <w:tmpl w:val="70F85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370454"/>
    <w:multiLevelType w:val="hybridMultilevel"/>
    <w:tmpl w:val="7CB228D4"/>
    <w:lvl w:ilvl="0" w:tplc="0A047B20">
      <w:start w:val="1"/>
      <w:numFmt w:val="bullet"/>
      <w:pStyle w:val="ListParagraph"/>
      <w:lvlText w:val=""/>
      <w:lvlJc w:val="left"/>
      <w:pPr>
        <w:ind w:left="2304" w:hanging="360"/>
      </w:pPr>
      <w:rPr>
        <w:rFonts w:ascii="Wingdings" w:hAnsi="Wingdings"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305"/>
    <w:rsid w:val="00020BB5"/>
    <w:rsid w:val="00055B49"/>
    <w:rsid w:val="00141B9D"/>
    <w:rsid w:val="0018324B"/>
    <w:rsid w:val="00234305"/>
    <w:rsid w:val="003908EF"/>
    <w:rsid w:val="003E7180"/>
    <w:rsid w:val="004568F7"/>
    <w:rsid w:val="005F7487"/>
    <w:rsid w:val="00653DA0"/>
    <w:rsid w:val="0073025D"/>
    <w:rsid w:val="00793C5C"/>
    <w:rsid w:val="0084002C"/>
    <w:rsid w:val="00AB274B"/>
    <w:rsid w:val="00B9788E"/>
    <w:rsid w:val="00BC48E6"/>
    <w:rsid w:val="00DA0FC4"/>
    <w:rsid w:val="00DF2887"/>
    <w:rsid w:val="00EF7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BCF24"/>
  <w15:chartTrackingRefBased/>
  <w15:docId w15:val="{DF0D8B0F-F13A-41B5-8C08-A516ED44C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8F7"/>
    <w:pPr>
      <w:suppressAutoHyphens/>
      <w:spacing w:line="256" w:lineRule="auto"/>
    </w:pPr>
    <w:rPr>
      <w:lang w:val="ro-RO"/>
    </w:rPr>
  </w:style>
  <w:style w:type="paragraph" w:styleId="Heading1">
    <w:name w:val="heading 1"/>
    <w:basedOn w:val="Normal"/>
    <w:next w:val="Normal"/>
    <w:link w:val="Heading1Char"/>
    <w:qFormat/>
    <w:rsid w:val="00234305"/>
    <w:pPr>
      <w:widowControl w:val="0"/>
      <w:numPr>
        <w:numId w:val="1"/>
      </w:numPr>
      <w:suppressAutoHyphens w:val="0"/>
      <w:spacing w:before="240" w:after="240" w:line="240" w:lineRule="auto"/>
      <w:jc w:val="center"/>
      <w:outlineLvl w:val="0"/>
    </w:pPr>
    <w:rPr>
      <w:rFonts w:ascii="Trebuchet MS" w:eastAsia="Times New Roman" w:hAnsi="Trebuchet MS" w:cs="Times New Roman"/>
      <w:b/>
      <w:sz w:val="24"/>
      <w:szCs w:val="32"/>
    </w:rPr>
  </w:style>
  <w:style w:type="paragraph" w:styleId="Heading2">
    <w:name w:val="heading 2"/>
    <w:basedOn w:val="Normal"/>
    <w:next w:val="Normal"/>
    <w:link w:val="Heading2Char"/>
    <w:uiPriority w:val="9"/>
    <w:unhideWhenUsed/>
    <w:qFormat/>
    <w:rsid w:val="00234305"/>
    <w:pPr>
      <w:widowControl w:val="0"/>
      <w:numPr>
        <w:ilvl w:val="1"/>
        <w:numId w:val="1"/>
      </w:numPr>
      <w:suppressAutoHyphens w:val="0"/>
      <w:spacing w:before="240" w:after="240" w:line="240" w:lineRule="auto"/>
      <w:jc w:val="both"/>
      <w:outlineLvl w:val="1"/>
    </w:pPr>
    <w:rPr>
      <w:rFonts w:ascii="Trebuchet MS" w:eastAsia="Times New Roman" w:hAnsi="Trebuchet MS" w:cs="Times New Roman"/>
      <w:b/>
      <w:sz w:val="24"/>
      <w:szCs w:val="26"/>
    </w:rPr>
  </w:style>
  <w:style w:type="paragraph" w:styleId="Heading3">
    <w:name w:val="heading 3"/>
    <w:basedOn w:val="Normal"/>
    <w:next w:val="Normal"/>
    <w:link w:val="Heading3Char"/>
    <w:uiPriority w:val="9"/>
    <w:unhideWhenUsed/>
    <w:qFormat/>
    <w:rsid w:val="00234305"/>
    <w:pPr>
      <w:widowControl w:val="0"/>
      <w:numPr>
        <w:ilvl w:val="2"/>
        <w:numId w:val="1"/>
      </w:numPr>
      <w:suppressAutoHyphens w:val="0"/>
      <w:spacing w:before="240" w:after="240" w:line="240" w:lineRule="auto"/>
      <w:jc w:val="both"/>
      <w:outlineLvl w:val="2"/>
    </w:pPr>
    <w:rPr>
      <w:rFonts w:ascii="Trebuchet MS" w:eastAsia="Times New Roman" w:hAnsi="Trebuchet MS" w:cs="Times New Roman"/>
      <w:b/>
      <w:bCs/>
      <w:sz w:val="24"/>
      <w:szCs w:val="26"/>
    </w:rPr>
  </w:style>
  <w:style w:type="paragraph" w:styleId="Heading4">
    <w:name w:val="heading 4"/>
    <w:basedOn w:val="Normal"/>
    <w:next w:val="Normal"/>
    <w:link w:val="Heading4Char"/>
    <w:uiPriority w:val="9"/>
    <w:unhideWhenUsed/>
    <w:qFormat/>
    <w:rsid w:val="00234305"/>
    <w:pPr>
      <w:widowControl w:val="0"/>
      <w:numPr>
        <w:ilvl w:val="3"/>
        <w:numId w:val="1"/>
      </w:numPr>
      <w:suppressAutoHyphens w:val="0"/>
      <w:spacing w:before="240" w:after="60" w:line="240" w:lineRule="auto"/>
      <w:jc w:val="both"/>
      <w:outlineLvl w:val="3"/>
    </w:pPr>
    <w:rPr>
      <w:rFonts w:ascii="Trebuchet MS" w:eastAsia="Times New Roman" w:hAnsi="Trebuchet MS" w:cs="Times New Roman"/>
      <w:b/>
      <w:bCs/>
      <w:szCs w:val="28"/>
    </w:rPr>
  </w:style>
  <w:style w:type="paragraph" w:styleId="Heading5">
    <w:name w:val="heading 5"/>
    <w:basedOn w:val="Normal"/>
    <w:next w:val="Normal"/>
    <w:link w:val="Heading5Char"/>
    <w:uiPriority w:val="9"/>
    <w:unhideWhenUsed/>
    <w:qFormat/>
    <w:rsid w:val="00234305"/>
    <w:pPr>
      <w:widowControl w:val="0"/>
      <w:numPr>
        <w:ilvl w:val="4"/>
        <w:numId w:val="1"/>
      </w:numPr>
      <w:suppressAutoHyphens w:val="0"/>
      <w:spacing w:before="240" w:after="60" w:line="240" w:lineRule="auto"/>
      <w:jc w:val="both"/>
      <w:outlineLvl w:val="4"/>
    </w:pPr>
    <w:rPr>
      <w:rFonts w:ascii="Trebuchet MS" w:eastAsia="Times New Roman" w:hAnsi="Trebuchet MS" w:cs="Times New Roman"/>
      <w:b/>
      <w:bCs/>
      <w:i/>
      <w:iCs/>
      <w:szCs w:val="26"/>
    </w:rPr>
  </w:style>
  <w:style w:type="paragraph" w:styleId="Heading6">
    <w:name w:val="heading 6"/>
    <w:basedOn w:val="Normal"/>
    <w:next w:val="Normal"/>
    <w:link w:val="Heading6Char"/>
    <w:uiPriority w:val="9"/>
    <w:unhideWhenUsed/>
    <w:qFormat/>
    <w:rsid w:val="00234305"/>
    <w:pPr>
      <w:widowControl w:val="0"/>
      <w:numPr>
        <w:ilvl w:val="5"/>
        <w:numId w:val="1"/>
      </w:numPr>
      <w:suppressAutoHyphens w:val="0"/>
      <w:spacing w:before="240" w:after="60" w:line="240" w:lineRule="auto"/>
      <w:jc w:val="both"/>
      <w:outlineLvl w:val="5"/>
    </w:pPr>
    <w:rPr>
      <w:rFonts w:ascii="Trebuchet MS" w:eastAsia="Times New Roman" w:hAnsi="Trebuchet MS" w:cs="Times New Roman"/>
      <w:b/>
      <w:bCs/>
      <w:i/>
    </w:rPr>
  </w:style>
  <w:style w:type="paragraph" w:styleId="Heading7">
    <w:name w:val="heading 7"/>
    <w:basedOn w:val="Normal"/>
    <w:next w:val="Normal"/>
    <w:link w:val="Heading7Char"/>
    <w:uiPriority w:val="9"/>
    <w:semiHidden/>
    <w:unhideWhenUsed/>
    <w:qFormat/>
    <w:rsid w:val="00234305"/>
    <w:pPr>
      <w:widowControl w:val="0"/>
      <w:numPr>
        <w:ilvl w:val="6"/>
        <w:numId w:val="1"/>
      </w:numPr>
      <w:suppressAutoHyphens w:val="0"/>
      <w:spacing w:before="240" w:after="60" w:line="240" w:lineRule="auto"/>
      <w:jc w:val="both"/>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234305"/>
    <w:pPr>
      <w:widowControl w:val="0"/>
      <w:numPr>
        <w:ilvl w:val="7"/>
        <w:numId w:val="1"/>
      </w:numPr>
      <w:spacing w:before="240" w:after="60" w:line="240" w:lineRule="auto"/>
      <w:jc w:val="both"/>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234305"/>
    <w:pPr>
      <w:widowControl w:val="0"/>
      <w:numPr>
        <w:ilvl w:val="8"/>
        <w:numId w:val="1"/>
      </w:numPr>
      <w:spacing w:before="240" w:after="60" w:line="240" w:lineRule="auto"/>
      <w:jc w:val="both"/>
      <w:outlineLvl w:val="8"/>
    </w:pPr>
    <w:rPr>
      <w:rFonts w:ascii="Calibri Light" w:eastAsia="Times New Roman" w:hAnsi="Calibri Light"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305"/>
    <w:rPr>
      <w:rFonts w:ascii="Trebuchet MS" w:eastAsia="Times New Roman" w:hAnsi="Trebuchet MS" w:cs="Times New Roman"/>
      <w:b/>
      <w:sz w:val="24"/>
      <w:szCs w:val="32"/>
      <w:lang w:val="ro-RO"/>
    </w:rPr>
  </w:style>
  <w:style w:type="character" w:customStyle="1" w:styleId="Heading2Char">
    <w:name w:val="Heading 2 Char"/>
    <w:basedOn w:val="DefaultParagraphFont"/>
    <w:link w:val="Heading2"/>
    <w:uiPriority w:val="9"/>
    <w:rsid w:val="00234305"/>
    <w:rPr>
      <w:rFonts w:ascii="Trebuchet MS" w:eastAsia="Times New Roman" w:hAnsi="Trebuchet MS" w:cs="Times New Roman"/>
      <w:b/>
      <w:sz w:val="24"/>
      <w:szCs w:val="26"/>
      <w:lang w:val="ro-RO"/>
    </w:rPr>
  </w:style>
  <w:style w:type="character" w:customStyle="1" w:styleId="Heading3Char">
    <w:name w:val="Heading 3 Char"/>
    <w:basedOn w:val="DefaultParagraphFont"/>
    <w:link w:val="Heading3"/>
    <w:uiPriority w:val="9"/>
    <w:rsid w:val="00234305"/>
    <w:rPr>
      <w:rFonts w:ascii="Trebuchet MS" w:eastAsia="Times New Roman" w:hAnsi="Trebuchet MS" w:cs="Times New Roman"/>
      <w:b/>
      <w:bCs/>
      <w:sz w:val="24"/>
      <w:szCs w:val="26"/>
      <w:lang w:val="ro-RO"/>
    </w:rPr>
  </w:style>
  <w:style w:type="character" w:customStyle="1" w:styleId="Heading4Char">
    <w:name w:val="Heading 4 Char"/>
    <w:basedOn w:val="DefaultParagraphFont"/>
    <w:link w:val="Heading4"/>
    <w:uiPriority w:val="9"/>
    <w:rsid w:val="00234305"/>
    <w:rPr>
      <w:rFonts w:ascii="Trebuchet MS" w:eastAsia="Times New Roman" w:hAnsi="Trebuchet MS" w:cs="Times New Roman"/>
      <w:b/>
      <w:bCs/>
      <w:szCs w:val="28"/>
      <w:lang w:val="ro-RO"/>
    </w:rPr>
  </w:style>
  <w:style w:type="character" w:customStyle="1" w:styleId="Heading5Char">
    <w:name w:val="Heading 5 Char"/>
    <w:basedOn w:val="DefaultParagraphFont"/>
    <w:link w:val="Heading5"/>
    <w:uiPriority w:val="9"/>
    <w:rsid w:val="00234305"/>
    <w:rPr>
      <w:rFonts w:ascii="Trebuchet MS" w:eastAsia="Times New Roman" w:hAnsi="Trebuchet MS" w:cs="Times New Roman"/>
      <w:b/>
      <w:bCs/>
      <w:i/>
      <w:iCs/>
      <w:szCs w:val="26"/>
      <w:lang w:val="ro-RO"/>
    </w:rPr>
  </w:style>
  <w:style w:type="character" w:customStyle="1" w:styleId="Heading6Char">
    <w:name w:val="Heading 6 Char"/>
    <w:basedOn w:val="DefaultParagraphFont"/>
    <w:link w:val="Heading6"/>
    <w:uiPriority w:val="9"/>
    <w:rsid w:val="00234305"/>
    <w:rPr>
      <w:rFonts w:ascii="Trebuchet MS" w:eastAsia="Times New Roman" w:hAnsi="Trebuchet MS" w:cs="Times New Roman"/>
      <w:b/>
      <w:bCs/>
      <w:i/>
      <w:lang w:val="ro-RO"/>
    </w:rPr>
  </w:style>
  <w:style w:type="character" w:customStyle="1" w:styleId="Heading7Char">
    <w:name w:val="Heading 7 Char"/>
    <w:basedOn w:val="DefaultParagraphFont"/>
    <w:link w:val="Heading7"/>
    <w:uiPriority w:val="9"/>
    <w:semiHidden/>
    <w:rsid w:val="00234305"/>
    <w:rPr>
      <w:rFonts w:ascii="Calibri" w:eastAsia="Times New Roman" w:hAnsi="Calibri" w:cs="Times New Roman"/>
      <w:sz w:val="24"/>
      <w:szCs w:val="24"/>
      <w:lang w:val="ro-RO"/>
    </w:rPr>
  </w:style>
  <w:style w:type="character" w:customStyle="1" w:styleId="Heading8Char">
    <w:name w:val="Heading 8 Char"/>
    <w:basedOn w:val="DefaultParagraphFont"/>
    <w:link w:val="Heading8"/>
    <w:uiPriority w:val="9"/>
    <w:semiHidden/>
    <w:rsid w:val="00234305"/>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uiPriority w:val="9"/>
    <w:semiHidden/>
    <w:rsid w:val="00234305"/>
    <w:rPr>
      <w:rFonts w:ascii="Calibri Light" w:eastAsia="Times New Roman" w:hAnsi="Calibri Light" w:cs="Times New Roman"/>
      <w:lang w:val="ro-RO"/>
    </w:rPr>
  </w:style>
  <w:style w:type="paragraph" w:styleId="ListParagraph">
    <w:name w:val="List Paragraph"/>
    <w:aliases w:val="lp1,Heading x1,Forth level,Bullet Number,List Paragraph1,lp11,List Paragraph11,Bullet 1,Use Case List Paragraph,Num Bullet 1,Liste 1,Lettre d'introduction,1st level - Bullet List Paragraph,Paragrafo elenco,body 2,Lista 1,List Paragraph2"/>
    <w:basedOn w:val="Normal"/>
    <w:uiPriority w:val="34"/>
    <w:qFormat/>
    <w:rsid w:val="00234305"/>
    <w:pPr>
      <w:widowControl w:val="0"/>
      <w:numPr>
        <w:numId w:val="2"/>
      </w:numPr>
      <w:suppressAutoHyphens w:val="0"/>
      <w:spacing w:after="0" w:line="240" w:lineRule="auto"/>
      <w:ind w:left="924" w:hanging="357"/>
      <w:jc w:val="both"/>
    </w:pPr>
    <w:rPr>
      <w:rFonts w:ascii="Trebuchet MS" w:eastAsia="Calibri" w:hAnsi="Trebuchet MS" w:cs="Times New Roman"/>
      <w:sz w:val="24"/>
    </w:rPr>
  </w:style>
  <w:style w:type="paragraph" w:styleId="FootnoteText">
    <w:name w:val="footnote text"/>
    <w:basedOn w:val="Normal"/>
    <w:link w:val="FootnoteTextChar"/>
    <w:rsid w:val="0084002C"/>
    <w:pPr>
      <w:widowControl w:val="0"/>
      <w:spacing w:after="0" w:line="240" w:lineRule="auto"/>
      <w:jc w:val="both"/>
    </w:pPr>
    <w:rPr>
      <w:rFonts w:ascii="Trebuchet MS" w:eastAsia="Times New Roman" w:hAnsi="Trebuchet MS" w:cs="Times New Roman"/>
      <w:sz w:val="20"/>
      <w:szCs w:val="20"/>
      <w:lang w:val="en-GB" w:eastAsia="zh-CN"/>
    </w:rPr>
  </w:style>
  <w:style w:type="character" w:customStyle="1" w:styleId="FootnoteTextChar">
    <w:name w:val="Footnote Text Char"/>
    <w:basedOn w:val="DefaultParagraphFont"/>
    <w:link w:val="FootnoteText"/>
    <w:rsid w:val="0084002C"/>
    <w:rPr>
      <w:rFonts w:ascii="Trebuchet MS" w:eastAsia="Times New Roman" w:hAnsi="Trebuchet MS" w:cs="Times New Roman"/>
      <w:sz w:val="20"/>
      <w:szCs w:val="20"/>
      <w:lang w:val="en-GB" w:eastAsia="zh-CN"/>
    </w:rPr>
  </w:style>
  <w:style w:type="character" w:styleId="FootnoteReference">
    <w:name w:val="footnote reference"/>
    <w:basedOn w:val="DefaultParagraphFont"/>
    <w:rsid w:val="0084002C"/>
    <w:rPr>
      <w:vertAlign w:val="superscript"/>
    </w:rPr>
  </w:style>
  <w:style w:type="table" w:styleId="TableGrid">
    <w:name w:val="Table Grid"/>
    <w:basedOn w:val="TableNormal"/>
    <w:uiPriority w:val="39"/>
    <w:rsid w:val="004568F7"/>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41B9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41B9D"/>
    <w:rPr>
      <w:rFonts w:ascii="Consolas" w:hAnsi="Consola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8818">
      <w:bodyDiv w:val="1"/>
      <w:marLeft w:val="0"/>
      <w:marRight w:val="0"/>
      <w:marTop w:val="0"/>
      <w:marBottom w:val="0"/>
      <w:divBdr>
        <w:top w:val="none" w:sz="0" w:space="0" w:color="auto"/>
        <w:left w:val="none" w:sz="0" w:space="0" w:color="auto"/>
        <w:bottom w:val="none" w:sz="0" w:space="0" w:color="auto"/>
        <w:right w:val="none" w:sz="0" w:space="0" w:color="auto"/>
      </w:divBdr>
    </w:div>
    <w:div w:id="337777560">
      <w:bodyDiv w:val="1"/>
      <w:marLeft w:val="0"/>
      <w:marRight w:val="0"/>
      <w:marTop w:val="0"/>
      <w:marBottom w:val="0"/>
      <w:divBdr>
        <w:top w:val="none" w:sz="0" w:space="0" w:color="auto"/>
        <w:left w:val="none" w:sz="0" w:space="0" w:color="auto"/>
        <w:bottom w:val="none" w:sz="0" w:space="0" w:color="auto"/>
        <w:right w:val="none" w:sz="0" w:space="0" w:color="auto"/>
      </w:divBdr>
    </w:div>
    <w:div w:id="407504459">
      <w:bodyDiv w:val="1"/>
      <w:marLeft w:val="0"/>
      <w:marRight w:val="0"/>
      <w:marTop w:val="0"/>
      <w:marBottom w:val="0"/>
      <w:divBdr>
        <w:top w:val="none" w:sz="0" w:space="0" w:color="auto"/>
        <w:left w:val="none" w:sz="0" w:space="0" w:color="auto"/>
        <w:bottom w:val="none" w:sz="0" w:space="0" w:color="auto"/>
        <w:right w:val="none" w:sz="0" w:space="0" w:color="auto"/>
      </w:divBdr>
    </w:div>
    <w:div w:id="956519806">
      <w:bodyDiv w:val="1"/>
      <w:marLeft w:val="0"/>
      <w:marRight w:val="0"/>
      <w:marTop w:val="0"/>
      <w:marBottom w:val="0"/>
      <w:divBdr>
        <w:top w:val="none" w:sz="0" w:space="0" w:color="auto"/>
        <w:left w:val="none" w:sz="0" w:space="0" w:color="auto"/>
        <w:bottom w:val="none" w:sz="0" w:space="0" w:color="auto"/>
        <w:right w:val="none" w:sz="0" w:space="0" w:color="auto"/>
      </w:divBdr>
    </w:div>
    <w:div w:id="1298224594">
      <w:bodyDiv w:val="1"/>
      <w:marLeft w:val="0"/>
      <w:marRight w:val="0"/>
      <w:marTop w:val="0"/>
      <w:marBottom w:val="0"/>
      <w:divBdr>
        <w:top w:val="none" w:sz="0" w:space="0" w:color="auto"/>
        <w:left w:val="none" w:sz="0" w:space="0" w:color="auto"/>
        <w:bottom w:val="none" w:sz="0" w:space="0" w:color="auto"/>
        <w:right w:val="none" w:sz="0" w:space="0" w:color="auto"/>
      </w:divBdr>
    </w:div>
    <w:div w:id="204610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Horia</dc:creator>
  <cp:keywords/>
  <dc:description/>
  <cp:lastModifiedBy>ARTHUR-CODRUŢ ION-IOVAN</cp:lastModifiedBy>
  <cp:revision>2</cp:revision>
  <cp:lastPrinted>2023-07-07T07:12:00Z</cp:lastPrinted>
  <dcterms:created xsi:type="dcterms:W3CDTF">2023-07-13T09:53:00Z</dcterms:created>
  <dcterms:modified xsi:type="dcterms:W3CDTF">2023-07-13T09:53:00Z</dcterms:modified>
</cp:coreProperties>
</file>