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F7" w:rsidRPr="004568F7" w:rsidRDefault="004568F7" w:rsidP="004568F7">
      <w:pPr>
        <w:suppressAutoHyphens w:val="0"/>
        <w:spacing w:after="0"/>
        <w:jc w:val="right"/>
        <w:rPr>
          <w:rFonts w:ascii="Trebuchet MS" w:hAnsi="Trebuchet MS" w:cs="Times New Roman"/>
          <w:b/>
          <w:sz w:val="24"/>
          <w:szCs w:val="24"/>
        </w:rPr>
      </w:pPr>
      <w:r w:rsidRPr="004568F7">
        <w:rPr>
          <w:rFonts w:ascii="Trebuchet MS" w:hAnsi="Trebuchet MS" w:cs="Times New Roman"/>
          <w:b/>
          <w:sz w:val="24"/>
          <w:szCs w:val="24"/>
        </w:rPr>
        <w:t>Anexa nr. 1</w:t>
      </w:r>
    </w:p>
    <w:p w:rsidR="004568F7" w:rsidRDefault="004568F7" w:rsidP="004568F7">
      <w:pPr>
        <w:spacing w:before="120" w:after="120" w:line="240" w:lineRule="auto"/>
        <w:jc w:val="center"/>
        <w:rPr>
          <w:rFonts w:ascii="Trebuchet MS" w:hAnsi="Trebuchet MS" w:cs="Times New Roman"/>
          <w:b/>
          <w:sz w:val="24"/>
          <w:szCs w:val="24"/>
        </w:rPr>
      </w:pPr>
    </w:p>
    <w:p w:rsidR="004568F7" w:rsidRPr="004568F7" w:rsidRDefault="004568F7" w:rsidP="004568F7">
      <w:pPr>
        <w:spacing w:before="120" w:after="120" w:line="240" w:lineRule="auto"/>
        <w:jc w:val="center"/>
        <w:rPr>
          <w:rFonts w:ascii="Trebuchet MS" w:hAnsi="Trebuchet MS" w:cs="Times New Roman"/>
          <w:b/>
          <w:sz w:val="24"/>
          <w:szCs w:val="24"/>
        </w:rPr>
      </w:pPr>
    </w:p>
    <w:p w:rsidR="004568F7" w:rsidRDefault="004568F7" w:rsidP="004568F7">
      <w:pPr>
        <w:spacing w:before="120" w:after="120" w:line="240" w:lineRule="auto"/>
        <w:jc w:val="center"/>
        <w:rPr>
          <w:rFonts w:ascii="Trebuchet MS" w:hAnsi="Trebuchet MS" w:cs="Times New Roman"/>
          <w:b/>
          <w:sz w:val="24"/>
          <w:szCs w:val="24"/>
        </w:rPr>
      </w:pPr>
      <w:r w:rsidRPr="004568F7">
        <w:rPr>
          <w:rFonts w:ascii="Trebuchet MS" w:hAnsi="Trebuchet MS" w:cs="Times New Roman"/>
          <w:b/>
          <w:sz w:val="24"/>
          <w:szCs w:val="24"/>
        </w:rPr>
        <w:t>Oferta tehnică</w:t>
      </w:r>
    </w:p>
    <w:p w:rsidR="004568F7" w:rsidRPr="004568F7" w:rsidRDefault="004568F7" w:rsidP="004568F7">
      <w:pPr>
        <w:spacing w:before="120" w:after="120" w:line="240" w:lineRule="auto"/>
        <w:jc w:val="center"/>
        <w:rPr>
          <w:rFonts w:ascii="Trebuchet MS" w:hAnsi="Trebuchet MS" w:cs="Times New Roman"/>
          <w:b/>
          <w:sz w:val="24"/>
          <w:szCs w:val="24"/>
        </w:rPr>
      </w:pPr>
    </w:p>
    <w:p w:rsidR="004568F7" w:rsidRPr="004568F7" w:rsidRDefault="004568F7" w:rsidP="004568F7">
      <w:pPr>
        <w:spacing w:before="120" w:after="120" w:line="240" w:lineRule="auto"/>
        <w:jc w:val="center"/>
        <w:rPr>
          <w:rFonts w:cs="Times New Roman"/>
          <w:b/>
          <w:sz w:val="24"/>
          <w:szCs w:val="24"/>
        </w:rPr>
      </w:pPr>
    </w:p>
    <w:tbl>
      <w:tblPr>
        <w:tblStyle w:val="TableGrid"/>
        <w:tblW w:w="5261" w:type="pct"/>
        <w:jc w:val="center"/>
        <w:tblLook w:val="04A0" w:firstRow="1" w:lastRow="0" w:firstColumn="1" w:lastColumn="0" w:noHBand="0" w:noVBand="1"/>
      </w:tblPr>
      <w:tblGrid>
        <w:gridCol w:w="2909"/>
        <w:gridCol w:w="1191"/>
        <w:gridCol w:w="1191"/>
        <w:gridCol w:w="1207"/>
        <w:gridCol w:w="1352"/>
        <w:gridCol w:w="1215"/>
      </w:tblGrid>
      <w:tr w:rsidR="00EF7001" w:rsidRPr="004568F7" w:rsidTr="00EF7001">
        <w:trPr>
          <w:trHeight w:val="452"/>
          <w:jc w:val="center"/>
        </w:trPr>
        <w:tc>
          <w:tcPr>
            <w:tcW w:w="1604" w:type="pct"/>
            <w:vMerge w:val="restart"/>
            <w:shd w:val="clear" w:color="auto" w:fill="auto"/>
            <w:tcMar>
              <w:left w:w="108" w:type="dxa"/>
            </w:tcMar>
          </w:tcPr>
          <w:p w:rsidR="004568F7" w:rsidRPr="004568F7" w:rsidRDefault="004568F7" w:rsidP="004568F7">
            <w:pPr>
              <w:pStyle w:val="ListParagraph"/>
              <w:numPr>
                <w:ilvl w:val="0"/>
                <w:numId w:val="0"/>
              </w:numPr>
              <w:jc w:val="center"/>
              <w:rPr>
                <w:szCs w:val="24"/>
              </w:rPr>
            </w:pPr>
            <w:r w:rsidRPr="004568F7">
              <w:rPr>
                <w:szCs w:val="24"/>
              </w:rPr>
              <w:t>Tip serviciu</w:t>
            </w:r>
          </w:p>
        </w:tc>
        <w:tc>
          <w:tcPr>
            <w:tcW w:w="657" w:type="pct"/>
            <w:vMerge w:val="restart"/>
          </w:tcPr>
          <w:p w:rsidR="004568F7" w:rsidRPr="004568F7" w:rsidRDefault="004568F7" w:rsidP="004568F7">
            <w:pPr>
              <w:pStyle w:val="ListParagraph"/>
              <w:numPr>
                <w:ilvl w:val="0"/>
                <w:numId w:val="0"/>
              </w:numPr>
              <w:jc w:val="center"/>
              <w:rPr>
                <w:szCs w:val="24"/>
              </w:rPr>
            </w:pPr>
            <w:r w:rsidRPr="004568F7">
              <w:rPr>
                <w:szCs w:val="24"/>
              </w:rPr>
              <w:t>Țara</w:t>
            </w:r>
          </w:p>
        </w:tc>
        <w:tc>
          <w:tcPr>
            <w:tcW w:w="2739" w:type="pct"/>
            <w:gridSpan w:val="4"/>
          </w:tcPr>
          <w:p w:rsidR="004568F7" w:rsidRPr="004568F7" w:rsidRDefault="004568F7" w:rsidP="004568F7">
            <w:pPr>
              <w:pStyle w:val="ListParagraph"/>
              <w:numPr>
                <w:ilvl w:val="0"/>
                <w:numId w:val="0"/>
              </w:numPr>
              <w:jc w:val="center"/>
              <w:rPr>
                <w:szCs w:val="24"/>
              </w:rPr>
            </w:pPr>
            <w:r w:rsidRPr="004568F7">
              <w:rPr>
                <w:szCs w:val="24"/>
              </w:rPr>
              <w:t>Ani</w:t>
            </w:r>
          </w:p>
        </w:tc>
      </w:tr>
      <w:tr w:rsidR="00EF7001" w:rsidRPr="004568F7" w:rsidTr="00EF7001">
        <w:trPr>
          <w:jc w:val="center"/>
        </w:trPr>
        <w:tc>
          <w:tcPr>
            <w:tcW w:w="1604" w:type="pct"/>
            <w:vMerge/>
            <w:shd w:val="clear" w:color="auto" w:fill="auto"/>
            <w:tcMar>
              <w:left w:w="108" w:type="dxa"/>
            </w:tcMar>
          </w:tcPr>
          <w:p w:rsidR="004568F7" w:rsidRPr="004568F7" w:rsidRDefault="004568F7" w:rsidP="005919CF">
            <w:pPr>
              <w:jc w:val="both"/>
              <w:rPr>
                <w:rFonts w:ascii="Trebuchet MS" w:hAnsi="Trebuchet MS" w:cs="Times New Roman"/>
                <w:sz w:val="24"/>
                <w:szCs w:val="24"/>
              </w:rPr>
            </w:pPr>
          </w:p>
        </w:tc>
        <w:tc>
          <w:tcPr>
            <w:tcW w:w="657" w:type="pct"/>
            <w:vMerge/>
          </w:tcPr>
          <w:p w:rsidR="004568F7" w:rsidRPr="004568F7" w:rsidRDefault="004568F7" w:rsidP="005919CF">
            <w:pPr>
              <w:jc w:val="both"/>
              <w:rPr>
                <w:rFonts w:ascii="Trebuchet MS" w:hAnsi="Trebuchet MS" w:cs="Times New Roman"/>
                <w:sz w:val="24"/>
                <w:szCs w:val="24"/>
              </w:rPr>
            </w:pPr>
          </w:p>
        </w:tc>
        <w:tc>
          <w:tcPr>
            <w:tcW w:w="657"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2020</w:t>
            </w:r>
          </w:p>
        </w:tc>
        <w:tc>
          <w:tcPr>
            <w:tcW w:w="666"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2021</w:t>
            </w:r>
          </w:p>
        </w:tc>
        <w:tc>
          <w:tcPr>
            <w:tcW w:w="746"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2022</w:t>
            </w:r>
          </w:p>
        </w:tc>
        <w:tc>
          <w:tcPr>
            <w:tcW w:w="669"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2023</w:t>
            </w:r>
          </w:p>
        </w:tc>
      </w:tr>
      <w:tr w:rsidR="00EF7001" w:rsidRPr="004568F7" w:rsidTr="00EF7001">
        <w:trPr>
          <w:jc w:val="center"/>
        </w:trPr>
        <w:tc>
          <w:tcPr>
            <w:tcW w:w="1604" w:type="pct"/>
            <w:shd w:val="clear" w:color="auto" w:fill="auto"/>
            <w:tcMar>
              <w:left w:w="108" w:type="dxa"/>
            </w:tcMar>
          </w:tcPr>
          <w:p w:rsidR="004568F7" w:rsidRPr="004568F7" w:rsidRDefault="004568F7" w:rsidP="005919CF">
            <w:pPr>
              <w:jc w:val="both"/>
              <w:rPr>
                <w:rFonts w:ascii="Trebuchet MS" w:hAnsi="Trebuchet MS" w:cs="Times New Roman"/>
                <w:sz w:val="24"/>
                <w:szCs w:val="24"/>
              </w:rPr>
            </w:pPr>
            <w:r w:rsidRPr="004568F7">
              <w:rPr>
                <w:rFonts w:ascii="Trebuchet MS" w:hAnsi="Trebuchet MS" w:cs="Times New Roman"/>
                <w:sz w:val="24"/>
                <w:szCs w:val="24"/>
              </w:rPr>
              <w:t xml:space="preserve">i) evaluarea externă a Cadrelor de obligațiuni verzi / sociale / de sustenabilitate ale emitenților suverani*, pentru care ofertantul a prestat astfel de servicii în perioada 1 ianuarie 2020 – 30 iunie 2023 inclusiv </w:t>
            </w:r>
          </w:p>
        </w:tc>
        <w:tc>
          <w:tcPr>
            <w:tcW w:w="657" w:type="pct"/>
          </w:tcPr>
          <w:p w:rsidR="004568F7" w:rsidRPr="004568F7" w:rsidRDefault="004568F7" w:rsidP="005919CF">
            <w:pPr>
              <w:jc w:val="both"/>
              <w:rPr>
                <w:rFonts w:ascii="Trebuchet MS" w:hAnsi="Trebuchet MS" w:cs="Times New Roman"/>
                <w:sz w:val="24"/>
                <w:szCs w:val="24"/>
              </w:rPr>
            </w:pPr>
          </w:p>
        </w:tc>
        <w:tc>
          <w:tcPr>
            <w:tcW w:w="657" w:type="pct"/>
          </w:tcPr>
          <w:p w:rsidR="004568F7" w:rsidRPr="004568F7" w:rsidRDefault="004568F7" w:rsidP="005919CF">
            <w:pPr>
              <w:jc w:val="both"/>
              <w:rPr>
                <w:rFonts w:ascii="Trebuchet MS" w:hAnsi="Trebuchet MS" w:cs="Times New Roman"/>
                <w:sz w:val="24"/>
                <w:szCs w:val="24"/>
              </w:rPr>
            </w:pPr>
          </w:p>
        </w:tc>
        <w:tc>
          <w:tcPr>
            <w:tcW w:w="666" w:type="pct"/>
          </w:tcPr>
          <w:p w:rsidR="004568F7" w:rsidRPr="004568F7" w:rsidRDefault="004568F7" w:rsidP="005919CF">
            <w:pPr>
              <w:jc w:val="both"/>
              <w:rPr>
                <w:rFonts w:ascii="Trebuchet MS" w:hAnsi="Trebuchet MS" w:cs="Times New Roman"/>
                <w:sz w:val="24"/>
                <w:szCs w:val="24"/>
              </w:rPr>
            </w:pPr>
          </w:p>
        </w:tc>
        <w:tc>
          <w:tcPr>
            <w:tcW w:w="746" w:type="pct"/>
          </w:tcPr>
          <w:p w:rsidR="004568F7" w:rsidRPr="004568F7" w:rsidRDefault="004568F7" w:rsidP="005919CF">
            <w:pPr>
              <w:jc w:val="both"/>
              <w:rPr>
                <w:rFonts w:ascii="Trebuchet MS" w:hAnsi="Trebuchet MS" w:cs="Times New Roman"/>
                <w:sz w:val="24"/>
                <w:szCs w:val="24"/>
              </w:rPr>
            </w:pPr>
          </w:p>
        </w:tc>
        <w:tc>
          <w:tcPr>
            <w:tcW w:w="669" w:type="pct"/>
          </w:tcPr>
          <w:p w:rsidR="004568F7" w:rsidRPr="004568F7" w:rsidRDefault="004568F7" w:rsidP="005919CF">
            <w:pPr>
              <w:jc w:val="both"/>
              <w:rPr>
                <w:rFonts w:ascii="Trebuchet MS" w:hAnsi="Trebuchet MS" w:cs="Times New Roman"/>
                <w:sz w:val="24"/>
                <w:szCs w:val="24"/>
              </w:rPr>
            </w:pPr>
          </w:p>
        </w:tc>
      </w:tr>
      <w:tr w:rsidR="00EF7001" w:rsidRPr="004568F7" w:rsidTr="00EF7001">
        <w:trPr>
          <w:jc w:val="center"/>
        </w:trPr>
        <w:tc>
          <w:tcPr>
            <w:tcW w:w="1604" w:type="pct"/>
            <w:shd w:val="clear" w:color="auto" w:fill="auto"/>
            <w:tcMar>
              <w:left w:w="108" w:type="dxa"/>
            </w:tcMar>
          </w:tcPr>
          <w:p w:rsidR="004568F7" w:rsidRPr="004568F7" w:rsidRDefault="004568F7" w:rsidP="005919CF">
            <w:pPr>
              <w:jc w:val="both"/>
              <w:rPr>
                <w:rFonts w:ascii="Trebuchet MS" w:hAnsi="Trebuchet MS" w:cs="Times New Roman"/>
                <w:sz w:val="24"/>
                <w:szCs w:val="24"/>
              </w:rPr>
            </w:pPr>
            <w:r w:rsidRPr="004568F7">
              <w:rPr>
                <w:rFonts w:ascii="Trebuchet MS" w:hAnsi="Trebuchet MS" w:cs="Times New Roman"/>
                <w:sz w:val="24"/>
                <w:szCs w:val="24"/>
              </w:rPr>
              <w:t>ii) evaluarea externă a rapoartelor de alocare aferente obligațiunilor verzi / realizate de emitenți suverani*, în perioada 1 ianuarie 2020 – 30 iunie 2023 inclusiv</w:t>
            </w:r>
          </w:p>
        </w:tc>
        <w:tc>
          <w:tcPr>
            <w:tcW w:w="657" w:type="pct"/>
          </w:tcPr>
          <w:p w:rsidR="004568F7" w:rsidRPr="004568F7" w:rsidRDefault="004568F7" w:rsidP="005919CF">
            <w:pPr>
              <w:jc w:val="both"/>
              <w:rPr>
                <w:rFonts w:ascii="Trebuchet MS" w:hAnsi="Trebuchet MS" w:cs="Times New Roman"/>
                <w:sz w:val="24"/>
                <w:szCs w:val="24"/>
              </w:rPr>
            </w:pPr>
          </w:p>
        </w:tc>
        <w:tc>
          <w:tcPr>
            <w:tcW w:w="657" w:type="pct"/>
          </w:tcPr>
          <w:p w:rsidR="004568F7" w:rsidRPr="004568F7" w:rsidRDefault="004568F7" w:rsidP="005919CF">
            <w:pPr>
              <w:jc w:val="both"/>
              <w:rPr>
                <w:rFonts w:ascii="Trebuchet MS" w:hAnsi="Trebuchet MS" w:cs="Times New Roman"/>
                <w:sz w:val="24"/>
                <w:szCs w:val="24"/>
              </w:rPr>
            </w:pPr>
          </w:p>
        </w:tc>
        <w:tc>
          <w:tcPr>
            <w:tcW w:w="666" w:type="pct"/>
          </w:tcPr>
          <w:p w:rsidR="004568F7" w:rsidRPr="004568F7" w:rsidRDefault="004568F7" w:rsidP="005919CF">
            <w:pPr>
              <w:jc w:val="both"/>
              <w:rPr>
                <w:rFonts w:ascii="Trebuchet MS" w:hAnsi="Trebuchet MS" w:cs="Times New Roman"/>
                <w:sz w:val="24"/>
                <w:szCs w:val="24"/>
              </w:rPr>
            </w:pPr>
          </w:p>
        </w:tc>
        <w:tc>
          <w:tcPr>
            <w:tcW w:w="746" w:type="pct"/>
          </w:tcPr>
          <w:p w:rsidR="004568F7" w:rsidRPr="004568F7" w:rsidRDefault="004568F7" w:rsidP="005919CF">
            <w:pPr>
              <w:jc w:val="both"/>
              <w:rPr>
                <w:rFonts w:ascii="Trebuchet MS" w:hAnsi="Trebuchet MS" w:cs="Times New Roman"/>
                <w:sz w:val="24"/>
                <w:szCs w:val="24"/>
              </w:rPr>
            </w:pPr>
          </w:p>
        </w:tc>
        <w:tc>
          <w:tcPr>
            <w:tcW w:w="669" w:type="pct"/>
          </w:tcPr>
          <w:p w:rsidR="004568F7" w:rsidRPr="004568F7" w:rsidRDefault="004568F7" w:rsidP="005919CF">
            <w:pPr>
              <w:jc w:val="both"/>
              <w:rPr>
                <w:rFonts w:ascii="Trebuchet MS" w:hAnsi="Trebuchet MS" w:cs="Times New Roman"/>
                <w:sz w:val="24"/>
                <w:szCs w:val="24"/>
              </w:rPr>
            </w:pPr>
          </w:p>
        </w:tc>
      </w:tr>
    </w:tbl>
    <w:p w:rsidR="004568F7" w:rsidRDefault="004568F7" w:rsidP="004568F7">
      <w:pPr>
        <w:spacing w:before="120" w:after="120" w:line="240" w:lineRule="auto"/>
        <w:jc w:val="both"/>
        <w:rPr>
          <w:rFonts w:ascii="Trebuchet MS" w:hAnsi="Trebuchet MS" w:cs="Times New Roman"/>
          <w:i/>
          <w:sz w:val="24"/>
          <w:szCs w:val="24"/>
        </w:rPr>
      </w:pPr>
    </w:p>
    <w:p w:rsidR="004568F7" w:rsidRPr="004568F7" w:rsidRDefault="004568F7" w:rsidP="004568F7">
      <w:pPr>
        <w:spacing w:before="120" w:after="120" w:line="240" w:lineRule="auto"/>
        <w:jc w:val="both"/>
        <w:rPr>
          <w:rFonts w:ascii="Trebuchet MS" w:hAnsi="Trebuchet MS" w:cs="Times New Roman"/>
          <w:i/>
          <w:sz w:val="24"/>
          <w:szCs w:val="24"/>
        </w:rPr>
      </w:pPr>
      <w:r w:rsidRPr="004568F7">
        <w:rPr>
          <w:rFonts w:ascii="Trebuchet MS" w:hAnsi="Trebuchet MS" w:cs="Times New Roman"/>
          <w:i/>
          <w:sz w:val="24"/>
          <w:szCs w:val="24"/>
        </w:rPr>
        <w:t>* În categoria emitenților suverani se includ numai emitenții la nivel de stat, care emit instrumente de datorie publică, prin intermediul unei entități autorizate în acest scop, de exemplu Ministerul Finanțelor. Instituțiile financiare internaționale înființate pe baza tratatelor internaționale sau companiile de stat nu sunt considerate a face parte din categoria emitenților suverani.</w:t>
      </w:r>
      <w:bookmarkStart w:id="0" w:name="_GoBack"/>
      <w:bookmarkEnd w:id="0"/>
    </w:p>
    <w:p w:rsidR="004568F7" w:rsidRPr="004568F7" w:rsidRDefault="004568F7" w:rsidP="004568F7">
      <w:pPr>
        <w:spacing w:before="120" w:after="120" w:line="240" w:lineRule="auto"/>
        <w:jc w:val="both"/>
        <w:rPr>
          <w:rFonts w:ascii="Trebuchet MS" w:hAnsi="Trebuchet MS" w:cs="Times New Roman"/>
          <w:i/>
          <w:sz w:val="24"/>
          <w:szCs w:val="24"/>
        </w:rPr>
      </w:pPr>
    </w:p>
    <w:p w:rsidR="004568F7" w:rsidRPr="004568F7" w:rsidRDefault="004568F7" w:rsidP="004568F7">
      <w:pPr>
        <w:spacing w:before="120" w:after="120" w:line="240" w:lineRule="auto"/>
        <w:jc w:val="both"/>
        <w:rPr>
          <w:rFonts w:ascii="Trebuchet MS" w:hAnsi="Trebuchet MS" w:cs="Times New Roman"/>
          <w:sz w:val="24"/>
          <w:szCs w:val="24"/>
        </w:rPr>
      </w:pPr>
      <w:r w:rsidRPr="004568F7">
        <w:rPr>
          <w:rFonts w:ascii="Trebuchet MS" w:hAnsi="Trebuchet MS" w:cs="Times New Roman"/>
          <w:i/>
          <w:sz w:val="24"/>
          <w:szCs w:val="24"/>
        </w:rPr>
        <w:t xml:space="preserve">NOTĂ: În tabel vor fi indicate referințe clare la rapoartele de evaluare externă realizate, astfel încât autoritatea contractantă să poată verifica îndeplinirea cerinței minime/cerințelor pentru acordarea punctajului tehnic. </w:t>
      </w:r>
    </w:p>
    <w:p w:rsidR="00234305" w:rsidRPr="004568F7" w:rsidRDefault="00234305" w:rsidP="004568F7"/>
    <w:sectPr w:rsidR="00234305" w:rsidRPr="004568F7" w:rsidSect="00EF7001">
      <w:pgSz w:w="11906" w:h="16838" w:code="9"/>
      <w:pgMar w:top="851" w:right="18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FC4" w:rsidRDefault="00DA0FC4" w:rsidP="0084002C">
      <w:pPr>
        <w:spacing w:after="0" w:line="240" w:lineRule="auto"/>
      </w:pPr>
      <w:r>
        <w:separator/>
      </w:r>
    </w:p>
  </w:endnote>
  <w:endnote w:type="continuationSeparator" w:id="0">
    <w:p w:rsidR="00DA0FC4" w:rsidRDefault="00DA0FC4" w:rsidP="0084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FC4" w:rsidRDefault="00DA0FC4" w:rsidP="0084002C">
      <w:pPr>
        <w:spacing w:after="0" w:line="240" w:lineRule="auto"/>
      </w:pPr>
      <w:r>
        <w:separator/>
      </w:r>
    </w:p>
  </w:footnote>
  <w:footnote w:type="continuationSeparator" w:id="0">
    <w:p w:rsidR="00DA0FC4" w:rsidRDefault="00DA0FC4" w:rsidP="00840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416"/>
    <w:multiLevelType w:val="multilevel"/>
    <w:tmpl w:val="E938A3DE"/>
    <w:lvl w:ilvl="0">
      <w:start w:val="1"/>
      <w:numFmt w:val="decimal"/>
      <w:pStyle w:val="Heading1"/>
      <w:suff w:val="space"/>
      <w:lvlText w:val="CAPITOLUL %1."/>
      <w:lvlJc w:val="left"/>
      <w:pPr>
        <w:ind w:left="432" w:hanging="432"/>
      </w:pPr>
      <w:rPr>
        <w:rFonts w:hint="default"/>
        <w:b/>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EBC6F29"/>
    <w:multiLevelType w:val="hybridMultilevel"/>
    <w:tmpl w:val="70F8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70454"/>
    <w:multiLevelType w:val="hybridMultilevel"/>
    <w:tmpl w:val="7CB228D4"/>
    <w:lvl w:ilvl="0" w:tplc="0A047B20">
      <w:start w:val="1"/>
      <w:numFmt w:val="bullet"/>
      <w:pStyle w:val="ListParagraph"/>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05"/>
    <w:rsid w:val="00020BB5"/>
    <w:rsid w:val="00055B49"/>
    <w:rsid w:val="0018324B"/>
    <w:rsid w:val="00234305"/>
    <w:rsid w:val="003E7180"/>
    <w:rsid w:val="004568F7"/>
    <w:rsid w:val="005F7487"/>
    <w:rsid w:val="00653DA0"/>
    <w:rsid w:val="0073025D"/>
    <w:rsid w:val="00793C5C"/>
    <w:rsid w:val="0084002C"/>
    <w:rsid w:val="00AB274B"/>
    <w:rsid w:val="00B9788E"/>
    <w:rsid w:val="00BC48E6"/>
    <w:rsid w:val="00DA0FC4"/>
    <w:rsid w:val="00DF2887"/>
    <w:rsid w:val="00E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C501"/>
  <w15:chartTrackingRefBased/>
  <w15:docId w15:val="{DF0D8B0F-F13A-41B5-8C08-A516ED44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F7"/>
    <w:pPr>
      <w:suppressAutoHyphens/>
      <w:spacing w:line="256" w:lineRule="auto"/>
    </w:pPr>
    <w:rPr>
      <w:lang w:val="ro-RO"/>
    </w:rPr>
  </w:style>
  <w:style w:type="paragraph" w:styleId="Heading1">
    <w:name w:val="heading 1"/>
    <w:basedOn w:val="Normal"/>
    <w:next w:val="Normal"/>
    <w:link w:val="Heading1Char"/>
    <w:qFormat/>
    <w:rsid w:val="00234305"/>
    <w:pPr>
      <w:widowControl w:val="0"/>
      <w:numPr>
        <w:numId w:val="1"/>
      </w:numPr>
      <w:suppressAutoHyphens w:val="0"/>
      <w:spacing w:before="240" w:after="240" w:line="240" w:lineRule="auto"/>
      <w:jc w:val="center"/>
      <w:outlineLvl w:val="0"/>
    </w:pPr>
    <w:rPr>
      <w:rFonts w:ascii="Trebuchet MS" w:eastAsia="Times New Roman" w:hAnsi="Trebuchet MS" w:cs="Times New Roman"/>
      <w:b/>
      <w:sz w:val="24"/>
      <w:szCs w:val="32"/>
    </w:rPr>
  </w:style>
  <w:style w:type="paragraph" w:styleId="Heading2">
    <w:name w:val="heading 2"/>
    <w:basedOn w:val="Normal"/>
    <w:next w:val="Normal"/>
    <w:link w:val="Heading2Char"/>
    <w:uiPriority w:val="9"/>
    <w:unhideWhenUsed/>
    <w:qFormat/>
    <w:rsid w:val="00234305"/>
    <w:pPr>
      <w:widowControl w:val="0"/>
      <w:numPr>
        <w:ilvl w:val="1"/>
        <w:numId w:val="1"/>
      </w:numPr>
      <w:suppressAutoHyphens w:val="0"/>
      <w:spacing w:before="240" w:after="240" w:line="240" w:lineRule="auto"/>
      <w:jc w:val="both"/>
      <w:outlineLvl w:val="1"/>
    </w:pPr>
    <w:rPr>
      <w:rFonts w:ascii="Trebuchet MS" w:eastAsia="Times New Roman" w:hAnsi="Trebuchet MS" w:cs="Times New Roman"/>
      <w:b/>
      <w:sz w:val="24"/>
      <w:szCs w:val="26"/>
    </w:rPr>
  </w:style>
  <w:style w:type="paragraph" w:styleId="Heading3">
    <w:name w:val="heading 3"/>
    <w:basedOn w:val="Normal"/>
    <w:next w:val="Normal"/>
    <w:link w:val="Heading3Char"/>
    <w:uiPriority w:val="9"/>
    <w:unhideWhenUsed/>
    <w:qFormat/>
    <w:rsid w:val="00234305"/>
    <w:pPr>
      <w:widowControl w:val="0"/>
      <w:numPr>
        <w:ilvl w:val="2"/>
        <w:numId w:val="1"/>
      </w:numPr>
      <w:suppressAutoHyphens w:val="0"/>
      <w:spacing w:before="240" w:after="240" w:line="240" w:lineRule="auto"/>
      <w:jc w:val="both"/>
      <w:outlineLvl w:val="2"/>
    </w:pPr>
    <w:rPr>
      <w:rFonts w:ascii="Trebuchet MS" w:eastAsia="Times New Roman" w:hAnsi="Trebuchet MS" w:cs="Times New Roman"/>
      <w:b/>
      <w:bCs/>
      <w:sz w:val="24"/>
      <w:szCs w:val="26"/>
    </w:rPr>
  </w:style>
  <w:style w:type="paragraph" w:styleId="Heading4">
    <w:name w:val="heading 4"/>
    <w:basedOn w:val="Normal"/>
    <w:next w:val="Normal"/>
    <w:link w:val="Heading4Char"/>
    <w:uiPriority w:val="9"/>
    <w:unhideWhenUsed/>
    <w:qFormat/>
    <w:rsid w:val="00234305"/>
    <w:pPr>
      <w:widowControl w:val="0"/>
      <w:numPr>
        <w:ilvl w:val="3"/>
        <w:numId w:val="1"/>
      </w:numPr>
      <w:suppressAutoHyphens w:val="0"/>
      <w:spacing w:before="240" w:after="60" w:line="240" w:lineRule="auto"/>
      <w:jc w:val="both"/>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qFormat/>
    <w:rsid w:val="00234305"/>
    <w:pPr>
      <w:widowControl w:val="0"/>
      <w:numPr>
        <w:ilvl w:val="4"/>
        <w:numId w:val="1"/>
      </w:numPr>
      <w:suppressAutoHyphens w:val="0"/>
      <w:spacing w:before="240" w:after="60" w:line="240" w:lineRule="auto"/>
      <w:jc w:val="both"/>
      <w:outlineLvl w:val="4"/>
    </w:pPr>
    <w:rPr>
      <w:rFonts w:ascii="Trebuchet MS" w:eastAsia="Times New Roman" w:hAnsi="Trebuchet MS" w:cs="Times New Roman"/>
      <w:b/>
      <w:bCs/>
      <w:i/>
      <w:iCs/>
      <w:szCs w:val="26"/>
    </w:rPr>
  </w:style>
  <w:style w:type="paragraph" w:styleId="Heading6">
    <w:name w:val="heading 6"/>
    <w:basedOn w:val="Normal"/>
    <w:next w:val="Normal"/>
    <w:link w:val="Heading6Char"/>
    <w:uiPriority w:val="9"/>
    <w:unhideWhenUsed/>
    <w:qFormat/>
    <w:rsid w:val="00234305"/>
    <w:pPr>
      <w:widowControl w:val="0"/>
      <w:numPr>
        <w:ilvl w:val="5"/>
        <w:numId w:val="1"/>
      </w:numPr>
      <w:suppressAutoHyphens w:val="0"/>
      <w:spacing w:before="240" w:after="60" w:line="240" w:lineRule="auto"/>
      <w:jc w:val="both"/>
      <w:outlineLvl w:val="5"/>
    </w:pPr>
    <w:rPr>
      <w:rFonts w:ascii="Trebuchet MS" w:eastAsia="Times New Roman" w:hAnsi="Trebuchet MS" w:cs="Times New Roman"/>
      <w:b/>
      <w:bCs/>
      <w:i/>
    </w:rPr>
  </w:style>
  <w:style w:type="paragraph" w:styleId="Heading7">
    <w:name w:val="heading 7"/>
    <w:basedOn w:val="Normal"/>
    <w:next w:val="Normal"/>
    <w:link w:val="Heading7Char"/>
    <w:uiPriority w:val="9"/>
    <w:semiHidden/>
    <w:unhideWhenUsed/>
    <w:qFormat/>
    <w:rsid w:val="00234305"/>
    <w:pPr>
      <w:widowControl w:val="0"/>
      <w:numPr>
        <w:ilvl w:val="6"/>
        <w:numId w:val="1"/>
      </w:numPr>
      <w:suppressAutoHyphens w:val="0"/>
      <w:spacing w:before="240" w:after="60" w:line="240"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234305"/>
    <w:pPr>
      <w:widowControl w:val="0"/>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234305"/>
    <w:pPr>
      <w:widowControl w:val="0"/>
      <w:numPr>
        <w:ilvl w:val="8"/>
        <w:numId w:val="1"/>
      </w:numPr>
      <w:spacing w:before="240" w:after="60" w:line="240" w:lineRule="auto"/>
      <w:jc w:val="both"/>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305"/>
    <w:rPr>
      <w:rFonts w:ascii="Trebuchet MS" w:eastAsia="Times New Roman" w:hAnsi="Trebuchet MS" w:cs="Times New Roman"/>
      <w:b/>
      <w:sz w:val="24"/>
      <w:szCs w:val="32"/>
      <w:lang w:val="ro-RO"/>
    </w:rPr>
  </w:style>
  <w:style w:type="character" w:customStyle="1" w:styleId="Heading2Char">
    <w:name w:val="Heading 2 Char"/>
    <w:basedOn w:val="DefaultParagraphFont"/>
    <w:link w:val="Heading2"/>
    <w:uiPriority w:val="9"/>
    <w:rsid w:val="00234305"/>
    <w:rPr>
      <w:rFonts w:ascii="Trebuchet MS" w:eastAsia="Times New Roman" w:hAnsi="Trebuchet MS" w:cs="Times New Roman"/>
      <w:b/>
      <w:sz w:val="24"/>
      <w:szCs w:val="26"/>
      <w:lang w:val="ro-RO"/>
    </w:rPr>
  </w:style>
  <w:style w:type="character" w:customStyle="1" w:styleId="Heading3Char">
    <w:name w:val="Heading 3 Char"/>
    <w:basedOn w:val="DefaultParagraphFont"/>
    <w:link w:val="Heading3"/>
    <w:uiPriority w:val="9"/>
    <w:rsid w:val="00234305"/>
    <w:rPr>
      <w:rFonts w:ascii="Trebuchet MS" w:eastAsia="Times New Roman" w:hAnsi="Trebuchet MS" w:cs="Times New Roman"/>
      <w:b/>
      <w:bCs/>
      <w:sz w:val="24"/>
      <w:szCs w:val="26"/>
      <w:lang w:val="ro-RO"/>
    </w:rPr>
  </w:style>
  <w:style w:type="character" w:customStyle="1" w:styleId="Heading4Char">
    <w:name w:val="Heading 4 Char"/>
    <w:basedOn w:val="DefaultParagraphFont"/>
    <w:link w:val="Heading4"/>
    <w:uiPriority w:val="9"/>
    <w:rsid w:val="00234305"/>
    <w:rPr>
      <w:rFonts w:ascii="Trebuchet MS" w:eastAsia="Times New Roman" w:hAnsi="Trebuchet MS" w:cs="Times New Roman"/>
      <w:b/>
      <w:bCs/>
      <w:szCs w:val="28"/>
      <w:lang w:val="ro-RO"/>
    </w:rPr>
  </w:style>
  <w:style w:type="character" w:customStyle="1" w:styleId="Heading5Char">
    <w:name w:val="Heading 5 Char"/>
    <w:basedOn w:val="DefaultParagraphFont"/>
    <w:link w:val="Heading5"/>
    <w:uiPriority w:val="9"/>
    <w:rsid w:val="00234305"/>
    <w:rPr>
      <w:rFonts w:ascii="Trebuchet MS" w:eastAsia="Times New Roman" w:hAnsi="Trebuchet MS" w:cs="Times New Roman"/>
      <w:b/>
      <w:bCs/>
      <w:i/>
      <w:iCs/>
      <w:szCs w:val="26"/>
      <w:lang w:val="ro-RO"/>
    </w:rPr>
  </w:style>
  <w:style w:type="character" w:customStyle="1" w:styleId="Heading6Char">
    <w:name w:val="Heading 6 Char"/>
    <w:basedOn w:val="DefaultParagraphFont"/>
    <w:link w:val="Heading6"/>
    <w:uiPriority w:val="9"/>
    <w:rsid w:val="00234305"/>
    <w:rPr>
      <w:rFonts w:ascii="Trebuchet MS" w:eastAsia="Times New Roman" w:hAnsi="Trebuchet MS" w:cs="Times New Roman"/>
      <w:b/>
      <w:bCs/>
      <w:i/>
      <w:lang w:val="ro-RO"/>
    </w:rPr>
  </w:style>
  <w:style w:type="character" w:customStyle="1" w:styleId="Heading7Char">
    <w:name w:val="Heading 7 Char"/>
    <w:basedOn w:val="DefaultParagraphFont"/>
    <w:link w:val="Heading7"/>
    <w:uiPriority w:val="9"/>
    <w:semiHidden/>
    <w:rsid w:val="00234305"/>
    <w:rPr>
      <w:rFonts w:ascii="Calibri" w:eastAsia="Times New Roman" w:hAnsi="Calibri" w:cs="Times New Roman"/>
      <w:sz w:val="24"/>
      <w:szCs w:val="24"/>
      <w:lang w:val="ro-RO"/>
    </w:rPr>
  </w:style>
  <w:style w:type="character" w:customStyle="1" w:styleId="Heading8Char">
    <w:name w:val="Heading 8 Char"/>
    <w:basedOn w:val="DefaultParagraphFont"/>
    <w:link w:val="Heading8"/>
    <w:uiPriority w:val="9"/>
    <w:semiHidden/>
    <w:rsid w:val="00234305"/>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uiPriority w:val="9"/>
    <w:semiHidden/>
    <w:rsid w:val="00234305"/>
    <w:rPr>
      <w:rFonts w:ascii="Calibri Light" w:eastAsia="Times New Roman" w:hAnsi="Calibri Light" w:cs="Times New Roman"/>
      <w:lang w:val="ro-RO"/>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uiPriority w:val="34"/>
    <w:qFormat/>
    <w:rsid w:val="00234305"/>
    <w:pPr>
      <w:widowControl w:val="0"/>
      <w:numPr>
        <w:numId w:val="2"/>
      </w:numPr>
      <w:suppressAutoHyphens w:val="0"/>
      <w:spacing w:after="0" w:line="240" w:lineRule="auto"/>
      <w:ind w:left="924" w:hanging="357"/>
      <w:jc w:val="both"/>
    </w:pPr>
    <w:rPr>
      <w:rFonts w:ascii="Trebuchet MS" w:eastAsia="Calibri" w:hAnsi="Trebuchet MS" w:cs="Times New Roman"/>
      <w:sz w:val="24"/>
    </w:rPr>
  </w:style>
  <w:style w:type="paragraph" w:styleId="FootnoteText">
    <w:name w:val="footnote text"/>
    <w:basedOn w:val="Normal"/>
    <w:link w:val="FootnoteTextChar"/>
    <w:rsid w:val="0084002C"/>
    <w:pPr>
      <w:widowControl w:val="0"/>
      <w:spacing w:after="0" w:line="240" w:lineRule="auto"/>
      <w:jc w:val="both"/>
    </w:pPr>
    <w:rPr>
      <w:rFonts w:ascii="Trebuchet MS" w:eastAsia="Times New Roman" w:hAnsi="Trebuchet MS" w:cs="Times New Roman"/>
      <w:sz w:val="20"/>
      <w:szCs w:val="20"/>
      <w:lang w:val="en-GB" w:eastAsia="zh-CN"/>
    </w:rPr>
  </w:style>
  <w:style w:type="character" w:customStyle="1" w:styleId="FootnoteTextChar">
    <w:name w:val="Footnote Text Char"/>
    <w:basedOn w:val="DefaultParagraphFont"/>
    <w:link w:val="FootnoteText"/>
    <w:rsid w:val="0084002C"/>
    <w:rPr>
      <w:rFonts w:ascii="Trebuchet MS" w:eastAsia="Times New Roman" w:hAnsi="Trebuchet MS" w:cs="Times New Roman"/>
      <w:sz w:val="20"/>
      <w:szCs w:val="20"/>
      <w:lang w:val="en-GB" w:eastAsia="zh-CN"/>
    </w:rPr>
  </w:style>
  <w:style w:type="character" w:styleId="FootnoteReference">
    <w:name w:val="footnote reference"/>
    <w:basedOn w:val="DefaultParagraphFont"/>
    <w:rsid w:val="0084002C"/>
    <w:rPr>
      <w:vertAlign w:val="superscript"/>
    </w:rPr>
  </w:style>
  <w:style w:type="table" w:styleId="TableGrid">
    <w:name w:val="Table Grid"/>
    <w:basedOn w:val="TableNormal"/>
    <w:uiPriority w:val="39"/>
    <w:rsid w:val="004568F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Horia</dc:creator>
  <cp:keywords/>
  <dc:description/>
  <cp:lastModifiedBy>Alina Horia</cp:lastModifiedBy>
  <cp:revision>10</cp:revision>
  <cp:lastPrinted>2023-07-07T07:12:00Z</cp:lastPrinted>
  <dcterms:created xsi:type="dcterms:W3CDTF">2023-07-07T06:06:00Z</dcterms:created>
  <dcterms:modified xsi:type="dcterms:W3CDTF">2023-07-10T11:11:00Z</dcterms:modified>
</cp:coreProperties>
</file>