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FC714" w14:textId="43D0A6E4" w:rsidR="00C70FF1" w:rsidRPr="00A43EE0" w:rsidRDefault="00C70FF1" w:rsidP="00A43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A43EE0">
        <w:rPr>
          <w:rFonts w:ascii="Times New Roman" w:hAnsi="Times New Roman" w:cs="Times New Roman"/>
          <w:color w:val="000000" w:themeColor="text1"/>
        </w:rPr>
        <w:t>REGULAMENT  Nr</w:t>
      </w:r>
      <w:proofErr w:type="gramEnd"/>
      <w:r w:rsidRPr="00A43EE0">
        <w:rPr>
          <w:rFonts w:ascii="Times New Roman" w:hAnsi="Times New Roman" w:cs="Times New Roman"/>
          <w:color w:val="000000" w:themeColor="text1"/>
        </w:rPr>
        <w:t xml:space="preserve">. 10/2024 din 30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iulie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2024</w:t>
      </w:r>
      <w:r w:rsidR="00A43EE0"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</w:p>
    <w:p w14:paraId="1B584318" w14:textId="77777777" w:rsidR="00A43EE0" w:rsidRPr="00A43EE0" w:rsidRDefault="00A43EE0" w:rsidP="00A43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325180A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>EMITENT:     BANCA NAŢIONALĂ A ROMÂNIEI</w:t>
      </w:r>
    </w:p>
    <w:p w14:paraId="2118264E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PUBLICAT ÎN: MONITORUL </w:t>
      </w:r>
      <w:proofErr w:type="gramStart"/>
      <w:r w:rsidRPr="00A43EE0">
        <w:rPr>
          <w:rFonts w:ascii="Times New Roman" w:hAnsi="Times New Roman" w:cs="Times New Roman"/>
          <w:color w:val="000000" w:themeColor="text1"/>
        </w:rPr>
        <w:t>OFICIAL  NR</w:t>
      </w:r>
      <w:proofErr w:type="gramEnd"/>
      <w:r w:rsidRPr="00A43EE0">
        <w:rPr>
          <w:rFonts w:ascii="Times New Roman" w:hAnsi="Times New Roman" w:cs="Times New Roman"/>
          <w:color w:val="000000" w:themeColor="text1"/>
        </w:rPr>
        <w:t>. 823 din 19 august 2024</w:t>
      </w:r>
    </w:p>
    <w:p w14:paraId="36823CAD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D5E977C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Având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vedere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29</w:t>
      </w:r>
      <w:r w:rsidRPr="00A43EE0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Legea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nr. 312/2004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Statutul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Băncii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ale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3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(5^6) din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Ordonanţa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Guvernului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nr. 64/2007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aprobată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modificări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completări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  <w:u w:val="single"/>
        </w:rPr>
        <w:t>Legea</w:t>
      </w:r>
      <w:proofErr w:type="spellEnd"/>
      <w:r w:rsidRPr="00A43EE0">
        <w:rPr>
          <w:rFonts w:ascii="Times New Roman" w:hAnsi="Times New Roman" w:cs="Times New Roman"/>
          <w:color w:val="000000" w:themeColor="text1"/>
          <w:u w:val="single"/>
        </w:rPr>
        <w:t xml:space="preserve"> nr. 109/2008</w:t>
      </w:r>
      <w:r w:rsidRPr="00A43EE0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ale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6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21</w:t>
      </w:r>
      <w:r w:rsidRPr="00A43EE0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aprobat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  <w:u w:val="single"/>
        </w:rPr>
        <w:t>Ordinul</w:t>
      </w:r>
      <w:proofErr w:type="spellEnd"/>
      <w:r w:rsidRPr="00A43EE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  <w:u w:val="single"/>
        </w:rPr>
        <w:t>ministrului</w:t>
      </w:r>
      <w:proofErr w:type="spellEnd"/>
      <w:r w:rsidRPr="00A43EE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  <w:u w:val="single"/>
        </w:rPr>
        <w:t>finanţelor</w:t>
      </w:r>
      <w:proofErr w:type="spellEnd"/>
      <w:r w:rsidRPr="00A43EE0">
        <w:rPr>
          <w:rFonts w:ascii="Times New Roman" w:hAnsi="Times New Roman" w:cs="Times New Roman"/>
          <w:color w:val="000000" w:themeColor="text1"/>
          <w:u w:val="single"/>
        </w:rPr>
        <w:t xml:space="preserve"> nr. 318/2022</w:t>
      </w:r>
      <w:r w:rsidRPr="00A43EE0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ale </w:t>
      </w:r>
      <w:proofErr w:type="spellStart"/>
      <w:r w:rsidRPr="00A43EE0">
        <w:rPr>
          <w:rFonts w:ascii="Times New Roman" w:hAnsi="Times New Roman" w:cs="Times New Roman"/>
          <w:color w:val="000000" w:themeColor="text1"/>
          <w:u w:val="single"/>
        </w:rPr>
        <w:t>Regulamentului</w:t>
      </w:r>
      <w:proofErr w:type="spellEnd"/>
      <w:r w:rsidRPr="00A43EE0">
        <w:rPr>
          <w:rFonts w:ascii="Times New Roman" w:hAnsi="Times New Roman" w:cs="Times New Roman"/>
          <w:color w:val="000000" w:themeColor="text1"/>
          <w:u w:val="single"/>
        </w:rPr>
        <w:t xml:space="preserve"> (UE) nr. 909/2014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îmbunătăţirea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decontării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Uniunea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Europeană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depozitarii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centrali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modificare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  <w:u w:val="single"/>
        </w:rPr>
        <w:t>Directivelor</w:t>
      </w:r>
      <w:proofErr w:type="spellEnd"/>
      <w:r w:rsidRPr="00A43EE0">
        <w:rPr>
          <w:rFonts w:ascii="Times New Roman" w:hAnsi="Times New Roman" w:cs="Times New Roman"/>
          <w:color w:val="000000" w:themeColor="text1"/>
          <w:u w:val="single"/>
        </w:rPr>
        <w:t xml:space="preserve"> 98/26/CE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2014/65/UE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  <w:u w:val="single"/>
        </w:rPr>
        <w:t>Regulamentului</w:t>
      </w:r>
      <w:proofErr w:type="spellEnd"/>
      <w:r w:rsidRPr="00A43EE0">
        <w:rPr>
          <w:rFonts w:ascii="Times New Roman" w:hAnsi="Times New Roman" w:cs="Times New Roman"/>
          <w:color w:val="000000" w:themeColor="text1"/>
          <w:u w:val="single"/>
        </w:rPr>
        <w:t xml:space="preserve"> (UE) nr. 236/2012</w:t>
      </w:r>
      <w:r w:rsidRPr="00A43EE0">
        <w:rPr>
          <w:rFonts w:ascii="Times New Roman" w:hAnsi="Times New Roman" w:cs="Times New Roman"/>
          <w:color w:val="000000" w:themeColor="text1"/>
        </w:rPr>
        <w:t xml:space="preserve">, ale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delegat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(UE) 2018/1.229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completare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  <w:u w:val="single"/>
        </w:rPr>
        <w:t>Regulamentului</w:t>
      </w:r>
      <w:proofErr w:type="spellEnd"/>
      <w:r w:rsidRPr="00A43EE0">
        <w:rPr>
          <w:rFonts w:ascii="Times New Roman" w:hAnsi="Times New Roman" w:cs="Times New Roman"/>
          <w:color w:val="000000" w:themeColor="text1"/>
          <w:u w:val="single"/>
        </w:rPr>
        <w:t xml:space="preserve"> (UE) nr. 909/2014</w:t>
      </w:r>
      <w:r w:rsidRPr="00A43EE0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Parlamentului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European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Consiliului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priveşte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standardele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tehnice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reglementare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referitoare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disciplina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materie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Convenţiei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Ministerului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Băncii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nr. 184.575/13 din 23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septembrie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2005,</w:t>
      </w:r>
    </w:p>
    <w:p w14:paraId="70E63354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temeiul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48</w:t>
      </w:r>
      <w:r w:rsidRPr="00A43EE0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Legea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nr. 312/2004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Statutul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Băncii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3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(5^7) din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Ordonanţa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Guvernului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nr. 64/2007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aprobată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modificări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completări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  <w:u w:val="single"/>
        </w:rPr>
        <w:t>Legea</w:t>
      </w:r>
      <w:proofErr w:type="spellEnd"/>
      <w:r w:rsidRPr="00A43EE0">
        <w:rPr>
          <w:rFonts w:ascii="Times New Roman" w:hAnsi="Times New Roman" w:cs="Times New Roman"/>
          <w:color w:val="000000" w:themeColor="text1"/>
          <w:u w:val="single"/>
        </w:rPr>
        <w:t xml:space="preserve"> nr. 109/2008</w:t>
      </w:r>
      <w:r w:rsidRPr="00A43EE0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,</w:t>
      </w:r>
    </w:p>
    <w:p w14:paraId="4A4C2210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C3A616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</w:t>
      </w:r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Banca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1DC797E0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D1A25D9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CAPITOLUL I</w:t>
      </w:r>
    </w:p>
    <w:p w14:paraId="3F2AB585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Dispoziţii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generale</w:t>
      </w:r>
    </w:p>
    <w:p w14:paraId="6482984A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1193B15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1</w:t>
      </w:r>
    </w:p>
    <w:p w14:paraId="3FFC5332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organizare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funcţionare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 </w:t>
      </w:r>
      <w:proofErr w:type="gramStart"/>
      <w:r w:rsidRPr="00A43EE0">
        <w:rPr>
          <w:rFonts w:ascii="Times New Roman" w:hAnsi="Times New Roman" w:cs="Times New Roman"/>
          <w:color w:val="000000" w:themeColor="text1"/>
        </w:rPr>
        <w:t>administrate</w:t>
      </w:r>
      <w:proofErr w:type="gramEnd"/>
      <w:r w:rsidRPr="00A43EE0">
        <w:rPr>
          <w:rFonts w:ascii="Times New Roman" w:hAnsi="Times New Roman" w:cs="Times New Roman"/>
          <w:color w:val="000000" w:themeColor="text1"/>
        </w:rPr>
        <w:t xml:space="preserve"> de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denumită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continuare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"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"),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aceasta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definită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20</w:t>
      </w:r>
      <w:r w:rsidRPr="00A43EE0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aprobat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  <w:u w:val="single"/>
        </w:rPr>
        <w:t>Ordinul</w:t>
      </w:r>
      <w:proofErr w:type="spellEnd"/>
      <w:r w:rsidRPr="00A43EE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  <w:u w:val="single"/>
        </w:rPr>
        <w:t>ministrului</w:t>
      </w:r>
      <w:proofErr w:type="spellEnd"/>
      <w:r w:rsidRPr="00A43EE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  <w:u w:val="single"/>
        </w:rPr>
        <w:t>finanţelor</w:t>
      </w:r>
      <w:proofErr w:type="spellEnd"/>
      <w:r w:rsidRPr="00A43EE0">
        <w:rPr>
          <w:rFonts w:ascii="Times New Roman" w:hAnsi="Times New Roman" w:cs="Times New Roman"/>
          <w:color w:val="000000" w:themeColor="text1"/>
          <w:u w:val="single"/>
        </w:rPr>
        <w:t xml:space="preserve"> nr. 318/2022</w:t>
      </w:r>
      <w:r w:rsidRPr="00A43EE0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denumit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continuare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"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").</w:t>
      </w:r>
    </w:p>
    <w:p w14:paraId="4E107257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2</w:t>
      </w:r>
    </w:p>
    <w:p w14:paraId="67FF5C5A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Prin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stabilesc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:</w:t>
      </w:r>
    </w:p>
    <w:p w14:paraId="4A86E65A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procedurile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categoriile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343FD5A0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procedurile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tranzacţionare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participanţilor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această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Ministerului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emitent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0FF3272E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procedurile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modul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determinare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publicare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preţurilor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cotaţiilor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tipurile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contracte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permise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această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standardele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contractuale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aplicabile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7E32D132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monitorizarea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respectării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aplicabile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asigurarea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funcţionării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sale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mod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ordonat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inclusiv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sub aspect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tehnic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măsurile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aplicate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nerespectării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acestor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reguli;</w:t>
      </w:r>
    </w:p>
    <w:p w14:paraId="7E9061EC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e)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modul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diseminare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public </w:t>
      </w:r>
      <w:proofErr w:type="gramStart"/>
      <w:r w:rsidRPr="00A43EE0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informaţiilor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emitentul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emisiunile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tranzacţionate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accesul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participanţilor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04099732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EFA0166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CAPITOLUL II</w:t>
      </w:r>
    </w:p>
    <w:p w14:paraId="581494A6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Participanţii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formatorii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piaţă</w:t>
      </w:r>
      <w:proofErr w:type="spellEnd"/>
    </w:p>
    <w:p w14:paraId="2897820B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7649C63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3</w:t>
      </w:r>
    </w:p>
    <w:p w14:paraId="49D06B3D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(1)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pot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mod direct:</w:t>
      </w:r>
    </w:p>
    <w:p w14:paraId="5BAEE4DE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intermediarii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prevăzuţi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(2), precum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</w:p>
    <w:p w14:paraId="5F8EED17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lastRenderedPageBreak/>
        <w:t xml:space="preserve">    b)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entităţile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(3), care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efectuează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exclusiv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092A8066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(2)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pot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intermediari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entităţi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:</w:t>
      </w:r>
    </w:p>
    <w:p w14:paraId="3E8C71E4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dealeri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cum sunt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definiţi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17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(1) din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2CFA1172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instituţii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credit,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cum sunt definite la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4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(1) pct. 1 din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(UE) nr. 575/2013 al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Parlamentului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European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Consiliului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din 26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iunie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2013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cerinţele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prudenţiale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instituţiile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credit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societăţile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investiţii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modificare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  <w:u w:val="single"/>
        </w:rPr>
        <w:t>Regulamentului</w:t>
      </w:r>
      <w:proofErr w:type="spellEnd"/>
      <w:r w:rsidRPr="00A43EE0">
        <w:rPr>
          <w:rFonts w:ascii="Times New Roman" w:hAnsi="Times New Roman" w:cs="Times New Roman"/>
          <w:color w:val="000000" w:themeColor="text1"/>
          <w:u w:val="single"/>
        </w:rPr>
        <w:t xml:space="preserve"> (UE) nr. 648/2012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care nu se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încadrează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lit. a);</w:t>
      </w:r>
    </w:p>
    <w:p w14:paraId="107BFF2F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societăţi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servicii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investiţii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cum sunt definite la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3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(1) pct. 74 din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Legea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nr. 126/2018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instrumente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care sunt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autorizate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Autoritatea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Supraveghere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Financiară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care nu se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încadrează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lit. a);</w:t>
      </w:r>
    </w:p>
    <w:p w14:paraId="7FF96D76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instituţii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echivalente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lit. c),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autorizate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statele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membre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Uniunii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Europene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celelalte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state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aparţinând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Spaţiului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Economic European.</w:t>
      </w:r>
    </w:p>
    <w:p w14:paraId="1EE93B56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(3)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pot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exclusiv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instituţiile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credit,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altele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decât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intermediari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potrivit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(2) lit. a)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b).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Aceste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entităţi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nu pot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deschide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persoanelor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fizice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juridice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74960245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4</w:t>
      </w:r>
    </w:p>
    <w:p w14:paraId="39E1FB77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putea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entităţile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3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îndeplinească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condiţii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:</w:t>
      </w:r>
    </w:p>
    <w:p w14:paraId="2D78DB60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deţină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autorizaţie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desfăşurarea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următoarelor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activităţi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calitatea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acţionează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:</w:t>
      </w:r>
    </w:p>
    <w:p w14:paraId="1084AEDF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-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tranzacţionarea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stat;</w:t>
      </w:r>
    </w:p>
    <w:p w14:paraId="4D354EF1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-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intermedierea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subscriere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plasament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11225AA8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- custodia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administrarea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stat;</w:t>
      </w:r>
    </w:p>
    <w:p w14:paraId="6DFC901B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aibă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structură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organizatorică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distinctă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spaţii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derularea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stat, precum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dotări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tehnice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activităţi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tranzacţionare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conform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normelor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0D315B0A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aibă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dotări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tehnice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custodie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397E5298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îndeplinească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criteriile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depozitare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43EE0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instrumentelor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SaFIR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administrat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SaFIR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3E336164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e)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aibă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proceduri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modul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lucru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clienţii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542C20CE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f)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aibă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proceduri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derularea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controlul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intern al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3BF352C2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(2) Prin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excepţie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entităţile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3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(3) nu au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obligaţia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îndeplini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(1) lit. c)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e).</w:t>
      </w:r>
    </w:p>
    <w:p w14:paraId="00BAA0BE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Entităţile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3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(2) lit. a) pot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momentul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dobândirii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fără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necesară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îndeplinirea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cerinţelor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 (1).</w:t>
      </w:r>
    </w:p>
    <w:p w14:paraId="12B53859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excepţia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dealerilor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au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obligaţia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comunica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îndată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Băncii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dacă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îndeplinesc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oricare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 (1).</w:t>
      </w:r>
    </w:p>
    <w:p w14:paraId="4D3F5EF6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5</w:t>
      </w:r>
    </w:p>
    <w:p w14:paraId="132AE44A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Entităţile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solicitante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altele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decât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depună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cerere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vederea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dobândirii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participant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împreună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documentaţia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completată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caz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solicitarea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Băncii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din care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rezulte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îndeplinirea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condiţiilor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la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4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 (1).</w:t>
      </w:r>
    </w:p>
    <w:p w14:paraId="6F84AFAA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termen de 30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confirmarea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primirii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documentaţiei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complete,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aprobă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cererea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acordare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participant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caz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o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respinge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motivat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50540338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Dacă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apreciază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necesar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analiza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cererii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consulta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autoritatea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supraveghere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competentă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43EE0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entităţii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solicitante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420C5BED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lastRenderedPageBreak/>
        <w:t xml:space="preserve">    (4)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renunţa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dreptul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transmiterea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notificări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sens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condiţia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aibă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curs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SaFIR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Notificarea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produce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efecte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începând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ziua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lucrătoare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următoare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datei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care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confirmat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îndeplinirea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acestei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condiţii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6F2F721B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6</w:t>
      </w:r>
    </w:p>
    <w:p w14:paraId="0A395BF1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Dealerii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primari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care au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cumpărat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primară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dintr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-o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anumită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înregistraţi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automat 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formatori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emisiunea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respectivă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5588CFD7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Intermediarii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decât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menţionaţi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(1), se pot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înregistra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formatori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transmiterea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notificări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sens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Calitatea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formator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devine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efectivă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începând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ziua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tranzacţionare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imediat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următoare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transmiterii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notificării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7C9A5A25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(3) Un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intermediar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înregistra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 formator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perioadă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cel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puţin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60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calendaristice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scadenţa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sub un an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cel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puţin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90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calendaristice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scadenţa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peste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un an.</w:t>
      </w:r>
    </w:p>
    <w:p w14:paraId="488144FD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(4)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informează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toţi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identitatea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formatorilor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înregistraţi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serie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stat, precum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modificări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intervenite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aceştia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22406804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7</w:t>
      </w:r>
    </w:p>
    <w:p w14:paraId="1BE32D95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Formatorii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obligaţia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afişeze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cotaţii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ferme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încheie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75587595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Cotaţiile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ferme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introduc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exclusiv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formatorului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5DA3C7C5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33A71B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CAPITOLUL III</w:t>
      </w:r>
    </w:p>
    <w:p w14:paraId="2B9EAF25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Operaţiuni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derulate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secundară</w:t>
      </w:r>
      <w:proofErr w:type="spellEnd"/>
    </w:p>
    <w:p w14:paraId="01B1ED7F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1F0C674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8</w:t>
      </w:r>
    </w:p>
    <w:p w14:paraId="2CFA1527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funcţionează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principiul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negocierii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directe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potrivit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normelor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acestuia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110A4ED0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Operaţiunile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se pot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derula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numai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scadenţa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fiecărei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emisiuni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iar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decontarea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conturile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deschise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evidenţele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sistemului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SaFIR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acestuia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537E4CA4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(3) Marja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preţurile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determinată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liber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raportul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cerere-ofertă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2F4F0991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9</w:t>
      </w:r>
    </w:p>
    <w:p w14:paraId="062EDF4A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pot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desfăşura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vânzare-cumpărare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repo/reverse repo, sell/buy-back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buy/sell-back,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transfer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fără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plată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contractelor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garanţie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4F38C4AB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10</w:t>
      </w:r>
    </w:p>
    <w:p w14:paraId="4FDDA318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norme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proprii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conform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29</w:t>
      </w:r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formulele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calcul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convenţiile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utilizate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tranzacţionarea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04C6BACC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11</w:t>
      </w:r>
    </w:p>
    <w:p w14:paraId="56F8C6E0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pot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afişa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cotaţii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informative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20F26402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afişează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cotaţiile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ferme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informative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paginile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contribuţie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platformelor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tranzacţionare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mijloace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agreate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0DF35208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Intermediarii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obligaţia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gramStart"/>
      <w:r w:rsidRPr="00A43EE0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afişa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cotaţiile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ferme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informative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punctele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lor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lucru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clienţii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4A9EC450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12</w:t>
      </w:r>
    </w:p>
    <w:p w14:paraId="47DE0EDF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Formatorul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introduce o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singură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cotaţie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fermă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seria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care s-a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înregistrat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2CED6ABD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cotaţii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fie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mare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decât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2B249374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(3) Este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interzisă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introducerea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cotaţii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modificarea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cotaţii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existente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dacă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:</w:t>
      </w:r>
    </w:p>
    <w:p w14:paraId="353984DC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lastRenderedPageBreak/>
        <w:t xml:space="preserve">    a)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mare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egal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oricărei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cotaţii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existente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momentul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introducerii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7AAABCD7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vânzare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mic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egal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cumpărare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oricărei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cotaţii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existente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momentul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introducerii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031B8AE8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13</w:t>
      </w:r>
    </w:p>
    <w:p w14:paraId="52AC9111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Cotaţiile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ferme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conţin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cel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puţin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informaţii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:</w:t>
      </w:r>
    </w:p>
    <w:p w14:paraId="41460827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exprimat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procent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36B39BE2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emisiunea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cotată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exprimată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 ISIN;</w:t>
      </w:r>
    </w:p>
    <w:p w14:paraId="236FED2B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nominală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cotată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17EA49B7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termenul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valabilitate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121AA2B6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e)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termenul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decontare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22E0E08F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stat,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comunică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cantitatea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minimă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care se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afişează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cotaţiile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ferme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28138985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14</w:t>
      </w:r>
    </w:p>
    <w:p w14:paraId="108F764E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dintre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intermediari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atât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cât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se pot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încheia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telefonic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intermediul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platformelor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tranzacţionare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agreate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6ABA50A5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încheiate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confirmate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imediat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scris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mijloace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una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părţi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ambele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cum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fost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convenit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acestea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08B4C0A2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Confirmarea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includă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cel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puţin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elemente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:</w:t>
      </w:r>
    </w:p>
    <w:p w14:paraId="194EAF8A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a) seria/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seriile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implicată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/implicate;</w:t>
      </w:r>
    </w:p>
    <w:p w14:paraId="7AB10CCF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b) data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încheierii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75454C92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c) data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decontării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7E97621D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tipul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109BF417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e)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exprimată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valoare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decontat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moneda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exprimată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49EFCC14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f)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conturile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din/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care se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efectua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decontarea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fondurilor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0F74FE2D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g)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exprimat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procent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1647AED6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15</w:t>
      </w:r>
    </w:p>
    <w:p w14:paraId="570AFAD8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profesionali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cum sunt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aceştia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definiţi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3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(1) pct. 9 din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Legea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nr. 126/2018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instrumente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confirmările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respecte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cerinţele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art. 2 din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delegat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(UE) 2018/1.229.</w:t>
      </w:r>
    </w:p>
    <w:p w14:paraId="5B4605A9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Intermediarii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impun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retail,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cum sunt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definiţi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3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(1) pct. 10 din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Legea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nr. 126/2018,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trimită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toate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informaţiile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relevante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decontarea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cel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târziu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13.00 din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ziua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lucrătoare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următoare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datei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care </w:t>
      </w:r>
      <w:proofErr w:type="gramStart"/>
      <w:r w:rsidRPr="00A43EE0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avut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loc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conform art. 3 din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delegat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(UE) 2018/1.229.</w:t>
      </w:r>
    </w:p>
    <w:p w14:paraId="28541264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16</w:t>
      </w:r>
    </w:p>
    <w:p w14:paraId="3C5252AE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Intermediarii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obligaţia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asigure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executarea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prioritate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43EE0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ordinelor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concureze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executarea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ordinelor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3D3ABA92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Angajaţii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intermediarilor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nu au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dreptul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realizeze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preţuri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afara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care au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înţelegeri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caracter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oneros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vizează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obţinerea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profit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personal.</w:t>
      </w:r>
    </w:p>
    <w:p w14:paraId="11145952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(3) Se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interzice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personalului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implicat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activitatea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intermediere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dezvăluirea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informaţii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legătură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încheiate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clienţi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54B34FF1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afara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funcţionare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locuri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decât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special destinate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activităţii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tranzacţionare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permise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numai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situaţii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excepţionale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aprobarea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prealabilă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conducerii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executive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respectivului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intermediar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respectarea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legale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aplicabile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7E0EB061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17</w:t>
      </w:r>
    </w:p>
    <w:p w14:paraId="149185A8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încheiate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nume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propriu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clienţilor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raportează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zilnic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Băncii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forma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mijloacele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comunicare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indicate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normele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centrală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nu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târziu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18.00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zilei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care s-a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încheiat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2DC140CB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18</w:t>
      </w:r>
    </w:p>
    <w:p w14:paraId="69DF7F84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 pot fi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transferate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fără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plată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cazuri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:</w:t>
      </w:r>
    </w:p>
    <w:p w14:paraId="3E2BC7A4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lastRenderedPageBreak/>
        <w:t xml:space="preserve">    a)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transferuri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portofoliu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3096AC81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fuziuni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divizări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tip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care sunt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implicaţi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1F64A71C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moşteniri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donaţii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juridice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gratuit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care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implică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transferul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proprietăţii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altor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drepturi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736B9344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Intermediarii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obligaţia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solicite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verifice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actele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justificative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stau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transferurilor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gratuit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ordonate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clienţii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lor.</w:t>
      </w:r>
    </w:p>
    <w:p w14:paraId="00FD9D74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19</w:t>
      </w:r>
    </w:p>
    <w:p w14:paraId="1C8E2776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administrator al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pune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dispoziţia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informaţii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preţul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zilnic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emisiune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respectiv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volumul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tranzacţionat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tipuri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emisiuni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148C95D0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20</w:t>
      </w:r>
    </w:p>
    <w:p w14:paraId="705C1787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Depozitarea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decontarea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realizează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intermediul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sistemului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SaFIR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funcţionare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sistemului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17FF78C4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21</w:t>
      </w:r>
    </w:p>
    <w:p w14:paraId="3EC8A37C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Sunt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interzise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natură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inducă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eroare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conducerea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participanţilor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organele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control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supraveghere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drepturile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revin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participanţilor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urmare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încheierii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3234B34D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22</w:t>
      </w:r>
    </w:p>
    <w:p w14:paraId="2ACF4FFD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respecte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legislativ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domeniul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prevenirii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combaterii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spălării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banilor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finanţării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terorismului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punerii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aplicare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sancţiunilor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internaţionale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dispună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un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cadru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procedural intern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adecvat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cerinţelor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legislaţiei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aplicabile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domeniu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se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asigura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nu sunt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utilizate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scop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fraudă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spălare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banilor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corupţie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activităţi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ilegale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6E3C6D88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23</w:t>
      </w:r>
    </w:p>
    <w:p w14:paraId="1F42E555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Se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interzice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diseminarea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informaţii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mijloace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care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oferă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măsură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ofere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indicaţii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false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înşelătoare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tranzacţionarea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inclusiv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răspândirea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zvonuri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ştiri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false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înşelătoare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6464A925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4B9E449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CAPITOLUL IV</w:t>
      </w:r>
    </w:p>
    <w:p w14:paraId="6A7770F3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Monitorizarea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participanţilor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măsurile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aplicate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încălcarea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regulilor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secundare</w:t>
      </w:r>
      <w:proofErr w:type="spellEnd"/>
    </w:p>
    <w:p w14:paraId="03350F78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59F255E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24</w:t>
      </w:r>
    </w:p>
    <w:p w14:paraId="65695885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monitorizează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conduita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participanţilor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urmărind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respectarea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normelor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acestuia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1575E134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25</w:t>
      </w:r>
    </w:p>
    <w:p w14:paraId="664D372B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(1)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aplica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măsuri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:</w:t>
      </w:r>
    </w:p>
    <w:p w14:paraId="3B4A5E10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1.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avertisment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scris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nerespectarea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participanţi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cap. III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normelor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2F0765CE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2.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interzicerea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temporară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derulării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perioadă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stabilită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comunicată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participantului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cauză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situaţii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:</w:t>
      </w:r>
    </w:p>
    <w:p w14:paraId="49D94915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nerespectarea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condiţiilor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4</w:t>
      </w:r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2FD57BC7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deschiderea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procedurii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insolvenţă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2BFA5045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suspendarea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retragerea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dealer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primar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situaţiile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reglementate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47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(1) pct. 2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3 din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Regulamentul-cadru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3CE62BC7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suspendarea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calităţii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participant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SaFIR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652A3A6C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reglementată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(1) pct. 2. lit. c),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vederea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reluării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trebuie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depună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cerere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împreună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documentaţia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din care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rezulte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îndeplinirea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condiţiilor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4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 (1).</w:t>
      </w:r>
    </w:p>
    <w:p w14:paraId="201025DE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26</w:t>
      </w:r>
    </w:p>
    <w:p w14:paraId="268966F4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(1) Un participant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pierde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această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situaţii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:</w:t>
      </w:r>
    </w:p>
    <w:p w14:paraId="003F660D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lastRenderedPageBreak/>
        <w:t xml:space="preserve">    a)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hotărârea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deschidere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procedurii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insolvenţă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împotriva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rămâne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definitivă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1B3AB82C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sistemul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SaFIR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încetat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;</w:t>
      </w:r>
    </w:p>
    <w:p w14:paraId="36B83359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c) nu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remediat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nerespectării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condiţiilor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4</w:t>
      </w:r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termenul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agreat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comunicat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participantului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situaţie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care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determinat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măsurii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25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 (1) pct. 2 lit. a);</w:t>
      </w:r>
    </w:p>
    <w:p w14:paraId="5396AA82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d) 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urmare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solicitării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renunţare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dreptul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acces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realizată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5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 (4).</w:t>
      </w:r>
    </w:p>
    <w:p w14:paraId="56181A83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(2)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aduce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îndată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cunoştinţă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participanţilor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Ministerului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Autorităţii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Supraveghere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Financiară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mijloace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situaţiile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intervenite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potrivit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măsurile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aplicate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potrivit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25</w:t>
      </w:r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 (1).</w:t>
      </w:r>
    </w:p>
    <w:p w14:paraId="75BDF2E5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27</w:t>
      </w:r>
    </w:p>
    <w:p w14:paraId="131C3D32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(1)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solicitarea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autorităţii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supraveghere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competente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interzice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intermediar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aibă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calitatea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formator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anumită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serie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3D646056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(2)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interzice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participant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aibă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calitatea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formator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acesta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îndeplineşte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r w:rsidRPr="00A43EE0">
        <w:rPr>
          <w:rFonts w:ascii="Times New Roman" w:hAnsi="Times New Roman" w:cs="Times New Roman"/>
          <w:color w:val="000000" w:themeColor="text1"/>
          <w:u w:val="single"/>
        </w:rPr>
        <w:t>art. 7</w:t>
      </w:r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4ED08D6C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Măsurile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luate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(2) se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notifică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tuturor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participanţilor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31CE3B55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FC6F036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CAPITOLUL V</w:t>
      </w:r>
    </w:p>
    <w:p w14:paraId="1DFA3AA2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Dispoziţii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tranzitorii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 finale</w:t>
      </w:r>
    </w:p>
    <w:p w14:paraId="23A82BB9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A22E01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28</w:t>
      </w:r>
    </w:p>
    <w:p w14:paraId="39CB8F04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(1)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administrator al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mandatat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încurajează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înfiinţarea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asociaţii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profesionale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ridicării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standardelor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profesionale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aplicării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unor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coduri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conduită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etică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profesională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desfăşurarea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operaţiuni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513A5E33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Participanţii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consultă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elaborarea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codurilor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conduită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 (1).</w:t>
      </w:r>
    </w:p>
    <w:p w14:paraId="473CAAE3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29</w:t>
      </w:r>
    </w:p>
    <w:p w14:paraId="7D749091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emite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norme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prevăd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inclusiv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administratorului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pieţei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custozilor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stabilirea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mecanismelor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securitate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control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sistemelor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informatice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destinate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protecţiei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dreptului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proprietate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deţinătorilor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stat, precum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protejării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informaţiilor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confidenţiale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modul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asigurare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securităţii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datelor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informaţiilor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stocate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fişierelor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bazelor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date.</w:t>
      </w:r>
    </w:p>
    <w:p w14:paraId="7BDAFD2A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ART. 30</w:t>
      </w:r>
    </w:p>
    <w:p w14:paraId="1B2F2314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Monitorul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Oficial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, Partea I.</w:t>
      </w:r>
    </w:p>
    <w:p w14:paraId="7A61829D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(2) La data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intrării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prezentului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abrogă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  <w:u w:val="single"/>
        </w:rPr>
        <w:t>Regulamentul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Băncii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nr. 12/2005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secundară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titlurilor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administrată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Banca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publicat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Monitorul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Oficial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Partea I, nr. 882 din 30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septembrie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2005, cu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referire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acesta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urmând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fi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interpretată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trimitere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prezentul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.</w:t>
      </w:r>
    </w:p>
    <w:p w14:paraId="09DCC4C3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5752CE7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Preşedintele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Consiliului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administraţie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Băncii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Naţionale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>,</w:t>
      </w:r>
    </w:p>
    <w:p w14:paraId="2B487F5F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Pr="00A43EE0">
        <w:rPr>
          <w:rFonts w:ascii="Times New Roman" w:hAnsi="Times New Roman" w:cs="Times New Roman"/>
          <w:b/>
          <w:bCs/>
          <w:color w:val="000000" w:themeColor="text1"/>
        </w:rPr>
        <w:t xml:space="preserve">Mugur Constantin </w:t>
      </w:r>
      <w:proofErr w:type="spellStart"/>
      <w:r w:rsidRPr="00A43EE0">
        <w:rPr>
          <w:rFonts w:ascii="Times New Roman" w:hAnsi="Times New Roman" w:cs="Times New Roman"/>
          <w:b/>
          <w:bCs/>
          <w:color w:val="000000" w:themeColor="text1"/>
        </w:rPr>
        <w:t>Isărescu</w:t>
      </w:r>
      <w:proofErr w:type="spellEnd"/>
    </w:p>
    <w:p w14:paraId="174B3741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B9386FD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Bucureşti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, 30 </w:t>
      </w:r>
      <w:proofErr w:type="spellStart"/>
      <w:r w:rsidRPr="00A43EE0">
        <w:rPr>
          <w:rFonts w:ascii="Times New Roman" w:hAnsi="Times New Roman" w:cs="Times New Roman"/>
          <w:color w:val="000000" w:themeColor="text1"/>
        </w:rPr>
        <w:t>iulie</w:t>
      </w:r>
      <w:proofErr w:type="spellEnd"/>
      <w:r w:rsidRPr="00A43EE0">
        <w:rPr>
          <w:rFonts w:ascii="Times New Roman" w:hAnsi="Times New Roman" w:cs="Times New Roman"/>
          <w:color w:val="000000" w:themeColor="text1"/>
        </w:rPr>
        <w:t xml:space="preserve"> 2024.</w:t>
      </w:r>
    </w:p>
    <w:p w14:paraId="25AE719A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Nr. 10.</w:t>
      </w:r>
    </w:p>
    <w:p w14:paraId="3048E4AF" w14:textId="77777777" w:rsidR="00C70FF1" w:rsidRPr="00A43EE0" w:rsidRDefault="00C70FF1" w:rsidP="00C7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779C8D7" w14:textId="77777777" w:rsidR="00985BDA" w:rsidRPr="00A43EE0" w:rsidRDefault="00C70FF1" w:rsidP="00C70FF1">
      <w:pPr>
        <w:jc w:val="both"/>
        <w:rPr>
          <w:rFonts w:ascii="Times New Roman" w:hAnsi="Times New Roman" w:cs="Times New Roman"/>
          <w:color w:val="000000" w:themeColor="text1"/>
        </w:rPr>
      </w:pPr>
      <w:r w:rsidRPr="00A43EE0">
        <w:rPr>
          <w:rFonts w:ascii="Times New Roman" w:hAnsi="Times New Roman" w:cs="Times New Roman"/>
          <w:color w:val="000000" w:themeColor="text1"/>
        </w:rPr>
        <w:t xml:space="preserve">                              ---------------</w:t>
      </w:r>
    </w:p>
    <w:sectPr w:rsidR="00985BDA" w:rsidRPr="00A43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B2"/>
    <w:rsid w:val="005545B2"/>
    <w:rsid w:val="00985BDA"/>
    <w:rsid w:val="009C6F70"/>
    <w:rsid w:val="00A43EE0"/>
    <w:rsid w:val="00C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7DAF"/>
  <w15:chartTrackingRefBased/>
  <w15:docId w15:val="{FA3CE210-D72E-4040-9B09-441A8D01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3220</Words>
  <Characters>18355</Characters>
  <Application>Microsoft Office Word</Application>
  <DocSecurity>0</DocSecurity>
  <Lines>152</Lines>
  <Paragraphs>43</Paragraphs>
  <ScaleCrop>false</ScaleCrop>
  <Company>Ministerul Finantelor Publice</Company>
  <LinksUpToDate>false</LinksUpToDate>
  <CharactersWithSpaces>21532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RĂDULESCU</dc:creator>
  <cp:keywords/>
  <dc:description/>
  <cp:lastModifiedBy>SERGIU RĂDULESCU</cp:lastModifiedBy>
  <cp:revision>3</cp:revision>
  <dcterms:created xsi:type="dcterms:W3CDTF">2025-03-07T10:16:00Z</dcterms:created>
  <dcterms:modified xsi:type="dcterms:W3CDTF">2025-06-03T09:51:00Z</dcterms:modified>
</cp:coreProperties>
</file>