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0BF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ORDONANŢĂ DE URGENŢĂ Nr. 64/2007 din 27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iunie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2007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publică</w:t>
      </w:r>
      <w:proofErr w:type="spellEnd"/>
    </w:p>
    <w:p w14:paraId="023816A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CC95A7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Act de </w:t>
      </w:r>
      <w:proofErr w:type="spellStart"/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bază</w:t>
      </w:r>
      <w:proofErr w:type="spellEnd"/>
    </w:p>
    <w:p w14:paraId="13A116C7" w14:textId="62870A0C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Partea I, nr. 439 din 28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iunie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2007</w:t>
      </w:r>
    </w:p>
    <w:p w14:paraId="25F37E9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33EC39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8F8AA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NOTE:</w:t>
      </w:r>
    </w:p>
    <w:p w14:paraId="49C78256" w14:textId="71995CE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1.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05DFEA4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A2B286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2.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Hotărârea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1470/2007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4BA520F" w14:textId="7D6D6FA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Conform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III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101/2024,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termen de 30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data de 23 august 2024 [data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101/2024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],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hotărâre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Hotărârii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1.470/2007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AEAE47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4C5D7D" w14:textId="7459CB1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3.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Reproducem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jos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34/2009 </w:t>
      </w:r>
    </w:p>
    <w:p w14:paraId="0CAB423B" w14:textId="419C2B5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187F4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35</w:t>
      </w:r>
    </w:p>
    <w:p w14:paraId="43D8286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valorică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2009,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6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miliarde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lei.</w:t>
      </w:r>
    </w:p>
    <w:p w14:paraId="5692723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conversia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B3456B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prioritare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românească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entităţi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private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nonfinanciare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stat."</w:t>
      </w:r>
    </w:p>
    <w:p w14:paraId="31F0515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C2D0DC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34DB01C" w14:textId="1F36F78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Având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:</w:t>
      </w:r>
    </w:p>
    <w:p w14:paraId="166A0C0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neutilizare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plătite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netragerii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timp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ordonatorilor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7D5CF51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necesitatea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deficitului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eficiente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limitării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preluarea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rapidă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portofoliul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existent,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723326D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complexitatea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dimensiunea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demersurilor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necesar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fi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realizate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preluării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începând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2008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data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fie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semnarea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protocoalelor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predare-primire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direct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actelor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sincronizarea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etapele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calendarul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procesului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elaborare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proiectului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2008,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limită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depunere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30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septembrie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2007,</w:t>
      </w:r>
    </w:p>
    <w:p w14:paraId="2F658B2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115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(4)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Constituţia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republicată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,</w:t>
      </w:r>
    </w:p>
    <w:p w14:paraId="65972B0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5BAF8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adoptă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1F696FB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EE7BD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CAPITOLUL I</w:t>
      </w:r>
    </w:p>
    <w:p w14:paraId="1A11DD3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generale</w:t>
      </w:r>
    </w:p>
    <w:p w14:paraId="3A5F84D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77A5A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ART. 1</w:t>
      </w:r>
    </w:p>
    <w:p w14:paraId="721B2CC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Obiectul</w:t>
      </w:r>
      <w:proofErr w:type="spellEnd"/>
    </w:p>
    <w:p w14:paraId="17915C7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general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principiile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3E94B4B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2</w:t>
      </w:r>
    </w:p>
    <w:p w14:paraId="69E5C3D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Definiţii</w:t>
      </w:r>
      <w:proofErr w:type="spellEnd"/>
    </w:p>
    <w:p w14:paraId="2E98115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înţelesul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termenii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expresiile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jos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semnificaţii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:</w:t>
      </w:r>
    </w:p>
    <w:p w14:paraId="1ADEDDF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autorizare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bugetară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permanentă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autorizarea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permanent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surse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plăţii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ratelor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capital,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72F6745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Comitetul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Interministerial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organismul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avizează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emiterea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sub forma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cărui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componenţă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competenţe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hotărâre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73DA3A7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locale;</w:t>
      </w:r>
    </w:p>
    <w:p w14:paraId="1601FA0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un moment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provenind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contractuale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dispoziţiilor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4974FFE6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03AAAC8" w14:textId="3ED3411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d^1)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tip benchmark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termen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lung,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5B694F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rata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tip benchmark,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lansarea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menţionată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87CDD0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tip benchmark;</w:t>
      </w:r>
    </w:p>
    <w:p w14:paraId="493862E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permit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redeschideri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aceleaşi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iniţială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ISIN, rata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;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redeschiderii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data la care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măreşte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tip benchmark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aflate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circulaţie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3383B4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standard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F47AF9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", art. 01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 01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";</w:t>
      </w:r>
    </w:p>
    <w:p w14:paraId="2C28440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coincide cu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ultimului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FC6399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intervalul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cuprins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redeschiderii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redeschiderii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rata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metoda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actual/actual;</w:t>
      </w:r>
    </w:p>
    <w:p w14:paraId="129B9A5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anunţată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tip benchmark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plătită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redeschiderii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67DB31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de tip benchmark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virată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31.01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subcapitolul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31.01.03 "Alte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";</w:t>
      </w:r>
    </w:p>
    <w:p w14:paraId="4F4C098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produsul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cotaţia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preţ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3316D5F7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brut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E6EE401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3D7F442" w14:textId="2889EDA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la un moment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provenind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contractuale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conform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dispoziţiilor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8E5475">
        <w:rPr>
          <w:rFonts w:ascii="Times New Roman" w:hAnsi="Times New Roman" w:cs="Times New Roman"/>
          <w:color w:val="000000" w:themeColor="text1"/>
          <w:u w:val="single"/>
        </w:rPr>
        <w:t xml:space="preserve"> nr. 273/2006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4EC25CC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lastRenderedPageBreak/>
        <w:t xml:space="preserve">    f) fond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constituit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surse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116EC94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g)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persoana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juridică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facă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afecta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facă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operatorilor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economici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serviciilor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subordinea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beneficiază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facă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surse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622BF04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h)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angajamentul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asumat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de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plăti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neonorate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4AAE6F1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serviciul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reprezentând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rate de capital,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provenind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contractuale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determinată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20E8E39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j)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transferată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subsidiar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21707CC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k)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juridică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beneficiază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căror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exclusiv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fără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afecta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facă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locale;</w:t>
      </w:r>
    </w:p>
    <w:p w14:paraId="6A38B752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87770B5" w14:textId="0F2DC70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l)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clauză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compensare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exigibilitate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imediată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clauză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cuprinsă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-un contract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-un alt contract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clauze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referitoare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absenţa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asemenea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clauze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care,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producerea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eveniment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executare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regularizării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compensării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luate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separat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părţilor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devin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imediat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exigibile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exprimate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printr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părţilor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moment,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sting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înlocuite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cauză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reciproce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părţilor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atunci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furnizorul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furnizorul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debitorul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principal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celeilalte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părţi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egală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legislaţia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domeniu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23FDCEF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4538BBF" w14:textId="1CDDC0F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m)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sub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bani pe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primeşte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derivate;</w:t>
      </w:r>
    </w:p>
    <w:p w14:paraId="3BA9999D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59B181" w14:textId="670B683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n)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asumat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de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derivă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6FB77A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DA3781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80E3B1B" w14:textId="7476FD2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CAPITOLUL II</w:t>
      </w:r>
    </w:p>
    <w:p w14:paraId="14FE5B2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guvernamentală</w:t>
      </w:r>
      <w:proofErr w:type="spellEnd"/>
    </w:p>
    <w:p w14:paraId="7CFC4AB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CB8DB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3</w:t>
      </w:r>
    </w:p>
    <w:p w14:paraId="1D07D47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Obiectivele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strategia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</w:p>
    <w:p w14:paraId="506F656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lastRenderedPageBreak/>
        <w:t xml:space="preserve">    (1)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procesul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are 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obiectiv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necesităţilor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minimizării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costurilor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 termen lung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limitării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implicate.</w:t>
      </w:r>
    </w:p>
    <w:p w14:paraId="5C91D76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Instrumentele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utilizate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atingerii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obiectivelor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definirea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avea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reglementările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materie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abilitate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74244C83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D8C6D88" w14:textId="3590193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intermedieze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colectarea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subscrierilor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F53009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comunicaţiilor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societăţii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informaţionale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E4AFA1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termen de cel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mult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încasării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subscrierii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D68747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(2^4)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Eventualele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eronat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solicitarea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adresată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C59BF94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CFD0985" w14:textId="2F982F4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Răspunderea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solicitate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restituire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52FAB1F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F133126" w14:textId="1A17915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(2^6) Suma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subscrisă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persoană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fizică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depăşi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maximă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comunicată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E5158F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(2^7)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vândute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credit, definite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99/2006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adecvarea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227/2007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care au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capacitate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experienţă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interes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 (2).</w:t>
      </w:r>
    </w:p>
    <w:p w14:paraId="6ECA6175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599F24" w14:textId="60C4890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acoperirea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portofoliului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scop,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compensare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compensare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clauza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exigibilitate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imediată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entităţi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înfiinţate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scop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E329922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19841A9" w14:textId="6509A60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(3^1)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face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proceduri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tipul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ales,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hotărâre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EE9FA5D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D186FB8" w14:textId="3629713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Băncii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Naţionale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strategia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pe care o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înaintează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informare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Parlamentului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strategia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revizuibilă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anual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câte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necesităţile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impun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49A65C25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5F8D3B2" w14:textId="2136AD6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pasivelor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acoperirea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portofoliului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55DE20F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depună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primească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acoperirea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portofoliului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85985C7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12E706B" w14:textId="0E29E59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managementul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depus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(6)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113/2006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înfiinţarea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186/2008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 (1) lit. g).</w:t>
      </w:r>
    </w:p>
    <w:p w14:paraId="249F78F5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4B9DD64" w14:textId="1D6E1EC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(5^3) *)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returnat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încetării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rămas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disponibilul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rămas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a), b)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g).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care,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încetării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rămas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integral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rămasă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concurenţa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definitivă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reîntregire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diferenţei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anulează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96F2C0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(5^4)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Banca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 se face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38F9F00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5AF4684E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16F120E" w14:textId="14F01F7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(5^6)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calitatea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administrator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administratori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organizeze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activităţile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primare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secundare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stat**).</w:t>
      </w:r>
    </w:p>
    <w:p w14:paraId="4D14950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(5^7)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(5^6),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mandataţi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reguli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transparente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nediscriminatorii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acces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participanţilor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respective,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nerespectarea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regulilor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scop,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avizul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C8B9E7A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58CACA0" w14:textId="05D31BE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(6) ***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00C71F6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(7) ***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</w:p>
    <w:p w14:paraId="720CDC3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(8) ***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</w:p>
    <w:p w14:paraId="5E94998A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3F4CBA6" w14:textId="634B65F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VI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132/2022 (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#M43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anulare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stingere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reîntregire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(5^3)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Normelor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Hotărârea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1.470/2007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1355D4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A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Hotărârea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454/2023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Normelor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Hotărârea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1.470/2007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748023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Regulamentul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10/2024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secundară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08A1C9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E756E9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E2123A3" w14:textId="0EE30FF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4*)</w:t>
      </w:r>
    </w:p>
    <w:p w14:paraId="58610F2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Contractarea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</w:p>
    <w:p w14:paraId="1E8E935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angajeze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scopuri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:</w:t>
      </w:r>
    </w:p>
    <w:p w14:paraId="5EB78AC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deficitului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temporară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deficitelor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precedenţi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alocarea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destinaţie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deficitelor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temporare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exerciţiul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4254F9F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refinanţarea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anticipată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51077A7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menţinerea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permanenţă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sold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corespunzător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criteriile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elaborate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 (1);</w:t>
      </w:r>
    </w:p>
    <w:p w14:paraId="26F1DE0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programe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proiecte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necesităţi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prioritare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românească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692B5DD1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256192E" w14:textId="40FDF1A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susţinerea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balanţei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Regulamentul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332/2002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termen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balanţele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335AA67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78BB3B5" w14:textId="3FBAFAD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f)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CBE83DB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EBE7AB7" w14:textId="3CD6EFE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g)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necesară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derivate;</w:t>
      </w:r>
    </w:p>
    <w:p w14:paraId="3636222D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092875D" w14:textId="53D53A9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h)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sunt destinate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protejării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mediului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înconjurător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combaterii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schimbărilor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climatice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social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durabilă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special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hotărâre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048A281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3BDFA37" w14:textId="55C9F85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 **)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interes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strategic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apărare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securitate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entităţi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ţări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456272A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C42A038" w14:textId="3D8F0F9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(1^1)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pot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sistem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leasing,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hotărâre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administrator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acceptă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alegerea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instrument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analizei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obiectivelor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strategiei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48DD9C6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7F393D1" w14:textId="6829542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(1) lit. d),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beneficiarii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avizului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Interministerial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Asigurări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067A993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centrale nu pot fi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beneficiari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28546FC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(4) Pe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parcursul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an,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scopurile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precizate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(1), independent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evoluţia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disponibilităţilor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evoluţia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veniturilor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cheltuielilor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decursul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an.</w:t>
      </w:r>
    </w:p>
    <w:p w14:paraId="08433F0B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C6A2ADD" w14:textId="20E83B9A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(4^1)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Oportunitatea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alegerea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caracteristicilor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atragerii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administrator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 (1).</w:t>
      </w:r>
    </w:p>
    <w:p w14:paraId="31FD9519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8303E7D" w14:textId="16D6300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organismele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destinate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7D9F04F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0D334C4" w14:textId="684DB30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(6)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Modalitatea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37096A8E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6FFE6A2" w14:textId="4EE4B53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(7)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tragerilor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aranjamentele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fluxurilor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necesar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solicitate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documentul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juridic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bilateral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 (8).</w:t>
      </w:r>
    </w:p>
    <w:p w14:paraId="123FB2A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(8)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Documentul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juridic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(7)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hotărâre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iniţiată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administrator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centrale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responsabilitate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încadrează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interes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strategic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apărare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securitate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care fac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0B5E71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(9)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Autorităţile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centrale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(8)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semneze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documentul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juridic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(7),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alături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cerinţele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D704F0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(10)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 pot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desemnate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memorandum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interes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strategic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apărare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securitate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pot beneficia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89587C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(10),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drepturile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desemnate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juridic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obţinerea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avizului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Comitetului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Interministerial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B87BAC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(12)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(4),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pot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7825919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B3BAFB7" w14:textId="7F49A66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BD0EDDA" w14:textId="2D13DC9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(6)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60/2009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"Prima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9418D19" w14:textId="3FDAC36F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92/2013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2CEEE2B" w14:textId="72FA745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66/2014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stimulare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cumpărării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autoturisme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;</w:t>
      </w:r>
      <w:proofErr w:type="gramEnd"/>
    </w:p>
    <w:p w14:paraId="1793CBA7" w14:textId="774B876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119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(6)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119^1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311/2015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BF88BF4" w14:textId="6D774E6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110/2017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susţinere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IMM INVEST ROMÂNIA,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91DD1A7" w14:textId="77C04A4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50/2018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"INVESTEŞTE ÎN TINE";</w:t>
      </w:r>
    </w:p>
    <w:p w14:paraId="7800CE7A" w14:textId="022E8C8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114/2018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investiţiilor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fiscal-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prorogarea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termene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1FE2437" w14:textId="284271F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118/2020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susţinere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"IMM LEASING DE ECHIPAMENTE ŞI UTILAJE";</w:t>
      </w:r>
    </w:p>
    <w:p w14:paraId="1DC0429A" w14:textId="4C081D3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146/2020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IMM FACTOR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Produs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comercial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3C7C1A5" w14:textId="3FDADF1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24/2022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domenii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prioritare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românească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15CBD84" w14:textId="04A9BA3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95/2022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StudentInvest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FamilyStart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128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272/2004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protecţia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promovarea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drepturilor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copilului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DDF646A" w14:textId="44C476B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anexa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99/2022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IMM INVEST PLUS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componentelor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IMM INVEST ROMÂNIA, AGRO IMM INVEST, IMM PROD, GARANT CONSTRUCT, INNOVATION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RURAL INVEST;</w:t>
      </w:r>
    </w:p>
    <w:p w14:paraId="2E1C333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9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207/2022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aplicabil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constituirii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funcţionării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AE49BDF" w14:textId="2553440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92/2023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asistenţa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macrofinanciară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(UE) 2022/1.628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Parlamentului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European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septembrie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macrofinanciară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Ucrainei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consolidarea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provizionare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provizionare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anumite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Ucraina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466/2014/UE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(UE) 2022/1.201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F3C6EE8" w14:textId="7B25C6C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anexa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18/2024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IMM PLUS.</w:t>
      </w:r>
    </w:p>
    <w:p w14:paraId="4C77C3A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Precizăm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menţionate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sus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reproduse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D.1, pct. D.9, pct. D.10 - D.12, pct. D.14, pct. D.16, pct. D.17, pct. D.21 - D.23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D.25 - D.30 din nota D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sfârşitul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textului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actualizat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998A905" w14:textId="56626C5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lit.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introdusă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I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1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101/2024. Conform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II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101/2024 (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#M48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care, la data de 23 august 2024 [data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101/2024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#M48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)],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pot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dezangajeze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angajament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angajament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30D62A6" w14:textId="492665CF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8E652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5</w:t>
      </w:r>
    </w:p>
    <w:p w14:paraId="58CB63C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</w:p>
    <w:p w14:paraId="0DBED41C" w14:textId="2D3280D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DBE65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necondiţionată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irevocabilă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serviciile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prestate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agenţiile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rating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evaluarea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ţară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angajarea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B20DCAB" w14:textId="771073F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BE5B2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plăţii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serviciului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autorizare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bugetară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permanentă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cheltuieli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0FBC72AA" w14:textId="16D31B0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87A8C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articol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situaţii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E624C3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(2^2)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majoreze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la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poziţie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distinctă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capitolului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40.00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Încasări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55.01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".</w:t>
      </w:r>
    </w:p>
    <w:p w14:paraId="0C126167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reîntregesc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articol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generale de la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poziţie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distinctă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81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".</w:t>
      </w:r>
    </w:p>
    <w:p w14:paraId="382F5F3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(2^4)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rămase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neutilizate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determinate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majorate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reconstituie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C64C708" w14:textId="0CCA5CE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342FA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Sursele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serviciul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sunt,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:</w:t>
      </w:r>
    </w:p>
    <w:p w14:paraId="1A15314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disponibilităţile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3A0F295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refinanţarea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72B18DD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cheltuielile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destinaţie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209BB439" w14:textId="6958C82C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5DA1E3" w14:textId="09DB629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c^1) ***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Abrogată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~ </w:t>
      </w:r>
    </w:p>
    <w:p w14:paraId="73183743" w14:textId="51A6DF8F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0CEF3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aceştia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angajate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2241DDC9" w14:textId="517F2AF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E62277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d^1)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derivate,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încasate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EC513C9" w14:textId="05BA271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94D6B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4DFE1C5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constituit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situaţiile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onorează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acordurile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289345F3" w14:textId="05CFC87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EF422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f^1)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Trezoreria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preluate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9C9F24A" w14:textId="55BB837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360E11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g)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surse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26A811E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(4) Banca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convenţiilor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acţiona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 agent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monedă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decât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moneda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organizarea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licitaţiilor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pe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piaţa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internă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18C305D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(5)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activităţile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derulate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Banca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(4),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calitate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agent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plasarea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terţi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emisiunilor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plătească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căror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cuantum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convenţie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două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părţi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0CC3AA74" w14:textId="553BEEC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6ED11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consideră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transferului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distincte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Trezoreria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B58855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(5^2) Plata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(5^1) din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transfere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propriu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ridice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numerar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perceperea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deţinătorii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restituirea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virament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numerar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 (5^1).</w:t>
      </w:r>
    </w:p>
    <w:p w14:paraId="4DFF817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ridicate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numerar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numerar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deţinătorii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depun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Trezoreria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prima zi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ridicarea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E15A00B" w14:textId="5422B22C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A9B79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(5^4)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activităţile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(2^1),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activitatea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închidere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deţinătorii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distribuite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soluţii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mediul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online.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lunar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plătesc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termen de 30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primirii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facturii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FF4DD6B" w14:textId="7B293BE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FDF294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(6)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comunicaţiilor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societatea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informaţională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modernizarea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proceselor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lucru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electronic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modalităţii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autentificare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validare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semnare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F40BAEE" w14:textId="333107F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50006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(7)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necondiţionată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irevocabilă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anticipate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52CFF6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(8)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recuperate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revin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Banca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A4F2042" w14:textId="7568B16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9557E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6*)</w:t>
      </w:r>
    </w:p>
    <w:p w14:paraId="6459D6D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Fondul de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guvernamentală</w:t>
      </w:r>
      <w:proofErr w:type="spellEnd"/>
    </w:p>
    <w:p w14:paraId="6592D59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(1)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acoperirea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decurg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constituie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4D1998A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un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nivel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inferior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calculat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(1),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comun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internelor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lastRenderedPageBreak/>
        <w:t>reformei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administrative,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prealabilă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înfiinţat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8E5475">
        <w:rPr>
          <w:rFonts w:ascii="Times New Roman" w:hAnsi="Times New Roman" w:cs="Times New Roman"/>
          <w:color w:val="000000" w:themeColor="text1"/>
          <w:u w:val="single"/>
        </w:rPr>
        <w:t xml:space="preserve"> nr. 273/2006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6A02872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Sursele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sunt:</w:t>
      </w:r>
    </w:p>
    <w:p w14:paraId="7E08A5E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sub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formă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stat;</w:t>
      </w:r>
    </w:p>
    <w:p w14:paraId="2CD0B57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încasate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reprezentând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rate de capital,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plătite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5DCE01C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disponibilităţile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aflate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4326F29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d)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majorări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întârziere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neplata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termen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aplicate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neplata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termen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garantaţi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ratelor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scadente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comisioanelor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4834F5F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e)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recuperate conform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;</w:t>
      </w:r>
    </w:p>
    <w:p w14:paraId="32CC517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f)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scop.</w:t>
      </w:r>
    </w:p>
    <w:p w14:paraId="635EAC3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aflate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sunt destinate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achitării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subîmprumutaţii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garantaţii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nu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dispun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resurse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achitarea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4202376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(5) Fondul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gestionează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avându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-se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siguranţa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lichiditatea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rentabilitatea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6A13B6A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(6)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Disponibilităţile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aflate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sfârşitul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regularizează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limita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Disponibilităţile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rămase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sfârşitul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regularizarea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stat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reportează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următor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aceeaşi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destinaţie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11529E14" w14:textId="1C8579F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87195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(7)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interes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strategic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apărare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securitate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entităţi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ţări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nu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sub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incidenţa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nu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percepe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juridic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 (7).</w:t>
      </w:r>
    </w:p>
    <w:p w14:paraId="3EE401A9" w14:textId="5EBEE7F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208F2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821A8F0" w14:textId="797FEB1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119^2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311/2015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E5AAEC4" w14:textId="64F3807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10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60/2019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stingerea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referitoare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economici.</w:t>
      </w:r>
    </w:p>
    <w:p w14:paraId="57EF7C27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Precizăm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menţionate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sus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reproduse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D.13, pct. D.18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D.19 din nota D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sfârşitul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textului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actualizat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8253E61" w14:textId="77E4DD4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D6D24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7*)</w:t>
      </w:r>
    </w:p>
    <w:p w14:paraId="374E9D4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Recuperarea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plătite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subîmprumutaţilor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garantaţilor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de stat</w:t>
      </w:r>
    </w:p>
    <w:p w14:paraId="5DF392D0" w14:textId="5E0F9EB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542B5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lipsei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disponibilităţilor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rate de capital,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neachitate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aceştia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majorările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întârziere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debite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debitele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regimul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juridic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recuperează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colectarea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organele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teritorială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domiciliul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fiscal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>subîmprumutaţii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înscrisurilor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întocmite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direcţiile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individualizează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recuperat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devină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executorii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instanţele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judecătoreşti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s-au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pronunţat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asupra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executarea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silită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hotărârii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judecătoreşti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definitive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irevocabile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executoriu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C0FE3DB" w14:textId="46B847E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A4F8F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(2)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recuperate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articol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reîntregeşte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disponibilul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debitele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BEFDC3E" w14:textId="52AF630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E11F6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67F5777" w14:textId="68477F6F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I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10/2012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conversia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Ferate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"C.F.R." - S.A.,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12/1998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transportul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ferate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reorganizarea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Societăţii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Ferate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E4B32EB" w14:textId="107E0BF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61/2013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financiar-fiscale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5ED2E2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Precizăm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menţionate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sus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reproduse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D.7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D.8 din nota D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sfârşitul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textului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actualizat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93CEF4B" w14:textId="2D70B4E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B5106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ART. 8</w:t>
      </w:r>
    </w:p>
    <w:p w14:paraId="0A41FDB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Raportarea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</w:p>
    <w:p w14:paraId="20AFB40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anual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raportul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transmite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Forma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raportului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transmisă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informare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Parlamentului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târziu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data de 30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iulie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următor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raportare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0F99E96E" w14:textId="62F0E70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E9CCAA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8^1</w:t>
      </w:r>
    </w:p>
    <w:p w14:paraId="00160F4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sunt destinate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afectaţiuni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nu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supuse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executării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silite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poprire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sensul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781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lit. a)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134/2010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procedură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civilă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republicată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955D92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D77D73B" w14:textId="4DA9985A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88A67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CAPITOLUL III</w:t>
      </w:r>
    </w:p>
    <w:p w14:paraId="2A65CC6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Sancţiuni</w:t>
      </w:r>
      <w:proofErr w:type="spellEnd"/>
    </w:p>
    <w:p w14:paraId="1E5FBB0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97B292" w14:textId="1C3D77E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AA6481" w14:textId="7D2D36E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9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***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~ </w:t>
      </w:r>
    </w:p>
    <w:p w14:paraId="42DE7E0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10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***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</w:p>
    <w:p w14:paraId="6C96CD14" w14:textId="1DE04A1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466AF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11</w:t>
      </w:r>
    </w:p>
    <w:p w14:paraId="5882FC9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(1) Nerespectarea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raportare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scop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contravenţie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sancţionează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amendă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10.000 lei la 30.000 lei.</w:t>
      </w:r>
    </w:p>
    <w:p w14:paraId="342226B8" w14:textId="18CB36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D343B3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Constatarea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contravenţiilor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amenzilor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fac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organele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împuternicite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77D03C5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(2)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completează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color w:val="000000" w:themeColor="text1"/>
          <w:u w:val="single"/>
        </w:rPr>
        <w:t xml:space="preserve"> nr. 2/2001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regimul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juridic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contravenţiilor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color w:val="000000" w:themeColor="text1"/>
          <w:u w:val="single"/>
        </w:rPr>
        <w:t xml:space="preserve"> nr. 180/2002</w:t>
      </w:r>
      <w:r w:rsidRPr="008E5475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0AA7B88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5E4A7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lastRenderedPageBreak/>
        <w:t xml:space="preserve">    CAPITOLUL IV</w:t>
      </w:r>
    </w:p>
    <w:p w14:paraId="3F5A8427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Dispoziţii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tranzitorii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b/>
          <w:bCs/>
          <w:color w:val="000000" w:themeColor="text1"/>
        </w:rPr>
        <w:t xml:space="preserve"> finale</w:t>
      </w:r>
    </w:p>
    <w:p w14:paraId="0E8CA15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17346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ART. 12</w:t>
      </w:r>
    </w:p>
    <w:p w14:paraId="4942B93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(1)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propunerea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Internelor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Reformei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Administrative,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termen de 30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1FC89D1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Modalităţile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înregistrare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raportare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 (1).</w:t>
      </w:r>
    </w:p>
    <w:p w14:paraId="6E3E7B7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ART. 13</w:t>
      </w:r>
    </w:p>
    <w:p w14:paraId="6E12E8A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aplică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8E5475">
        <w:rPr>
          <w:rFonts w:ascii="Times New Roman" w:hAnsi="Times New Roman" w:cs="Times New Roman"/>
          <w:color w:val="000000" w:themeColor="text1"/>
          <w:u w:val="single"/>
        </w:rPr>
        <w:t xml:space="preserve"> nr. 273/2006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667454DD" w14:textId="054AD0C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E8886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14*)</w:t>
      </w:r>
    </w:p>
    <w:p w14:paraId="4EC6141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2009,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obţinerea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FFD781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şomaj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reflectat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9F4097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regim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tripartit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integralitate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coordonator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semnatar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reflectat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drept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considera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drept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consecinţă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nu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sarcina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21C7D5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integralitate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coordonator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semnatar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reflectat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A013B4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2009,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şomaj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nu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destinate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capital,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definite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şomaj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C4C40B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generale",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45B1A6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(4)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2009, nu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şomaj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definite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şomaj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acreditivelor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data de 1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ianuarie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2009,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cuprinse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externe.</w:t>
      </w:r>
    </w:p>
    <w:p w14:paraId="461183B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echivalente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rămase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(4)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cuprinse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şomaj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acreditivelor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data de 1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ianuarie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2009,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cuprinse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externe.</w:t>
      </w:r>
    </w:p>
    <w:p w14:paraId="28F5EAB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(6)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tragerile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(4)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respective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D39C737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(7)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articol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preiau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protocol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predare-preluare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respective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 care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protocoale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cel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târziu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de 31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decembrie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2008.</w:t>
      </w:r>
    </w:p>
    <w:p w14:paraId="2C9C824A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(8)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Propunerile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2009,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articol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face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colaborare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implicaţi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B3F2DB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(9)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de 1 august 2008,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corespunzător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articol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nu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obţine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aceştia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1C9C7B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(10)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ocazionate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amendarea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(9)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generale".</w:t>
      </w:r>
    </w:p>
    <w:p w14:paraId="04FF38C2" w14:textId="66F97DE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D8457E" w14:textId="0C5F405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157/2008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CEED287" w14:textId="081FAA1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0F8A7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15*)</w:t>
      </w:r>
    </w:p>
    <w:p w14:paraId="7C40CA9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(1) Pe data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abrogă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nr. 313/2004,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Partea I, nr. 577 din 29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iunie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2004,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77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(1) lit. c)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d),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(2) -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trimitere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(1) lit. c)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d)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nr. 273/2006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5CA882A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(2) Pe data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norma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trimitere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20</w:t>
      </w:r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nr. 313/2004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cuprinsul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nr. 111/2006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proiecte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investiţii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necesită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lungă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un an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finalizare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Partea I, nr. 1.031 din 27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decembrie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2006,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consideră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trimitere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47A845D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Procedurile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contractare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aflate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curs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desfăşurare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definitiva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iniţierii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14</w:t>
      </w:r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1D8CEDE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(4)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active la data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face conform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procedurilor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legislaţia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aplicabilă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acea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dată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excepţia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situaţiilor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color w:val="000000" w:themeColor="text1"/>
          <w:u w:val="single"/>
        </w:rPr>
        <w:t>art. 14</w:t>
      </w:r>
      <w:r w:rsidRPr="008E5475">
        <w:rPr>
          <w:rFonts w:ascii="Times New Roman" w:hAnsi="Times New Roman" w:cs="Times New Roman"/>
          <w:color w:val="000000" w:themeColor="text1"/>
        </w:rPr>
        <w:t>.</w:t>
      </w:r>
    </w:p>
    <w:p w14:paraId="78C158B0" w14:textId="77777777" w:rsidR="008E5475" w:rsidRPr="008E5475" w:rsidRDefault="008E5475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A5530B0" w14:textId="31A096A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139AF9E" w14:textId="52D720F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articolul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unic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56/2010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D133EE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Precizăm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menţionate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sus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reproduse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pct. D.3 din nota D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sfârşitul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textului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actualizat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D36744D" w14:textId="7B50BCF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189A19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NOTE:</w:t>
      </w:r>
    </w:p>
    <w:p w14:paraId="03DC68AF" w14:textId="3B78CBD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1.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Reproducem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jos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II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141/2007</w:t>
      </w:r>
      <w:r w:rsidR="006A2771"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9A8AC82" w14:textId="3893338A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6EED42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II</w:t>
      </w:r>
    </w:p>
    <w:p w14:paraId="634D258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influenţele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regularizează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termen de cel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mult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30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1A635B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influenţele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regularizarea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face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cel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târziu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ultimei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scadenţe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ultimelor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regularizări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068714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regularizării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(2) se pot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păstra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-un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fructifică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7CEAB4E8" w14:textId="5104222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2B17A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au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reproduse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jos.</w:t>
      </w:r>
      <w:proofErr w:type="spellEnd"/>
    </w:p>
    <w:p w14:paraId="37362BF8" w14:textId="684ABDD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(6)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60/2009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"Prima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4419094" w14:textId="1E16835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543C2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"(6)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 - I.F.N.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încadrarea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plafonul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29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e)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responsabilităţii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fiscal-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69/2010,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republicată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persoanelor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locuinţe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79B46096" w14:textId="0E3FE21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EA5F6B" w14:textId="1F0EB12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9/2010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sprijin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domenii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prioritare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românească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instrumentele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structurale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55B4857" w14:textId="061C658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F2FB7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3</w:t>
      </w:r>
    </w:p>
    <w:p w14:paraId="29A6A1A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61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(3)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273/2006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locale,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S.A. - I.F.N.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5154C9A3" w14:textId="7DC48A5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CC8533F" w14:textId="1275683F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D.3.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Articolul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unic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56/2010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C2E7A57" w14:textId="6BAC8B3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184F5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active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situaţiilor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5A9BB6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(2)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(4)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corespunzător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active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0EC826E1" w14:textId="68A187B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8834A5" w14:textId="4A772D8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D.4.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69/2010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reabilitarea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termică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clădirilor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locuit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B8B1035" w14:textId="77777777" w:rsidR="006A2771" w:rsidRPr="008E5475" w:rsidRDefault="006A277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648D8BA" w14:textId="591AFDE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S.A. - I.F.N.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139CD418" w14:textId="532A634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815FA2" w14:textId="3D18A9C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D.5.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60/2011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Mihail Kogălniceanu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83E8532" w14:textId="0EAB07D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88A39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I.M.M.-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definite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346/2004,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01F97D5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AEBE75" w14:textId="2EDE80D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D.6.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22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153/2011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creştere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calităţii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arhitectural-ambientale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clădirilor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CCD6232" w14:textId="2FF5134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3D143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FNGCIMM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51CB54C4" w14:textId="7E57C1C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7FCA29" w14:textId="0E053B9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D.7.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I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10/2012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conversia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Compania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Ferate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"C.F.R." - S.A.,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12/1998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transportul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ferate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reorganizarea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Societăţii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Ferate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417B2A09" w14:textId="0D9A6B6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087C6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"(2)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stingerea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conversie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accesoriilor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cuvenite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neachitate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Companie, conform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evidenţei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individualizate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26381778" w14:textId="481A6E3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E91216" w14:textId="504D3CD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D.8.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61/2013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financiar-fiscale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867B860" w14:textId="2F898B6F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19014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"(2)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stingerea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conversie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principale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accesoriilor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cuvenite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neachitate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Societatea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Transport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Feroviar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Marfă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«C.F.R.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Marfă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» - S.A., conform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evidenţei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contabile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individualizate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321CC9E0" w14:textId="57CC5E0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7976AA" w14:textId="5FF8CA7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D.9.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92/2013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FCA02EA" w14:textId="052E8A8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3DEBCD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I.M.M.-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02FEC13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D5A69D" w14:textId="117AE84C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D.10.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66/2014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stimulare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cumpărării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autoturisme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965D023" w14:textId="1B9C809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EEB1A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act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persoanelor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autoturism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7DF8980F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A15EE8" w14:textId="58369880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D.11.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119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(6)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311/2015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191B4C4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1EFE826" w14:textId="41854AC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solicita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sale,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lit. b),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trebuind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decizie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termen de 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data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primirii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cererii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exceptată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d)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procent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100%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BA9B0C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[...]</w:t>
      </w:r>
    </w:p>
    <w:p w14:paraId="77F08EB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(6)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vărsămintele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insuficiente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lansa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d)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definiţiei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lit. j)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părţi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dispoziţia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termen de maximum 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solicitarea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lor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62A1334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1A48D2" w14:textId="0F32A22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D.12.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119^1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311/2015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7901C50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B66BB89" w14:textId="24832E3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119^1</w:t>
      </w:r>
    </w:p>
    <w:p w14:paraId="0F355BB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solicitarea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lit. b^1).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exceptată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procent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100%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dobânzile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comisioanele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0D0BAF35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E40CA7" w14:textId="2745A6C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D.13.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119^2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311/2015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depozitelor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000CA45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A10D3A7" w14:textId="361CF57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119^2</w:t>
      </w:r>
    </w:p>
    <w:p w14:paraId="52949E3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subîmprumuturile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nu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percepe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comision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37FC7658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6A5E94" w14:textId="0577476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D.14.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110/2017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susţinere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IMM INVEST ROMÂNIA,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AD463C2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1C8F0E1" w14:textId="4BFA4275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04CDBCA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90814B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D.15.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10^11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anexa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Hotărârea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717/2009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normelor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"Prima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1A0F925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C3A5E2B" w14:textId="210400D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10^11</w:t>
      </w:r>
    </w:p>
    <w:p w14:paraId="663B9B3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exprime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radierii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ipotecii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interdicţiilor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înscrise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locuinţei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achiziţionate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construite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respingerii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cererilor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transmise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participanţi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17BDA58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F4723D8" w14:textId="400E641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D.16.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50/2018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"INVESTEŞTE ÎN TINE":</w:t>
      </w:r>
    </w:p>
    <w:p w14:paraId="4855DC21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46A3A22" w14:textId="0321F23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"(5)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persoanelor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3A4512C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4EAD07" w14:textId="3563999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D.17.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114/2018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investiţiilor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fiscal-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prorogarea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termene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3A5847A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A807EA8" w14:textId="4908049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"(2)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6E87C91F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303C11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C555C6F" w14:textId="673686B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D.18.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(3)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60/2019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stingerea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referitoare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economici:</w:t>
      </w:r>
    </w:p>
    <w:p w14:paraId="38A7D648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896394F" w14:textId="31DAF9A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"(3)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MFP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generale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26215222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BD068B" w14:textId="00144F9A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D.19.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10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60/2019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stingerea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fiscale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referitoare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operatorilor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economici:</w:t>
      </w:r>
    </w:p>
    <w:p w14:paraId="4694EB47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2F8D5CA" w14:textId="263E7ED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articolele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normative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subîmprumutatul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final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contractat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subîmprumuturi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nu fac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recuperare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declarat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ilegal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rambursează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solicitarea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expresă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având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sursă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generale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7F2E9CF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2724CB" w14:textId="7456748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D.20.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37/2020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facilităţi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anumitor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debitori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978E7C7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451CDB5" w14:textId="33C14B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MFP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scrisori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Modelul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convenţiei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*)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termen de 15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intrarea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67DE0430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58DA7CF" w14:textId="4E608513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Ordinul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1861/2020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modelului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convenţiei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37/2020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facilităţi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anumitor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debitori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modelului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convenţiei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66B7B2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A03CBF" w14:textId="71AC2B8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D.21.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118/2020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susţinere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"IMM LEASING DE ECHIPAMENTE ŞI UTILAJE":</w:t>
      </w:r>
    </w:p>
    <w:p w14:paraId="5495831E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18E5266" w14:textId="750ED1DA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4</w:t>
      </w:r>
    </w:p>
    <w:p w14:paraId="4BFBB16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d)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societăţilor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leasing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11D1858D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F1CF4A" w14:textId="32EE11C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D.22.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146/2020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IMM FACTOR -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Produs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comercial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D0E5D43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BA4DC51" w14:textId="722C6AE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d)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încadrarea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plafonul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(5)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29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e)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responsabilităţii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fiscal-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69/2010,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republicată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0EA4F76E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3F1499" w14:textId="2B8E5282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D.23.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24/2022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domenii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prioritare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economia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românească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230E954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E101BF3" w14:textId="0E00079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"(2)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Întreprinderile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Mici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Mijlocii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 - S.A. - IFN,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denumit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S.A.,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denumit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F.R.C.,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2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6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Rural - S.A. - IFN,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denumit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F.G.C.R.,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sub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proporţie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maximum 90%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investiţiilor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susţinerea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activităţii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curente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4B0D3E4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08D652" w14:textId="6C1B27B1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D.24.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90/2022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facilităţi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nebancare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anumitor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debitori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8018723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8A2E0EF" w14:textId="68CE939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"(2)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scrisori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creditorilor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derularea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convenţii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implementare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creditori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7B9C114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42D4E1" w14:textId="19DC1539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D.25.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95/2022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StudentInvest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FamilyStart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128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272/2004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protecţia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promovarea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drepturilor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copilului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E77D24D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11A45BE" w14:textId="2B26E6FA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"(5)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persoanelor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«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StudentInvest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»."</w:t>
      </w:r>
    </w:p>
    <w:p w14:paraId="37F24C9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377A66" w14:textId="0BE123F6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D.26.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95/2022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StudentInvest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"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FamilyStart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",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128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272/2004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protecţia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promovarea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drepturilor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copilului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F357A9F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8201D5D" w14:textId="572D482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"(5)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Fondul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Contragarantare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persoanelor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guvernamental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«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FamilyStart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»."</w:t>
      </w:r>
    </w:p>
    <w:p w14:paraId="33136CB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187E73" w14:textId="42150D5E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D.27.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7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anexa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99/2022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IMM INVEST PLUS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componentelor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- IMM INVEST ROMÂNIA, AGRO IMM INVEST, IMM PROD, GARANT CONSTRUCT, INNOVATION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RURAL INVEST:</w:t>
      </w:r>
    </w:p>
    <w:p w14:paraId="1184DB62" w14:textId="77777777" w:rsidR="00A74844" w:rsidRPr="008E5475" w:rsidRDefault="00A74844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FFDE7BC" w14:textId="3CAE9B34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F.N.G.C.I.M.M., F.R.C.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F.G.C.R.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stat."</w:t>
      </w:r>
    </w:p>
    <w:p w14:paraId="0AAFE693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5465C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D.28.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9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(5)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207/2022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general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aplicabil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constituirii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funcţionării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B46A251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"(5)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lit. d)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memorandum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înţelegere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încheiat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banca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reprezentantul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acţionarului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FCDEC78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8E5475">
        <w:rPr>
          <w:rFonts w:ascii="Times New Roman" w:hAnsi="Times New Roman" w:cs="Times New Roman"/>
          <w:i/>
          <w:iCs/>
          <w:color w:val="000000" w:themeColor="text1"/>
        </w:rPr>
        <w:t>a</w:t>
      </w:r>
      <w:proofErr w:type="gram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băncilor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9F598EC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alocare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încât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întotdeauna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perioadele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care banca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restante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acoperite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recuperare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plătite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5DF89410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E9DEC9" w14:textId="56A858BC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D.29.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92/2023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asistenţa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macrofinanciară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(UE) 2022/1.628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Parlamentului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European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septembrie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macrofinanciară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Ucrainei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consolidarea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provizionare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provizionare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anumite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Ucraina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466/2014/UE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(UE) 2022/1.201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4E99744" w14:textId="77777777" w:rsidR="008E5475" w:rsidRPr="008E5475" w:rsidRDefault="008E5475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37DDFE3" w14:textId="45EFA068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"ART. 1</w:t>
      </w:r>
    </w:p>
    <w:p w14:paraId="3F030A24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asistenţa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macrofinanciară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(UE) 2022/1.628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Parlamentului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European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20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septembrie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2022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macrofinanciară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excepţională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Ucrainei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consolidarea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provizionare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provizionare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anumite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Ucraina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temeiul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466/2014/UE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Deciziei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(UE) 2022/1.201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>."</w:t>
      </w:r>
    </w:p>
    <w:p w14:paraId="72A8D886" w14:textId="77777777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0150C8" w14:textId="5329EC9B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8E5475">
        <w:rPr>
          <w:rFonts w:ascii="Times New Roman" w:hAnsi="Times New Roman" w:cs="Times New Roman"/>
          <w:b/>
          <w:bCs/>
          <w:i/>
          <w:iCs/>
          <w:color w:val="000000" w:themeColor="text1"/>
        </w:rPr>
        <w:t>D.30.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anexa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18/2024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 IMM PLUS:</w:t>
      </w:r>
    </w:p>
    <w:p w14:paraId="251855CE" w14:textId="77777777" w:rsidR="008E5475" w:rsidRPr="008E5475" w:rsidRDefault="008E5475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FC11602" w14:textId="0A66CECD" w:rsidR="009C3E61" w:rsidRPr="008E5475" w:rsidRDefault="009C3E61" w:rsidP="008E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   "(1) Prin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derogare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instituie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mandateze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F.N.G.C.I.M.M., F.R.C.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F.G.C.R.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credit care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acorde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eligibili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schemei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8E5475">
        <w:rPr>
          <w:rFonts w:ascii="Times New Roman" w:hAnsi="Times New Roman" w:cs="Times New Roman"/>
          <w:i/>
          <w:iCs/>
          <w:color w:val="000000" w:themeColor="text1"/>
        </w:rPr>
        <w:t>ajutor</w:t>
      </w:r>
      <w:proofErr w:type="spellEnd"/>
      <w:r w:rsidRPr="008E5475">
        <w:rPr>
          <w:rFonts w:ascii="Times New Roman" w:hAnsi="Times New Roman" w:cs="Times New Roman"/>
          <w:i/>
          <w:iCs/>
          <w:color w:val="000000" w:themeColor="text1"/>
        </w:rPr>
        <w:t xml:space="preserve"> de stat."</w:t>
      </w:r>
    </w:p>
    <w:p w14:paraId="1FEA6E00" w14:textId="77777777" w:rsidR="00717A83" w:rsidRPr="008E5475" w:rsidRDefault="009C3E61" w:rsidP="008E5475">
      <w:pPr>
        <w:jc w:val="both"/>
        <w:rPr>
          <w:rFonts w:ascii="Times New Roman" w:hAnsi="Times New Roman" w:cs="Times New Roman"/>
          <w:color w:val="000000" w:themeColor="text1"/>
        </w:rPr>
      </w:pPr>
      <w:r w:rsidRPr="008E5475">
        <w:rPr>
          <w:rFonts w:ascii="Times New Roman" w:hAnsi="Times New Roman" w:cs="Times New Roman"/>
          <w:color w:val="000000" w:themeColor="text1"/>
        </w:rPr>
        <w:t xml:space="preserve">                              ---------------</w:t>
      </w:r>
    </w:p>
    <w:sectPr w:rsidR="00717A83" w:rsidRPr="008E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B9"/>
    <w:rsid w:val="004F4BB9"/>
    <w:rsid w:val="006A2771"/>
    <w:rsid w:val="00717A83"/>
    <w:rsid w:val="008E5475"/>
    <w:rsid w:val="009B274D"/>
    <w:rsid w:val="009C3E61"/>
    <w:rsid w:val="00A74844"/>
    <w:rsid w:val="00D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BA1E"/>
  <w15:chartTrackingRefBased/>
  <w15:docId w15:val="{5A051C03-D3F8-4AA1-A19D-D3377FB9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12487</Words>
  <Characters>71179</Characters>
  <Application>Microsoft Office Word</Application>
  <DocSecurity>0</DocSecurity>
  <Lines>593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RĂDULESCU</dc:creator>
  <cp:keywords/>
  <dc:description/>
  <cp:lastModifiedBy>SERGIU RĂDULESCU</cp:lastModifiedBy>
  <cp:revision>4</cp:revision>
  <dcterms:created xsi:type="dcterms:W3CDTF">2025-06-03T09:57:00Z</dcterms:created>
  <dcterms:modified xsi:type="dcterms:W3CDTF">2025-06-03T10:09:00Z</dcterms:modified>
</cp:coreProperties>
</file>