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B1818" w14:textId="77777777" w:rsidR="00A238C5" w:rsidRPr="00877F5E" w:rsidRDefault="00A238C5" w:rsidP="00A238C5">
      <w:pPr>
        <w:pBdr>
          <w:top w:val="single" w:sz="4" w:space="1" w:color="auto"/>
          <w:bottom w:val="single" w:sz="4" w:space="1" w:color="auto"/>
        </w:pBdr>
        <w:spacing w:after="120" w:line="240" w:lineRule="auto"/>
        <w:jc w:val="right"/>
        <w:rPr>
          <w:rFonts w:ascii="Tahoma" w:hAnsi="Tahoma" w:cs="Tahoma"/>
          <w:b/>
          <w:caps/>
          <w:color w:val="0070C0"/>
          <w:sz w:val="24"/>
          <w:szCs w:val="24"/>
          <w:lang w:val="en-US"/>
        </w:rPr>
      </w:pPr>
      <w:r w:rsidRPr="00877F5E">
        <w:rPr>
          <w:rFonts w:ascii="Tahoma" w:hAnsi="Tahoma" w:cs="Tahoma"/>
          <w:b/>
          <w:caps/>
          <w:color w:val="0070C0"/>
          <w:sz w:val="24"/>
          <w:szCs w:val="24"/>
          <w:lang w:val="en-US"/>
        </w:rPr>
        <w:t>Report on general government budget</w:t>
      </w:r>
    </w:p>
    <w:p w14:paraId="79582682" w14:textId="77777777" w:rsidR="004B7A33" w:rsidRPr="00877F5E" w:rsidRDefault="0085755C" w:rsidP="003F4E84">
      <w:pPr>
        <w:spacing w:after="120" w:line="240" w:lineRule="auto"/>
        <w:jc w:val="right"/>
        <w:rPr>
          <w:rFonts w:ascii="Tahoma" w:hAnsi="Tahoma" w:cs="Tahoma"/>
          <w:b/>
          <w:color w:val="0070C0"/>
          <w:sz w:val="24"/>
          <w:szCs w:val="24"/>
          <w:lang w:val="en-US"/>
        </w:rPr>
      </w:pPr>
      <w:r w:rsidRPr="00877F5E">
        <w:rPr>
          <w:rFonts w:ascii="Tahoma" w:hAnsi="Tahoma" w:cs="Tahoma"/>
          <w:b/>
          <w:color w:val="0070C0"/>
          <w:sz w:val="24"/>
          <w:szCs w:val="24"/>
          <w:lang w:val="en-US"/>
        </w:rPr>
        <w:t>February</w:t>
      </w:r>
      <w:r w:rsidR="009300C7" w:rsidRPr="00877F5E">
        <w:rPr>
          <w:rFonts w:ascii="Tahoma" w:hAnsi="Tahoma" w:cs="Tahoma"/>
          <w:b/>
          <w:color w:val="0070C0"/>
          <w:sz w:val="24"/>
          <w:szCs w:val="24"/>
          <w:lang w:val="en-US"/>
        </w:rPr>
        <w:t xml:space="preserve"> 2020</w:t>
      </w:r>
      <w:r w:rsidR="00526E8B" w:rsidRPr="00877F5E">
        <w:rPr>
          <w:rFonts w:ascii="Tahoma" w:hAnsi="Tahoma" w:cs="Tahoma"/>
          <w:b/>
          <w:color w:val="0070C0"/>
          <w:sz w:val="24"/>
          <w:szCs w:val="24"/>
          <w:lang w:val="en-US"/>
        </w:rPr>
        <w:br/>
      </w:r>
    </w:p>
    <w:p w14:paraId="45CA489B" w14:textId="77777777" w:rsidR="003F4E84" w:rsidRPr="00877F5E" w:rsidRDefault="003F4E84" w:rsidP="003F4E84">
      <w:pPr>
        <w:spacing w:after="120" w:line="240" w:lineRule="auto"/>
        <w:jc w:val="right"/>
        <w:rPr>
          <w:rFonts w:ascii="Tahoma" w:hAnsi="Tahoma" w:cs="Tahoma"/>
          <w:b/>
          <w:color w:val="0070C0"/>
          <w:sz w:val="24"/>
          <w:szCs w:val="24"/>
          <w:lang w:val="en-US"/>
        </w:rPr>
      </w:pPr>
    </w:p>
    <w:p w14:paraId="7C50340D" w14:textId="77777777" w:rsidR="00CA4A92" w:rsidRPr="00877F5E" w:rsidRDefault="00753827" w:rsidP="002B3CC9">
      <w:pPr>
        <w:shd w:val="clear" w:color="auto" w:fill="DEEAF6" w:themeFill="accent1" w:themeFillTint="33"/>
        <w:spacing w:after="120" w:line="360" w:lineRule="auto"/>
        <w:jc w:val="both"/>
        <w:rPr>
          <w:rFonts w:ascii="Tahoma" w:hAnsi="Tahoma" w:cs="Tahoma"/>
          <w:sz w:val="24"/>
          <w:szCs w:val="24"/>
          <w:lang w:val="en-US"/>
        </w:rPr>
      </w:pPr>
      <w:r w:rsidRPr="00877F5E">
        <w:rPr>
          <w:rFonts w:ascii="Tahoma" w:hAnsi="Tahoma" w:cs="Tahoma"/>
          <w:sz w:val="24"/>
          <w:szCs w:val="24"/>
          <w:lang w:val="en-US"/>
        </w:rPr>
        <w:t>G</w:t>
      </w:r>
      <w:r w:rsidR="007725A3" w:rsidRPr="00877F5E">
        <w:rPr>
          <w:rFonts w:ascii="Tahoma" w:hAnsi="Tahoma" w:cs="Tahoma"/>
          <w:sz w:val="24"/>
          <w:szCs w:val="24"/>
          <w:lang w:val="en-US"/>
        </w:rPr>
        <w:t xml:space="preserve">eneral government budget </w:t>
      </w:r>
      <w:r w:rsidR="005C7C7E" w:rsidRPr="00877F5E">
        <w:rPr>
          <w:rFonts w:ascii="Tahoma" w:hAnsi="Tahoma" w:cs="Tahoma"/>
          <w:sz w:val="24"/>
          <w:szCs w:val="24"/>
          <w:lang w:val="en-US"/>
        </w:rPr>
        <w:t>recorded</w:t>
      </w:r>
      <w:r w:rsidR="00686F10" w:rsidRPr="00877F5E">
        <w:rPr>
          <w:rFonts w:ascii="Tahoma" w:hAnsi="Tahoma" w:cs="Tahoma"/>
          <w:sz w:val="24"/>
          <w:szCs w:val="24"/>
          <w:lang w:val="en-US"/>
        </w:rPr>
        <w:t xml:space="preserve"> a deficit of</w:t>
      </w:r>
      <w:r w:rsidR="007725A3" w:rsidRPr="00877F5E">
        <w:rPr>
          <w:rFonts w:ascii="Tahoma" w:hAnsi="Tahoma" w:cs="Tahoma"/>
          <w:sz w:val="24"/>
          <w:szCs w:val="24"/>
          <w:lang w:val="en-US"/>
        </w:rPr>
        <w:t xml:space="preserve"> </w:t>
      </w:r>
      <w:r w:rsidR="007725A3" w:rsidRPr="00877F5E">
        <w:rPr>
          <w:rFonts w:ascii="Tahoma" w:hAnsi="Tahoma" w:cs="Tahoma"/>
          <w:b/>
          <w:sz w:val="24"/>
          <w:szCs w:val="24"/>
          <w:lang w:val="en-US"/>
        </w:rPr>
        <w:t xml:space="preserve">RON </w:t>
      </w:r>
      <w:r w:rsidR="00B06AEC" w:rsidRPr="00877F5E">
        <w:rPr>
          <w:rFonts w:ascii="Tahoma" w:hAnsi="Tahoma" w:cs="Tahoma"/>
          <w:b/>
          <w:sz w:val="24"/>
          <w:szCs w:val="24"/>
          <w:lang w:val="en-US"/>
        </w:rPr>
        <w:t xml:space="preserve">8.3 </w:t>
      </w:r>
      <w:r w:rsidR="007725A3" w:rsidRPr="00877F5E">
        <w:rPr>
          <w:rFonts w:ascii="Tahoma" w:hAnsi="Tahoma" w:cs="Tahoma"/>
          <w:b/>
          <w:sz w:val="24"/>
          <w:szCs w:val="24"/>
          <w:lang w:val="en-US"/>
        </w:rPr>
        <w:t>billion</w:t>
      </w:r>
      <w:r w:rsidR="00686F10" w:rsidRPr="00877F5E">
        <w:rPr>
          <w:rFonts w:ascii="Tahoma" w:hAnsi="Tahoma" w:cs="Tahoma"/>
          <w:b/>
          <w:sz w:val="24"/>
          <w:szCs w:val="24"/>
          <w:lang w:val="en-US"/>
        </w:rPr>
        <w:t xml:space="preserve"> </w:t>
      </w:r>
      <w:r w:rsidR="000F1E3F" w:rsidRPr="00877F5E">
        <w:rPr>
          <w:rFonts w:ascii="Tahoma" w:hAnsi="Tahoma" w:cs="Tahoma"/>
          <w:b/>
          <w:sz w:val="24"/>
          <w:szCs w:val="24"/>
          <w:lang w:val="en-US"/>
        </w:rPr>
        <w:t>(</w:t>
      </w:r>
      <w:r w:rsidR="00B06AEC" w:rsidRPr="00877F5E">
        <w:rPr>
          <w:rFonts w:ascii="Tahoma" w:hAnsi="Tahoma" w:cs="Tahoma"/>
          <w:b/>
          <w:sz w:val="24"/>
          <w:szCs w:val="24"/>
          <w:lang w:val="en-US"/>
        </w:rPr>
        <w:t xml:space="preserve">0.73% </w:t>
      </w:r>
      <w:r w:rsidR="007725A3" w:rsidRPr="00877F5E">
        <w:rPr>
          <w:rFonts w:ascii="Tahoma" w:hAnsi="Tahoma" w:cs="Tahoma"/>
          <w:b/>
          <w:sz w:val="24"/>
          <w:szCs w:val="24"/>
          <w:lang w:val="en-US"/>
        </w:rPr>
        <w:t>of GDP</w:t>
      </w:r>
      <w:r w:rsidR="000F1E3F" w:rsidRPr="00877F5E">
        <w:rPr>
          <w:rFonts w:ascii="Tahoma" w:hAnsi="Tahoma" w:cs="Tahoma"/>
          <w:b/>
          <w:sz w:val="24"/>
          <w:szCs w:val="24"/>
          <w:lang w:val="en-US"/>
        </w:rPr>
        <w:t>)</w:t>
      </w:r>
      <w:r w:rsidRPr="00877F5E">
        <w:rPr>
          <w:rFonts w:ascii="Tahoma" w:hAnsi="Tahoma" w:cs="Tahoma"/>
          <w:sz w:val="24"/>
          <w:szCs w:val="24"/>
          <w:lang w:val="en-US"/>
        </w:rPr>
        <w:t xml:space="preserve"> in </w:t>
      </w:r>
      <w:r w:rsidR="00B06AEC" w:rsidRPr="00877F5E">
        <w:rPr>
          <w:rFonts w:ascii="Tahoma" w:hAnsi="Tahoma" w:cs="Tahoma"/>
          <w:sz w:val="24"/>
          <w:szCs w:val="24"/>
          <w:lang w:val="en-US"/>
        </w:rPr>
        <w:t>the first two months of</w:t>
      </w:r>
      <w:r w:rsidRPr="00877F5E">
        <w:rPr>
          <w:rFonts w:ascii="Tahoma" w:hAnsi="Tahoma" w:cs="Tahoma"/>
          <w:sz w:val="24"/>
          <w:szCs w:val="24"/>
          <w:lang w:val="en-US"/>
        </w:rPr>
        <w:t xml:space="preserve"> 2020 </w:t>
      </w:r>
      <w:r w:rsidR="007725A3" w:rsidRPr="00877F5E">
        <w:rPr>
          <w:rFonts w:ascii="Tahoma" w:hAnsi="Tahoma" w:cs="Tahoma"/>
          <w:sz w:val="24"/>
          <w:szCs w:val="24"/>
          <w:lang w:val="en-US"/>
        </w:rPr>
        <w:t>(Annexes 1 and 2).</w:t>
      </w:r>
      <w:r w:rsidR="00744E04" w:rsidRPr="00877F5E">
        <w:rPr>
          <w:rFonts w:ascii="Tahoma" w:hAnsi="Tahoma" w:cs="Tahoma"/>
          <w:sz w:val="24"/>
          <w:szCs w:val="24"/>
          <w:lang w:val="en-US"/>
        </w:rPr>
        <w:t xml:space="preserve"> </w:t>
      </w:r>
    </w:p>
    <w:p w14:paraId="2BE9DD72" w14:textId="3637C42F" w:rsidR="00B06AEC" w:rsidRPr="00877F5E" w:rsidRDefault="00271414" w:rsidP="002B3CC9">
      <w:pPr>
        <w:shd w:val="clear" w:color="auto" w:fill="DEEAF6" w:themeFill="accent1" w:themeFillTint="33"/>
        <w:spacing w:after="120" w:line="360" w:lineRule="auto"/>
        <w:jc w:val="both"/>
        <w:rPr>
          <w:rFonts w:ascii="Tahoma" w:hAnsi="Tahoma" w:cs="Tahoma"/>
          <w:sz w:val="24"/>
          <w:szCs w:val="24"/>
          <w:lang w:val="en-US"/>
        </w:rPr>
      </w:pPr>
      <w:r w:rsidRPr="00877F5E">
        <w:rPr>
          <w:rFonts w:ascii="Tahoma" w:hAnsi="Tahoma" w:cs="Tahoma"/>
          <w:sz w:val="24"/>
          <w:szCs w:val="24"/>
          <w:lang w:val="en-US"/>
        </w:rPr>
        <w:t xml:space="preserve">Compared to the same </w:t>
      </w:r>
      <w:r w:rsidR="00B06AEC" w:rsidRPr="00877F5E">
        <w:rPr>
          <w:rFonts w:ascii="Tahoma" w:hAnsi="Tahoma" w:cs="Tahoma"/>
          <w:sz w:val="24"/>
          <w:szCs w:val="24"/>
          <w:lang w:val="en-US"/>
        </w:rPr>
        <w:t>period</w:t>
      </w:r>
      <w:r w:rsidRPr="00877F5E">
        <w:rPr>
          <w:rFonts w:ascii="Tahoma" w:hAnsi="Tahoma" w:cs="Tahoma"/>
          <w:sz w:val="24"/>
          <w:szCs w:val="24"/>
          <w:lang w:val="en-US"/>
        </w:rPr>
        <w:t xml:space="preserve"> of last year, the deficit in </w:t>
      </w:r>
      <w:r w:rsidR="002663F8" w:rsidRPr="00877F5E">
        <w:rPr>
          <w:rFonts w:ascii="Tahoma" w:hAnsi="Tahoma" w:cs="Tahoma"/>
          <w:sz w:val="24"/>
          <w:szCs w:val="24"/>
          <w:lang w:val="en-US"/>
        </w:rPr>
        <w:t>Jan - Feb</w:t>
      </w:r>
      <w:r w:rsidRPr="00877F5E">
        <w:rPr>
          <w:rFonts w:ascii="Tahoma" w:hAnsi="Tahoma" w:cs="Tahoma"/>
          <w:sz w:val="24"/>
          <w:szCs w:val="24"/>
          <w:lang w:val="en-US"/>
        </w:rPr>
        <w:t xml:space="preserve"> 2020 is mainly explained by</w:t>
      </w:r>
      <w:r w:rsidR="001F5850" w:rsidRPr="00877F5E">
        <w:rPr>
          <w:rFonts w:ascii="Tahoma" w:hAnsi="Tahoma" w:cs="Tahoma"/>
          <w:sz w:val="24"/>
          <w:szCs w:val="24"/>
          <w:lang w:val="en-US"/>
        </w:rPr>
        <w:t>: (</w:t>
      </w:r>
      <w:proofErr w:type="spellStart"/>
      <w:r w:rsidR="001F5850" w:rsidRPr="00877F5E">
        <w:rPr>
          <w:rFonts w:ascii="Tahoma" w:hAnsi="Tahoma" w:cs="Tahoma"/>
          <w:sz w:val="24"/>
          <w:szCs w:val="24"/>
          <w:lang w:val="en-US"/>
        </w:rPr>
        <w:t>i</w:t>
      </w:r>
      <w:proofErr w:type="spellEnd"/>
      <w:r w:rsidR="001F5850" w:rsidRPr="00877F5E">
        <w:rPr>
          <w:rFonts w:ascii="Tahoma" w:hAnsi="Tahoma" w:cs="Tahoma"/>
          <w:sz w:val="24"/>
          <w:szCs w:val="24"/>
          <w:lang w:val="en-US"/>
        </w:rPr>
        <w:t>)</w:t>
      </w:r>
      <w:r w:rsidRPr="00877F5E">
        <w:rPr>
          <w:rFonts w:ascii="Tahoma" w:hAnsi="Tahoma" w:cs="Tahoma"/>
          <w:sz w:val="24"/>
          <w:szCs w:val="24"/>
          <w:lang w:val="en-US"/>
        </w:rPr>
        <w:t xml:space="preserve"> </w:t>
      </w:r>
      <w:r w:rsidR="001F5850" w:rsidRPr="00877F5E">
        <w:rPr>
          <w:rFonts w:ascii="Tahoma" w:hAnsi="Tahoma" w:cs="Tahoma"/>
          <w:sz w:val="24"/>
          <w:szCs w:val="24"/>
          <w:lang w:val="en-US"/>
        </w:rPr>
        <w:t>higher</w:t>
      </w:r>
      <w:r w:rsidRPr="00877F5E">
        <w:rPr>
          <w:rFonts w:ascii="Tahoma" w:hAnsi="Tahoma" w:cs="Tahoma"/>
          <w:sz w:val="24"/>
          <w:szCs w:val="24"/>
          <w:lang w:val="en-US"/>
        </w:rPr>
        <w:t xml:space="preserve"> VAT reimbursements</w:t>
      </w:r>
      <w:r w:rsidR="00283621" w:rsidRPr="00877F5E">
        <w:rPr>
          <w:rFonts w:ascii="Tahoma" w:hAnsi="Tahoma" w:cs="Tahoma"/>
          <w:sz w:val="24"/>
          <w:szCs w:val="24"/>
          <w:lang w:val="en-US"/>
        </w:rPr>
        <w:t xml:space="preserve"> by RON 0.73 billion</w:t>
      </w:r>
      <w:r w:rsidRPr="00877F5E">
        <w:rPr>
          <w:rFonts w:ascii="Tahoma" w:hAnsi="Tahoma" w:cs="Tahoma"/>
          <w:sz w:val="24"/>
          <w:szCs w:val="24"/>
          <w:lang w:val="en-US"/>
        </w:rPr>
        <w:t xml:space="preserve"> </w:t>
      </w:r>
      <w:r w:rsidR="00D154A3" w:rsidRPr="00877F5E">
        <w:rPr>
          <w:rFonts w:ascii="Tahoma" w:hAnsi="Tahoma" w:cs="Tahoma"/>
          <w:sz w:val="24"/>
          <w:szCs w:val="24"/>
          <w:lang w:val="en-US"/>
        </w:rPr>
        <w:t xml:space="preserve">- </w:t>
      </w:r>
      <w:r w:rsidR="003943B0" w:rsidRPr="00877F5E">
        <w:rPr>
          <w:rFonts w:ascii="Tahoma" w:hAnsi="Tahoma" w:cs="Tahoma"/>
          <w:sz w:val="24"/>
          <w:szCs w:val="24"/>
          <w:lang w:val="en-US"/>
        </w:rPr>
        <w:t xml:space="preserve">RON </w:t>
      </w:r>
      <w:r w:rsidR="00B06AEC" w:rsidRPr="00877F5E">
        <w:rPr>
          <w:rFonts w:ascii="Tahoma" w:hAnsi="Tahoma" w:cs="Tahoma"/>
          <w:sz w:val="24"/>
          <w:szCs w:val="24"/>
          <w:lang w:val="en-US"/>
        </w:rPr>
        <w:t>3.2</w:t>
      </w:r>
      <w:r w:rsidRPr="00877F5E">
        <w:rPr>
          <w:rFonts w:ascii="Tahoma" w:hAnsi="Tahoma" w:cs="Tahoma"/>
          <w:sz w:val="24"/>
          <w:szCs w:val="24"/>
          <w:lang w:val="en-US"/>
        </w:rPr>
        <w:t>2 billion</w:t>
      </w:r>
      <w:r w:rsidR="001F5850" w:rsidRPr="00877F5E">
        <w:rPr>
          <w:rFonts w:ascii="Tahoma" w:hAnsi="Tahoma" w:cs="Tahoma"/>
          <w:sz w:val="24"/>
          <w:szCs w:val="24"/>
          <w:lang w:val="en-US"/>
        </w:rPr>
        <w:t xml:space="preserve"> in</w:t>
      </w:r>
      <w:r w:rsidRPr="00877F5E">
        <w:rPr>
          <w:rFonts w:ascii="Tahoma" w:hAnsi="Tahoma" w:cs="Tahoma"/>
          <w:sz w:val="24"/>
          <w:szCs w:val="24"/>
          <w:lang w:val="en-US"/>
        </w:rPr>
        <w:t xml:space="preserve"> 2020 compared to</w:t>
      </w:r>
      <w:r w:rsidR="003943B0" w:rsidRPr="00877F5E">
        <w:rPr>
          <w:rFonts w:ascii="Tahoma" w:hAnsi="Tahoma" w:cs="Tahoma"/>
          <w:sz w:val="24"/>
          <w:szCs w:val="24"/>
          <w:lang w:val="en-US"/>
        </w:rPr>
        <w:t xml:space="preserve"> RON</w:t>
      </w:r>
      <w:r w:rsidRPr="00877F5E">
        <w:rPr>
          <w:rFonts w:ascii="Tahoma" w:hAnsi="Tahoma" w:cs="Tahoma"/>
          <w:sz w:val="24"/>
          <w:szCs w:val="24"/>
          <w:lang w:val="en-US"/>
        </w:rPr>
        <w:t xml:space="preserve"> </w:t>
      </w:r>
      <w:r w:rsidR="00B06AEC" w:rsidRPr="00877F5E">
        <w:rPr>
          <w:rFonts w:ascii="Tahoma" w:hAnsi="Tahoma" w:cs="Tahoma"/>
          <w:sz w:val="24"/>
          <w:szCs w:val="24"/>
          <w:lang w:val="en-US"/>
        </w:rPr>
        <w:t xml:space="preserve">2.49 </w:t>
      </w:r>
      <w:r w:rsidRPr="00877F5E">
        <w:rPr>
          <w:rFonts w:ascii="Tahoma" w:hAnsi="Tahoma" w:cs="Tahoma"/>
          <w:sz w:val="24"/>
          <w:szCs w:val="24"/>
          <w:lang w:val="en-US"/>
        </w:rPr>
        <w:t>billion</w:t>
      </w:r>
      <w:r w:rsidR="001F5850" w:rsidRPr="00877F5E">
        <w:rPr>
          <w:rFonts w:ascii="Tahoma" w:hAnsi="Tahoma" w:cs="Tahoma"/>
          <w:sz w:val="24"/>
          <w:szCs w:val="24"/>
          <w:lang w:val="en-US"/>
        </w:rPr>
        <w:t xml:space="preserve"> in</w:t>
      </w:r>
      <w:r w:rsidR="00B06AEC" w:rsidRPr="00877F5E">
        <w:rPr>
          <w:rFonts w:ascii="Tahoma" w:hAnsi="Tahoma" w:cs="Tahoma"/>
          <w:sz w:val="24"/>
          <w:szCs w:val="24"/>
          <w:lang w:val="en-US"/>
        </w:rPr>
        <w:t xml:space="preserve"> 2019</w:t>
      </w:r>
      <w:r w:rsidRPr="00877F5E">
        <w:rPr>
          <w:rFonts w:ascii="Tahoma" w:hAnsi="Tahoma" w:cs="Tahoma"/>
          <w:sz w:val="24"/>
          <w:szCs w:val="24"/>
          <w:lang w:val="en-US"/>
        </w:rPr>
        <w:t xml:space="preserve">, </w:t>
      </w:r>
      <w:r w:rsidR="001F5850" w:rsidRPr="00877F5E">
        <w:rPr>
          <w:rFonts w:ascii="Tahoma" w:hAnsi="Tahoma" w:cs="Tahoma"/>
          <w:sz w:val="24"/>
          <w:szCs w:val="24"/>
          <w:lang w:val="en-US"/>
        </w:rPr>
        <w:t xml:space="preserve">(ii) higher </w:t>
      </w:r>
      <w:r w:rsidRPr="00877F5E">
        <w:rPr>
          <w:rFonts w:ascii="Tahoma" w:hAnsi="Tahoma" w:cs="Tahoma"/>
          <w:sz w:val="24"/>
          <w:szCs w:val="24"/>
          <w:lang w:val="en-US"/>
        </w:rPr>
        <w:t>investment</w:t>
      </w:r>
      <w:r w:rsidR="00283621" w:rsidRPr="00877F5E">
        <w:rPr>
          <w:rFonts w:ascii="Tahoma" w:hAnsi="Tahoma" w:cs="Tahoma"/>
          <w:sz w:val="24"/>
          <w:szCs w:val="24"/>
          <w:lang w:val="en-US"/>
        </w:rPr>
        <w:t xml:space="preserve"> by </w:t>
      </w:r>
      <w:r w:rsidR="00283621" w:rsidRPr="00877F5E">
        <w:rPr>
          <w:rFonts w:ascii="Tahoma" w:hAnsi="Tahoma" w:cs="Tahoma"/>
          <w:sz w:val="24"/>
          <w:szCs w:val="24"/>
          <w:lang w:val="en-US"/>
        </w:rPr>
        <w:sym w:font="Symbol" w:char="F07E"/>
      </w:r>
      <w:r w:rsidR="00283621" w:rsidRPr="00877F5E">
        <w:rPr>
          <w:rFonts w:ascii="Tahoma" w:hAnsi="Tahoma" w:cs="Tahoma"/>
          <w:sz w:val="24"/>
          <w:szCs w:val="24"/>
          <w:lang w:val="en-US"/>
        </w:rPr>
        <w:t>RON 1.63 billion</w:t>
      </w:r>
      <w:r w:rsidR="001F5850" w:rsidRPr="00877F5E">
        <w:rPr>
          <w:rFonts w:ascii="Tahoma" w:hAnsi="Tahoma" w:cs="Tahoma"/>
          <w:sz w:val="24"/>
          <w:szCs w:val="24"/>
          <w:lang w:val="en-US"/>
        </w:rPr>
        <w:t>,</w:t>
      </w:r>
      <w:r w:rsidR="001D5CF0" w:rsidRPr="00877F5E">
        <w:rPr>
          <w:rFonts w:ascii="Tahoma" w:hAnsi="Tahoma" w:cs="Tahoma"/>
          <w:sz w:val="24"/>
          <w:szCs w:val="24"/>
          <w:lang w:val="en-US"/>
        </w:rPr>
        <w:t xml:space="preserve"> and </w:t>
      </w:r>
      <w:r w:rsidR="001F5850" w:rsidRPr="00877F5E">
        <w:rPr>
          <w:rFonts w:ascii="Tahoma" w:hAnsi="Tahoma" w:cs="Tahoma"/>
          <w:sz w:val="24"/>
          <w:szCs w:val="24"/>
          <w:lang w:val="en-US"/>
        </w:rPr>
        <w:t>(iii)</w:t>
      </w:r>
      <w:r w:rsidR="001D5CF0" w:rsidRPr="00877F5E">
        <w:rPr>
          <w:rFonts w:ascii="Tahoma" w:hAnsi="Tahoma" w:cs="Tahoma"/>
          <w:sz w:val="24"/>
          <w:szCs w:val="24"/>
          <w:lang w:val="en-US"/>
        </w:rPr>
        <w:t xml:space="preserve"> </w:t>
      </w:r>
      <w:r w:rsidR="001F5850" w:rsidRPr="00877F5E">
        <w:rPr>
          <w:rFonts w:ascii="Tahoma" w:hAnsi="Tahoma" w:cs="Tahoma"/>
          <w:sz w:val="24"/>
          <w:szCs w:val="24"/>
          <w:lang w:val="en-US"/>
        </w:rPr>
        <w:t xml:space="preserve">RON 1.29 billion </w:t>
      </w:r>
      <w:r w:rsidR="005C344D" w:rsidRPr="00877F5E">
        <w:rPr>
          <w:rFonts w:ascii="Tahoma" w:hAnsi="Tahoma" w:cs="Tahoma"/>
          <w:sz w:val="24"/>
          <w:szCs w:val="24"/>
          <w:lang w:val="en-US"/>
        </w:rPr>
        <w:t xml:space="preserve">payments </w:t>
      </w:r>
      <w:r w:rsidR="001F5850" w:rsidRPr="00877F5E">
        <w:rPr>
          <w:rFonts w:ascii="Tahoma" w:hAnsi="Tahoma" w:cs="Tahoma"/>
          <w:sz w:val="24"/>
          <w:szCs w:val="24"/>
          <w:lang w:val="en-US"/>
        </w:rPr>
        <w:t xml:space="preserve">in advance </w:t>
      </w:r>
      <w:r w:rsidR="005C344D" w:rsidRPr="00877F5E">
        <w:rPr>
          <w:rFonts w:ascii="Tahoma" w:hAnsi="Tahoma" w:cs="Tahoma"/>
          <w:sz w:val="24"/>
          <w:szCs w:val="24"/>
          <w:lang w:val="en-US"/>
        </w:rPr>
        <w:t>for</w:t>
      </w:r>
      <w:r w:rsidR="001D5CF0" w:rsidRPr="00877F5E">
        <w:rPr>
          <w:rFonts w:ascii="Tahoma" w:hAnsi="Tahoma" w:cs="Tahoma"/>
          <w:sz w:val="24"/>
          <w:szCs w:val="24"/>
          <w:lang w:val="en-US"/>
        </w:rPr>
        <w:t xml:space="preserve"> the transitional national aid</w:t>
      </w:r>
      <w:r w:rsidR="005C344D" w:rsidRPr="00877F5E">
        <w:rPr>
          <w:rFonts w:ascii="Tahoma" w:hAnsi="Tahoma" w:cs="Tahoma"/>
          <w:sz w:val="24"/>
          <w:szCs w:val="24"/>
          <w:lang w:val="en-US"/>
        </w:rPr>
        <w:t xml:space="preserve"> in the vegetal and </w:t>
      </w:r>
      <w:proofErr w:type="spellStart"/>
      <w:r w:rsidR="005C344D" w:rsidRPr="00877F5E">
        <w:rPr>
          <w:rFonts w:ascii="Tahoma" w:hAnsi="Tahoma" w:cs="Tahoma"/>
          <w:sz w:val="24"/>
          <w:szCs w:val="24"/>
          <w:lang w:val="en-US"/>
        </w:rPr>
        <w:t>zootechnic</w:t>
      </w:r>
      <w:r w:rsidR="007712FB" w:rsidRPr="00877F5E">
        <w:rPr>
          <w:rFonts w:ascii="Tahoma" w:hAnsi="Tahoma" w:cs="Tahoma"/>
          <w:sz w:val="24"/>
          <w:szCs w:val="24"/>
          <w:lang w:val="en-US"/>
        </w:rPr>
        <w:t>al</w:t>
      </w:r>
      <w:proofErr w:type="spellEnd"/>
      <w:r w:rsidR="001D5CF0" w:rsidRPr="00877F5E">
        <w:rPr>
          <w:rFonts w:ascii="Tahoma" w:hAnsi="Tahoma" w:cs="Tahoma"/>
          <w:sz w:val="24"/>
          <w:szCs w:val="24"/>
          <w:lang w:val="en-US"/>
        </w:rPr>
        <w:t xml:space="preserve"> sector</w:t>
      </w:r>
      <w:r w:rsidR="005C344D" w:rsidRPr="00877F5E">
        <w:rPr>
          <w:rFonts w:ascii="Tahoma" w:hAnsi="Tahoma" w:cs="Tahoma"/>
          <w:sz w:val="24"/>
          <w:szCs w:val="24"/>
          <w:lang w:val="en-US"/>
        </w:rPr>
        <w:t>.</w:t>
      </w:r>
    </w:p>
    <w:p w14:paraId="45E128AB" w14:textId="77777777" w:rsidR="00016F63" w:rsidRPr="00877F5E" w:rsidRDefault="00016F63" w:rsidP="002B3CC9">
      <w:pPr>
        <w:pStyle w:val="ListParagraph"/>
        <w:spacing w:line="360" w:lineRule="auto"/>
        <w:jc w:val="center"/>
        <w:rPr>
          <w:rFonts w:ascii="Tahoma" w:hAnsi="Tahoma" w:cs="Tahoma"/>
          <w:b/>
          <w:color w:val="767171" w:themeColor="background2" w:themeShade="80"/>
          <w:sz w:val="24"/>
          <w:szCs w:val="24"/>
          <w:lang w:val="en-US"/>
        </w:rPr>
      </w:pPr>
    </w:p>
    <w:p w14:paraId="69E2022F" w14:textId="77777777" w:rsidR="00F972DC" w:rsidRPr="00877F5E" w:rsidRDefault="007725A3" w:rsidP="00753827">
      <w:pPr>
        <w:pStyle w:val="ListParagraph"/>
        <w:numPr>
          <w:ilvl w:val="0"/>
          <w:numId w:val="2"/>
        </w:numPr>
        <w:shd w:val="clear" w:color="auto" w:fill="D9D9D9" w:themeFill="background1" w:themeFillShade="D9"/>
        <w:spacing w:after="120" w:line="276" w:lineRule="auto"/>
        <w:ind w:hanging="1080"/>
        <w:jc w:val="both"/>
        <w:rPr>
          <w:rFonts w:ascii="Tahoma" w:hAnsi="Tahoma" w:cs="Tahoma"/>
          <w:b/>
          <w:caps/>
          <w:color w:val="0070C0"/>
          <w:sz w:val="24"/>
          <w:szCs w:val="24"/>
          <w:lang w:val="en-US"/>
        </w:rPr>
      </w:pPr>
      <w:r w:rsidRPr="00877F5E">
        <w:rPr>
          <w:rFonts w:ascii="Tahoma" w:hAnsi="Tahoma" w:cs="Tahoma"/>
          <w:b/>
          <w:caps/>
          <w:color w:val="0070C0"/>
          <w:sz w:val="24"/>
          <w:szCs w:val="24"/>
          <w:lang w:val="en-US"/>
        </w:rPr>
        <w:t>general government revenue</w:t>
      </w:r>
    </w:p>
    <w:p w14:paraId="1E7AABA7" w14:textId="77777777" w:rsidR="000F1E3F" w:rsidRPr="00877F5E" w:rsidRDefault="000F1E3F" w:rsidP="000F1E3F">
      <w:pPr>
        <w:spacing w:after="120" w:line="240" w:lineRule="auto"/>
        <w:rPr>
          <w:rFonts w:ascii="Tahoma" w:hAnsi="Tahoma" w:cs="Tahoma"/>
          <w:b/>
          <w:color w:val="0070C0"/>
          <w:sz w:val="24"/>
          <w:szCs w:val="24"/>
          <w:lang w:val="en-US"/>
        </w:rPr>
      </w:pPr>
    </w:p>
    <w:p w14:paraId="6317F2B1" w14:textId="4DF5FA4B" w:rsidR="009300C7" w:rsidRPr="00877F5E" w:rsidRDefault="007725A3" w:rsidP="00CF1ED7">
      <w:pPr>
        <w:shd w:val="clear" w:color="auto" w:fill="D9D9D9" w:themeFill="background1" w:themeFillShade="D9"/>
        <w:spacing w:after="120" w:line="360" w:lineRule="auto"/>
        <w:jc w:val="both"/>
        <w:rPr>
          <w:rFonts w:ascii="Tahoma" w:hAnsi="Tahoma" w:cs="Tahoma"/>
          <w:sz w:val="24"/>
          <w:szCs w:val="24"/>
          <w:lang w:val="en-US"/>
        </w:rPr>
      </w:pPr>
      <w:r w:rsidRPr="00877F5E">
        <w:rPr>
          <w:rFonts w:ascii="Tahoma" w:hAnsi="Tahoma" w:cs="Tahoma"/>
          <w:sz w:val="24"/>
          <w:szCs w:val="24"/>
          <w:lang w:val="en-US"/>
        </w:rPr>
        <w:t xml:space="preserve">Total revenue amounted to RON </w:t>
      </w:r>
      <w:r w:rsidR="005C344D" w:rsidRPr="00877F5E">
        <w:rPr>
          <w:rFonts w:ascii="Tahoma" w:hAnsi="Tahoma" w:cs="Tahoma"/>
          <w:sz w:val="24"/>
          <w:szCs w:val="24"/>
          <w:lang w:val="en-US"/>
        </w:rPr>
        <w:t xml:space="preserve">51.28 </w:t>
      </w:r>
      <w:r w:rsidRPr="00877F5E">
        <w:rPr>
          <w:rFonts w:ascii="Tahoma" w:hAnsi="Tahoma" w:cs="Tahoma"/>
          <w:sz w:val="24"/>
          <w:szCs w:val="24"/>
          <w:lang w:val="en-US"/>
        </w:rPr>
        <w:t xml:space="preserve">billion in </w:t>
      </w:r>
      <w:r w:rsidR="005C344D" w:rsidRPr="00877F5E">
        <w:rPr>
          <w:rFonts w:ascii="Tahoma" w:hAnsi="Tahoma" w:cs="Tahoma"/>
          <w:sz w:val="24"/>
          <w:szCs w:val="24"/>
          <w:lang w:val="en-US"/>
        </w:rPr>
        <w:t>the first two months of</w:t>
      </w:r>
      <w:r w:rsidRPr="00877F5E">
        <w:rPr>
          <w:rFonts w:ascii="Tahoma" w:hAnsi="Tahoma" w:cs="Tahoma"/>
          <w:sz w:val="24"/>
          <w:szCs w:val="24"/>
          <w:lang w:val="en-US"/>
        </w:rPr>
        <w:t xml:space="preserve"> 2020</w:t>
      </w:r>
      <w:r w:rsidR="009D38C5" w:rsidRPr="00877F5E">
        <w:rPr>
          <w:rFonts w:ascii="Tahoma" w:hAnsi="Tahoma" w:cs="Tahoma"/>
          <w:sz w:val="24"/>
          <w:szCs w:val="24"/>
          <w:lang w:val="en-US"/>
        </w:rPr>
        <w:t xml:space="preserve">, increasing by 9.8% compared to the level recorded in the same period last year. This is mainly due to a significant rise of budget revenues in February (by 13.6% </w:t>
      </w:r>
      <w:proofErr w:type="spellStart"/>
      <w:r w:rsidR="009D38C5" w:rsidRPr="00877F5E">
        <w:rPr>
          <w:rFonts w:ascii="Tahoma" w:hAnsi="Tahoma" w:cs="Tahoma"/>
          <w:sz w:val="24"/>
          <w:szCs w:val="24"/>
          <w:lang w:val="en-US"/>
        </w:rPr>
        <w:t>yoy</w:t>
      </w:r>
      <w:proofErr w:type="spellEnd"/>
      <w:r w:rsidR="009D38C5" w:rsidRPr="00877F5E">
        <w:rPr>
          <w:rFonts w:ascii="Tahoma" w:hAnsi="Tahoma" w:cs="Tahoma"/>
          <w:sz w:val="24"/>
          <w:szCs w:val="24"/>
          <w:lang w:val="en-US"/>
        </w:rPr>
        <w:t>). In terms of revenue`s structure, the most important categories - the tax on wages, VAT, excise duties on energy products, social insurance contributions - registered a significant acceleration in February.</w:t>
      </w:r>
    </w:p>
    <w:p w14:paraId="28C66604" w14:textId="77777777" w:rsidR="008154B0" w:rsidRPr="00877F5E" w:rsidRDefault="007725A3" w:rsidP="00CF1ED7">
      <w:pPr>
        <w:shd w:val="clear" w:color="auto" w:fill="D9D9D9" w:themeFill="background1" w:themeFillShade="D9"/>
        <w:spacing w:after="120" w:line="360" w:lineRule="auto"/>
        <w:jc w:val="both"/>
        <w:rPr>
          <w:rFonts w:ascii="Tahoma" w:hAnsi="Tahoma" w:cs="Tahoma"/>
          <w:sz w:val="24"/>
          <w:szCs w:val="24"/>
          <w:lang w:val="en-US"/>
        </w:rPr>
      </w:pPr>
      <w:r w:rsidRPr="00877F5E">
        <w:rPr>
          <w:rFonts w:ascii="Tahoma" w:hAnsi="Tahoma" w:cs="Tahoma"/>
          <w:sz w:val="24"/>
          <w:szCs w:val="24"/>
          <w:lang w:val="en-US"/>
        </w:rPr>
        <w:t>As a share of GDP</w:t>
      </w:r>
      <w:r w:rsidR="00744E04" w:rsidRPr="00877F5E">
        <w:rPr>
          <w:rFonts w:ascii="Tahoma" w:hAnsi="Tahoma" w:cs="Tahoma"/>
          <w:sz w:val="24"/>
          <w:szCs w:val="24"/>
          <w:lang w:val="en-US"/>
        </w:rPr>
        <w:t xml:space="preserve">, </w:t>
      </w:r>
      <w:r w:rsidRPr="00877F5E">
        <w:rPr>
          <w:rFonts w:ascii="Tahoma" w:hAnsi="Tahoma" w:cs="Tahoma"/>
          <w:sz w:val="24"/>
          <w:szCs w:val="24"/>
          <w:lang w:val="en-US"/>
        </w:rPr>
        <w:t>the budget revenue</w:t>
      </w:r>
      <w:r w:rsidR="00D36C0A" w:rsidRPr="00877F5E">
        <w:rPr>
          <w:rFonts w:ascii="Tahoma" w:hAnsi="Tahoma" w:cs="Tahoma"/>
          <w:sz w:val="24"/>
          <w:szCs w:val="24"/>
          <w:lang w:val="en-US"/>
        </w:rPr>
        <w:t>s</w:t>
      </w:r>
      <w:r w:rsidRPr="00877F5E">
        <w:rPr>
          <w:rFonts w:ascii="Tahoma" w:hAnsi="Tahoma" w:cs="Tahoma"/>
          <w:sz w:val="24"/>
          <w:szCs w:val="24"/>
          <w:lang w:val="en-US"/>
        </w:rPr>
        <w:t xml:space="preserve"> </w:t>
      </w:r>
      <w:r w:rsidR="00F56574" w:rsidRPr="00877F5E">
        <w:rPr>
          <w:rFonts w:ascii="Tahoma" w:hAnsi="Tahoma" w:cs="Tahoma"/>
          <w:sz w:val="24"/>
          <w:szCs w:val="24"/>
          <w:lang w:val="en-US"/>
        </w:rPr>
        <w:t>recorded</w:t>
      </w:r>
      <w:r w:rsidR="00D36C0A" w:rsidRPr="00877F5E">
        <w:rPr>
          <w:rFonts w:ascii="Tahoma" w:hAnsi="Tahoma" w:cs="Tahoma"/>
          <w:sz w:val="24"/>
          <w:szCs w:val="24"/>
          <w:lang w:val="en-US"/>
        </w:rPr>
        <w:t xml:space="preserve"> only a marginal increase (0.1 pp).</w:t>
      </w:r>
    </w:p>
    <w:p w14:paraId="5E4468A4" w14:textId="77777777" w:rsidR="000D2B64" w:rsidRPr="00877F5E" w:rsidRDefault="000D2B64" w:rsidP="00CF1ED7">
      <w:pPr>
        <w:spacing w:after="120" w:line="360" w:lineRule="auto"/>
        <w:jc w:val="both"/>
        <w:rPr>
          <w:rFonts w:ascii="Tahoma" w:hAnsi="Tahoma" w:cs="Tahoma"/>
          <w:sz w:val="24"/>
          <w:szCs w:val="24"/>
          <w:lang w:val="en-US"/>
        </w:rPr>
      </w:pPr>
    </w:p>
    <w:p w14:paraId="016F3678" w14:textId="77777777" w:rsidR="00441E9D" w:rsidRPr="00877F5E" w:rsidRDefault="00CE699A" w:rsidP="00CF1ED7">
      <w:pPr>
        <w:spacing w:after="120" w:line="360" w:lineRule="auto"/>
        <w:jc w:val="both"/>
        <w:rPr>
          <w:rFonts w:ascii="Tahoma" w:hAnsi="Tahoma" w:cs="Tahoma"/>
          <w:sz w:val="24"/>
          <w:szCs w:val="24"/>
          <w:lang w:val="en-US"/>
        </w:rPr>
      </w:pPr>
      <w:r w:rsidRPr="00877F5E">
        <w:rPr>
          <w:rFonts w:ascii="Tahoma" w:hAnsi="Tahoma" w:cs="Tahoma"/>
          <w:b/>
          <w:i/>
          <w:sz w:val="24"/>
          <w:szCs w:val="24"/>
          <w:lang w:val="en-US"/>
        </w:rPr>
        <w:t>Personal</w:t>
      </w:r>
      <w:r w:rsidRPr="00877F5E">
        <w:rPr>
          <w:rFonts w:ascii="Tahoma" w:hAnsi="Tahoma" w:cs="Tahoma"/>
          <w:sz w:val="24"/>
          <w:szCs w:val="24"/>
          <w:lang w:val="en-US"/>
        </w:rPr>
        <w:t xml:space="preserve"> </w:t>
      </w:r>
      <w:r w:rsidRPr="00877F5E">
        <w:rPr>
          <w:rFonts w:ascii="Tahoma" w:hAnsi="Tahoma" w:cs="Tahoma"/>
          <w:b/>
          <w:i/>
          <w:sz w:val="24"/>
          <w:szCs w:val="24"/>
          <w:lang w:val="en-US"/>
        </w:rPr>
        <w:t>income tax</w:t>
      </w:r>
      <w:r w:rsidRPr="00877F5E">
        <w:rPr>
          <w:rFonts w:ascii="Tahoma" w:hAnsi="Tahoma" w:cs="Tahoma"/>
          <w:sz w:val="24"/>
          <w:szCs w:val="24"/>
          <w:lang w:val="en-US"/>
        </w:rPr>
        <w:t xml:space="preserve"> receipts </w:t>
      </w:r>
      <w:r w:rsidR="00A52D05" w:rsidRPr="00877F5E">
        <w:rPr>
          <w:rFonts w:ascii="Tahoma" w:hAnsi="Tahoma" w:cs="Tahoma"/>
          <w:sz w:val="24"/>
          <w:szCs w:val="24"/>
          <w:lang w:val="en-US"/>
        </w:rPr>
        <w:t>amounted to</w:t>
      </w:r>
      <w:r w:rsidRPr="00877F5E">
        <w:rPr>
          <w:rFonts w:ascii="Tahoma" w:hAnsi="Tahoma" w:cs="Tahoma"/>
          <w:sz w:val="24"/>
          <w:szCs w:val="24"/>
          <w:lang w:val="en-US"/>
        </w:rPr>
        <w:t xml:space="preserve"> RON </w:t>
      </w:r>
      <w:r w:rsidR="00EC6C13" w:rsidRPr="00877F5E">
        <w:rPr>
          <w:rFonts w:ascii="Tahoma" w:hAnsi="Tahoma" w:cs="Tahoma"/>
          <w:sz w:val="24"/>
          <w:szCs w:val="24"/>
          <w:lang w:val="en-US"/>
        </w:rPr>
        <w:t xml:space="preserve">4.24 </w:t>
      </w:r>
      <w:r w:rsidR="00F56574" w:rsidRPr="00877F5E">
        <w:rPr>
          <w:rFonts w:ascii="Tahoma" w:hAnsi="Tahoma" w:cs="Tahoma"/>
          <w:sz w:val="24"/>
          <w:szCs w:val="24"/>
          <w:lang w:val="en-US"/>
        </w:rPr>
        <w:t xml:space="preserve">billion in </w:t>
      </w:r>
      <w:r w:rsidR="00EC6C13" w:rsidRPr="00877F5E">
        <w:rPr>
          <w:rFonts w:ascii="Tahoma" w:hAnsi="Tahoma" w:cs="Tahoma"/>
          <w:sz w:val="24"/>
          <w:szCs w:val="24"/>
          <w:lang w:val="en-US"/>
        </w:rPr>
        <w:t>the first two months of</w:t>
      </w:r>
      <w:r w:rsidR="00F56574" w:rsidRPr="00877F5E">
        <w:rPr>
          <w:rFonts w:ascii="Tahoma" w:hAnsi="Tahoma" w:cs="Tahoma"/>
          <w:sz w:val="24"/>
          <w:szCs w:val="24"/>
          <w:lang w:val="en-US"/>
        </w:rPr>
        <w:t xml:space="preserve"> 2020 and grew by </w:t>
      </w:r>
      <w:r w:rsidR="00EC6C13" w:rsidRPr="00877F5E">
        <w:rPr>
          <w:rFonts w:ascii="Tahoma" w:hAnsi="Tahoma" w:cs="Tahoma"/>
          <w:sz w:val="24"/>
          <w:szCs w:val="24"/>
          <w:lang w:val="en-US"/>
        </w:rPr>
        <w:t xml:space="preserve">16.2% </w:t>
      </w:r>
      <w:r w:rsidRPr="00877F5E">
        <w:rPr>
          <w:rFonts w:ascii="Tahoma" w:hAnsi="Tahoma" w:cs="Tahoma"/>
          <w:sz w:val="24"/>
          <w:szCs w:val="24"/>
          <w:lang w:val="en-US"/>
        </w:rPr>
        <w:t>(</w:t>
      </w:r>
      <w:proofErr w:type="spellStart"/>
      <w:r w:rsidRPr="00877F5E">
        <w:rPr>
          <w:rFonts w:ascii="Tahoma" w:hAnsi="Tahoma" w:cs="Tahoma"/>
          <w:sz w:val="24"/>
          <w:szCs w:val="24"/>
          <w:lang w:val="en-US"/>
        </w:rPr>
        <w:t>yoy</w:t>
      </w:r>
      <w:proofErr w:type="spellEnd"/>
      <w:r w:rsidRPr="00877F5E">
        <w:rPr>
          <w:rFonts w:ascii="Tahoma" w:hAnsi="Tahoma" w:cs="Tahoma"/>
          <w:sz w:val="24"/>
          <w:szCs w:val="24"/>
          <w:lang w:val="en-US"/>
        </w:rPr>
        <w:t>)</w:t>
      </w:r>
      <w:r w:rsidR="008F6106" w:rsidRPr="00877F5E">
        <w:rPr>
          <w:rFonts w:ascii="Tahoma" w:hAnsi="Tahoma" w:cs="Tahoma"/>
          <w:sz w:val="24"/>
          <w:szCs w:val="24"/>
          <w:lang w:val="en-US"/>
        </w:rPr>
        <w:t>.</w:t>
      </w:r>
      <w:r w:rsidR="004E13C1" w:rsidRPr="00877F5E">
        <w:rPr>
          <w:rFonts w:ascii="Tahoma" w:hAnsi="Tahoma" w:cs="Tahoma"/>
          <w:sz w:val="24"/>
          <w:szCs w:val="24"/>
          <w:lang w:val="en-US"/>
        </w:rPr>
        <w:t xml:space="preserve"> </w:t>
      </w:r>
    </w:p>
    <w:p w14:paraId="228959BC" w14:textId="0FE81889" w:rsidR="007D5AEB" w:rsidRPr="00877F5E" w:rsidRDefault="002663F8" w:rsidP="007D5AEB">
      <w:pPr>
        <w:spacing w:after="120" w:line="360" w:lineRule="auto"/>
        <w:jc w:val="both"/>
        <w:rPr>
          <w:rFonts w:ascii="Tahoma" w:hAnsi="Tahoma" w:cs="Tahoma"/>
          <w:sz w:val="24"/>
          <w:szCs w:val="24"/>
          <w:lang w:val="en-US"/>
        </w:rPr>
      </w:pPr>
      <w:r w:rsidRPr="00877F5E">
        <w:rPr>
          <w:rFonts w:ascii="Tahoma" w:hAnsi="Tahoma" w:cs="Tahoma"/>
          <w:sz w:val="24"/>
          <w:szCs w:val="24"/>
          <w:lang w:val="en-US"/>
        </w:rPr>
        <w:t>T</w:t>
      </w:r>
      <w:r w:rsidR="002D3F77" w:rsidRPr="00877F5E">
        <w:rPr>
          <w:rFonts w:ascii="Tahoma" w:hAnsi="Tahoma" w:cs="Tahoma"/>
          <w:sz w:val="24"/>
          <w:szCs w:val="24"/>
          <w:lang w:val="en-US"/>
        </w:rPr>
        <w:t xml:space="preserve">he pace of the </w:t>
      </w:r>
      <w:proofErr w:type="spellStart"/>
      <w:r w:rsidR="002D3F77" w:rsidRPr="00877F5E">
        <w:rPr>
          <w:rFonts w:ascii="Tahoma" w:hAnsi="Tahoma" w:cs="Tahoma"/>
          <w:sz w:val="24"/>
          <w:szCs w:val="24"/>
          <w:lang w:val="en-US"/>
        </w:rPr>
        <w:t>labour</w:t>
      </w:r>
      <w:proofErr w:type="spellEnd"/>
      <w:r w:rsidR="002D3F77" w:rsidRPr="00877F5E">
        <w:rPr>
          <w:rFonts w:ascii="Tahoma" w:hAnsi="Tahoma" w:cs="Tahoma"/>
          <w:sz w:val="24"/>
          <w:szCs w:val="24"/>
          <w:lang w:val="en-US"/>
        </w:rPr>
        <w:t xml:space="preserve"> income tax receipts in the first two months </w:t>
      </w:r>
      <w:r w:rsidR="00C4474B" w:rsidRPr="00877F5E">
        <w:rPr>
          <w:rFonts w:ascii="Tahoma" w:hAnsi="Tahoma" w:cs="Tahoma"/>
          <w:sz w:val="24"/>
          <w:szCs w:val="24"/>
          <w:lang w:val="en-US"/>
        </w:rPr>
        <w:t>(10.1</w:t>
      </w:r>
      <w:r w:rsidR="002D3F77" w:rsidRPr="00877F5E">
        <w:rPr>
          <w:rFonts w:ascii="Tahoma" w:hAnsi="Tahoma" w:cs="Tahoma"/>
          <w:sz w:val="24"/>
          <w:szCs w:val="24"/>
          <w:lang w:val="en-US"/>
        </w:rPr>
        <w:t>%</w:t>
      </w:r>
      <w:r w:rsidR="00C4474B" w:rsidRPr="00877F5E">
        <w:rPr>
          <w:rFonts w:ascii="Tahoma" w:hAnsi="Tahoma" w:cs="Tahoma"/>
          <w:sz w:val="24"/>
          <w:szCs w:val="24"/>
          <w:lang w:val="en-US"/>
        </w:rPr>
        <w:t xml:space="preserve"> </w:t>
      </w:r>
      <w:proofErr w:type="spellStart"/>
      <w:r w:rsidR="002D3F77" w:rsidRPr="00877F5E">
        <w:rPr>
          <w:rFonts w:ascii="Tahoma" w:hAnsi="Tahoma" w:cs="Tahoma"/>
          <w:sz w:val="24"/>
          <w:szCs w:val="24"/>
          <w:lang w:val="en-US"/>
        </w:rPr>
        <w:t>yoy</w:t>
      </w:r>
      <w:proofErr w:type="spellEnd"/>
      <w:r w:rsidR="002D3F77" w:rsidRPr="00877F5E">
        <w:rPr>
          <w:rFonts w:ascii="Tahoma" w:hAnsi="Tahoma" w:cs="Tahoma"/>
          <w:sz w:val="24"/>
          <w:szCs w:val="24"/>
          <w:lang w:val="en-US"/>
        </w:rPr>
        <w:t xml:space="preserve">) </w:t>
      </w:r>
      <w:r w:rsidRPr="00877F5E">
        <w:rPr>
          <w:rFonts w:ascii="Tahoma" w:hAnsi="Tahoma" w:cs="Tahoma"/>
          <w:sz w:val="24"/>
          <w:szCs w:val="24"/>
          <w:lang w:val="en-US"/>
        </w:rPr>
        <w:t xml:space="preserve">mainly </w:t>
      </w:r>
      <w:r w:rsidR="002D3F77" w:rsidRPr="00877F5E">
        <w:rPr>
          <w:rFonts w:ascii="Tahoma" w:hAnsi="Tahoma" w:cs="Tahoma"/>
          <w:sz w:val="24"/>
          <w:szCs w:val="24"/>
          <w:lang w:val="en-US"/>
        </w:rPr>
        <w:t xml:space="preserve">reflects the </w:t>
      </w:r>
      <w:r w:rsidR="00C4474B" w:rsidRPr="00877F5E">
        <w:rPr>
          <w:rFonts w:ascii="Tahoma" w:hAnsi="Tahoma" w:cs="Tahoma"/>
          <w:sz w:val="24"/>
          <w:szCs w:val="24"/>
          <w:lang w:val="en-US"/>
        </w:rPr>
        <w:t>dynamics</w:t>
      </w:r>
      <w:r w:rsidR="002D3F77" w:rsidRPr="00877F5E">
        <w:rPr>
          <w:rFonts w:ascii="Tahoma" w:hAnsi="Tahoma" w:cs="Tahoma"/>
          <w:sz w:val="24"/>
          <w:szCs w:val="24"/>
          <w:lang w:val="en-US"/>
        </w:rPr>
        <w:t xml:space="preserve"> of </w:t>
      </w:r>
      <w:r w:rsidR="00441E9D" w:rsidRPr="00877F5E">
        <w:rPr>
          <w:rFonts w:ascii="Tahoma" w:hAnsi="Tahoma" w:cs="Tahoma"/>
          <w:sz w:val="24"/>
          <w:szCs w:val="24"/>
          <w:lang w:val="en-US"/>
        </w:rPr>
        <w:t xml:space="preserve">the </w:t>
      </w:r>
      <w:r w:rsidRPr="00877F5E">
        <w:rPr>
          <w:rFonts w:ascii="Tahoma" w:hAnsi="Tahoma" w:cs="Tahoma"/>
          <w:sz w:val="24"/>
          <w:szCs w:val="24"/>
          <w:lang w:val="en-US"/>
        </w:rPr>
        <w:t>wage bill</w:t>
      </w:r>
      <w:r w:rsidR="000C0B9C" w:rsidRPr="00877F5E">
        <w:rPr>
          <w:rFonts w:ascii="Tahoma" w:hAnsi="Tahoma" w:cs="Tahoma"/>
          <w:sz w:val="24"/>
          <w:szCs w:val="24"/>
          <w:lang w:val="en-US"/>
        </w:rPr>
        <w:t xml:space="preserve"> in t</w:t>
      </w:r>
      <w:r w:rsidR="00441E9D" w:rsidRPr="00877F5E">
        <w:rPr>
          <w:rFonts w:ascii="Tahoma" w:hAnsi="Tahoma" w:cs="Tahoma"/>
          <w:sz w:val="24"/>
          <w:szCs w:val="24"/>
          <w:lang w:val="en-US"/>
        </w:rPr>
        <w:t>he economy</w:t>
      </w:r>
      <w:r w:rsidR="002D3F77" w:rsidRPr="00877F5E">
        <w:rPr>
          <w:rFonts w:ascii="Tahoma" w:hAnsi="Tahoma" w:cs="Tahoma"/>
          <w:sz w:val="24"/>
          <w:szCs w:val="24"/>
          <w:lang w:val="en-US"/>
        </w:rPr>
        <w:t xml:space="preserve"> in Dec 19 – Jan</w:t>
      </w:r>
      <w:r w:rsidR="000E1751" w:rsidRPr="00877F5E">
        <w:rPr>
          <w:rFonts w:ascii="Tahoma" w:hAnsi="Tahoma" w:cs="Tahoma"/>
          <w:sz w:val="24"/>
          <w:szCs w:val="24"/>
          <w:lang w:val="en-US"/>
        </w:rPr>
        <w:t xml:space="preserve"> </w:t>
      </w:r>
      <w:r w:rsidR="002D3F77" w:rsidRPr="00877F5E">
        <w:rPr>
          <w:rFonts w:ascii="Tahoma" w:hAnsi="Tahoma" w:cs="Tahoma"/>
          <w:sz w:val="24"/>
          <w:szCs w:val="24"/>
          <w:lang w:val="en-US"/>
        </w:rPr>
        <w:t>20 (</w:t>
      </w:r>
      <w:r w:rsidR="007315D0" w:rsidRPr="00877F5E">
        <w:rPr>
          <w:rFonts w:ascii="Tahoma" w:hAnsi="Tahoma" w:cs="Tahoma"/>
          <w:sz w:val="24"/>
          <w:szCs w:val="24"/>
          <w:lang w:val="en-US"/>
        </w:rPr>
        <w:t>10.2%</w:t>
      </w:r>
      <w:r w:rsidR="000C0B9C" w:rsidRPr="00877F5E">
        <w:rPr>
          <w:rFonts w:ascii="Tahoma" w:hAnsi="Tahoma" w:cs="Tahoma"/>
          <w:sz w:val="24"/>
          <w:szCs w:val="24"/>
          <w:lang w:val="en-US"/>
        </w:rPr>
        <w:t>,</w:t>
      </w:r>
      <w:r w:rsidR="007315D0" w:rsidRPr="00877F5E">
        <w:rPr>
          <w:rFonts w:ascii="Tahoma" w:hAnsi="Tahoma" w:cs="Tahoma"/>
          <w:sz w:val="24"/>
          <w:szCs w:val="24"/>
          <w:lang w:val="en-US"/>
        </w:rPr>
        <w:t xml:space="preserve"> </w:t>
      </w:r>
      <w:r w:rsidR="00011225" w:rsidRPr="00877F5E">
        <w:rPr>
          <w:rFonts w:ascii="Tahoma" w:hAnsi="Tahoma" w:cs="Tahoma"/>
          <w:sz w:val="24"/>
          <w:szCs w:val="24"/>
          <w:lang w:val="en-US"/>
        </w:rPr>
        <w:t xml:space="preserve">reflecting </w:t>
      </w:r>
      <w:proofErr w:type="gramStart"/>
      <w:r w:rsidR="00011225" w:rsidRPr="00877F5E">
        <w:rPr>
          <w:rFonts w:ascii="Tahoma" w:hAnsi="Tahoma" w:cs="Tahoma"/>
          <w:sz w:val="24"/>
          <w:szCs w:val="24"/>
          <w:lang w:val="en-US"/>
        </w:rPr>
        <w:t>a  9.3</w:t>
      </w:r>
      <w:proofErr w:type="gramEnd"/>
      <w:r w:rsidR="00011225" w:rsidRPr="00877F5E">
        <w:rPr>
          <w:rFonts w:ascii="Tahoma" w:hAnsi="Tahoma" w:cs="Tahoma"/>
          <w:sz w:val="24"/>
          <w:szCs w:val="24"/>
          <w:lang w:val="en-US"/>
        </w:rPr>
        <w:t xml:space="preserve">% </w:t>
      </w:r>
      <w:r w:rsidR="00C4474B" w:rsidRPr="00877F5E">
        <w:rPr>
          <w:rFonts w:ascii="Tahoma" w:hAnsi="Tahoma" w:cs="Tahoma"/>
          <w:sz w:val="24"/>
          <w:szCs w:val="24"/>
          <w:lang w:val="en-US"/>
        </w:rPr>
        <w:t>growth of average gross earnings</w:t>
      </w:r>
      <w:r w:rsidR="00441E9D" w:rsidRPr="00877F5E">
        <w:rPr>
          <w:rFonts w:ascii="Tahoma" w:hAnsi="Tahoma" w:cs="Tahoma"/>
          <w:sz w:val="24"/>
          <w:szCs w:val="24"/>
          <w:lang w:val="en-US"/>
        </w:rPr>
        <w:t xml:space="preserve"> </w:t>
      </w:r>
      <w:r w:rsidR="002D3F77" w:rsidRPr="00877F5E">
        <w:rPr>
          <w:rFonts w:ascii="Tahoma" w:hAnsi="Tahoma" w:cs="Tahoma"/>
          <w:sz w:val="24"/>
          <w:szCs w:val="24"/>
          <w:lang w:val="en-US"/>
        </w:rPr>
        <w:t xml:space="preserve">and </w:t>
      </w:r>
      <w:r w:rsidR="00441E9D" w:rsidRPr="00877F5E">
        <w:rPr>
          <w:rFonts w:ascii="Tahoma" w:hAnsi="Tahoma" w:cs="Tahoma"/>
          <w:sz w:val="24"/>
          <w:szCs w:val="24"/>
          <w:lang w:val="en-US"/>
        </w:rPr>
        <w:t>a 0.9%</w:t>
      </w:r>
      <w:r w:rsidR="000E1751" w:rsidRPr="00877F5E">
        <w:rPr>
          <w:rFonts w:ascii="Tahoma" w:hAnsi="Tahoma" w:cs="Tahoma"/>
          <w:sz w:val="24"/>
          <w:szCs w:val="24"/>
          <w:lang w:val="en-US"/>
        </w:rPr>
        <w:t xml:space="preserve"> rise</w:t>
      </w:r>
      <w:r w:rsidR="00441E9D" w:rsidRPr="00877F5E">
        <w:rPr>
          <w:rFonts w:ascii="Tahoma" w:hAnsi="Tahoma" w:cs="Tahoma"/>
          <w:sz w:val="24"/>
          <w:szCs w:val="24"/>
          <w:lang w:val="en-US"/>
        </w:rPr>
        <w:t xml:space="preserve"> in </w:t>
      </w:r>
      <w:r w:rsidR="002D3F77" w:rsidRPr="00877F5E">
        <w:rPr>
          <w:rFonts w:ascii="Tahoma" w:hAnsi="Tahoma" w:cs="Tahoma"/>
          <w:sz w:val="24"/>
          <w:szCs w:val="24"/>
          <w:lang w:val="en-US"/>
        </w:rPr>
        <w:t>employment</w:t>
      </w:r>
      <w:r w:rsidR="00441E9D" w:rsidRPr="00877F5E">
        <w:rPr>
          <w:rFonts w:ascii="Tahoma" w:hAnsi="Tahoma" w:cs="Tahoma"/>
          <w:sz w:val="24"/>
          <w:szCs w:val="24"/>
          <w:lang w:val="en-US"/>
        </w:rPr>
        <w:t xml:space="preserve">). </w:t>
      </w:r>
      <w:r w:rsidR="002D3F77" w:rsidRPr="00877F5E">
        <w:rPr>
          <w:rFonts w:ascii="Tahoma" w:hAnsi="Tahoma" w:cs="Tahoma"/>
          <w:sz w:val="24"/>
          <w:szCs w:val="24"/>
          <w:lang w:val="en-US"/>
        </w:rPr>
        <w:t xml:space="preserve">At the same time, </w:t>
      </w:r>
      <w:r w:rsidR="005F26B2" w:rsidRPr="00877F5E">
        <w:rPr>
          <w:rFonts w:ascii="Tahoma" w:hAnsi="Tahoma" w:cs="Tahoma"/>
          <w:sz w:val="24"/>
          <w:szCs w:val="24"/>
          <w:lang w:val="en-US"/>
        </w:rPr>
        <w:t xml:space="preserve">one </w:t>
      </w:r>
      <w:r w:rsidR="002D3F77" w:rsidRPr="00877F5E">
        <w:rPr>
          <w:rFonts w:ascii="Tahoma" w:hAnsi="Tahoma" w:cs="Tahoma"/>
          <w:sz w:val="24"/>
          <w:szCs w:val="24"/>
          <w:lang w:val="en-US"/>
        </w:rPr>
        <w:t>note</w:t>
      </w:r>
      <w:r w:rsidRPr="00877F5E">
        <w:rPr>
          <w:rFonts w:ascii="Tahoma" w:hAnsi="Tahoma" w:cs="Tahoma"/>
          <w:sz w:val="24"/>
          <w:szCs w:val="24"/>
          <w:lang w:val="en-US"/>
        </w:rPr>
        <w:t>s</w:t>
      </w:r>
      <w:r w:rsidR="002D3F77" w:rsidRPr="00877F5E">
        <w:rPr>
          <w:rFonts w:ascii="Tahoma" w:hAnsi="Tahoma" w:cs="Tahoma"/>
          <w:sz w:val="24"/>
          <w:szCs w:val="24"/>
          <w:lang w:val="en-US"/>
        </w:rPr>
        <w:t xml:space="preserve"> an acceleration of the monthly </w:t>
      </w:r>
      <w:proofErr w:type="spellStart"/>
      <w:r w:rsidR="00441E9D" w:rsidRPr="00877F5E">
        <w:rPr>
          <w:rFonts w:ascii="Tahoma" w:hAnsi="Tahoma" w:cs="Tahoma"/>
          <w:sz w:val="24"/>
          <w:szCs w:val="24"/>
          <w:lang w:val="en-US"/>
        </w:rPr>
        <w:t>labour</w:t>
      </w:r>
      <w:proofErr w:type="spellEnd"/>
      <w:r w:rsidR="00441E9D" w:rsidRPr="00877F5E">
        <w:rPr>
          <w:rFonts w:ascii="Tahoma" w:hAnsi="Tahoma" w:cs="Tahoma"/>
          <w:sz w:val="24"/>
          <w:szCs w:val="24"/>
          <w:lang w:val="en-US"/>
        </w:rPr>
        <w:t xml:space="preserve"> income tax receipts</w:t>
      </w:r>
      <w:r w:rsidR="002D3F77" w:rsidRPr="00877F5E">
        <w:rPr>
          <w:rFonts w:ascii="Tahoma" w:hAnsi="Tahoma" w:cs="Tahoma"/>
          <w:sz w:val="24"/>
          <w:szCs w:val="24"/>
          <w:lang w:val="en-US"/>
        </w:rPr>
        <w:t xml:space="preserve">, from 5% </w:t>
      </w:r>
      <w:r w:rsidR="007D5AEB" w:rsidRPr="00877F5E">
        <w:rPr>
          <w:rFonts w:ascii="Tahoma" w:hAnsi="Tahoma" w:cs="Tahoma"/>
          <w:sz w:val="24"/>
          <w:szCs w:val="24"/>
          <w:lang w:val="en-US"/>
        </w:rPr>
        <w:t xml:space="preserve">at the end of last year, to 8% and respectively </w:t>
      </w:r>
      <w:r w:rsidR="002D3F77" w:rsidRPr="00877F5E">
        <w:rPr>
          <w:rFonts w:ascii="Tahoma" w:hAnsi="Tahoma" w:cs="Tahoma"/>
          <w:sz w:val="24"/>
          <w:szCs w:val="24"/>
          <w:lang w:val="en-US"/>
        </w:rPr>
        <w:t>13%</w:t>
      </w:r>
      <w:r w:rsidR="007D5AEB" w:rsidRPr="00877F5E">
        <w:rPr>
          <w:rFonts w:ascii="Tahoma" w:hAnsi="Tahoma" w:cs="Tahoma"/>
          <w:sz w:val="24"/>
          <w:szCs w:val="24"/>
          <w:lang w:val="en-US"/>
        </w:rPr>
        <w:t xml:space="preserve"> </w:t>
      </w:r>
      <w:r w:rsidR="002D3F77" w:rsidRPr="00877F5E">
        <w:rPr>
          <w:rFonts w:ascii="Tahoma" w:hAnsi="Tahoma" w:cs="Tahoma"/>
          <w:sz w:val="24"/>
          <w:szCs w:val="24"/>
          <w:lang w:val="en-US"/>
        </w:rPr>
        <w:t>in the first two months</w:t>
      </w:r>
      <w:r w:rsidR="00441E9D" w:rsidRPr="00877F5E">
        <w:rPr>
          <w:rFonts w:ascii="Tahoma" w:hAnsi="Tahoma" w:cs="Tahoma"/>
          <w:sz w:val="24"/>
          <w:szCs w:val="24"/>
          <w:lang w:val="en-US"/>
        </w:rPr>
        <w:t xml:space="preserve"> of 2020</w:t>
      </w:r>
      <w:r w:rsidR="002D3F77" w:rsidRPr="00877F5E">
        <w:rPr>
          <w:rFonts w:ascii="Tahoma" w:hAnsi="Tahoma" w:cs="Tahoma"/>
          <w:sz w:val="24"/>
          <w:szCs w:val="24"/>
          <w:lang w:val="en-US"/>
        </w:rPr>
        <w:t xml:space="preserve">, although the </w:t>
      </w:r>
      <w:r w:rsidR="00441E9D" w:rsidRPr="00877F5E">
        <w:rPr>
          <w:rFonts w:ascii="Tahoma" w:hAnsi="Tahoma" w:cs="Tahoma"/>
          <w:sz w:val="24"/>
          <w:szCs w:val="24"/>
          <w:lang w:val="en-US"/>
        </w:rPr>
        <w:t>growth rate of the</w:t>
      </w:r>
      <w:r w:rsidR="002D3F77" w:rsidRPr="00877F5E">
        <w:rPr>
          <w:rFonts w:ascii="Tahoma" w:hAnsi="Tahoma" w:cs="Tahoma"/>
          <w:sz w:val="24"/>
          <w:szCs w:val="24"/>
          <w:lang w:val="en-US"/>
        </w:rPr>
        <w:t xml:space="preserve"> </w:t>
      </w:r>
      <w:r w:rsidR="00441E9D" w:rsidRPr="00877F5E">
        <w:rPr>
          <w:rFonts w:ascii="Tahoma" w:hAnsi="Tahoma" w:cs="Tahoma"/>
          <w:sz w:val="24"/>
          <w:szCs w:val="24"/>
          <w:lang w:val="en-US"/>
        </w:rPr>
        <w:t xml:space="preserve">average gross earnings </w:t>
      </w:r>
      <w:r w:rsidR="002D3F77" w:rsidRPr="00877F5E">
        <w:rPr>
          <w:rFonts w:ascii="Tahoma" w:hAnsi="Tahoma" w:cs="Tahoma"/>
          <w:sz w:val="24"/>
          <w:szCs w:val="24"/>
          <w:lang w:val="en-US"/>
        </w:rPr>
        <w:t xml:space="preserve">has slowed steadily in recent months. In addition, compared </w:t>
      </w:r>
      <w:r w:rsidR="002D3F77" w:rsidRPr="00877F5E">
        <w:rPr>
          <w:rFonts w:ascii="Tahoma" w:hAnsi="Tahoma" w:cs="Tahoma"/>
          <w:sz w:val="24"/>
          <w:szCs w:val="24"/>
          <w:lang w:val="en-US"/>
        </w:rPr>
        <w:lastRenderedPageBreak/>
        <w:t xml:space="preserve">to the similar period of last year, </w:t>
      </w:r>
      <w:r w:rsidR="007D5AEB" w:rsidRPr="00877F5E">
        <w:rPr>
          <w:rFonts w:ascii="Tahoma" w:hAnsi="Tahoma" w:cs="Tahoma"/>
          <w:sz w:val="24"/>
          <w:szCs w:val="24"/>
          <w:lang w:val="en-US"/>
        </w:rPr>
        <w:t xml:space="preserve">exempting the wages </w:t>
      </w:r>
      <w:r w:rsidR="000C0B9C" w:rsidRPr="00877F5E">
        <w:rPr>
          <w:rFonts w:ascii="Tahoma" w:hAnsi="Tahoma" w:cs="Tahoma"/>
          <w:sz w:val="24"/>
          <w:szCs w:val="24"/>
          <w:lang w:val="en-US"/>
        </w:rPr>
        <w:t>in</w:t>
      </w:r>
      <w:r w:rsidR="007D5AEB" w:rsidRPr="00877F5E">
        <w:rPr>
          <w:rFonts w:ascii="Tahoma" w:hAnsi="Tahoma" w:cs="Tahoma"/>
          <w:sz w:val="24"/>
          <w:szCs w:val="24"/>
          <w:lang w:val="en-US"/>
        </w:rPr>
        <w:t xml:space="preserve"> construction and related industrial sectors from the </w:t>
      </w:r>
      <w:proofErr w:type="spellStart"/>
      <w:r w:rsidR="007D5AEB" w:rsidRPr="00877F5E">
        <w:rPr>
          <w:rFonts w:ascii="Tahoma" w:hAnsi="Tahoma" w:cs="Tahoma"/>
          <w:sz w:val="24"/>
          <w:szCs w:val="24"/>
          <w:lang w:val="en-US"/>
        </w:rPr>
        <w:t>labour</w:t>
      </w:r>
      <w:proofErr w:type="spellEnd"/>
      <w:r w:rsidR="007D5AEB" w:rsidRPr="00877F5E">
        <w:rPr>
          <w:rFonts w:ascii="Tahoma" w:hAnsi="Tahoma" w:cs="Tahoma"/>
          <w:sz w:val="24"/>
          <w:szCs w:val="24"/>
          <w:lang w:val="en-US"/>
        </w:rPr>
        <w:t xml:space="preserve"> income tax generated a negative impact on the revenue in January 2020</w:t>
      </w:r>
      <w:r w:rsidR="007D5AEB" w:rsidRPr="00877F5E">
        <w:rPr>
          <w:rStyle w:val="FootnoteReference"/>
          <w:rFonts w:ascii="Tahoma" w:hAnsi="Tahoma" w:cs="Tahoma"/>
          <w:sz w:val="24"/>
          <w:szCs w:val="24"/>
          <w:lang w:val="en-US"/>
        </w:rPr>
        <w:footnoteReference w:id="1"/>
      </w:r>
      <w:r w:rsidR="007D5AEB" w:rsidRPr="00877F5E">
        <w:rPr>
          <w:rFonts w:ascii="Tahoma" w:hAnsi="Tahoma" w:cs="Tahoma"/>
          <w:sz w:val="24"/>
          <w:szCs w:val="24"/>
          <w:lang w:val="en-US"/>
        </w:rPr>
        <w:t>.</w:t>
      </w:r>
    </w:p>
    <w:p w14:paraId="79FAEE42" w14:textId="2D105BD6" w:rsidR="007355A3" w:rsidRPr="00877F5E" w:rsidRDefault="001A2BAF" w:rsidP="00DE1D44">
      <w:pPr>
        <w:spacing w:after="120" w:line="360" w:lineRule="auto"/>
        <w:jc w:val="both"/>
        <w:rPr>
          <w:rFonts w:ascii="Tahoma" w:hAnsi="Tahoma" w:cs="Tahoma"/>
          <w:color w:val="767171" w:themeColor="background2" w:themeShade="80"/>
          <w:sz w:val="20"/>
          <w:szCs w:val="24"/>
          <w:lang w:val="en-US"/>
        </w:rPr>
      </w:pPr>
      <w:r w:rsidRPr="00877F5E">
        <w:rPr>
          <w:rFonts w:ascii="Tahoma" w:hAnsi="Tahoma" w:cs="Tahoma"/>
          <w:sz w:val="24"/>
          <w:szCs w:val="24"/>
          <w:lang w:val="en-US"/>
        </w:rPr>
        <w:t>With regard to the other categories of income tax</w:t>
      </w:r>
      <w:r w:rsidR="001E24F1" w:rsidRPr="00877F5E">
        <w:rPr>
          <w:rFonts w:ascii="Tahoma" w:hAnsi="Tahoma" w:cs="Tahoma"/>
          <w:sz w:val="24"/>
          <w:szCs w:val="24"/>
          <w:lang w:val="en-US"/>
        </w:rPr>
        <w:t>es</w:t>
      </w:r>
      <w:r w:rsidRPr="00877F5E">
        <w:rPr>
          <w:rFonts w:ascii="Tahoma" w:hAnsi="Tahoma" w:cs="Tahoma"/>
          <w:sz w:val="24"/>
          <w:szCs w:val="24"/>
          <w:lang w:val="en-US"/>
        </w:rPr>
        <w:t>, significant increases were recorded in dividend income</w:t>
      </w:r>
      <w:r w:rsidR="001E24F1" w:rsidRPr="00877F5E">
        <w:rPr>
          <w:rFonts w:ascii="Tahoma" w:hAnsi="Tahoma" w:cs="Tahoma"/>
          <w:sz w:val="24"/>
          <w:szCs w:val="24"/>
          <w:lang w:val="en-US"/>
        </w:rPr>
        <w:t xml:space="preserve"> receipts </w:t>
      </w:r>
      <w:r w:rsidRPr="00877F5E">
        <w:rPr>
          <w:rFonts w:ascii="Tahoma" w:hAnsi="Tahoma" w:cs="Tahoma"/>
          <w:sz w:val="24"/>
          <w:szCs w:val="24"/>
          <w:lang w:val="en-US"/>
        </w:rPr>
        <w:t xml:space="preserve">(38.3%) and pension income </w:t>
      </w:r>
      <w:r w:rsidR="001E24F1" w:rsidRPr="00877F5E">
        <w:rPr>
          <w:rFonts w:ascii="Tahoma" w:hAnsi="Tahoma" w:cs="Tahoma"/>
          <w:sz w:val="24"/>
          <w:szCs w:val="24"/>
          <w:lang w:val="en-US"/>
        </w:rPr>
        <w:t xml:space="preserve">receipts </w:t>
      </w:r>
      <w:r w:rsidRPr="00877F5E">
        <w:rPr>
          <w:rFonts w:ascii="Tahoma" w:hAnsi="Tahoma" w:cs="Tahoma"/>
          <w:sz w:val="24"/>
          <w:szCs w:val="24"/>
          <w:lang w:val="en-US"/>
        </w:rPr>
        <w:t xml:space="preserve">(42.8%), </w:t>
      </w:r>
      <w:r w:rsidR="001E24F1" w:rsidRPr="00877F5E">
        <w:rPr>
          <w:rFonts w:ascii="Tahoma" w:hAnsi="Tahoma" w:cs="Tahoma"/>
          <w:sz w:val="24"/>
          <w:szCs w:val="24"/>
          <w:lang w:val="en-US"/>
        </w:rPr>
        <w:t xml:space="preserve">since the pension point increased as of </w:t>
      </w:r>
      <w:r w:rsidRPr="00877F5E">
        <w:rPr>
          <w:rFonts w:ascii="Tahoma" w:hAnsi="Tahoma" w:cs="Tahoma"/>
          <w:sz w:val="24"/>
          <w:szCs w:val="24"/>
          <w:lang w:val="en-US"/>
        </w:rPr>
        <w:t>September 1</w:t>
      </w:r>
      <w:r w:rsidR="000C0B9C" w:rsidRPr="00877F5E">
        <w:rPr>
          <w:rFonts w:ascii="Tahoma" w:hAnsi="Tahoma" w:cs="Tahoma"/>
          <w:sz w:val="24"/>
          <w:szCs w:val="24"/>
          <w:vertAlign w:val="superscript"/>
          <w:lang w:val="en-US"/>
        </w:rPr>
        <w:t>st</w:t>
      </w:r>
      <w:r w:rsidRPr="00877F5E">
        <w:rPr>
          <w:rFonts w:ascii="Tahoma" w:hAnsi="Tahoma" w:cs="Tahoma"/>
          <w:sz w:val="24"/>
          <w:szCs w:val="24"/>
          <w:lang w:val="en-US"/>
        </w:rPr>
        <w:t>, 2019.</w:t>
      </w:r>
    </w:p>
    <w:p w14:paraId="3C76FF28" w14:textId="5218C263" w:rsidR="007355A3" w:rsidRPr="00877F5E" w:rsidRDefault="00311404" w:rsidP="00311404">
      <w:pPr>
        <w:pStyle w:val="ListParagraph"/>
        <w:spacing w:line="360" w:lineRule="auto"/>
        <w:ind w:left="0"/>
        <w:jc w:val="center"/>
        <w:rPr>
          <w:rFonts w:ascii="Tahoma" w:hAnsi="Tahoma" w:cs="Tahoma"/>
          <w:color w:val="767171" w:themeColor="background2" w:themeShade="80"/>
          <w:sz w:val="20"/>
          <w:szCs w:val="24"/>
          <w:lang w:val="en-US"/>
        </w:rPr>
      </w:pPr>
      <w:r w:rsidRPr="00877F5E">
        <w:rPr>
          <w:rFonts w:ascii="Tahoma" w:hAnsi="Tahoma" w:cs="Tahoma"/>
          <w:noProof/>
          <w:color w:val="767171" w:themeColor="background2" w:themeShade="80"/>
          <w:sz w:val="20"/>
          <w:szCs w:val="24"/>
          <w:lang w:val="en-US"/>
        </w:rPr>
        <w:drawing>
          <wp:inline distT="0" distB="0" distL="0" distR="0" wp14:anchorId="46D85CCF" wp14:editId="5543D023">
            <wp:extent cx="6115050" cy="256476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8536" cy="2566227"/>
                    </a:xfrm>
                    <a:prstGeom prst="rect">
                      <a:avLst/>
                    </a:prstGeom>
                    <a:noFill/>
                  </pic:spPr>
                </pic:pic>
              </a:graphicData>
            </a:graphic>
          </wp:inline>
        </w:drawing>
      </w:r>
    </w:p>
    <w:p w14:paraId="5401FB5E" w14:textId="7DB5A48F" w:rsidR="001A2BAF" w:rsidRPr="00877F5E" w:rsidRDefault="001E24F1" w:rsidP="001A2BAF">
      <w:pPr>
        <w:pStyle w:val="ListParagraph"/>
        <w:spacing w:line="360" w:lineRule="auto"/>
        <w:jc w:val="both"/>
        <w:rPr>
          <w:rFonts w:ascii="Tahoma" w:hAnsi="Tahoma" w:cs="Tahoma"/>
          <w:color w:val="767171" w:themeColor="background2" w:themeShade="80"/>
          <w:sz w:val="20"/>
          <w:szCs w:val="24"/>
          <w:lang w:val="en-US"/>
        </w:rPr>
      </w:pPr>
      <w:r w:rsidRPr="00877F5E">
        <w:rPr>
          <w:rFonts w:ascii="Tahoma" w:hAnsi="Tahoma" w:cs="Tahoma"/>
          <w:color w:val="767171" w:themeColor="background2" w:themeShade="80"/>
          <w:sz w:val="20"/>
          <w:szCs w:val="24"/>
          <w:lang w:val="en-US"/>
        </w:rPr>
        <w:t>Source</w:t>
      </w:r>
      <w:r w:rsidR="001A2BAF" w:rsidRPr="00877F5E">
        <w:rPr>
          <w:rFonts w:ascii="Tahoma" w:hAnsi="Tahoma" w:cs="Tahoma"/>
          <w:color w:val="767171" w:themeColor="background2" w:themeShade="80"/>
          <w:sz w:val="20"/>
          <w:szCs w:val="24"/>
          <w:lang w:val="en-US"/>
        </w:rPr>
        <w:t xml:space="preserve">: </w:t>
      </w:r>
      <w:proofErr w:type="spellStart"/>
      <w:r w:rsidR="001A2BAF" w:rsidRPr="00877F5E">
        <w:rPr>
          <w:rFonts w:ascii="Tahoma" w:hAnsi="Tahoma" w:cs="Tahoma"/>
          <w:color w:val="767171" w:themeColor="background2" w:themeShade="80"/>
          <w:sz w:val="20"/>
          <w:szCs w:val="24"/>
          <w:lang w:val="en-US"/>
        </w:rPr>
        <w:t>M</w:t>
      </w:r>
      <w:r w:rsidRPr="00877F5E">
        <w:rPr>
          <w:rFonts w:ascii="Tahoma" w:hAnsi="Tahoma" w:cs="Tahoma"/>
          <w:color w:val="767171" w:themeColor="background2" w:themeShade="80"/>
          <w:sz w:val="20"/>
          <w:szCs w:val="24"/>
          <w:lang w:val="en-US"/>
        </w:rPr>
        <w:t>oPF</w:t>
      </w:r>
      <w:proofErr w:type="spellEnd"/>
      <w:r w:rsidR="001A2BAF" w:rsidRPr="00877F5E">
        <w:rPr>
          <w:rFonts w:ascii="Tahoma" w:hAnsi="Tahoma" w:cs="Tahoma"/>
          <w:color w:val="767171" w:themeColor="background2" w:themeShade="80"/>
          <w:sz w:val="20"/>
          <w:szCs w:val="24"/>
          <w:lang w:val="en-US"/>
        </w:rPr>
        <w:t xml:space="preserve">, </w:t>
      </w:r>
      <w:r w:rsidR="0024051E" w:rsidRPr="00877F5E">
        <w:rPr>
          <w:rFonts w:ascii="Tahoma" w:hAnsi="Tahoma" w:cs="Tahoma"/>
          <w:color w:val="767171" w:themeColor="background2" w:themeShade="80"/>
          <w:sz w:val="20"/>
          <w:szCs w:val="24"/>
          <w:lang w:val="en-US"/>
        </w:rPr>
        <w:t>N</w:t>
      </w:r>
      <w:r w:rsidRPr="00877F5E">
        <w:rPr>
          <w:rFonts w:ascii="Tahoma" w:hAnsi="Tahoma" w:cs="Tahoma"/>
          <w:color w:val="767171" w:themeColor="background2" w:themeShade="80"/>
          <w:sz w:val="20"/>
          <w:szCs w:val="24"/>
          <w:lang w:val="en-US"/>
        </w:rPr>
        <w:t>I</w:t>
      </w:r>
      <w:r w:rsidR="0024051E" w:rsidRPr="00877F5E">
        <w:rPr>
          <w:rFonts w:ascii="Tahoma" w:hAnsi="Tahoma" w:cs="Tahoma"/>
          <w:color w:val="767171" w:themeColor="background2" w:themeShade="80"/>
          <w:sz w:val="20"/>
          <w:szCs w:val="24"/>
          <w:lang w:val="en-US"/>
        </w:rPr>
        <w:t>S</w:t>
      </w:r>
      <w:r w:rsidR="001A2BAF" w:rsidRPr="00877F5E">
        <w:rPr>
          <w:rFonts w:ascii="Tahoma" w:hAnsi="Tahoma" w:cs="Tahoma"/>
          <w:color w:val="767171" w:themeColor="background2" w:themeShade="80"/>
          <w:sz w:val="20"/>
          <w:szCs w:val="24"/>
          <w:lang w:val="en-US"/>
        </w:rPr>
        <w:t xml:space="preserve">, </w:t>
      </w:r>
      <w:r w:rsidR="0024051E" w:rsidRPr="00877F5E">
        <w:rPr>
          <w:rFonts w:ascii="Tahoma" w:hAnsi="Tahoma" w:cs="Tahoma"/>
          <w:color w:val="767171" w:themeColor="background2" w:themeShade="80"/>
          <w:sz w:val="20"/>
          <w:szCs w:val="24"/>
          <w:lang w:val="en-US"/>
        </w:rPr>
        <w:t>own</w:t>
      </w:r>
      <w:r w:rsidRPr="00877F5E">
        <w:rPr>
          <w:rFonts w:ascii="Tahoma" w:hAnsi="Tahoma" w:cs="Tahoma"/>
          <w:color w:val="767171" w:themeColor="background2" w:themeShade="80"/>
          <w:sz w:val="20"/>
          <w:szCs w:val="24"/>
          <w:lang w:val="en-US"/>
        </w:rPr>
        <w:t xml:space="preserve"> calculations</w:t>
      </w:r>
    </w:p>
    <w:p w14:paraId="5C2D992D" w14:textId="1FBF3171" w:rsidR="00A8739A" w:rsidRPr="00877F5E" w:rsidRDefault="001A2BAF" w:rsidP="00DE1D44">
      <w:pPr>
        <w:pStyle w:val="ListParagraph"/>
        <w:spacing w:before="240" w:line="360" w:lineRule="auto"/>
        <w:jc w:val="center"/>
        <w:rPr>
          <w:lang w:val="en-US"/>
        </w:rPr>
      </w:pPr>
      <w:r w:rsidRPr="00877F5E">
        <w:rPr>
          <w:rFonts w:ascii="Tahoma" w:hAnsi="Tahoma" w:cs="Tahoma"/>
          <w:b/>
          <w:szCs w:val="24"/>
          <w:lang w:val="en-US"/>
        </w:rPr>
        <w:t xml:space="preserve">Fig.1 </w:t>
      </w:r>
      <w:r w:rsidR="001E24F1" w:rsidRPr="00877F5E">
        <w:rPr>
          <w:rFonts w:ascii="Tahoma" w:hAnsi="Tahoma" w:cs="Tahoma"/>
          <w:b/>
          <w:szCs w:val="24"/>
          <w:lang w:val="en-US"/>
        </w:rPr>
        <w:t>Personal Income Tax</w:t>
      </w:r>
      <w:r w:rsidRPr="00877F5E">
        <w:rPr>
          <w:rFonts w:ascii="Tahoma" w:hAnsi="Tahoma" w:cs="Tahoma"/>
          <w:b/>
          <w:szCs w:val="24"/>
          <w:lang w:val="en-US"/>
        </w:rPr>
        <w:t xml:space="preserve"> </w:t>
      </w:r>
      <w:r w:rsidR="00D75F6C" w:rsidRPr="00877F5E">
        <w:rPr>
          <w:rFonts w:ascii="Tahoma" w:hAnsi="Tahoma" w:cs="Tahoma"/>
          <w:b/>
          <w:szCs w:val="24"/>
          <w:lang w:val="en-US"/>
        </w:rPr>
        <w:t>Revenue</w:t>
      </w:r>
    </w:p>
    <w:p w14:paraId="5BC1CB3B" w14:textId="1E6BC2BA" w:rsidR="00415ECD" w:rsidRPr="00877F5E" w:rsidRDefault="0053393D" w:rsidP="00415ECD">
      <w:pPr>
        <w:spacing w:after="120" w:line="360" w:lineRule="auto"/>
        <w:jc w:val="both"/>
        <w:rPr>
          <w:rFonts w:ascii="Tahoma" w:hAnsi="Tahoma" w:cs="Tahoma"/>
          <w:sz w:val="24"/>
          <w:szCs w:val="24"/>
          <w:lang w:val="en-US"/>
        </w:rPr>
      </w:pPr>
      <w:r w:rsidRPr="00877F5E">
        <w:rPr>
          <w:rFonts w:ascii="Tahoma" w:hAnsi="Tahoma" w:cs="Tahoma"/>
          <w:b/>
          <w:i/>
          <w:sz w:val="24"/>
          <w:szCs w:val="24"/>
          <w:lang w:val="en-US"/>
        </w:rPr>
        <w:t>Social contributions</w:t>
      </w:r>
      <w:r w:rsidRPr="00877F5E">
        <w:rPr>
          <w:rFonts w:ascii="Tahoma" w:hAnsi="Tahoma" w:cs="Tahoma"/>
          <w:sz w:val="24"/>
          <w:szCs w:val="24"/>
          <w:lang w:val="en-US"/>
        </w:rPr>
        <w:t xml:space="preserve"> revenue </w:t>
      </w:r>
      <w:r w:rsidR="00A52D05" w:rsidRPr="00877F5E">
        <w:rPr>
          <w:rFonts w:ascii="Tahoma" w:hAnsi="Tahoma" w:cs="Tahoma"/>
          <w:sz w:val="24"/>
          <w:szCs w:val="24"/>
          <w:lang w:val="en-US"/>
        </w:rPr>
        <w:t xml:space="preserve">amounted to </w:t>
      </w:r>
      <w:r w:rsidRPr="00877F5E">
        <w:rPr>
          <w:rFonts w:ascii="Tahoma" w:hAnsi="Tahoma" w:cs="Tahoma"/>
          <w:sz w:val="24"/>
          <w:szCs w:val="24"/>
          <w:lang w:val="en-US"/>
        </w:rPr>
        <w:t xml:space="preserve">RON </w:t>
      </w:r>
      <w:r w:rsidR="001E24F1" w:rsidRPr="00877F5E">
        <w:rPr>
          <w:rFonts w:ascii="Tahoma" w:hAnsi="Tahoma" w:cs="Tahoma"/>
          <w:sz w:val="24"/>
          <w:szCs w:val="24"/>
          <w:lang w:val="en-US"/>
        </w:rPr>
        <w:t>19.56 billion in the first two months</w:t>
      </w:r>
      <w:r w:rsidRPr="00877F5E">
        <w:rPr>
          <w:rFonts w:ascii="Tahoma" w:hAnsi="Tahoma" w:cs="Tahoma"/>
          <w:sz w:val="24"/>
          <w:szCs w:val="24"/>
          <w:lang w:val="en-US"/>
        </w:rPr>
        <w:t>,</w:t>
      </w:r>
      <w:r w:rsidR="001E24F1" w:rsidRPr="00877F5E">
        <w:rPr>
          <w:rFonts w:ascii="Tahoma" w:hAnsi="Tahoma" w:cs="Tahoma"/>
          <w:sz w:val="24"/>
          <w:szCs w:val="24"/>
          <w:lang w:val="en-US"/>
        </w:rPr>
        <w:t xml:space="preserve"> rising by 11.2% </w:t>
      </w:r>
      <w:proofErr w:type="spellStart"/>
      <w:r w:rsidR="001E24F1" w:rsidRPr="00877F5E">
        <w:rPr>
          <w:rFonts w:ascii="Tahoma" w:hAnsi="Tahoma" w:cs="Tahoma"/>
          <w:sz w:val="24"/>
          <w:szCs w:val="24"/>
          <w:lang w:val="en-US"/>
        </w:rPr>
        <w:t>yoy</w:t>
      </w:r>
      <w:proofErr w:type="spellEnd"/>
      <w:r w:rsidR="001E24F1" w:rsidRPr="00877F5E">
        <w:rPr>
          <w:rFonts w:ascii="Tahoma" w:hAnsi="Tahoma" w:cs="Tahoma"/>
          <w:sz w:val="24"/>
          <w:szCs w:val="24"/>
          <w:lang w:val="en-US"/>
        </w:rPr>
        <w:t xml:space="preserve">.  </w:t>
      </w:r>
      <w:r w:rsidR="00415ECD" w:rsidRPr="00877F5E">
        <w:rPr>
          <w:rFonts w:ascii="Tahoma" w:hAnsi="Tahoma" w:cs="Tahoma"/>
          <w:sz w:val="24"/>
          <w:szCs w:val="24"/>
          <w:lang w:val="en-US"/>
        </w:rPr>
        <w:t>Similar to the evolution of the wage tax</w:t>
      </w:r>
      <w:r w:rsidR="00011225" w:rsidRPr="00877F5E">
        <w:rPr>
          <w:rFonts w:ascii="Tahoma" w:hAnsi="Tahoma" w:cs="Tahoma"/>
          <w:sz w:val="24"/>
          <w:szCs w:val="24"/>
          <w:lang w:val="en-US"/>
        </w:rPr>
        <w:t xml:space="preserve"> revenue</w:t>
      </w:r>
      <w:r w:rsidR="00415ECD" w:rsidRPr="00877F5E">
        <w:rPr>
          <w:rFonts w:ascii="Tahoma" w:hAnsi="Tahoma" w:cs="Tahoma"/>
          <w:sz w:val="24"/>
          <w:szCs w:val="24"/>
          <w:lang w:val="en-US"/>
        </w:rPr>
        <w:t>, the social contributions receipts accelerated from a growth rate of 8.5% in December 2019 to 10.0% in January and 12.5% in February 2020 (</w:t>
      </w:r>
      <w:proofErr w:type="spellStart"/>
      <w:r w:rsidR="00415ECD" w:rsidRPr="00877F5E">
        <w:rPr>
          <w:rFonts w:ascii="Tahoma" w:hAnsi="Tahoma" w:cs="Tahoma"/>
          <w:sz w:val="24"/>
          <w:szCs w:val="24"/>
          <w:lang w:val="en-US"/>
        </w:rPr>
        <w:t>yoy</w:t>
      </w:r>
      <w:proofErr w:type="spellEnd"/>
      <w:r w:rsidR="00415ECD" w:rsidRPr="00877F5E">
        <w:rPr>
          <w:rFonts w:ascii="Tahoma" w:hAnsi="Tahoma" w:cs="Tahoma"/>
          <w:sz w:val="24"/>
          <w:szCs w:val="24"/>
          <w:lang w:val="en-US"/>
        </w:rPr>
        <w:t>). Compared to the same period last year, social contributions were negatively influenced</w:t>
      </w:r>
      <w:r w:rsidR="004A79D5" w:rsidRPr="00877F5E">
        <w:rPr>
          <w:rFonts w:ascii="Tahoma" w:hAnsi="Tahoma" w:cs="Tahoma"/>
          <w:sz w:val="24"/>
          <w:szCs w:val="24"/>
          <w:lang w:val="en-US"/>
        </w:rPr>
        <w:t>:</w:t>
      </w:r>
      <w:r w:rsidR="00415ECD" w:rsidRPr="00877F5E">
        <w:rPr>
          <w:rFonts w:ascii="Tahoma" w:hAnsi="Tahoma" w:cs="Tahoma"/>
          <w:sz w:val="24"/>
          <w:szCs w:val="24"/>
          <w:lang w:val="en-US"/>
        </w:rPr>
        <w:t xml:space="preserve"> (</w:t>
      </w:r>
      <w:proofErr w:type="spellStart"/>
      <w:r w:rsidR="00415ECD" w:rsidRPr="00877F5E">
        <w:rPr>
          <w:rFonts w:ascii="Tahoma" w:hAnsi="Tahoma" w:cs="Tahoma"/>
          <w:sz w:val="24"/>
          <w:szCs w:val="24"/>
          <w:lang w:val="en-US"/>
        </w:rPr>
        <w:t>i</w:t>
      </w:r>
      <w:proofErr w:type="spellEnd"/>
      <w:r w:rsidR="00415ECD" w:rsidRPr="00877F5E">
        <w:rPr>
          <w:rFonts w:ascii="Tahoma" w:hAnsi="Tahoma" w:cs="Tahoma"/>
          <w:sz w:val="24"/>
          <w:szCs w:val="24"/>
          <w:lang w:val="en-US"/>
        </w:rPr>
        <w:t>) in January 2020 by exempting employees in construction and related industrial sectors from health insurance contribution</w:t>
      </w:r>
      <w:r w:rsidR="005731D3" w:rsidRPr="00877F5E">
        <w:rPr>
          <w:rFonts w:ascii="Tahoma" w:hAnsi="Tahoma" w:cs="Tahoma"/>
          <w:sz w:val="24"/>
          <w:szCs w:val="24"/>
          <w:lang w:val="en-US"/>
        </w:rPr>
        <w:t>, as well as by reducing the social contributions due by employers</w:t>
      </w:r>
      <w:r w:rsidR="00415ECD" w:rsidRPr="00877F5E">
        <w:rPr>
          <w:rFonts w:ascii="Tahoma" w:hAnsi="Tahoma" w:cs="Tahoma"/>
          <w:sz w:val="24"/>
          <w:szCs w:val="24"/>
          <w:lang w:val="en-US"/>
        </w:rPr>
        <w:t xml:space="preserve"> (according to GEO No. 114/2018); (ii) in February 2020 as a result of the </w:t>
      </w:r>
      <w:r w:rsidR="008277C8" w:rsidRPr="00877F5E">
        <w:rPr>
          <w:rFonts w:ascii="Tahoma" w:hAnsi="Tahoma" w:cs="Tahoma"/>
          <w:sz w:val="24"/>
          <w:szCs w:val="24"/>
          <w:lang w:val="en-US"/>
        </w:rPr>
        <w:t xml:space="preserve">change in </w:t>
      </w:r>
      <w:r w:rsidR="00415ECD" w:rsidRPr="00877F5E">
        <w:rPr>
          <w:rFonts w:ascii="Tahoma" w:hAnsi="Tahoma" w:cs="Tahoma"/>
          <w:sz w:val="24"/>
          <w:szCs w:val="24"/>
          <w:lang w:val="en-US"/>
        </w:rPr>
        <w:t xml:space="preserve">the </w:t>
      </w:r>
      <w:r w:rsidR="0024051E" w:rsidRPr="00877F5E">
        <w:rPr>
          <w:rFonts w:ascii="Tahoma" w:hAnsi="Tahoma" w:cs="Tahoma"/>
          <w:sz w:val="24"/>
          <w:szCs w:val="24"/>
          <w:lang w:val="en-US"/>
        </w:rPr>
        <w:t>tax base for social insurance and health insurance</w:t>
      </w:r>
      <w:r w:rsidR="00415ECD" w:rsidRPr="00877F5E">
        <w:rPr>
          <w:rFonts w:ascii="Tahoma" w:hAnsi="Tahoma" w:cs="Tahoma"/>
          <w:sz w:val="24"/>
          <w:szCs w:val="24"/>
          <w:lang w:val="en-US"/>
        </w:rPr>
        <w:t xml:space="preserve"> </w:t>
      </w:r>
      <w:r w:rsidR="0024051E" w:rsidRPr="00877F5E">
        <w:rPr>
          <w:rFonts w:ascii="Tahoma" w:hAnsi="Tahoma" w:cs="Tahoma"/>
          <w:sz w:val="24"/>
          <w:szCs w:val="24"/>
          <w:lang w:val="en-US"/>
        </w:rPr>
        <w:t xml:space="preserve">due by part-time </w:t>
      </w:r>
      <w:r w:rsidR="00415ECD" w:rsidRPr="00877F5E">
        <w:rPr>
          <w:rFonts w:ascii="Tahoma" w:hAnsi="Tahoma" w:cs="Tahoma"/>
          <w:sz w:val="24"/>
          <w:szCs w:val="24"/>
          <w:lang w:val="en-US"/>
        </w:rPr>
        <w:t xml:space="preserve">employees </w:t>
      </w:r>
      <w:r w:rsidR="0024051E" w:rsidRPr="00877F5E">
        <w:rPr>
          <w:rFonts w:ascii="Tahoma" w:hAnsi="Tahoma" w:cs="Tahoma"/>
          <w:sz w:val="24"/>
          <w:szCs w:val="24"/>
          <w:lang w:val="en-US"/>
        </w:rPr>
        <w:t>(negative impact of about</w:t>
      </w:r>
      <w:r w:rsidR="00415ECD" w:rsidRPr="00877F5E">
        <w:rPr>
          <w:rFonts w:ascii="Tahoma" w:hAnsi="Tahoma" w:cs="Tahoma"/>
          <w:sz w:val="24"/>
          <w:szCs w:val="24"/>
          <w:lang w:val="en-US"/>
        </w:rPr>
        <w:t xml:space="preserve"> </w:t>
      </w:r>
      <w:r w:rsidR="0024051E" w:rsidRPr="00877F5E">
        <w:rPr>
          <w:rFonts w:ascii="Tahoma" w:hAnsi="Tahoma" w:cs="Tahoma"/>
          <w:sz w:val="24"/>
          <w:szCs w:val="24"/>
          <w:lang w:val="en-US"/>
        </w:rPr>
        <w:t xml:space="preserve">RON </w:t>
      </w:r>
      <w:r w:rsidR="00415ECD" w:rsidRPr="00877F5E">
        <w:rPr>
          <w:rFonts w:ascii="Tahoma" w:hAnsi="Tahoma" w:cs="Tahoma"/>
          <w:sz w:val="24"/>
          <w:szCs w:val="24"/>
          <w:lang w:val="en-US"/>
        </w:rPr>
        <w:t>8</w:t>
      </w:r>
      <w:r w:rsidR="0024051E" w:rsidRPr="00877F5E">
        <w:rPr>
          <w:rFonts w:ascii="Tahoma" w:hAnsi="Tahoma" w:cs="Tahoma"/>
          <w:sz w:val="24"/>
          <w:szCs w:val="24"/>
          <w:lang w:val="en-US"/>
        </w:rPr>
        <w:t>2 million</w:t>
      </w:r>
      <w:r w:rsidR="00415ECD" w:rsidRPr="00877F5E">
        <w:rPr>
          <w:rFonts w:ascii="Tahoma" w:hAnsi="Tahoma" w:cs="Tahoma"/>
          <w:sz w:val="24"/>
          <w:szCs w:val="24"/>
          <w:lang w:val="en-US"/>
        </w:rPr>
        <w:t>).</w:t>
      </w:r>
    </w:p>
    <w:p w14:paraId="63E68FB6" w14:textId="48D30657" w:rsidR="007355A3" w:rsidRPr="00877F5E" w:rsidRDefault="00311404" w:rsidP="00DE1D44">
      <w:pPr>
        <w:pStyle w:val="ListParagraph"/>
        <w:spacing w:line="360" w:lineRule="auto"/>
        <w:ind w:left="0"/>
        <w:jc w:val="both"/>
        <w:rPr>
          <w:rFonts w:ascii="Tahoma" w:hAnsi="Tahoma" w:cs="Tahoma"/>
          <w:color w:val="767171" w:themeColor="background2" w:themeShade="80"/>
          <w:sz w:val="20"/>
          <w:szCs w:val="24"/>
          <w:lang w:val="en-US"/>
        </w:rPr>
      </w:pPr>
      <w:r w:rsidRPr="00877F5E">
        <w:rPr>
          <w:rFonts w:ascii="Tahoma" w:hAnsi="Tahoma" w:cs="Tahoma"/>
          <w:noProof/>
          <w:color w:val="767171" w:themeColor="background2" w:themeShade="80"/>
          <w:sz w:val="20"/>
          <w:szCs w:val="24"/>
          <w:lang w:val="en-US"/>
        </w:rPr>
        <w:lastRenderedPageBreak/>
        <w:drawing>
          <wp:inline distT="0" distB="0" distL="0" distR="0" wp14:anchorId="1A0BB93B" wp14:editId="39ADEA20">
            <wp:extent cx="6172200" cy="23907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5286" cy="2391970"/>
                    </a:xfrm>
                    <a:prstGeom prst="rect">
                      <a:avLst/>
                    </a:prstGeom>
                    <a:noFill/>
                  </pic:spPr>
                </pic:pic>
              </a:graphicData>
            </a:graphic>
          </wp:inline>
        </w:drawing>
      </w:r>
    </w:p>
    <w:p w14:paraId="1163D746" w14:textId="54553532" w:rsidR="00222089" w:rsidRPr="00877F5E" w:rsidRDefault="00222089" w:rsidP="00311404">
      <w:pPr>
        <w:pStyle w:val="ListParagraph"/>
        <w:spacing w:after="0" w:line="240" w:lineRule="auto"/>
        <w:contextualSpacing w:val="0"/>
        <w:jc w:val="both"/>
        <w:rPr>
          <w:rFonts w:ascii="Tahoma" w:hAnsi="Tahoma" w:cs="Tahoma"/>
          <w:color w:val="767171" w:themeColor="background2" w:themeShade="80"/>
          <w:sz w:val="20"/>
          <w:szCs w:val="24"/>
          <w:lang w:val="en-US"/>
        </w:rPr>
      </w:pPr>
      <w:r w:rsidRPr="00877F5E">
        <w:rPr>
          <w:rFonts w:ascii="Tahoma" w:hAnsi="Tahoma" w:cs="Tahoma"/>
          <w:color w:val="767171" w:themeColor="background2" w:themeShade="80"/>
          <w:sz w:val="20"/>
          <w:szCs w:val="24"/>
          <w:lang w:val="en-US"/>
        </w:rPr>
        <w:t xml:space="preserve">Source: </w:t>
      </w:r>
      <w:proofErr w:type="spellStart"/>
      <w:r w:rsidRPr="00877F5E">
        <w:rPr>
          <w:rFonts w:ascii="Tahoma" w:hAnsi="Tahoma" w:cs="Tahoma"/>
          <w:color w:val="767171" w:themeColor="background2" w:themeShade="80"/>
          <w:sz w:val="20"/>
          <w:szCs w:val="24"/>
          <w:lang w:val="en-US"/>
        </w:rPr>
        <w:t>MoPF</w:t>
      </w:r>
      <w:proofErr w:type="spellEnd"/>
      <w:r w:rsidRPr="00877F5E">
        <w:rPr>
          <w:rFonts w:ascii="Tahoma" w:hAnsi="Tahoma" w:cs="Tahoma"/>
          <w:color w:val="767171" w:themeColor="background2" w:themeShade="80"/>
          <w:sz w:val="20"/>
          <w:szCs w:val="24"/>
          <w:lang w:val="en-US"/>
        </w:rPr>
        <w:t>, NIS, own calculations</w:t>
      </w:r>
    </w:p>
    <w:p w14:paraId="3E465832" w14:textId="77777777" w:rsidR="0073781B" w:rsidRPr="00877F5E" w:rsidRDefault="0073781B" w:rsidP="00311404">
      <w:pPr>
        <w:pStyle w:val="ListParagraph"/>
        <w:spacing w:line="240" w:lineRule="auto"/>
        <w:jc w:val="both"/>
        <w:rPr>
          <w:rFonts w:ascii="Tahoma" w:hAnsi="Tahoma" w:cs="Tahoma"/>
          <w:color w:val="767171" w:themeColor="background2" w:themeShade="80"/>
          <w:sz w:val="20"/>
          <w:szCs w:val="24"/>
          <w:lang w:val="en-US"/>
        </w:rPr>
      </w:pPr>
    </w:p>
    <w:p w14:paraId="70444419" w14:textId="2F9F2026" w:rsidR="0024051E" w:rsidRPr="00877F5E" w:rsidRDefault="00CF1ED7" w:rsidP="00283621">
      <w:pPr>
        <w:pStyle w:val="ListParagraph"/>
        <w:spacing w:line="360" w:lineRule="auto"/>
        <w:jc w:val="center"/>
        <w:rPr>
          <w:lang w:val="en-US"/>
        </w:rPr>
      </w:pPr>
      <w:r w:rsidRPr="00877F5E">
        <w:rPr>
          <w:rFonts w:ascii="Tahoma" w:hAnsi="Tahoma" w:cs="Tahoma"/>
          <w:b/>
          <w:szCs w:val="24"/>
          <w:lang w:val="en-US"/>
        </w:rPr>
        <w:t>Fig.</w:t>
      </w:r>
      <w:r w:rsidR="000D2B64" w:rsidRPr="00877F5E">
        <w:rPr>
          <w:rFonts w:ascii="Tahoma" w:hAnsi="Tahoma" w:cs="Tahoma"/>
          <w:b/>
          <w:szCs w:val="24"/>
          <w:lang w:val="en-US"/>
        </w:rPr>
        <w:t>2</w:t>
      </w:r>
      <w:r w:rsidR="00D60BC0" w:rsidRPr="00877F5E">
        <w:rPr>
          <w:rFonts w:ascii="Tahoma" w:hAnsi="Tahoma" w:cs="Tahoma"/>
          <w:b/>
          <w:szCs w:val="24"/>
          <w:lang w:val="en-US"/>
        </w:rPr>
        <w:t xml:space="preserve"> </w:t>
      </w:r>
      <w:r w:rsidR="00222089" w:rsidRPr="00877F5E">
        <w:rPr>
          <w:rFonts w:ascii="Tahoma" w:hAnsi="Tahoma" w:cs="Tahoma"/>
          <w:b/>
          <w:sz w:val="24"/>
          <w:szCs w:val="24"/>
          <w:lang w:val="en-US"/>
        </w:rPr>
        <w:t>Social contribution revenue</w:t>
      </w:r>
    </w:p>
    <w:p w14:paraId="05F55864" w14:textId="7195F9D7" w:rsidR="00575913" w:rsidRPr="00877F5E" w:rsidRDefault="0053393D" w:rsidP="00AB7B38">
      <w:pPr>
        <w:spacing w:after="120" w:line="360" w:lineRule="auto"/>
        <w:jc w:val="both"/>
        <w:rPr>
          <w:rFonts w:ascii="Tahoma" w:hAnsi="Tahoma" w:cs="Tahoma"/>
          <w:sz w:val="24"/>
          <w:szCs w:val="24"/>
          <w:lang w:val="en-US"/>
        </w:rPr>
      </w:pPr>
      <w:r w:rsidRPr="00877F5E">
        <w:rPr>
          <w:rFonts w:ascii="Tahoma" w:hAnsi="Tahoma" w:cs="Tahoma"/>
          <w:b/>
          <w:i/>
          <w:sz w:val="24"/>
          <w:szCs w:val="24"/>
          <w:lang w:val="en-US"/>
        </w:rPr>
        <w:t>VAT</w:t>
      </w:r>
      <w:r w:rsidRPr="00877F5E">
        <w:rPr>
          <w:rFonts w:ascii="Tahoma" w:hAnsi="Tahoma" w:cs="Tahoma"/>
          <w:sz w:val="24"/>
          <w:szCs w:val="24"/>
          <w:lang w:val="en-US"/>
        </w:rPr>
        <w:t xml:space="preserve"> receipts amounted to RON</w:t>
      </w:r>
      <w:r w:rsidR="00F56574" w:rsidRPr="00877F5E">
        <w:rPr>
          <w:rFonts w:ascii="Tahoma" w:hAnsi="Tahoma" w:cs="Tahoma"/>
          <w:sz w:val="24"/>
          <w:szCs w:val="24"/>
          <w:lang w:val="en-US"/>
        </w:rPr>
        <w:t xml:space="preserve"> </w:t>
      </w:r>
      <w:r w:rsidR="00267F0E" w:rsidRPr="00877F5E">
        <w:rPr>
          <w:rFonts w:ascii="Tahoma" w:hAnsi="Tahoma" w:cs="Tahoma"/>
          <w:sz w:val="24"/>
          <w:szCs w:val="24"/>
          <w:lang w:val="en-US"/>
        </w:rPr>
        <w:t>11.52 billion in the first two months of</w:t>
      </w:r>
      <w:r w:rsidR="00AB7B38" w:rsidRPr="00877F5E">
        <w:rPr>
          <w:rFonts w:ascii="Tahoma" w:hAnsi="Tahoma" w:cs="Tahoma"/>
          <w:sz w:val="24"/>
          <w:szCs w:val="24"/>
          <w:lang w:val="en-US"/>
        </w:rPr>
        <w:t xml:space="preserve"> 2020, </w:t>
      </w:r>
      <w:r w:rsidR="00575913" w:rsidRPr="00877F5E">
        <w:rPr>
          <w:rFonts w:ascii="Tahoma" w:hAnsi="Tahoma" w:cs="Tahoma"/>
          <w:sz w:val="24"/>
          <w:szCs w:val="24"/>
          <w:lang w:val="en-US"/>
        </w:rPr>
        <w:t xml:space="preserve">increasing by </w:t>
      </w:r>
      <w:r w:rsidR="00267F0E" w:rsidRPr="00877F5E">
        <w:rPr>
          <w:rFonts w:ascii="Tahoma" w:hAnsi="Tahoma" w:cs="Tahoma"/>
          <w:sz w:val="24"/>
          <w:szCs w:val="24"/>
          <w:lang w:val="en-US"/>
        </w:rPr>
        <w:t>6.7%</w:t>
      </w:r>
      <w:r w:rsidR="00575913" w:rsidRPr="00877F5E">
        <w:rPr>
          <w:rFonts w:ascii="Tahoma" w:hAnsi="Tahoma" w:cs="Tahoma"/>
          <w:sz w:val="24"/>
          <w:szCs w:val="24"/>
          <w:lang w:val="en-US"/>
        </w:rPr>
        <w:t xml:space="preserve"> </w:t>
      </w:r>
      <w:proofErr w:type="spellStart"/>
      <w:r w:rsidR="00CA4EB6" w:rsidRPr="00877F5E">
        <w:rPr>
          <w:rFonts w:ascii="Tahoma" w:hAnsi="Tahoma" w:cs="Tahoma"/>
          <w:sz w:val="24"/>
          <w:szCs w:val="24"/>
          <w:lang w:val="en-US"/>
        </w:rPr>
        <w:t>yoy</w:t>
      </w:r>
      <w:proofErr w:type="spellEnd"/>
      <w:r w:rsidR="00CA4EB6" w:rsidRPr="00877F5E">
        <w:rPr>
          <w:rFonts w:ascii="Tahoma" w:hAnsi="Tahoma" w:cs="Tahoma"/>
          <w:sz w:val="24"/>
          <w:szCs w:val="24"/>
          <w:lang w:val="en-US"/>
        </w:rPr>
        <w:t>.</w:t>
      </w:r>
      <w:r w:rsidR="00A33EA5" w:rsidRPr="00877F5E">
        <w:rPr>
          <w:rFonts w:ascii="Tahoma" w:hAnsi="Tahoma" w:cs="Tahoma"/>
          <w:sz w:val="24"/>
          <w:szCs w:val="24"/>
          <w:lang w:val="en-US"/>
        </w:rPr>
        <w:t xml:space="preserve"> </w:t>
      </w:r>
    </w:p>
    <w:p w14:paraId="07300B3D" w14:textId="69289524" w:rsidR="00267F0E" w:rsidRPr="00877F5E" w:rsidRDefault="00575913" w:rsidP="00DE1D44">
      <w:pPr>
        <w:spacing w:after="120" w:line="360" w:lineRule="auto"/>
        <w:jc w:val="both"/>
        <w:rPr>
          <w:rFonts w:ascii="Tahoma" w:hAnsi="Tahoma" w:cs="Tahoma"/>
          <w:color w:val="FF0000"/>
          <w:sz w:val="24"/>
          <w:szCs w:val="24"/>
          <w:lang w:val="en-US"/>
        </w:rPr>
      </w:pPr>
      <w:r w:rsidRPr="00877F5E">
        <w:rPr>
          <w:rFonts w:ascii="Tahoma" w:hAnsi="Tahoma" w:cs="Tahoma"/>
          <w:sz w:val="24"/>
          <w:szCs w:val="24"/>
          <w:lang w:val="en-US"/>
        </w:rPr>
        <w:t xml:space="preserve">During the </w:t>
      </w:r>
      <w:proofErr w:type="spellStart"/>
      <w:r w:rsidRPr="00877F5E">
        <w:rPr>
          <w:rFonts w:ascii="Tahoma" w:hAnsi="Tahoma" w:cs="Tahoma"/>
          <w:sz w:val="24"/>
          <w:szCs w:val="24"/>
          <w:lang w:val="en-US"/>
        </w:rPr>
        <w:t>analy</w:t>
      </w:r>
      <w:r w:rsidR="000E1751" w:rsidRPr="00877F5E">
        <w:rPr>
          <w:rFonts w:ascii="Tahoma" w:hAnsi="Tahoma" w:cs="Tahoma"/>
          <w:sz w:val="24"/>
          <w:szCs w:val="24"/>
          <w:lang w:val="en-US"/>
        </w:rPr>
        <w:t>s</w:t>
      </w:r>
      <w:r w:rsidRPr="00877F5E">
        <w:rPr>
          <w:rFonts w:ascii="Tahoma" w:hAnsi="Tahoma" w:cs="Tahoma"/>
          <w:sz w:val="24"/>
          <w:szCs w:val="24"/>
          <w:lang w:val="en-US"/>
        </w:rPr>
        <w:t>ed</w:t>
      </w:r>
      <w:proofErr w:type="spellEnd"/>
      <w:r w:rsidRPr="00877F5E">
        <w:rPr>
          <w:rFonts w:ascii="Tahoma" w:hAnsi="Tahoma" w:cs="Tahoma"/>
          <w:sz w:val="24"/>
          <w:szCs w:val="24"/>
          <w:lang w:val="en-US"/>
        </w:rPr>
        <w:t xml:space="preserve"> period, gross VAT revenues (excluding reimbursements), grew by 11.4%, </w:t>
      </w:r>
      <w:proofErr w:type="spellStart"/>
      <w:r w:rsidRPr="00877F5E">
        <w:rPr>
          <w:rFonts w:ascii="Tahoma" w:hAnsi="Tahoma" w:cs="Tahoma"/>
          <w:sz w:val="24"/>
          <w:szCs w:val="24"/>
          <w:lang w:val="en-US"/>
        </w:rPr>
        <w:t>yoy</w:t>
      </w:r>
      <w:proofErr w:type="spellEnd"/>
      <w:r w:rsidRPr="00877F5E">
        <w:rPr>
          <w:rFonts w:ascii="Tahoma" w:hAnsi="Tahoma" w:cs="Tahoma"/>
          <w:sz w:val="24"/>
          <w:szCs w:val="24"/>
          <w:lang w:val="en-US"/>
        </w:rPr>
        <w:t xml:space="preserve"> (12.2% in February), in line with the dynamics of the relevant macroeconomic base – the turnover in trade, services and industry - 11% </w:t>
      </w:r>
      <w:proofErr w:type="spellStart"/>
      <w:r w:rsidRPr="00877F5E">
        <w:rPr>
          <w:rFonts w:ascii="Tahoma" w:hAnsi="Tahoma" w:cs="Tahoma"/>
          <w:sz w:val="24"/>
          <w:szCs w:val="24"/>
          <w:lang w:val="en-US"/>
        </w:rPr>
        <w:t>yoy</w:t>
      </w:r>
      <w:proofErr w:type="spellEnd"/>
      <w:r w:rsidRPr="00877F5E">
        <w:rPr>
          <w:rFonts w:ascii="Tahoma" w:hAnsi="Tahoma" w:cs="Tahoma"/>
          <w:sz w:val="24"/>
          <w:szCs w:val="24"/>
          <w:lang w:val="en-US"/>
        </w:rPr>
        <w:t>. Also, VAT reimbursements were 29.4% higher than last year (</w:t>
      </w:r>
      <w:r w:rsidR="004A79D5" w:rsidRPr="00877F5E">
        <w:rPr>
          <w:rFonts w:ascii="Tahoma" w:hAnsi="Tahoma" w:cs="Tahoma"/>
          <w:sz w:val="24"/>
          <w:szCs w:val="24"/>
          <w:lang w:val="en-US"/>
        </w:rPr>
        <w:t xml:space="preserve">RON </w:t>
      </w:r>
      <w:r w:rsidRPr="00877F5E">
        <w:rPr>
          <w:rFonts w:ascii="Tahoma" w:hAnsi="Tahoma" w:cs="Tahoma"/>
          <w:sz w:val="24"/>
          <w:szCs w:val="24"/>
          <w:lang w:val="en-US"/>
        </w:rPr>
        <w:t xml:space="preserve">3.2 billion in </w:t>
      </w:r>
      <w:r w:rsidR="00011225" w:rsidRPr="00877F5E">
        <w:rPr>
          <w:rFonts w:ascii="Tahoma" w:hAnsi="Tahoma" w:cs="Tahoma"/>
          <w:sz w:val="24"/>
          <w:szCs w:val="24"/>
          <w:lang w:val="en-US"/>
        </w:rPr>
        <w:t>January</w:t>
      </w:r>
      <w:r w:rsidRPr="00877F5E">
        <w:rPr>
          <w:rFonts w:ascii="Tahoma" w:hAnsi="Tahoma" w:cs="Tahoma"/>
          <w:sz w:val="24"/>
          <w:szCs w:val="24"/>
          <w:lang w:val="en-US"/>
        </w:rPr>
        <w:t xml:space="preserve">-February 2020, compared to </w:t>
      </w:r>
      <w:r w:rsidR="004A79D5" w:rsidRPr="00877F5E">
        <w:rPr>
          <w:rFonts w:ascii="Tahoma" w:hAnsi="Tahoma" w:cs="Tahoma"/>
          <w:sz w:val="24"/>
          <w:szCs w:val="24"/>
          <w:lang w:val="en-US"/>
        </w:rPr>
        <w:t xml:space="preserve">RON </w:t>
      </w:r>
      <w:r w:rsidRPr="00877F5E">
        <w:rPr>
          <w:rFonts w:ascii="Tahoma" w:hAnsi="Tahoma" w:cs="Tahoma"/>
          <w:sz w:val="24"/>
          <w:szCs w:val="24"/>
          <w:lang w:val="en-US"/>
        </w:rPr>
        <w:t>2.5 billion in January-February 2019).</w:t>
      </w:r>
    </w:p>
    <w:p w14:paraId="592BC6D3" w14:textId="3827C55C" w:rsidR="00AB7B38" w:rsidRPr="00877F5E" w:rsidRDefault="00DE1D44" w:rsidP="00AB7B38">
      <w:pPr>
        <w:spacing w:after="0" w:line="240" w:lineRule="auto"/>
        <w:jc w:val="center"/>
        <w:rPr>
          <w:rFonts w:ascii="Tahoma" w:hAnsi="Tahoma" w:cs="Tahoma"/>
          <w:color w:val="FF0000"/>
          <w:sz w:val="24"/>
          <w:szCs w:val="24"/>
          <w:lang w:val="en-US"/>
        </w:rPr>
      </w:pPr>
      <w:r w:rsidRPr="00877F5E">
        <w:rPr>
          <w:rFonts w:ascii="Tahoma" w:hAnsi="Tahoma" w:cs="Tahoma"/>
          <w:noProof/>
          <w:color w:val="FF0000"/>
          <w:sz w:val="24"/>
          <w:szCs w:val="24"/>
          <w:lang w:val="en-US"/>
        </w:rPr>
        <w:drawing>
          <wp:inline distT="0" distB="0" distL="0" distR="0" wp14:anchorId="4F3F5397" wp14:editId="01F9C37C">
            <wp:extent cx="6200775" cy="2494915"/>
            <wp:effectExtent l="0" t="0" r="952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3863" cy="2500181"/>
                    </a:xfrm>
                    <a:prstGeom prst="rect">
                      <a:avLst/>
                    </a:prstGeom>
                    <a:noFill/>
                  </pic:spPr>
                </pic:pic>
              </a:graphicData>
            </a:graphic>
          </wp:inline>
        </w:drawing>
      </w:r>
    </w:p>
    <w:p w14:paraId="4EAA1BB7" w14:textId="77777777" w:rsidR="000856A0" w:rsidRPr="00877F5E" w:rsidRDefault="000856A0" w:rsidP="00222089">
      <w:pPr>
        <w:pStyle w:val="ListParagraph"/>
        <w:spacing w:line="360" w:lineRule="auto"/>
        <w:jc w:val="both"/>
        <w:rPr>
          <w:rFonts w:ascii="Tahoma" w:hAnsi="Tahoma" w:cs="Tahoma"/>
          <w:sz w:val="20"/>
          <w:szCs w:val="24"/>
          <w:lang w:val="en-US"/>
        </w:rPr>
      </w:pPr>
    </w:p>
    <w:p w14:paraId="254A22ED" w14:textId="378C429E" w:rsidR="00AB7B38" w:rsidRPr="00877F5E" w:rsidRDefault="00222089" w:rsidP="00283621">
      <w:pPr>
        <w:pStyle w:val="ListParagraph"/>
        <w:spacing w:line="360" w:lineRule="auto"/>
        <w:jc w:val="both"/>
        <w:rPr>
          <w:lang w:val="en-US"/>
        </w:rPr>
      </w:pPr>
      <w:r w:rsidRPr="00877F5E">
        <w:rPr>
          <w:rFonts w:ascii="Tahoma" w:hAnsi="Tahoma" w:cs="Tahoma"/>
          <w:sz w:val="20"/>
          <w:szCs w:val="24"/>
          <w:lang w:val="en-US"/>
        </w:rPr>
        <w:t xml:space="preserve">Source: </w:t>
      </w:r>
      <w:proofErr w:type="spellStart"/>
      <w:r w:rsidRPr="00877F5E">
        <w:rPr>
          <w:rFonts w:ascii="Tahoma" w:hAnsi="Tahoma" w:cs="Tahoma"/>
          <w:sz w:val="20"/>
          <w:szCs w:val="24"/>
          <w:lang w:val="en-US"/>
        </w:rPr>
        <w:t>MoPF</w:t>
      </w:r>
      <w:proofErr w:type="spellEnd"/>
      <w:r w:rsidRPr="00877F5E">
        <w:rPr>
          <w:rFonts w:ascii="Tahoma" w:hAnsi="Tahoma" w:cs="Tahoma"/>
          <w:sz w:val="20"/>
          <w:szCs w:val="24"/>
          <w:lang w:val="en-US"/>
        </w:rPr>
        <w:t>, NIS, own calculations</w:t>
      </w:r>
    </w:p>
    <w:p w14:paraId="282AAA27" w14:textId="77777777" w:rsidR="00C1718B" w:rsidRPr="00877F5E" w:rsidRDefault="00AB7B38" w:rsidP="005C7476">
      <w:pPr>
        <w:pStyle w:val="ListParagraph"/>
        <w:spacing w:before="240" w:line="360" w:lineRule="auto"/>
        <w:jc w:val="center"/>
        <w:rPr>
          <w:rFonts w:ascii="Tahoma" w:hAnsi="Tahoma" w:cs="Tahoma"/>
          <w:b/>
          <w:szCs w:val="24"/>
          <w:lang w:val="en-US"/>
        </w:rPr>
      </w:pPr>
      <w:r w:rsidRPr="00877F5E">
        <w:rPr>
          <w:rFonts w:ascii="Tahoma" w:hAnsi="Tahoma" w:cs="Tahoma"/>
          <w:b/>
          <w:szCs w:val="24"/>
          <w:lang w:val="en-US"/>
        </w:rPr>
        <w:t xml:space="preserve">Fig.3 </w:t>
      </w:r>
      <w:r w:rsidR="00222089" w:rsidRPr="00877F5E">
        <w:rPr>
          <w:rFonts w:ascii="Tahoma" w:hAnsi="Tahoma" w:cs="Tahoma"/>
          <w:b/>
          <w:sz w:val="24"/>
          <w:szCs w:val="24"/>
          <w:lang w:val="en-US"/>
        </w:rPr>
        <w:t>VAT revenue</w:t>
      </w:r>
    </w:p>
    <w:p w14:paraId="07CE5BA9" w14:textId="77777777" w:rsidR="00A33EA5" w:rsidRPr="00877F5E" w:rsidRDefault="00CA4EB6" w:rsidP="00A33EA5">
      <w:pPr>
        <w:spacing w:after="120" w:line="360" w:lineRule="auto"/>
        <w:jc w:val="both"/>
        <w:rPr>
          <w:rFonts w:ascii="Tahoma" w:hAnsi="Tahoma" w:cs="Tahoma"/>
          <w:sz w:val="24"/>
          <w:szCs w:val="24"/>
          <w:lang w:val="en-US"/>
        </w:rPr>
      </w:pPr>
      <w:r w:rsidRPr="00877F5E">
        <w:rPr>
          <w:rFonts w:ascii="Tahoma" w:hAnsi="Tahoma" w:cs="Tahoma"/>
          <w:b/>
          <w:i/>
          <w:sz w:val="24"/>
          <w:szCs w:val="24"/>
          <w:lang w:val="en-US"/>
        </w:rPr>
        <w:lastRenderedPageBreak/>
        <w:t xml:space="preserve">Excise duties </w:t>
      </w:r>
      <w:r w:rsidRPr="00877F5E">
        <w:rPr>
          <w:rFonts w:ascii="Tahoma" w:hAnsi="Tahoma" w:cs="Tahoma"/>
          <w:sz w:val="24"/>
          <w:szCs w:val="24"/>
          <w:lang w:val="en-US"/>
        </w:rPr>
        <w:t xml:space="preserve">receipts amounted to RON </w:t>
      </w:r>
      <w:r w:rsidR="00082F2B" w:rsidRPr="00877F5E">
        <w:rPr>
          <w:rFonts w:ascii="Tahoma" w:hAnsi="Tahoma" w:cs="Tahoma"/>
          <w:sz w:val="24"/>
          <w:szCs w:val="24"/>
          <w:lang w:val="en-US"/>
        </w:rPr>
        <w:t xml:space="preserve">5.03 </w:t>
      </w:r>
      <w:r w:rsidRPr="00877F5E">
        <w:rPr>
          <w:rFonts w:ascii="Tahoma" w:hAnsi="Tahoma" w:cs="Tahoma"/>
          <w:sz w:val="24"/>
          <w:szCs w:val="24"/>
          <w:lang w:val="en-US"/>
        </w:rPr>
        <w:t>billion</w:t>
      </w:r>
      <w:r w:rsidR="00CF1ED7" w:rsidRPr="00877F5E">
        <w:rPr>
          <w:rFonts w:ascii="Tahoma" w:hAnsi="Tahoma" w:cs="Tahoma"/>
          <w:sz w:val="24"/>
          <w:szCs w:val="24"/>
          <w:lang w:val="en-US"/>
        </w:rPr>
        <w:t xml:space="preserve">, </w:t>
      </w:r>
      <w:r w:rsidR="00A33EA5" w:rsidRPr="00877F5E">
        <w:rPr>
          <w:rFonts w:ascii="Tahoma" w:hAnsi="Tahoma" w:cs="Tahoma"/>
          <w:sz w:val="24"/>
          <w:szCs w:val="24"/>
          <w:lang w:val="en-US"/>
        </w:rPr>
        <w:t>advancing by</w:t>
      </w:r>
      <w:r w:rsidR="00082F2B" w:rsidRPr="00877F5E">
        <w:rPr>
          <w:rFonts w:ascii="Tahoma" w:hAnsi="Tahoma" w:cs="Tahoma"/>
          <w:sz w:val="24"/>
          <w:szCs w:val="24"/>
          <w:lang w:val="en-US"/>
        </w:rPr>
        <w:t xml:space="preserve"> 11.3</w:t>
      </w:r>
      <w:r w:rsidR="00CF1ED7" w:rsidRPr="00877F5E">
        <w:rPr>
          <w:rFonts w:ascii="Tahoma" w:hAnsi="Tahoma" w:cs="Tahoma"/>
          <w:sz w:val="24"/>
          <w:szCs w:val="24"/>
          <w:lang w:val="en-US"/>
        </w:rPr>
        <w:t>%</w:t>
      </w:r>
      <w:r w:rsidRPr="00877F5E">
        <w:rPr>
          <w:rFonts w:ascii="Tahoma" w:hAnsi="Tahoma" w:cs="Tahoma"/>
          <w:sz w:val="24"/>
          <w:szCs w:val="24"/>
          <w:lang w:val="en-US"/>
        </w:rPr>
        <w:t xml:space="preserve"> compared to </w:t>
      </w:r>
      <w:r w:rsidR="00082F2B" w:rsidRPr="00877F5E">
        <w:rPr>
          <w:rFonts w:ascii="Tahoma" w:hAnsi="Tahoma" w:cs="Tahoma"/>
          <w:sz w:val="24"/>
          <w:szCs w:val="24"/>
          <w:lang w:val="en-US"/>
        </w:rPr>
        <w:t>the first two months of</w:t>
      </w:r>
      <w:r w:rsidR="000500BA" w:rsidRPr="00877F5E">
        <w:rPr>
          <w:rFonts w:ascii="Tahoma" w:hAnsi="Tahoma" w:cs="Tahoma"/>
          <w:sz w:val="24"/>
          <w:szCs w:val="24"/>
          <w:lang w:val="en-US"/>
        </w:rPr>
        <w:t xml:space="preserve"> 2019</w:t>
      </w:r>
      <w:r w:rsidR="00082F2B" w:rsidRPr="00877F5E">
        <w:rPr>
          <w:rFonts w:ascii="Tahoma" w:hAnsi="Tahoma" w:cs="Tahoma"/>
          <w:sz w:val="24"/>
          <w:szCs w:val="24"/>
          <w:lang w:val="en-US"/>
        </w:rPr>
        <w:t>.</w:t>
      </w:r>
    </w:p>
    <w:p w14:paraId="7AACADFA" w14:textId="4F51FFEE" w:rsidR="00CF1ED7" w:rsidRPr="00877F5E" w:rsidRDefault="00ED3A9E" w:rsidP="00DE1D44">
      <w:pPr>
        <w:spacing w:after="120" w:line="360" w:lineRule="auto"/>
        <w:jc w:val="both"/>
        <w:rPr>
          <w:rFonts w:ascii="Tahoma" w:hAnsi="Tahoma" w:cs="Tahoma"/>
          <w:color w:val="FF0000"/>
          <w:sz w:val="24"/>
          <w:szCs w:val="24"/>
          <w:lang w:val="en-US"/>
        </w:rPr>
      </w:pPr>
      <w:r w:rsidRPr="00877F5E">
        <w:rPr>
          <w:rFonts w:ascii="Tahoma" w:hAnsi="Tahoma" w:cs="Tahoma"/>
          <w:sz w:val="24"/>
          <w:szCs w:val="24"/>
          <w:lang w:val="en-US"/>
        </w:rPr>
        <w:t xml:space="preserve">Excise revenue from energy products </w:t>
      </w:r>
      <w:r w:rsidR="00A33EA5" w:rsidRPr="00877F5E">
        <w:rPr>
          <w:rFonts w:ascii="Tahoma" w:hAnsi="Tahoma" w:cs="Tahoma"/>
          <w:sz w:val="24"/>
          <w:szCs w:val="24"/>
          <w:lang w:val="en-US"/>
        </w:rPr>
        <w:t>expanded</w:t>
      </w:r>
      <w:r w:rsidRPr="00877F5E">
        <w:rPr>
          <w:rFonts w:ascii="Tahoma" w:hAnsi="Tahoma" w:cs="Tahoma"/>
          <w:sz w:val="24"/>
          <w:szCs w:val="24"/>
          <w:lang w:val="en-US"/>
        </w:rPr>
        <w:t xml:space="preserve"> </w:t>
      </w:r>
      <w:r w:rsidR="00082F2B" w:rsidRPr="00877F5E">
        <w:rPr>
          <w:rFonts w:ascii="Tahoma" w:hAnsi="Tahoma" w:cs="Tahoma"/>
          <w:sz w:val="24"/>
          <w:szCs w:val="24"/>
          <w:lang w:val="en-US"/>
        </w:rPr>
        <w:t xml:space="preserve">in February </w:t>
      </w:r>
      <w:r w:rsidR="000E1751" w:rsidRPr="00877F5E">
        <w:rPr>
          <w:rFonts w:ascii="Tahoma" w:hAnsi="Tahoma" w:cs="Tahoma"/>
          <w:sz w:val="24"/>
          <w:szCs w:val="24"/>
          <w:lang w:val="en-US"/>
        </w:rPr>
        <w:t>by</w:t>
      </w:r>
      <w:r w:rsidR="00082F2B" w:rsidRPr="00877F5E">
        <w:rPr>
          <w:rFonts w:ascii="Tahoma" w:hAnsi="Tahoma" w:cs="Tahoma"/>
          <w:sz w:val="24"/>
          <w:szCs w:val="24"/>
          <w:lang w:val="en-US"/>
        </w:rPr>
        <w:t xml:space="preserve"> 12.7%, </w:t>
      </w:r>
      <w:proofErr w:type="spellStart"/>
      <w:r w:rsidR="00082F2B" w:rsidRPr="00877F5E">
        <w:rPr>
          <w:rFonts w:ascii="Tahoma" w:hAnsi="Tahoma" w:cs="Tahoma"/>
          <w:sz w:val="24"/>
          <w:szCs w:val="24"/>
          <w:lang w:val="en-US"/>
        </w:rPr>
        <w:t>yoy</w:t>
      </w:r>
      <w:proofErr w:type="spellEnd"/>
      <w:r w:rsidR="00082F2B" w:rsidRPr="00877F5E">
        <w:rPr>
          <w:rFonts w:ascii="Tahoma" w:hAnsi="Tahoma" w:cs="Tahoma"/>
          <w:sz w:val="24"/>
          <w:szCs w:val="24"/>
          <w:lang w:val="en-US"/>
        </w:rPr>
        <w:t xml:space="preserve"> (+10.8% in Jan-Feb), </w:t>
      </w:r>
      <w:r w:rsidR="002B38A6" w:rsidRPr="00877F5E">
        <w:rPr>
          <w:rFonts w:ascii="Tahoma" w:hAnsi="Tahoma" w:cs="Tahoma"/>
          <w:sz w:val="24"/>
          <w:szCs w:val="24"/>
          <w:lang w:val="en-US"/>
        </w:rPr>
        <w:t>despite the reduction in excise level on fuel since the beginning of the year (by 13% for gasoline and 14</w:t>
      </w:r>
      <w:r w:rsidR="007B6586" w:rsidRPr="00877F5E">
        <w:rPr>
          <w:rFonts w:ascii="Tahoma" w:hAnsi="Tahoma" w:cs="Tahoma"/>
          <w:sz w:val="24"/>
          <w:szCs w:val="24"/>
          <w:lang w:val="en-US"/>
        </w:rPr>
        <w:t>.</w:t>
      </w:r>
      <w:r w:rsidR="002B38A6" w:rsidRPr="00877F5E">
        <w:rPr>
          <w:rFonts w:ascii="Tahoma" w:hAnsi="Tahoma" w:cs="Tahoma"/>
          <w:sz w:val="24"/>
          <w:szCs w:val="24"/>
          <w:lang w:val="en-US"/>
        </w:rPr>
        <w:t>3% for diesel)</w:t>
      </w:r>
      <w:r w:rsidR="00E261B4" w:rsidRPr="00877F5E">
        <w:rPr>
          <w:rFonts w:ascii="Tahoma" w:hAnsi="Tahoma" w:cs="Tahoma"/>
          <w:sz w:val="24"/>
          <w:szCs w:val="24"/>
          <w:lang w:val="en-US"/>
        </w:rPr>
        <w:t>.</w:t>
      </w:r>
      <w:r w:rsidR="00C21E60" w:rsidRPr="00877F5E">
        <w:rPr>
          <w:rFonts w:ascii="Tahoma" w:hAnsi="Tahoma" w:cs="Tahoma"/>
          <w:sz w:val="24"/>
          <w:szCs w:val="24"/>
          <w:lang w:val="en-US"/>
        </w:rPr>
        <w:t xml:space="preserve"> </w:t>
      </w:r>
      <w:r w:rsidR="000500BA" w:rsidRPr="00877F5E">
        <w:rPr>
          <w:rFonts w:ascii="Tahoma" w:hAnsi="Tahoma" w:cs="Tahoma"/>
          <w:sz w:val="24"/>
          <w:szCs w:val="24"/>
          <w:lang w:val="en-US"/>
        </w:rPr>
        <w:t xml:space="preserve">Excise revenue from tobacco products was </w:t>
      </w:r>
      <w:r w:rsidR="00DD16B5" w:rsidRPr="00877F5E">
        <w:rPr>
          <w:rFonts w:ascii="Tahoma" w:hAnsi="Tahoma" w:cs="Tahoma"/>
          <w:sz w:val="24"/>
          <w:szCs w:val="24"/>
          <w:lang w:val="en-US"/>
        </w:rPr>
        <w:t>11.4% higher</w:t>
      </w:r>
      <w:r w:rsidR="000500BA" w:rsidRPr="00877F5E">
        <w:rPr>
          <w:rFonts w:ascii="Tahoma" w:hAnsi="Tahoma" w:cs="Tahoma"/>
          <w:sz w:val="24"/>
          <w:szCs w:val="24"/>
          <w:lang w:val="en-US"/>
        </w:rPr>
        <w:t xml:space="preserve"> compared to January</w:t>
      </w:r>
      <w:r w:rsidR="00DD16B5" w:rsidRPr="00877F5E">
        <w:rPr>
          <w:rFonts w:ascii="Tahoma" w:hAnsi="Tahoma" w:cs="Tahoma"/>
          <w:sz w:val="24"/>
          <w:szCs w:val="24"/>
          <w:lang w:val="en-US"/>
        </w:rPr>
        <w:t>-February</w:t>
      </w:r>
      <w:r w:rsidR="000500BA" w:rsidRPr="00877F5E">
        <w:rPr>
          <w:rFonts w:ascii="Tahoma" w:hAnsi="Tahoma" w:cs="Tahoma"/>
          <w:sz w:val="24"/>
          <w:szCs w:val="24"/>
          <w:lang w:val="en-US"/>
        </w:rPr>
        <w:t xml:space="preserve"> 2019, </w:t>
      </w:r>
      <w:r w:rsidR="005B1F3B" w:rsidRPr="00877F5E">
        <w:rPr>
          <w:rFonts w:ascii="Tahoma" w:hAnsi="Tahoma" w:cs="Tahoma"/>
          <w:sz w:val="24"/>
          <w:szCs w:val="24"/>
          <w:lang w:val="en-US"/>
        </w:rPr>
        <w:t>supported by</w:t>
      </w:r>
      <w:r w:rsidR="000500BA" w:rsidRPr="00877F5E">
        <w:rPr>
          <w:rFonts w:ascii="Tahoma" w:hAnsi="Tahoma" w:cs="Tahoma"/>
          <w:sz w:val="24"/>
          <w:szCs w:val="24"/>
          <w:lang w:val="en-US"/>
        </w:rPr>
        <w:t xml:space="preserve"> </w:t>
      </w:r>
      <w:r w:rsidR="002B38A6" w:rsidRPr="00877F5E">
        <w:rPr>
          <w:rFonts w:ascii="Tahoma" w:hAnsi="Tahoma" w:cs="Tahoma"/>
          <w:sz w:val="24"/>
          <w:szCs w:val="24"/>
          <w:lang w:val="en-US"/>
        </w:rPr>
        <w:t xml:space="preserve">a 4.2% </w:t>
      </w:r>
      <w:r w:rsidR="005B1F3B" w:rsidRPr="00877F5E">
        <w:rPr>
          <w:rFonts w:ascii="Tahoma" w:hAnsi="Tahoma" w:cs="Tahoma"/>
          <w:sz w:val="24"/>
          <w:szCs w:val="24"/>
          <w:lang w:val="en-US"/>
        </w:rPr>
        <w:t>hike</w:t>
      </w:r>
      <w:r w:rsidR="000500BA" w:rsidRPr="00877F5E">
        <w:rPr>
          <w:rFonts w:ascii="Tahoma" w:hAnsi="Tahoma" w:cs="Tahoma"/>
          <w:sz w:val="24"/>
          <w:szCs w:val="24"/>
          <w:lang w:val="en-US"/>
        </w:rPr>
        <w:t xml:space="preserve"> </w:t>
      </w:r>
      <w:r w:rsidR="005B1F3B" w:rsidRPr="00877F5E">
        <w:rPr>
          <w:rFonts w:ascii="Tahoma" w:hAnsi="Tahoma" w:cs="Tahoma"/>
          <w:sz w:val="24"/>
          <w:szCs w:val="24"/>
          <w:lang w:val="en-US"/>
        </w:rPr>
        <w:t xml:space="preserve">in the </w:t>
      </w:r>
      <w:r w:rsidR="000500BA" w:rsidRPr="00877F5E">
        <w:rPr>
          <w:rFonts w:ascii="Tahoma" w:hAnsi="Tahoma" w:cs="Tahoma"/>
          <w:sz w:val="24"/>
          <w:szCs w:val="24"/>
          <w:lang w:val="en-US"/>
        </w:rPr>
        <w:t xml:space="preserve">excise level </w:t>
      </w:r>
      <w:r w:rsidR="005B1F3B" w:rsidRPr="00877F5E">
        <w:rPr>
          <w:rFonts w:ascii="Tahoma" w:hAnsi="Tahoma" w:cs="Tahoma"/>
          <w:sz w:val="24"/>
          <w:szCs w:val="24"/>
          <w:lang w:val="en-US"/>
        </w:rPr>
        <w:t>for</w:t>
      </w:r>
      <w:r w:rsidR="000500BA" w:rsidRPr="00877F5E">
        <w:rPr>
          <w:rFonts w:ascii="Tahoma" w:hAnsi="Tahoma" w:cs="Tahoma"/>
          <w:sz w:val="24"/>
          <w:szCs w:val="24"/>
          <w:lang w:val="en-US"/>
        </w:rPr>
        <w:t xml:space="preserve"> cigarettes.</w:t>
      </w:r>
      <w:r w:rsidR="000500BA" w:rsidRPr="00877F5E">
        <w:rPr>
          <w:rFonts w:ascii="Tahoma" w:hAnsi="Tahoma" w:cs="Tahoma"/>
          <w:color w:val="FF0000"/>
          <w:sz w:val="24"/>
          <w:szCs w:val="24"/>
          <w:lang w:val="en-US"/>
        </w:rPr>
        <w:t xml:space="preserve"> </w:t>
      </w:r>
    </w:p>
    <w:p w14:paraId="0F6E8433" w14:textId="18DE77C8" w:rsidR="007355A3" w:rsidRPr="00877F5E" w:rsidRDefault="00DE1D44" w:rsidP="00DE1D44">
      <w:pPr>
        <w:pStyle w:val="ListParagraph"/>
        <w:spacing w:line="360" w:lineRule="auto"/>
        <w:ind w:left="0"/>
        <w:jc w:val="center"/>
        <w:rPr>
          <w:rFonts w:ascii="Tahoma" w:hAnsi="Tahoma" w:cs="Tahoma"/>
          <w:sz w:val="20"/>
          <w:szCs w:val="24"/>
          <w:lang w:val="en-US"/>
        </w:rPr>
      </w:pPr>
      <w:r w:rsidRPr="00877F5E">
        <w:rPr>
          <w:rFonts w:ascii="Tahoma" w:hAnsi="Tahoma" w:cs="Tahoma"/>
          <w:noProof/>
          <w:sz w:val="24"/>
          <w:szCs w:val="24"/>
          <w:lang w:val="en-US"/>
        </w:rPr>
        <w:drawing>
          <wp:inline distT="0" distB="0" distL="0" distR="0" wp14:anchorId="29A5E1BD" wp14:editId="538CCB1C">
            <wp:extent cx="6210300" cy="24561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39471" cy="2467717"/>
                    </a:xfrm>
                    <a:prstGeom prst="rect">
                      <a:avLst/>
                    </a:prstGeom>
                    <a:noFill/>
                  </pic:spPr>
                </pic:pic>
              </a:graphicData>
            </a:graphic>
          </wp:inline>
        </w:drawing>
      </w:r>
    </w:p>
    <w:p w14:paraId="4D9B3DBD" w14:textId="0FAA32E0" w:rsidR="0073781B" w:rsidRPr="00877F5E" w:rsidRDefault="00222089" w:rsidP="00DD16B5">
      <w:pPr>
        <w:pStyle w:val="ListParagraph"/>
        <w:spacing w:line="360" w:lineRule="auto"/>
        <w:jc w:val="both"/>
        <w:rPr>
          <w:rFonts w:ascii="Tahoma" w:hAnsi="Tahoma" w:cs="Tahoma"/>
          <w:sz w:val="20"/>
          <w:szCs w:val="24"/>
          <w:lang w:val="en-US"/>
        </w:rPr>
      </w:pPr>
      <w:r w:rsidRPr="00877F5E">
        <w:rPr>
          <w:rFonts w:ascii="Tahoma" w:hAnsi="Tahoma" w:cs="Tahoma"/>
          <w:sz w:val="20"/>
          <w:szCs w:val="24"/>
          <w:lang w:val="en-US"/>
        </w:rPr>
        <w:t>Sou</w:t>
      </w:r>
      <w:r w:rsidR="00DD16B5" w:rsidRPr="00877F5E">
        <w:rPr>
          <w:rFonts w:ascii="Tahoma" w:hAnsi="Tahoma" w:cs="Tahoma"/>
          <w:sz w:val="20"/>
          <w:szCs w:val="24"/>
          <w:lang w:val="en-US"/>
        </w:rPr>
        <w:t xml:space="preserve">rce: </w:t>
      </w:r>
      <w:proofErr w:type="spellStart"/>
      <w:r w:rsidR="00DD16B5" w:rsidRPr="00877F5E">
        <w:rPr>
          <w:rFonts w:ascii="Tahoma" w:hAnsi="Tahoma" w:cs="Tahoma"/>
          <w:sz w:val="20"/>
          <w:szCs w:val="24"/>
          <w:lang w:val="en-US"/>
        </w:rPr>
        <w:t>MoPF</w:t>
      </w:r>
      <w:proofErr w:type="spellEnd"/>
      <w:r w:rsidR="00DD16B5" w:rsidRPr="00877F5E">
        <w:rPr>
          <w:rFonts w:ascii="Tahoma" w:hAnsi="Tahoma" w:cs="Tahoma"/>
          <w:sz w:val="20"/>
          <w:szCs w:val="24"/>
          <w:lang w:val="en-US"/>
        </w:rPr>
        <w:t>, NIS, own calculation</w:t>
      </w:r>
    </w:p>
    <w:p w14:paraId="579C677B" w14:textId="77777777" w:rsidR="00D75F6C" w:rsidRPr="00877F5E" w:rsidRDefault="00CF1ED7" w:rsidP="005C7476">
      <w:pPr>
        <w:pStyle w:val="ListParagraph"/>
        <w:spacing w:line="360" w:lineRule="auto"/>
        <w:jc w:val="center"/>
        <w:rPr>
          <w:rFonts w:ascii="Tahoma" w:hAnsi="Tahoma" w:cs="Tahoma"/>
          <w:b/>
          <w:sz w:val="24"/>
          <w:szCs w:val="24"/>
          <w:lang w:val="en-US"/>
        </w:rPr>
      </w:pPr>
      <w:r w:rsidRPr="00877F5E">
        <w:rPr>
          <w:rFonts w:ascii="Tahoma" w:hAnsi="Tahoma" w:cs="Tahoma"/>
          <w:b/>
          <w:sz w:val="24"/>
          <w:szCs w:val="24"/>
          <w:lang w:val="en-US"/>
        </w:rPr>
        <w:t>Fig.</w:t>
      </w:r>
      <w:r w:rsidR="00AB7B38" w:rsidRPr="00877F5E">
        <w:rPr>
          <w:rFonts w:ascii="Tahoma" w:hAnsi="Tahoma" w:cs="Tahoma"/>
          <w:b/>
          <w:sz w:val="24"/>
          <w:szCs w:val="24"/>
          <w:lang w:val="en-US"/>
        </w:rPr>
        <w:t>4</w:t>
      </w:r>
      <w:r w:rsidR="00D60BC0" w:rsidRPr="00877F5E">
        <w:rPr>
          <w:rFonts w:ascii="Tahoma" w:hAnsi="Tahoma" w:cs="Tahoma"/>
          <w:b/>
          <w:sz w:val="24"/>
          <w:szCs w:val="24"/>
          <w:lang w:val="en-US"/>
        </w:rPr>
        <w:t xml:space="preserve"> </w:t>
      </w:r>
      <w:r w:rsidR="00222089" w:rsidRPr="00877F5E">
        <w:rPr>
          <w:rFonts w:ascii="Tahoma" w:hAnsi="Tahoma" w:cs="Tahoma"/>
          <w:b/>
          <w:sz w:val="24"/>
          <w:szCs w:val="24"/>
          <w:lang w:val="en-US"/>
        </w:rPr>
        <w:t>Excise duties revenue</w:t>
      </w:r>
    </w:p>
    <w:p w14:paraId="263AC223" w14:textId="31438C82" w:rsidR="00CF1ED7" w:rsidRPr="00877F5E" w:rsidRDefault="00A238C5" w:rsidP="009C72B0">
      <w:pPr>
        <w:spacing w:before="240" w:after="120" w:line="360" w:lineRule="auto"/>
        <w:jc w:val="both"/>
        <w:rPr>
          <w:rFonts w:ascii="Tahoma" w:hAnsi="Tahoma" w:cs="Tahoma"/>
          <w:sz w:val="24"/>
          <w:szCs w:val="24"/>
          <w:lang w:val="en-US"/>
        </w:rPr>
      </w:pPr>
      <w:r w:rsidRPr="00877F5E">
        <w:rPr>
          <w:rFonts w:ascii="Tahoma" w:hAnsi="Tahoma" w:cs="Tahoma"/>
          <w:sz w:val="24"/>
          <w:szCs w:val="24"/>
          <w:lang w:val="en-US"/>
        </w:rPr>
        <w:t xml:space="preserve">Revenue from </w:t>
      </w:r>
      <w:r w:rsidRPr="00877F5E">
        <w:rPr>
          <w:rFonts w:ascii="Tahoma" w:hAnsi="Tahoma" w:cs="Tahoma"/>
          <w:b/>
          <w:i/>
          <w:sz w:val="24"/>
          <w:szCs w:val="24"/>
          <w:lang w:val="en-US"/>
        </w:rPr>
        <w:t>taxes on use of goods</w:t>
      </w:r>
      <w:r w:rsidRPr="00877F5E">
        <w:rPr>
          <w:rFonts w:ascii="Tahoma" w:hAnsi="Tahoma" w:cs="Tahoma"/>
          <w:sz w:val="24"/>
          <w:szCs w:val="24"/>
          <w:lang w:val="en-US"/>
        </w:rPr>
        <w:t xml:space="preserve"> </w:t>
      </w:r>
      <w:proofErr w:type="spellStart"/>
      <w:r w:rsidR="00D75F6C" w:rsidRPr="00877F5E">
        <w:rPr>
          <w:rFonts w:ascii="Tahoma" w:hAnsi="Tahoma" w:cs="Tahoma"/>
          <w:sz w:val="24"/>
          <w:szCs w:val="24"/>
          <w:lang w:val="en-US"/>
        </w:rPr>
        <w:t>totalled</w:t>
      </w:r>
      <w:proofErr w:type="spellEnd"/>
      <w:r w:rsidR="00D75F6C" w:rsidRPr="00877F5E">
        <w:rPr>
          <w:rFonts w:ascii="Tahoma" w:hAnsi="Tahoma" w:cs="Tahoma"/>
          <w:sz w:val="24"/>
          <w:szCs w:val="24"/>
          <w:lang w:val="en-US"/>
        </w:rPr>
        <w:t xml:space="preserve"> </w:t>
      </w:r>
      <w:r w:rsidR="004A79D5" w:rsidRPr="00877F5E">
        <w:rPr>
          <w:rFonts w:ascii="Tahoma" w:hAnsi="Tahoma" w:cs="Tahoma"/>
          <w:sz w:val="24"/>
          <w:szCs w:val="24"/>
          <w:lang w:val="en-US"/>
        </w:rPr>
        <w:t xml:space="preserve">RON </w:t>
      </w:r>
      <w:r w:rsidR="00DB1C61" w:rsidRPr="00877F5E">
        <w:rPr>
          <w:rFonts w:ascii="Tahoma" w:hAnsi="Tahoma" w:cs="Tahoma"/>
          <w:sz w:val="24"/>
          <w:szCs w:val="24"/>
          <w:lang w:val="en-US"/>
        </w:rPr>
        <w:t>0.</w:t>
      </w:r>
      <w:r w:rsidR="00D75F6C" w:rsidRPr="00877F5E">
        <w:rPr>
          <w:rFonts w:ascii="Tahoma" w:hAnsi="Tahoma" w:cs="Tahoma"/>
          <w:sz w:val="24"/>
          <w:szCs w:val="24"/>
          <w:lang w:val="en-US"/>
        </w:rPr>
        <w:t>72</w:t>
      </w:r>
      <w:r w:rsidR="00C80231" w:rsidRPr="00877F5E">
        <w:rPr>
          <w:rFonts w:ascii="Tahoma" w:hAnsi="Tahoma" w:cs="Tahoma"/>
          <w:sz w:val="24"/>
          <w:szCs w:val="24"/>
          <w:lang w:val="en-US"/>
        </w:rPr>
        <w:t xml:space="preserve"> </w:t>
      </w:r>
      <w:r w:rsidRPr="00877F5E">
        <w:rPr>
          <w:rFonts w:ascii="Tahoma" w:hAnsi="Tahoma" w:cs="Tahoma"/>
          <w:sz w:val="24"/>
          <w:szCs w:val="24"/>
          <w:lang w:val="en-US"/>
        </w:rPr>
        <w:t>billion</w:t>
      </w:r>
      <w:r w:rsidR="00C80231" w:rsidRPr="00877F5E">
        <w:rPr>
          <w:rFonts w:ascii="Tahoma" w:hAnsi="Tahoma" w:cs="Tahoma"/>
          <w:sz w:val="24"/>
          <w:szCs w:val="24"/>
          <w:lang w:val="en-US"/>
        </w:rPr>
        <w:t xml:space="preserve">, </w:t>
      </w:r>
      <w:r w:rsidR="00DB1C61" w:rsidRPr="00877F5E">
        <w:rPr>
          <w:rFonts w:ascii="Tahoma" w:hAnsi="Tahoma" w:cs="Tahoma"/>
          <w:sz w:val="24"/>
          <w:szCs w:val="24"/>
          <w:lang w:val="en-US"/>
        </w:rPr>
        <w:t>advancing by</w:t>
      </w:r>
      <w:r w:rsidR="00C80231" w:rsidRPr="00877F5E">
        <w:rPr>
          <w:rFonts w:ascii="Tahoma" w:hAnsi="Tahoma" w:cs="Tahoma"/>
          <w:sz w:val="24"/>
          <w:szCs w:val="24"/>
          <w:lang w:val="en-US"/>
        </w:rPr>
        <w:t xml:space="preserve"> </w:t>
      </w:r>
      <w:r w:rsidR="00D75F6C" w:rsidRPr="00877F5E">
        <w:rPr>
          <w:rFonts w:ascii="Tahoma" w:hAnsi="Tahoma" w:cs="Tahoma"/>
          <w:sz w:val="24"/>
          <w:szCs w:val="24"/>
          <w:lang w:val="en-US"/>
        </w:rPr>
        <w:t>24,6</w:t>
      </w:r>
      <w:r w:rsidR="00C80231" w:rsidRPr="00877F5E">
        <w:rPr>
          <w:rFonts w:ascii="Tahoma" w:hAnsi="Tahoma" w:cs="Tahoma"/>
          <w:sz w:val="24"/>
          <w:szCs w:val="24"/>
          <w:lang w:val="en-US"/>
        </w:rPr>
        <w:t xml:space="preserve">% </w:t>
      </w:r>
      <w:r w:rsidR="00D75F6C" w:rsidRPr="00877F5E">
        <w:rPr>
          <w:rFonts w:ascii="Tahoma" w:hAnsi="Tahoma" w:cs="Tahoma"/>
          <w:sz w:val="24"/>
          <w:szCs w:val="24"/>
          <w:lang w:val="en-US"/>
        </w:rPr>
        <w:t>(</w:t>
      </w:r>
      <w:proofErr w:type="spellStart"/>
      <w:r w:rsidR="00D75F6C" w:rsidRPr="00877F5E">
        <w:rPr>
          <w:rFonts w:ascii="Tahoma" w:hAnsi="Tahoma" w:cs="Tahoma"/>
          <w:sz w:val="24"/>
          <w:szCs w:val="24"/>
          <w:lang w:val="en-US"/>
        </w:rPr>
        <w:t>yoy</w:t>
      </w:r>
      <w:proofErr w:type="spellEnd"/>
      <w:r w:rsidR="00D75F6C" w:rsidRPr="00877F5E">
        <w:rPr>
          <w:rFonts w:ascii="Tahoma" w:hAnsi="Tahoma" w:cs="Tahoma"/>
          <w:sz w:val="24"/>
          <w:szCs w:val="24"/>
          <w:lang w:val="en-US"/>
        </w:rPr>
        <w:t xml:space="preserve">). This dynamic was </w:t>
      </w:r>
      <w:r w:rsidRPr="00877F5E">
        <w:rPr>
          <w:rFonts w:ascii="Tahoma" w:hAnsi="Tahoma" w:cs="Tahoma"/>
          <w:sz w:val="24"/>
          <w:szCs w:val="24"/>
          <w:lang w:val="en-US"/>
        </w:rPr>
        <w:t xml:space="preserve">mainly due to </w:t>
      </w:r>
      <w:r w:rsidR="003E7758" w:rsidRPr="00877F5E">
        <w:rPr>
          <w:rFonts w:ascii="Tahoma" w:hAnsi="Tahoma" w:cs="Tahoma"/>
          <w:sz w:val="24"/>
          <w:szCs w:val="24"/>
          <w:lang w:val="en-US"/>
        </w:rPr>
        <w:t xml:space="preserve">an </w:t>
      </w:r>
      <w:r w:rsidRPr="00877F5E">
        <w:rPr>
          <w:rFonts w:ascii="Tahoma" w:hAnsi="Tahoma" w:cs="Tahoma"/>
          <w:sz w:val="24"/>
          <w:szCs w:val="24"/>
          <w:lang w:val="en-US"/>
        </w:rPr>
        <w:t>increase in revenues from gambling taxes</w:t>
      </w:r>
      <w:r w:rsidR="00D75F6C" w:rsidRPr="00877F5E">
        <w:rPr>
          <w:rFonts w:ascii="Tahoma" w:hAnsi="Tahoma" w:cs="Tahoma"/>
          <w:sz w:val="24"/>
          <w:szCs w:val="24"/>
          <w:lang w:val="en-US"/>
        </w:rPr>
        <w:t xml:space="preserve"> by 45,4% </w:t>
      </w:r>
      <w:proofErr w:type="spellStart"/>
      <w:r w:rsidR="00D75F6C" w:rsidRPr="00877F5E">
        <w:rPr>
          <w:rFonts w:ascii="Tahoma" w:hAnsi="Tahoma" w:cs="Tahoma"/>
          <w:sz w:val="24"/>
          <w:szCs w:val="24"/>
          <w:lang w:val="en-US"/>
        </w:rPr>
        <w:t>yoy</w:t>
      </w:r>
      <w:proofErr w:type="spellEnd"/>
      <w:r w:rsidRPr="00877F5E">
        <w:rPr>
          <w:rFonts w:ascii="Tahoma" w:hAnsi="Tahoma" w:cs="Tahoma"/>
          <w:sz w:val="24"/>
          <w:szCs w:val="24"/>
          <w:lang w:val="en-US"/>
        </w:rPr>
        <w:t xml:space="preserve">. </w:t>
      </w:r>
    </w:p>
    <w:p w14:paraId="37367422" w14:textId="32FDC89B" w:rsidR="00D75F6C" w:rsidRPr="00877F5E" w:rsidRDefault="00D75F6C" w:rsidP="00D75F6C">
      <w:pPr>
        <w:spacing w:before="240" w:after="120" w:line="360" w:lineRule="auto"/>
        <w:jc w:val="both"/>
        <w:rPr>
          <w:rFonts w:ascii="Tahoma" w:hAnsi="Tahoma" w:cs="Tahoma"/>
          <w:sz w:val="24"/>
          <w:szCs w:val="24"/>
          <w:lang w:val="en-US"/>
        </w:rPr>
      </w:pPr>
      <w:r w:rsidRPr="00877F5E">
        <w:rPr>
          <w:rFonts w:ascii="Tahoma" w:hAnsi="Tahoma" w:cs="Tahoma"/>
          <w:b/>
          <w:i/>
          <w:sz w:val="24"/>
          <w:szCs w:val="24"/>
          <w:lang w:val="en-US"/>
        </w:rPr>
        <w:t>Non-tax revenue</w:t>
      </w:r>
      <w:r w:rsidRPr="00877F5E">
        <w:rPr>
          <w:rFonts w:ascii="Tahoma" w:hAnsi="Tahoma" w:cs="Tahoma"/>
          <w:sz w:val="24"/>
          <w:szCs w:val="24"/>
          <w:lang w:val="en-US"/>
        </w:rPr>
        <w:t xml:space="preserve"> amounted to RON </w:t>
      </w:r>
      <w:r w:rsidR="00D022EA" w:rsidRPr="00877F5E">
        <w:rPr>
          <w:rFonts w:ascii="Tahoma" w:hAnsi="Tahoma" w:cs="Tahoma"/>
          <w:sz w:val="24"/>
          <w:szCs w:val="24"/>
          <w:lang w:val="en-US"/>
        </w:rPr>
        <w:t xml:space="preserve">3.74 </w:t>
      </w:r>
      <w:r w:rsidRPr="00877F5E">
        <w:rPr>
          <w:rFonts w:ascii="Tahoma" w:hAnsi="Tahoma" w:cs="Tahoma"/>
          <w:sz w:val="24"/>
          <w:szCs w:val="24"/>
          <w:lang w:val="en-US"/>
        </w:rPr>
        <w:t>billion in the first two months of the current year</w:t>
      </w:r>
      <w:r w:rsidR="00D022EA" w:rsidRPr="00877F5E">
        <w:rPr>
          <w:rFonts w:ascii="Tahoma" w:hAnsi="Tahoma" w:cs="Tahoma"/>
          <w:sz w:val="24"/>
          <w:szCs w:val="24"/>
          <w:lang w:val="en-US"/>
        </w:rPr>
        <w:t xml:space="preserve">, rising by 9,4% </w:t>
      </w:r>
      <w:r w:rsidRPr="00877F5E">
        <w:rPr>
          <w:rFonts w:ascii="Tahoma" w:hAnsi="Tahoma" w:cs="Tahoma"/>
          <w:sz w:val="24"/>
          <w:szCs w:val="24"/>
          <w:lang w:val="en-US"/>
        </w:rPr>
        <w:t>(</w:t>
      </w:r>
      <w:proofErr w:type="spellStart"/>
      <w:r w:rsidRPr="00877F5E">
        <w:rPr>
          <w:rFonts w:ascii="Tahoma" w:hAnsi="Tahoma" w:cs="Tahoma"/>
          <w:sz w:val="24"/>
          <w:szCs w:val="24"/>
          <w:lang w:val="en-US"/>
        </w:rPr>
        <w:t>yoy</w:t>
      </w:r>
      <w:proofErr w:type="spellEnd"/>
      <w:r w:rsidRPr="00877F5E">
        <w:rPr>
          <w:rFonts w:ascii="Tahoma" w:hAnsi="Tahoma" w:cs="Tahoma"/>
          <w:sz w:val="24"/>
          <w:szCs w:val="24"/>
          <w:lang w:val="en-US"/>
        </w:rPr>
        <w:t xml:space="preserve">). This </w:t>
      </w:r>
      <w:r w:rsidR="0061378C" w:rsidRPr="00877F5E">
        <w:rPr>
          <w:rFonts w:ascii="Tahoma" w:hAnsi="Tahoma" w:cs="Tahoma"/>
          <w:sz w:val="24"/>
          <w:szCs w:val="24"/>
          <w:lang w:val="en-US"/>
        </w:rPr>
        <w:t>increase</w:t>
      </w:r>
      <w:r w:rsidRPr="00877F5E">
        <w:rPr>
          <w:rFonts w:ascii="Tahoma" w:hAnsi="Tahoma" w:cs="Tahoma"/>
          <w:sz w:val="24"/>
          <w:szCs w:val="24"/>
          <w:lang w:val="en-US"/>
        </w:rPr>
        <w:t xml:space="preserve"> was backed by </w:t>
      </w:r>
      <w:r w:rsidR="007712FB" w:rsidRPr="00877F5E">
        <w:rPr>
          <w:rFonts w:ascii="Tahoma" w:hAnsi="Tahoma" w:cs="Tahoma"/>
          <w:sz w:val="24"/>
          <w:szCs w:val="24"/>
          <w:lang w:val="en-US"/>
        </w:rPr>
        <w:t>higher</w:t>
      </w:r>
      <w:r w:rsidR="003E7758" w:rsidRPr="00877F5E">
        <w:rPr>
          <w:rFonts w:ascii="Tahoma" w:hAnsi="Tahoma" w:cs="Tahoma"/>
          <w:sz w:val="24"/>
          <w:szCs w:val="24"/>
          <w:lang w:val="en-US"/>
        </w:rPr>
        <w:t xml:space="preserve"> </w:t>
      </w:r>
      <w:r w:rsidRPr="00877F5E">
        <w:rPr>
          <w:rFonts w:ascii="Tahoma" w:hAnsi="Tahoma" w:cs="Tahoma"/>
          <w:sz w:val="24"/>
          <w:szCs w:val="24"/>
          <w:lang w:val="en-US"/>
        </w:rPr>
        <w:t>revenue from sale of greenhouse gas emission certificates (+</w:t>
      </w:r>
      <w:r w:rsidR="00D022EA" w:rsidRPr="00877F5E">
        <w:rPr>
          <w:rFonts w:ascii="Tahoma" w:hAnsi="Tahoma" w:cs="Tahoma"/>
          <w:sz w:val="24"/>
          <w:szCs w:val="24"/>
          <w:lang w:val="en-US"/>
        </w:rPr>
        <w:t xml:space="preserve">21,6%, </w:t>
      </w:r>
      <w:proofErr w:type="spellStart"/>
      <w:r w:rsidR="00D022EA" w:rsidRPr="00877F5E">
        <w:rPr>
          <w:rFonts w:ascii="Tahoma" w:hAnsi="Tahoma" w:cs="Tahoma"/>
          <w:sz w:val="24"/>
          <w:szCs w:val="24"/>
          <w:lang w:val="en-US"/>
        </w:rPr>
        <w:t>yoy</w:t>
      </w:r>
      <w:proofErr w:type="spellEnd"/>
      <w:r w:rsidR="00D022EA" w:rsidRPr="00877F5E">
        <w:rPr>
          <w:rFonts w:ascii="Tahoma" w:hAnsi="Tahoma" w:cs="Tahoma"/>
          <w:sz w:val="24"/>
          <w:szCs w:val="24"/>
          <w:lang w:val="en-US"/>
        </w:rPr>
        <w:t xml:space="preserve">) and interest income (+154,3%, </w:t>
      </w:r>
      <w:proofErr w:type="spellStart"/>
      <w:r w:rsidR="00D022EA" w:rsidRPr="00877F5E">
        <w:rPr>
          <w:rFonts w:ascii="Tahoma" w:hAnsi="Tahoma" w:cs="Tahoma"/>
          <w:sz w:val="24"/>
          <w:szCs w:val="24"/>
          <w:lang w:val="en-US"/>
        </w:rPr>
        <w:t>yoy</w:t>
      </w:r>
      <w:proofErr w:type="spellEnd"/>
      <w:r w:rsidRPr="00877F5E">
        <w:rPr>
          <w:rFonts w:ascii="Tahoma" w:hAnsi="Tahoma" w:cs="Tahoma"/>
          <w:sz w:val="24"/>
          <w:szCs w:val="24"/>
          <w:lang w:val="en-US"/>
        </w:rPr>
        <w:t>).</w:t>
      </w:r>
      <w:r w:rsidR="00D022EA" w:rsidRPr="00877F5E">
        <w:rPr>
          <w:rFonts w:ascii="Tahoma" w:hAnsi="Tahoma" w:cs="Tahoma"/>
          <w:sz w:val="24"/>
          <w:szCs w:val="24"/>
          <w:lang w:val="en-US"/>
        </w:rPr>
        <w:t xml:space="preserve"> </w:t>
      </w:r>
      <w:r w:rsidR="003E7758" w:rsidRPr="00877F5E">
        <w:rPr>
          <w:rFonts w:ascii="Tahoma" w:hAnsi="Tahoma" w:cs="Tahoma"/>
          <w:sz w:val="24"/>
          <w:szCs w:val="24"/>
          <w:lang w:val="en-US"/>
        </w:rPr>
        <w:t>However, t</w:t>
      </w:r>
      <w:r w:rsidR="00D022EA" w:rsidRPr="00877F5E">
        <w:rPr>
          <w:rFonts w:ascii="Tahoma" w:hAnsi="Tahoma" w:cs="Tahoma"/>
          <w:sz w:val="24"/>
          <w:szCs w:val="24"/>
          <w:lang w:val="en-US"/>
        </w:rPr>
        <w:t xml:space="preserve">he positive dynamics of these revenues was mitigated by the NBR's net revenues </w:t>
      </w:r>
      <w:r w:rsidR="004A79D5" w:rsidRPr="00877F5E">
        <w:rPr>
          <w:rFonts w:ascii="Tahoma" w:hAnsi="Tahoma" w:cs="Tahoma"/>
          <w:sz w:val="24"/>
          <w:szCs w:val="24"/>
          <w:lang w:val="en-US"/>
        </w:rPr>
        <w:t xml:space="preserve">payment </w:t>
      </w:r>
      <w:r w:rsidR="00D022EA" w:rsidRPr="00877F5E">
        <w:rPr>
          <w:rFonts w:ascii="Tahoma" w:hAnsi="Tahoma" w:cs="Tahoma"/>
          <w:sz w:val="24"/>
          <w:szCs w:val="24"/>
          <w:lang w:val="en-US"/>
        </w:rPr>
        <w:t>made in February 2020, which decreased by 34.5% compared to February 2019.</w:t>
      </w:r>
    </w:p>
    <w:p w14:paraId="3F1217C4" w14:textId="30CFE9D0" w:rsidR="00D022EA" w:rsidRPr="00877F5E" w:rsidRDefault="00D022EA" w:rsidP="00D022EA">
      <w:pPr>
        <w:spacing w:before="240" w:after="120" w:line="360" w:lineRule="auto"/>
        <w:jc w:val="both"/>
        <w:rPr>
          <w:rFonts w:ascii="Tahoma" w:hAnsi="Tahoma" w:cs="Tahoma"/>
          <w:sz w:val="24"/>
          <w:szCs w:val="24"/>
          <w:lang w:val="en-US"/>
        </w:rPr>
      </w:pPr>
      <w:r w:rsidRPr="00877F5E">
        <w:rPr>
          <w:rFonts w:ascii="Tahoma" w:hAnsi="Tahoma" w:cs="Tahoma"/>
          <w:b/>
          <w:i/>
          <w:sz w:val="24"/>
          <w:szCs w:val="24"/>
          <w:lang w:val="en-US"/>
        </w:rPr>
        <w:t>EU Refunds and donations</w:t>
      </w:r>
      <w:r w:rsidRPr="00877F5E">
        <w:rPr>
          <w:rFonts w:ascii="Tahoma" w:hAnsi="Tahoma" w:cs="Tahoma"/>
          <w:sz w:val="24"/>
          <w:szCs w:val="24"/>
          <w:lang w:val="en-US"/>
        </w:rPr>
        <w:t xml:space="preserve"> </w:t>
      </w:r>
      <w:proofErr w:type="spellStart"/>
      <w:r w:rsidRPr="00877F5E">
        <w:rPr>
          <w:rFonts w:ascii="Tahoma" w:hAnsi="Tahoma" w:cs="Tahoma"/>
          <w:sz w:val="24"/>
          <w:szCs w:val="24"/>
          <w:lang w:val="en-US"/>
        </w:rPr>
        <w:t>totalled</w:t>
      </w:r>
      <w:proofErr w:type="spellEnd"/>
      <w:r w:rsidRPr="00877F5E">
        <w:rPr>
          <w:rFonts w:ascii="Tahoma" w:hAnsi="Tahoma" w:cs="Tahoma"/>
          <w:sz w:val="24"/>
          <w:szCs w:val="24"/>
          <w:lang w:val="en-US"/>
        </w:rPr>
        <w:t xml:space="preserve"> RON 2,4 billion in January and February, rising by 2.7% compared to the corresponding period </w:t>
      </w:r>
      <w:r w:rsidR="004A79D5" w:rsidRPr="00877F5E">
        <w:rPr>
          <w:rFonts w:ascii="Tahoma" w:hAnsi="Tahoma" w:cs="Tahoma"/>
          <w:sz w:val="24"/>
          <w:szCs w:val="24"/>
          <w:lang w:val="en-US"/>
        </w:rPr>
        <w:t>of</w:t>
      </w:r>
      <w:r w:rsidRPr="00877F5E">
        <w:rPr>
          <w:rFonts w:ascii="Tahoma" w:hAnsi="Tahoma" w:cs="Tahoma"/>
          <w:sz w:val="24"/>
          <w:szCs w:val="24"/>
          <w:lang w:val="en-US"/>
        </w:rPr>
        <w:t xml:space="preserve"> 2019.</w:t>
      </w:r>
    </w:p>
    <w:p w14:paraId="342684C2" w14:textId="77777777" w:rsidR="005C7476" w:rsidRPr="00877F5E" w:rsidRDefault="005C7476" w:rsidP="00D022EA">
      <w:pPr>
        <w:spacing w:before="240" w:after="120" w:line="360" w:lineRule="auto"/>
        <w:jc w:val="both"/>
        <w:rPr>
          <w:rFonts w:ascii="Tahoma" w:hAnsi="Tahoma" w:cs="Tahoma"/>
          <w:sz w:val="24"/>
          <w:szCs w:val="24"/>
          <w:lang w:val="en-US"/>
        </w:rPr>
      </w:pPr>
    </w:p>
    <w:p w14:paraId="44BFD60D" w14:textId="77777777" w:rsidR="009A2E62" w:rsidRPr="00877F5E" w:rsidRDefault="00235FEC" w:rsidP="00D022EA">
      <w:pPr>
        <w:pStyle w:val="ListParagraph"/>
        <w:numPr>
          <w:ilvl w:val="0"/>
          <w:numId w:val="2"/>
        </w:numPr>
        <w:shd w:val="clear" w:color="auto" w:fill="D9D9D9" w:themeFill="background1" w:themeFillShade="D9"/>
        <w:spacing w:after="120" w:line="276" w:lineRule="auto"/>
        <w:ind w:hanging="1080"/>
        <w:jc w:val="both"/>
        <w:rPr>
          <w:rFonts w:ascii="Tahoma" w:hAnsi="Tahoma" w:cs="Tahoma"/>
          <w:b/>
          <w:caps/>
          <w:color w:val="0070C0"/>
          <w:sz w:val="24"/>
          <w:szCs w:val="24"/>
          <w:lang w:val="en-US"/>
        </w:rPr>
      </w:pPr>
      <w:r w:rsidRPr="00877F5E">
        <w:rPr>
          <w:rFonts w:ascii="Tahoma" w:hAnsi="Tahoma" w:cs="Tahoma"/>
          <w:b/>
          <w:caps/>
          <w:color w:val="0070C0"/>
          <w:sz w:val="24"/>
          <w:szCs w:val="24"/>
          <w:lang w:val="en-US"/>
        </w:rPr>
        <w:lastRenderedPageBreak/>
        <w:t xml:space="preserve">GENERAL GOVERNMENT EXPENDITURE </w:t>
      </w:r>
    </w:p>
    <w:p w14:paraId="0E8386D2" w14:textId="77777777" w:rsidR="00484DB4" w:rsidRPr="00877F5E" w:rsidRDefault="00484DB4" w:rsidP="00484DB4">
      <w:pPr>
        <w:spacing w:after="120" w:line="360" w:lineRule="auto"/>
        <w:jc w:val="both"/>
        <w:rPr>
          <w:rFonts w:ascii="Tahoma" w:hAnsi="Tahoma" w:cs="Tahoma"/>
          <w:sz w:val="2"/>
          <w:szCs w:val="28"/>
          <w:lang w:val="en-US"/>
        </w:rPr>
      </w:pPr>
    </w:p>
    <w:p w14:paraId="66D7CE73" w14:textId="77777777" w:rsidR="00235FEC" w:rsidRPr="00877F5E" w:rsidRDefault="00235FEC" w:rsidP="00235FEC">
      <w:pPr>
        <w:shd w:val="clear" w:color="auto" w:fill="D9D9D9" w:themeFill="background1" w:themeFillShade="D9"/>
        <w:spacing w:after="120" w:line="360" w:lineRule="auto"/>
        <w:jc w:val="both"/>
        <w:rPr>
          <w:rFonts w:ascii="Tahoma" w:hAnsi="Tahoma" w:cs="Tahoma"/>
          <w:sz w:val="24"/>
          <w:szCs w:val="24"/>
          <w:lang w:val="en-US"/>
        </w:rPr>
      </w:pPr>
      <w:r w:rsidRPr="00877F5E">
        <w:rPr>
          <w:rFonts w:ascii="Tahoma" w:hAnsi="Tahoma" w:cs="Tahoma"/>
          <w:sz w:val="24"/>
          <w:szCs w:val="24"/>
          <w:lang w:val="en-US"/>
        </w:rPr>
        <w:t xml:space="preserve">General government expenditure </w:t>
      </w:r>
      <w:proofErr w:type="spellStart"/>
      <w:r w:rsidR="00747E2C" w:rsidRPr="00877F5E">
        <w:rPr>
          <w:rFonts w:ascii="Tahoma" w:hAnsi="Tahoma" w:cs="Tahoma"/>
          <w:sz w:val="24"/>
          <w:szCs w:val="24"/>
          <w:lang w:val="en-US"/>
        </w:rPr>
        <w:t>totalled</w:t>
      </w:r>
      <w:proofErr w:type="spellEnd"/>
      <w:r w:rsidR="00747E2C" w:rsidRPr="00877F5E">
        <w:rPr>
          <w:rFonts w:ascii="Tahoma" w:hAnsi="Tahoma" w:cs="Tahoma"/>
          <w:sz w:val="24"/>
          <w:szCs w:val="24"/>
          <w:lang w:val="en-US"/>
        </w:rPr>
        <w:t xml:space="preserve"> </w:t>
      </w:r>
      <w:r w:rsidRPr="00877F5E">
        <w:rPr>
          <w:rFonts w:ascii="Tahoma" w:hAnsi="Tahoma" w:cs="Tahoma"/>
          <w:sz w:val="24"/>
          <w:szCs w:val="24"/>
          <w:lang w:val="en-US"/>
        </w:rPr>
        <w:t xml:space="preserve">RON </w:t>
      </w:r>
      <w:r w:rsidR="00FB3134" w:rsidRPr="00877F5E">
        <w:rPr>
          <w:rFonts w:ascii="Tahoma" w:hAnsi="Tahoma" w:cs="Tahoma"/>
          <w:sz w:val="24"/>
          <w:szCs w:val="28"/>
          <w:lang w:val="en-US"/>
        </w:rPr>
        <w:t>59.58</w:t>
      </w:r>
      <w:r w:rsidR="00FB3134" w:rsidRPr="00877F5E">
        <w:rPr>
          <w:rFonts w:ascii="Tahoma" w:hAnsi="Tahoma" w:cs="Tahoma"/>
          <w:sz w:val="24"/>
          <w:szCs w:val="24"/>
          <w:lang w:val="en-US"/>
        </w:rPr>
        <w:t xml:space="preserve"> billion (</w:t>
      </w:r>
      <w:r w:rsidRPr="00877F5E">
        <w:rPr>
          <w:rFonts w:ascii="Tahoma" w:hAnsi="Tahoma" w:cs="Tahoma"/>
          <w:sz w:val="24"/>
          <w:szCs w:val="24"/>
          <w:lang w:val="en-US"/>
        </w:rPr>
        <w:t>5</w:t>
      </w:r>
      <w:r w:rsidR="00FB3134" w:rsidRPr="00877F5E">
        <w:rPr>
          <w:rFonts w:ascii="Tahoma" w:hAnsi="Tahoma" w:cs="Tahoma"/>
          <w:sz w:val="24"/>
          <w:szCs w:val="24"/>
          <w:lang w:val="en-US"/>
        </w:rPr>
        <w:t>.2</w:t>
      </w:r>
      <w:r w:rsidRPr="00877F5E">
        <w:rPr>
          <w:rFonts w:ascii="Tahoma" w:hAnsi="Tahoma" w:cs="Tahoma"/>
          <w:sz w:val="24"/>
          <w:szCs w:val="24"/>
          <w:lang w:val="en-US"/>
        </w:rPr>
        <w:t xml:space="preserve">% of GDP), </w:t>
      </w:r>
      <w:r w:rsidR="00753827" w:rsidRPr="00877F5E">
        <w:rPr>
          <w:rFonts w:ascii="Tahoma" w:hAnsi="Tahoma" w:cs="Tahoma"/>
          <w:sz w:val="24"/>
          <w:szCs w:val="24"/>
          <w:lang w:val="en-US"/>
        </w:rPr>
        <w:t>advancing by</w:t>
      </w:r>
      <w:r w:rsidRPr="00877F5E">
        <w:rPr>
          <w:rFonts w:ascii="Tahoma" w:hAnsi="Tahoma" w:cs="Tahoma"/>
          <w:sz w:val="24"/>
          <w:szCs w:val="24"/>
          <w:lang w:val="en-US"/>
        </w:rPr>
        <w:t xml:space="preserve"> </w:t>
      </w:r>
      <w:r w:rsidR="00FB3134" w:rsidRPr="00877F5E">
        <w:rPr>
          <w:rFonts w:ascii="Tahoma" w:hAnsi="Tahoma" w:cs="Tahoma"/>
          <w:sz w:val="24"/>
          <w:szCs w:val="28"/>
          <w:lang w:val="en-US"/>
        </w:rPr>
        <w:t>14,8</w:t>
      </w:r>
      <w:r w:rsidR="00FB3134" w:rsidRPr="00877F5E">
        <w:rPr>
          <w:rFonts w:ascii="Tahoma" w:hAnsi="Tahoma" w:cs="Tahoma"/>
          <w:sz w:val="24"/>
          <w:szCs w:val="24"/>
          <w:lang w:val="en-US"/>
        </w:rPr>
        <w:t xml:space="preserve">% compared to the same period of </w:t>
      </w:r>
      <w:r w:rsidRPr="00877F5E">
        <w:rPr>
          <w:rFonts w:ascii="Tahoma" w:hAnsi="Tahoma" w:cs="Tahoma"/>
          <w:sz w:val="24"/>
          <w:szCs w:val="24"/>
          <w:lang w:val="en-US"/>
        </w:rPr>
        <w:t xml:space="preserve">2019. Total </w:t>
      </w:r>
      <w:r w:rsidR="0061378C" w:rsidRPr="00877F5E">
        <w:rPr>
          <w:rFonts w:ascii="Tahoma" w:hAnsi="Tahoma" w:cs="Tahoma"/>
          <w:sz w:val="24"/>
          <w:szCs w:val="24"/>
          <w:lang w:val="en-US"/>
        </w:rPr>
        <w:t xml:space="preserve">expenditure increased </w:t>
      </w:r>
      <w:r w:rsidR="00FB3134" w:rsidRPr="00877F5E">
        <w:rPr>
          <w:rFonts w:ascii="Tahoma" w:hAnsi="Tahoma" w:cs="Tahoma"/>
          <w:sz w:val="24"/>
          <w:szCs w:val="24"/>
          <w:lang w:val="en-US"/>
        </w:rPr>
        <w:t xml:space="preserve">by 0.3 pp, from </w:t>
      </w:r>
      <w:r w:rsidRPr="00877F5E">
        <w:rPr>
          <w:rFonts w:ascii="Tahoma" w:hAnsi="Tahoma" w:cs="Tahoma"/>
          <w:sz w:val="24"/>
          <w:szCs w:val="24"/>
          <w:lang w:val="en-US"/>
        </w:rPr>
        <w:t>4</w:t>
      </w:r>
      <w:r w:rsidR="00FB3134" w:rsidRPr="00877F5E">
        <w:rPr>
          <w:rFonts w:ascii="Tahoma" w:hAnsi="Tahoma" w:cs="Tahoma"/>
          <w:sz w:val="24"/>
          <w:szCs w:val="24"/>
          <w:lang w:val="en-US"/>
        </w:rPr>
        <w:t xml:space="preserve">.9% of GDP in 2019 to </w:t>
      </w:r>
      <w:r w:rsidRPr="00877F5E">
        <w:rPr>
          <w:rFonts w:ascii="Tahoma" w:hAnsi="Tahoma" w:cs="Tahoma"/>
          <w:sz w:val="24"/>
          <w:szCs w:val="24"/>
          <w:lang w:val="en-US"/>
        </w:rPr>
        <w:t>5</w:t>
      </w:r>
      <w:r w:rsidR="00FB3134" w:rsidRPr="00877F5E">
        <w:rPr>
          <w:rFonts w:ascii="Tahoma" w:hAnsi="Tahoma" w:cs="Tahoma"/>
          <w:sz w:val="24"/>
          <w:szCs w:val="24"/>
          <w:lang w:val="en-US"/>
        </w:rPr>
        <w:t>.2</w:t>
      </w:r>
      <w:r w:rsidRPr="00877F5E">
        <w:rPr>
          <w:rFonts w:ascii="Tahoma" w:hAnsi="Tahoma" w:cs="Tahoma"/>
          <w:sz w:val="24"/>
          <w:szCs w:val="24"/>
          <w:lang w:val="en-US"/>
        </w:rPr>
        <w:t>% of GDP in 2020.</w:t>
      </w:r>
    </w:p>
    <w:p w14:paraId="0017F968" w14:textId="77777777" w:rsidR="00FB3134" w:rsidRPr="00877F5E" w:rsidRDefault="00FB3134" w:rsidP="00235FEC">
      <w:pPr>
        <w:spacing w:after="120" w:line="360" w:lineRule="auto"/>
        <w:jc w:val="both"/>
        <w:rPr>
          <w:rFonts w:ascii="Tahoma" w:hAnsi="Tahoma" w:cs="Tahoma"/>
          <w:b/>
          <w:i/>
          <w:sz w:val="24"/>
          <w:szCs w:val="24"/>
          <w:lang w:val="en-US"/>
        </w:rPr>
      </w:pPr>
    </w:p>
    <w:p w14:paraId="32C7C647" w14:textId="5208B528" w:rsidR="00235FEC" w:rsidRPr="00877F5E" w:rsidRDefault="00235FEC" w:rsidP="00235FEC">
      <w:pPr>
        <w:spacing w:after="120" w:line="360" w:lineRule="auto"/>
        <w:jc w:val="both"/>
        <w:rPr>
          <w:rFonts w:ascii="Tahoma" w:hAnsi="Tahoma" w:cs="Tahoma"/>
          <w:sz w:val="24"/>
          <w:szCs w:val="24"/>
          <w:lang w:val="en-US"/>
        </w:rPr>
      </w:pPr>
      <w:r w:rsidRPr="00877F5E">
        <w:rPr>
          <w:rFonts w:ascii="Tahoma" w:hAnsi="Tahoma" w:cs="Tahoma"/>
          <w:b/>
          <w:i/>
          <w:sz w:val="24"/>
          <w:szCs w:val="24"/>
          <w:lang w:val="en-US"/>
        </w:rPr>
        <w:t xml:space="preserve">Compensation of employees </w:t>
      </w:r>
      <w:r w:rsidRPr="00877F5E">
        <w:rPr>
          <w:rFonts w:ascii="Tahoma" w:hAnsi="Tahoma" w:cs="Tahoma"/>
          <w:sz w:val="24"/>
          <w:szCs w:val="24"/>
          <w:lang w:val="en-US"/>
        </w:rPr>
        <w:t>amounted to</w:t>
      </w:r>
      <w:r w:rsidRPr="00877F5E">
        <w:rPr>
          <w:rFonts w:ascii="Tahoma" w:hAnsi="Tahoma" w:cs="Tahoma"/>
          <w:b/>
          <w:i/>
          <w:sz w:val="24"/>
          <w:szCs w:val="24"/>
          <w:lang w:val="en-US"/>
        </w:rPr>
        <w:t xml:space="preserve"> </w:t>
      </w:r>
      <w:r w:rsidRPr="00877F5E">
        <w:rPr>
          <w:rFonts w:ascii="Tahoma" w:hAnsi="Tahoma" w:cs="Tahoma"/>
          <w:sz w:val="24"/>
          <w:szCs w:val="24"/>
          <w:lang w:val="en-US"/>
        </w:rPr>
        <w:t xml:space="preserve">RON </w:t>
      </w:r>
      <w:r w:rsidR="00FB3134" w:rsidRPr="00877F5E">
        <w:rPr>
          <w:rFonts w:ascii="Tahoma" w:hAnsi="Tahoma" w:cs="Tahoma"/>
          <w:sz w:val="24"/>
          <w:szCs w:val="28"/>
          <w:lang w:val="en-US"/>
        </w:rPr>
        <w:t xml:space="preserve">17.32 </w:t>
      </w:r>
      <w:r w:rsidRPr="00877F5E">
        <w:rPr>
          <w:rFonts w:ascii="Tahoma" w:hAnsi="Tahoma" w:cs="Tahoma"/>
          <w:sz w:val="24"/>
          <w:szCs w:val="24"/>
          <w:lang w:val="en-US"/>
        </w:rPr>
        <w:t>billion, up</w:t>
      </w:r>
      <w:r w:rsidR="00FB3134" w:rsidRPr="00877F5E">
        <w:rPr>
          <w:rFonts w:ascii="Tahoma" w:hAnsi="Tahoma" w:cs="Tahoma"/>
          <w:sz w:val="24"/>
          <w:szCs w:val="24"/>
          <w:lang w:val="en-US"/>
        </w:rPr>
        <w:t xml:space="preserve"> 9.9% (</w:t>
      </w:r>
      <w:proofErr w:type="spellStart"/>
      <w:r w:rsidR="00FB3134" w:rsidRPr="00877F5E">
        <w:rPr>
          <w:rFonts w:ascii="Tahoma" w:hAnsi="Tahoma" w:cs="Tahoma"/>
          <w:sz w:val="24"/>
          <w:szCs w:val="24"/>
          <w:lang w:val="en-US"/>
        </w:rPr>
        <w:t>yoy</w:t>
      </w:r>
      <w:proofErr w:type="spellEnd"/>
      <w:r w:rsidR="00FB3134" w:rsidRPr="00877F5E">
        <w:rPr>
          <w:rFonts w:ascii="Tahoma" w:hAnsi="Tahoma" w:cs="Tahoma"/>
          <w:sz w:val="24"/>
          <w:szCs w:val="24"/>
          <w:lang w:val="en-US"/>
        </w:rPr>
        <w:t xml:space="preserve">). This increase </w:t>
      </w:r>
      <w:r w:rsidRPr="00877F5E">
        <w:rPr>
          <w:rFonts w:ascii="Tahoma" w:hAnsi="Tahoma" w:cs="Tahoma"/>
          <w:sz w:val="24"/>
          <w:szCs w:val="24"/>
          <w:lang w:val="en-US"/>
        </w:rPr>
        <w:t xml:space="preserve">is </w:t>
      </w:r>
      <w:r w:rsidR="00C21E60" w:rsidRPr="00877F5E">
        <w:rPr>
          <w:rFonts w:ascii="Tahoma" w:hAnsi="Tahoma" w:cs="Tahoma"/>
          <w:sz w:val="24"/>
          <w:szCs w:val="24"/>
          <w:lang w:val="en-US"/>
        </w:rPr>
        <w:t xml:space="preserve">mainly </w:t>
      </w:r>
      <w:r w:rsidRPr="00877F5E">
        <w:rPr>
          <w:rFonts w:ascii="Tahoma" w:hAnsi="Tahoma" w:cs="Tahoma"/>
          <w:sz w:val="24"/>
          <w:szCs w:val="24"/>
          <w:lang w:val="en-US"/>
        </w:rPr>
        <w:t xml:space="preserve">explained by public wages </w:t>
      </w:r>
      <w:r w:rsidR="0024590E" w:rsidRPr="00877F5E">
        <w:rPr>
          <w:rFonts w:ascii="Tahoma" w:hAnsi="Tahoma" w:cs="Tahoma"/>
          <w:sz w:val="24"/>
          <w:szCs w:val="24"/>
          <w:lang w:val="en-US"/>
        </w:rPr>
        <w:t xml:space="preserve">hikes </w:t>
      </w:r>
      <w:r w:rsidRPr="00877F5E">
        <w:rPr>
          <w:rFonts w:ascii="Tahoma" w:hAnsi="Tahoma" w:cs="Tahoma"/>
          <w:sz w:val="24"/>
          <w:szCs w:val="24"/>
          <w:lang w:val="en-US"/>
        </w:rPr>
        <w:t xml:space="preserve">and </w:t>
      </w:r>
      <w:r w:rsidR="00C21E60" w:rsidRPr="00877F5E">
        <w:rPr>
          <w:rFonts w:ascii="Tahoma" w:hAnsi="Tahoma" w:cs="Tahoma"/>
          <w:sz w:val="24"/>
          <w:szCs w:val="24"/>
          <w:lang w:val="en-US"/>
        </w:rPr>
        <w:t xml:space="preserve">introduction of </w:t>
      </w:r>
      <w:r w:rsidRPr="00877F5E">
        <w:rPr>
          <w:rFonts w:ascii="Tahoma" w:hAnsi="Tahoma" w:cs="Tahoma"/>
          <w:sz w:val="24"/>
          <w:szCs w:val="24"/>
          <w:lang w:val="en-US"/>
        </w:rPr>
        <w:t>meal allowance to all public sector employees as of January 1</w:t>
      </w:r>
      <w:r w:rsidRPr="00877F5E">
        <w:rPr>
          <w:rFonts w:ascii="Tahoma" w:hAnsi="Tahoma" w:cs="Tahoma"/>
          <w:sz w:val="24"/>
          <w:szCs w:val="24"/>
          <w:vertAlign w:val="superscript"/>
          <w:lang w:val="en-US"/>
        </w:rPr>
        <w:t>st</w:t>
      </w:r>
      <w:r w:rsidR="004A79D5" w:rsidRPr="00877F5E">
        <w:rPr>
          <w:rFonts w:ascii="Tahoma" w:hAnsi="Tahoma" w:cs="Tahoma"/>
          <w:sz w:val="24"/>
          <w:szCs w:val="24"/>
          <w:lang w:val="en-US"/>
        </w:rPr>
        <w:t xml:space="preserve">, </w:t>
      </w:r>
      <w:r w:rsidRPr="00877F5E">
        <w:rPr>
          <w:rFonts w:ascii="Tahoma" w:hAnsi="Tahoma" w:cs="Tahoma"/>
          <w:sz w:val="24"/>
          <w:szCs w:val="24"/>
          <w:lang w:val="en-US"/>
        </w:rPr>
        <w:t>2</w:t>
      </w:r>
      <w:r w:rsidR="00FB3134" w:rsidRPr="00877F5E">
        <w:rPr>
          <w:rFonts w:ascii="Tahoma" w:hAnsi="Tahoma" w:cs="Tahoma"/>
          <w:sz w:val="24"/>
          <w:szCs w:val="24"/>
          <w:lang w:val="en-US"/>
        </w:rPr>
        <w:t xml:space="preserve">019 (according to Law 153/2017), but also by </w:t>
      </w:r>
      <w:r w:rsidR="00B23CE1" w:rsidRPr="00877F5E">
        <w:rPr>
          <w:rFonts w:ascii="Tahoma" w:hAnsi="Tahoma" w:cs="Tahoma"/>
          <w:sz w:val="24"/>
          <w:szCs w:val="24"/>
          <w:lang w:val="en-US"/>
        </w:rPr>
        <w:t xml:space="preserve">another round of </w:t>
      </w:r>
      <w:r w:rsidR="00FB3134" w:rsidRPr="00877F5E">
        <w:rPr>
          <w:rFonts w:ascii="Tahoma" w:hAnsi="Tahoma" w:cs="Tahoma"/>
          <w:sz w:val="24"/>
          <w:szCs w:val="24"/>
          <w:lang w:val="en-US"/>
        </w:rPr>
        <w:t xml:space="preserve">public wages </w:t>
      </w:r>
      <w:r w:rsidR="0024590E" w:rsidRPr="00877F5E">
        <w:rPr>
          <w:rFonts w:ascii="Tahoma" w:hAnsi="Tahoma" w:cs="Tahoma"/>
          <w:sz w:val="24"/>
          <w:szCs w:val="24"/>
          <w:lang w:val="en-US"/>
        </w:rPr>
        <w:t xml:space="preserve">hikes </w:t>
      </w:r>
      <w:r w:rsidR="00FB3134" w:rsidRPr="00877F5E">
        <w:rPr>
          <w:rFonts w:ascii="Tahoma" w:hAnsi="Tahoma" w:cs="Tahoma"/>
          <w:sz w:val="24"/>
          <w:szCs w:val="24"/>
          <w:lang w:val="en-US"/>
        </w:rPr>
        <w:t>as of January 1</w:t>
      </w:r>
      <w:r w:rsidR="000C6DEC" w:rsidRPr="00877F5E">
        <w:rPr>
          <w:rFonts w:ascii="Tahoma" w:hAnsi="Tahoma" w:cs="Tahoma"/>
          <w:sz w:val="24"/>
          <w:szCs w:val="24"/>
          <w:vertAlign w:val="superscript"/>
          <w:lang w:val="en-US"/>
        </w:rPr>
        <w:t>st</w:t>
      </w:r>
      <w:r w:rsidR="00FB3134" w:rsidRPr="00877F5E">
        <w:rPr>
          <w:rFonts w:ascii="Tahoma" w:hAnsi="Tahoma" w:cs="Tahoma"/>
          <w:sz w:val="24"/>
          <w:szCs w:val="24"/>
          <w:lang w:val="en-US"/>
        </w:rPr>
        <w:t xml:space="preserve">, 2020. </w:t>
      </w:r>
      <w:r w:rsidR="000C6DEC" w:rsidRPr="00877F5E">
        <w:rPr>
          <w:rFonts w:ascii="Tahoma" w:hAnsi="Tahoma" w:cs="Tahoma"/>
          <w:sz w:val="24"/>
          <w:szCs w:val="24"/>
          <w:lang w:val="en-US"/>
        </w:rPr>
        <w:t>C</w:t>
      </w:r>
      <w:r w:rsidRPr="00877F5E">
        <w:rPr>
          <w:rFonts w:ascii="Tahoma" w:hAnsi="Tahoma" w:cs="Tahoma"/>
          <w:sz w:val="24"/>
          <w:szCs w:val="24"/>
          <w:lang w:val="en-US"/>
        </w:rPr>
        <w:t xml:space="preserve">ompensation of employees </w:t>
      </w:r>
      <w:r w:rsidR="000C6DEC" w:rsidRPr="00877F5E">
        <w:rPr>
          <w:rFonts w:ascii="Tahoma" w:hAnsi="Tahoma" w:cs="Tahoma"/>
          <w:sz w:val="24"/>
          <w:szCs w:val="24"/>
          <w:lang w:val="en-US"/>
        </w:rPr>
        <w:t>maintained its share to GDP at</w:t>
      </w:r>
      <w:r w:rsidR="00FB3134" w:rsidRPr="00877F5E">
        <w:rPr>
          <w:rFonts w:ascii="Tahoma" w:hAnsi="Tahoma" w:cs="Tahoma"/>
          <w:sz w:val="24"/>
          <w:szCs w:val="24"/>
          <w:lang w:val="en-US"/>
        </w:rPr>
        <w:t xml:space="preserve"> 1.5</w:t>
      </w:r>
      <w:r w:rsidRPr="00877F5E">
        <w:rPr>
          <w:rFonts w:ascii="Tahoma" w:hAnsi="Tahoma" w:cs="Tahoma"/>
          <w:sz w:val="24"/>
          <w:szCs w:val="24"/>
          <w:lang w:val="en-US"/>
        </w:rPr>
        <w:t xml:space="preserve">%. </w:t>
      </w:r>
    </w:p>
    <w:p w14:paraId="350E4DD0" w14:textId="17493617" w:rsidR="000C6DEC" w:rsidRPr="00877F5E" w:rsidRDefault="00235FEC" w:rsidP="00235FEC">
      <w:pPr>
        <w:spacing w:after="120" w:line="360" w:lineRule="auto"/>
        <w:jc w:val="both"/>
        <w:rPr>
          <w:rFonts w:ascii="Tahoma" w:hAnsi="Tahoma" w:cs="Tahoma"/>
          <w:sz w:val="24"/>
          <w:szCs w:val="24"/>
          <w:lang w:val="en-US"/>
        </w:rPr>
      </w:pPr>
      <w:r w:rsidRPr="00877F5E">
        <w:rPr>
          <w:rFonts w:ascii="Tahoma" w:hAnsi="Tahoma" w:cs="Tahoma"/>
          <w:b/>
          <w:i/>
          <w:sz w:val="24"/>
          <w:szCs w:val="24"/>
          <w:lang w:val="en-US"/>
        </w:rPr>
        <w:t>Goods and services expenditure</w:t>
      </w:r>
      <w:r w:rsidRPr="00877F5E">
        <w:rPr>
          <w:rFonts w:ascii="Tahoma" w:hAnsi="Tahoma" w:cs="Tahoma"/>
          <w:sz w:val="24"/>
          <w:szCs w:val="24"/>
          <w:lang w:val="en-US"/>
        </w:rPr>
        <w:t xml:space="preserve"> </w:t>
      </w:r>
      <w:r w:rsidR="00C21E60" w:rsidRPr="00877F5E">
        <w:rPr>
          <w:rFonts w:ascii="Tahoma" w:hAnsi="Tahoma" w:cs="Tahoma"/>
          <w:sz w:val="24"/>
          <w:szCs w:val="24"/>
          <w:lang w:val="en-US"/>
        </w:rPr>
        <w:t>expanded</w:t>
      </w:r>
      <w:r w:rsidRPr="00877F5E">
        <w:rPr>
          <w:rFonts w:ascii="Tahoma" w:hAnsi="Tahoma" w:cs="Tahoma"/>
          <w:sz w:val="24"/>
          <w:szCs w:val="24"/>
          <w:lang w:val="en-US"/>
        </w:rPr>
        <w:t xml:space="preserve"> by </w:t>
      </w:r>
      <w:r w:rsidR="000C6DEC" w:rsidRPr="00877F5E">
        <w:rPr>
          <w:rFonts w:ascii="Tahoma" w:hAnsi="Tahoma" w:cs="Tahoma"/>
          <w:sz w:val="24"/>
          <w:szCs w:val="28"/>
          <w:lang w:val="en-US"/>
        </w:rPr>
        <w:t>13.9</w:t>
      </w:r>
      <w:r w:rsidR="0061378C" w:rsidRPr="00877F5E">
        <w:rPr>
          <w:rFonts w:ascii="Tahoma" w:hAnsi="Tahoma" w:cs="Tahoma"/>
          <w:sz w:val="24"/>
          <w:szCs w:val="24"/>
          <w:lang w:val="en-US"/>
        </w:rPr>
        <w:t>%</w:t>
      </w:r>
      <w:r w:rsidR="000C6DEC" w:rsidRPr="00877F5E">
        <w:rPr>
          <w:rFonts w:ascii="Tahoma" w:hAnsi="Tahoma" w:cs="Tahoma"/>
          <w:sz w:val="24"/>
          <w:szCs w:val="24"/>
          <w:lang w:val="en-US"/>
        </w:rPr>
        <w:t xml:space="preserve"> compared to the corresponding period </w:t>
      </w:r>
      <w:r w:rsidR="0024590E" w:rsidRPr="00877F5E">
        <w:rPr>
          <w:rFonts w:ascii="Tahoma" w:hAnsi="Tahoma" w:cs="Tahoma"/>
          <w:sz w:val="24"/>
          <w:szCs w:val="24"/>
          <w:lang w:val="en-US"/>
        </w:rPr>
        <w:t xml:space="preserve">of </w:t>
      </w:r>
      <w:r w:rsidR="000C6DEC" w:rsidRPr="00877F5E">
        <w:rPr>
          <w:rFonts w:ascii="Tahoma" w:hAnsi="Tahoma" w:cs="Tahoma"/>
          <w:sz w:val="24"/>
          <w:szCs w:val="24"/>
          <w:lang w:val="en-US"/>
        </w:rPr>
        <w:t>2019</w:t>
      </w:r>
      <w:r w:rsidRPr="00877F5E">
        <w:rPr>
          <w:rFonts w:ascii="Tahoma" w:hAnsi="Tahoma" w:cs="Tahoma"/>
          <w:sz w:val="24"/>
          <w:szCs w:val="24"/>
          <w:lang w:val="en-US"/>
        </w:rPr>
        <w:t xml:space="preserve">, </w:t>
      </w:r>
      <w:r w:rsidR="00C21E60" w:rsidRPr="00877F5E">
        <w:rPr>
          <w:rFonts w:ascii="Tahoma" w:hAnsi="Tahoma" w:cs="Tahoma"/>
          <w:sz w:val="24"/>
          <w:szCs w:val="24"/>
          <w:lang w:val="en-US"/>
        </w:rPr>
        <w:t>reaching</w:t>
      </w:r>
      <w:r w:rsidRPr="00877F5E">
        <w:rPr>
          <w:rFonts w:ascii="Tahoma" w:hAnsi="Tahoma" w:cs="Tahoma"/>
          <w:sz w:val="24"/>
          <w:szCs w:val="24"/>
          <w:lang w:val="en-US"/>
        </w:rPr>
        <w:t xml:space="preserve"> RON </w:t>
      </w:r>
      <w:r w:rsidR="000C6DEC" w:rsidRPr="00877F5E">
        <w:rPr>
          <w:rFonts w:ascii="Tahoma" w:hAnsi="Tahoma" w:cs="Tahoma"/>
          <w:sz w:val="24"/>
          <w:szCs w:val="28"/>
          <w:lang w:val="en-US"/>
        </w:rPr>
        <w:t xml:space="preserve">7.47 </w:t>
      </w:r>
      <w:r w:rsidR="000C6DEC" w:rsidRPr="00877F5E">
        <w:rPr>
          <w:rFonts w:ascii="Tahoma" w:hAnsi="Tahoma" w:cs="Tahoma"/>
          <w:sz w:val="24"/>
          <w:szCs w:val="24"/>
          <w:lang w:val="en-US"/>
        </w:rPr>
        <w:t xml:space="preserve">billion. </w:t>
      </w:r>
      <w:r w:rsidR="00DA30F1" w:rsidRPr="00877F5E">
        <w:rPr>
          <w:rFonts w:ascii="Tahoma" w:hAnsi="Tahoma" w:cs="Tahoma"/>
          <w:sz w:val="24"/>
          <w:szCs w:val="24"/>
          <w:lang w:val="en-US"/>
        </w:rPr>
        <w:t xml:space="preserve">A </w:t>
      </w:r>
      <w:r w:rsidR="000921F5" w:rsidRPr="00877F5E">
        <w:rPr>
          <w:rFonts w:ascii="Tahoma" w:hAnsi="Tahoma" w:cs="Tahoma"/>
          <w:sz w:val="24"/>
          <w:szCs w:val="24"/>
          <w:lang w:val="en-US"/>
        </w:rPr>
        <w:t>larger</w:t>
      </w:r>
      <w:r w:rsidR="00DA30F1" w:rsidRPr="00877F5E">
        <w:rPr>
          <w:rFonts w:ascii="Tahoma" w:hAnsi="Tahoma" w:cs="Tahoma"/>
          <w:sz w:val="24"/>
          <w:szCs w:val="24"/>
          <w:lang w:val="en-US"/>
        </w:rPr>
        <w:t xml:space="preserve"> increase was</w:t>
      </w:r>
      <w:r w:rsidR="000C6DEC" w:rsidRPr="00877F5E">
        <w:rPr>
          <w:rFonts w:ascii="Tahoma" w:hAnsi="Tahoma" w:cs="Tahoma"/>
          <w:sz w:val="24"/>
          <w:szCs w:val="24"/>
          <w:lang w:val="en-US"/>
        </w:rPr>
        <w:t xml:space="preserve"> recorded </w:t>
      </w:r>
      <w:r w:rsidR="00DA30F1" w:rsidRPr="00877F5E">
        <w:rPr>
          <w:rFonts w:ascii="Tahoma" w:hAnsi="Tahoma" w:cs="Tahoma"/>
          <w:sz w:val="24"/>
          <w:szCs w:val="24"/>
          <w:lang w:val="en-US"/>
        </w:rPr>
        <w:t xml:space="preserve">at </w:t>
      </w:r>
      <w:r w:rsidR="000C6DEC" w:rsidRPr="00877F5E">
        <w:rPr>
          <w:rFonts w:ascii="Tahoma" w:hAnsi="Tahoma" w:cs="Tahoma"/>
          <w:sz w:val="24"/>
          <w:szCs w:val="24"/>
          <w:lang w:val="en-US"/>
        </w:rPr>
        <w:t>local budgets</w:t>
      </w:r>
      <w:r w:rsidR="00DA30F1" w:rsidRPr="00877F5E">
        <w:rPr>
          <w:rFonts w:ascii="Tahoma" w:hAnsi="Tahoma" w:cs="Tahoma"/>
          <w:sz w:val="24"/>
          <w:szCs w:val="24"/>
          <w:lang w:val="en-US"/>
        </w:rPr>
        <w:t xml:space="preserve"> level</w:t>
      </w:r>
      <w:r w:rsidR="000C6DEC" w:rsidRPr="00877F5E">
        <w:rPr>
          <w:rFonts w:ascii="Tahoma" w:hAnsi="Tahoma" w:cs="Tahoma"/>
          <w:sz w:val="24"/>
          <w:szCs w:val="24"/>
          <w:lang w:val="en-US"/>
        </w:rPr>
        <w:t xml:space="preserve">, as well as </w:t>
      </w:r>
      <w:r w:rsidR="00DA30F1" w:rsidRPr="00877F5E">
        <w:rPr>
          <w:rFonts w:ascii="Tahoma" w:hAnsi="Tahoma" w:cs="Tahoma"/>
          <w:sz w:val="24"/>
          <w:szCs w:val="24"/>
          <w:lang w:val="en-US"/>
        </w:rPr>
        <w:t xml:space="preserve">at the </w:t>
      </w:r>
      <w:r w:rsidR="000C6DEC" w:rsidRPr="00877F5E">
        <w:rPr>
          <w:rFonts w:ascii="Tahoma" w:hAnsi="Tahoma" w:cs="Tahoma"/>
          <w:sz w:val="24"/>
          <w:szCs w:val="24"/>
          <w:lang w:val="en-US"/>
        </w:rPr>
        <w:t xml:space="preserve">health </w:t>
      </w:r>
      <w:r w:rsidR="00A252DF" w:rsidRPr="00877F5E">
        <w:rPr>
          <w:rFonts w:ascii="Tahoma" w:hAnsi="Tahoma" w:cs="Tahoma"/>
          <w:sz w:val="24"/>
          <w:szCs w:val="24"/>
          <w:lang w:val="en-US"/>
        </w:rPr>
        <w:t xml:space="preserve">social security </w:t>
      </w:r>
      <w:r w:rsidR="000C6DEC" w:rsidRPr="00877F5E">
        <w:rPr>
          <w:rFonts w:ascii="Tahoma" w:hAnsi="Tahoma" w:cs="Tahoma"/>
          <w:sz w:val="24"/>
          <w:szCs w:val="24"/>
          <w:lang w:val="en-US"/>
        </w:rPr>
        <w:t>fund budget</w:t>
      </w:r>
      <w:r w:rsidR="00DA30F1" w:rsidRPr="00877F5E">
        <w:rPr>
          <w:rFonts w:ascii="Tahoma" w:hAnsi="Tahoma" w:cs="Tahoma"/>
          <w:sz w:val="24"/>
          <w:szCs w:val="24"/>
          <w:lang w:val="en-US"/>
        </w:rPr>
        <w:t xml:space="preserve"> (</w:t>
      </w:r>
      <w:r w:rsidR="000C6DEC" w:rsidRPr="00877F5E">
        <w:rPr>
          <w:rFonts w:ascii="Tahoma" w:hAnsi="Tahoma" w:cs="Tahoma"/>
          <w:sz w:val="24"/>
          <w:szCs w:val="24"/>
          <w:lang w:val="en-US"/>
        </w:rPr>
        <w:t>higher payments for drugs and outpatient medical services</w:t>
      </w:r>
      <w:r w:rsidR="00DA30F1" w:rsidRPr="00877F5E">
        <w:rPr>
          <w:rFonts w:ascii="Tahoma" w:hAnsi="Tahoma" w:cs="Tahoma"/>
          <w:sz w:val="24"/>
          <w:szCs w:val="24"/>
          <w:lang w:val="en-US"/>
        </w:rPr>
        <w:t xml:space="preserve">). </w:t>
      </w:r>
      <w:r w:rsidR="00B11169" w:rsidRPr="00877F5E">
        <w:rPr>
          <w:rFonts w:ascii="Tahoma" w:hAnsi="Tahoma" w:cs="Tahoma"/>
          <w:sz w:val="24"/>
          <w:szCs w:val="24"/>
          <w:lang w:val="en-US"/>
        </w:rPr>
        <w:t xml:space="preserve"> </w:t>
      </w:r>
    </w:p>
    <w:p w14:paraId="00CBF8A3" w14:textId="55932108" w:rsidR="00342439" w:rsidRPr="00877F5E" w:rsidRDefault="00235FEC" w:rsidP="00235FEC">
      <w:pPr>
        <w:spacing w:after="120" w:line="360" w:lineRule="auto"/>
        <w:jc w:val="both"/>
        <w:rPr>
          <w:rFonts w:ascii="Tahoma" w:hAnsi="Tahoma" w:cs="Tahoma"/>
          <w:sz w:val="24"/>
          <w:szCs w:val="24"/>
          <w:lang w:val="en-US"/>
        </w:rPr>
      </w:pPr>
      <w:r w:rsidRPr="00877F5E">
        <w:rPr>
          <w:rFonts w:ascii="Tahoma" w:hAnsi="Tahoma" w:cs="Tahoma"/>
          <w:b/>
          <w:i/>
          <w:sz w:val="24"/>
          <w:szCs w:val="24"/>
          <w:lang w:val="en-US"/>
        </w:rPr>
        <w:t>Social assistance expenditure</w:t>
      </w:r>
      <w:r w:rsidRPr="00877F5E">
        <w:rPr>
          <w:rFonts w:ascii="Tahoma" w:hAnsi="Tahoma" w:cs="Tahoma"/>
          <w:sz w:val="24"/>
          <w:szCs w:val="24"/>
          <w:lang w:val="en-US"/>
        </w:rPr>
        <w:t xml:space="preserve"> </w:t>
      </w:r>
      <w:r w:rsidR="00747E2C" w:rsidRPr="00877F5E">
        <w:rPr>
          <w:rFonts w:ascii="Tahoma" w:hAnsi="Tahoma" w:cs="Tahoma"/>
          <w:sz w:val="24"/>
          <w:szCs w:val="24"/>
          <w:lang w:val="en-US"/>
        </w:rPr>
        <w:t>reached</w:t>
      </w:r>
      <w:r w:rsidRPr="00877F5E">
        <w:rPr>
          <w:rFonts w:ascii="Tahoma" w:hAnsi="Tahoma" w:cs="Tahoma"/>
          <w:sz w:val="24"/>
          <w:szCs w:val="24"/>
          <w:lang w:val="en-US"/>
        </w:rPr>
        <w:t xml:space="preserve"> RON </w:t>
      </w:r>
      <w:r w:rsidR="00342439" w:rsidRPr="00877F5E">
        <w:rPr>
          <w:rFonts w:ascii="Tahoma" w:hAnsi="Tahoma" w:cs="Tahoma"/>
          <w:sz w:val="24"/>
          <w:szCs w:val="24"/>
          <w:lang w:val="en-US"/>
        </w:rPr>
        <w:t xml:space="preserve">22.18 </w:t>
      </w:r>
      <w:r w:rsidRPr="00877F5E">
        <w:rPr>
          <w:rFonts w:ascii="Tahoma" w:hAnsi="Tahoma" w:cs="Tahoma"/>
          <w:sz w:val="24"/>
          <w:szCs w:val="24"/>
          <w:lang w:val="en-US"/>
        </w:rPr>
        <w:t xml:space="preserve">billion, </w:t>
      </w:r>
      <w:r w:rsidR="00754D1A" w:rsidRPr="00877F5E">
        <w:rPr>
          <w:rFonts w:ascii="Tahoma" w:hAnsi="Tahoma" w:cs="Tahoma"/>
          <w:sz w:val="24"/>
          <w:szCs w:val="24"/>
          <w:lang w:val="en-US"/>
        </w:rPr>
        <w:t>advancing by</w:t>
      </w:r>
      <w:r w:rsidR="00342439" w:rsidRPr="00877F5E">
        <w:rPr>
          <w:rFonts w:ascii="Tahoma" w:hAnsi="Tahoma" w:cs="Tahoma"/>
          <w:sz w:val="24"/>
          <w:szCs w:val="24"/>
          <w:lang w:val="en-US"/>
        </w:rPr>
        <w:t xml:space="preserve"> 16</w:t>
      </w:r>
      <w:r w:rsidRPr="00877F5E">
        <w:rPr>
          <w:rFonts w:ascii="Tahoma" w:hAnsi="Tahoma" w:cs="Tahoma"/>
          <w:sz w:val="24"/>
          <w:szCs w:val="24"/>
          <w:lang w:val="en-US"/>
        </w:rPr>
        <w:t>% (</w:t>
      </w:r>
      <w:proofErr w:type="spellStart"/>
      <w:r w:rsidRPr="00877F5E">
        <w:rPr>
          <w:rFonts w:ascii="Tahoma" w:hAnsi="Tahoma" w:cs="Tahoma"/>
          <w:sz w:val="24"/>
          <w:szCs w:val="24"/>
          <w:lang w:val="en-US"/>
        </w:rPr>
        <w:t>yoy</w:t>
      </w:r>
      <w:proofErr w:type="spellEnd"/>
      <w:r w:rsidRPr="00877F5E">
        <w:rPr>
          <w:rFonts w:ascii="Tahoma" w:hAnsi="Tahoma" w:cs="Tahoma"/>
          <w:sz w:val="24"/>
          <w:szCs w:val="24"/>
          <w:lang w:val="en-US"/>
        </w:rPr>
        <w:t>). This dynamic is mainly explained by</w:t>
      </w:r>
      <w:r w:rsidR="00342439" w:rsidRPr="00877F5E">
        <w:rPr>
          <w:rFonts w:ascii="Tahoma" w:hAnsi="Tahoma" w:cs="Tahoma"/>
          <w:sz w:val="24"/>
          <w:szCs w:val="24"/>
          <w:lang w:val="en-US"/>
        </w:rPr>
        <w:t xml:space="preserve"> the increase of the pension point by 15% </w:t>
      </w:r>
      <w:r w:rsidR="00CF5619" w:rsidRPr="00877F5E">
        <w:rPr>
          <w:rFonts w:ascii="Tahoma" w:hAnsi="Tahoma" w:cs="Tahoma"/>
          <w:sz w:val="24"/>
          <w:szCs w:val="24"/>
          <w:lang w:val="en-US"/>
        </w:rPr>
        <w:t>as of September 1</w:t>
      </w:r>
      <w:r w:rsidR="00CF5619" w:rsidRPr="00877F5E">
        <w:rPr>
          <w:rFonts w:ascii="Tahoma" w:hAnsi="Tahoma" w:cs="Tahoma"/>
          <w:sz w:val="24"/>
          <w:szCs w:val="24"/>
          <w:vertAlign w:val="superscript"/>
          <w:lang w:val="en-US"/>
        </w:rPr>
        <w:t>st</w:t>
      </w:r>
      <w:r w:rsidR="00CF5619" w:rsidRPr="00877F5E">
        <w:rPr>
          <w:rFonts w:ascii="Tahoma" w:hAnsi="Tahoma" w:cs="Tahoma"/>
          <w:sz w:val="24"/>
          <w:szCs w:val="24"/>
          <w:lang w:val="en-US"/>
        </w:rPr>
        <w:t>, 2019 (</w:t>
      </w:r>
      <w:r w:rsidR="00342439" w:rsidRPr="00877F5E">
        <w:rPr>
          <w:rFonts w:ascii="Tahoma" w:hAnsi="Tahoma" w:cs="Tahoma"/>
          <w:sz w:val="24"/>
          <w:szCs w:val="24"/>
          <w:lang w:val="en-US"/>
        </w:rPr>
        <w:t>from RON 1,100 to RON 1,265)</w:t>
      </w:r>
      <w:r w:rsidR="0024590E" w:rsidRPr="00877F5E">
        <w:rPr>
          <w:rFonts w:ascii="Tahoma" w:hAnsi="Tahoma" w:cs="Tahoma"/>
          <w:sz w:val="24"/>
          <w:szCs w:val="24"/>
          <w:lang w:val="en-US"/>
        </w:rPr>
        <w:t>;</w:t>
      </w:r>
      <w:r w:rsidR="00342439" w:rsidRPr="00877F5E">
        <w:rPr>
          <w:rFonts w:ascii="Tahoma" w:hAnsi="Tahoma" w:cs="Tahoma"/>
          <w:sz w:val="24"/>
          <w:szCs w:val="24"/>
          <w:lang w:val="en-US"/>
        </w:rPr>
        <w:t xml:space="preserve"> </w:t>
      </w:r>
      <w:r w:rsidR="001334B5" w:rsidRPr="00877F5E">
        <w:rPr>
          <w:rFonts w:ascii="Tahoma" w:hAnsi="Tahoma" w:cs="Tahoma"/>
          <w:sz w:val="24"/>
          <w:szCs w:val="24"/>
          <w:lang w:val="en-US"/>
        </w:rPr>
        <w:t xml:space="preserve">the increase </w:t>
      </w:r>
      <w:r w:rsidR="00342439" w:rsidRPr="00877F5E">
        <w:rPr>
          <w:rFonts w:ascii="Tahoma" w:hAnsi="Tahoma" w:cs="Tahoma"/>
          <w:sz w:val="24"/>
          <w:szCs w:val="24"/>
          <w:lang w:val="en-US"/>
        </w:rPr>
        <w:t xml:space="preserve">of the </w:t>
      </w:r>
      <w:r w:rsidRPr="00877F5E">
        <w:rPr>
          <w:rFonts w:ascii="Tahoma" w:hAnsi="Tahoma" w:cs="Tahoma"/>
          <w:sz w:val="24"/>
          <w:szCs w:val="24"/>
          <w:lang w:val="en-US"/>
        </w:rPr>
        <w:t>social a</w:t>
      </w:r>
      <w:r w:rsidR="00342439" w:rsidRPr="00877F5E">
        <w:rPr>
          <w:rFonts w:ascii="Tahoma" w:hAnsi="Tahoma" w:cs="Tahoma"/>
          <w:sz w:val="24"/>
          <w:szCs w:val="24"/>
          <w:lang w:val="en-US"/>
        </w:rPr>
        <w:t>llowance for pensioners by 10%</w:t>
      </w:r>
      <w:r w:rsidR="0024590E" w:rsidRPr="00877F5E">
        <w:rPr>
          <w:rFonts w:ascii="Tahoma" w:hAnsi="Tahoma" w:cs="Tahoma"/>
          <w:sz w:val="24"/>
          <w:szCs w:val="24"/>
          <w:lang w:val="en-US"/>
        </w:rPr>
        <w:t>;</w:t>
      </w:r>
      <w:r w:rsidR="00342439" w:rsidRPr="00877F5E">
        <w:rPr>
          <w:rFonts w:ascii="Tahoma" w:hAnsi="Tahoma" w:cs="Tahoma"/>
          <w:sz w:val="24"/>
          <w:szCs w:val="24"/>
          <w:lang w:val="en-US"/>
        </w:rPr>
        <w:t xml:space="preserve"> of </w:t>
      </w:r>
      <w:r w:rsidRPr="00877F5E">
        <w:rPr>
          <w:rFonts w:ascii="Tahoma" w:hAnsi="Tahoma" w:cs="Tahoma"/>
          <w:sz w:val="24"/>
          <w:szCs w:val="24"/>
          <w:lang w:val="en-US"/>
        </w:rPr>
        <w:t>child a</w:t>
      </w:r>
      <w:r w:rsidR="00754D1A" w:rsidRPr="00877F5E">
        <w:rPr>
          <w:rFonts w:ascii="Tahoma" w:hAnsi="Tahoma" w:cs="Tahoma"/>
          <w:sz w:val="24"/>
          <w:szCs w:val="24"/>
          <w:lang w:val="en-US"/>
        </w:rPr>
        <w:t>ll</w:t>
      </w:r>
      <w:r w:rsidR="005B1F3B" w:rsidRPr="00877F5E">
        <w:rPr>
          <w:rFonts w:ascii="Tahoma" w:hAnsi="Tahoma" w:cs="Tahoma"/>
          <w:sz w:val="24"/>
          <w:szCs w:val="24"/>
          <w:lang w:val="en-US"/>
        </w:rPr>
        <w:t>owance</w:t>
      </w:r>
      <w:r w:rsidR="00754D1A" w:rsidRPr="00877F5E">
        <w:rPr>
          <w:rFonts w:ascii="Tahoma" w:hAnsi="Tahoma" w:cs="Tahoma"/>
          <w:sz w:val="24"/>
          <w:szCs w:val="24"/>
          <w:lang w:val="en-US"/>
        </w:rPr>
        <w:t xml:space="preserve"> as of May 1</w:t>
      </w:r>
      <w:r w:rsidR="00754D1A" w:rsidRPr="00877F5E">
        <w:rPr>
          <w:rFonts w:ascii="Tahoma" w:hAnsi="Tahoma" w:cs="Tahoma"/>
          <w:sz w:val="24"/>
          <w:szCs w:val="24"/>
          <w:vertAlign w:val="superscript"/>
          <w:lang w:val="en-US"/>
        </w:rPr>
        <w:t>st</w:t>
      </w:r>
      <w:r w:rsidR="0024590E" w:rsidRPr="00877F5E">
        <w:rPr>
          <w:rFonts w:ascii="Tahoma" w:hAnsi="Tahoma" w:cs="Tahoma"/>
          <w:sz w:val="24"/>
          <w:szCs w:val="24"/>
          <w:lang w:val="en-US"/>
        </w:rPr>
        <w:t xml:space="preserve">, </w:t>
      </w:r>
      <w:r w:rsidRPr="00877F5E">
        <w:rPr>
          <w:rFonts w:ascii="Tahoma" w:hAnsi="Tahoma" w:cs="Tahoma"/>
          <w:sz w:val="24"/>
          <w:szCs w:val="24"/>
          <w:lang w:val="en-US"/>
        </w:rPr>
        <w:t>2019 and,</w:t>
      </w:r>
      <w:r w:rsidR="00342439" w:rsidRPr="00877F5E">
        <w:rPr>
          <w:rFonts w:ascii="Tahoma" w:hAnsi="Tahoma" w:cs="Tahoma"/>
          <w:sz w:val="24"/>
          <w:szCs w:val="24"/>
          <w:lang w:val="en-US"/>
        </w:rPr>
        <w:t xml:space="preserve"> as well as indexing child allowance with the inflation rate in 2019, as of January 1</w:t>
      </w:r>
      <w:r w:rsidR="00342439" w:rsidRPr="00877F5E">
        <w:rPr>
          <w:rFonts w:ascii="Tahoma" w:hAnsi="Tahoma" w:cs="Tahoma"/>
          <w:sz w:val="24"/>
          <w:szCs w:val="24"/>
          <w:vertAlign w:val="superscript"/>
          <w:lang w:val="en-US"/>
        </w:rPr>
        <w:t>st</w:t>
      </w:r>
      <w:r w:rsidR="00342439" w:rsidRPr="00877F5E">
        <w:rPr>
          <w:rFonts w:ascii="Tahoma" w:hAnsi="Tahoma" w:cs="Tahoma"/>
          <w:sz w:val="24"/>
          <w:szCs w:val="24"/>
          <w:lang w:val="en-US"/>
        </w:rPr>
        <w:t>, 2020. Also, social assistance expenditures include the advance payments of RON 1.4 billion relating to 50% of February pension expenditure distributed by Romanian Postal Service.</w:t>
      </w:r>
    </w:p>
    <w:p w14:paraId="2C0E310D" w14:textId="242621FF" w:rsidR="00AF2380" w:rsidRPr="00877F5E" w:rsidRDefault="00AF2380" w:rsidP="00235FEC">
      <w:pPr>
        <w:spacing w:after="120" w:line="360" w:lineRule="auto"/>
        <w:jc w:val="both"/>
        <w:rPr>
          <w:rFonts w:ascii="Tahoma" w:hAnsi="Tahoma" w:cs="Tahoma"/>
          <w:sz w:val="24"/>
          <w:szCs w:val="24"/>
          <w:lang w:val="en-US"/>
        </w:rPr>
      </w:pPr>
      <w:r w:rsidRPr="00877F5E">
        <w:rPr>
          <w:rFonts w:ascii="Tahoma" w:hAnsi="Tahoma" w:cs="Tahoma"/>
          <w:b/>
          <w:i/>
          <w:sz w:val="24"/>
          <w:szCs w:val="24"/>
          <w:lang w:val="en-US"/>
        </w:rPr>
        <w:t>Subsidies</w:t>
      </w:r>
      <w:r w:rsidRPr="00877F5E">
        <w:rPr>
          <w:rFonts w:ascii="Tahoma" w:hAnsi="Tahoma" w:cs="Tahoma"/>
          <w:sz w:val="24"/>
          <w:szCs w:val="24"/>
          <w:lang w:val="en-US"/>
        </w:rPr>
        <w:t xml:space="preserve"> </w:t>
      </w:r>
      <w:r w:rsidR="00DD1F54" w:rsidRPr="00877F5E">
        <w:rPr>
          <w:rFonts w:ascii="Tahoma" w:hAnsi="Tahoma" w:cs="Tahoma"/>
          <w:sz w:val="24"/>
          <w:szCs w:val="24"/>
          <w:lang w:val="en-US"/>
        </w:rPr>
        <w:t>reached</w:t>
      </w:r>
      <w:r w:rsidRPr="00877F5E">
        <w:rPr>
          <w:rFonts w:ascii="Tahoma" w:hAnsi="Tahoma" w:cs="Tahoma"/>
          <w:sz w:val="24"/>
          <w:szCs w:val="24"/>
          <w:lang w:val="en-US"/>
        </w:rPr>
        <w:t xml:space="preserve"> RON 1,994.3 million, more than 2.5 times higher </w:t>
      </w:r>
      <w:r w:rsidR="000921F5" w:rsidRPr="00877F5E">
        <w:rPr>
          <w:rFonts w:ascii="Tahoma" w:hAnsi="Tahoma" w:cs="Tahoma"/>
          <w:sz w:val="24"/>
          <w:szCs w:val="24"/>
          <w:lang w:val="en-US"/>
        </w:rPr>
        <w:t>compared to</w:t>
      </w:r>
      <w:r w:rsidRPr="00877F5E">
        <w:rPr>
          <w:rFonts w:ascii="Tahoma" w:hAnsi="Tahoma" w:cs="Tahoma"/>
          <w:sz w:val="24"/>
          <w:szCs w:val="24"/>
          <w:lang w:val="en-US"/>
        </w:rPr>
        <w:t xml:space="preserve"> the same period of </w:t>
      </w:r>
      <w:r w:rsidR="0024590E" w:rsidRPr="00877F5E">
        <w:rPr>
          <w:rFonts w:ascii="Tahoma" w:hAnsi="Tahoma" w:cs="Tahoma"/>
          <w:sz w:val="24"/>
          <w:szCs w:val="24"/>
          <w:lang w:val="en-US"/>
        </w:rPr>
        <w:t>2019. T</w:t>
      </w:r>
      <w:r w:rsidRPr="00877F5E">
        <w:rPr>
          <w:rFonts w:ascii="Tahoma" w:hAnsi="Tahoma" w:cs="Tahoma"/>
          <w:sz w:val="24"/>
          <w:szCs w:val="24"/>
          <w:lang w:val="en-US"/>
        </w:rPr>
        <w:t xml:space="preserve">his dynamic was mainly determined by subsidies in the agricultural sector, and by advance payments for the transitional national aid in the vegetal and </w:t>
      </w:r>
      <w:proofErr w:type="spellStart"/>
      <w:r w:rsidRPr="00877F5E">
        <w:rPr>
          <w:rFonts w:ascii="Tahoma" w:hAnsi="Tahoma" w:cs="Tahoma"/>
          <w:sz w:val="24"/>
          <w:szCs w:val="24"/>
          <w:lang w:val="en-US"/>
        </w:rPr>
        <w:t>zootechnic</w:t>
      </w:r>
      <w:r w:rsidR="00E629EA" w:rsidRPr="00877F5E">
        <w:rPr>
          <w:rFonts w:ascii="Tahoma" w:hAnsi="Tahoma" w:cs="Tahoma"/>
          <w:sz w:val="24"/>
          <w:szCs w:val="24"/>
          <w:lang w:val="en-US"/>
        </w:rPr>
        <w:t>al</w:t>
      </w:r>
      <w:proofErr w:type="spellEnd"/>
      <w:r w:rsidRPr="00877F5E">
        <w:rPr>
          <w:rFonts w:ascii="Tahoma" w:hAnsi="Tahoma" w:cs="Tahoma"/>
          <w:sz w:val="24"/>
          <w:szCs w:val="24"/>
          <w:lang w:val="en-US"/>
        </w:rPr>
        <w:t xml:space="preserve"> sector.</w:t>
      </w:r>
    </w:p>
    <w:p w14:paraId="377C7D2A" w14:textId="756D2AA7" w:rsidR="00235FEC" w:rsidRPr="00877F5E" w:rsidRDefault="00AF2380" w:rsidP="00235FEC">
      <w:pPr>
        <w:spacing w:after="120" w:line="360" w:lineRule="auto"/>
        <w:jc w:val="both"/>
        <w:rPr>
          <w:rFonts w:ascii="Tahoma" w:hAnsi="Tahoma" w:cs="Tahoma"/>
          <w:sz w:val="24"/>
          <w:szCs w:val="24"/>
          <w:lang w:val="en-US"/>
        </w:rPr>
      </w:pPr>
      <w:r w:rsidRPr="00877F5E">
        <w:rPr>
          <w:rFonts w:ascii="Tahoma" w:hAnsi="Tahoma" w:cs="Tahoma"/>
          <w:b/>
          <w:i/>
          <w:sz w:val="24"/>
          <w:szCs w:val="24"/>
          <w:lang w:val="en-US"/>
        </w:rPr>
        <w:t>O</w:t>
      </w:r>
      <w:r w:rsidR="00235FEC" w:rsidRPr="00877F5E">
        <w:rPr>
          <w:rFonts w:ascii="Tahoma" w:hAnsi="Tahoma" w:cs="Tahoma"/>
          <w:b/>
          <w:i/>
          <w:sz w:val="24"/>
          <w:szCs w:val="24"/>
          <w:lang w:val="en-US"/>
        </w:rPr>
        <w:t xml:space="preserve">ther transfers </w:t>
      </w:r>
      <w:proofErr w:type="spellStart"/>
      <w:r w:rsidR="000921F5" w:rsidRPr="00877F5E">
        <w:rPr>
          <w:rFonts w:ascii="Tahoma" w:hAnsi="Tahoma" w:cs="Tahoma"/>
          <w:sz w:val="24"/>
          <w:szCs w:val="24"/>
          <w:lang w:val="en-US"/>
        </w:rPr>
        <w:t>totalled</w:t>
      </w:r>
      <w:proofErr w:type="spellEnd"/>
      <w:r w:rsidR="000921F5" w:rsidRPr="00877F5E">
        <w:rPr>
          <w:rFonts w:ascii="Tahoma" w:hAnsi="Tahoma" w:cs="Tahoma"/>
          <w:sz w:val="24"/>
          <w:szCs w:val="24"/>
          <w:lang w:val="en-US"/>
        </w:rPr>
        <w:t xml:space="preserve"> </w:t>
      </w:r>
      <w:r w:rsidRPr="00877F5E">
        <w:rPr>
          <w:rFonts w:ascii="Tahoma" w:hAnsi="Tahoma" w:cs="Tahoma"/>
          <w:sz w:val="24"/>
          <w:szCs w:val="24"/>
          <w:lang w:val="en-US"/>
        </w:rPr>
        <w:t>RON 3.1</w:t>
      </w:r>
      <w:r w:rsidR="00235FEC" w:rsidRPr="00877F5E">
        <w:rPr>
          <w:rFonts w:ascii="Tahoma" w:hAnsi="Tahoma" w:cs="Tahoma"/>
          <w:sz w:val="24"/>
          <w:szCs w:val="24"/>
          <w:lang w:val="en-US"/>
        </w:rPr>
        <w:t xml:space="preserve"> billion, </w:t>
      </w:r>
      <w:r w:rsidRPr="00877F5E">
        <w:rPr>
          <w:rFonts w:ascii="Tahoma" w:hAnsi="Tahoma" w:cs="Tahoma"/>
          <w:sz w:val="24"/>
          <w:szCs w:val="24"/>
          <w:lang w:val="en-US"/>
        </w:rPr>
        <w:t>decreasing by 12,3% compared to the corresponding period of 2019.</w:t>
      </w:r>
    </w:p>
    <w:p w14:paraId="3DDA9780" w14:textId="731AB8A0" w:rsidR="00AF2380" w:rsidRPr="00877F5E" w:rsidRDefault="00AF2380" w:rsidP="00AF2380">
      <w:pPr>
        <w:spacing w:after="120" w:line="360" w:lineRule="auto"/>
        <w:jc w:val="both"/>
        <w:rPr>
          <w:rFonts w:ascii="Tahoma" w:hAnsi="Tahoma" w:cs="Tahoma"/>
          <w:sz w:val="24"/>
          <w:szCs w:val="24"/>
          <w:lang w:val="en-US"/>
        </w:rPr>
      </w:pPr>
      <w:r w:rsidRPr="00877F5E">
        <w:rPr>
          <w:rFonts w:ascii="Tahoma" w:hAnsi="Tahoma" w:cs="Tahoma"/>
          <w:b/>
          <w:i/>
          <w:sz w:val="24"/>
          <w:szCs w:val="24"/>
          <w:lang w:val="en-US"/>
        </w:rPr>
        <w:lastRenderedPageBreak/>
        <w:t>Other expenditure</w:t>
      </w:r>
      <w:r w:rsidR="0024590E" w:rsidRPr="00877F5E">
        <w:rPr>
          <w:rFonts w:ascii="Tahoma" w:hAnsi="Tahoma" w:cs="Tahoma"/>
          <w:b/>
          <w:i/>
          <w:sz w:val="24"/>
          <w:szCs w:val="24"/>
          <w:lang w:val="en-US"/>
        </w:rPr>
        <w:t xml:space="preserve"> </w:t>
      </w:r>
      <w:r w:rsidR="0024590E" w:rsidRPr="00877F5E">
        <w:rPr>
          <w:rFonts w:ascii="Tahoma" w:hAnsi="Tahoma" w:cs="Tahoma"/>
          <w:sz w:val="24"/>
          <w:szCs w:val="24"/>
          <w:lang w:val="en-US"/>
        </w:rPr>
        <w:t>amounted to RON 0.86 billion</w:t>
      </w:r>
      <w:r w:rsidRPr="00877F5E">
        <w:rPr>
          <w:rFonts w:ascii="Tahoma" w:hAnsi="Tahoma" w:cs="Tahoma"/>
          <w:sz w:val="24"/>
          <w:szCs w:val="24"/>
          <w:lang w:val="en-US"/>
        </w:rPr>
        <w:t xml:space="preserve"> </w:t>
      </w:r>
      <w:r w:rsidR="0024590E" w:rsidRPr="00877F5E">
        <w:rPr>
          <w:rFonts w:ascii="Tahoma" w:hAnsi="Tahoma" w:cs="Tahoma"/>
          <w:sz w:val="24"/>
          <w:szCs w:val="24"/>
          <w:lang w:val="en-US"/>
        </w:rPr>
        <w:t>(</w:t>
      </w:r>
      <w:r w:rsidR="005F26B2" w:rsidRPr="00877F5E">
        <w:rPr>
          <w:rFonts w:ascii="Tahoma" w:hAnsi="Tahoma" w:cs="Tahoma"/>
          <w:sz w:val="24"/>
          <w:szCs w:val="24"/>
          <w:lang w:val="en-US"/>
        </w:rPr>
        <w:t xml:space="preserve">this category includes </w:t>
      </w:r>
      <w:r w:rsidRPr="00877F5E">
        <w:rPr>
          <w:rFonts w:ascii="Tahoma" w:hAnsi="Tahoma" w:cs="Tahoma"/>
          <w:sz w:val="24"/>
          <w:szCs w:val="24"/>
          <w:lang w:val="en-US"/>
        </w:rPr>
        <w:t xml:space="preserve">mainly payment titles issued by the National Authority for Properties Restitution, scholarships for students and </w:t>
      </w:r>
      <w:r w:rsidR="001F5688" w:rsidRPr="00877F5E">
        <w:rPr>
          <w:rFonts w:ascii="Tahoma" w:hAnsi="Tahoma" w:cs="Tahoma"/>
          <w:sz w:val="24"/>
          <w:szCs w:val="24"/>
          <w:lang w:val="en-US"/>
        </w:rPr>
        <w:t xml:space="preserve">payments related to </w:t>
      </w:r>
      <w:r w:rsidRPr="00877F5E">
        <w:rPr>
          <w:rFonts w:ascii="Tahoma" w:hAnsi="Tahoma" w:cs="Tahoma"/>
          <w:sz w:val="24"/>
          <w:szCs w:val="24"/>
          <w:lang w:val="en-US"/>
        </w:rPr>
        <w:t>court decisions</w:t>
      </w:r>
      <w:r w:rsidR="0024590E" w:rsidRPr="00877F5E">
        <w:rPr>
          <w:rFonts w:ascii="Tahoma" w:hAnsi="Tahoma" w:cs="Tahoma"/>
          <w:sz w:val="24"/>
          <w:szCs w:val="24"/>
          <w:lang w:val="en-US"/>
        </w:rPr>
        <w:t>)</w:t>
      </w:r>
      <w:r w:rsidR="00E629EA" w:rsidRPr="00877F5E">
        <w:rPr>
          <w:rFonts w:ascii="Tahoma" w:hAnsi="Tahoma" w:cs="Tahoma"/>
          <w:sz w:val="24"/>
          <w:szCs w:val="24"/>
          <w:lang w:val="en-US"/>
        </w:rPr>
        <w:t>.</w:t>
      </w:r>
    </w:p>
    <w:p w14:paraId="05F2E691" w14:textId="3DC1FC68" w:rsidR="001F5688" w:rsidRPr="00877F5E" w:rsidRDefault="001F5688" w:rsidP="001F5688">
      <w:pPr>
        <w:spacing w:after="120" w:line="360" w:lineRule="auto"/>
        <w:jc w:val="both"/>
        <w:rPr>
          <w:rFonts w:ascii="Tahoma" w:hAnsi="Tahoma" w:cs="Tahoma"/>
          <w:sz w:val="24"/>
          <w:szCs w:val="24"/>
          <w:lang w:val="en-US"/>
        </w:rPr>
      </w:pPr>
      <w:r w:rsidRPr="00877F5E">
        <w:rPr>
          <w:rFonts w:ascii="Tahoma" w:hAnsi="Tahoma" w:cs="Tahoma"/>
          <w:b/>
          <w:i/>
          <w:sz w:val="24"/>
          <w:szCs w:val="24"/>
          <w:lang w:val="en-US"/>
        </w:rPr>
        <w:t>Expenditure for projects financed from non-reimbursable external funds</w:t>
      </w:r>
      <w:r w:rsidRPr="00877F5E">
        <w:rPr>
          <w:rFonts w:ascii="Tahoma" w:hAnsi="Tahoma" w:cs="Tahoma"/>
          <w:sz w:val="24"/>
          <w:szCs w:val="24"/>
          <w:lang w:val="en-US"/>
        </w:rPr>
        <w:t xml:space="preserve"> (including EU subsidies for agriculture) reached RON </w:t>
      </w:r>
      <w:r w:rsidRPr="00877F5E">
        <w:rPr>
          <w:rFonts w:ascii="Tahoma" w:hAnsi="Tahoma" w:cs="Tahoma"/>
          <w:bCs/>
          <w:sz w:val="24"/>
          <w:szCs w:val="28"/>
          <w:lang w:val="en-US"/>
        </w:rPr>
        <w:t>2.79</w:t>
      </w:r>
      <w:r w:rsidRPr="00877F5E">
        <w:rPr>
          <w:rFonts w:ascii="Tahoma" w:hAnsi="Tahoma" w:cs="Tahoma"/>
          <w:sz w:val="24"/>
          <w:szCs w:val="24"/>
          <w:lang w:val="en-US"/>
        </w:rPr>
        <w:t xml:space="preserve"> billion, 8.7% above the level </w:t>
      </w:r>
      <w:r w:rsidR="00CF5619" w:rsidRPr="00877F5E">
        <w:rPr>
          <w:rFonts w:ascii="Tahoma" w:hAnsi="Tahoma" w:cs="Tahoma"/>
          <w:sz w:val="24"/>
          <w:szCs w:val="24"/>
          <w:lang w:val="en-US"/>
        </w:rPr>
        <w:t>recorde</w:t>
      </w:r>
      <w:r w:rsidR="00942375" w:rsidRPr="00877F5E">
        <w:rPr>
          <w:rFonts w:ascii="Tahoma" w:hAnsi="Tahoma" w:cs="Tahoma"/>
          <w:sz w:val="24"/>
          <w:szCs w:val="24"/>
          <w:lang w:val="en-US"/>
        </w:rPr>
        <w:t>d</w:t>
      </w:r>
      <w:r w:rsidR="00CF5619" w:rsidRPr="00877F5E">
        <w:rPr>
          <w:rFonts w:ascii="Tahoma" w:hAnsi="Tahoma" w:cs="Tahoma"/>
          <w:sz w:val="24"/>
          <w:szCs w:val="24"/>
          <w:lang w:val="en-US"/>
        </w:rPr>
        <w:t xml:space="preserve"> </w:t>
      </w:r>
      <w:r w:rsidRPr="00877F5E">
        <w:rPr>
          <w:rFonts w:ascii="Tahoma" w:hAnsi="Tahoma" w:cs="Tahoma"/>
          <w:sz w:val="24"/>
          <w:szCs w:val="24"/>
          <w:lang w:val="en-US"/>
        </w:rPr>
        <w:t xml:space="preserve">in the first two months of 2019. </w:t>
      </w:r>
    </w:p>
    <w:p w14:paraId="2A1D107C" w14:textId="65EECD30" w:rsidR="001F5688" w:rsidRPr="00877F5E" w:rsidRDefault="001F5688" w:rsidP="001F5688">
      <w:pPr>
        <w:spacing w:after="120" w:line="360" w:lineRule="auto"/>
        <w:jc w:val="both"/>
        <w:rPr>
          <w:rFonts w:ascii="Tahoma" w:hAnsi="Tahoma" w:cs="Tahoma"/>
          <w:sz w:val="24"/>
          <w:szCs w:val="24"/>
          <w:lang w:val="en-US"/>
        </w:rPr>
      </w:pPr>
      <w:r w:rsidRPr="00877F5E">
        <w:rPr>
          <w:rFonts w:ascii="Tahoma" w:hAnsi="Tahoma" w:cs="Tahoma"/>
          <w:b/>
          <w:i/>
          <w:sz w:val="24"/>
          <w:szCs w:val="24"/>
          <w:lang w:val="en-US"/>
        </w:rPr>
        <w:t>Investment</w:t>
      </w:r>
      <w:r w:rsidRPr="00877F5E">
        <w:rPr>
          <w:rFonts w:ascii="Tahoma" w:hAnsi="Tahoma" w:cs="Tahoma"/>
          <w:sz w:val="24"/>
          <w:szCs w:val="24"/>
          <w:lang w:val="en-US"/>
        </w:rPr>
        <w:t xml:space="preserve">, which includes capital expenditure and spending related to development programs financed from domestic and external sources, amounted to RON </w:t>
      </w:r>
      <w:r w:rsidRPr="00877F5E">
        <w:rPr>
          <w:rFonts w:ascii="Tahoma" w:hAnsi="Tahoma" w:cs="Tahoma"/>
          <w:sz w:val="24"/>
          <w:szCs w:val="28"/>
          <w:lang w:val="en-US"/>
        </w:rPr>
        <w:t xml:space="preserve">3.2 </w:t>
      </w:r>
      <w:r w:rsidRPr="00877F5E">
        <w:rPr>
          <w:rFonts w:ascii="Tahoma" w:hAnsi="Tahoma" w:cs="Tahoma"/>
          <w:sz w:val="24"/>
          <w:szCs w:val="24"/>
          <w:lang w:val="en-US"/>
        </w:rPr>
        <w:t xml:space="preserve">billion, more than double compared to the first two months </w:t>
      </w:r>
      <w:r w:rsidR="005F26B2" w:rsidRPr="00877F5E">
        <w:rPr>
          <w:rFonts w:ascii="Tahoma" w:hAnsi="Tahoma" w:cs="Tahoma"/>
          <w:sz w:val="24"/>
          <w:szCs w:val="24"/>
          <w:lang w:val="en-US"/>
        </w:rPr>
        <w:t xml:space="preserve">of </w:t>
      </w:r>
      <w:r w:rsidRPr="00877F5E">
        <w:rPr>
          <w:rFonts w:ascii="Tahoma" w:hAnsi="Tahoma" w:cs="Tahoma"/>
          <w:sz w:val="24"/>
          <w:szCs w:val="24"/>
          <w:lang w:val="en-US"/>
        </w:rPr>
        <w:t xml:space="preserve">2019 (reflecting increases at both central and local level, financed from both domestic and non-reimbursable external funds). </w:t>
      </w:r>
      <w:r w:rsidR="000856A0" w:rsidRPr="00877F5E">
        <w:rPr>
          <w:noProof/>
          <w:lang w:val="en-US"/>
        </w:rPr>
        <w:drawing>
          <wp:inline distT="0" distB="0" distL="0" distR="0" wp14:anchorId="03B14A09" wp14:editId="413CE3C4">
            <wp:extent cx="6229350" cy="2271395"/>
            <wp:effectExtent l="0" t="0" r="6350"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9350" cy="2271395"/>
                    </a:xfrm>
                    <a:prstGeom prst="rect">
                      <a:avLst/>
                    </a:prstGeom>
                  </pic:spPr>
                </pic:pic>
              </a:graphicData>
            </a:graphic>
          </wp:inline>
        </w:drawing>
      </w:r>
    </w:p>
    <w:p w14:paraId="037B8D87" w14:textId="4DCC1138" w:rsidR="00E01455" w:rsidRPr="00877F5E" w:rsidRDefault="00E01455" w:rsidP="00DE1D44">
      <w:pPr>
        <w:spacing w:after="0" w:line="360" w:lineRule="auto"/>
        <w:rPr>
          <w:rFonts w:ascii="Tahoma" w:hAnsi="Tahoma" w:cs="Tahoma"/>
          <w:sz w:val="20"/>
          <w:szCs w:val="24"/>
          <w:lang w:val="en-US"/>
        </w:rPr>
      </w:pPr>
      <w:r w:rsidRPr="00877F5E">
        <w:rPr>
          <w:rFonts w:ascii="Tahoma" w:hAnsi="Tahoma" w:cs="Tahoma"/>
          <w:sz w:val="20"/>
          <w:szCs w:val="24"/>
          <w:lang w:val="en-US"/>
        </w:rPr>
        <w:t xml:space="preserve"> </w:t>
      </w:r>
      <w:r w:rsidR="000856A0" w:rsidRPr="00877F5E">
        <w:rPr>
          <w:rFonts w:ascii="Tahoma" w:hAnsi="Tahoma" w:cs="Tahoma"/>
          <w:sz w:val="20"/>
          <w:szCs w:val="24"/>
          <w:lang w:val="en-US"/>
        </w:rPr>
        <w:tab/>
      </w:r>
      <w:r w:rsidRPr="00877F5E">
        <w:rPr>
          <w:rFonts w:ascii="Tahoma" w:hAnsi="Tahoma" w:cs="Tahoma"/>
          <w:sz w:val="20"/>
          <w:szCs w:val="24"/>
          <w:lang w:val="en-US"/>
        </w:rPr>
        <w:t>S</w:t>
      </w:r>
      <w:r w:rsidR="00AB52D0" w:rsidRPr="00877F5E">
        <w:rPr>
          <w:rFonts w:ascii="Tahoma" w:hAnsi="Tahoma" w:cs="Tahoma"/>
          <w:sz w:val="20"/>
          <w:szCs w:val="24"/>
          <w:lang w:val="en-US"/>
        </w:rPr>
        <w:t>ource</w:t>
      </w:r>
      <w:r w:rsidRPr="00877F5E">
        <w:rPr>
          <w:rFonts w:ascii="Tahoma" w:hAnsi="Tahoma" w:cs="Tahoma"/>
          <w:sz w:val="20"/>
          <w:szCs w:val="24"/>
          <w:lang w:val="en-US"/>
        </w:rPr>
        <w:t xml:space="preserve">: </w:t>
      </w:r>
      <w:proofErr w:type="spellStart"/>
      <w:r w:rsidRPr="00877F5E">
        <w:rPr>
          <w:rFonts w:ascii="Tahoma" w:hAnsi="Tahoma" w:cs="Tahoma"/>
          <w:sz w:val="20"/>
          <w:szCs w:val="24"/>
          <w:lang w:val="en-US"/>
        </w:rPr>
        <w:t>M</w:t>
      </w:r>
      <w:r w:rsidR="00AB52D0" w:rsidRPr="00877F5E">
        <w:rPr>
          <w:rFonts w:ascii="Tahoma" w:hAnsi="Tahoma" w:cs="Tahoma"/>
          <w:sz w:val="20"/>
          <w:szCs w:val="24"/>
          <w:lang w:val="en-US"/>
        </w:rPr>
        <w:t>o</w:t>
      </w:r>
      <w:r w:rsidRPr="00877F5E">
        <w:rPr>
          <w:rFonts w:ascii="Tahoma" w:hAnsi="Tahoma" w:cs="Tahoma"/>
          <w:sz w:val="20"/>
          <w:szCs w:val="24"/>
          <w:lang w:val="en-US"/>
        </w:rPr>
        <w:t>P</w:t>
      </w:r>
      <w:r w:rsidR="00AB52D0" w:rsidRPr="00877F5E">
        <w:rPr>
          <w:rFonts w:ascii="Tahoma" w:hAnsi="Tahoma" w:cs="Tahoma"/>
          <w:sz w:val="20"/>
          <w:szCs w:val="24"/>
          <w:lang w:val="en-US"/>
        </w:rPr>
        <w:t>F</w:t>
      </w:r>
      <w:proofErr w:type="spellEnd"/>
    </w:p>
    <w:p w14:paraId="4576BF72" w14:textId="058F1E35" w:rsidR="00335354" w:rsidRPr="00877F5E" w:rsidRDefault="00484DB4" w:rsidP="00DE1D44">
      <w:pPr>
        <w:pStyle w:val="ListParagraph"/>
        <w:spacing w:line="360" w:lineRule="auto"/>
        <w:jc w:val="center"/>
        <w:rPr>
          <w:lang w:val="en-US"/>
        </w:rPr>
      </w:pPr>
      <w:r w:rsidRPr="00877F5E">
        <w:rPr>
          <w:rFonts w:ascii="Tahoma" w:hAnsi="Tahoma" w:cs="Tahoma"/>
          <w:b/>
          <w:szCs w:val="28"/>
          <w:lang w:val="en-US"/>
        </w:rPr>
        <w:t xml:space="preserve">Fig. 5 </w:t>
      </w:r>
      <w:r w:rsidR="00AB52D0" w:rsidRPr="00877F5E">
        <w:rPr>
          <w:rFonts w:ascii="Tahoma" w:hAnsi="Tahoma" w:cs="Tahoma"/>
          <w:b/>
          <w:sz w:val="24"/>
          <w:szCs w:val="24"/>
          <w:lang w:val="en-US"/>
        </w:rPr>
        <w:t>Public investment structure</w:t>
      </w:r>
    </w:p>
    <w:p w14:paraId="036DF3C7" w14:textId="77777777" w:rsidR="00335354" w:rsidRPr="00877F5E" w:rsidRDefault="00335354" w:rsidP="00335354">
      <w:pPr>
        <w:tabs>
          <w:tab w:val="left" w:pos="2154"/>
        </w:tabs>
        <w:rPr>
          <w:rFonts w:ascii="Tahoma" w:hAnsi="Tahoma" w:cs="Tahoma"/>
          <w:sz w:val="24"/>
          <w:szCs w:val="24"/>
          <w:lang w:val="en-US"/>
        </w:rPr>
        <w:sectPr w:rsidR="00335354" w:rsidRPr="00877F5E" w:rsidSect="005C7476">
          <w:footerReference w:type="default" r:id="rId13"/>
          <w:pgSz w:w="12240" w:h="15840"/>
          <w:pgMar w:top="851" w:right="1260" w:bottom="1134" w:left="1170" w:header="720" w:footer="720" w:gutter="0"/>
          <w:cols w:space="720"/>
          <w:docGrid w:linePitch="360"/>
        </w:sectPr>
      </w:pPr>
    </w:p>
    <w:p w14:paraId="430A3D9B" w14:textId="30CB6E99" w:rsidR="00335354" w:rsidRPr="00877F5E" w:rsidRDefault="006F1B0E" w:rsidP="00335354">
      <w:pPr>
        <w:tabs>
          <w:tab w:val="left" w:pos="2154"/>
        </w:tabs>
        <w:rPr>
          <w:rFonts w:ascii="Tahoma" w:hAnsi="Tahoma" w:cs="Tahoma"/>
          <w:sz w:val="24"/>
          <w:szCs w:val="24"/>
          <w:lang w:val="en-US"/>
        </w:rPr>
      </w:pPr>
      <w:r w:rsidRPr="00877F5E">
        <w:rPr>
          <w:noProof/>
          <w:lang w:val="en-US"/>
        </w:rPr>
        <w:lastRenderedPageBreak/>
        <w:drawing>
          <wp:inline distT="0" distB="0" distL="0" distR="0" wp14:anchorId="71731A8F" wp14:editId="1DE52886">
            <wp:extent cx="8402320" cy="57943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02320" cy="5794329"/>
                    </a:xfrm>
                    <a:prstGeom prst="rect">
                      <a:avLst/>
                    </a:prstGeom>
                    <a:noFill/>
                    <a:ln>
                      <a:noFill/>
                    </a:ln>
                  </pic:spPr>
                </pic:pic>
              </a:graphicData>
            </a:graphic>
          </wp:inline>
        </w:drawing>
      </w:r>
    </w:p>
    <w:p w14:paraId="7AEA43E3" w14:textId="0503E82B" w:rsidR="00335354" w:rsidRPr="00877F5E" w:rsidRDefault="006F1B0E" w:rsidP="00335354">
      <w:pPr>
        <w:tabs>
          <w:tab w:val="left" w:pos="2154"/>
        </w:tabs>
        <w:rPr>
          <w:rFonts w:ascii="Tahoma" w:hAnsi="Tahoma" w:cs="Tahoma"/>
          <w:sz w:val="24"/>
          <w:szCs w:val="24"/>
          <w:lang w:val="en-US"/>
        </w:rPr>
      </w:pPr>
      <w:bookmarkStart w:id="0" w:name="_GoBack"/>
      <w:r w:rsidRPr="00877F5E">
        <w:rPr>
          <w:noProof/>
          <w:lang w:val="en-US"/>
        </w:rPr>
        <w:lastRenderedPageBreak/>
        <w:drawing>
          <wp:inline distT="0" distB="0" distL="0" distR="0" wp14:anchorId="0050FEED" wp14:editId="6F9313A5">
            <wp:extent cx="8401303" cy="522400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10839" cy="5229937"/>
                    </a:xfrm>
                    <a:prstGeom prst="rect">
                      <a:avLst/>
                    </a:prstGeom>
                    <a:noFill/>
                    <a:ln>
                      <a:noFill/>
                    </a:ln>
                  </pic:spPr>
                </pic:pic>
              </a:graphicData>
            </a:graphic>
          </wp:inline>
        </w:drawing>
      </w:r>
      <w:bookmarkEnd w:id="0"/>
    </w:p>
    <w:p w14:paraId="34FE2CD3" w14:textId="60296E71" w:rsidR="00B333F4" w:rsidRPr="00877F5E" w:rsidRDefault="00B333F4" w:rsidP="00335354">
      <w:pPr>
        <w:tabs>
          <w:tab w:val="left" w:pos="2154"/>
        </w:tabs>
        <w:rPr>
          <w:rFonts w:ascii="Tahoma" w:hAnsi="Tahoma" w:cs="Tahoma"/>
          <w:sz w:val="24"/>
          <w:szCs w:val="24"/>
          <w:lang w:val="en-US"/>
        </w:rPr>
      </w:pPr>
    </w:p>
    <w:p w14:paraId="307EE148" w14:textId="024B11DA" w:rsidR="00B333F4" w:rsidRPr="00877F5E" w:rsidRDefault="00B333F4" w:rsidP="00335354">
      <w:pPr>
        <w:tabs>
          <w:tab w:val="left" w:pos="2154"/>
        </w:tabs>
        <w:rPr>
          <w:rFonts w:ascii="Tahoma" w:hAnsi="Tahoma" w:cs="Tahoma"/>
          <w:sz w:val="24"/>
          <w:szCs w:val="24"/>
          <w:lang w:val="en-US"/>
        </w:rPr>
        <w:sectPr w:rsidR="00B333F4" w:rsidRPr="00877F5E" w:rsidSect="009E0FCE">
          <w:pgSz w:w="15840" w:h="12240" w:orient="landscape"/>
          <w:pgMar w:top="1168" w:right="1168" w:bottom="1259" w:left="1440" w:header="288" w:footer="720" w:gutter="0"/>
          <w:cols w:space="720"/>
          <w:docGrid w:linePitch="360"/>
        </w:sectPr>
      </w:pPr>
    </w:p>
    <w:p w14:paraId="083B60D7" w14:textId="0EEF81CB" w:rsidR="00335354" w:rsidRPr="00877F5E" w:rsidRDefault="007026FB" w:rsidP="00335354">
      <w:pPr>
        <w:tabs>
          <w:tab w:val="left" w:pos="2154"/>
        </w:tabs>
        <w:rPr>
          <w:rFonts w:ascii="Tahoma" w:hAnsi="Tahoma" w:cs="Tahoma"/>
          <w:sz w:val="24"/>
          <w:szCs w:val="24"/>
          <w:lang w:val="en-US"/>
        </w:rPr>
      </w:pPr>
      <w:r w:rsidRPr="00877F5E">
        <w:rPr>
          <w:noProof/>
          <w:lang w:val="en-US"/>
        </w:rPr>
        <w:lastRenderedPageBreak/>
        <w:drawing>
          <wp:inline distT="0" distB="0" distL="0" distR="0" wp14:anchorId="0963F1B5" wp14:editId="63F3960A">
            <wp:extent cx="6228527" cy="8237552"/>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43317" cy="8257113"/>
                    </a:xfrm>
                    <a:prstGeom prst="rect">
                      <a:avLst/>
                    </a:prstGeom>
                    <a:noFill/>
                    <a:ln>
                      <a:noFill/>
                    </a:ln>
                  </pic:spPr>
                </pic:pic>
              </a:graphicData>
            </a:graphic>
          </wp:inline>
        </w:drawing>
      </w:r>
    </w:p>
    <w:sectPr w:rsidR="00335354" w:rsidRPr="00877F5E" w:rsidSect="00526E8B">
      <w:pgSz w:w="12240" w:h="15840"/>
      <w:pgMar w:top="1170" w:right="126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4FC91" w14:textId="77777777" w:rsidR="009B10D1" w:rsidRDefault="009B10D1" w:rsidP="006704C5">
      <w:pPr>
        <w:spacing w:after="0" w:line="240" w:lineRule="auto"/>
      </w:pPr>
      <w:r>
        <w:separator/>
      </w:r>
    </w:p>
  </w:endnote>
  <w:endnote w:type="continuationSeparator" w:id="0">
    <w:p w14:paraId="412B0F09" w14:textId="77777777" w:rsidR="009B10D1" w:rsidRDefault="009B10D1" w:rsidP="00670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6570"/>
      <w:gridCol w:w="3240"/>
    </w:tblGrid>
    <w:tr w:rsidR="00CA4A92" w14:paraId="1C29889F" w14:textId="77777777" w:rsidTr="00A238C5">
      <w:trPr>
        <w:trHeight w:hRule="exact" w:val="115"/>
        <w:jc w:val="center"/>
      </w:trPr>
      <w:tc>
        <w:tcPr>
          <w:tcW w:w="6570" w:type="dxa"/>
          <w:shd w:val="clear" w:color="auto" w:fill="5B9BD5" w:themeFill="accent1"/>
          <w:tcMar>
            <w:top w:w="0" w:type="dxa"/>
            <w:bottom w:w="0" w:type="dxa"/>
          </w:tcMar>
        </w:tcPr>
        <w:p w14:paraId="32FA620C" w14:textId="77777777" w:rsidR="00CA4A92" w:rsidRDefault="00CA4A92">
          <w:pPr>
            <w:pStyle w:val="Header"/>
            <w:tabs>
              <w:tab w:val="clear" w:pos="4680"/>
              <w:tab w:val="clear" w:pos="9360"/>
            </w:tabs>
            <w:rPr>
              <w:caps/>
              <w:sz w:val="18"/>
            </w:rPr>
          </w:pPr>
        </w:p>
      </w:tc>
      <w:tc>
        <w:tcPr>
          <w:tcW w:w="3240" w:type="dxa"/>
          <w:shd w:val="clear" w:color="auto" w:fill="5B9BD5" w:themeFill="accent1"/>
          <w:tcMar>
            <w:top w:w="0" w:type="dxa"/>
            <w:bottom w:w="0" w:type="dxa"/>
          </w:tcMar>
        </w:tcPr>
        <w:p w14:paraId="4A904811" w14:textId="77777777" w:rsidR="00CA4A92" w:rsidRDefault="00CA4A92">
          <w:pPr>
            <w:pStyle w:val="Header"/>
            <w:tabs>
              <w:tab w:val="clear" w:pos="4680"/>
              <w:tab w:val="clear" w:pos="9360"/>
            </w:tabs>
            <w:jc w:val="right"/>
            <w:rPr>
              <w:caps/>
              <w:sz w:val="18"/>
            </w:rPr>
          </w:pPr>
        </w:p>
      </w:tc>
    </w:tr>
    <w:tr w:rsidR="00CA4A92" w14:paraId="29C59315" w14:textId="77777777" w:rsidTr="00A238C5">
      <w:trPr>
        <w:jc w:val="center"/>
      </w:trPr>
      <w:sdt>
        <w:sdtPr>
          <w:rPr>
            <w:rFonts w:ascii="Tahoma" w:hAnsi="Tahoma" w:cs="Tahoma"/>
            <w:caps/>
            <w:sz w:val="18"/>
            <w:szCs w:val="18"/>
            <w:lang w:val="en-US"/>
          </w:rPr>
          <w:alias w:val="Author"/>
          <w:tag w:val=""/>
          <w:id w:val="1534151868"/>
          <w:placeholder>
            <w:docPart w:val="D84F477074C5474DB153439CBFE5B89B"/>
          </w:placeholder>
          <w:dataBinding w:prefixMappings="xmlns:ns0='http://purl.org/dc/elements/1.1/' xmlns:ns1='http://schemas.openxmlformats.org/package/2006/metadata/core-properties' " w:xpath="/ns1:coreProperties[1]/ns0:creator[1]" w:storeItemID="{6C3C8BC8-F283-45AE-878A-BAB7291924A1}"/>
          <w:text/>
        </w:sdtPr>
        <w:sdtEndPr/>
        <w:sdtContent>
          <w:tc>
            <w:tcPr>
              <w:tcW w:w="6570" w:type="dxa"/>
              <w:shd w:val="clear" w:color="auto" w:fill="auto"/>
              <w:vAlign w:val="center"/>
            </w:tcPr>
            <w:p w14:paraId="006B0A71" w14:textId="3BE703B7" w:rsidR="00CA4A92" w:rsidRPr="00CA4A92" w:rsidRDefault="00A238C5" w:rsidP="00DE1D44">
              <w:pPr>
                <w:pStyle w:val="Footer"/>
                <w:tabs>
                  <w:tab w:val="clear" w:pos="4680"/>
                  <w:tab w:val="clear" w:pos="9360"/>
                </w:tabs>
                <w:rPr>
                  <w:rFonts w:ascii="Tahoma" w:hAnsi="Tahoma" w:cs="Tahoma"/>
                  <w:caps/>
                  <w:color w:val="808080" w:themeColor="background1" w:themeShade="80"/>
                  <w:sz w:val="18"/>
                  <w:szCs w:val="18"/>
                </w:rPr>
              </w:pPr>
              <w:r w:rsidRPr="00A238C5">
                <w:rPr>
                  <w:rFonts w:ascii="Tahoma" w:hAnsi="Tahoma" w:cs="Tahoma"/>
                  <w:caps/>
                  <w:color w:val="808080" w:themeColor="background1" w:themeShade="80"/>
                  <w:sz w:val="18"/>
                  <w:szCs w:val="18"/>
                  <w:lang w:val="en-US"/>
                </w:rPr>
                <w:t xml:space="preserve">EXECUTION OF THE GENERAL GOVERNMENT BUDGET | </w:t>
              </w:r>
              <w:r w:rsidR="00DE1D44">
                <w:rPr>
                  <w:rFonts w:ascii="Tahoma" w:hAnsi="Tahoma" w:cs="Tahoma"/>
                  <w:caps/>
                  <w:color w:val="808080" w:themeColor="background1" w:themeShade="80"/>
                  <w:sz w:val="18"/>
                  <w:szCs w:val="18"/>
                  <w:lang w:val="en-US"/>
                </w:rPr>
                <w:t>FEBR</w:t>
              </w:r>
              <w:r>
                <w:rPr>
                  <w:rFonts w:ascii="Tahoma" w:hAnsi="Tahoma" w:cs="Tahoma"/>
                  <w:caps/>
                  <w:color w:val="808080" w:themeColor="background1" w:themeShade="80"/>
                  <w:sz w:val="18"/>
                  <w:szCs w:val="18"/>
                  <w:lang w:val="en-US"/>
                </w:rPr>
                <w:t xml:space="preserve">UARY </w:t>
              </w:r>
              <w:r w:rsidRPr="00A238C5">
                <w:rPr>
                  <w:rFonts w:ascii="Tahoma" w:hAnsi="Tahoma" w:cs="Tahoma"/>
                  <w:caps/>
                  <w:color w:val="808080" w:themeColor="background1" w:themeShade="80"/>
                  <w:sz w:val="18"/>
                  <w:szCs w:val="18"/>
                  <w:lang w:val="en-US"/>
                </w:rPr>
                <w:t>2020</w:t>
              </w:r>
            </w:p>
          </w:tc>
        </w:sdtContent>
      </w:sdt>
      <w:tc>
        <w:tcPr>
          <w:tcW w:w="3240" w:type="dxa"/>
          <w:shd w:val="clear" w:color="auto" w:fill="auto"/>
          <w:vAlign w:val="center"/>
        </w:tcPr>
        <w:p w14:paraId="257C39E3" w14:textId="33C0E317" w:rsidR="00CA4A92" w:rsidRPr="00CA4A92" w:rsidRDefault="00D84263">
          <w:pPr>
            <w:pStyle w:val="Footer"/>
            <w:tabs>
              <w:tab w:val="clear" w:pos="4680"/>
              <w:tab w:val="clear" w:pos="9360"/>
            </w:tabs>
            <w:jc w:val="right"/>
            <w:rPr>
              <w:rFonts w:ascii="Tahoma" w:hAnsi="Tahoma" w:cs="Tahoma"/>
              <w:caps/>
              <w:color w:val="808080" w:themeColor="background1" w:themeShade="80"/>
              <w:sz w:val="18"/>
              <w:szCs w:val="18"/>
            </w:rPr>
          </w:pPr>
          <w:r w:rsidRPr="00CA4A92">
            <w:rPr>
              <w:rFonts w:ascii="Tahoma" w:hAnsi="Tahoma" w:cs="Tahoma"/>
              <w:caps/>
              <w:color w:val="808080" w:themeColor="background1" w:themeShade="80"/>
              <w:sz w:val="18"/>
              <w:szCs w:val="18"/>
            </w:rPr>
            <w:fldChar w:fldCharType="begin"/>
          </w:r>
          <w:r w:rsidR="00CA4A92" w:rsidRPr="00CA4A92">
            <w:rPr>
              <w:rFonts w:ascii="Tahoma" w:hAnsi="Tahoma" w:cs="Tahoma"/>
              <w:caps/>
              <w:color w:val="808080" w:themeColor="background1" w:themeShade="80"/>
              <w:sz w:val="18"/>
              <w:szCs w:val="18"/>
            </w:rPr>
            <w:instrText xml:space="preserve"> PAGE   \* MERGEFORMAT </w:instrText>
          </w:r>
          <w:r w:rsidRPr="00CA4A92">
            <w:rPr>
              <w:rFonts w:ascii="Tahoma" w:hAnsi="Tahoma" w:cs="Tahoma"/>
              <w:caps/>
              <w:color w:val="808080" w:themeColor="background1" w:themeShade="80"/>
              <w:sz w:val="18"/>
              <w:szCs w:val="18"/>
            </w:rPr>
            <w:fldChar w:fldCharType="separate"/>
          </w:r>
          <w:r w:rsidR="00877F5E">
            <w:rPr>
              <w:rFonts w:ascii="Tahoma" w:hAnsi="Tahoma" w:cs="Tahoma"/>
              <w:caps/>
              <w:noProof/>
              <w:color w:val="808080" w:themeColor="background1" w:themeShade="80"/>
              <w:sz w:val="18"/>
              <w:szCs w:val="18"/>
            </w:rPr>
            <w:t>2</w:t>
          </w:r>
          <w:r w:rsidRPr="00CA4A92">
            <w:rPr>
              <w:rFonts w:ascii="Tahoma" w:hAnsi="Tahoma" w:cs="Tahoma"/>
              <w:caps/>
              <w:noProof/>
              <w:color w:val="808080" w:themeColor="background1" w:themeShade="80"/>
              <w:sz w:val="18"/>
              <w:szCs w:val="18"/>
            </w:rPr>
            <w:fldChar w:fldCharType="end"/>
          </w:r>
        </w:p>
      </w:tc>
    </w:tr>
  </w:tbl>
  <w:p w14:paraId="1BA854E6" w14:textId="77777777" w:rsidR="006704C5" w:rsidRDefault="00A238C5" w:rsidP="00A238C5">
    <w:pPr>
      <w:pStyle w:val="Footer"/>
      <w:tabs>
        <w:tab w:val="clear" w:pos="4680"/>
        <w:tab w:val="clear" w:pos="9360"/>
        <w:tab w:val="left" w:pos="657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B0B56" w14:textId="77777777" w:rsidR="009B10D1" w:rsidRDefault="009B10D1" w:rsidP="006704C5">
      <w:pPr>
        <w:spacing w:after="0" w:line="240" w:lineRule="auto"/>
      </w:pPr>
      <w:r>
        <w:separator/>
      </w:r>
    </w:p>
  </w:footnote>
  <w:footnote w:type="continuationSeparator" w:id="0">
    <w:p w14:paraId="72B1657F" w14:textId="77777777" w:rsidR="009B10D1" w:rsidRDefault="009B10D1" w:rsidP="006704C5">
      <w:pPr>
        <w:spacing w:after="0" w:line="240" w:lineRule="auto"/>
      </w:pPr>
      <w:r>
        <w:continuationSeparator/>
      </w:r>
    </w:p>
  </w:footnote>
  <w:footnote w:id="1">
    <w:p w14:paraId="40058465" w14:textId="77777777" w:rsidR="007D5AEB" w:rsidRPr="007D5AEB" w:rsidRDefault="007D5AEB" w:rsidP="001A2BAF">
      <w:pPr>
        <w:pStyle w:val="FootnoteText"/>
        <w:jc w:val="both"/>
        <w:rPr>
          <w:lang w:val="en-GB"/>
        </w:rPr>
      </w:pPr>
      <w:r>
        <w:rPr>
          <w:rStyle w:val="FootnoteReference"/>
        </w:rPr>
        <w:footnoteRef/>
      </w:r>
      <w:r>
        <w:t xml:space="preserve"> </w:t>
      </w:r>
      <w:r w:rsidR="001A2BAF">
        <w:t>In</w:t>
      </w:r>
      <w:r w:rsidR="001A2BAF" w:rsidRPr="001A2BAF">
        <w:t xml:space="preserve"> </w:t>
      </w:r>
      <w:proofErr w:type="spellStart"/>
      <w:r w:rsidR="001A2BAF" w:rsidRPr="001A2BAF">
        <w:t>January</w:t>
      </w:r>
      <w:proofErr w:type="spellEnd"/>
      <w:r w:rsidR="001A2BAF" w:rsidRPr="001A2BAF">
        <w:t xml:space="preserve"> 2019</w:t>
      </w:r>
      <w:r w:rsidR="001A2BAF">
        <w:t xml:space="preserve">, </w:t>
      </w:r>
      <w:proofErr w:type="spellStart"/>
      <w:r w:rsidR="001A2BAF">
        <w:t>the</w:t>
      </w:r>
      <w:proofErr w:type="spellEnd"/>
      <w:r w:rsidR="001A2BAF">
        <w:t xml:space="preserve"> </w:t>
      </w:r>
      <w:proofErr w:type="spellStart"/>
      <w:r w:rsidR="001A2BAF">
        <w:t>receipts</w:t>
      </w:r>
      <w:proofErr w:type="spellEnd"/>
      <w:r w:rsidR="001A2BAF">
        <w:t xml:space="preserve">  </w:t>
      </w:r>
      <w:proofErr w:type="spellStart"/>
      <w:r w:rsidR="001A2BAF">
        <w:t>were</w:t>
      </w:r>
      <w:proofErr w:type="spellEnd"/>
      <w:r w:rsidR="001A2BAF">
        <w:t xml:space="preserve"> </w:t>
      </w:r>
      <w:proofErr w:type="spellStart"/>
      <w:r w:rsidR="001A2BAF">
        <w:t>not</w:t>
      </w:r>
      <w:proofErr w:type="spellEnd"/>
      <w:r w:rsidR="001A2BAF">
        <w:t xml:space="preserve"> </w:t>
      </w:r>
      <w:proofErr w:type="spellStart"/>
      <w:r w:rsidR="001A2BAF">
        <w:t>affected</w:t>
      </w:r>
      <w:proofErr w:type="spellEnd"/>
      <w:r w:rsidR="001A2BAF">
        <w:t xml:space="preserve"> </w:t>
      </w:r>
      <w:proofErr w:type="spellStart"/>
      <w:r w:rsidR="001A2BAF">
        <w:t>by</w:t>
      </w:r>
      <w:proofErr w:type="spellEnd"/>
      <w:r w:rsidR="001A2BAF">
        <w:t xml:space="preserve"> </w:t>
      </w:r>
      <w:proofErr w:type="spellStart"/>
      <w:r w:rsidR="001A2BAF">
        <w:t>any</w:t>
      </w:r>
      <w:proofErr w:type="spellEnd"/>
      <w:r w:rsidR="001A2BAF" w:rsidRPr="001A2BAF">
        <w:t xml:space="preserve"> </w:t>
      </w:r>
      <w:proofErr w:type="spellStart"/>
      <w:r w:rsidR="001A2BAF" w:rsidRPr="001A2BAF">
        <w:t>exemption</w:t>
      </w:r>
      <w:proofErr w:type="spellEnd"/>
      <w:r w:rsidR="001A2BAF" w:rsidRPr="001A2BAF">
        <w:t xml:space="preserve"> </w:t>
      </w:r>
      <w:proofErr w:type="spellStart"/>
      <w:r w:rsidR="001A2BAF" w:rsidRPr="001A2BAF">
        <w:t>from</w:t>
      </w:r>
      <w:proofErr w:type="spellEnd"/>
      <w:r w:rsidR="001A2BAF" w:rsidRPr="001A2BAF">
        <w:t xml:space="preserve"> </w:t>
      </w:r>
      <w:proofErr w:type="spellStart"/>
      <w:r w:rsidR="001A2BAF" w:rsidRPr="001A2BAF">
        <w:t>income</w:t>
      </w:r>
      <w:proofErr w:type="spellEnd"/>
      <w:r w:rsidR="001A2BAF" w:rsidRPr="001A2BAF">
        <w:t xml:space="preserve"> </w:t>
      </w:r>
      <w:proofErr w:type="spellStart"/>
      <w:r w:rsidR="001A2BAF">
        <w:t>tax</w:t>
      </w:r>
      <w:proofErr w:type="spellEnd"/>
      <w:r w:rsidR="001A2BAF">
        <w:t xml:space="preserve"> </w:t>
      </w:r>
      <w:proofErr w:type="spellStart"/>
      <w:r w:rsidR="001A2BAF">
        <w:t>payment</w:t>
      </w:r>
      <w:proofErr w:type="spellEnd"/>
      <w:r w:rsidR="001A2BAF">
        <w:t xml:space="preserve">. In </w:t>
      </w:r>
      <w:proofErr w:type="spellStart"/>
      <w:r w:rsidR="001A2BAF">
        <w:t>December</w:t>
      </w:r>
      <w:proofErr w:type="spellEnd"/>
      <w:r w:rsidR="001A2BAF">
        <w:t xml:space="preserve"> 2019, more </w:t>
      </w:r>
      <w:proofErr w:type="spellStart"/>
      <w:r w:rsidR="001A2BAF">
        <w:t>than</w:t>
      </w:r>
      <w:proofErr w:type="spellEnd"/>
      <w:r w:rsidR="001A2BAF">
        <w:t xml:space="preserve"> </w:t>
      </w:r>
      <w:r w:rsidR="001A2BAF" w:rsidRPr="001A2BAF">
        <w:t xml:space="preserve"> 500,000 </w:t>
      </w:r>
      <w:proofErr w:type="spellStart"/>
      <w:r w:rsidR="001A2BAF" w:rsidRPr="001A2BAF">
        <w:t>employees</w:t>
      </w:r>
      <w:proofErr w:type="spellEnd"/>
      <w:r w:rsidR="001A2BAF" w:rsidRPr="001A2BAF">
        <w:t xml:space="preserve"> in </w:t>
      </w:r>
      <w:proofErr w:type="spellStart"/>
      <w:r w:rsidR="001A2BAF" w:rsidRPr="001A2BAF">
        <w:t>the</w:t>
      </w:r>
      <w:proofErr w:type="spellEnd"/>
      <w:r w:rsidR="001A2BAF" w:rsidRPr="001A2BAF">
        <w:t xml:space="preserve"> </w:t>
      </w:r>
      <w:proofErr w:type="spellStart"/>
      <w:r w:rsidR="001A2BAF" w:rsidRPr="001A2BAF">
        <w:t>field</w:t>
      </w:r>
      <w:proofErr w:type="spellEnd"/>
      <w:r w:rsidR="001A2BAF" w:rsidRPr="001A2BAF">
        <w:t xml:space="preserve"> of </w:t>
      </w:r>
      <w:proofErr w:type="spellStart"/>
      <w:r w:rsidR="001A2BAF" w:rsidRPr="001A2BAF">
        <w:t>construction</w:t>
      </w:r>
      <w:proofErr w:type="spellEnd"/>
      <w:r w:rsidR="001A2BAF" w:rsidRPr="001A2BAF">
        <w:t xml:space="preserve"> </w:t>
      </w:r>
      <w:proofErr w:type="spellStart"/>
      <w:r w:rsidR="001A2BAF" w:rsidRPr="001A2BAF">
        <w:t>and</w:t>
      </w:r>
      <w:proofErr w:type="spellEnd"/>
      <w:r w:rsidR="001A2BAF" w:rsidRPr="001A2BAF">
        <w:t xml:space="preserve"> </w:t>
      </w:r>
      <w:proofErr w:type="spellStart"/>
      <w:r w:rsidR="001A2BAF" w:rsidRPr="001A2BAF">
        <w:t>related</w:t>
      </w:r>
      <w:proofErr w:type="spellEnd"/>
      <w:r w:rsidR="001A2BAF" w:rsidRPr="001A2BAF">
        <w:t xml:space="preserve"> </w:t>
      </w:r>
      <w:proofErr w:type="spellStart"/>
      <w:r w:rsidR="001A2BAF" w:rsidRPr="001A2BAF">
        <w:t>sectors</w:t>
      </w:r>
      <w:proofErr w:type="spellEnd"/>
      <w:r w:rsidR="001A2BAF" w:rsidRPr="001A2BAF">
        <w:t xml:space="preserve"> </w:t>
      </w:r>
      <w:proofErr w:type="spellStart"/>
      <w:r w:rsidR="001A2BAF">
        <w:t>were</w:t>
      </w:r>
      <w:proofErr w:type="spellEnd"/>
      <w:r w:rsidR="001A2BAF">
        <w:t xml:space="preserve"> </w:t>
      </w:r>
      <w:proofErr w:type="spellStart"/>
      <w:r w:rsidR="001A2BAF">
        <w:t>exempted</w:t>
      </w:r>
      <w:proofErr w:type="spellEnd"/>
      <w:r w:rsidR="001A2BAF" w:rsidRPr="001A2BAF">
        <w:t xml:space="preserve"> </w:t>
      </w:r>
      <w:proofErr w:type="spellStart"/>
      <w:r w:rsidR="001A2BAF" w:rsidRPr="001A2BAF">
        <w:t>from</w:t>
      </w:r>
      <w:proofErr w:type="spellEnd"/>
      <w:r w:rsidR="001A2BAF" w:rsidRPr="001A2BAF">
        <w:t xml:space="preserve"> </w:t>
      </w:r>
      <w:proofErr w:type="spellStart"/>
      <w:r w:rsidR="001A2BAF" w:rsidRPr="001A2BAF">
        <w:t>paying</w:t>
      </w:r>
      <w:proofErr w:type="spellEnd"/>
      <w:r w:rsidR="001A2BAF" w:rsidRPr="001A2BAF">
        <w:t xml:space="preserve"> </w:t>
      </w:r>
      <w:proofErr w:type="spellStart"/>
      <w:r w:rsidR="001A2BAF" w:rsidRPr="001A2BAF">
        <w:t>income</w:t>
      </w:r>
      <w:proofErr w:type="spellEnd"/>
      <w:r w:rsidR="001A2BAF" w:rsidRPr="001A2BAF">
        <w:t xml:space="preserve"> </w:t>
      </w:r>
      <w:proofErr w:type="spellStart"/>
      <w:r w:rsidR="001A2BAF" w:rsidRPr="001A2BAF">
        <w:t>tax</w:t>
      </w:r>
      <w:proofErr w:type="spellEnd"/>
      <w:r w:rsidR="001A2BAF" w:rsidRPr="001A2BAF">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74559"/>
    <w:multiLevelType w:val="hybridMultilevel"/>
    <w:tmpl w:val="60F623AE"/>
    <w:lvl w:ilvl="0" w:tplc="A59CE0C4">
      <w:numFmt w:val="bullet"/>
      <w:lvlText w:val="-"/>
      <w:lvlJc w:val="left"/>
      <w:pPr>
        <w:ind w:left="10080" w:hanging="720"/>
      </w:pPr>
      <w:rPr>
        <w:rFonts w:ascii="Tahoma" w:eastAsiaTheme="minorHAnsi" w:hAnsi="Tahoma" w:cs="Tahoma" w:hint="default"/>
      </w:rPr>
    </w:lvl>
    <w:lvl w:ilvl="1" w:tplc="04090003" w:tentative="1">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1" w15:restartNumberingAfterBreak="0">
    <w:nsid w:val="19AE6EB8"/>
    <w:multiLevelType w:val="hybridMultilevel"/>
    <w:tmpl w:val="A8B84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0D316B"/>
    <w:multiLevelType w:val="hybridMultilevel"/>
    <w:tmpl w:val="AC76A1EE"/>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4B1D8C"/>
    <w:multiLevelType w:val="hybridMultilevel"/>
    <w:tmpl w:val="A3C410EA"/>
    <w:lvl w:ilvl="0" w:tplc="6F76A1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6968D3"/>
    <w:multiLevelType w:val="hybridMultilevel"/>
    <w:tmpl w:val="B202A21C"/>
    <w:lvl w:ilvl="0" w:tplc="731EB554">
      <w:start w:val="1"/>
      <w:numFmt w:val="bullet"/>
      <w:lvlText w:val=""/>
      <w:lvlJc w:val="left"/>
      <w:pPr>
        <w:ind w:left="1080" w:hanging="72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073916"/>
    <w:multiLevelType w:val="hybridMultilevel"/>
    <w:tmpl w:val="7480F156"/>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897CC7"/>
    <w:multiLevelType w:val="hybridMultilevel"/>
    <w:tmpl w:val="C51EB1E6"/>
    <w:lvl w:ilvl="0" w:tplc="52C60E8E">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23"/>
    <w:rsid w:val="00001E8C"/>
    <w:rsid w:val="00011225"/>
    <w:rsid w:val="00012C3B"/>
    <w:rsid w:val="00016F63"/>
    <w:rsid w:val="00017361"/>
    <w:rsid w:val="000261DD"/>
    <w:rsid w:val="00026DEC"/>
    <w:rsid w:val="00032A05"/>
    <w:rsid w:val="00037CAD"/>
    <w:rsid w:val="00041D0D"/>
    <w:rsid w:val="00043EEA"/>
    <w:rsid w:val="000500BA"/>
    <w:rsid w:val="00052351"/>
    <w:rsid w:val="00056BE3"/>
    <w:rsid w:val="000573AD"/>
    <w:rsid w:val="0006223E"/>
    <w:rsid w:val="00062A56"/>
    <w:rsid w:val="0008264F"/>
    <w:rsid w:val="00082F2B"/>
    <w:rsid w:val="000856A0"/>
    <w:rsid w:val="000913D0"/>
    <w:rsid w:val="000916B5"/>
    <w:rsid w:val="000921F5"/>
    <w:rsid w:val="000941CC"/>
    <w:rsid w:val="000942F8"/>
    <w:rsid w:val="000951A2"/>
    <w:rsid w:val="00095242"/>
    <w:rsid w:val="000A25FA"/>
    <w:rsid w:val="000A4203"/>
    <w:rsid w:val="000A62E1"/>
    <w:rsid w:val="000B579B"/>
    <w:rsid w:val="000C0B9C"/>
    <w:rsid w:val="000C30DF"/>
    <w:rsid w:val="000C5478"/>
    <w:rsid w:val="000C6DEC"/>
    <w:rsid w:val="000D2B64"/>
    <w:rsid w:val="000D5417"/>
    <w:rsid w:val="000D653B"/>
    <w:rsid w:val="000E1751"/>
    <w:rsid w:val="000F0A63"/>
    <w:rsid w:val="000F10A9"/>
    <w:rsid w:val="000F1E3F"/>
    <w:rsid w:val="000F62DB"/>
    <w:rsid w:val="001025F3"/>
    <w:rsid w:val="001049CF"/>
    <w:rsid w:val="00107875"/>
    <w:rsid w:val="00122DF5"/>
    <w:rsid w:val="00125818"/>
    <w:rsid w:val="001334B5"/>
    <w:rsid w:val="00142FC5"/>
    <w:rsid w:val="00153418"/>
    <w:rsid w:val="00156388"/>
    <w:rsid w:val="00170657"/>
    <w:rsid w:val="001707DC"/>
    <w:rsid w:val="00175AD6"/>
    <w:rsid w:val="0018055E"/>
    <w:rsid w:val="001915F6"/>
    <w:rsid w:val="001939F1"/>
    <w:rsid w:val="001A2254"/>
    <w:rsid w:val="001A2BAF"/>
    <w:rsid w:val="001B1E6F"/>
    <w:rsid w:val="001B20A6"/>
    <w:rsid w:val="001B60DA"/>
    <w:rsid w:val="001B70D2"/>
    <w:rsid w:val="001C52B3"/>
    <w:rsid w:val="001D03AF"/>
    <w:rsid w:val="001D06A7"/>
    <w:rsid w:val="001D29DC"/>
    <w:rsid w:val="001D44C7"/>
    <w:rsid w:val="001D5CF0"/>
    <w:rsid w:val="001D65FC"/>
    <w:rsid w:val="001D6927"/>
    <w:rsid w:val="001E24F1"/>
    <w:rsid w:val="001E4EAE"/>
    <w:rsid w:val="001E6762"/>
    <w:rsid w:val="001F1E8A"/>
    <w:rsid w:val="001F36DD"/>
    <w:rsid w:val="001F5688"/>
    <w:rsid w:val="001F5850"/>
    <w:rsid w:val="00206989"/>
    <w:rsid w:val="00212F98"/>
    <w:rsid w:val="00214764"/>
    <w:rsid w:val="00217F5C"/>
    <w:rsid w:val="002200B1"/>
    <w:rsid w:val="00220A5A"/>
    <w:rsid w:val="00222089"/>
    <w:rsid w:val="00223065"/>
    <w:rsid w:val="0022634D"/>
    <w:rsid w:val="00231AE5"/>
    <w:rsid w:val="00232E16"/>
    <w:rsid w:val="0023449A"/>
    <w:rsid w:val="00235FEC"/>
    <w:rsid w:val="00237850"/>
    <w:rsid w:val="0024051E"/>
    <w:rsid w:val="00241CAA"/>
    <w:rsid w:val="0024590E"/>
    <w:rsid w:val="00253FAE"/>
    <w:rsid w:val="00256949"/>
    <w:rsid w:val="002663F8"/>
    <w:rsid w:val="00267F0E"/>
    <w:rsid w:val="00271414"/>
    <w:rsid w:val="00274B69"/>
    <w:rsid w:val="00274F7D"/>
    <w:rsid w:val="00283621"/>
    <w:rsid w:val="002915B1"/>
    <w:rsid w:val="0029776C"/>
    <w:rsid w:val="002A318F"/>
    <w:rsid w:val="002A7F1B"/>
    <w:rsid w:val="002B0F64"/>
    <w:rsid w:val="002B38A6"/>
    <w:rsid w:val="002B3CC9"/>
    <w:rsid w:val="002C44C8"/>
    <w:rsid w:val="002C7C10"/>
    <w:rsid w:val="002D3F77"/>
    <w:rsid w:val="002D4811"/>
    <w:rsid w:val="002E36A6"/>
    <w:rsid w:val="002E7628"/>
    <w:rsid w:val="002F4790"/>
    <w:rsid w:val="00302BA3"/>
    <w:rsid w:val="00311404"/>
    <w:rsid w:val="00311431"/>
    <w:rsid w:val="00312797"/>
    <w:rsid w:val="00313230"/>
    <w:rsid w:val="00335354"/>
    <w:rsid w:val="00342439"/>
    <w:rsid w:val="00353276"/>
    <w:rsid w:val="003556DA"/>
    <w:rsid w:val="003565E1"/>
    <w:rsid w:val="00356F6A"/>
    <w:rsid w:val="00360906"/>
    <w:rsid w:val="00361BAE"/>
    <w:rsid w:val="003642EB"/>
    <w:rsid w:val="0036632F"/>
    <w:rsid w:val="003773F4"/>
    <w:rsid w:val="003836BC"/>
    <w:rsid w:val="003852FC"/>
    <w:rsid w:val="00392457"/>
    <w:rsid w:val="00392E3D"/>
    <w:rsid w:val="003943B0"/>
    <w:rsid w:val="0039710E"/>
    <w:rsid w:val="003A6D4C"/>
    <w:rsid w:val="003B44A7"/>
    <w:rsid w:val="003C25D1"/>
    <w:rsid w:val="003C28B1"/>
    <w:rsid w:val="003C663D"/>
    <w:rsid w:val="003E0E25"/>
    <w:rsid w:val="003E7758"/>
    <w:rsid w:val="003F37F1"/>
    <w:rsid w:val="003F4337"/>
    <w:rsid w:val="003F4E84"/>
    <w:rsid w:val="003F7A5E"/>
    <w:rsid w:val="00400409"/>
    <w:rsid w:val="004071E1"/>
    <w:rsid w:val="00407EFE"/>
    <w:rsid w:val="00410E69"/>
    <w:rsid w:val="00414D79"/>
    <w:rsid w:val="00415ECD"/>
    <w:rsid w:val="00423CAE"/>
    <w:rsid w:val="004320A1"/>
    <w:rsid w:val="00432FF1"/>
    <w:rsid w:val="00434C82"/>
    <w:rsid w:val="0044046A"/>
    <w:rsid w:val="00441E9D"/>
    <w:rsid w:val="00452ACC"/>
    <w:rsid w:val="004546CE"/>
    <w:rsid w:val="0046238D"/>
    <w:rsid w:val="0046491F"/>
    <w:rsid w:val="0048352B"/>
    <w:rsid w:val="00484DB4"/>
    <w:rsid w:val="0048518E"/>
    <w:rsid w:val="00486EFA"/>
    <w:rsid w:val="004901E4"/>
    <w:rsid w:val="004A1E84"/>
    <w:rsid w:val="004A79D5"/>
    <w:rsid w:val="004B7A33"/>
    <w:rsid w:val="004C2943"/>
    <w:rsid w:val="004C373B"/>
    <w:rsid w:val="004D1156"/>
    <w:rsid w:val="004D36F4"/>
    <w:rsid w:val="004D6936"/>
    <w:rsid w:val="004E0E38"/>
    <w:rsid w:val="004E0EDE"/>
    <w:rsid w:val="004E126B"/>
    <w:rsid w:val="004E13C1"/>
    <w:rsid w:val="004E2A7B"/>
    <w:rsid w:val="004E3BAE"/>
    <w:rsid w:val="004F2959"/>
    <w:rsid w:val="00500C22"/>
    <w:rsid w:val="0050613A"/>
    <w:rsid w:val="00511104"/>
    <w:rsid w:val="00515DAC"/>
    <w:rsid w:val="00516C33"/>
    <w:rsid w:val="005233AC"/>
    <w:rsid w:val="00526E8B"/>
    <w:rsid w:val="00527A5F"/>
    <w:rsid w:val="005316E8"/>
    <w:rsid w:val="0053393D"/>
    <w:rsid w:val="005458DC"/>
    <w:rsid w:val="00547F5F"/>
    <w:rsid w:val="005623F6"/>
    <w:rsid w:val="005656AD"/>
    <w:rsid w:val="00565CBB"/>
    <w:rsid w:val="00571D08"/>
    <w:rsid w:val="005731D3"/>
    <w:rsid w:val="00573953"/>
    <w:rsid w:val="00575913"/>
    <w:rsid w:val="00581AF2"/>
    <w:rsid w:val="005842BD"/>
    <w:rsid w:val="0058551F"/>
    <w:rsid w:val="005879EE"/>
    <w:rsid w:val="005922C0"/>
    <w:rsid w:val="005964AB"/>
    <w:rsid w:val="005A2C17"/>
    <w:rsid w:val="005A37CF"/>
    <w:rsid w:val="005A4448"/>
    <w:rsid w:val="005B1F3B"/>
    <w:rsid w:val="005C1DD0"/>
    <w:rsid w:val="005C344D"/>
    <w:rsid w:val="005C7107"/>
    <w:rsid w:val="005C7476"/>
    <w:rsid w:val="005C7C7E"/>
    <w:rsid w:val="005E58C4"/>
    <w:rsid w:val="005F26B2"/>
    <w:rsid w:val="005F3004"/>
    <w:rsid w:val="00601577"/>
    <w:rsid w:val="00603647"/>
    <w:rsid w:val="0061378C"/>
    <w:rsid w:val="00622EAC"/>
    <w:rsid w:val="00623A5E"/>
    <w:rsid w:val="00625493"/>
    <w:rsid w:val="006306E1"/>
    <w:rsid w:val="00660040"/>
    <w:rsid w:val="00667C1C"/>
    <w:rsid w:val="006704C5"/>
    <w:rsid w:val="00671CB8"/>
    <w:rsid w:val="00672393"/>
    <w:rsid w:val="006730CA"/>
    <w:rsid w:val="00682712"/>
    <w:rsid w:val="00682DEE"/>
    <w:rsid w:val="00686F10"/>
    <w:rsid w:val="0069273C"/>
    <w:rsid w:val="00692B95"/>
    <w:rsid w:val="00694A9A"/>
    <w:rsid w:val="00696BE5"/>
    <w:rsid w:val="006A012D"/>
    <w:rsid w:val="006A0560"/>
    <w:rsid w:val="006B50AB"/>
    <w:rsid w:val="006C0750"/>
    <w:rsid w:val="006C31A6"/>
    <w:rsid w:val="006C76FA"/>
    <w:rsid w:val="006D678C"/>
    <w:rsid w:val="006E2931"/>
    <w:rsid w:val="006E734C"/>
    <w:rsid w:val="006F1B0E"/>
    <w:rsid w:val="006F3F63"/>
    <w:rsid w:val="006F6BF2"/>
    <w:rsid w:val="007026FB"/>
    <w:rsid w:val="00703ACE"/>
    <w:rsid w:val="007059A5"/>
    <w:rsid w:val="007108BD"/>
    <w:rsid w:val="00712164"/>
    <w:rsid w:val="007121BE"/>
    <w:rsid w:val="00717788"/>
    <w:rsid w:val="00721CAF"/>
    <w:rsid w:val="007315D0"/>
    <w:rsid w:val="00734D13"/>
    <w:rsid w:val="007355A3"/>
    <w:rsid w:val="0073637C"/>
    <w:rsid w:val="0073781B"/>
    <w:rsid w:val="00740BCB"/>
    <w:rsid w:val="00740FA8"/>
    <w:rsid w:val="00741961"/>
    <w:rsid w:val="00742502"/>
    <w:rsid w:val="00742F88"/>
    <w:rsid w:val="00744377"/>
    <w:rsid w:val="00744E04"/>
    <w:rsid w:val="00746D5E"/>
    <w:rsid w:val="00747E2C"/>
    <w:rsid w:val="0075172A"/>
    <w:rsid w:val="00751BF9"/>
    <w:rsid w:val="007536F7"/>
    <w:rsid w:val="00753827"/>
    <w:rsid w:val="00754831"/>
    <w:rsid w:val="00754D1A"/>
    <w:rsid w:val="00756AD1"/>
    <w:rsid w:val="007712FB"/>
    <w:rsid w:val="00771F9D"/>
    <w:rsid w:val="007725A3"/>
    <w:rsid w:val="00791130"/>
    <w:rsid w:val="00791723"/>
    <w:rsid w:val="00791FEB"/>
    <w:rsid w:val="007A0DDC"/>
    <w:rsid w:val="007A23F1"/>
    <w:rsid w:val="007B4E71"/>
    <w:rsid w:val="007B5527"/>
    <w:rsid w:val="007B6586"/>
    <w:rsid w:val="007D381A"/>
    <w:rsid w:val="007D5AEB"/>
    <w:rsid w:val="007D5BA0"/>
    <w:rsid w:val="007D76CC"/>
    <w:rsid w:val="007D782E"/>
    <w:rsid w:val="007E48B7"/>
    <w:rsid w:val="00800AC8"/>
    <w:rsid w:val="00807885"/>
    <w:rsid w:val="008154B0"/>
    <w:rsid w:val="0082174B"/>
    <w:rsid w:val="008277C8"/>
    <w:rsid w:val="008343FE"/>
    <w:rsid w:val="008366F9"/>
    <w:rsid w:val="00854A05"/>
    <w:rsid w:val="0085755C"/>
    <w:rsid w:val="00877F5E"/>
    <w:rsid w:val="0088101D"/>
    <w:rsid w:val="00883977"/>
    <w:rsid w:val="00883C7D"/>
    <w:rsid w:val="008841E4"/>
    <w:rsid w:val="00886DFA"/>
    <w:rsid w:val="00896686"/>
    <w:rsid w:val="008A2ED1"/>
    <w:rsid w:val="008A3F97"/>
    <w:rsid w:val="008A6AFE"/>
    <w:rsid w:val="008B1FD4"/>
    <w:rsid w:val="008B44CC"/>
    <w:rsid w:val="008D4EFA"/>
    <w:rsid w:val="008D5E65"/>
    <w:rsid w:val="008E2FC1"/>
    <w:rsid w:val="008E39D6"/>
    <w:rsid w:val="008E7607"/>
    <w:rsid w:val="008F6106"/>
    <w:rsid w:val="008F735B"/>
    <w:rsid w:val="009008DE"/>
    <w:rsid w:val="0090243B"/>
    <w:rsid w:val="00907645"/>
    <w:rsid w:val="00910F23"/>
    <w:rsid w:val="0092174A"/>
    <w:rsid w:val="009300C7"/>
    <w:rsid w:val="00933946"/>
    <w:rsid w:val="00934745"/>
    <w:rsid w:val="00934D73"/>
    <w:rsid w:val="00936318"/>
    <w:rsid w:val="00936B61"/>
    <w:rsid w:val="00940F52"/>
    <w:rsid w:val="00942375"/>
    <w:rsid w:val="00943365"/>
    <w:rsid w:val="00943E38"/>
    <w:rsid w:val="009516F4"/>
    <w:rsid w:val="00964866"/>
    <w:rsid w:val="00964CBD"/>
    <w:rsid w:val="009714B3"/>
    <w:rsid w:val="009723DE"/>
    <w:rsid w:val="00973651"/>
    <w:rsid w:val="009746E7"/>
    <w:rsid w:val="009775C3"/>
    <w:rsid w:val="009833EE"/>
    <w:rsid w:val="009A25BD"/>
    <w:rsid w:val="009A2E62"/>
    <w:rsid w:val="009A4D06"/>
    <w:rsid w:val="009A5714"/>
    <w:rsid w:val="009A5F48"/>
    <w:rsid w:val="009B10D1"/>
    <w:rsid w:val="009B7E76"/>
    <w:rsid w:val="009C2214"/>
    <w:rsid w:val="009C3388"/>
    <w:rsid w:val="009C72B0"/>
    <w:rsid w:val="009D38C5"/>
    <w:rsid w:val="009E0DEE"/>
    <w:rsid w:val="009E0FCE"/>
    <w:rsid w:val="009E35E8"/>
    <w:rsid w:val="009E4B9C"/>
    <w:rsid w:val="00A02EF0"/>
    <w:rsid w:val="00A11570"/>
    <w:rsid w:val="00A1285D"/>
    <w:rsid w:val="00A15402"/>
    <w:rsid w:val="00A17F38"/>
    <w:rsid w:val="00A238C5"/>
    <w:rsid w:val="00A252DF"/>
    <w:rsid w:val="00A263BF"/>
    <w:rsid w:val="00A33EA5"/>
    <w:rsid w:val="00A44D76"/>
    <w:rsid w:val="00A45580"/>
    <w:rsid w:val="00A45C4C"/>
    <w:rsid w:val="00A46A47"/>
    <w:rsid w:val="00A52D05"/>
    <w:rsid w:val="00A725CE"/>
    <w:rsid w:val="00A737BB"/>
    <w:rsid w:val="00A739C4"/>
    <w:rsid w:val="00A8562F"/>
    <w:rsid w:val="00A86B38"/>
    <w:rsid w:val="00A8739A"/>
    <w:rsid w:val="00A96E6E"/>
    <w:rsid w:val="00AA6EE5"/>
    <w:rsid w:val="00AB52D0"/>
    <w:rsid w:val="00AB7B38"/>
    <w:rsid w:val="00AC33D2"/>
    <w:rsid w:val="00AC5273"/>
    <w:rsid w:val="00AD74AC"/>
    <w:rsid w:val="00AE5117"/>
    <w:rsid w:val="00AE54C4"/>
    <w:rsid w:val="00AF2380"/>
    <w:rsid w:val="00AF3117"/>
    <w:rsid w:val="00AF7AEA"/>
    <w:rsid w:val="00B0181F"/>
    <w:rsid w:val="00B03261"/>
    <w:rsid w:val="00B06AEC"/>
    <w:rsid w:val="00B11169"/>
    <w:rsid w:val="00B17760"/>
    <w:rsid w:val="00B23CE1"/>
    <w:rsid w:val="00B25F58"/>
    <w:rsid w:val="00B333F4"/>
    <w:rsid w:val="00B42D64"/>
    <w:rsid w:val="00B43EF4"/>
    <w:rsid w:val="00B44140"/>
    <w:rsid w:val="00B519D8"/>
    <w:rsid w:val="00B55707"/>
    <w:rsid w:val="00B67AE1"/>
    <w:rsid w:val="00B67E3C"/>
    <w:rsid w:val="00B734CD"/>
    <w:rsid w:val="00B763F9"/>
    <w:rsid w:val="00B87BDE"/>
    <w:rsid w:val="00B921B0"/>
    <w:rsid w:val="00B92EB8"/>
    <w:rsid w:val="00BA152F"/>
    <w:rsid w:val="00BA17B1"/>
    <w:rsid w:val="00BA47F5"/>
    <w:rsid w:val="00BA63CD"/>
    <w:rsid w:val="00BA66BF"/>
    <w:rsid w:val="00BA7231"/>
    <w:rsid w:val="00BB1057"/>
    <w:rsid w:val="00BD4CA5"/>
    <w:rsid w:val="00BE3856"/>
    <w:rsid w:val="00BE4BB6"/>
    <w:rsid w:val="00BE4FC7"/>
    <w:rsid w:val="00BE5D00"/>
    <w:rsid w:val="00BE7B9B"/>
    <w:rsid w:val="00BF0246"/>
    <w:rsid w:val="00BF0BC4"/>
    <w:rsid w:val="00BF7E60"/>
    <w:rsid w:val="00C02ECC"/>
    <w:rsid w:val="00C067B1"/>
    <w:rsid w:val="00C107B1"/>
    <w:rsid w:val="00C1370B"/>
    <w:rsid w:val="00C16D94"/>
    <w:rsid w:val="00C1718B"/>
    <w:rsid w:val="00C21E60"/>
    <w:rsid w:val="00C25160"/>
    <w:rsid w:val="00C25F82"/>
    <w:rsid w:val="00C267BD"/>
    <w:rsid w:val="00C32CA3"/>
    <w:rsid w:val="00C361BA"/>
    <w:rsid w:val="00C4474B"/>
    <w:rsid w:val="00C50AC2"/>
    <w:rsid w:val="00C51147"/>
    <w:rsid w:val="00C56676"/>
    <w:rsid w:val="00C624BA"/>
    <w:rsid w:val="00C7035B"/>
    <w:rsid w:val="00C7250A"/>
    <w:rsid w:val="00C7489E"/>
    <w:rsid w:val="00C76E83"/>
    <w:rsid w:val="00C80231"/>
    <w:rsid w:val="00C83108"/>
    <w:rsid w:val="00C86C65"/>
    <w:rsid w:val="00C87154"/>
    <w:rsid w:val="00C8723C"/>
    <w:rsid w:val="00C877EE"/>
    <w:rsid w:val="00C90455"/>
    <w:rsid w:val="00C9325A"/>
    <w:rsid w:val="00CA3901"/>
    <w:rsid w:val="00CA4A92"/>
    <w:rsid w:val="00CA4EB6"/>
    <w:rsid w:val="00CA50CD"/>
    <w:rsid w:val="00CA79E1"/>
    <w:rsid w:val="00CB5101"/>
    <w:rsid w:val="00CB72EB"/>
    <w:rsid w:val="00CC03AF"/>
    <w:rsid w:val="00CC402A"/>
    <w:rsid w:val="00CC4F2C"/>
    <w:rsid w:val="00CD33CA"/>
    <w:rsid w:val="00CD37CA"/>
    <w:rsid w:val="00CD578B"/>
    <w:rsid w:val="00CE2B39"/>
    <w:rsid w:val="00CE2BBA"/>
    <w:rsid w:val="00CE54D7"/>
    <w:rsid w:val="00CE6770"/>
    <w:rsid w:val="00CE699A"/>
    <w:rsid w:val="00CE721E"/>
    <w:rsid w:val="00CF1ED7"/>
    <w:rsid w:val="00CF5619"/>
    <w:rsid w:val="00D022EA"/>
    <w:rsid w:val="00D1037B"/>
    <w:rsid w:val="00D109D6"/>
    <w:rsid w:val="00D154A3"/>
    <w:rsid w:val="00D2421D"/>
    <w:rsid w:val="00D36298"/>
    <w:rsid w:val="00D36C0A"/>
    <w:rsid w:val="00D374AE"/>
    <w:rsid w:val="00D40303"/>
    <w:rsid w:val="00D506AC"/>
    <w:rsid w:val="00D60BC0"/>
    <w:rsid w:val="00D75F6C"/>
    <w:rsid w:val="00D84263"/>
    <w:rsid w:val="00D96816"/>
    <w:rsid w:val="00DA30F1"/>
    <w:rsid w:val="00DA35E4"/>
    <w:rsid w:val="00DB1C61"/>
    <w:rsid w:val="00DC72E8"/>
    <w:rsid w:val="00DD16B5"/>
    <w:rsid w:val="00DD1F54"/>
    <w:rsid w:val="00DD3FBA"/>
    <w:rsid w:val="00DD5C43"/>
    <w:rsid w:val="00DE1D44"/>
    <w:rsid w:val="00DE2EB1"/>
    <w:rsid w:val="00DE5601"/>
    <w:rsid w:val="00DF01F7"/>
    <w:rsid w:val="00DF4383"/>
    <w:rsid w:val="00DF5205"/>
    <w:rsid w:val="00DF6426"/>
    <w:rsid w:val="00DF707F"/>
    <w:rsid w:val="00E01455"/>
    <w:rsid w:val="00E16164"/>
    <w:rsid w:val="00E21979"/>
    <w:rsid w:val="00E23BE8"/>
    <w:rsid w:val="00E25FC5"/>
    <w:rsid w:val="00E261B4"/>
    <w:rsid w:val="00E42AAB"/>
    <w:rsid w:val="00E56254"/>
    <w:rsid w:val="00E629EA"/>
    <w:rsid w:val="00E64424"/>
    <w:rsid w:val="00E74759"/>
    <w:rsid w:val="00E74A8C"/>
    <w:rsid w:val="00E75196"/>
    <w:rsid w:val="00E82CC6"/>
    <w:rsid w:val="00E8379D"/>
    <w:rsid w:val="00E86683"/>
    <w:rsid w:val="00E87431"/>
    <w:rsid w:val="00E92C88"/>
    <w:rsid w:val="00E94D84"/>
    <w:rsid w:val="00EB0ECB"/>
    <w:rsid w:val="00EB7155"/>
    <w:rsid w:val="00EC3F79"/>
    <w:rsid w:val="00EC6C13"/>
    <w:rsid w:val="00ED2E85"/>
    <w:rsid w:val="00ED3824"/>
    <w:rsid w:val="00ED3A9E"/>
    <w:rsid w:val="00ED3C31"/>
    <w:rsid w:val="00ED6201"/>
    <w:rsid w:val="00EE3559"/>
    <w:rsid w:val="00EE4334"/>
    <w:rsid w:val="00EF2503"/>
    <w:rsid w:val="00EF6134"/>
    <w:rsid w:val="00EF74C2"/>
    <w:rsid w:val="00F072D2"/>
    <w:rsid w:val="00F07738"/>
    <w:rsid w:val="00F14666"/>
    <w:rsid w:val="00F155D7"/>
    <w:rsid w:val="00F156D5"/>
    <w:rsid w:val="00F170F2"/>
    <w:rsid w:val="00F22F81"/>
    <w:rsid w:val="00F263F6"/>
    <w:rsid w:val="00F27AD3"/>
    <w:rsid w:val="00F30899"/>
    <w:rsid w:val="00F405DB"/>
    <w:rsid w:val="00F42E28"/>
    <w:rsid w:val="00F51834"/>
    <w:rsid w:val="00F53291"/>
    <w:rsid w:val="00F53A27"/>
    <w:rsid w:val="00F5546F"/>
    <w:rsid w:val="00F56574"/>
    <w:rsid w:val="00F578E9"/>
    <w:rsid w:val="00F7443E"/>
    <w:rsid w:val="00F859E9"/>
    <w:rsid w:val="00F859F4"/>
    <w:rsid w:val="00F86001"/>
    <w:rsid w:val="00F94C90"/>
    <w:rsid w:val="00F972DC"/>
    <w:rsid w:val="00FA10B7"/>
    <w:rsid w:val="00FA11D3"/>
    <w:rsid w:val="00FB17C8"/>
    <w:rsid w:val="00FB3134"/>
    <w:rsid w:val="00FB6A82"/>
    <w:rsid w:val="00FC0E54"/>
    <w:rsid w:val="00FD1E06"/>
    <w:rsid w:val="00FD1F6D"/>
    <w:rsid w:val="00FE1EA0"/>
    <w:rsid w:val="00FE57E7"/>
    <w:rsid w:val="00FF15AC"/>
    <w:rsid w:val="00FF60CF"/>
    <w:rsid w:val="00FF695E"/>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DF5AE"/>
  <w15:docId w15:val="{4579170B-8A7A-1E40-AB8F-31F319E2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6D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F81"/>
    <w:pPr>
      <w:ind w:left="720"/>
      <w:contextualSpacing/>
    </w:pPr>
  </w:style>
  <w:style w:type="paragraph" w:styleId="Header">
    <w:name w:val="header"/>
    <w:basedOn w:val="Normal"/>
    <w:link w:val="HeaderChar"/>
    <w:uiPriority w:val="99"/>
    <w:unhideWhenUsed/>
    <w:rsid w:val="00670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C5"/>
    <w:rPr>
      <w:lang w:val="ro-RO"/>
    </w:rPr>
  </w:style>
  <w:style w:type="paragraph" w:styleId="Footer">
    <w:name w:val="footer"/>
    <w:basedOn w:val="Normal"/>
    <w:link w:val="FooterChar"/>
    <w:uiPriority w:val="99"/>
    <w:unhideWhenUsed/>
    <w:rsid w:val="00670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C5"/>
    <w:rPr>
      <w:lang w:val="ro-RO"/>
    </w:rPr>
  </w:style>
  <w:style w:type="character" w:styleId="CommentReference">
    <w:name w:val="annotation reference"/>
    <w:basedOn w:val="DefaultParagraphFont"/>
    <w:uiPriority w:val="99"/>
    <w:semiHidden/>
    <w:unhideWhenUsed/>
    <w:rsid w:val="005879EE"/>
    <w:rPr>
      <w:sz w:val="16"/>
      <w:szCs w:val="16"/>
    </w:rPr>
  </w:style>
  <w:style w:type="paragraph" w:styleId="CommentText">
    <w:name w:val="annotation text"/>
    <w:basedOn w:val="Normal"/>
    <w:link w:val="CommentTextChar"/>
    <w:uiPriority w:val="99"/>
    <w:semiHidden/>
    <w:unhideWhenUsed/>
    <w:rsid w:val="005879EE"/>
    <w:pPr>
      <w:spacing w:line="240" w:lineRule="auto"/>
    </w:pPr>
    <w:rPr>
      <w:sz w:val="20"/>
      <w:szCs w:val="20"/>
    </w:rPr>
  </w:style>
  <w:style w:type="character" w:customStyle="1" w:styleId="CommentTextChar">
    <w:name w:val="Comment Text Char"/>
    <w:basedOn w:val="DefaultParagraphFont"/>
    <w:link w:val="CommentText"/>
    <w:uiPriority w:val="99"/>
    <w:semiHidden/>
    <w:rsid w:val="005879EE"/>
    <w:rPr>
      <w:sz w:val="20"/>
      <w:szCs w:val="20"/>
      <w:lang w:val="ro-RO"/>
    </w:rPr>
  </w:style>
  <w:style w:type="paragraph" w:styleId="CommentSubject">
    <w:name w:val="annotation subject"/>
    <w:basedOn w:val="CommentText"/>
    <w:next w:val="CommentText"/>
    <w:link w:val="CommentSubjectChar"/>
    <w:uiPriority w:val="99"/>
    <w:semiHidden/>
    <w:unhideWhenUsed/>
    <w:rsid w:val="005879EE"/>
    <w:rPr>
      <w:b/>
      <w:bCs/>
    </w:rPr>
  </w:style>
  <w:style w:type="character" w:customStyle="1" w:styleId="CommentSubjectChar">
    <w:name w:val="Comment Subject Char"/>
    <w:basedOn w:val="CommentTextChar"/>
    <w:link w:val="CommentSubject"/>
    <w:uiPriority w:val="99"/>
    <w:semiHidden/>
    <w:rsid w:val="005879EE"/>
    <w:rPr>
      <w:b/>
      <w:bCs/>
      <w:sz w:val="20"/>
      <w:szCs w:val="20"/>
      <w:lang w:val="ro-RO"/>
    </w:rPr>
  </w:style>
  <w:style w:type="paragraph" w:styleId="BalloonText">
    <w:name w:val="Balloon Text"/>
    <w:basedOn w:val="Normal"/>
    <w:link w:val="BalloonTextChar"/>
    <w:uiPriority w:val="99"/>
    <w:semiHidden/>
    <w:unhideWhenUsed/>
    <w:rsid w:val="00587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9EE"/>
    <w:rPr>
      <w:rFonts w:ascii="Segoe UI" w:hAnsi="Segoe UI" w:cs="Segoe UI"/>
      <w:sz w:val="18"/>
      <w:szCs w:val="18"/>
      <w:lang w:val="ro-RO"/>
    </w:rPr>
  </w:style>
  <w:style w:type="paragraph" w:styleId="FootnoteText">
    <w:name w:val="footnote text"/>
    <w:aliases w:val="Footnote,Fußnote,Tekst przypisu,Tekst przypisu Znak Znak Znak Znak,Tekst przypisu Znak Znak Znak Znak Znak,Tekst przypisu Znak Znak Znak Znak Znak Znak Znak,Tekst przypisu Znak Znak Znak Znak Znak Znak Znak Znak Zn,fn,single space"/>
    <w:basedOn w:val="Normal"/>
    <w:link w:val="FootnoteTextChar"/>
    <w:uiPriority w:val="99"/>
    <w:unhideWhenUsed/>
    <w:rsid w:val="009746E7"/>
    <w:pPr>
      <w:spacing w:after="0" w:line="240" w:lineRule="auto"/>
    </w:pPr>
    <w:rPr>
      <w:sz w:val="20"/>
      <w:szCs w:val="20"/>
    </w:rPr>
  </w:style>
  <w:style w:type="character" w:customStyle="1" w:styleId="FootnoteTextChar">
    <w:name w:val="Footnote Text Char"/>
    <w:aliases w:val="Footnote Char,Fußnote Char,Tekst przypisu Char,Tekst przypisu Znak Znak Znak Znak Char,Tekst przypisu Znak Znak Znak Znak Znak Char,Tekst przypisu Znak Znak Znak Znak Znak Znak Znak Char,fn Char,single space Char"/>
    <w:basedOn w:val="DefaultParagraphFont"/>
    <w:link w:val="FootnoteText"/>
    <w:uiPriority w:val="99"/>
    <w:rsid w:val="009746E7"/>
    <w:rPr>
      <w:sz w:val="20"/>
      <w:szCs w:val="20"/>
      <w:lang w:val="ro-RO"/>
    </w:rPr>
  </w:style>
  <w:style w:type="character" w:styleId="FootnoteReference">
    <w:name w:val="footnote reference"/>
    <w:aliases w:val="BVI fnr Char1 Char Char Char Char Char Char1 Char Caracter Char Char Char Char Char Char,Footnote Reference Number Char Char Char Char Char Char Char1 Char Caracter Char Char Char Char Char Char Char Char Char Char Caracter,SUPERS,BVI"/>
    <w:basedOn w:val="DefaultParagraphFont"/>
    <w:uiPriority w:val="99"/>
    <w:unhideWhenUsed/>
    <w:rsid w:val="009746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472528">
      <w:bodyDiv w:val="1"/>
      <w:marLeft w:val="0"/>
      <w:marRight w:val="0"/>
      <w:marTop w:val="0"/>
      <w:marBottom w:val="0"/>
      <w:divBdr>
        <w:top w:val="none" w:sz="0" w:space="0" w:color="auto"/>
        <w:left w:val="none" w:sz="0" w:space="0" w:color="auto"/>
        <w:bottom w:val="none" w:sz="0" w:space="0" w:color="auto"/>
        <w:right w:val="none" w:sz="0" w:space="0" w:color="auto"/>
      </w:divBdr>
    </w:div>
    <w:div w:id="1905142466">
      <w:bodyDiv w:val="1"/>
      <w:marLeft w:val="0"/>
      <w:marRight w:val="0"/>
      <w:marTop w:val="0"/>
      <w:marBottom w:val="0"/>
      <w:divBdr>
        <w:top w:val="none" w:sz="0" w:space="0" w:color="auto"/>
        <w:left w:val="none" w:sz="0" w:space="0" w:color="auto"/>
        <w:bottom w:val="none" w:sz="0" w:space="0" w:color="auto"/>
        <w:right w:val="none" w:sz="0" w:space="0" w:color="auto"/>
      </w:divBdr>
    </w:div>
    <w:div w:id="2055690972">
      <w:bodyDiv w:val="1"/>
      <w:marLeft w:val="0"/>
      <w:marRight w:val="0"/>
      <w:marTop w:val="0"/>
      <w:marBottom w:val="0"/>
      <w:divBdr>
        <w:top w:val="none" w:sz="0" w:space="0" w:color="auto"/>
        <w:left w:val="none" w:sz="0" w:space="0" w:color="auto"/>
        <w:bottom w:val="none" w:sz="0" w:space="0" w:color="auto"/>
        <w:right w:val="none" w:sz="0" w:space="0" w:color="auto"/>
      </w:divBdr>
      <w:divsChild>
        <w:div w:id="2032295888">
          <w:marLeft w:val="0"/>
          <w:marRight w:val="0"/>
          <w:marTop w:val="9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4F477074C5474DB153439CBFE5B89B"/>
        <w:category>
          <w:name w:val="General"/>
          <w:gallery w:val="placeholder"/>
        </w:category>
        <w:types>
          <w:type w:val="bbPlcHdr"/>
        </w:types>
        <w:behaviors>
          <w:behavior w:val="content"/>
        </w:behaviors>
        <w:guid w:val="{436DC4DB-4B98-4828-A2DB-7CEFE3A6E5F7}"/>
      </w:docPartPr>
      <w:docPartBody>
        <w:p w:rsidR="00B20AF3" w:rsidRDefault="007D235C" w:rsidP="007D235C">
          <w:pPr>
            <w:pStyle w:val="D84F477074C5474DB153439CBFE5B89B"/>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2"/>
  </w:compat>
  <w:rsids>
    <w:rsidRoot w:val="007D235C"/>
    <w:rsid w:val="00003060"/>
    <w:rsid w:val="00016BDE"/>
    <w:rsid w:val="00024B67"/>
    <w:rsid w:val="000406A2"/>
    <w:rsid w:val="00046379"/>
    <w:rsid w:val="0007608A"/>
    <w:rsid w:val="00126D45"/>
    <w:rsid w:val="00212767"/>
    <w:rsid w:val="002632FA"/>
    <w:rsid w:val="00266D62"/>
    <w:rsid w:val="0027247A"/>
    <w:rsid w:val="00414289"/>
    <w:rsid w:val="0042766D"/>
    <w:rsid w:val="004E2B15"/>
    <w:rsid w:val="00577EFC"/>
    <w:rsid w:val="005D0CF2"/>
    <w:rsid w:val="00644648"/>
    <w:rsid w:val="006B4261"/>
    <w:rsid w:val="006D26BC"/>
    <w:rsid w:val="006E4CB8"/>
    <w:rsid w:val="00742E48"/>
    <w:rsid w:val="00757288"/>
    <w:rsid w:val="007C272E"/>
    <w:rsid w:val="007D235C"/>
    <w:rsid w:val="00824870"/>
    <w:rsid w:val="00857510"/>
    <w:rsid w:val="00884844"/>
    <w:rsid w:val="008B294D"/>
    <w:rsid w:val="009F6538"/>
    <w:rsid w:val="00AB4049"/>
    <w:rsid w:val="00B20AF3"/>
    <w:rsid w:val="00B24F01"/>
    <w:rsid w:val="00B57BF1"/>
    <w:rsid w:val="00C2554E"/>
    <w:rsid w:val="00C7242F"/>
    <w:rsid w:val="00C81CF7"/>
    <w:rsid w:val="00CD3F10"/>
    <w:rsid w:val="00D51E4B"/>
    <w:rsid w:val="00D52511"/>
    <w:rsid w:val="00D57ECE"/>
    <w:rsid w:val="00DE4240"/>
    <w:rsid w:val="00E1117C"/>
    <w:rsid w:val="00E1791D"/>
    <w:rsid w:val="00E37535"/>
    <w:rsid w:val="00E574A7"/>
    <w:rsid w:val="00E74945"/>
    <w:rsid w:val="00E82EAA"/>
    <w:rsid w:val="00E9355A"/>
    <w:rsid w:val="00FC570D"/>
    <w:rsid w:val="00FD7A99"/>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C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53FAA469BF41AFB80B15BA8B3BC5C7">
    <w:name w:val="DC53FAA469BF41AFB80B15BA8B3BC5C7"/>
    <w:rsid w:val="007D235C"/>
  </w:style>
  <w:style w:type="paragraph" w:customStyle="1" w:styleId="A63BA8AA347747239C28BBD29DF049A6">
    <w:name w:val="A63BA8AA347747239C28BBD29DF049A6"/>
    <w:rsid w:val="007D235C"/>
  </w:style>
  <w:style w:type="paragraph" w:customStyle="1" w:styleId="EFE17D0A18134B018CED955263547CFF">
    <w:name w:val="EFE17D0A18134B018CED955263547CFF"/>
    <w:rsid w:val="007D235C"/>
  </w:style>
  <w:style w:type="paragraph" w:customStyle="1" w:styleId="9F4ED5013DF44E3199274DF65CB4D04D">
    <w:name w:val="9F4ED5013DF44E3199274DF65CB4D04D"/>
    <w:rsid w:val="007D235C"/>
  </w:style>
  <w:style w:type="paragraph" w:customStyle="1" w:styleId="AE61C2965EC946FA873DC7359A55B5A6">
    <w:name w:val="AE61C2965EC946FA873DC7359A55B5A6"/>
    <w:rsid w:val="007D235C"/>
  </w:style>
  <w:style w:type="character" w:styleId="PlaceholderText">
    <w:name w:val="Placeholder Text"/>
    <w:basedOn w:val="DefaultParagraphFont"/>
    <w:uiPriority w:val="99"/>
    <w:semiHidden/>
    <w:rsid w:val="007D235C"/>
    <w:rPr>
      <w:color w:val="808080"/>
    </w:rPr>
  </w:style>
  <w:style w:type="paragraph" w:customStyle="1" w:styleId="D84F477074C5474DB153439CBFE5B89B">
    <w:name w:val="D84F477074C5474DB153439CBFE5B89B"/>
    <w:rsid w:val="007D23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9C430-E69F-473F-AC23-46BAD8DEE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1148</Words>
  <Characters>6548</Characters>
  <Application>Microsoft Office Word</Application>
  <DocSecurity>0</DocSecurity>
  <Lines>54</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Ministerul Finantelor Publice</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EXECUTION OF THE GENERAL GOVERNMENT BUDGET | FEBRUARY 2020</dc:creator>
  <cp:lastModifiedBy>IOANA-ALINA BURLA</cp:lastModifiedBy>
  <cp:revision>12</cp:revision>
  <cp:lastPrinted>2020-02-25T14:57:00Z</cp:lastPrinted>
  <dcterms:created xsi:type="dcterms:W3CDTF">2020-04-27T08:58:00Z</dcterms:created>
  <dcterms:modified xsi:type="dcterms:W3CDTF">2020-04-29T19:44:00Z</dcterms:modified>
</cp:coreProperties>
</file>