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4" w:rsidRPr="009723DE" w:rsidRDefault="003F4E84"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9723DE">
        <w:rPr>
          <w:rFonts w:ascii="Tahoma" w:hAnsi="Tahoma" w:cs="Tahoma"/>
          <w:b/>
          <w:caps/>
          <w:color w:val="0070C0"/>
          <w:sz w:val="24"/>
          <w:szCs w:val="24"/>
        </w:rPr>
        <w:t>execuția bugetului general consolidat</w:t>
      </w:r>
    </w:p>
    <w:p w:rsidR="004B7A33" w:rsidRPr="009723DE" w:rsidRDefault="009300C7" w:rsidP="003F4E84">
      <w:pPr>
        <w:spacing w:after="120" w:line="240" w:lineRule="auto"/>
        <w:jc w:val="right"/>
        <w:rPr>
          <w:rFonts w:ascii="Tahoma" w:hAnsi="Tahoma" w:cs="Tahoma"/>
          <w:b/>
          <w:color w:val="0070C0"/>
          <w:sz w:val="24"/>
          <w:szCs w:val="24"/>
        </w:rPr>
      </w:pPr>
      <w:r w:rsidRPr="009723DE">
        <w:rPr>
          <w:rFonts w:ascii="Tahoma" w:hAnsi="Tahoma" w:cs="Tahoma"/>
          <w:b/>
          <w:color w:val="0070C0"/>
          <w:sz w:val="24"/>
          <w:szCs w:val="24"/>
        </w:rPr>
        <w:t>Ianuarie 2020</w:t>
      </w:r>
      <w:r w:rsidR="00526E8B" w:rsidRPr="009723DE">
        <w:rPr>
          <w:rFonts w:ascii="Tahoma" w:hAnsi="Tahoma" w:cs="Tahoma"/>
          <w:b/>
          <w:color w:val="0070C0"/>
          <w:sz w:val="24"/>
          <w:szCs w:val="24"/>
        </w:rPr>
        <w:br/>
      </w:r>
    </w:p>
    <w:p w:rsidR="003F4E84" w:rsidRPr="009723DE" w:rsidRDefault="003F4E84" w:rsidP="003F4E84">
      <w:pPr>
        <w:spacing w:after="120" w:line="240" w:lineRule="auto"/>
        <w:jc w:val="right"/>
        <w:rPr>
          <w:rFonts w:ascii="Tahoma" w:hAnsi="Tahoma" w:cs="Tahoma"/>
          <w:b/>
          <w:color w:val="0070C0"/>
          <w:sz w:val="24"/>
          <w:szCs w:val="24"/>
        </w:rPr>
      </w:pPr>
    </w:p>
    <w:p w:rsidR="00CA4A92" w:rsidRPr="009723DE" w:rsidRDefault="009723DE" w:rsidP="002B3CC9">
      <w:pPr>
        <w:shd w:val="clear" w:color="auto" w:fill="DEEAF6" w:themeFill="accent1" w:themeFillTint="33"/>
        <w:spacing w:after="120" w:line="360" w:lineRule="auto"/>
        <w:jc w:val="both"/>
        <w:rPr>
          <w:rFonts w:ascii="Tahoma" w:hAnsi="Tahoma" w:cs="Tahoma"/>
          <w:sz w:val="24"/>
          <w:szCs w:val="24"/>
        </w:rPr>
      </w:pPr>
      <w:r w:rsidRPr="009723DE">
        <w:rPr>
          <w:rFonts w:ascii="Tahoma" w:hAnsi="Tahoma" w:cs="Tahoma"/>
          <w:sz w:val="24"/>
          <w:szCs w:val="24"/>
        </w:rPr>
        <w:t>E</w:t>
      </w:r>
      <w:r w:rsidR="000F1E3F" w:rsidRPr="009723DE">
        <w:rPr>
          <w:rFonts w:ascii="Tahoma" w:hAnsi="Tahoma" w:cs="Tahoma"/>
          <w:sz w:val="24"/>
          <w:szCs w:val="24"/>
        </w:rPr>
        <w:t xml:space="preserve">xecuția bugetului general consolidat </w:t>
      </w:r>
      <w:r w:rsidR="00800AC8" w:rsidRPr="009723DE">
        <w:rPr>
          <w:rFonts w:ascii="Tahoma" w:hAnsi="Tahoma" w:cs="Tahoma"/>
          <w:sz w:val="24"/>
          <w:szCs w:val="24"/>
        </w:rPr>
        <w:t>în luna ianuarie 2020</w:t>
      </w:r>
      <w:r w:rsidR="000F1E3F" w:rsidRPr="009723DE">
        <w:rPr>
          <w:rFonts w:ascii="Tahoma" w:hAnsi="Tahoma" w:cs="Tahoma"/>
          <w:sz w:val="24"/>
          <w:szCs w:val="24"/>
        </w:rPr>
        <w:t xml:space="preserve"> s-a încheiat cu un </w:t>
      </w:r>
      <w:r w:rsidR="000F1E3F" w:rsidRPr="009723DE">
        <w:rPr>
          <w:rFonts w:ascii="Tahoma" w:hAnsi="Tahoma" w:cs="Tahoma"/>
          <w:b/>
          <w:sz w:val="24"/>
          <w:szCs w:val="24"/>
        </w:rPr>
        <w:t xml:space="preserve">deficit de </w:t>
      </w:r>
      <w:r w:rsidR="00800AC8" w:rsidRPr="009723DE">
        <w:rPr>
          <w:rFonts w:ascii="Tahoma" w:hAnsi="Tahoma" w:cs="Tahoma"/>
          <w:b/>
          <w:sz w:val="24"/>
          <w:szCs w:val="24"/>
        </w:rPr>
        <w:t>0,</w:t>
      </w:r>
      <w:r w:rsidR="009300C7" w:rsidRPr="009723DE">
        <w:rPr>
          <w:rFonts w:ascii="Tahoma" w:hAnsi="Tahoma" w:cs="Tahoma"/>
          <w:b/>
          <w:sz w:val="24"/>
          <w:szCs w:val="24"/>
        </w:rPr>
        <w:t>4</w:t>
      </w:r>
      <w:r w:rsidR="004E3BAE" w:rsidRPr="009723DE">
        <w:rPr>
          <w:rFonts w:ascii="Tahoma" w:hAnsi="Tahoma" w:cs="Tahoma"/>
          <w:b/>
          <w:sz w:val="24"/>
          <w:szCs w:val="24"/>
        </w:rPr>
        <w:t>6</w:t>
      </w:r>
      <w:r w:rsidR="000F1E3F" w:rsidRPr="009723DE">
        <w:rPr>
          <w:rFonts w:ascii="Tahoma" w:hAnsi="Tahoma" w:cs="Tahoma"/>
          <w:b/>
          <w:sz w:val="24"/>
          <w:szCs w:val="24"/>
        </w:rPr>
        <w:t xml:space="preserve"> miliarde lei (</w:t>
      </w:r>
      <w:r w:rsidR="00800AC8" w:rsidRPr="009723DE">
        <w:rPr>
          <w:rFonts w:ascii="Tahoma" w:hAnsi="Tahoma" w:cs="Tahoma"/>
          <w:b/>
          <w:sz w:val="24"/>
          <w:szCs w:val="24"/>
        </w:rPr>
        <w:t>0,04</w:t>
      </w:r>
      <w:r w:rsidR="000F1E3F" w:rsidRPr="009723DE">
        <w:rPr>
          <w:rFonts w:ascii="Tahoma" w:hAnsi="Tahoma" w:cs="Tahoma"/>
          <w:b/>
          <w:sz w:val="24"/>
          <w:szCs w:val="24"/>
        </w:rPr>
        <w:t>% din PIB)</w:t>
      </w:r>
      <w:r w:rsidR="000F1E3F" w:rsidRPr="009723DE">
        <w:rPr>
          <w:rFonts w:ascii="Tahoma" w:hAnsi="Tahoma" w:cs="Tahoma"/>
          <w:sz w:val="24"/>
          <w:szCs w:val="24"/>
        </w:rPr>
        <w:t xml:space="preserve"> (Anexa nr. 1 și Anexa nr. 2).</w:t>
      </w:r>
      <w:r w:rsidR="00744E04" w:rsidRPr="009723DE">
        <w:rPr>
          <w:rFonts w:ascii="Tahoma" w:hAnsi="Tahoma" w:cs="Tahoma"/>
          <w:sz w:val="24"/>
          <w:szCs w:val="24"/>
        </w:rPr>
        <w:t xml:space="preserve"> </w:t>
      </w:r>
    </w:p>
    <w:p w:rsidR="000B579B" w:rsidRPr="009723DE" w:rsidRDefault="009A5714" w:rsidP="002B3CC9">
      <w:pPr>
        <w:shd w:val="clear" w:color="auto" w:fill="DEEAF6" w:themeFill="accent1" w:themeFillTint="33"/>
        <w:spacing w:after="120" w:line="360" w:lineRule="auto"/>
        <w:jc w:val="both"/>
        <w:rPr>
          <w:rFonts w:ascii="Tahoma" w:hAnsi="Tahoma" w:cs="Tahoma"/>
          <w:sz w:val="24"/>
          <w:szCs w:val="24"/>
        </w:rPr>
      </w:pPr>
      <w:r w:rsidRPr="009723DE">
        <w:rPr>
          <w:rFonts w:ascii="Tahoma" w:hAnsi="Tahoma" w:cs="Tahoma"/>
          <w:sz w:val="24"/>
          <w:szCs w:val="24"/>
        </w:rPr>
        <w:t>Comparativ cu excedentul înregistrat în luna similară a anului trecut, d</w:t>
      </w:r>
      <w:r w:rsidR="000B579B" w:rsidRPr="009723DE">
        <w:rPr>
          <w:rFonts w:ascii="Tahoma" w:hAnsi="Tahoma" w:cs="Tahoma"/>
          <w:sz w:val="24"/>
          <w:szCs w:val="24"/>
        </w:rPr>
        <w:t xml:space="preserve">eficitul din </w:t>
      </w:r>
      <w:r w:rsidRPr="009723DE">
        <w:rPr>
          <w:rFonts w:ascii="Tahoma" w:hAnsi="Tahoma" w:cs="Tahoma"/>
          <w:sz w:val="24"/>
          <w:szCs w:val="24"/>
        </w:rPr>
        <w:t xml:space="preserve">luna </w:t>
      </w:r>
      <w:r w:rsidR="000B579B" w:rsidRPr="009723DE">
        <w:rPr>
          <w:rFonts w:ascii="Tahoma" w:hAnsi="Tahoma" w:cs="Tahoma"/>
          <w:sz w:val="24"/>
          <w:szCs w:val="24"/>
        </w:rPr>
        <w:t>ianuarie</w:t>
      </w:r>
      <w:r w:rsidRPr="009723DE">
        <w:rPr>
          <w:rFonts w:ascii="Tahoma" w:hAnsi="Tahoma" w:cs="Tahoma"/>
          <w:sz w:val="24"/>
          <w:szCs w:val="24"/>
        </w:rPr>
        <w:t xml:space="preserve"> 2020 este</w:t>
      </w:r>
      <w:r w:rsidR="000B579B" w:rsidRPr="009723DE">
        <w:rPr>
          <w:rFonts w:ascii="Tahoma" w:hAnsi="Tahoma" w:cs="Tahoma"/>
          <w:sz w:val="24"/>
          <w:szCs w:val="24"/>
        </w:rPr>
        <w:t xml:space="preserve"> explicat</w:t>
      </w:r>
      <w:r w:rsidRPr="009723DE">
        <w:rPr>
          <w:rFonts w:ascii="Tahoma" w:hAnsi="Tahoma" w:cs="Tahoma"/>
          <w:sz w:val="24"/>
          <w:szCs w:val="24"/>
        </w:rPr>
        <w:t xml:space="preserve"> în principal</w:t>
      </w:r>
      <w:r w:rsidR="000B579B" w:rsidRPr="009723DE">
        <w:rPr>
          <w:rFonts w:ascii="Tahoma" w:hAnsi="Tahoma" w:cs="Tahoma"/>
          <w:sz w:val="24"/>
          <w:szCs w:val="24"/>
        </w:rPr>
        <w:t xml:space="preserve"> de </w:t>
      </w:r>
      <w:r w:rsidRPr="009723DE">
        <w:rPr>
          <w:rFonts w:ascii="Tahoma" w:hAnsi="Tahoma" w:cs="Tahoma"/>
          <w:sz w:val="24"/>
          <w:szCs w:val="24"/>
        </w:rPr>
        <w:t>majorarea rambursărilor</w:t>
      </w:r>
      <w:r w:rsidR="000B579B" w:rsidRPr="009723DE">
        <w:rPr>
          <w:rFonts w:ascii="Tahoma" w:hAnsi="Tahoma" w:cs="Tahoma"/>
          <w:sz w:val="24"/>
          <w:szCs w:val="24"/>
        </w:rPr>
        <w:t xml:space="preserve"> de TVA</w:t>
      </w:r>
      <w:r w:rsidRPr="009723DE">
        <w:rPr>
          <w:rFonts w:ascii="Tahoma" w:hAnsi="Tahoma" w:cs="Tahoma"/>
          <w:sz w:val="24"/>
          <w:szCs w:val="24"/>
        </w:rPr>
        <w:t xml:space="preserve"> </w:t>
      </w:r>
      <w:r w:rsidR="00484DB4" w:rsidRPr="009723DE">
        <w:rPr>
          <w:rFonts w:ascii="Tahoma" w:hAnsi="Tahoma" w:cs="Tahoma"/>
          <w:sz w:val="24"/>
          <w:szCs w:val="24"/>
        </w:rPr>
        <w:t>cu 1 m</w:t>
      </w:r>
      <w:r w:rsidR="00FE57E7" w:rsidRPr="009723DE">
        <w:rPr>
          <w:rFonts w:ascii="Tahoma" w:hAnsi="Tahoma" w:cs="Tahoma"/>
          <w:sz w:val="24"/>
          <w:szCs w:val="24"/>
        </w:rPr>
        <w:t>iliard</w:t>
      </w:r>
      <w:r w:rsidR="00484DB4" w:rsidRPr="009723DE">
        <w:rPr>
          <w:rFonts w:ascii="Tahoma" w:hAnsi="Tahoma" w:cs="Tahoma"/>
          <w:sz w:val="24"/>
          <w:szCs w:val="24"/>
        </w:rPr>
        <w:t xml:space="preserve"> lei </w:t>
      </w:r>
      <w:r w:rsidR="00170657" w:rsidRPr="009723DE">
        <w:rPr>
          <w:rFonts w:ascii="Tahoma" w:hAnsi="Tahoma" w:cs="Tahoma"/>
          <w:sz w:val="24"/>
          <w:szCs w:val="24"/>
        </w:rPr>
        <w:t>(</w:t>
      </w:r>
      <w:r w:rsidR="00625493" w:rsidRPr="009723DE">
        <w:rPr>
          <w:rFonts w:ascii="Tahoma" w:hAnsi="Tahoma" w:cs="Tahoma"/>
          <w:sz w:val="24"/>
          <w:szCs w:val="24"/>
        </w:rPr>
        <w:t xml:space="preserve">1,72 </w:t>
      </w:r>
      <w:r w:rsidR="00FE57E7" w:rsidRPr="009723DE">
        <w:rPr>
          <w:rFonts w:ascii="Tahoma" w:hAnsi="Tahoma" w:cs="Tahoma"/>
          <w:sz w:val="24"/>
          <w:szCs w:val="24"/>
        </w:rPr>
        <w:t>miliarde</w:t>
      </w:r>
      <w:r w:rsidR="00625493" w:rsidRPr="009723DE">
        <w:rPr>
          <w:rFonts w:ascii="Tahoma" w:hAnsi="Tahoma" w:cs="Tahoma"/>
          <w:sz w:val="24"/>
          <w:szCs w:val="24"/>
        </w:rPr>
        <w:t xml:space="preserve"> lei în ian</w:t>
      </w:r>
      <w:r w:rsidR="00BD4CA5" w:rsidRPr="009723DE">
        <w:rPr>
          <w:rFonts w:ascii="Tahoma" w:hAnsi="Tahoma" w:cs="Tahoma"/>
          <w:sz w:val="24"/>
          <w:szCs w:val="24"/>
        </w:rPr>
        <w:t>uarie</w:t>
      </w:r>
      <w:r w:rsidR="00625493" w:rsidRPr="009723DE">
        <w:rPr>
          <w:rFonts w:ascii="Tahoma" w:hAnsi="Tahoma" w:cs="Tahoma"/>
          <w:sz w:val="24"/>
          <w:szCs w:val="24"/>
        </w:rPr>
        <w:t xml:space="preserve"> 2020, comparativ cu 0,72 </w:t>
      </w:r>
      <w:r w:rsidR="00FE57E7" w:rsidRPr="009723DE">
        <w:rPr>
          <w:rFonts w:ascii="Tahoma" w:hAnsi="Tahoma" w:cs="Tahoma"/>
          <w:sz w:val="24"/>
          <w:szCs w:val="24"/>
        </w:rPr>
        <w:t>miliarde</w:t>
      </w:r>
      <w:r w:rsidR="00625493" w:rsidRPr="009723DE">
        <w:rPr>
          <w:rFonts w:ascii="Tahoma" w:hAnsi="Tahoma" w:cs="Tahoma"/>
          <w:sz w:val="24"/>
          <w:szCs w:val="24"/>
        </w:rPr>
        <w:t xml:space="preserve"> lei în ian</w:t>
      </w:r>
      <w:r w:rsidR="00BD4CA5" w:rsidRPr="009723DE">
        <w:rPr>
          <w:rFonts w:ascii="Tahoma" w:hAnsi="Tahoma" w:cs="Tahoma"/>
          <w:sz w:val="24"/>
          <w:szCs w:val="24"/>
        </w:rPr>
        <w:t>uarie</w:t>
      </w:r>
      <w:r w:rsidR="00625493" w:rsidRPr="009723DE">
        <w:rPr>
          <w:rFonts w:ascii="Tahoma" w:hAnsi="Tahoma" w:cs="Tahoma"/>
          <w:sz w:val="24"/>
          <w:szCs w:val="24"/>
        </w:rPr>
        <w:t xml:space="preserve"> 2019</w:t>
      </w:r>
      <w:r w:rsidR="00170657" w:rsidRPr="009723DE">
        <w:rPr>
          <w:rFonts w:ascii="Tahoma" w:hAnsi="Tahoma" w:cs="Tahoma"/>
          <w:sz w:val="24"/>
          <w:szCs w:val="24"/>
        </w:rPr>
        <w:t>)</w:t>
      </w:r>
      <w:r w:rsidRPr="009723DE">
        <w:rPr>
          <w:rFonts w:ascii="Tahoma" w:hAnsi="Tahoma" w:cs="Tahoma"/>
          <w:sz w:val="24"/>
          <w:szCs w:val="24"/>
        </w:rPr>
        <w:t xml:space="preserve">, respectiv </w:t>
      </w:r>
      <w:r w:rsidR="00BD4CA5" w:rsidRPr="009723DE">
        <w:rPr>
          <w:rFonts w:ascii="Tahoma" w:hAnsi="Tahoma" w:cs="Tahoma"/>
          <w:sz w:val="24"/>
          <w:szCs w:val="24"/>
        </w:rPr>
        <w:t xml:space="preserve">creșterea </w:t>
      </w:r>
      <w:r w:rsidRPr="009723DE">
        <w:rPr>
          <w:rFonts w:ascii="Tahoma" w:hAnsi="Tahoma" w:cs="Tahoma"/>
          <w:sz w:val="24"/>
          <w:szCs w:val="24"/>
        </w:rPr>
        <w:t>cheltuielilor de investiții cu</w:t>
      </w:r>
      <w:r w:rsidR="009B7E76" w:rsidRPr="009723DE">
        <w:rPr>
          <w:rFonts w:ascii="Tahoma" w:hAnsi="Tahoma" w:cs="Tahoma"/>
          <w:sz w:val="24"/>
          <w:szCs w:val="24"/>
        </w:rPr>
        <w:t xml:space="preserve"> aproximativ </w:t>
      </w:r>
      <w:r w:rsidR="00170657" w:rsidRPr="009723DE">
        <w:rPr>
          <w:rFonts w:ascii="Tahoma" w:hAnsi="Tahoma" w:cs="Tahoma"/>
          <w:sz w:val="24"/>
          <w:szCs w:val="24"/>
        </w:rPr>
        <w:t>0,</w:t>
      </w:r>
      <w:r w:rsidR="009A2E62" w:rsidRPr="009723DE">
        <w:rPr>
          <w:rFonts w:ascii="Tahoma" w:hAnsi="Tahoma" w:cs="Tahoma"/>
          <w:sz w:val="24"/>
          <w:szCs w:val="24"/>
        </w:rPr>
        <w:t>8</w:t>
      </w:r>
      <w:r w:rsidR="00170657" w:rsidRPr="009723DE">
        <w:rPr>
          <w:rFonts w:ascii="Tahoma" w:hAnsi="Tahoma" w:cs="Tahoma"/>
          <w:sz w:val="24"/>
          <w:szCs w:val="24"/>
        </w:rPr>
        <w:t xml:space="preserve">2 </w:t>
      </w:r>
      <w:r w:rsidR="00FE57E7" w:rsidRPr="009723DE">
        <w:rPr>
          <w:rFonts w:ascii="Tahoma" w:hAnsi="Tahoma" w:cs="Tahoma"/>
          <w:sz w:val="24"/>
          <w:szCs w:val="24"/>
        </w:rPr>
        <w:t>miliarde</w:t>
      </w:r>
      <w:r w:rsidR="009B7E76" w:rsidRPr="009723DE">
        <w:rPr>
          <w:rFonts w:ascii="Tahoma" w:hAnsi="Tahoma" w:cs="Tahoma"/>
          <w:sz w:val="24"/>
          <w:szCs w:val="24"/>
        </w:rPr>
        <w:t xml:space="preserve"> lei</w:t>
      </w:r>
      <w:r w:rsidR="00BD4CA5" w:rsidRPr="009723DE">
        <w:rPr>
          <w:rFonts w:ascii="Tahoma" w:hAnsi="Tahoma" w:cs="Tahoma"/>
          <w:sz w:val="24"/>
          <w:szCs w:val="24"/>
        </w:rPr>
        <w:t xml:space="preserve"> față de aceeași perioadă a anului precedent</w:t>
      </w:r>
      <w:r w:rsidRPr="009723DE">
        <w:rPr>
          <w:rFonts w:ascii="Tahoma" w:hAnsi="Tahoma" w:cs="Tahoma"/>
          <w:sz w:val="24"/>
          <w:szCs w:val="24"/>
        </w:rPr>
        <w:t xml:space="preserve">. </w:t>
      </w:r>
    </w:p>
    <w:p w:rsidR="00016F63" w:rsidRPr="009723DE" w:rsidRDefault="00016F63" w:rsidP="002B3CC9">
      <w:pPr>
        <w:pStyle w:val="ListParagraph"/>
        <w:spacing w:line="360" w:lineRule="auto"/>
        <w:jc w:val="center"/>
        <w:rPr>
          <w:rFonts w:ascii="Tahoma" w:hAnsi="Tahoma" w:cs="Tahoma"/>
          <w:b/>
          <w:color w:val="767171" w:themeColor="background2" w:themeShade="80"/>
          <w:sz w:val="24"/>
          <w:szCs w:val="24"/>
        </w:rPr>
      </w:pPr>
    </w:p>
    <w:p w:rsidR="00F972DC" w:rsidRPr="009723DE"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9723DE">
        <w:rPr>
          <w:rFonts w:ascii="Tahoma" w:hAnsi="Tahoma" w:cs="Tahoma"/>
          <w:b/>
          <w:caps/>
          <w:color w:val="0070C0"/>
          <w:sz w:val="24"/>
          <w:szCs w:val="24"/>
        </w:rPr>
        <w:t>veniturile bugetului general consolidat</w:t>
      </w:r>
    </w:p>
    <w:p w:rsidR="000F1E3F" w:rsidRPr="009723DE" w:rsidRDefault="000F1E3F" w:rsidP="000F1E3F">
      <w:pPr>
        <w:spacing w:after="120" w:line="240" w:lineRule="auto"/>
        <w:rPr>
          <w:rFonts w:ascii="Tahoma" w:hAnsi="Tahoma" w:cs="Tahoma"/>
          <w:b/>
          <w:color w:val="0070C0"/>
          <w:sz w:val="24"/>
          <w:szCs w:val="24"/>
        </w:rPr>
      </w:pPr>
    </w:p>
    <w:p w:rsidR="009300C7" w:rsidRPr="009723DE" w:rsidRDefault="00CF1ED7" w:rsidP="00CF1ED7">
      <w:pPr>
        <w:shd w:val="clear" w:color="auto" w:fill="D9D9D9" w:themeFill="background1" w:themeFillShade="D9"/>
        <w:spacing w:after="120" w:line="360" w:lineRule="auto"/>
        <w:jc w:val="both"/>
        <w:rPr>
          <w:rFonts w:ascii="Tahoma" w:hAnsi="Tahoma" w:cs="Tahoma"/>
          <w:sz w:val="24"/>
          <w:szCs w:val="24"/>
        </w:rPr>
      </w:pPr>
      <w:r w:rsidRPr="009723DE">
        <w:rPr>
          <w:rFonts w:ascii="Tahoma" w:hAnsi="Tahoma" w:cs="Tahoma"/>
          <w:sz w:val="24"/>
          <w:szCs w:val="24"/>
        </w:rPr>
        <w:t>Veniturile bugetului general consolidat au însumat</w:t>
      </w:r>
      <w:r w:rsidR="004D1156" w:rsidRPr="009723DE">
        <w:rPr>
          <w:rFonts w:ascii="Tahoma" w:hAnsi="Tahoma" w:cs="Tahoma"/>
          <w:sz w:val="24"/>
          <w:szCs w:val="24"/>
        </w:rPr>
        <w:t xml:space="preserve"> 27</w:t>
      </w:r>
      <w:r w:rsidRPr="009723DE">
        <w:rPr>
          <w:rFonts w:ascii="Tahoma" w:hAnsi="Tahoma" w:cs="Tahoma"/>
          <w:sz w:val="24"/>
          <w:szCs w:val="24"/>
        </w:rPr>
        <w:t>,</w:t>
      </w:r>
      <w:r w:rsidR="009300C7" w:rsidRPr="009723DE">
        <w:rPr>
          <w:rFonts w:ascii="Tahoma" w:hAnsi="Tahoma" w:cs="Tahoma"/>
          <w:sz w:val="24"/>
          <w:szCs w:val="24"/>
        </w:rPr>
        <w:t>55</w:t>
      </w:r>
      <w:r w:rsidRPr="009723DE">
        <w:rPr>
          <w:rFonts w:ascii="Tahoma" w:hAnsi="Tahoma" w:cs="Tahoma"/>
          <w:sz w:val="24"/>
          <w:szCs w:val="24"/>
        </w:rPr>
        <w:t xml:space="preserve"> mld lei</w:t>
      </w:r>
      <w:r w:rsidR="004D1156" w:rsidRPr="009723DE">
        <w:rPr>
          <w:rFonts w:ascii="Tahoma" w:hAnsi="Tahoma" w:cs="Tahoma"/>
          <w:sz w:val="24"/>
          <w:szCs w:val="24"/>
        </w:rPr>
        <w:t xml:space="preserve"> în ianuarie 2020</w:t>
      </w:r>
      <w:r w:rsidRPr="009723DE">
        <w:rPr>
          <w:rFonts w:ascii="Tahoma" w:hAnsi="Tahoma" w:cs="Tahoma"/>
          <w:sz w:val="24"/>
          <w:szCs w:val="24"/>
        </w:rPr>
        <w:t xml:space="preserve">, în creștere cu </w:t>
      </w:r>
      <w:r w:rsidR="004D1156" w:rsidRPr="009723DE">
        <w:rPr>
          <w:rFonts w:ascii="Tahoma" w:hAnsi="Tahoma" w:cs="Tahoma"/>
          <w:sz w:val="24"/>
          <w:szCs w:val="24"/>
        </w:rPr>
        <w:t>6,</w:t>
      </w:r>
      <w:r w:rsidR="009300C7" w:rsidRPr="009723DE">
        <w:rPr>
          <w:rFonts w:ascii="Tahoma" w:hAnsi="Tahoma" w:cs="Tahoma"/>
          <w:sz w:val="24"/>
          <w:szCs w:val="24"/>
        </w:rPr>
        <w:t>8</w:t>
      </w:r>
      <w:r w:rsidR="004D1156" w:rsidRPr="009723DE">
        <w:rPr>
          <w:rFonts w:ascii="Tahoma" w:hAnsi="Tahoma" w:cs="Tahoma"/>
          <w:sz w:val="24"/>
          <w:szCs w:val="24"/>
        </w:rPr>
        <w:t xml:space="preserve">% </w:t>
      </w:r>
      <w:r w:rsidRPr="009723DE">
        <w:rPr>
          <w:rFonts w:ascii="Tahoma" w:hAnsi="Tahoma" w:cs="Tahoma"/>
          <w:sz w:val="24"/>
          <w:szCs w:val="24"/>
        </w:rPr>
        <w:t>față de nivelul înregistrat în</w:t>
      </w:r>
      <w:r w:rsidR="004D1156" w:rsidRPr="009723DE">
        <w:rPr>
          <w:rFonts w:ascii="Tahoma" w:hAnsi="Tahoma" w:cs="Tahoma"/>
          <w:sz w:val="24"/>
          <w:szCs w:val="24"/>
        </w:rPr>
        <w:t xml:space="preserve"> </w:t>
      </w:r>
      <w:r w:rsidR="00EE4334" w:rsidRPr="009723DE">
        <w:rPr>
          <w:rFonts w:ascii="Tahoma" w:hAnsi="Tahoma" w:cs="Tahoma"/>
          <w:sz w:val="24"/>
          <w:szCs w:val="24"/>
        </w:rPr>
        <w:t>luna similară</w:t>
      </w:r>
      <w:r w:rsidR="009300C7" w:rsidRPr="009723DE">
        <w:rPr>
          <w:rFonts w:ascii="Tahoma" w:hAnsi="Tahoma" w:cs="Tahoma"/>
          <w:sz w:val="24"/>
          <w:szCs w:val="24"/>
        </w:rPr>
        <w:t xml:space="preserve"> a anului trecut</w:t>
      </w:r>
      <w:r w:rsidRPr="009723DE">
        <w:rPr>
          <w:rFonts w:ascii="Tahoma" w:hAnsi="Tahoma" w:cs="Tahoma"/>
          <w:sz w:val="24"/>
          <w:szCs w:val="24"/>
        </w:rPr>
        <w:t xml:space="preserve">. </w:t>
      </w:r>
    </w:p>
    <w:p w:rsidR="008154B0" w:rsidRPr="009723DE" w:rsidRDefault="009A5714" w:rsidP="00CF1ED7">
      <w:pPr>
        <w:shd w:val="clear" w:color="auto" w:fill="D9D9D9" w:themeFill="background1" w:themeFillShade="D9"/>
        <w:spacing w:after="120" w:line="360" w:lineRule="auto"/>
        <w:jc w:val="both"/>
        <w:rPr>
          <w:rFonts w:ascii="Tahoma" w:hAnsi="Tahoma" w:cs="Tahoma"/>
          <w:sz w:val="24"/>
          <w:szCs w:val="24"/>
        </w:rPr>
      </w:pPr>
      <w:r w:rsidRPr="009723DE">
        <w:rPr>
          <w:rFonts w:ascii="Tahoma" w:hAnsi="Tahoma" w:cs="Tahoma"/>
          <w:sz w:val="24"/>
          <w:szCs w:val="24"/>
        </w:rPr>
        <w:t>E</w:t>
      </w:r>
      <w:r w:rsidR="00744E04" w:rsidRPr="009723DE">
        <w:rPr>
          <w:rFonts w:ascii="Tahoma" w:hAnsi="Tahoma" w:cs="Tahoma"/>
          <w:sz w:val="24"/>
          <w:szCs w:val="24"/>
        </w:rPr>
        <w:t>xprimate ca pondere în PIB, veniturile bugetare au înregistrat o reducere marginală (0,1 puncte procentuale)</w:t>
      </w:r>
      <w:r w:rsidR="00016F63" w:rsidRPr="009723DE">
        <w:rPr>
          <w:rFonts w:ascii="Tahoma" w:hAnsi="Tahoma" w:cs="Tahoma"/>
          <w:sz w:val="24"/>
          <w:szCs w:val="24"/>
        </w:rPr>
        <w:t>,</w:t>
      </w:r>
      <w:r w:rsidR="00744E04" w:rsidRPr="009723DE">
        <w:rPr>
          <w:rFonts w:ascii="Tahoma" w:hAnsi="Tahoma" w:cs="Tahoma"/>
          <w:sz w:val="24"/>
          <w:szCs w:val="24"/>
        </w:rPr>
        <w:t xml:space="preserve"> </w:t>
      </w:r>
      <w:r w:rsidR="003C28B1" w:rsidRPr="009723DE">
        <w:rPr>
          <w:rFonts w:ascii="Tahoma" w:hAnsi="Tahoma" w:cs="Tahoma"/>
          <w:sz w:val="24"/>
          <w:szCs w:val="24"/>
        </w:rPr>
        <w:t>explicată</w:t>
      </w:r>
      <w:r w:rsidR="009300C7" w:rsidRPr="009723DE">
        <w:rPr>
          <w:rFonts w:ascii="Tahoma" w:hAnsi="Tahoma" w:cs="Tahoma"/>
          <w:sz w:val="24"/>
          <w:szCs w:val="24"/>
        </w:rPr>
        <w:t xml:space="preserve"> în principal</w:t>
      </w:r>
      <w:r w:rsidR="00744E04" w:rsidRPr="009723DE">
        <w:rPr>
          <w:rFonts w:ascii="Tahoma" w:hAnsi="Tahoma" w:cs="Tahoma"/>
          <w:sz w:val="24"/>
          <w:szCs w:val="24"/>
        </w:rPr>
        <w:t xml:space="preserve"> de </w:t>
      </w:r>
      <w:r w:rsidR="00EE4334" w:rsidRPr="009723DE">
        <w:rPr>
          <w:rFonts w:ascii="Tahoma" w:hAnsi="Tahoma" w:cs="Tahoma"/>
          <w:sz w:val="24"/>
          <w:szCs w:val="24"/>
        </w:rPr>
        <w:t>creșter</w:t>
      </w:r>
      <w:r w:rsidR="003C28B1" w:rsidRPr="009723DE">
        <w:rPr>
          <w:rFonts w:ascii="Tahoma" w:hAnsi="Tahoma" w:cs="Tahoma"/>
          <w:sz w:val="24"/>
          <w:szCs w:val="24"/>
        </w:rPr>
        <w:t>ea</w:t>
      </w:r>
      <w:r w:rsidR="00EE4334" w:rsidRPr="009723DE">
        <w:rPr>
          <w:rFonts w:ascii="Tahoma" w:hAnsi="Tahoma" w:cs="Tahoma"/>
          <w:sz w:val="24"/>
          <w:szCs w:val="24"/>
        </w:rPr>
        <w:t xml:space="preserve"> restituirilor din TVA cu 14</w:t>
      </w:r>
      <w:r w:rsidRPr="009723DE">
        <w:rPr>
          <w:rFonts w:ascii="Tahoma" w:hAnsi="Tahoma" w:cs="Tahoma"/>
          <w:sz w:val="24"/>
          <w:szCs w:val="24"/>
        </w:rPr>
        <w:t>1</w:t>
      </w:r>
      <w:r w:rsidR="00EE4334" w:rsidRPr="009723DE">
        <w:rPr>
          <w:rFonts w:ascii="Tahoma" w:hAnsi="Tahoma" w:cs="Tahoma"/>
          <w:sz w:val="24"/>
          <w:szCs w:val="24"/>
        </w:rPr>
        <w:t>%</w:t>
      </w:r>
      <w:r w:rsidR="004D1156" w:rsidRPr="009723DE">
        <w:rPr>
          <w:rFonts w:ascii="Tahoma" w:hAnsi="Tahoma" w:cs="Tahoma"/>
          <w:sz w:val="24"/>
          <w:szCs w:val="24"/>
        </w:rPr>
        <w:t>.</w:t>
      </w:r>
      <w:r w:rsidR="009300C7" w:rsidRPr="009723DE">
        <w:rPr>
          <w:rFonts w:ascii="Tahoma" w:hAnsi="Tahoma" w:cs="Tahoma"/>
          <w:sz w:val="24"/>
          <w:szCs w:val="24"/>
        </w:rPr>
        <w:t xml:space="preserve"> </w:t>
      </w:r>
    </w:p>
    <w:p w:rsidR="000D2B64" w:rsidRPr="009723DE" w:rsidRDefault="000D2B64" w:rsidP="00CF1ED7">
      <w:pPr>
        <w:spacing w:after="120" w:line="360" w:lineRule="auto"/>
        <w:jc w:val="both"/>
        <w:rPr>
          <w:rFonts w:ascii="Tahoma" w:hAnsi="Tahoma" w:cs="Tahoma"/>
          <w:sz w:val="24"/>
          <w:szCs w:val="24"/>
        </w:rPr>
      </w:pPr>
    </w:p>
    <w:p w:rsidR="00056BE3" w:rsidRPr="009723DE" w:rsidRDefault="00CF1ED7" w:rsidP="00CF1ED7">
      <w:pPr>
        <w:spacing w:after="120" w:line="360" w:lineRule="auto"/>
        <w:jc w:val="both"/>
        <w:rPr>
          <w:rFonts w:ascii="Tahoma" w:hAnsi="Tahoma" w:cs="Tahoma"/>
          <w:sz w:val="24"/>
          <w:szCs w:val="24"/>
        </w:rPr>
      </w:pPr>
      <w:r w:rsidRPr="009723DE">
        <w:rPr>
          <w:rFonts w:ascii="Tahoma" w:hAnsi="Tahoma" w:cs="Tahoma"/>
          <w:sz w:val="24"/>
          <w:szCs w:val="24"/>
        </w:rPr>
        <w:t xml:space="preserve">Încasările din </w:t>
      </w:r>
      <w:r w:rsidRPr="009723DE">
        <w:rPr>
          <w:rFonts w:ascii="Tahoma" w:hAnsi="Tahoma" w:cs="Tahoma"/>
          <w:b/>
          <w:i/>
          <w:sz w:val="24"/>
          <w:szCs w:val="24"/>
        </w:rPr>
        <w:t>impozitul pe venit</w:t>
      </w:r>
      <w:r w:rsidRPr="009723DE">
        <w:rPr>
          <w:rFonts w:ascii="Tahoma" w:hAnsi="Tahoma" w:cs="Tahoma"/>
          <w:sz w:val="24"/>
          <w:szCs w:val="24"/>
        </w:rPr>
        <w:t xml:space="preserve"> au </w:t>
      </w:r>
      <w:r w:rsidR="00153418" w:rsidRPr="009723DE">
        <w:rPr>
          <w:rFonts w:ascii="Tahoma" w:hAnsi="Tahoma" w:cs="Tahoma"/>
          <w:sz w:val="24"/>
          <w:szCs w:val="24"/>
        </w:rPr>
        <w:t>înregistrat 2,2</w:t>
      </w:r>
      <w:r w:rsidR="0092174A" w:rsidRPr="009723DE">
        <w:rPr>
          <w:rFonts w:ascii="Tahoma" w:hAnsi="Tahoma" w:cs="Tahoma"/>
          <w:sz w:val="24"/>
          <w:szCs w:val="24"/>
        </w:rPr>
        <w:t>8</w:t>
      </w:r>
      <w:r w:rsidR="00153418" w:rsidRPr="009723DE">
        <w:rPr>
          <w:rFonts w:ascii="Tahoma" w:hAnsi="Tahoma" w:cs="Tahoma"/>
          <w:sz w:val="24"/>
          <w:szCs w:val="24"/>
        </w:rPr>
        <w:t xml:space="preserve"> mld lei </w:t>
      </w:r>
      <w:r w:rsidRPr="009723DE">
        <w:rPr>
          <w:rFonts w:ascii="Tahoma" w:hAnsi="Tahoma" w:cs="Tahoma"/>
          <w:sz w:val="24"/>
          <w:szCs w:val="24"/>
        </w:rPr>
        <w:t xml:space="preserve">în </w:t>
      </w:r>
      <w:r w:rsidR="0092174A" w:rsidRPr="009723DE">
        <w:rPr>
          <w:rFonts w:ascii="Tahoma" w:hAnsi="Tahoma" w:cs="Tahoma"/>
          <w:sz w:val="24"/>
          <w:szCs w:val="24"/>
        </w:rPr>
        <w:t>ianuarie</w:t>
      </w:r>
      <w:r w:rsidR="005656AD" w:rsidRPr="009723DE">
        <w:rPr>
          <w:rFonts w:ascii="Tahoma" w:hAnsi="Tahoma" w:cs="Tahoma"/>
          <w:sz w:val="24"/>
          <w:szCs w:val="24"/>
        </w:rPr>
        <w:t xml:space="preserve"> 20</w:t>
      </w:r>
      <w:r w:rsidR="0092174A" w:rsidRPr="009723DE">
        <w:rPr>
          <w:rFonts w:ascii="Tahoma" w:hAnsi="Tahoma" w:cs="Tahoma"/>
          <w:sz w:val="24"/>
          <w:szCs w:val="24"/>
        </w:rPr>
        <w:t>20</w:t>
      </w:r>
      <w:r w:rsidR="005656AD" w:rsidRPr="009723DE">
        <w:rPr>
          <w:rFonts w:ascii="Tahoma" w:hAnsi="Tahoma" w:cs="Tahoma"/>
          <w:sz w:val="24"/>
          <w:szCs w:val="24"/>
        </w:rPr>
        <w:t xml:space="preserve"> </w:t>
      </w:r>
      <w:r w:rsidR="0092174A" w:rsidRPr="009723DE">
        <w:rPr>
          <w:rFonts w:ascii="Tahoma" w:hAnsi="Tahoma" w:cs="Tahoma"/>
          <w:sz w:val="24"/>
          <w:szCs w:val="24"/>
        </w:rPr>
        <w:t>și</w:t>
      </w:r>
      <w:r w:rsidR="00153418" w:rsidRPr="009723DE">
        <w:rPr>
          <w:rFonts w:ascii="Tahoma" w:hAnsi="Tahoma" w:cs="Tahoma"/>
          <w:sz w:val="24"/>
          <w:szCs w:val="24"/>
        </w:rPr>
        <w:t xml:space="preserve"> prezintă </w:t>
      </w:r>
      <w:r w:rsidR="005656AD" w:rsidRPr="009723DE">
        <w:rPr>
          <w:rFonts w:ascii="Tahoma" w:hAnsi="Tahoma" w:cs="Tahoma"/>
          <w:sz w:val="24"/>
          <w:szCs w:val="24"/>
        </w:rPr>
        <w:t xml:space="preserve">o creștere de </w:t>
      </w:r>
      <w:r w:rsidR="0092174A" w:rsidRPr="009723DE">
        <w:rPr>
          <w:rFonts w:ascii="Tahoma" w:hAnsi="Tahoma" w:cs="Tahoma"/>
          <w:sz w:val="24"/>
          <w:szCs w:val="24"/>
        </w:rPr>
        <w:t>14,4</w:t>
      </w:r>
      <w:r w:rsidR="005656AD" w:rsidRPr="009723DE">
        <w:rPr>
          <w:rFonts w:ascii="Tahoma" w:hAnsi="Tahoma" w:cs="Tahoma"/>
          <w:sz w:val="24"/>
          <w:szCs w:val="24"/>
        </w:rPr>
        <w:t xml:space="preserve">% </w:t>
      </w:r>
      <w:r w:rsidR="0092174A" w:rsidRPr="009723DE">
        <w:rPr>
          <w:rFonts w:ascii="Tahoma" w:hAnsi="Tahoma" w:cs="Tahoma"/>
          <w:sz w:val="24"/>
          <w:szCs w:val="24"/>
        </w:rPr>
        <w:t>față de luna similară a anului trecut</w:t>
      </w:r>
      <w:r w:rsidR="008F6106" w:rsidRPr="009723DE">
        <w:rPr>
          <w:rFonts w:ascii="Tahoma" w:hAnsi="Tahoma" w:cs="Tahoma"/>
          <w:sz w:val="24"/>
          <w:szCs w:val="24"/>
        </w:rPr>
        <w:t>.</w:t>
      </w:r>
      <w:r w:rsidR="004E13C1" w:rsidRPr="009723DE">
        <w:rPr>
          <w:rFonts w:ascii="Tahoma" w:hAnsi="Tahoma" w:cs="Tahoma"/>
          <w:sz w:val="24"/>
          <w:szCs w:val="24"/>
        </w:rPr>
        <w:t xml:space="preserve"> </w:t>
      </w:r>
    </w:p>
    <w:p w:rsidR="00CF1ED7" w:rsidRPr="009723DE" w:rsidRDefault="008F6106" w:rsidP="00CF1ED7">
      <w:pPr>
        <w:spacing w:after="120" w:line="360" w:lineRule="auto"/>
        <w:jc w:val="both"/>
        <w:rPr>
          <w:rFonts w:ascii="Tahoma" w:hAnsi="Tahoma" w:cs="Tahoma"/>
          <w:color w:val="FF0000"/>
          <w:sz w:val="24"/>
          <w:szCs w:val="24"/>
        </w:rPr>
      </w:pPr>
      <w:r w:rsidRPr="009723DE">
        <w:rPr>
          <w:rFonts w:ascii="Tahoma" w:hAnsi="Tahoma" w:cs="Tahoma"/>
          <w:sz w:val="24"/>
          <w:szCs w:val="24"/>
        </w:rPr>
        <w:t>Evoluția încasărilor din impozitul pe salarii</w:t>
      </w:r>
      <w:r w:rsidR="00F578E9" w:rsidRPr="009723DE">
        <w:rPr>
          <w:rFonts w:ascii="Tahoma" w:hAnsi="Tahoma" w:cs="Tahoma"/>
          <w:sz w:val="24"/>
          <w:szCs w:val="24"/>
        </w:rPr>
        <w:t xml:space="preserve"> în luna ianuarie</w:t>
      </w:r>
      <w:r w:rsidRPr="009723DE">
        <w:rPr>
          <w:rFonts w:ascii="Tahoma" w:hAnsi="Tahoma" w:cs="Tahoma"/>
          <w:sz w:val="24"/>
          <w:szCs w:val="24"/>
        </w:rPr>
        <w:t xml:space="preserve"> (8%,</w:t>
      </w:r>
      <w:r w:rsidR="00F578E9" w:rsidRPr="009723DE">
        <w:rPr>
          <w:rFonts w:ascii="Tahoma" w:hAnsi="Tahoma" w:cs="Tahoma"/>
          <w:sz w:val="24"/>
          <w:szCs w:val="24"/>
        </w:rPr>
        <w:t xml:space="preserve"> </w:t>
      </w:r>
      <w:r w:rsidRPr="009723DE">
        <w:rPr>
          <w:rFonts w:ascii="Tahoma" w:hAnsi="Tahoma" w:cs="Tahoma"/>
          <w:sz w:val="24"/>
          <w:szCs w:val="24"/>
        </w:rPr>
        <w:t xml:space="preserve">an/an) </w:t>
      </w:r>
      <w:r w:rsidR="00F578E9" w:rsidRPr="009723DE">
        <w:rPr>
          <w:rFonts w:ascii="Tahoma" w:hAnsi="Tahoma" w:cs="Tahoma"/>
          <w:sz w:val="24"/>
          <w:szCs w:val="24"/>
        </w:rPr>
        <w:t>reflectă</w:t>
      </w:r>
      <w:r w:rsidRPr="009723DE">
        <w:rPr>
          <w:rFonts w:ascii="Tahoma" w:hAnsi="Tahoma" w:cs="Tahoma"/>
          <w:sz w:val="24"/>
          <w:szCs w:val="24"/>
        </w:rPr>
        <w:t xml:space="preserve"> </w:t>
      </w:r>
      <w:proofErr w:type="spellStart"/>
      <w:r w:rsidR="00FF60CF" w:rsidRPr="009723DE">
        <w:rPr>
          <w:rFonts w:ascii="Tahoma" w:hAnsi="Tahoma" w:cs="Tahoma"/>
          <w:sz w:val="24"/>
          <w:szCs w:val="24"/>
        </w:rPr>
        <w:t>dinamicile</w:t>
      </w:r>
      <w:proofErr w:type="spellEnd"/>
      <w:r w:rsidR="00CF1ED7" w:rsidRPr="009723DE">
        <w:rPr>
          <w:rFonts w:ascii="Tahoma" w:hAnsi="Tahoma" w:cs="Tahoma"/>
          <w:sz w:val="24"/>
          <w:szCs w:val="24"/>
        </w:rPr>
        <w:t xml:space="preserve"> câștigul</w:t>
      </w:r>
      <w:r w:rsidR="004546CE" w:rsidRPr="009723DE">
        <w:rPr>
          <w:rFonts w:ascii="Tahoma" w:hAnsi="Tahoma" w:cs="Tahoma"/>
          <w:sz w:val="24"/>
          <w:szCs w:val="24"/>
        </w:rPr>
        <w:t>ui</w:t>
      </w:r>
      <w:r w:rsidR="00CF1ED7" w:rsidRPr="009723DE">
        <w:rPr>
          <w:rFonts w:ascii="Tahoma" w:hAnsi="Tahoma" w:cs="Tahoma"/>
          <w:sz w:val="24"/>
          <w:szCs w:val="24"/>
        </w:rPr>
        <w:t xml:space="preserve"> salarial mediu brut </w:t>
      </w:r>
      <w:r w:rsidR="004546CE" w:rsidRPr="009723DE">
        <w:rPr>
          <w:rFonts w:ascii="Tahoma" w:hAnsi="Tahoma" w:cs="Tahoma"/>
          <w:sz w:val="24"/>
          <w:szCs w:val="24"/>
        </w:rPr>
        <w:t>(</w:t>
      </w:r>
      <w:r w:rsidR="00DE5601" w:rsidRPr="009723DE">
        <w:rPr>
          <w:rFonts w:ascii="Tahoma" w:hAnsi="Tahoma" w:cs="Tahoma"/>
          <w:sz w:val="24"/>
          <w:szCs w:val="24"/>
        </w:rPr>
        <w:t>1</w:t>
      </w:r>
      <w:r w:rsidR="00D40303" w:rsidRPr="009723DE">
        <w:rPr>
          <w:rFonts w:ascii="Tahoma" w:hAnsi="Tahoma" w:cs="Tahoma"/>
          <w:sz w:val="24"/>
          <w:szCs w:val="24"/>
        </w:rPr>
        <w:t>0</w:t>
      </w:r>
      <w:r w:rsidR="00DE5601" w:rsidRPr="009723DE">
        <w:rPr>
          <w:rFonts w:ascii="Tahoma" w:hAnsi="Tahoma" w:cs="Tahoma"/>
          <w:sz w:val="24"/>
          <w:szCs w:val="24"/>
        </w:rPr>
        <w:t>,7%</w:t>
      </w:r>
      <w:r w:rsidR="004546CE" w:rsidRPr="009723DE">
        <w:rPr>
          <w:rFonts w:ascii="Tahoma" w:hAnsi="Tahoma" w:cs="Tahoma"/>
          <w:sz w:val="24"/>
          <w:szCs w:val="24"/>
        </w:rPr>
        <w:t xml:space="preserve">) și a </w:t>
      </w:r>
      <w:r w:rsidR="00CF1ED7" w:rsidRPr="009723DE">
        <w:rPr>
          <w:rFonts w:ascii="Tahoma" w:hAnsi="Tahoma" w:cs="Tahoma"/>
          <w:sz w:val="24"/>
          <w:szCs w:val="24"/>
        </w:rPr>
        <w:t>numărul</w:t>
      </w:r>
      <w:r w:rsidR="004546CE" w:rsidRPr="009723DE">
        <w:rPr>
          <w:rFonts w:ascii="Tahoma" w:hAnsi="Tahoma" w:cs="Tahoma"/>
          <w:sz w:val="24"/>
          <w:szCs w:val="24"/>
        </w:rPr>
        <w:t>ui</w:t>
      </w:r>
      <w:r w:rsidR="00CF1ED7" w:rsidRPr="009723DE">
        <w:rPr>
          <w:rFonts w:ascii="Tahoma" w:hAnsi="Tahoma" w:cs="Tahoma"/>
          <w:sz w:val="24"/>
          <w:szCs w:val="24"/>
        </w:rPr>
        <w:t xml:space="preserve"> mediu de salariați </w:t>
      </w:r>
      <w:r w:rsidR="004546CE" w:rsidRPr="009723DE">
        <w:rPr>
          <w:rFonts w:ascii="Tahoma" w:hAnsi="Tahoma" w:cs="Tahoma"/>
          <w:sz w:val="24"/>
          <w:szCs w:val="24"/>
        </w:rPr>
        <w:t>(</w:t>
      </w:r>
      <w:r w:rsidR="00F30899" w:rsidRPr="009723DE">
        <w:rPr>
          <w:rFonts w:ascii="Tahoma" w:hAnsi="Tahoma" w:cs="Tahoma"/>
          <w:sz w:val="24"/>
          <w:szCs w:val="24"/>
        </w:rPr>
        <w:t xml:space="preserve">0,9%) înregistrate în luna decembrie 2019. </w:t>
      </w:r>
      <w:r w:rsidR="00A263BF" w:rsidRPr="009723DE">
        <w:rPr>
          <w:rFonts w:ascii="Tahoma" w:hAnsi="Tahoma" w:cs="Tahoma"/>
          <w:sz w:val="24"/>
          <w:szCs w:val="24"/>
        </w:rPr>
        <w:t>Totodată, s</w:t>
      </w:r>
      <w:r w:rsidR="009B7E76" w:rsidRPr="009723DE">
        <w:rPr>
          <w:rFonts w:ascii="Tahoma" w:hAnsi="Tahoma" w:cs="Tahoma"/>
          <w:sz w:val="24"/>
          <w:szCs w:val="24"/>
        </w:rPr>
        <w:t xml:space="preserve">cutirea salariaților din domeniul construcțiilor și sectoarele </w:t>
      </w:r>
      <w:r w:rsidR="009B7E76" w:rsidRPr="009723DE">
        <w:rPr>
          <w:rFonts w:ascii="Tahoma" w:hAnsi="Tahoma" w:cs="Tahoma"/>
          <w:sz w:val="24"/>
          <w:szCs w:val="24"/>
        </w:rPr>
        <w:lastRenderedPageBreak/>
        <w:t xml:space="preserve">industriale conexe de la plata impozitului pe venit a </w:t>
      </w:r>
      <w:r w:rsidR="004546CE" w:rsidRPr="009723DE">
        <w:rPr>
          <w:rFonts w:ascii="Tahoma" w:hAnsi="Tahoma" w:cs="Tahoma"/>
          <w:sz w:val="24"/>
          <w:szCs w:val="24"/>
        </w:rPr>
        <w:t>generat</w:t>
      </w:r>
      <w:r w:rsidR="009B7E76" w:rsidRPr="009723DE">
        <w:rPr>
          <w:rFonts w:ascii="Tahoma" w:hAnsi="Tahoma" w:cs="Tahoma"/>
          <w:sz w:val="24"/>
          <w:szCs w:val="24"/>
        </w:rPr>
        <w:t xml:space="preserve"> un impact negativ de 127,9 mil</w:t>
      </w:r>
      <w:r w:rsidR="00FF695E" w:rsidRPr="009723DE">
        <w:rPr>
          <w:rFonts w:ascii="Tahoma" w:hAnsi="Tahoma" w:cs="Tahoma"/>
          <w:sz w:val="24"/>
          <w:szCs w:val="24"/>
        </w:rPr>
        <w:t>.</w:t>
      </w:r>
      <w:r w:rsidR="009B7E76" w:rsidRPr="009723DE">
        <w:rPr>
          <w:rFonts w:ascii="Tahoma" w:hAnsi="Tahoma" w:cs="Tahoma"/>
          <w:sz w:val="24"/>
          <w:szCs w:val="24"/>
        </w:rPr>
        <w:t xml:space="preserve"> lei</w:t>
      </w:r>
      <w:r w:rsidR="00F30899" w:rsidRPr="009723DE">
        <w:rPr>
          <w:rFonts w:ascii="Tahoma" w:hAnsi="Tahoma" w:cs="Tahoma"/>
          <w:sz w:val="24"/>
          <w:szCs w:val="24"/>
        </w:rPr>
        <w:t xml:space="preserve"> în ianuarie 2020</w:t>
      </w:r>
      <w:r w:rsidR="00A263BF" w:rsidRPr="009723DE">
        <w:rPr>
          <w:rFonts w:ascii="Tahoma" w:hAnsi="Tahoma" w:cs="Tahoma"/>
          <w:sz w:val="24"/>
          <w:szCs w:val="24"/>
        </w:rPr>
        <w:t>, comparativ cu încasările din ianuarie 2019</w:t>
      </w:r>
      <w:r w:rsidR="00AB7B38" w:rsidRPr="009723DE">
        <w:rPr>
          <w:rStyle w:val="FootnoteReference"/>
          <w:rFonts w:ascii="Tahoma" w:hAnsi="Tahoma" w:cs="Tahoma"/>
          <w:sz w:val="24"/>
          <w:szCs w:val="24"/>
        </w:rPr>
        <w:footnoteReference w:id="1"/>
      </w:r>
      <w:r w:rsidR="00A263BF" w:rsidRPr="009723DE">
        <w:rPr>
          <w:rFonts w:ascii="Tahoma" w:hAnsi="Tahoma" w:cs="Tahoma"/>
          <w:sz w:val="24"/>
          <w:szCs w:val="24"/>
        </w:rPr>
        <w:t>.</w:t>
      </w:r>
    </w:p>
    <w:p w:rsidR="00CF1ED7" w:rsidRPr="009723DE" w:rsidRDefault="003C663D" w:rsidP="0073781B">
      <w:pPr>
        <w:spacing w:after="0" w:line="240" w:lineRule="auto"/>
        <w:contextualSpacing/>
        <w:jc w:val="center"/>
        <w:rPr>
          <w:rFonts w:ascii="Tahoma" w:hAnsi="Tahoma" w:cs="Tahoma"/>
          <w:sz w:val="24"/>
          <w:szCs w:val="24"/>
        </w:rPr>
      </w:pPr>
      <w:r w:rsidRPr="009723DE">
        <w:rPr>
          <w:rFonts w:ascii="Tahoma" w:hAnsi="Tahoma" w:cs="Tahoma"/>
          <w:noProof/>
          <w:sz w:val="24"/>
          <w:szCs w:val="24"/>
          <w:lang w:val="en-US"/>
        </w:rPr>
        <w:drawing>
          <wp:inline distT="0" distB="0" distL="0" distR="0" wp14:anchorId="7775A739">
            <wp:extent cx="4882551" cy="2084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6429" cy="2119872"/>
                    </a:xfrm>
                    <a:prstGeom prst="rect">
                      <a:avLst/>
                    </a:prstGeom>
                    <a:noFill/>
                  </pic:spPr>
                </pic:pic>
              </a:graphicData>
            </a:graphic>
          </wp:inline>
        </w:drawing>
      </w:r>
    </w:p>
    <w:p w:rsidR="0073781B" w:rsidRPr="009723DE" w:rsidRDefault="0073781B" w:rsidP="0073781B">
      <w:pPr>
        <w:pStyle w:val="ListParagraph"/>
        <w:spacing w:line="360" w:lineRule="auto"/>
        <w:jc w:val="both"/>
        <w:rPr>
          <w:rFonts w:ascii="Tahoma" w:hAnsi="Tahoma" w:cs="Tahoma"/>
          <w:color w:val="767171" w:themeColor="background2" w:themeShade="80"/>
          <w:sz w:val="20"/>
          <w:szCs w:val="24"/>
        </w:rPr>
      </w:pPr>
      <w:r w:rsidRPr="009723DE">
        <w:rPr>
          <w:rFonts w:ascii="Tahoma" w:hAnsi="Tahoma" w:cs="Tahoma"/>
          <w:color w:val="767171" w:themeColor="background2" w:themeShade="80"/>
          <w:sz w:val="20"/>
          <w:szCs w:val="24"/>
        </w:rPr>
        <w:t>Sursa: MFP, INS, calcule proprii</w:t>
      </w:r>
    </w:p>
    <w:p w:rsidR="00CF1ED7" w:rsidRPr="009723DE" w:rsidRDefault="00CF1ED7" w:rsidP="00F30899">
      <w:pPr>
        <w:pStyle w:val="ListParagraph"/>
        <w:spacing w:before="240" w:line="360" w:lineRule="auto"/>
        <w:jc w:val="center"/>
        <w:rPr>
          <w:rFonts w:ascii="Tahoma" w:hAnsi="Tahoma" w:cs="Tahoma"/>
          <w:b/>
          <w:color w:val="767171" w:themeColor="background2" w:themeShade="80"/>
          <w:szCs w:val="24"/>
        </w:rPr>
      </w:pPr>
      <w:r w:rsidRPr="009723DE">
        <w:rPr>
          <w:rFonts w:ascii="Tahoma" w:hAnsi="Tahoma" w:cs="Tahoma"/>
          <w:b/>
          <w:color w:val="767171" w:themeColor="background2" w:themeShade="80"/>
          <w:szCs w:val="24"/>
        </w:rPr>
        <w:t>Fig.</w:t>
      </w:r>
      <w:r w:rsidR="000D2B64" w:rsidRPr="009723DE">
        <w:rPr>
          <w:rFonts w:ascii="Tahoma" w:hAnsi="Tahoma" w:cs="Tahoma"/>
          <w:b/>
          <w:color w:val="767171" w:themeColor="background2" w:themeShade="80"/>
          <w:szCs w:val="24"/>
        </w:rPr>
        <w:t>1</w:t>
      </w:r>
      <w:r w:rsidR="00D60BC0" w:rsidRPr="009723DE">
        <w:rPr>
          <w:rFonts w:ascii="Tahoma" w:hAnsi="Tahoma" w:cs="Tahoma"/>
          <w:b/>
          <w:color w:val="767171" w:themeColor="background2" w:themeShade="80"/>
          <w:szCs w:val="24"/>
        </w:rPr>
        <w:t xml:space="preserve"> </w:t>
      </w:r>
      <w:r w:rsidRPr="009723DE">
        <w:rPr>
          <w:rFonts w:ascii="Tahoma" w:hAnsi="Tahoma" w:cs="Tahoma"/>
          <w:b/>
          <w:color w:val="767171" w:themeColor="background2" w:themeShade="80"/>
          <w:szCs w:val="24"/>
        </w:rPr>
        <w:t xml:space="preserve">Impozitul pe venit </w:t>
      </w:r>
    </w:p>
    <w:p w:rsidR="00016F63" w:rsidRPr="009723DE" w:rsidRDefault="00CF1ED7" w:rsidP="00016F63">
      <w:pPr>
        <w:spacing w:after="120" w:line="360" w:lineRule="auto"/>
        <w:jc w:val="both"/>
        <w:rPr>
          <w:rFonts w:ascii="Tahoma" w:hAnsi="Tahoma" w:cs="Tahoma"/>
          <w:sz w:val="24"/>
          <w:szCs w:val="24"/>
        </w:rPr>
      </w:pPr>
      <w:r w:rsidRPr="009723DE">
        <w:rPr>
          <w:rFonts w:ascii="Tahoma" w:hAnsi="Tahoma" w:cs="Tahoma"/>
          <w:sz w:val="24"/>
          <w:szCs w:val="24"/>
        </w:rPr>
        <w:t xml:space="preserve">Încasările din </w:t>
      </w:r>
      <w:r w:rsidRPr="009723DE">
        <w:rPr>
          <w:rFonts w:ascii="Tahoma" w:hAnsi="Tahoma" w:cs="Tahoma"/>
          <w:b/>
          <w:i/>
          <w:sz w:val="24"/>
          <w:szCs w:val="24"/>
        </w:rPr>
        <w:t xml:space="preserve">contribuții </w:t>
      </w:r>
      <w:r w:rsidR="000573AD" w:rsidRPr="009723DE">
        <w:rPr>
          <w:rFonts w:ascii="Tahoma" w:hAnsi="Tahoma" w:cs="Tahoma"/>
          <w:b/>
          <w:i/>
          <w:sz w:val="24"/>
          <w:szCs w:val="24"/>
        </w:rPr>
        <w:t xml:space="preserve">de asigurări </w:t>
      </w:r>
      <w:r w:rsidRPr="009723DE">
        <w:rPr>
          <w:rFonts w:ascii="Tahoma" w:hAnsi="Tahoma" w:cs="Tahoma"/>
          <w:sz w:val="24"/>
          <w:szCs w:val="24"/>
        </w:rPr>
        <w:t xml:space="preserve">au înregistrat </w:t>
      </w:r>
      <w:r w:rsidR="000573AD" w:rsidRPr="009723DE">
        <w:rPr>
          <w:rFonts w:ascii="Tahoma" w:hAnsi="Tahoma" w:cs="Tahoma"/>
          <w:sz w:val="24"/>
          <w:szCs w:val="24"/>
        </w:rPr>
        <w:t>9</w:t>
      </w:r>
      <w:r w:rsidR="00667C1C" w:rsidRPr="009723DE">
        <w:rPr>
          <w:rFonts w:ascii="Tahoma" w:hAnsi="Tahoma" w:cs="Tahoma"/>
          <w:sz w:val="24"/>
          <w:szCs w:val="24"/>
        </w:rPr>
        <w:t>,</w:t>
      </w:r>
      <w:r w:rsidR="000573AD" w:rsidRPr="009723DE">
        <w:rPr>
          <w:rFonts w:ascii="Tahoma" w:hAnsi="Tahoma" w:cs="Tahoma"/>
          <w:sz w:val="24"/>
          <w:szCs w:val="24"/>
        </w:rPr>
        <w:t>9</w:t>
      </w:r>
      <w:r w:rsidR="001A2254" w:rsidRPr="009723DE">
        <w:rPr>
          <w:rFonts w:ascii="Tahoma" w:hAnsi="Tahoma" w:cs="Tahoma"/>
          <w:sz w:val="24"/>
          <w:szCs w:val="24"/>
        </w:rPr>
        <w:t>7</w:t>
      </w:r>
      <w:r w:rsidR="00667C1C" w:rsidRPr="009723DE">
        <w:rPr>
          <w:rFonts w:ascii="Tahoma" w:hAnsi="Tahoma" w:cs="Tahoma"/>
          <w:sz w:val="24"/>
          <w:szCs w:val="24"/>
        </w:rPr>
        <w:t xml:space="preserve"> mld lei </w:t>
      </w:r>
      <w:r w:rsidRPr="009723DE">
        <w:rPr>
          <w:rFonts w:ascii="Tahoma" w:hAnsi="Tahoma" w:cs="Tahoma"/>
          <w:sz w:val="24"/>
          <w:szCs w:val="24"/>
        </w:rPr>
        <w:t xml:space="preserve">în </w:t>
      </w:r>
      <w:r w:rsidR="000573AD" w:rsidRPr="009723DE">
        <w:rPr>
          <w:rFonts w:ascii="Tahoma" w:hAnsi="Tahoma" w:cs="Tahoma"/>
          <w:sz w:val="24"/>
          <w:szCs w:val="24"/>
        </w:rPr>
        <w:t>ianuarie 2020</w:t>
      </w:r>
      <w:r w:rsidR="00F30899" w:rsidRPr="009723DE">
        <w:rPr>
          <w:rFonts w:ascii="Tahoma" w:hAnsi="Tahoma" w:cs="Tahoma"/>
          <w:sz w:val="24"/>
          <w:szCs w:val="24"/>
        </w:rPr>
        <w:t xml:space="preserve"> și prezintă</w:t>
      </w:r>
      <w:r w:rsidR="00FF60CF" w:rsidRPr="009723DE">
        <w:rPr>
          <w:rFonts w:ascii="Tahoma" w:hAnsi="Tahoma" w:cs="Tahoma"/>
          <w:sz w:val="24"/>
          <w:szCs w:val="24"/>
        </w:rPr>
        <w:t xml:space="preserve"> o accelerare, </w:t>
      </w:r>
      <w:r w:rsidR="00F30899" w:rsidRPr="009723DE">
        <w:rPr>
          <w:rFonts w:ascii="Tahoma" w:hAnsi="Tahoma" w:cs="Tahoma"/>
          <w:sz w:val="24"/>
          <w:szCs w:val="24"/>
        </w:rPr>
        <w:t>de la 8,5%</w:t>
      </w:r>
      <w:r w:rsidR="001D29DC" w:rsidRPr="009723DE">
        <w:rPr>
          <w:rFonts w:ascii="Tahoma" w:hAnsi="Tahoma" w:cs="Tahoma"/>
          <w:sz w:val="24"/>
          <w:szCs w:val="24"/>
        </w:rPr>
        <w:t xml:space="preserve"> </w:t>
      </w:r>
      <w:r w:rsidR="00FF60CF" w:rsidRPr="009723DE">
        <w:rPr>
          <w:rFonts w:ascii="Tahoma" w:hAnsi="Tahoma" w:cs="Tahoma"/>
          <w:sz w:val="24"/>
          <w:szCs w:val="24"/>
        </w:rPr>
        <w:t>în decembrie 2019</w:t>
      </w:r>
      <w:r w:rsidR="00AE5117" w:rsidRPr="009723DE">
        <w:rPr>
          <w:rFonts w:ascii="Tahoma" w:hAnsi="Tahoma" w:cs="Tahoma"/>
          <w:sz w:val="24"/>
          <w:szCs w:val="24"/>
        </w:rPr>
        <w:t xml:space="preserve"> </w:t>
      </w:r>
      <w:r w:rsidR="00F30899" w:rsidRPr="009723DE">
        <w:rPr>
          <w:rFonts w:ascii="Tahoma" w:hAnsi="Tahoma" w:cs="Tahoma"/>
          <w:sz w:val="24"/>
          <w:szCs w:val="24"/>
        </w:rPr>
        <w:t>la</w:t>
      </w:r>
      <w:r w:rsidR="00056BE3" w:rsidRPr="009723DE">
        <w:rPr>
          <w:rFonts w:ascii="Tahoma" w:hAnsi="Tahoma" w:cs="Tahoma"/>
          <w:sz w:val="24"/>
          <w:szCs w:val="24"/>
        </w:rPr>
        <w:t xml:space="preserve"> 10%</w:t>
      </w:r>
      <w:r w:rsidR="00AE5117" w:rsidRPr="009723DE">
        <w:rPr>
          <w:rFonts w:ascii="Tahoma" w:hAnsi="Tahoma" w:cs="Tahoma"/>
          <w:sz w:val="24"/>
          <w:szCs w:val="24"/>
        </w:rPr>
        <w:t xml:space="preserve"> în ianuarie 2020</w:t>
      </w:r>
      <w:r w:rsidR="00056BE3" w:rsidRPr="009723DE">
        <w:rPr>
          <w:rFonts w:ascii="Tahoma" w:hAnsi="Tahoma" w:cs="Tahoma"/>
          <w:sz w:val="24"/>
          <w:szCs w:val="24"/>
        </w:rPr>
        <w:t xml:space="preserve"> </w:t>
      </w:r>
      <w:r w:rsidR="00F578E9" w:rsidRPr="009723DE">
        <w:rPr>
          <w:rFonts w:ascii="Tahoma" w:hAnsi="Tahoma" w:cs="Tahoma"/>
          <w:sz w:val="24"/>
          <w:szCs w:val="24"/>
        </w:rPr>
        <w:t>(an/an)</w:t>
      </w:r>
      <w:r w:rsidRPr="009723DE">
        <w:rPr>
          <w:rFonts w:ascii="Tahoma" w:hAnsi="Tahoma" w:cs="Tahoma"/>
          <w:sz w:val="24"/>
          <w:szCs w:val="24"/>
        </w:rPr>
        <w:t xml:space="preserve">. </w:t>
      </w:r>
      <w:r w:rsidR="00AE5117" w:rsidRPr="009723DE">
        <w:rPr>
          <w:rFonts w:ascii="Tahoma" w:hAnsi="Tahoma" w:cs="Tahoma"/>
          <w:sz w:val="24"/>
          <w:szCs w:val="24"/>
        </w:rPr>
        <w:t>D</w:t>
      </w:r>
      <w:r w:rsidR="006B50AB" w:rsidRPr="009723DE">
        <w:rPr>
          <w:rFonts w:ascii="Tahoma" w:hAnsi="Tahoma" w:cs="Tahoma"/>
          <w:sz w:val="24"/>
          <w:szCs w:val="24"/>
        </w:rPr>
        <w:t>inamica</w:t>
      </w:r>
      <w:r w:rsidRPr="009723DE">
        <w:rPr>
          <w:rFonts w:ascii="Tahoma" w:hAnsi="Tahoma" w:cs="Tahoma"/>
          <w:sz w:val="24"/>
          <w:szCs w:val="24"/>
        </w:rPr>
        <w:t xml:space="preserve"> </w:t>
      </w:r>
      <w:r w:rsidR="00FF60CF" w:rsidRPr="009723DE">
        <w:rPr>
          <w:rFonts w:ascii="Tahoma" w:hAnsi="Tahoma" w:cs="Tahoma"/>
          <w:sz w:val="24"/>
          <w:szCs w:val="24"/>
        </w:rPr>
        <w:t>acestora</w:t>
      </w:r>
      <w:r w:rsidR="00F072D2" w:rsidRPr="009723DE">
        <w:rPr>
          <w:rFonts w:ascii="Tahoma" w:hAnsi="Tahoma" w:cs="Tahoma"/>
          <w:sz w:val="24"/>
          <w:szCs w:val="24"/>
        </w:rPr>
        <w:t xml:space="preserve"> </w:t>
      </w:r>
      <w:r w:rsidR="00EC3F79" w:rsidRPr="009723DE">
        <w:rPr>
          <w:rFonts w:ascii="Tahoma" w:hAnsi="Tahoma" w:cs="Tahoma"/>
          <w:sz w:val="24"/>
          <w:szCs w:val="24"/>
        </w:rPr>
        <w:t>reflectă preponderent</w:t>
      </w:r>
      <w:r w:rsidRPr="009723DE">
        <w:rPr>
          <w:rFonts w:ascii="Tahoma" w:hAnsi="Tahoma" w:cs="Tahoma"/>
          <w:sz w:val="24"/>
          <w:szCs w:val="24"/>
        </w:rPr>
        <w:t xml:space="preserve"> </w:t>
      </w:r>
      <w:r w:rsidR="00EC3F79" w:rsidRPr="009723DE">
        <w:rPr>
          <w:rFonts w:ascii="Tahoma" w:hAnsi="Tahoma" w:cs="Tahoma"/>
          <w:sz w:val="24"/>
          <w:szCs w:val="24"/>
        </w:rPr>
        <w:t>avansul</w:t>
      </w:r>
      <w:r w:rsidRPr="009723DE">
        <w:rPr>
          <w:rFonts w:ascii="Tahoma" w:hAnsi="Tahoma" w:cs="Tahoma"/>
          <w:sz w:val="24"/>
          <w:szCs w:val="24"/>
        </w:rPr>
        <w:t xml:space="preserve"> fo</w:t>
      </w:r>
      <w:r w:rsidR="00F263F6" w:rsidRPr="009723DE">
        <w:rPr>
          <w:rFonts w:ascii="Tahoma" w:hAnsi="Tahoma" w:cs="Tahoma"/>
          <w:sz w:val="24"/>
          <w:szCs w:val="24"/>
        </w:rPr>
        <w:t xml:space="preserve">ndului de salarii din economie, de </w:t>
      </w:r>
      <w:r w:rsidRPr="009723DE">
        <w:rPr>
          <w:rFonts w:ascii="Tahoma" w:hAnsi="Tahoma" w:cs="Tahoma"/>
          <w:sz w:val="24"/>
          <w:szCs w:val="24"/>
        </w:rPr>
        <w:t>1</w:t>
      </w:r>
      <w:r w:rsidR="00056BE3" w:rsidRPr="009723DE">
        <w:rPr>
          <w:rFonts w:ascii="Tahoma" w:hAnsi="Tahoma" w:cs="Tahoma"/>
          <w:sz w:val="24"/>
          <w:szCs w:val="24"/>
        </w:rPr>
        <w:t>1,</w:t>
      </w:r>
      <w:r w:rsidRPr="009723DE">
        <w:rPr>
          <w:rFonts w:ascii="Tahoma" w:hAnsi="Tahoma" w:cs="Tahoma"/>
          <w:sz w:val="24"/>
          <w:szCs w:val="24"/>
        </w:rPr>
        <w:t>6%</w:t>
      </w:r>
      <w:r w:rsidR="00AE5117" w:rsidRPr="009723DE">
        <w:rPr>
          <w:rFonts w:ascii="Tahoma" w:hAnsi="Tahoma" w:cs="Tahoma"/>
          <w:sz w:val="24"/>
          <w:szCs w:val="24"/>
        </w:rPr>
        <w:t xml:space="preserve"> în decembrie 2019, în</w:t>
      </w:r>
      <w:r w:rsidR="00FF60CF" w:rsidRPr="009723DE">
        <w:rPr>
          <w:rFonts w:ascii="Tahoma" w:hAnsi="Tahoma" w:cs="Tahoma"/>
          <w:sz w:val="24"/>
          <w:szCs w:val="24"/>
        </w:rPr>
        <w:t xml:space="preserve"> încetinire față de ritmul din luna anterioară. </w:t>
      </w:r>
      <w:r w:rsidR="00AE5117" w:rsidRPr="009723DE">
        <w:rPr>
          <w:rFonts w:ascii="Tahoma" w:hAnsi="Tahoma" w:cs="Tahoma"/>
          <w:sz w:val="24"/>
          <w:szCs w:val="24"/>
        </w:rPr>
        <w:t>De asemenea</w:t>
      </w:r>
      <w:r w:rsidR="003836BC" w:rsidRPr="009723DE">
        <w:rPr>
          <w:rFonts w:ascii="Tahoma" w:hAnsi="Tahoma" w:cs="Tahoma"/>
          <w:sz w:val="24"/>
          <w:szCs w:val="24"/>
        </w:rPr>
        <w:t xml:space="preserve">, </w:t>
      </w:r>
      <w:r w:rsidR="00625493" w:rsidRPr="009723DE">
        <w:rPr>
          <w:rFonts w:ascii="Tahoma" w:hAnsi="Tahoma" w:cs="Tahoma"/>
          <w:sz w:val="24"/>
          <w:szCs w:val="24"/>
        </w:rPr>
        <w:t>scutirea salariaților din domeniul construcțiilor și sectoarele industriale conexe de la plata contribuției de asigurări sociale de sănătate și de reducere a contribuției asiguratorii în muncă datorate (potrivit OUG nr 114/2018) au avut un impact negativ de 180,9 mi</w:t>
      </w:r>
      <w:r w:rsidR="004546CE" w:rsidRPr="009723DE">
        <w:rPr>
          <w:rFonts w:ascii="Tahoma" w:hAnsi="Tahoma" w:cs="Tahoma"/>
          <w:sz w:val="24"/>
          <w:szCs w:val="24"/>
        </w:rPr>
        <w:t>l</w:t>
      </w:r>
      <w:r w:rsidR="00625493" w:rsidRPr="009723DE">
        <w:rPr>
          <w:rFonts w:ascii="Tahoma" w:hAnsi="Tahoma" w:cs="Tahoma"/>
          <w:sz w:val="24"/>
          <w:szCs w:val="24"/>
        </w:rPr>
        <w:t xml:space="preserve"> lei asupra</w:t>
      </w:r>
      <w:r w:rsidR="00E261B4" w:rsidRPr="009723DE">
        <w:rPr>
          <w:rFonts w:ascii="Tahoma" w:hAnsi="Tahoma" w:cs="Tahoma"/>
          <w:sz w:val="24"/>
          <w:szCs w:val="24"/>
        </w:rPr>
        <w:t xml:space="preserve"> încasărilor </w:t>
      </w:r>
      <w:r w:rsidR="00625493" w:rsidRPr="009723DE">
        <w:rPr>
          <w:rFonts w:ascii="Tahoma" w:hAnsi="Tahoma" w:cs="Tahoma"/>
          <w:sz w:val="24"/>
          <w:szCs w:val="24"/>
        </w:rPr>
        <w:t xml:space="preserve">din contribuții. </w:t>
      </w:r>
      <w:r w:rsidRPr="009723DE">
        <w:rPr>
          <w:rFonts w:ascii="Tahoma" w:hAnsi="Tahoma" w:cs="Tahoma"/>
          <w:sz w:val="24"/>
          <w:szCs w:val="24"/>
        </w:rPr>
        <w:t xml:space="preserve"> </w:t>
      </w:r>
    </w:p>
    <w:p w:rsidR="000D2B64" w:rsidRPr="009723DE" w:rsidRDefault="000D2B64" w:rsidP="0073781B">
      <w:pPr>
        <w:spacing w:after="0" w:line="240" w:lineRule="auto"/>
        <w:jc w:val="center"/>
        <w:rPr>
          <w:rFonts w:ascii="Tahoma" w:hAnsi="Tahoma" w:cs="Tahoma"/>
          <w:sz w:val="24"/>
          <w:szCs w:val="24"/>
        </w:rPr>
      </w:pPr>
    </w:p>
    <w:p w:rsidR="00CF1ED7" w:rsidRPr="009723DE" w:rsidRDefault="00AB7B38" w:rsidP="0073781B">
      <w:pPr>
        <w:spacing w:after="0" w:line="240" w:lineRule="auto"/>
        <w:jc w:val="center"/>
        <w:rPr>
          <w:rFonts w:ascii="Tahoma" w:hAnsi="Tahoma" w:cs="Tahoma"/>
          <w:sz w:val="24"/>
          <w:szCs w:val="24"/>
        </w:rPr>
      </w:pPr>
      <w:r w:rsidRPr="009723DE">
        <w:rPr>
          <w:rFonts w:ascii="Tahoma" w:hAnsi="Tahoma" w:cs="Tahoma"/>
          <w:noProof/>
          <w:sz w:val="24"/>
          <w:szCs w:val="24"/>
          <w:lang w:val="en-US"/>
        </w:rPr>
        <w:lastRenderedPageBreak/>
        <w:drawing>
          <wp:inline distT="0" distB="0" distL="0" distR="0" wp14:anchorId="333028F2">
            <wp:extent cx="5000609" cy="2161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647" cy="2175389"/>
                    </a:xfrm>
                    <a:prstGeom prst="rect">
                      <a:avLst/>
                    </a:prstGeom>
                    <a:noFill/>
                  </pic:spPr>
                </pic:pic>
              </a:graphicData>
            </a:graphic>
          </wp:inline>
        </w:drawing>
      </w:r>
    </w:p>
    <w:p w:rsidR="0073781B" w:rsidRPr="009723DE" w:rsidRDefault="0073781B" w:rsidP="0073781B">
      <w:pPr>
        <w:pStyle w:val="ListParagraph"/>
        <w:spacing w:line="360" w:lineRule="auto"/>
        <w:jc w:val="both"/>
        <w:rPr>
          <w:rFonts w:ascii="Tahoma" w:hAnsi="Tahoma" w:cs="Tahoma"/>
          <w:color w:val="767171" w:themeColor="background2" w:themeShade="80"/>
          <w:sz w:val="20"/>
          <w:szCs w:val="24"/>
        </w:rPr>
      </w:pPr>
      <w:r w:rsidRPr="009723DE">
        <w:rPr>
          <w:rFonts w:ascii="Tahoma" w:hAnsi="Tahoma" w:cs="Tahoma"/>
          <w:color w:val="767171" w:themeColor="background2" w:themeShade="80"/>
          <w:sz w:val="20"/>
          <w:szCs w:val="24"/>
        </w:rPr>
        <w:t>Sursa: MFP, INS, calcule proprii</w:t>
      </w:r>
    </w:p>
    <w:p w:rsidR="00CF1ED7" w:rsidRPr="009723DE" w:rsidRDefault="00CF1ED7" w:rsidP="00CF1ED7">
      <w:pPr>
        <w:pStyle w:val="ListParagraph"/>
        <w:spacing w:line="360" w:lineRule="auto"/>
        <w:jc w:val="center"/>
        <w:rPr>
          <w:rFonts w:ascii="Tahoma" w:hAnsi="Tahoma" w:cs="Tahoma"/>
          <w:b/>
          <w:color w:val="767171" w:themeColor="background2" w:themeShade="80"/>
          <w:szCs w:val="24"/>
        </w:rPr>
      </w:pPr>
      <w:r w:rsidRPr="009723DE">
        <w:rPr>
          <w:rFonts w:ascii="Tahoma" w:hAnsi="Tahoma" w:cs="Tahoma"/>
          <w:b/>
          <w:color w:val="767171" w:themeColor="background2" w:themeShade="80"/>
          <w:szCs w:val="24"/>
        </w:rPr>
        <w:t>Fig.</w:t>
      </w:r>
      <w:r w:rsidR="000D2B64" w:rsidRPr="009723DE">
        <w:rPr>
          <w:rFonts w:ascii="Tahoma" w:hAnsi="Tahoma" w:cs="Tahoma"/>
          <w:b/>
          <w:color w:val="767171" w:themeColor="background2" w:themeShade="80"/>
          <w:szCs w:val="24"/>
        </w:rPr>
        <w:t>2</w:t>
      </w:r>
      <w:r w:rsidR="00D60BC0" w:rsidRPr="009723DE">
        <w:rPr>
          <w:rFonts w:ascii="Tahoma" w:hAnsi="Tahoma" w:cs="Tahoma"/>
          <w:b/>
          <w:color w:val="767171" w:themeColor="background2" w:themeShade="80"/>
          <w:szCs w:val="24"/>
        </w:rPr>
        <w:t xml:space="preserve"> </w:t>
      </w:r>
      <w:r w:rsidRPr="009723DE">
        <w:rPr>
          <w:rFonts w:ascii="Tahoma" w:hAnsi="Tahoma" w:cs="Tahoma"/>
          <w:b/>
          <w:color w:val="767171" w:themeColor="background2" w:themeShade="80"/>
          <w:szCs w:val="24"/>
        </w:rPr>
        <w:t>Contribuții de asigurări</w:t>
      </w:r>
    </w:p>
    <w:p w:rsidR="00AB7B38" w:rsidRPr="009723DE" w:rsidRDefault="00AB7B38" w:rsidP="00AB7B38">
      <w:pPr>
        <w:spacing w:after="120" w:line="360" w:lineRule="auto"/>
        <w:jc w:val="both"/>
        <w:rPr>
          <w:rFonts w:ascii="Tahoma" w:hAnsi="Tahoma" w:cs="Tahoma"/>
          <w:sz w:val="24"/>
          <w:szCs w:val="24"/>
        </w:rPr>
      </w:pPr>
    </w:p>
    <w:p w:rsidR="00AB7B38" w:rsidRPr="009723DE" w:rsidRDefault="00AB7B38" w:rsidP="00AB7B38">
      <w:pPr>
        <w:spacing w:after="120" w:line="360" w:lineRule="auto"/>
        <w:jc w:val="both"/>
        <w:rPr>
          <w:rFonts w:ascii="Tahoma" w:hAnsi="Tahoma" w:cs="Tahoma"/>
          <w:sz w:val="24"/>
          <w:szCs w:val="24"/>
        </w:rPr>
      </w:pPr>
      <w:r w:rsidRPr="009723DE">
        <w:rPr>
          <w:rFonts w:ascii="Tahoma" w:hAnsi="Tahoma" w:cs="Tahoma"/>
          <w:sz w:val="24"/>
          <w:szCs w:val="24"/>
        </w:rPr>
        <w:t xml:space="preserve">Încasările din </w:t>
      </w:r>
      <w:r w:rsidRPr="009723DE">
        <w:rPr>
          <w:rFonts w:ascii="Tahoma" w:hAnsi="Tahoma" w:cs="Tahoma"/>
          <w:b/>
          <w:i/>
          <w:sz w:val="24"/>
          <w:szCs w:val="24"/>
        </w:rPr>
        <w:t>TVA</w:t>
      </w:r>
      <w:r w:rsidRPr="009723DE">
        <w:rPr>
          <w:rFonts w:ascii="Tahoma" w:hAnsi="Tahoma" w:cs="Tahoma"/>
          <w:sz w:val="24"/>
          <w:szCs w:val="24"/>
        </w:rPr>
        <w:t xml:space="preserve"> au însumat 6,68 mld lei în ianuarie 2020, în scădere cu 4% față cele înregistrate în luna similară a anului 2019. </w:t>
      </w:r>
    </w:p>
    <w:p w:rsidR="00AB7B38" w:rsidRPr="009723DE" w:rsidRDefault="00AB7B38" w:rsidP="00AB7B38">
      <w:pPr>
        <w:spacing w:after="120" w:line="360" w:lineRule="auto"/>
        <w:jc w:val="both"/>
        <w:rPr>
          <w:rFonts w:ascii="Tahoma" w:hAnsi="Tahoma" w:cs="Tahoma"/>
          <w:sz w:val="24"/>
          <w:szCs w:val="24"/>
        </w:rPr>
      </w:pPr>
      <w:r w:rsidRPr="009723DE">
        <w:rPr>
          <w:rFonts w:ascii="Tahoma" w:hAnsi="Tahoma" w:cs="Tahoma"/>
          <w:sz w:val="24"/>
          <w:szCs w:val="24"/>
        </w:rPr>
        <w:t xml:space="preserve">Scăderea încasărilor nete din TVA este explicată de </w:t>
      </w:r>
      <w:r w:rsidR="00AE5117" w:rsidRPr="009723DE">
        <w:rPr>
          <w:rFonts w:ascii="Tahoma" w:hAnsi="Tahoma" w:cs="Tahoma"/>
          <w:sz w:val="24"/>
          <w:szCs w:val="24"/>
        </w:rPr>
        <w:t>majorarea</w:t>
      </w:r>
      <w:r w:rsidRPr="009723DE">
        <w:rPr>
          <w:rFonts w:ascii="Tahoma" w:hAnsi="Tahoma" w:cs="Tahoma"/>
          <w:sz w:val="24"/>
          <w:szCs w:val="24"/>
        </w:rPr>
        <w:t xml:space="preserve"> restituirilor din TVA cu 141% în luna ianuarie față de aceeași lună a anului trecut (respectiv 1,72 mld lei în ian</w:t>
      </w:r>
      <w:r w:rsidR="00AE5117" w:rsidRPr="009723DE">
        <w:rPr>
          <w:rFonts w:ascii="Tahoma" w:hAnsi="Tahoma" w:cs="Tahoma"/>
          <w:sz w:val="24"/>
          <w:szCs w:val="24"/>
        </w:rPr>
        <w:t>uarie</w:t>
      </w:r>
      <w:r w:rsidRPr="009723DE">
        <w:rPr>
          <w:rFonts w:ascii="Tahoma" w:hAnsi="Tahoma" w:cs="Tahoma"/>
          <w:sz w:val="24"/>
          <w:szCs w:val="24"/>
        </w:rPr>
        <w:t xml:space="preserve"> 2020, comparativ cu 0,72 mld lei în ian</w:t>
      </w:r>
      <w:r w:rsidR="00AE5117" w:rsidRPr="009723DE">
        <w:rPr>
          <w:rFonts w:ascii="Tahoma" w:hAnsi="Tahoma" w:cs="Tahoma"/>
          <w:sz w:val="24"/>
          <w:szCs w:val="24"/>
        </w:rPr>
        <w:t>uarie</w:t>
      </w:r>
      <w:r w:rsidRPr="009723DE">
        <w:rPr>
          <w:rFonts w:ascii="Tahoma" w:hAnsi="Tahoma" w:cs="Tahoma"/>
          <w:sz w:val="24"/>
          <w:szCs w:val="24"/>
        </w:rPr>
        <w:t xml:space="preserve"> 2019)</w:t>
      </w:r>
      <w:r w:rsidRPr="009723DE">
        <w:rPr>
          <w:rStyle w:val="FootnoteReference"/>
          <w:rFonts w:ascii="Tahoma" w:hAnsi="Tahoma" w:cs="Tahoma"/>
          <w:sz w:val="24"/>
          <w:szCs w:val="24"/>
        </w:rPr>
        <w:footnoteReference w:id="2"/>
      </w:r>
      <w:r w:rsidRPr="009723DE">
        <w:rPr>
          <w:rFonts w:ascii="Tahoma" w:hAnsi="Tahoma" w:cs="Tahoma"/>
          <w:sz w:val="24"/>
          <w:szCs w:val="24"/>
        </w:rPr>
        <w:t xml:space="preserve">. De altfel, în perioada analizată se constată creșterea cu 11% a veniturilor brute din TVA exclusiv restituiri (înregistrând un nivel record </w:t>
      </w:r>
      <w:r w:rsidR="004071E1">
        <w:rPr>
          <w:rFonts w:ascii="Tahoma" w:hAnsi="Tahoma" w:cs="Tahoma"/>
          <w:sz w:val="24"/>
          <w:szCs w:val="24"/>
        </w:rPr>
        <w:t>istoric</w:t>
      </w:r>
      <w:r w:rsidRPr="009723DE">
        <w:rPr>
          <w:rFonts w:ascii="Tahoma" w:hAnsi="Tahoma" w:cs="Tahoma"/>
          <w:sz w:val="24"/>
          <w:szCs w:val="24"/>
        </w:rPr>
        <w:t xml:space="preserve">, de 8,4 </w:t>
      </w:r>
      <w:r w:rsidR="00FF60CF" w:rsidRPr="009723DE">
        <w:rPr>
          <w:rFonts w:ascii="Tahoma" w:hAnsi="Tahoma" w:cs="Tahoma"/>
          <w:sz w:val="24"/>
          <w:szCs w:val="24"/>
        </w:rPr>
        <w:t>mld</w:t>
      </w:r>
      <w:r w:rsidRPr="009723DE">
        <w:rPr>
          <w:rFonts w:ascii="Tahoma" w:hAnsi="Tahoma" w:cs="Tahoma"/>
          <w:sz w:val="24"/>
          <w:szCs w:val="24"/>
        </w:rPr>
        <w:t xml:space="preserve"> lei), în linie cu dinamica bazei macroeconomice relevante - cifra de afaceri în comerț, servicii și industrie, de 12% (an/an). </w:t>
      </w:r>
    </w:p>
    <w:p w:rsidR="00AB7B38" w:rsidRPr="009723DE" w:rsidRDefault="00AB7B38" w:rsidP="00AB7B38">
      <w:pPr>
        <w:spacing w:after="0" w:line="240" w:lineRule="auto"/>
        <w:jc w:val="center"/>
        <w:rPr>
          <w:rFonts w:ascii="Tahoma" w:hAnsi="Tahoma" w:cs="Tahoma"/>
          <w:sz w:val="24"/>
          <w:szCs w:val="24"/>
        </w:rPr>
      </w:pPr>
    </w:p>
    <w:p w:rsidR="00AB7B38" w:rsidRPr="009723DE" w:rsidRDefault="001D29DC" w:rsidP="00AB7B38">
      <w:pPr>
        <w:spacing w:after="0" w:line="240" w:lineRule="auto"/>
        <w:jc w:val="center"/>
        <w:rPr>
          <w:rFonts w:ascii="Tahoma" w:hAnsi="Tahoma" w:cs="Tahoma"/>
          <w:sz w:val="24"/>
          <w:szCs w:val="24"/>
        </w:rPr>
      </w:pPr>
      <w:r w:rsidRPr="009723DE">
        <w:rPr>
          <w:rFonts w:ascii="Tahoma" w:hAnsi="Tahoma" w:cs="Tahoma"/>
          <w:noProof/>
          <w:sz w:val="24"/>
          <w:szCs w:val="24"/>
          <w:lang w:val="en-US"/>
        </w:rPr>
        <w:lastRenderedPageBreak/>
        <w:drawing>
          <wp:inline distT="0" distB="0" distL="0" distR="0" wp14:anchorId="737D5457">
            <wp:extent cx="4504690" cy="2725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6134" cy="2738924"/>
                    </a:xfrm>
                    <a:prstGeom prst="rect">
                      <a:avLst/>
                    </a:prstGeom>
                    <a:noFill/>
                  </pic:spPr>
                </pic:pic>
              </a:graphicData>
            </a:graphic>
          </wp:inline>
        </w:drawing>
      </w:r>
    </w:p>
    <w:p w:rsidR="00AB7B38" w:rsidRPr="009723DE" w:rsidRDefault="00AB7B38" w:rsidP="00AB7B38">
      <w:pPr>
        <w:pStyle w:val="ListParagraph"/>
        <w:spacing w:line="360" w:lineRule="auto"/>
        <w:jc w:val="both"/>
        <w:rPr>
          <w:rFonts w:ascii="Tahoma" w:hAnsi="Tahoma" w:cs="Tahoma"/>
          <w:color w:val="767171" w:themeColor="background2" w:themeShade="80"/>
          <w:sz w:val="20"/>
          <w:szCs w:val="24"/>
        </w:rPr>
      </w:pPr>
      <w:r w:rsidRPr="009723DE">
        <w:rPr>
          <w:rFonts w:ascii="Tahoma" w:hAnsi="Tahoma" w:cs="Tahoma"/>
          <w:color w:val="767171" w:themeColor="background2" w:themeShade="80"/>
          <w:sz w:val="20"/>
          <w:szCs w:val="24"/>
        </w:rPr>
        <w:t>Sursa: MFP, INS, calcule proprii</w:t>
      </w:r>
    </w:p>
    <w:p w:rsidR="00AB7B38" w:rsidRPr="009723DE" w:rsidRDefault="00AB7B38" w:rsidP="00AB7B38">
      <w:pPr>
        <w:pStyle w:val="ListParagraph"/>
        <w:spacing w:before="240" w:line="360" w:lineRule="auto"/>
        <w:jc w:val="center"/>
        <w:rPr>
          <w:rFonts w:ascii="Tahoma" w:hAnsi="Tahoma" w:cs="Tahoma"/>
          <w:b/>
          <w:color w:val="767171" w:themeColor="background2" w:themeShade="80"/>
          <w:szCs w:val="24"/>
        </w:rPr>
      </w:pPr>
      <w:r w:rsidRPr="009723DE">
        <w:rPr>
          <w:rFonts w:ascii="Tahoma" w:hAnsi="Tahoma" w:cs="Tahoma"/>
          <w:b/>
          <w:color w:val="767171" w:themeColor="background2" w:themeShade="80"/>
          <w:szCs w:val="24"/>
        </w:rPr>
        <w:t xml:space="preserve">Fig.3 Încasările din taxa pe valoarea adăugată </w:t>
      </w:r>
    </w:p>
    <w:p w:rsidR="00C1718B" w:rsidRPr="009723DE" w:rsidRDefault="00C1718B" w:rsidP="00CF1ED7">
      <w:pPr>
        <w:pStyle w:val="ListParagraph"/>
        <w:spacing w:line="360" w:lineRule="auto"/>
        <w:jc w:val="center"/>
        <w:rPr>
          <w:rFonts w:ascii="Tahoma" w:hAnsi="Tahoma" w:cs="Tahoma"/>
          <w:b/>
          <w:color w:val="767171" w:themeColor="background2" w:themeShade="80"/>
          <w:sz w:val="24"/>
          <w:szCs w:val="24"/>
        </w:rPr>
      </w:pPr>
    </w:p>
    <w:p w:rsidR="00B43EF4" w:rsidRPr="009723DE" w:rsidRDefault="00CF1ED7" w:rsidP="00CF1ED7">
      <w:pPr>
        <w:spacing w:after="120" w:line="360" w:lineRule="auto"/>
        <w:jc w:val="both"/>
        <w:rPr>
          <w:rFonts w:ascii="Tahoma" w:hAnsi="Tahoma" w:cs="Tahoma"/>
          <w:sz w:val="24"/>
          <w:szCs w:val="24"/>
        </w:rPr>
      </w:pPr>
      <w:r w:rsidRPr="009723DE">
        <w:rPr>
          <w:rFonts w:ascii="Tahoma" w:hAnsi="Tahoma" w:cs="Tahoma"/>
          <w:sz w:val="24"/>
          <w:szCs w:val="24"/>
        </w:rPr>
        <w:t xml:space="preserve">Veniturile din </w:t>
      </w:r>
      <w:r w:rsidRPr="009723DE">
        <w:rPr>
          <w:rFonts w:ascii="Tahoma" w:hAnsi="Tahoma" w:cs="Tahoma"/>
          <w:b/>
          <w:i/>
          <w:sz w:val="24"/>
          <w:szCs w:val="24"/>
        </w:rPr>
        <w:t>accize</w:t>
      </w:r>
      <w:r w:rsidRPr="009723DE">
        <w:rPr>
          <w:rFonts w:ascii="Tahoma" w:hAnsi="Tahoma" w:cs="Tahoma"/>
          <w:sz w:val="24"/>
          <w:szCs w:val="24"/>
        </w:rPr>
        <w:t xml:space="preserve"> au </w:t>
      </w:r>
      <w:r w:rsidR="00016F63" w:rsidRPr="009723DE">
        <w:rPr>
          <w:rFonts w:ascii="Tahoma" w:hAnsi="Tahoma" w:cs="Tahoma"/>
          <w:sz w:val="24"/>
          <w:szCs w:val="24"/>
        </w:rPr>
        <w:t>însumat</w:t>
      </w:r>
      <w:r w:rsidRPr="009723DE">
        <w:rPr>
          <w:rFonts w:ascii="Tahoma" w:hAnsi="Tahoma" w:cs="Tahoma"/>
          <w:sz w:val="24"/>
          <w:szCs w:val="24"/>
        </w:rPr>
        <w:t xml:space="preserve"> 3</w:t>
      </w:r>
      <w:r w:rsidR="00223065" w:rsidRPr="009723DE">
        <w:rPr>
          <w:rFonts w:ascii="Tahoma" w:hAnsi="Tahoma" w:cs="Tahoma"/>
          <w:sz w:val="24"/>
          <w:szCs w:val="24"/>
        </w:rPr>
        <w:t>,31</w:t>
      </w:r>
      <w:r w:rsidRPr="009723DE">
        <w:rPr>
          <w:rFonts w:ascii="Tahoma" w:hAnsi="Tahoma" w:cs="Tahoma"/>
          <w:sz w:val="24"/>
          <w:szCs w:val="24"/>
        </w:rPr>
        <w:t xml:space="preserve"> mld lei </w:t>
      </w:r>
      <w:r w:rsidR="00F170F2" w:rsidRPr="009723DE">
        <w:rPr>
          <w:rFonts w:ascii="Tahoma" w:hAnsi="Tahoma" w:cs="Tahoma"/>
          <w:sz w:val="24"/>
          <w:szCs w:val="24"/>
        </w:rPr>
        <w:t>î</w:t>
      </w:r>
      <w:r w:rsidRPr="009723DE">
        <w:rPr>
          <w:rFonts w:ascii="Tahoma" w:hAnsi="Tahoma" w:cs="Tahoma"/>
          <w:sz w:val="24"/>
          <w:szCs w:val="24"/>
        </w:rPr>
        <w:t xml:space="preserve">n </w:t>
      </w:r>
      <w:r w:rsidR="00223065" w:rsidRPr="009723DE">
        <w:rPr>
          <w:rFonts w:ascii="Tahoma" w:hAnsi="Tahoma" w:cs="Tahoma"/>
          <w:sz w:val="24"/>
          <w:szCs w:val="24"/>
        </w:rPr>
        <w:t>ianuarie 2020</w:t>
      </w:r>
      <w:r w:rsidRPr="009723DE">
        <w:rPr>
          <w:rFonts w:ascii="Tahoma" w:hAnsi="Tahoma" w:cs="Tahoma"/>
          <w:sz w:val="24"/>
          <w:szCs w:val="24"/>
        </w:rPr>
        <w:t xml:space="preserve">, </w:t>
      </w:r>
      <w:r w:rsidR="00223065" w:rsidRPr="009723DE">
        <w:rPr>
          <w:rFonts w:ascii="Tahoma" w:hAnsi="Tahoma" w:cs="Tahoma"/>
          <w:sz w:val="24"/>
          <w:szCs w:val="24"/>
        </w:rPr>
        <w:t xml:space="preserve">în </w:t>
      </w:r>
      <w:r w:rsidRPr="009723DE">
        <w:rPr>
          <w:rFonts w:ascii="Tahoma" w:hAnsi="Tahoma" w:cs="Tahoma"/>
          <w:sz w:val="24"/>
          <w:szCs w:val="24"/>
        </w:rPr>
        <w:t xml:space="preserve">creștere </w:t>
      </w:r>
      <w:r w:rsidR="00223065" w:rsidRPr="009723DE">
        <w:rPr>
          <w:rFonts w:ascii="Tahoma" w:hAnsi="Tahoma" w:cs="Tahoma"/>
          <w:sz w:val="24"/>
          <w:szCs w:val="24"/>
        </w:rPr>
        <w:t>cu 13,9</w:t>
      </w:r>
      <w:r w:rsidRPr="009723DE">
        <w:rPr>
          <w:rFonts w:ascii="Tahoma" w:hAnsi="Tahoma" w:cs="Tahoma"/>
          <w:sz w:val="24"/>
          <w:szCs w:val="24"/>
        </w:rPr>
        <w:t xml:space="preserve">% față de încasările înregistrate în </w:t>
      </w:r>
      <w:r w:rsidR="00223065" w:rsidRPr="009723DE">
        <w:rPr>
          <w:rFonts w:ascii="Tahoma" w:hAnsi="Tahoma" w:cs="Tahoma"/>
          <w:sz w:val="24"/>
          <w:szCs w:val="24"/>
        </w:rPr>
        <w:t>luna similară a anului trecut</w:t>
      </w:r>
      <w:r w:rsidR="00CD578B" w:rsidRPr="009723DE">
        <w:rPr>
          <w:rFonts w:ascii="Tahoma" w:hAnsi="Tahoma" w:cs="Tahoma"/>
          <w:sz w:val="24"/>
          <w:szCs w:val="24"/>
        </w:rPr>
        <w:t xml:space="preserve">. </w:t>
      </w:r>
      <w:r w:rsidR="00692B95" w:rsidRPr="009723DE">
        <w:rPr>
          <w:rFonts w:ascii="Tahoma" w:hAnsi="Tahoma" w:cs="Tahoma"/>
          <w:sz w:val="24"/>
          <w:szCs w:val="24"/>
        </w:rPr>
        <w:t>Se menține astfel un ritm anual ridicat de creștere a încasărilor</w:t>
      </w:r>
      <w:r w:rsidR="001D29DC" w:rsidRPr="009723DE">
        <w:rPr>
          <w:rFonts w:ascii="Tahoma" w:hAnsi="Tahoma" w:cs="Tahoma"/>
          <w:sz w:val="24"/>
          <w:szCs w:val="24"/>
        </w:rPr>
        <w:t>,</w:t>
      </w:r>
      <w:r w:rsidR="00692B95" w:rsidRPr="009723DE">
        <w:rPr>
          <w:rFonts w:ascii="Tahoma" w:hAnsi="Tahoma" w:cs="Tahoma"/>
          <w:sz w:val="24"/>
          <w:szCs w:val="24"/>
        </w:rPr>
        <w:t xml:space="preserve"> după performanțele înregistrate în no</w:t>
      </w:r>
      <w:r w:rsidR="00FE57E7" w:rsidRPr="009723DE">
        <w:rPr>
          <w:rFonts w:ascii="Tahoma" w:hAnsi="Tahoma" w:cs="Tahoma"/>
          <w:sz w:val="24"/>
          <w:szCs w:val="24"/>
        </w:rPr>
        <w:t>iembrie</w:t>
      </w:r>
      <w:r w:rsidR="00692B95" w:rsidRPr="009723DE">
        <w:rPr>
          <w:rFonts w:ascii="Tahoma" w:hAnsi="Tahoma" w:cs="Tahoma"/>
          <w:sz w:val="24"/>
          <w:szCs w:val="24"/>
        </w:rPr>
        <w:t xml:space="preserve"> și dec</w:t>
      </w:r>
      <w:r w:rsidR="00FE57E7" w:rsidRPr="009723DE">
        <w:rPr>
          <w:rFonts w:ascii="Tahoma" w:hAnsi="Tahoma" w:cs="Tahoma"/>
          <w:sz w:val="24"/>
          <w:szCs w:val="24"/>
        </w:rPr>
        <w:t>embrie 2019 (în medie 16,2%, an/an).</w:t>
      </w:r>
    </w:p>
    <w:p w:rsidR="00625493" w:rsidRPr="009723DE" w:rsidRDefault="00E23BE8" w:rsidP="00625493">
      <w:pPr>
        <w:spacing w:after="120" w:line="360" w:lineRule="auto"/>
        <w:jc w:val="both"/>
        <w:rPr>
          <w:rFonts w:ascii="Tahoma" w:hAnsi="Tahoma" w:cs="Tahoma"/>
          <w:sz w:val="24"/>
          <w:szCs w:val="24"/>
        </w:rPr>
      </w:pPr>
      <w:r w:rsidRPr="009723DE">
        <w:rPr>
          <w:rFonts w:ascii="Tahoma" w:hAnsi="Tahoma" w:cs="Tahoma"/>
          <w:sz w:val="24"/>
          <w:szCs w:val="24"/>
        </w:rPr>
        <w:t>În</w:t>
      </w:r>
      <w:r w:rsidR="00CD578B" w:rsidRPr="009723DE">
        <w:rPr>
          <w:rFonts w:ascii="Tahoma" w:hAnsi="Tahoma" w:cs="Tahoma"/>
          <w:sz w:val="24"/>
          <w:szCs w:val="24"/>
        </w:rPr>
        <w:t xml:space="preserve"> </w:t>
      </w:r>
      <w:r w:rsidRPr="009723DE">
        <w:rPr>
          <w:rFonts w:ascii="Tahoma" w:hAnsi="Tahoma" w:cs="Tahoma"/>
          <w:sz w:val="24"/>
          <w:szCs w:val="24"/>
        </w:rPr>
        <w:t>ianuarie 2020</w:t>
      </w:r>
      <w:r w:rsidR="00CF1ED7" w:rsidRPr="009723DE">
        <w:rPr>
          <w:rFonts w:ascii="Tahoma" w:hAnsi="Tahoma" w:cs="Tahoma"/>
          <w:sz w:val="24"/>
          <w:szCs w:val="24"/>
        </w:rPr>
        <w:t xml:space="preserve"> veniturile din accize pentru produse energetice au crescut cu </w:t>
      </w:r>
      <w:r w:rsidRPr="009723DE">
        <w:rPr>
          <w:rFonts w:ascii="Tahoma" w:hAnsi="Tahoma" w:cs="Tahoma"/>
          <w:sz w:val="24"/>
          <w:szCs w:val="24"/>
        </w:rPr>
        <w:t>9</w:t>
      </w:r>
      <w:r w:rsidR="00CF1ED7" w:rsidRPr="009723DE">
        <w:rPr>
          <w:rFonts w:ascii="Tahoma" w:hAnsi="Tahoma" w:cs="Tahoma"/>
          <w:sz w:val="24"/>
          <w:szCs w:val="24"/>
        </w:rPr>
        <w:t>%</w:t>
      </w:r>
      <w:r w:rsidRPr="009723DE">
        <w:rPr>
          <w:rFonts w:ascii="Tahoma" w:hAnsi="Tahoma" w:cs="Tahoma"/>
          <w:sz w:val="24"/>
          <w:szCs w:val="24"/>
        </w:rPr>
        <w:t xml:space="preserve"> (an/an)</w:t>
      </w:r>
      <w:r w:rsidR="00CF1ED7" w:rsidRPr="009723DE">
        <w:rPr>
          <w:rFonts w:ascii="Tahoma" w:hAnsi="Tahoma" w:cs="Tahoma"/>
          <w:sz w:val="24"/>
          <w:szCs w:val="24"/>
        </w:rPr>
        <w:t xml:space="preserve">, în condițiile </w:t>
      </w:r>
      <w:r w:rsidR="00F5546F" w:rsidRPr="009723DE">
        <w:rPr>
          <w:rFonts w:ascii="Tahoma" w:hAnsi="Tahoma" w:cs="Tahoma"/>
          <w:sz w:val="24"/>
          <w:szCs w:val="24"/>
        </w:rPr>
        <w:t xml:space="preserve">în care </w:t>
      </w:r>
      <w:r w:rsidR="00CF1ED7" w:rsidRPr="009723DE">
        <w:rPr>
          <w:rFonts w:ascii="Tahoma" w:hAnsi="Tahoma" w:cs="Tahoma"/>
          <w:sz w:val="24"/>
          <w:szCs w:val="24"/>
        </w:rPr>
        <w:t>nivel</w:t>
      </w:r>
      <w:r w:rsidR="00964CBD" w:rsidRPr="009723DE">
        <w:rPr>
          <w:rFonts w:ascii="Tahoma" w:hAnsi="Tahoma" w:cs="Tahoma"/>
          <w:sz w:val="24"/>
          <w:szCs w:val="24"/>
        </w:rPr>
        <w:t>ului</w:t>
      </w:r>
      <w:r w:rsidR="00CF1ED7" w:rsidRPr="009723DE">
        <w:rPr>
          <w:rFonts w:ascii="Tahoma" w:hAnsi="Tahoma" w:cs="Tahoma"/>
          <w:sz w:val="24"/>
          <w:szCs w:val="24"/>
        </w:rPr>
        <w:t xml:space="preserve"> accizei pentru carburanți</w:t>
      </w:r>
      <w:r w:rsidR="00F5546F" w:rsidRPr="009723DE">
        <w:rPr>
          <w:rFonts w:ascii="Tahoma" w:hAnsi="Tahoma" w:cs="Tahoma"/>
          <w:sz w:val="24"/>
          <w:szCs w:val="24"/>
        </w:rPr>
        <w:t xml:space="preserve"> a fost diminuat</w:t>
      </w:r>
      <w:r w:rsidR="00CF1ED7" w:rsidRPr="009723DE">
        <w:rPr>
          <w:rFonts w:ascii="Tahoma" w:hAnsi="Tahoma" w:cs="Tahoma"/>
          <w:sz w:val="24"/>
          <w:szCs w:val="24"/>
        </w:rPr>
        <w:t xml:space="preserve"> </w:t>
      </w:r>
      <w:r w:rsidR="00DF5205" w:rsidRPr="009723DE">
        <w:rPr>
          <w:rFonts w:ascii="Tahoma" w:hAnsi="Tahoma" w:cs="Tahoma"/>
          <w:sz w:val="24"/>
          <w:szCs w:val="24"/>
        </w:rPr>
        <w:t>la începutul acestui an</w:t>
      </w:r>
      <w:r w:rsidR="00CF1ED7" w:rsidRPr="009723DE">
        <w:rPr>
          <w:rFonts w:ascii="Tahoma" w:hAnsi="Tahoma" w:cs="Tahoma"/>
          <w:sz w:val="24"/>
          <w:szCs w:val="24"/>
        </w:rPr>
        <w:t xml:space="preserve"> </w:t>
      </w:r>
      <w:r w:rsidR="003C28B1" w:rsidRPr="009723DE">
        <w:rPr>
          <w:rFonts w:ascii="Tahoma" w:hAnsi="Tahoma" w:cs="Tahoma"/>
          <w:sz w:val="24"/>
          <w:szCs w:val="24"/>
        </w:rPr>
        <w:t>cu  13</w:t>
      </w:r>
      <w:r w:rsidR="00CF1ED7" w:rsidRPr="009723DE">
        <w:rPr>
          <w:rFonts w:ascii="Tahoma" w:hAnsi="Tahoma" w:cs="Tahoma"/>
          <w:sz w:val="24"/>
          <w:szCs w:val="24"/>
        </w:rPr>
        <w:t>%</w:t>
      </w:r>
      <w:r w:rsidR="00FE57E7" w:rsidRPr="009723DE">
        <w:rPr>
          <w:rFonts w:ascii="Tahoma" w:hAnsi="Tahoma" w:cs="Tahoma"/>
          <w:sz w:val="24"/>
          <w:szCs w:val="24"/>
        </w:rPr>
        <w:t xml:space="preserve"> </w:t>
      </w:r>
      <w:r w:rsidR="003C28B1" w:rsidRPr="009723DE">
        <w:rPr>
          <w:rFonts w:ascii="Tahoma" w:hAnsi="Tahoma" w:cs="Tahoma"/>
          <w:sz w:val="24"/>
          <w:szCs w:val="24"/>
        </w:rPr>
        <w:t>la benzina fără plumb, respectiv 14,3% la motorină</w:t>
      </w:r>
      <w:r w:rsidR="00E261B4" w:rsidRPr="009723DE">
        <w:rPr>
          <w:rFonts w:ascii="Tahoma" w:hAnsi="Tahoma" w:cs="Tahoma"/>
          <w:sz w:val="24"/>
          <w:szCs w:val="24"/>
        </w:rPr>
        <w:t>.</w:t>
      </w:r>
      <w:r w:rsidR="00625493" w:rsidRPr="009723DE">
        <w:rPr>
          <w:rFonts w:ascii="Tahoma" w:hAnsi="Tahoma" w:cs="Tahoma"/>
          <w:sz w:val="24"/>
          <w:szCs w:val="24"/>
        </w:rPr>
        <w:t xml:space="preserve"> </w:t>
      </w:r>
      <w:r w:rsidR="00241CAA" w:rsidRPr="009723DE">
        <w:rPr>
          <w:rFonts w:ascii="Tahoma" w:hAnsi="Tahoma" w:cs="Tahoma"/>
          <w:sz w:val="24"/>
          <w:szCs w:val="24"/>
        </w:rPr>
        <w:t>Veniturile din a</w:t>
      </w:r>
      <w:r w:rsidR="00CF1ED7" w:rsidRPr="009723DE">
        <w:rPr>
          <w:rFonts w:ascii="Tahoma" w:hAnsi="Tahoma" w:cs="Tahoma"/>
          <w:sz w:val="24"/>
          <w:szCs w:val="24"/>
        </w:rPr>
        <w:t xml:space="preserve">ccizele pentru produsele </w:t>
      </w:r>
      <w:r w:rsidR="00241CAA" w:rsidRPr="009723DE">
        <w:rPr>
          <w:rFonts w:ascii="Tahoma" w:hAnsi="Tahoma" w:cs="Tahoma"/>
          <w:sz w:val="24"/>
          <w:szCs w:val="24"/>
        </w:rPr>
        <w:t xml:space="preserve">din tutun au </w:t>
      </w:r>
      <w:r w:rsidR="00CF1ED7" w:rsidRPr="009723DE">
        <w:rPr>
          <w:rFonts w:ascii="Tahoma" w:hAnsi="Tahoma" w:cs="Tahoma"/>
          <w:sz w:val="24"/>
          <w:szCs w:val="24"/>
        </w:rPr>
        <w:t>înregistr</w:t>
      </w:r>
      <w:r w:rsidR="00241CAA" w:rsidRPr="009723DE">
        <w:rPr>
          <w:rFonts w:ascii="Tahoma" w:hAnsi="Tahoma" w:cs="Tahoma"/>
          <w:sz w:val="24"/>
          <w:szCs w:val="24"/>
        </w:rPr>
        <w:t>at</w:t>
      </w:r>
      <w:r w:rsidR="00CF1ED7" w:rsidRPr="009723DE">
        <w:rPr>
          <w:rFonts w:ascii="Tahoma" w:hAnsi="Tahoma" w:cs="Tahoma"/>
          <w:sz w:val="24"/>
          <w:szCs w:val="24"/>
        </w:rPr>
        <w:t xml:space="preserve"> </w:t>
      </w:r>
      <w:r w:rsidR="00FE57E7" w:rsidRPr="009723DE">
        <w:rPr>
          <w:rFonts w:ascii="Tahoma" w:hAnsi="Tahoma" w:cs="Tahoma"/>
          <w:sz w:val="24"/>
          <w:szCs w:val="24"/>
        </w:rPr>
        <w:t>un avans</w:t>
      </w:r>
      <w:r w:rsidR="00CF1ED7" w:rsidRPr="009723DE">
        <w:rPr>
          <w:rFonts w:ascii="Tahoma" w:hAnsi="Tahoma" w:cs="Tahoma"/>
          <w:sz w:val="24"/>
          <w:szCs w:val="24"/>
        </w:rPr>
        <w:t xml:space="preserve"> de 1</w:t>
      </w:r>
      <w:r w:rsidR="00F5546F" w:rsidRPr="009723DE">
        <w:rPr>
          <w:rFonts w:ascii="Tahoma" w:hAnsi="Tahoma" w:cs="Tahoma"/>
          <w:sz w:val="24"/>
          <w:szCs w:val="24"/>
        </w:rPr>
        <w:t>6</w:t>
      </w:r>
      <w:r w:rsidR="00CF1ED7" w:rsidRPr="009723DE">
        <w:rPr>
          <w:rFonts w:ascii="Tahoma" w:hAnsi="Tahoma" w:cs="Tahoma"/>
          <w:sz w:val="24"/>
          <w:szCs w:val="24"/>
        </w:rPr>
        <w:t>,</w:t>
      </w:r>
      <w:r w:rsidR="00F5546F" w:rsidRPr="009723DE">
        <w:rPr>
          <w:rFonts w:ascii="Tahoma" w:hAnsi="Tahoma" w:cs="Tahoma"/>
          <w:sz w:val="24"/>
          <w:szCs w:val="24"/>
        </w:rPr>
        <w:t>8</w:t>
      </w:r>
      <w:r w:rsidR="00CF1ED7" w:rsidRPr="009723DE">
        <w:rPr>
          <w:rFonts w:ascii="Tahoma" w:hAnsi="Tahoma" w:cs="Tahoma"/>
          <w:sz w:val="24"/>
          <w:szCs w:val="24"/>
        </w:rPr>
        <w:t>%</w:t>
      </w:r>
      <w:r w:rsidR="00F5546F" w:rsidRPr="009723DE">
        <w:rPr>
          <w:rFonts w:ascii="Tahoma" w:hAnsi="Tahoma" w:cs="Tahoma"/>
          <w:sz w:val="24"/>
          <w:szCs w:val="24"/>
        </w:rPr>
        <w:t xml:space="preserve"> (an/an)</w:t>
      </w:r>
      <w:r w:rsidR="00CF1ED7" w:rsidRPr="009723DE">
        <w:rPr>
          <w:rFonts w:ascii="Tahoma" w:hAnsi="Tahoma" w:cs="Tahoma"/>
          <w:sz w:val="24"/>
          <w:szCs w:val="24"/>
        </w:rPr>
        <w:t xml:space="preserve">, </w:t>
      </w:r>
      <w:r w:rsidR="00AE5117" w:rsidRPr="009723DE">
        <w:rPr>
          <w:rFonts w:ascii="Tahoma" w:hAnsi="Tahoma" w:cs="Tahoma"/>
          <w:sz w:val="24"/>
          <w:szCs w:val="24"/>
        </w:rPr>
        <w:t xml:space="preserve">și pe fondul </w:t>
      </w:r>
      <w:r w:rsidR="00CF1ED7" w:rsidRPr="009723DE">
        <w:rPr>
          <w:rFonts w:ascii="Tahoma" w:hAnsi="Tahoma" w:cs="Tahoma"/>
          <w:sz w:val="24"/>
          <w:szCs w:val="24"/>
        </w:rPr>
        <w:t>major</w:t>
      </w:r>
      <w:r w:rsidR="00AE5117" w:rsidRPr="009723DE">
        <w:rPr>
          <w:rFonts w:ascii="Tahoma" w:hAnsi="Tahoma" w:cs="Tahoma"/>
          <w:sz w:val="24"/>
          <w:szCs w:val="24"/>
        </w:rPr>
        <w:t>ării</w:t>
      </w:r>
      <w:r w:rsidR="00CF1ED7" w:rsidRPr="009723DE">
        <w:rPr>
          <w:rFonts w:ascii="Tahoma" w:hAnsi="Tahoma" w:cs="Tahoma"/>
          <w:sz w:val="24"/>
          <w:szCs w:val="24"/>
        </w:rPr>
        <w:t xml:space="preserve"> nivelului accizei la țigarete cu </w:t>
      </w:r>
      <w:r w:rsidR="00AE5117" w:rsidRPr="009723DE">
        <w:rPr>
          <w:rFonts w:ascii="Tahoma" w:hAnsi="Tahoma" w:cs="Tahoma"/>
          <w:sz w:val="24"/>
          <w:szCs w:val="24"/>
        </w:rPr>
        <w:t>4,2</w:t>
      </w:r>
      <w:r w:rsidR="00CF1ED7" w:rsidRPr="009723DE">
        <w:rPr>
          <w:rFonts w:ascii="Tahoma" w:hAnsi="Tahoma" w:cs="Tahoma"/>
          <w:sz w:val="24"/>
          <w:szCs w:val="24"/>
        </w:rPr>
        <w:t>%.</w:t>
      </w:r>
      <w:r w:rsidR="00CF1ED7" w:rsidRPr="009723DE">
        <w:rPr>
          <w:rFonts w:ascii="Tahoma" w:hAnsi="Tahoma" w:cs="Tahoma"/>
          <w:sz w:val="24"/>
          <w:szCs w:val="24"/>
        </w:rPr>
        <w:tab/>
      </w:r>
      <w:r w:rsidR="00AE5117" w:rsidRPr="009723DE">
        <w:rPr>
          <w:rFonts w:ascii="Tahoma" w:hAnsi="Tahoma" w:cs="Tahoma"/>
          <w:sz w:val="24"/>
          <w:szCs w:val="24"/>
        </w:rPr>
        <w:t xml:space="preserve"> </w:t>
      </w:r>
      <w:r w:rsidR="00625493" w:rsidRPr="009723DE">
        <w:rPr>
          <w:rFonts w:ascii="Tahoma" w:hAnsi="Tahoma" w:cs="Tahoma"/>
          <w:sz w:val="24"/>
          <w:szCs w:val="24"/>
        </w:rPr>
        <w:t>Evoluția încasărilor din accize prezintă o volatilitate</w:t>
      </w:r>
      <w:r w:rsidR="00692B95" w:rsidRPr="009723DE">
        <w:rPr>
          <w:rFonts w:ascii="Tahoma" w:hAnsi="Tahoma" w:cs="Tahoma"/>
          <w:sz w:val="24"/>
          <w:szCs w:val="24"/>
        </w:rPr>
        <w:t xml:space="preserve"> lunară</w:t>
      </w:r>
      <w:r w:rsidR="00625493" w:rsidRPr="009723DE">
        <w:rPr>
          <w:rFonts w:ascii="Tahoma" w:hAnsi="Tahoma" w:cs="Tahoma"/>
          <w:sz w:val="24"/>
          <w:szCs w:val="24"/>
        </w:rPr>
        <w:t xml:space="preserve"> mai ridicată,</w:t>
      </w:r>
      <w:r w:rsidR="00FE57E7" w:rsidRPr="009723DE">
        <w:rPr>
          <w:rFonts w:ascii="Tahoma" w:hAnsi="Tahoma" w:cs="Tahoma"/>
          <w:sz w:val="24"/>
          <w:szCs w:val="24"/>
        </w:rPr>
        <w:t xml:space="preserve"> determinată </w:t>
      </w:r>
      <w:r w:rsidR="00625493" w:rsidRPr="009723DE">
        <w:rPr>
          <w:rFonts w:ascii="Tahoma" w:hAnsi="Tahoma" w:cs="Tahoma"/>
          <w:sz w:val="24"/>
          <w:szCs w:val="24"/>
        </w:rPr>
        <w:t xml:space="preserve">atât </w:t>
      </w:r>
      <w:r w:rsidR="00FE57E7" w:rsidRPr="009723DE">
        <w:rPr>
          <w:rFonts w:ascii="Tahoma" w:hAnsi="Tahoma" w:cs="Tahoma"/>
          <w:sz w:val="24"/>
          <w:szCs w:val="24"/>
        </w:rPr>
        <w:t>de</w:t>
      </w:r>
      <w:r w:rsidR="00625493" w:rsidRPr="009723DE">
        <w:rPr>
          <w:rFonts w:ascii="Tahoma" w:hAnsi="Tahoma" w:cs="Tahoma"/>
          <w:sz w:val="24"/>
          <w:szCs w:val="24"/>
        </w:rPr>
        <w:t xml:space="preserve"> politic</w:t>
      </w:r>
      <w:r w:rsidR="00FE57E7" w:rsidRPr="009723DE">
        <w:rPr>
          <w:rFonts w:ascii="Tahoma" w:hAnsi="Tahoma" w:cs="Tahoma"/>
          <w:sz w:val="24"/>
          <w:szCs w:val="24"/>
        </w:rPr>
        <w:t>a</w:t>
      </w:r>
      <w:r w:rsidR="00625493" w:rsidRPr="009723DE">
        <w:rPr>
          <w:rFonts w:ascii="Tahoma" w:hAnsi="Tahoma" w:cs="Tahoma"/>
          <w:sz w:val="24"/>
          <w:szCs w:val="24"/>
        </w:rPr>
        <w:t xml:space="preserve"> operatorilor economici de antrepozitare fiscală a produselor accizabile, cât și </w:t>
      </w:r>
      <w:r w:rsidR="00FE57E7" w:rsidRPr="009723DE">
        <w:rPr>
          <w:rFonts w:ascii="Tahoma" w:hAnsi="Tahoma" w:cs="Tahoma"/>
          <w:sz w:val="24"/>
          <w:szCs w:val="24"/>
        </w:rPr>
        <w:t>de</w:t>
      </w:r>
      <w:r w:rsidR="00625493" w:rsidRPr="009723DE">
        <w:rPr>
          <w:rFonts w:ascii="Tahoma" w:hAnsi="Tahoma" w:cs="Tahoma"/>
          <w:sz w:val="24"/>
          <w:szCs w:val="24"/>
        </w:rPr>
        <w:t xml:space="preserve"> volatilit</w:t>
      </w:r>
      <w:r w:rsidR="00FE57E7" w:rsidRPr="009723DE">
        <w:rPr>
          <w:rFonts w:ascii="Tahoma" w:hAnsi="Tahoma" w:cs="Tahoma"/>
          <w:sz w:val="24"/>
          <w:szCs w:val="24"/>
        </w:rPr>
        <w:t>atea</w:t>
      </w:r>
      <w:r w:rsidR="00625493" w:rsidRPr="009723DE">
        <w:rPr>
          <w:rFonts w:ascii="Tahoma" w:hAnsi="Tahoma" w:cs="Tahoma"/>
          <w:sz w:val="24"/>
          <w:szCs w:val="24"/>
        </w:rPr>
        <w:t xml:space="preserve"> consumului. </w:t>
      </w:r>
    </w:p>
    <w:p w:rsidR="00CF1ED7" w:rsidRPr="009723DE" w:rsidRDefault="00696BE5" w:rsidP="0073781B">
      <w:pPr>
        <w:spacing w:after="0" w:line="240" w:lineRule="auto"/>
        <w:jc w:val="center"/>
        <w:rPr>
          <w:rFonts w:ascii="Tahoma" w:hAnsi="Tahoma" w:cs="Tahoma"/>
          <w:sz w:val="24"/>
          <w:szCs w:val="24"/>
        </w:rPr>
      </w:pPr>
      <w:r w:rsidRPr="009723DE">
        <w:rPr>
          <w:rFonts w:ascii="Tahoma" w:hAnsi="Tahoma" w:cs="Tahoma"/>
          <w:noProof/>
          <w:sz w:val="24"/>
          <w:szCs w:val="24"/>
          <w:lang w:val="en-US"/>
        </w:rPr>
        <w:lastRenderedPageBreak/>
        <w:drawing>
          <wp:inline distT="0" distB="0" distL="0" distR="0" wp14:anchorId="575FFDE9">
            <wp:extent cx="4656763" cy="24099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3581" cy="2434133"/>
                    </a:xfrm>
                    <a:prstGeom prst="rect">
                      <a:avLst/>
                    </a:prstGeom>
                    <a:noFill/>
                  </pic:spPr>
                </pic:pic>
              </a:graphicData>
            </a:graphic>
          </wp:inline>
        </w:drawing>
      </w:r>
    </w:p>
    <w:p w:rsidR="0073781B" w:rsidRPr="009723DE" w:rsidRDefault="0073781B" w:rsidP="0073781B">
      <w:pPr>
        <w:pStyle w:val="ListParagraph"/>
        <w:spacing w:line="360" w:lineRule="auto"/>
        <w:jc w:val="both"/>
        <w:rPr>
          <w:rFonts w:ascii="Tahoma" w:hAnsi="Tahoma" w:cs="Tahoma"/>
          <w:color w:val="767171" w:themeColor="background2" w:themeShade="80"/>
          <w:sz w:val="20"/>
          <w:szCs w:val="24"/>
        </w:rPr>
      </w:pPr>
      <w:r w:rsidRPr="009723DE">
        <w:rPr>
          <w:rFonts w:ascii="Tahoma" w:hAnsi="Tahoma" w:cs="Tahoma"/>
          <w:color w:val="767171" w:themeColor="background2" w:themeShade="80"/>
          <w:sz w:val="20"/>
          <w:szCs w:val="24"/>
        </w:rPr>
        <w:t>Sursa: MFP, INS, calcule proprii</w:t>
      </w:r>
    </w:p>
    <w:p w:rsidR="00CF1ED7" w:rsidRPr="009723DE" w:rsidRDefault="00CF1ED7" w:rsidP="00CF1ED7">
      <w:pPr>
        <w:pStyle w:val="ListParagraph"/>
        <w:spacing w:line="360" w:lineRule="auto"/>
        <w:jc w:val="center"/>
        <w:rPr>
          <w:rFonts w:ascii="Tahoma" w:hAnsi="Tahoma" w:cs="Tahoma"/>
          <w:sz w:val="24"/>
          <w:szCs w:val="24"/>
        </w:rPr>
      </w:pPr>
      <w:r w:rsidRPr="009723DE">
        <w:rPr>
          <w:rFonts w:ascii="Tahoma" w:hAnsi="Tahoma" w:cs="Tahoma"/>
          <w:b/>
          <w:color w:val="767171" w:themeColor="background2" w:themeShade="80"/>
          <w:sz w:val="24"/>
          <w:szCs w:val="24"/>
        </w:rPr>
        <w:t>Fig.</w:t>
      </w:r>
      <w:r w:rsidR="00AB7B38" w:rsidRPr="009723DE">
        <w:rPr>
          <w:rFonts w:ascii="Tahoma" w:hAnsi="Tahoma" w:cs="Tahoma"/>
          <w:b/>
          <w:color w:val="767171" w:themeColor="background2" w:themeShade="80"/>
          <w:sz w:val="24"/>
          <w:szCs w:val="24"/>
        </w:rPr>
        <w:t>4</w:t>
      </w:r>
      <w:r w:rsidR="00D60BC0" w:rsidRPr="009723DE">
        <w:rPr>
          <w:rFonts w:ascii="Tahoma" w:hAnsi="Tahoma" w:cs="Tahoma"/>
          <w:b/>
          <w:color w:val="767171" w:themeColor="background2" w:themeShade="80"/>
          <w:sz w:val="24"/>
          <w:szCs w:val="24"/>
        </w:rPr>
        <w:t xml:space="preserve"> </w:t>
      </w:r>
      <w:r w:rsidRPr="009723DE">
        <w:rPr>
          <w:rFonts w:ascii="Tahoma" w:hAnsi="Tahoma" w:cs="Tahoma"/>
          <w:b/>
          <w:color w:val="767171" w:themeColor="background2" w:themeShade="80"/>
          <w:sz w:val="24"/>
          <w:szCs w:val="24"/>
        </w:rPr>
        <w:t xml:space="preserve">Încasările din accize </w:t>
      </w:r>
    </w:p>
    <w:p w:rsidR="00CF1ED7" w:rsidRPr="009723DE" w:rsidRDefault="00CF1ED7" w:rsidP="009C72B0">
      <w:pPr>
        <w:spacing w:before="240" w:after="120" w:line="360" w:lineRule="auto"/>
        <w:jc w:val="both"/>
        <w:rPr>
          <w:rFonts w:ascii="Tahoma" w:hAnsi="Tahoma" w:cs="Tahoma"/>
          <w:sz w:val="24"/>
          <w:szCs w:val="24"/>
        </w:rPr>
      </w:pPr>
      <w:r w:rsidRPr="009723DE">
        <w:rPr>
          <w:rFonts w:ascii="Tahoma" w:hAnsi="Tahoma" w:cs="Tahoma"/>
          <w:sz w:val="24"/>
          <w:szCs w:val="24"/>
        </w:rPr>
        <w:t xml:space="preserve">Veniturile din </w:t>
      </w:r>
      <w:r w:rsidRPr="009723DE">
        <w:rPr>
          <w:rFonts w:ascii="Tahoma" w:hAnsi="Tahoma" w:cs="Tahoma"/>
          <w:b/>
          <w:i/>
          <w:sz w:val="24"/>
          <w:szCs w:val="24"/>
        </w:rPr>
        <w:t>taxe</w:t>
      </w:r>
      <w:r w:rsidR="00EE4334" w:rsidRPr="009723DE">
        <w:rPr>
          <w:rFonts w:ascii="Tahoma" w:hAnsi="Tahoma" w:cs="Tahoma"/>
          <w:b/>
          <w:i/>
          <w:sz w:val="24"/>
          <w:szCs w:val="24"/>
        </w:rPr>
        <w:t>le</w:t>
      </w:r>
      <w:r w:rsidRPr="009723DE">
        <w:rPr>
          <w:rFonts w:ascii="Tahoma" w:hAnsi="Tahoma" w:cs="Tahoma"/>
          <w:b/>
          <w:i/>
          <w:sz w:val="24"/>
          <w:szCs w:val="24"/>
        </w:rPr>
        <w:t xml:space="preserve"> pe utilizarea bunurilor</w:t>
      </w:r>
      <w:r w:rsidRPr="009723DE">
        <w:rPr>
          <w:rFonts w:ascii="Tahoma" w:hAnsi="Tahoma" w:cs="Tahoma"/>
          <w:sz w:val="24"/>
          <w:szCs w:val="24"/>
        </w:rPr>
        <w:t xml:space="preserve"> au </w:t>
      </w:r>
      <w:r w:rsidR="00217F5C" w:rsidRPr="009723DE">
        <w:rPr>
          <w:rFonts w:ascii="Tahoma" w:hAnsi="Tahoma" w:cs="Tahoma"/>
          <w:sz w:val="24"/>
          <w:szCs w:val="24"/>
        </w:rPr>
        <w:t>însumat 0,</w:t>
      </w:r>
      <w:r w:rsidR="00C80231" w:rsidRPr="009723DE">
        <w:rPr>
          <w:rFonts w:ascii="Tahoma" w:hAnsi="Tahoma" w:cs="Tahoma"/>
          <w:sz w:val="24"/>
          <w:szCs w:val="24"/>
        </w:rPr>
        <w:t>36 mld lei, în creștere cu 25,3% comparativ cu luna ianuarie a anului trecut.</w:t>
      </w:r>
      <w:r w:rsidR="00217F5C" w:rsidRPr="009723DE">
        <w:rPr>
          <w:rFonts w:ascii="Tahoma" w:hAnsi="Tahoma" w:cs="Tahoma"/>
          <w:sz w:val="24"/>
          <w:szCs w:val="24"/>
        </w:rPr>
        <w:t xml:space="preserve"> </w:t>
      </w:r>
      <w:r w:rsidR="009C72B0" w:rsidRPr="009723DE">
        <w:rPr>
          <w:rFonts w:ascii="Tahoma" w:hAnsi="Tahoma" w:cs="Tahoma"/>
          <w:sz w:val="24"/>
          <w:szCs w:val="24"/>
        </w:rPr>
        <w:t>Evoluția acestor încasări este explicată de majorarea cu 47,9% a veniturilor din taxele pe jocurile de noroc.</w:t>
      </w:r>
    </w:p>
    <w:p w:rsidR="009C72B0" w:rsidRPr="009723DE" w:rsidRDefault="00CF1ED7" w:rsidP="009C72B0">
      <w:pPr>
        <w:spacing w:before="240" w:after="120" w:line="360" w:lineRule="auto"/>
        <w:jc w:val="both"/>
        <w:rPr>
          <w:rFonts w:ascii="Tahoma" w:hAnsi="Tahoma" w:cs="Tahoma"/>
          <w:color w:val="2E74B5" w:themeColor="accent1" w:themeShade="BF"/>
          <w:sz w:val="24"/>
          <w:szCs w:val="24"/>
        </w:rPr>
      </w:pPr>
      <w:r w:rsidRPr="009723DE">
        <w:rPr>
          <w:rFonts w:ascii="Tahoma" w:hAnsi="Tahoma" w:cs="Tahoma"/>
          <w:sz w:val="24"/>
          <w:szCs w:val="24"/>
        </w:rPr>
        <w:t xml:space="preserve">Veniturile </w:t>
      </w:r>
      <w:r w:rsidRPr="009723DE">
        <w:rPr>
          <w:rFonts w:ascii="Tahoma" w:hAnsi="Tahoma" w:cs="Tahoma"/>
          <w:b/>
          <w:i/>
          <w:sz w:val="24"/>
          <w:szCs w:val="24"/>
        </w:rPr>
        <w:t>nefiscale</w:t>
      </w:r>
      <w:r w:rsidRPr="009723DE">
        <w:rPr>
          <w:rFonts w:ascii="Tahoma" w:hAnsi="Tahoma" w:cs="Tahoma"/>
          <w:sz w:val="24"/>
          <w:szCs w:val="24"/>
        </w:rPr>
        <w:t xml:space="preserve"> au fost de 2</w:t>
      </w:r>
      <w:r w:rsidR="00C80231" w:rsidRPr="009723DE">
        <w:rPr>
          <w:rFonts w:ascii="Tahoma" w:hAnsi="Tahoma" w:cs="Tahoma"/>
          <w:sz w:val="24"/>
          <w:szCs w:val="24"/>
        </w:rPr>
        <w:t xml:space="preserve">,11 </w:t>
      </w:r>
      <w:r w:rsidRPr="009723DE">
        <w:rPr>
          <w:rFonts w:ascii="Tahoma" w:hAnsi="Tahoma" w:cs="Tahoma"/>
          <w:sz w:val="24"/>
          <w:szCs w:val="24"/>
        </w:rPr>
        <w:t>m</w:t>
      </w:r>
      <w:r w:rsidR="00CC402A" w:rsidRPr="009723DE">
        <w:rPr>
          <w:rFonts w:ascii="Tahoma" w:hAnsi="Tahoma" w:cs="Tahoma"/>
          <w:sz w:val="24"/>
          <w:szCs w:val="24"/>
        </w:rPr>
        <w:t>ld</w:t>
      </w:r>
      <w:r w:rsidRPr="009723DE">
        <w:rPr>
          <w:rFonts w:ascii="Tahoma" w:hAnsi="Tahoma" w:cs="Tahoma"/>
          <w:sz w:val="24"/>
          <w:szCs w:val="24"/>
        </w:rPr>
        <w:t xml:space="preserve"> lei în </w:t>
      </w:r>
      <w:r w:rsidR="00C80231" w:rsidRPr="009723DE">
        <w:rPr>
          <w:rFonts w:ascii="Tahoma" w:hAnsi="Tahoma" w:cs="Tahoma"/>
          <w:sz w:val="24"/>
          <w:szCs w:val="24"/>
        </w:rPr>
        <w:t>ianuarie 2020,</w:t>
      </w:r>
      <w:r w:rsidRPr="009723DE">
        <w:rPr>
          <w:rFonts w:ascii="Tahoma" w:hAnsi="Tahoma" w:cs="Tahoma"/>
          <w:sz w:val="24"/>
          <w:szCs w:val="24"/>
        </w:rPr>
        <w:t xml:space="preserve"> în </w:t>
      </w:r>
      <w:r w:rsidR="00C80231" w:rsidRPr="009723DE">
        <w:rPr>
          <w:rFonts w:ascii="Tahoma" w:hAnsi="Tahoma" w:cs="Tahoma"/>
          <w:sz w:val="24"/>
          <w:szCs w:val="24"/>
        </w:rPr>
        <w:t>creștere cu</w:t>
      </w:r>
      <w:r w:rsidRPr="009723DE">
        <w:rPr>
          <w:rFonts w:ascii="Tahoma" w:hAnsi="Tahoma" w:cs="Tahoma"/>
          <w:sz w:val="24"/>
          <w:szCs w:val="24"/>
        </w:rPr>
        <w:t xml:space="preserve"> </w:t>
      </w:r>
      <w:r w:rsidR="00C80231" w:rsidRPr="009723DE">
        <w:rPr>
          <w:rFonts w:ascii="Tahoma" w:hAnsi="Tahoma" w:cs="Tahoma"/>
          <w:sz w:val="24"/>
          <w:szCs w:val="24"/>
        </w:rPr>
        <w:t>11,6</w:t>
      </w:r>
      <w:r w:rsidRPr="009723DE">
        <w:rPr>
          <w:rFonts w:ascii="Tahoma" w:hAnsi="Tahoma" w:cs="Tahoma"/>
          <w:sz w:val="24"/>
          <w:szCs w:val="24"/>
        </w:rPr>
        <w:t xml:space="preserve">% față de încasările înregistrate în </w:t>
      </w:r>
      <w:r w:rsidR="00C80231" w:rsidRPr="009723DE">
        <w:rPr>
          <w:rFonts w:ascii="Tahoma" w:hAnsi="Tahoma" w:cs="Tahoma"/>
          <w:sz w:val="24"/>
          <w:szCs w:val="24"/>
        </w:rPr>
        <w:t>ianuarie 2019</w:t>
      </w:r>
      <w:r w:rsidRPr="009723DE">
        <w:rPr>
          <w:rFonts w:ascii="Tahoma" w:hAnsi="Tahoma" w:cs="Tahoma"/>
          <w:sz w:val="24"/>
          <w:szCs w:val="24"/>
        </w:rPr>
        <w:t xml:space="preserve">. </w:t>
      </w:r>
      <w:r w:rsidR="00F51834" w:rsidRPr="009723DE">
        <w:rPr>
          <w:rFonts w:ascii="Tahoma" w:hAnsi="Tahoma" w:cs="Tahoma"/>
          <w:sz w:val="24"/>
          <w:szCs w:val="24"/>
        </w:rPr>
        <w:t xml:space="preserve">Dinamica a fost susținută de </w:t>
      </w:r>
      <w:r w:rsidR="009C72B0" w:rsidRPr="009723DE">
        <w:rPr>
          <w:rFonts w:ascii="Tahoma" w:hAnsi="Tahoma" w:cs="Tahoma"/>
          <w:sz w:val="24"/>
          <w:szCs w:val="24"/>
        </w:rPr>
        <w:t xml:space="preserve">evoluția </w:t>
      </w:r>
      <w:r w:rsidR="004546CE" w:rsidRPr="009723DE">
        <w:rPr>
          <w:rFonts w:ascii="Tahoma" w:hAnsi="Tahoma" w:cs="Tahoma"/>
          <w:sz w:val="24"/>
          <w:szCs w:val="24"/>
        </w:rPr>
        <w:t>veniturilor</w:t>
      </w:r>
      <w:r w:rsidR="009C72B0" w:rsidRPr="009723DE">
        <w:rPr>
          <w:rFonts w:ascii="Tahoma" w:hAnsi="Tahoma" w:cs="Tahoma"/>
          <w:sz w:val="24"/>
          <w:szCs w:val="24"/>
        </w:rPr>
        <w:t xml:space="preserve"> din vânzarea certificatelor de emisii de gaze cu efect de ser</w:t>
      </w:r>
      <w:r w:rsidR="004546CE" w:rsidRPr="009723DE">
        <w:rPr>
          <w:rFonts w:ascii="Tahoma" w:hAnsi="Tahoma" w:cs="Tahoma"/>
          <w:sz w:val="24"/>
          <w:szCs w:val="24"/>
        </w:rPr>
        <w:t>ă (în creștere</w:t>
      </w:r>
      <w:r w:rsidR="009C72B0" w:rsidRPr="009723DE">
        <w:rPr>
          <w:rFonts w:ascii="Tahoma" w:hAnsi="Tahoma" w:cs="Tahoma"/>
          <w:sz w:val="24"/>
          <w:szCs w:val="24"/>
        </w:rPr>
        <w:t xml:space="preserve"> cu 113,7% comparativ cu aceeași perioadă a anului precedent) și a veniturilor din dobânzi</w:t>
      </w:r>
      <w:r w:rsidR="004546CE" w:rsidRPr="009723DE">
        <w:rPr>
          <w:rFonts w:ascii="Tahoma" w:hAnsi="Tahoma" w:cs="Tahoma"/>
          <w:sz w:val="24"/>
          <w:szCs w:val="24"/>
        </w:rPr>
        <w:t xml:space="preserve"> (+17,4%)</w:t>
      </w:r>
      <w:r w:rsidR="009C72B0" w:rsidRPr="009723DE">
        <w:rPr>
          <w:rFonts w:ascii="Tahoma" w:hAnsi="Tahoma" w:cs="Tahoma"/>
          <w:sz w:val="24"/>
          <w:szCs w:val="24"/>
        </w:rPr>
        <w:t>.</w:t>
      </w:r>
    </w:p>
    <w:p w:rsidR="009A2E62" w:rsidRPr="009723DE" w:rsidRDefault="00A45C4C" w:rsidP="009C72B0">
      <w:pPr>
        <w:spacing w:before="240" w:after="120" w:line="360" w:lineRule="auto"/>
        <w:jc w:val="both"/>
        <w:rPr>
          <w:rFonts w:ascii="Tahoma" w:hAnsi="Tahoma" w:cs="Tahoma"/>
          <w:sz w:val="24"/>
          <w:szCs w:val="24"/>
        </w:rPr>
      </w:pPr>
      <w:r w:rsidRPr="009723DE">
        <w:rPr>
          <w:rFonts w:ascii="Tahoma" w:hAnsi="Tahoma" w:cs="Tahoma"/>
          <w:b/>
          <w:i/>
          <w:sz w:val="24"/>
          <w:szCs w:val="24"/>
        </w:rPr>
        <w:t>Sumele rambursate de Uniunea Europeană în contul plăților efectuate</w:t>
      </w:r>
      <w:r w:rsidRPr="009723DE">
        <w:rPr>
          <w:rFonts w:ascii="Tahoma" w:hAnsi="Tahoma" w:cs="Tahoma"/>
          <w:sz w:val="24"/>
          <w:szCs w:val="24"/>
        </w:rPr>
        <w:t xml:space="preserve"> și donații au totalizat </w:t>
      </w:r>
      <w:r w:rsidR="00C76E83" w:rsidRPr="009723DE">
        <w:rPr>
          <w:rFonts w:ascii="Tahoma" w:hAnsi="Tahoma" w:cs="Tahoma"/>
          <w:sz w:val="24"/>
          <w:szCs w:val="24"/>
        </w:rPr>
        <w:t>1</w:t>
      </w:r>
      <w:r w:rsidRPr="009723DE">
        <w:rPr>
          <w:rFonts w:ascii="Tahoma" w:hAnsi="Tahoma" w:cs="Tahoma"/>
          <w:sz w:val="24"/>
          <w:szCs w:val="24"/>
        </w:rPr>
        <w:t>,</w:t>
      </w:r>
      <w:r w:rsidR="00FF695E" w:rsidRPr="009723DE">
        <w:rPr>
          <w:rFonts w:ascii="Tahoma" w:hAnsi="Tahoma" w:cs="Tahoma"/>
          <w:sz w:val="24"/>
          <w:szCs w:val="24"/>
        </w:rPr>
        <w:t>11</w:t>
      </w:r>
      <w:r w:rsidRPr="009723DE">
        <w:rPr>
          <w:rFonts w:ascii="Tahoma" w:hAnsi="Tahoma" w:cs="Tahoma"/>
          <w:sz w:val="24"/>
          <w:szCs w:val="24"/>
        </w:rPr>
        <w:t xml:space="preserve"> mld lei </w:t>
      </w:r>
      <w:r w:rsidR="009746E7" w:rsidRPr="009723DE">
        <w:rPr>
          <w:rFonts w:ascii="Tahoma" w:hAnsi="Tahoma" w:cs="Tahoma"/>
          <w:sz w:val="24"/>
          <w:szCs w:val="24"/>
        </w:rPr>
        <w:t>î</w:t>
      </w:r>
      <w:r w:rsidRPr="009723DE">
        <w:rPr>
          <w:rFonts w:ascii="Tahoma" w:hAnsi="Tahoma" w:cs="Tahoma"/>
          <w:sz w:val="24"/>
          <w:szCs w:val="24"/>
        </w:rPr>
        <w:t xml:space="preserve">n </w:t>
      </w:r>
      <w:r w:rsidR="00C76E83" w:rsidRPr="009723DE">
        <w:rPr>
          <w:rFonts w:ascii="Tahoma" w:hAnsi="Tahoma" w:cs="Tahoma"/>
          <w:sz w:val="24"/>
          <w:szCs w:val="24"/>
        </w:rPr>
        <w:t>ianuarie</w:t>
      </w:r>
      <w:r w:rsidR="009746E7" w:rsidRPr="009723DE">
        <w:rPr>
          <w:rFonts w:ascii="Tahoma" w:hAnsi="Tahoma" w:cs="Tahoma"/>
          <w:sz w:val="24"/>
          <w:szCs w:val="24"/>
        </w:rPr>
        <w:t xml:space="preserve"> </w:t>
      </w:r>
      <w:r w:rsidRPr="009723DE">
        <w:rPr>
          <w:rFonts w:ascii="Tahoma" w:hAnsi="Tahoma" w:cs="Tahoma"/>
          <w:sz w:val="24"/>
          <w:szCs w:val="24"/>
        </w:rPr>
        <w:t>20</w:t>
      </w:r>
      <w:r w:rsidR="00C76E83" w:rsidRPr="009723DE">
        <w:rPr>
          <w:rFonts w:ascii="Tahoma" w:hAnsi="Tahoma" w:cs="Tahoma"/>
          <w:sz w:val="24"/>
          <w:szCs w:val="24"/>
        </w:rPr>
        <w:t>20</w:t>
      </w:r>
      <w:r w:rsidRPr="009723DE">
        <w:rPr>
          <w:rFonts w:ascii="Tahoma" w:hAnsi="Tahoma" w:cs="Tahoma"/>
          <w:sz w:val="24"/>
          <w:szCs w:val="24"/>
        </w:rPr>
        <w:t xml:space="preserve">, </w:t>
      </w:r>
      <w:r w:rsidR="00FF695E" w:rsidRPr="009723DE">
        <w:rPr>
          <w:rFonts w:ascii="Tahoma" w:hAnsi="Tahoma" w:cs="Tahoma"/>
          <w:sz w:val="24"/>
          <w:szCs w:val="24"/>
        </w:rPr>
        <w:t>menținându-se ca procent în PIB</w:t>
      </w:r>
      <w:r w:rsidR="00C76E83" w:rsidRPr="009723DE">
        <w:rPr>
          <w:rFonts w:ascii="Tahoma" w:hAnsi="Tahoma" w:cs="Tahoma"/>
          <w:sz w:val="24"/>
          <w:szCs w:val="24"/>
        </w:rPr>
        <w:t xml:space="preserve"> </w:t>
      </w:r>
      <w:r w:rsidR="00FF695E" w:rsidRPr="009723DE">
        <w:rPr>
          <w:rFonts w:ascii="Tahoma" w:hAnsi="Tahoma" w:cs="Tahoma"/>
          <w:sz w:val="24"/>
          <w:szCs w:val="24"/>
        </w:rPr>
        <w:t xml:space="preserve">față de </w:t>
      </w:r>
      <w:r w:rsidR="00C76E83" w:rsidRPr="009723DE">
        <w:rPr>
          <w:rFonts w:ascii="Tahoma" w:hAnsi="Tahoma" w:cs="Tahoma"/>
          <w:sz w:val="24"/>
          <w:szCs w:val="24"/>
        </w:rPr>
        <w:t>ianuarie 2019</w:t>
      </w:r>
      <w:r w:rsidR="00FF695E" w:rsidRPr="009723DE">
        <w:rPr>
          <w:rFonts w:ascii="Tahoma" w:hAnsi="Tahoma" w:cs="Tahoma"/>
          <w:sz w:val="24"/>
          <w:szCs w:val="24"/>
        </w:rPr>
        <w:t>, respectiv 0,1%</w:t>
      </w:r>
      <w:r w:rsidR="00170657" w:rsidRPr="009723DE">
        <w:rPr>
          <w:rFonts w:ascii="Tahoma" w:hAnsi="Tahoma" w:cs="Tahoma"/>
          <w:sz w:val="24"/>
          <w:szCs w:val="24"/>
        </w:rPr>
        <w:t>.</w:t>
      </w:r>
    </w:p>
    <w:p w:rsidR="009A2E62" w:rsidRPr="009723DE" w:rsidRDefault="009A2E62" w:rsidP="009A2E62">
      <w:pPr>
        <w:pStyle w:val="ListParagraph"/>
        <w:numPr>
          <w:ilvl w:val="0"/>
          <w:numId w:val="2"/>
        </w:numPr>
        <w:shd w:val="clear" w:color="auto" w:fill="D9D9D9" w:themeFill="background1" w:themeFillShade="D9"/>
        <w:spacing w:after="120" w:line="360" w:lineRule="auto"/>
        <w:ind w:left="720" w:hanging="1080"/>
        <w:jc w:val="both"/>
        <w:rPr>
          <w:rFonts w:ascii="Tahoma" w:hAnsi="Tahoma" w:cs="Tahoma"/>
          <w:b/>
          <w:caps/>
          <w:color w:val="0070C0"/>
          <w:sz w:val="24"/>
          <w:szCs w:val="34"/>
        </w:rPr>
      </w:pPr>
      <w:r w:rsidRPr="009723DE">
        <w:rPr>
          <w:rFonts w:ascii="Tahoma" w:hAnsi="Tahoma" w:cs="Tahoma"/>
          <w:b/>
          <w:caps/>
          <w:color w:val="0070C0"/>
          <w:sz w:val="24"/>
          <w:szCs w:val="34"/>
        </w:rPr>
        <w:t>CheltuieliLE bugetului general consolidat</w:t>
      </w:r>
    </w:p>
    <w:p w:rsidR="009A2E62" w:rsidRPr="009723DE" w:rsidRDefault="009A2E62" w:rsidP="009A2E62">
      <w:pPr>
        <w:spacing w:after="120" w:line="360" w:lineRule="auto"/>
        <w:jc w:val="both"/>
        <w:rPr>
          <w:rFonts w:ascii="Tahoma" w:hAnsi="Tahoma" w:cs="Tahoma"/>
          <w:sz w:val="2"/>
          <w:szCs w:val="28"/>
        </w:rPr>
      </w:pPr>
    </w:p>
    <w:p w:rsidR="00484DB4" w:rsidRPr="009723DE" w:rsidRDefault="00484DB4" w:rsidP="00484DB4">
      <w:pPr>
        <w:spacing w:after="120" w:line="360" w:lineRule="auto"/>
        <w:jc w:val="both"/>
        <w:rPr>
          <w:rFonts w:ascii="Tahoma" w:hAnsi="Tahoma" w:cs="Tahoma"/>
          <w:sz w:val="2"/>
          <w:szCs w:val="28"/>
        </w:rPr>
      </w:pPr>
    </w:p>
    <w:p w:rsidR="00484DB4" w:rsidRPr="009723DE" w:rsidRDefault="00484DB4" w:rsidP="00484DB4">
      <w:pPr>
        <w:shd w:val="clear" w:color="auto" w:fill="D9D9D9" w:themeFill="background1" w:themeFillShade="D9"/>
        <w:spacing w:after="120" w:line="360" w:lineRule="auto"/>
        <w:jc w:val="both"/>
        <w:rPr>
          <w:rFonts w:ascii="Tahoma" w:hAnsi="Tahoma" w:cs="Tahoma"/>
          <w:sz w:val="24"/>
          <w:szCs w:val="28"/>
        </w:rPr>
      </w:pPr>
      <w:r w:rsidRPr="009723DE">
        <w:rPr>
          <w:rFonts w:ascii="Tahoma" w:hAnsi="Tahoma" w:cs="Tahoma"/>
          <w:sz w:val="24"/>
          <w:szCs w:val="28"/>
        </w:rPr>
        <w:t>Cheltuielile bugetului general consolidat în sumă de 28 mld lei (2,5% din PIB), au crescut în termeni nominali cu 11,6% față de aceeași lună a anului precedent. Cheltuielile au înregistrat o creștere cu 0,</w:t>
      </w:r>
      <w:r w:rsidR="00AF3117" w:rsidRPr="009723DE">
        <w:rPr>
          <w:rFonts w:ascii="Tahoma" w:hAnsi="Tahoma" w:cs="Tahoma"/>
          <w:sz w:val="24"/>
          <w:szCs w:val="28"/>
        </w:rPr>
        <w:t>07</w:t>
      </w:r>
      <w:r w:rsidRPr="009723DE">
        <w:rPr>
          <w:rFonts w:ascii="Tahoma" w:hAnsi="Tahoma" w:cs="Tahoma"/>
          <w:sz w:val="24"/>
          <w:szCs w:val="28"/>
        </w:rPr>
        <w:t xml:space="preserve"> puncte procentuale de la 2,4% din PIB 2019 la 2,5% din PIB în 2020.</w:t>
      </w:r>
    </w:p>
    <w:p w:rsidR="00484DB4" w:rsidRPr="009723DE" w:rsidRDefault="00484DB4" w:rsidP="00484DB4">
      <w:pPr>
        <w:spacing w:line="360" w:lineRule="auto"/>
        <w:ind w:right="-57"/>
        <w:jc w:val="both"/>
        <w:rPr>
          <w:rFonts w:ascii="Tahoma" w:hAnsi="Tahoma" w:cs="Tahoma"/>
          <w:sz w:val="24"/>
          <w:szCs w:val="28"/>
        </w:rPr>
      </w:pPr>
      <w:r w:rsidRPr="009723DE">
        <w:rPr>
          <w:rFonts w:ascii="Tahoma" w:hAnsi="Tahoma" w:cs="Tahoma"/>
          <w:b/>
          <w:i/>
          <w:sz w:val="24"/>
          <w:szCs w:val="28"/>
        </w:rPr>
        <w:t>Cheltuielile de personal</w:t>
      </w:r>
      <w:r w:rsidRPr="009723DE">
        <w:rPr>
          <w:rFonts w:ascii="Tahoma" w:hAnsi="Tahoma" w:cs="Tahoma"/>
          <w:sz w:val="24"/>
          <w:szCs w:val="28"/>
        </w:rPr>
        <w:t xml:space="preserve"> au însumat 8,46 mld lei, în creștere cu 11,9% comparativ cu aceeași perioadă a anului precedent, reflectându-se majorările salariale,</w:t>
      </w:r>
      <w:r w:rsidRPr="009723DE">
        <w:rPr>
          <w:sz w:val="20"/>
        </w:rPr>
        <w:t xml:space="preserve"> </w:t>
      </w:r>
      <w:r w:rsidRPr="009723DE">
        <w:rPr>
          <w:rFonts w:ascii="Tahoma" w:hAnsi="Tahoma" w:cs="Tahoma"/>
          <w:sz w:val="24"/>
          <w:szCs w:val="28"/>
        </w:rPr>
        <w:t xml:space="preserve">indemnizația de hrană </w:t>
      </w:r>
      <w:r w:rsidRPr="009723DE">
        <w:rPr>
          <w:sz w:val="20"/>
        </w:rPr>
        <w:t xml:space="preserve"> </w:t>
      </w:r>
      <w:r w:rsidRPr="009723DE">
        <w:rPr>
          <w:rFonts w:ascii="Tahoma" w:hAnsi="Tahoma" w:cs="Tahoma"/>
          <w:sz w:val="24"/>
          <w:szCs w:val="28"/>
        </w:rPr>
        <w:lastRenderedPageBreak/>
        <w:t xml:space="preserve">aplicate începând cu 1 ianuarie 2019, acordate în temeiul Legii cadru nr. 153/2017 privind salarizarea personalului plătit din fonduri publice. Exprimate ca pondere în PIB, cheltuielile de personal și-au menținut ponderea la nivelul de 0,7%. </w:t>
      </w:r>
    </w:p>
    <w:p w:rsidR="00484DB4" w:rsidRPr="009723DE" w:rsidRDefault="00484DB4" w:rsidP="00484DB4">
      <w:pPr>
        <w:spacing w:after="120" w:line="360" w:lineRule="auto"/>
        <w:jc w:val="both"/>
        <w:rPr>
          <w:rFonts w:ascii="Tahoma" w:hAnsi="Tahoma" w:cs="Tahoma"/>
          <w:color w:val="FF0000"/>
          <w:sz w:val="24"/>
          <w:szCs w:val="28"/>
        </w:rPr>
      </w:pPr>
      <w:r w:rsidRPr="009723DE">
        <w:rPr>
          <w:rFonts w:ascii="Tahoma" w:hAnsi="Tahoma" w:cs="Tahoma"/>
          <w:b/>
          <w:i/>
          <w:sz w:val="24"/>
          <w:szCs w:val="28"/>
        </w:rPr>
        <w:t>Cheltuielile cu bunuri și servicii</w:t>
      </w:r>
      <w:r w:rsidRPr="009723DE">
        <w:rPr>
          <w:rFonts w:ascii="Tahoma" w:hAnsi="Tahoma" w:cs="Tahoma"/>
          <w:sz w:val="24"/>
          <w:szCs w:val="28"/>
        </w:rPr>
        <w:t xml:space="preserve"> au fost 3,23 mld lei, în creștere cu 2,8% față de anul precedent. În cadrul bugetului general consolidat, majorările față de medie se înregistrează la nivelul bugetelor locale, precum și la bugetul asigurărilor sociale de stat pentru plata serviciilor de transmitere și achitare a pensiilor. </w:t>
      </w:r>
    </w:p>
    <w:p w:rsidR="00484DB4" w:rsidRPr="009723DE" w:rsidRDefault="00484DB4" w:rsidP="00484DB4">
      <w:pPr>
        <w:spacing w:before="240" w:line="360" w:lineRule="auto"/>
        <w:contextualSpacing/>
        <w:jc w:val="both"/>
        <w:rPr>
          <w:rFonts w:ascii="Tahoma" w:hAnsi="Tahoma" w:cs="Tahoma"/>
          <w:sz w:val="24"/>
          <w:szCs w:val="28"/>
        </w:rPr>
      </w:pPr>
      <w:r w:rsidRPr="009723DE">
        <w:rPr>
          <w:rFonts w:ascii="Tahoma" w:hAnsi="Tahoma" w:cs="Tahoma"/>
          <w:b/>
          <w:i/>
          <w:sz w:val="24"/>
          <w:szCs w:val="28"/>
        </w:rPr>
        <w:t>Cheltuielile cu asistența socială</w:t>
      </w:r>
      <w:r w:rsidRPr="009723DE">
        <w:rPr>
          <w:rFonts w:ascii="Tahoma" w:hAnsi="Tahoma" w:cs="Tahoma"/>
          <w:sz w:val="24"/>
          <w:szCs w:val="28"/>
        </w:rPr>
        <w:t xml:space="preserve"> au înregistrat 11,87 mld lei în ianuarie 2020 și prezintă o creștere nominală de 15,1% comparativ cu aceeași perioadă a anului precedent. Evoluția cheltuielilor cu asistența socială a fost influențată</w:t>
      </w:r>
      <w:r w:rsidR="002C7C10" w:rsidRPr="009723DE">
        <w:rPr>
          <w:rFonts w:ascii="Tahoma" w:hAnsi="Tahoma" w:cs="Tahoma"/>
          <w:sz w:val="24"/>
          <w:szCs w:val="28"/>
        </w:rPr>
        <w:t>,</w:t>
      </w:r>
      <w:r w:rsidRPr="009723DE">
        <w:rPr>
          <w:rFonts w:ascii="Tahoma" w:hAnsi="Tahoma" w:cs="Tahoma"/>
          <w:sz w:val="24"/>
          <w:szCs w:val="28"/>
        </w:rPr>
        <w:t xml:space="preserve"> în principal</w:t>
      </w:r>
      <w:r w:rsidR="002C7C10" w:rsidRPr="009723DE">
        <w:rPr>
          <w:rFonts w:ascii="Tahoma" w:hAnsi="Tahoma" w:cs="Tahoma"/>
          <w:sz w:val="24"/>
          <w:szCs w:val="28"/>
        </w:rPr>
        <w:t>,</w:t>
      </w:r>
      <w:r w:rsidRPr="009723DE">
        <w:rPr>
          <w:rFonts w:ascii="Tahoma" w:hAnsi="Tahoma" w:cs="Tahoma"/>
          <w:sz w:val="24"/>
          <w:szCs w:val="28"/>
        </w:rPr>
        <w:t xml:space="preserve"> de majorarea punctului de pensie</w:t>
      </w:r>
      <w:r w:rsidR="00FF695E" w:rsidRPr="009723DE">
        <w:rPr>
          <w:rFonts w:ascii="Tahoma" w:hAnsi="Tahoma" w:cs="Tahoma"/>
          <w:sz w:val="24"/>
          <w:szCs w:val="28"/>
        </w:rPr>
        <w:t>, începând cu 1 septembrie 2019,</w:t>
      </w:r>
      <w:r w:rsidRPr="009723DE">
        <w:rPr>
          <w:rFonts w:ascii="Tahoma" w:hAnsi="Tahoma" w:cs="Tahoma"/>
          <w:sz w:val="24"/>
          <w:szCs w:val="28"/>
        </w:rPr>
        <w:t xml:space="preserve"> cu 15%, respectiv de la 1.100 lei la 1.265 lei, a indemnizației sociale pent</w:t>
      </w:r>
      <w:r w:rsidR="00FF695E" w:rsidRPr="009723DE">
        <w:rPr>
          <w:rFonts w:ascii="Tahoma" w:hAnsi="Tahoma" w:cs="Tahoma"/>
          <w:sz w:val="24"/>
          <w:szCs w:val="28"/>
        </w:rPr>
        <w:t>ru pensionari garantată cu 10%,</w:t>
      </w:r>
      <w:r w:rsidRPr="009723DE">
        <w:rPr>
          <w:rFonts w:ascii="Tahoma" w:hAnsi="Tahoma" w:cs="Tahoma"/>
          <w:sz w:val="24"/>
          <w:szCs w:val="28"/>
        </w:rPr>
        <w:t xml:space="preserve"> majorarea alocațiilor pentru copii începând cu 1 mai 2019, precum și devansarea sumei de 1,4 miliarde lei pentru plata a 50% din cheltuielile cu pensiile pentru luna februarie care se distribuie prin Poșta Română.</w:t>
      </w:r>
    </w:p>
    <w:p w:rsidR="00484DB4" w:rsidRPr="009723DE" w:rsidRDefault="00484DB4" w:rsidP="00484DB4">
      <w:pPr>
        <w:spacing w:after="120" w:line="360" w:lineRule="auto"/>
        <w:jc w:val="both"/>
        <w:rPr>
          <w:rFonts w:ascii="Tahoma" w:hAnsi="Tahoma" w:cs="Tahoma"/>
          <w:sz w:val="24"/>
          <w:szCs w:val="28"/>
        </w:rPr>
      </w:pPr>
      <w:r w:rsidRPr="009723DE">
        <w:rPr>
          <w:rFonts w:ascii="Tahoma" w:hAnsi="Tahoma" w:cs="Tahoma"/>
          <w:b/>
          <w:bCs/>
          <w:i/>
          <w:sz w:val="24"/>
          <w:szCs w:val="28"/>
        </w:rPr>
        <w:t xml:space="preserve">Cheltuielile cu alte transferuri </w:t>
      </w:r>
      <w:r w:rsidRPr="009723DE">
        <w:rPr>
          <w:rFonts w:ascii="Tahoma" w:hAnsi="Tahoma" w:cs="Tahoma"/>
          <w:sz w:val="24"/>
          <w:szCs w:val="28"/>
        </w:rPr>
        <w:t>au înregistrat 1,7 mld l</w:t>
      </w:r>
      <w:r w:rsidR="002C7C10" w:rsidRPr="009723DE">
        <w:rPr>
          <w:rFonts w:ascii="Tahoma" w:hAnsi="Tahoma" w:cs="Tahoma"/>
          <w:sz w:val="24"/>
          <w:szCs w:val="28"/>
        </w:rPr>
        <w:t>ei, fiind în creștere cu 21,0</w:t>
      </w:r>
      <w:r w:rsidR="00FF695E" w:rsidRPr="009723DE">
        <w:rPr>
          <w:rFonts w:ascii="Tahoma" w:hAnsi="Tahoma" w:cs="Tahoma"/>
          <w:sz w:val="24"/>
          <w:szCs w:val="28"/>
        </w:rPr>
        <w:t>%</w:t>
      </w:r>
      <w:r w:rsidRPr="009723DE">
        <w:rPr>
          <w:rFonts w:ascii="Tahoma" w:hAnsi="Tahoma" w:cs="Tahoma"/>
          <w:sz w:val="24"/>
          <w:szCs w:val="28"/>
        </w:rPr>
        <w:t xml:space="preserve"> fa</w:t>
      </w:r>
      <w:r w:rsidR="00FF695E" w:rsidRPr="009723DE">
        <w:rPr>
          <w:rFonts w:ascii="Tahoma" w:hAnsi="Tahoma" w:cs="Tahoma"/>
          <w:sz w:val="24"/>
          <w:szCs w:val="28"/>
        </w:rPr>
        <w:t>ț</w:t>
      </w:r>
      <w:r w:rsidRPr="009723DE">
        <w:rPr>
          <w:rFonts w:ascii="Tahoma" w:hAnsi="Tahoma" w:cs="Tahoma"/>
          <w:sz w:val="24"/>
          <w:szCs w:val="28"/>
        </w:rPr>
        <w:t>ă de aceeași perioadă a anului trecut, în principal ca urmare a plății contribuției României la Bugetul U</w:t>
      </w:r>
      <w:r w:rsidR="00FF695E" w:rsidRPr="009723DE">
        <w:rPr>
          <w:rFonts w:ascii="Tahoma" w:hAnsi="Tahoma" w:cs="Tahoma"/>
          <w:sz w:val="24"/>
          <w:szCs w:val="28"/>
        </w:rPr>
        <w:t>niunii Europene, respectiv 1,</w:t>
      </w:r>
      <w:r w:rsidRPr="009723DE">
        <w:rPr>
          <w:rFonts w:ascii="Tahoma" w:hAnsi="Tahoma" w:cs="Tahoma"/>
          <w:sz w:val="24"/>
          <w:szCs w:val="28"/>
        </w:rPr>
        <w:t>5 mld lei în ianuarie 2020 față de 1,2 mld lei în ianuarie 2019.</w:t>
      </w:r>
    </w:p>
    <w:p w:rsidR="00484DB4" w:rsidRPr="009723DE" w:rsidRDefault="00484DB4" w:rsidP="00484DB4">
      <w:pPr>
        <w:spacing w:after="120" w:line="360" w:lineRule="auto"/>
        <w:jc w:val="both"/>
        <w:rPr>
          <w:rFonts w:ascii="Tahoma" w:hAnsi="Tahoma" w:cs="Tahoma"/>
          <w:bCs/>
          <w:sz w:val="24"/>
          <w:szCs w:val="28"/>
        </w:rPr>
      </w:pPr>
      <w:r w:rsidRPr="009723DE">
        <w:rPr>
          <w:rFonts w:ascii="Tahoma" w:hAnsi="Tahoma" w:cs="Tahoma"/>
          <w:b/>
          <w:bCs/>
          <w:i/>
          <w:sz w:val="24"/>
          <w:szCs w:val="28"/>
        </w:rPr>
        <w:t>Alte cheltuieli,</w:t>
      </w:r>
      <w:r w:rsidRPr="009723DE">
        <w:rPr>
          <w:rFonts w:ascii="Tahoma" w:hAnsi="Tahoma" w:cs="Tahoma"/>
          <w:bCs/>
          <w:sz w:val="24"/>
          <w:szCs w:val="28"/>
        </w:rPr>
        <w:t xml:space="preserve"> reprezentând, în principal, sume aferente titlurilor de plată emise de Autoritatea Națională pentru Restituirea Proprietăților, conform legislației în vigoare (0,2 mld. lei), burse pentru elevi și studenți, precum și alte despăgubiri civile, acestea au însumat 0,49 mld lei, majorându-se cu 23% față de ianuarie 2019. </w:t>
      </w:r>
    </w:p>
    <w:p w:rsidR="00095242" w:rsidRPr="009723DE" w:rsidRDefault="00095242" w:rsidP="00095242">
      <w:pPr>
        <w:spacing w:after="120" w:line="360" w:lineRule="auto"/>
        <w:jc w:val="both"/>
        <w:rPr>
          <w:rFonts w:ascii="Tahoma" w:hAnsi="Tahoma" w:cs="Tahoma"/>
          <w:bCs/>
          <w:sz w:val="24"/>
          <w:szCs w:val="28"/>
        </w:rPr>
      </w:pPr>
      <w:r w:rsidRPr="009723DE">
        <w:rPr>
          <w:rFonts w:ascii="Tahoma" w:hAnsi="Tahoma" w:cs="Tahoma"/>
          <w:bCs/>
          <w:sz w:val="24"/>
          <w:szCs w:val="28"/>
        </w:rPr>
        <w:t>Cheltuielile privind proiectele finanțate din fonduri externe nerambursabile (inclusiv subvențiile de la Uniunea Europeană aferente agriculturii) au fost de 1,26 mld lei, cu 2,8% mai mari comparativ cu aceeași perioadă a anului precedent.</w:t>
      </w:r>
    </w:p>
    <w:p w:rsidR="00484DB4" w:rsidRPr="009723DE" w:rsidRDefault="00484DB4" w:rsidP="00484DB4">
      <w:pPr>
        <w:spacing w:after="120" w:line="360" w:lineRule="auto"/>
        <w:jc w:val="both"/>
        <w:rPr>
          <w:rFonts w:ascii="Tahoma" w:hAnsi="Tahoma" w:cs="Tahoma"/>
          <w:sz w:val="24"/>
          <w:szCs w:val="28"/>
        </w:rPr>
      </w:pPr>
      <w:r w:rsidRPr="009723DE">
        <w:rPr>
          <w:rFonts w:ascii="Tahoma" w:hAnsi="Tahoma" w:cs="Tahoma"/>
          <w:b/>
          <w:i/>
          <w:sz w:val="24"/>
          <w:szCs w:val="28"/>
        </w:rPr>
        <w:t>Cheltuielile pentru investiții</w:t>
      </w:r>
      <w:r w:rsidRPr="009723DE">
        <w:rPr>
          <w:rFonts w:ascii="Tahoma" w:hAnsi="Tahoma" w:cs="Tahoma"/>
          <w:sz w:val="24"/>
          <w:szCs w:val="28"/>
        </w:rPr>
        <w:t xml:space="preserve">, care includ cheltuielile de capital, precum și cele aferente programelor de dezvoltare finanțate din surse interne și externe, au </w:t>
      </w:r>
      <w:r w:rsidR="00C86C65">
        <w:rPr>
          <w:rFonts w:ascii="Tahoma" w:hAnsi="Tahoma" w:cs="Tahoma"/>
          <w:sz w:val="24"/>
          <w:szCs w:val="28"/>
        </w:rPr>
        <w:t xml:space="preserve">fost în valoare de </w:t>
      </w:r>
      <w:r w:rsidRPr="009723DE">
        <w:rPr>
          <w:rFonts w:ascii="Tahoma" w:hAnsi="Tahoma" w:cs="Tahoma"/>
          <w:sz w:val="24"/>
          <w:szCs w:val="28"/>
        </w:rPr>
        <w:t>1,</w:t>
      </w:r>
      <w:r w:rsidR="002C7C10" w:rsidRPr="009723DE">
        <w:rPr>
          <w:rFonts w:ascii="Tahoma" w:hAnsi="Tahoma" w:cs="Tahoma"/>
          <w:sz w:val="24"/>
          <w:szCs w:val="28"/>
        </w:rPr>
        <w:t>31</w:t>
      </w:r>
      <w:r w:rsidRPr="009723DE">
        <w:rPr>
          <w:rFonts w:ascii="Tahoma" w:hAnsi="Tahoma" w:cs="Tahoma"/>
          <w:sz w:val="24"/>
          <w:szCs w:val="28"/>
        </w:rPr>
        <w:t xml:space="preserve"> mld. lei, </w:t>
      </w:r>
      <w:r w:rsidR="00C86C65">
        <w:rPr>
          <w:rFonts w:ascii="Tahoma" w:hAnsi="Tahoma" w:cs="Tahoma"/>
          <w:sz w:val="24"/>
          <w:szCs w:val="28"/>
        </w:rPr>
        <w:t xml:space="preserve">fiind de aproape trei ori mai mari </w:t>
      </w:r>
      <w:r w:rsidRPr="009723DE">
        <w:rPr>
          <w:rFonts w:ascii="Tahoma" w:hAnsi="Tahoma" w:cs="Tahoma"/>
          <w:sz w:val="24"/>
          <w:szCs w:val="28"/>
        </w:rPr>
        <w:t xml:space="preserve">față de ianuarie 2019. În cadrul bugetului general </w:t>
      </w:r>
      <w:r w:rsidRPr="009723DE">
        <w:rPr>
          <w:rFonts w:ascii="Tahoma" w:hAnsi="Tahoma" w:cs="Tahoma"/>
          <w:sz w:val="24"/>
          <w:szCs w:val="28"/>
        </w:rPr>
        <w:lastRenderedPageBreak/>
        <w:t>consolidat, majorările apar</w:t>
      </w:r>
      <w:r w:rsidR="00095242" w:rsidRPr="009723DE">
        <w:rPr>
          <w:rFonts w:ascii="Tahoma" w:hAnsi="Tahoma" w:cs="Tahoma"/>
          <w:sz w:val="24"/>
          <w:szCs w:val="28"/>
        </w:rPr>
        <w:t xml:space="preserve"> la</w:t>
      </w:r>
      <w:r w:rsidRPr="009723DE">
        <w:rPr>
          <w:rFonts w:ascii="Tahoma" w:hAnsi="Tahoma" w:cs="Tahoma"/>
          <w:sz w:val="24"/>
          <w:szCs w:val="28"/>
        </w:rPr>
        <w:t xml:space="preserve"> buget</w:t>
      </w:r>
      <w:r w:rsidR="00095242" w:rsidRPr="009723DE">
        <w:rPr>
          <w:rFonts w:ascii="Tahoma" w:hAnsi="Tahoma" w:cs="Tahoma"/>
          <w:sz w:val="24"/>
          <w:szCs w:val="28"/>
        </w:rPr>
        <w:t>ul</w:t>
      </w:r>
      <w:r w:rsidRPr="009723DE">
        <w:rPr>
          <w:rFonts w:ascii="Tahoma" w:hAnsi="Tahoma" w:cs="Tahoma"/>
          <w:sz w:val="24"/>
          <w:szCs w:val="28"/>
        </w:rPr>
        <w:t xml:space="preserve"> de stat</w:t>
      </w:r>
      <w:r w:rsidR="00095242" w:rsidRPr="009723DE">
        <w:rPr>
          <w:rFonts w:ascii="Tahoma" w:hAnsi="Tahoma" w:cs="Tahoma"/>
          <w:sz w:val="24"/>
          <w:szCs w:val="28"/>
        </w:rPr>
        <w:t xml:space="preserve"> și la bugetele locale atât din fonduri naționale, cât și</w:t>
      </w:r>
      <w:r w:rsidRPr="009723DE">
        <w:rPr>
          <w:rFonts w:ascii="Tahoma" w:hAnsi="Tahoma" w:cs="Tahoma"/>
          <w:sz w:val="24"/>
          <w:szCs w:val="28"/>
        </w:rPr>
        <w:t xml:space="preserve"> aferente proiectelor finanțate din fonduri externe nerambursabile.</w:t>
      </w:r>
    </w:p>
    <w:p w:rsidR="00484DB4" w:rsidRPr="009723DE" w:rsidRDefault="00484DB4" w:rsidP="00484DB4">
      <w:pPr>
        <w:autoSpaceDE w:val="0"/>
        <w:autoSpaceDN w:val="0"/>
        <w:adjustRightInd w:val="0"/>
        <w:spacing w:after="0" w:line="240" w:lineRule="auto"/>
        <w:rPr>
          <w:rFonts w:ascii="Helv" w:hAnsi="Helv" w:cs="Helv"/>
          <w:color w:val="000000"/>
          <w:sz w:val="20"/>
          <w:szCs w:val="20"/>
          <w:lang w:val="it-IT"/>
        </w:rPr>
      </w:pPr>
    </w:p>
    <w:p w:rsidR="00484DB4" w:rsidRPr="009723DE" w:rsidRDefault="001D29DC" w:rsidP="00E01455">
      <w:pPr>
        <w:spacing w:after="0" w:line="360" w:lineRule="auto"/>
        <w:jc w:val="center"/>
        <w:rPr>
          <w:rFonts w:ascii="Tahoma" w:hAnsi="Tahoma" w:cs="Tahoma"/>
          <w:sz w:val="2"/>
          <w:szCs w:val="2"/>
        </w:rPr>
      </w:pPr>
      <w:r w:rsidRPr="009723DE">
        <w:rPr>
          <w:rFonts w:ascii="Tahoma" w:hAnsi="Tahoma" w:cs="Tahoma"/>
          <w:noProof/>
          <w:sz w:val="2"/>
          <w:szCs w:val="2"/>
          <w:lang w:val="en-US"/>
        </w:rPr>
        <w:drawing>
          <wp:inline distT="0" distB="0" distL="0" distR="0" wp14:anchorId="403519E8">
            <wp:extent cx="4938257" cy="25798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496" cy="2593079"/>
                    </a:xfrm>
                    <a:prstGeom prst="rect">
                      <a:avLst/>
                    </a:prstGeom>
                    <a:noFill/>
                  </pic:spPr>
                </pic:pic>
              </a:graphicData>
            </a:graphic>
          </wp:inline>
        </w:drawing>
      </w:r>
      <w:r w:rsidR="00484DB4" w:rsidRPr="009723DE">
        <w:rPr>
          <w:rFonts w:ascii="Tahoma" w:hAnsi="Tahoma" w:cs="Tahoma"/>
          <w:sz w:val="2"/>
          <w:szCs w:val="2"/>
        </w:rPr>
        <w:t xml:space="preserve"> </w:t>
      </w:r>
    </w:p>
    <w:p w:rsidR="00484DB4" w:rsidRPr="009723DE" w:rsidRDefault="00484DB4" w:rsidP="00484DB4">
      <w:pPr>
        <w:spacing w:after="120" w:line="360" w:lineRule="auto"/>
        <w:jc w:val="both"/>
        <w:rPr>
          <w:rFonts w:ascii="Tahoma" w:hAnsi="Tahoma" w:cs="Tahoma"/>
          <w:sz w:val="2"/>
          <w:szCs w:val="2"/>
        </w:rPr>
      </w:pPr>
    </w:p>
    <w:p w:rsidR="00E01455" w:rsidRPr="009723DE" w:rsidRDefault="00E01455" w:rsidP="00E01455">
      <w:pPr>
        <w:pStyle w:val="ListParagraph"/>
        <w:spacing w:line="360" w:lineRule="auto"/>
        <w:jc w:val="both"/>
        <w:rPr>
          <w:rFonts w:ascii="Tahoma" w:hAnsi="Tahoma" w:cs="Tahoma"/>
          <w:color w:val="767171" w:themeColor="background2" w:themeShade="80"/>
          <w:sz w:val="20"/>
          <w:szCs w:val="24"/>
        </w:rPr>
      </w:pPr>
      <w:r w:rsidRPr="009723DE">
        <w:rPr>
          <w:rFonts w:ascii="Tahoma" w:hAnsi="Tahoma" w:cs="Tahoma"/>
          <w:color w:val="767171" w:themeColor="background2" w:themeShade="80"/>
          <w:sz w:val="20"/>
          <w:szCs w:val="24"/>
        </w:rPr>
        <w:t xml:space="preserve">           Sursa: MFP</w:t>
      </w:r>
    </w:p>
    <w:p w:rsidR="00484DB4" w:rsidRPr="001D29DC" w:rsidRDefault="00484DB4" w:rsidP="00E01455">
      <w:pPr>
        <w:pStyle w:val="ListParagraph"/>
        <w:spacing w:line="360" w:lineRule="auto"/>
        <w:jc w:val="center"/>
        <w:rPr>
          <w:rFonts w:ascii="Tahoma" w:hAnsi="Tahoma" w:cs="Tahoma"/>
          <w:b/>
          <w:color w:val="767171" w:themeColor="background2" w:themeShade="80"/>
          <w:szCs w:val="28"/>
        </w:rPr>
      </w:pPr>
      <w:r w:rsidRPr="009723DE">
        <w:rPr>
          <w:rFonts w:ascii="Tahoma" w:hAnsi="Tahoma" w:cs="Tahoma"/>
          <w:b/>
          <w:color w:val="767171" w:themeColor="background2" w:themeShade="80"/>
          <w:szCs w:val="28"/>
        </w:rPr>
        <w:t>Fig. 5 Structura cheltuielilor de investiții</w:t>
      </w:r>
    </w:p>
    <w:p w:rsidR="00335354" w:rsidRDefault="00335354">
      <w:pPr>
        <w:rPr>
          <w:rFonts w:ascii="Tahoma" w:hAnsi="Tahoma" w:cs="Tahoma"/>
          <w:sz w:val="24"/>
          <w:szCs w:val="24"/>
        </w:rPr>
      </w:pPr>
    </w:p>
    <w:p w:rsidR="00335354" w:rsidRDefault="00335354" w:rsidP="00CF1ED7">
      <w:pPr>
        <w:spacing w:after="120" w:line="360" w:lineRule="auto"/>
        <w:jc w:val="both"/>
        <w:rPr>
          <w:rFonts w:ascii="Tahoma" w:hAnsi="Tahoma" w:cs="Tahoma"/>
          <w:sz w:val="24"/>
          <w:szCs w:val="24"/>
        </w:rPr>
      </w:pPr>
    </w:p>
    <w:p w:rsidR="00335354" w:rsidRDefault="00335354" w:rsidP="00335354">
      <w:pPr>
        <w:rPr>
          <w:rFonts w:ascii="Tahoma" w:hAnsi="Tahoma" w:cs="Tahoma"/>
          <w:sz w:val="24"/>
          <w:szCs w:val="24"/>
        </w:rPr>
      </w:pPr>
    </w:p>
    <w:p w:rsidR="00484DB4" w:rsidRDefault="00335354" w:rsidP="00335354">
      <w:pPr>
        <w:tabs>
          <w:tab w:val="left" w:pos="2154"/>
        </w:tabs>
        <w:rPr>
          <w:rFonts w:ascii="Tahoma" w:hAnsi="Tahoma" w:cs="Tahoma"/>
          <w:sz w:val="24"/>
          <w:szCs w:val="24"/>
        </w:rPr>
      </w:pPr>
      <w:r>
        <w:rPr>
          <w:rFonts w:ascii="Tahoma" w:hAnsi="Tahoma" w:cs="Tahoma"/>
          <w:sz w:val="24"/>
          <w:szCs w:val="24"/>
        </w:rPr>
        <w:tab/>
      </w:r>
    </w:p>
    <w:p w:rsidR="00335354" w:rsidRDefault="00335354" w:rsidP="00335354">
      <w:pPr>
        <w:tabs>
          <w:tab w:val="left" w:pos="2154"/>
        </w:tabs>
        <w:rPr>
          <w:rFonts w:ascii="Tahoma" w:hAnsi="Tahoma" w:cs="Tahoma"/>
          <w:sz w:val="24"/>
          <w:szCs w:val="24"/>
        </w:rPr>
      </w:pPr>
    </w:p>
    <w:p w:rsidR="00335354" w:rsidRDefault="00335354" w:rsidP="00335354">
      <w:pPr>
        <w:tabs>
          <w:tab w:val="left" w:pos="2154"/>
        </w:tabs>
        <w:rPr>
          <w:rFonts w:ascii="Tahoma" w:hAnsi="Tahoma" w:cs="Tahoma"/>
          <w:sz w:val="24"/>
          <w:szCs w:val="24"/>
        </w:rPr>
        <w:sectPr w:rsidR="00335354" w:rsidSect="00526E8B">
          <w:footerReference w:type="default" r:id="rId13"/>
          <w:pgSz w:w="12240" w:h="15840"/>
          <w:pgMar w:top="1170" w:right="1260" w:bottom="1440" w:left="1170" w:header="720" w:footer="720" w:gutter="0"/>
          <w:cols w:space="720"/>
          <w:docGrid w:linePitch="360"/>
        </w:sectPr>
      </w:pPr>
    </w:p>
    <w:p w:rsidR="00335354" w:rsidRDefault="00335354" w:rsidP="00335354">
      <w:pPr>
        <w:tabs>
          <w:tab w:val="left" w:pos="2154"/>
        </w:tabs>
        <w:rPr>
          <w:rFonts w:ascii="Tahoma" w:hAnsi="Tahoma" w:cs="Tahoma"/>
          <w:sz w:val="24"/>
          <w:szCs w:val="24"/>
        </w:rPr>
      </w:pPr>
      <w:r w:rsidRPr="00335354">
        <w:lastRenderedPageBreak/>
        <w:drawing>
          <wp:inline distT="0" distB="0" distL="0" distR="0">
            <wp:extent cx="8401500" cy="576437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8816" cy="5769397"/>
                    </a:xfrm>
                    <a:prstGeom prst="rect">
                      <a:avLst/>
                    </a:prstGeom>
                    <a:noFill/>
                    <a:ln>
                      <a:noFill/>
                    </a:ln>
                  </pic:spPr>
                </pic:pic>
              </a:graphicData>
            </a:graphic>
          </wp:inline>
        </w:drawing>
      </w:r>
    </w:p>
    <w:p w:rsidR="00335354" w:rsidRDefault="00335354" w:rsidP="00335354">
      <w:pPr>
        <w:tabs>
          <w:tab w:val="left" w:pos="2154"/>
        </w:tabs>
        <w:rPr>
          <w:rFonts w:ascii="Tahoma" w:hAnsi="Tahoma" w:cs="Tahoma"/>
          <w:sz w:val="24"/>
          <w:szCs w:val="24"/>
        </w:rPr>
      </w:pPr>
      <w:r w:rsidRPr="00335354">
        <w:lastRenderedPageBreak/>
        <w:drawing>
          <wp:inline distT="0" distB="0" distL="0" distR="0">
            <wp:extent cx="8401847" cy="531083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7742" cy="5314561"/>
                    </a:xfrm>
                    <a:prstGeom prst="rect">
                      <a:avLst/>
                    </a:prstGeom>
                    <a:noFill/>
                    <a:ln>
                      <a:noFill/>
                    </a:ln>
                  </pic:spPr>
                </pic:pic>
              </a:graphicData>
            </a:graphic>
          </wp:inline>
        </w:drawing>
      </w:r>
    </w:p>
    <w:p w:rsidR="00335354" w:rsidRDefault="00335354" w:rsidP="00335354">
      <w:pPr>
        <w:tabs>
          <w:tab w:val="left" w:pos="2154"/>
        </w:tabs>
        <w:rPr>
          <w:rFonts w:ascii="Tahoma" w:hAnsi="Tahoma" w:cs="Tahoma"/>
          <w:sz w:val="24"/>
          <w:szCs w:val="24"/>
        </w:rPr>
      </w:pPr>
    </w:p>
    <w:p w:rsidR="00335354" w:rsidRDefault="00335354" w:rsidP="00335354">
      <w:pPr>
        <w:tabs>
          <w:tab w:val="left" w:pos="2154"/>
        </w:tabs>
        <w:rPr>
          <w:rFonts w:ascii="Tahoma" w:hAnsi="Tahoma" w:cs="Tahoma"/>
          <w:sz w:val="24"/>
          <w:szCs w:val="24"/>
        </w:rPr>
        <w:sectPr w:rsidR="00335354" w:rsidSect="00335354">
          <w:pgSz w:w="15840" w:h="12240" w:orient="landscape"/>
          <w:pgMar w:top="1168" w:right="1168" w:bottom="1259" w:left="1440" w:header="720" w:footer="720" w:gutter="0"/>
          <w:cols w:space="720"/>
          <w:docGrid w:linePitch="360"/>
        </w:sectPr>
      </w:pPr>
    </w:p>
    <w:p w:rsidR="00335354" w:rsidRPr="00335354" w:rsidRDefault="00335354" w:rsidP="00335354">
      <w:pPr>
        <w:tabs>
          <w:tab w:val="left" w:pos="2154"/>
        </w:tabs>
        <w:rPr>
          <w:rFonts w:ascii="Tahoma" w:hAnsi="Tahoma" w:cs="Tahoma"/>
          <w:sz w:val="24"/>
          <w:szCs w:val="24"/>
        </w:rPr>
      </w:pPr>
      <w:bookmarkStart w:id="0" w:name="_GoBack"/>
      <w:r w:rsidRPr="00335354">
        <w:lastRenderedPageBreak/>
        <w:drawing>
          <wp:inline distT="0" distB="0" distL="0" distR="0">
            <wp:extent cx="5244999" cy="81848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2588" cy="8227916"/>
                    </a:xfrm>
                    <a:prstGeom prst="rect">
                      <a:avLst/>
                    </a:prstGeom>
                    <a:noFill/>
                    <a:ln>
                      <a:noFill/>
                    </a:ln>
                  </pic:spPr>
                </pic:pic>
              </a:graphicData>
            </a:graphic>
          </wp:inline>
        </w:drawing>
      </w:r>
      <w:bookmarkEnd w:id="0"/>
    </w:p>
    <w:sectPr w:rsidR="00335354" w:rsidRPr="00335354" w:rsidSect="00526E8B">
      <w:pgSz w:w="12240" w:h="15840"/>
      <w:pgMar w:top="117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7C" w:rsidRDefault="0073637C" w:rsidP="006704C5">
      <w:pPr>
        <w:spacing w:after="0" w:line="240" w:lineRule="auto"/>
      </w:pPr>
      <w:r>
        <w:separator/>
      </w:r>
    </w:p>
  </w:endnote>
  <w:endnote w:type="continuationSeparator" w:id="0">
    <w:p w:rsidR="0073637C" w:rsidRDefault="0073637C"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29"/>
      <w:gridCol w:w="4281"/>
    </w:tblGrid>
    <w:tr w:rsidR="00CA4A92" w:rsidTr="00BD4CA5">
      <w:trPr>
        <w:trHeight w:hRule="exact" w:val="115"/>
        <w:jc w:val="center"/>
      </w:trPr>
      <w:tc>
        <w:tcPr>
          <w:tcW w:w="5529" w:type="dxa"/>
          <w:shd w:val="clear" w:color="auto" w:fill="5B9BD5" w:themeFill="accent1"/>
          <w:tcMar>
            <w:top w:w="0" w:type="dxa"/>
            <w:bottom w:w="0" w:type="dxa"/>
          </w:tcMar>
        </w:tcPr>
        <w:p w:rsidR="00CA4A92" w:rsidRDefault="00CA4A92">
          <w:pPr>
            <w:pStyle w:val="Header"/>
            <w:tabs>
              <w:tab w:val="clear" w:pos="4680"/>
              <w:tab w:val="clear" w:pos="9360"/>
            </w:tabs>
            <w:rPr>
              <w:caps/>
              <w:sz w:val="18"/>
            </w:rPr>
          </w:pPr>
        </w:p>
      </w:tc>
      <w:tc>
        <w:tcPr>
          <w:tcW w:w="4281" w:type="dxa"/>
          <w:shd w:val="clear" w:color="auto" w:fill="5B9BD5" w:themeFill="accent1"/>
          <w:tcMar>
            <w:top w:w="0" w:type="dxa"/>
            <w:bottom w:w="0" w:type="dxa"/>
          </w:tcMar>
        </w:tcPr>
        <w:p w:rsidR="00CA4A92" w:rsidRDefault="00CA4A92">
          <w:pPr>
            <w:pStyle w:val="Header"/>
            <w:tabs>
              <w:tab w:val="clear" w:pos="4680"/>
              <w:tab w:val="clear" w:pos="9360"/>
            </w:tabs>
            <w:jc w:val="right"/>
            <w:rPr>
              <w:caps/>
              <w:sz w:val="18"/>
            </w:rPr>
          </w:pPr>
        </w:p>
      </w:tc>
    </w:tr>
    <w:tr w:rsidR="00CA4A92" w:rsidTr="00BD4CA5">
      <w:trPr>
        <w:jc w:val="center"/>
      </w:trPr>
      <w:sdt>
        <w:sdtPr>
          <w:rPr>
            <w:rFonts w:ascii="Tahoma" w:hAnsi="Tahoma" w:cs="Tahoma"/>
            <w:caps/>
            <w:color w:val="808080" w:themeColor="background1" w:themeShade="80"/>
            <w:sz w:val="18"/>
            <w:szCs w:val="18"/>
          </w:rPr>
          <w:alias w:val="Author"/>
          <w:tag w:val=""/>
          <w:id w:val="1534151868"/>
          <w:placeholder>
            <w:docPart w:val="D84F477074C5474DB153439CBFE5B89B"/>
          </w:placeholder>
          <w:dataBinding w:prefixMappings="xmlns:ns0='http://purl.org/dc/elements/1.1/' xmlns:ns1='http://schemas.openxmlformats.org/package/2006/metadata/core-properties' " w:xpath="/ns1:coreProperties[1]/ns0:creator[1]" w:storeItemID="{6C3C8BC8-F283-45AE-878A-BAB7291924A1}"/>
          <w:text/>
        </w:sdtPr>
        <w:sdtEndPr/>
        <w:sdtContent>
          <w:tc>
            <w:tcPr>
              <w:tcW w:w="5529" w:type="dxa"/>
              <w:shd w:val="clear" w:color="auto" w:fill="auto"/>
              <w:vAlign w:val="center"/>
            </w:tcPr>
            <w:p w:rsidR="00CA4A92" w:rsidRPr="00CA4A92" w:rsidRDefault="00CA4A92" w:rsidP="00CA4A92">
              <w:pPr>
                <w:pStyle w:val="Footer"/>
                <w:tabs>
                  <w:tab w:val="clear" w:pos="4680"/>
                  <w:tab w:val="clear" w:pos="9360"/>
                </w:tabs>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lang w:val="en-US"/>
                </w:rPr>
                <w:t>Executie</w:t>
              </w:r>
              <w:r w:rsidR="00BD4CA5">
                <w:rPr>
                  <w:rFonts w:ascii="Tahoma" w:hAnsi="Tahoma" w:cs="Tahoma"/>
                  <w:caps/>
                  <w:color w:val="808080" w:themeColor="background1" w:themeShade="80"/>
                  <w:sz w:val="18"/>
                  <w:szCs w:val="18"/>
                  <w:lang w:val="en-US"/>
                </w:rPr>
                <w:t xml:space="preserve"> buget general consolidat | ianuarie 2020</w:t>
              </w:r>
            </w:p>
          </w:tc>
        </w:sdtContent>
      </w:sdt>
      <w:tc>
        <w:tcPr>
          <w:tcW w:w="4281" w:type="dxa"/>
          <w:shd w:val="clear" w:color="auto" w:fill="auto"/>
          <w:vAlign w:val="center"/>
        </w:tcPr>
        <w:p w:rsidR="00CA4A92" w:rsidRPr="00CA4A92" w:rsidRDefault="001F36DD">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CA4A92"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3C25D1">
            <w:rPr>
              <w:rFonts w:ascii="Tahoma" w:hAnsi="Tahoma" w:cs="Tahoma"/>
              <w:caps/>
              <w:noProof/>
              <w:color w:val="808080" w:themeColor="background1" w:themeShade="80"/>
              <w:sz w:val="18"/>
              <w:szCs w:val="18"/>
            </w:rPr>
            <w:t>10</w:t>
          </w:r>
          <w:r w:rsidRPr="00CA4A92">
            <w:rPr>
              <w:rFonts w:ascii="Tahoma" w:hAnsi="Tahoma" w:cs="Tahoma"/>
              <w:caps/>
              <w:noProof/>
              <w:color w:val="808080" w:themeColor="background1" w:themeShade="80"/>
              <w:sz w:val="18"/>
              <w:szCs w:val="18"/>
            </w:rPr>
            <w:fldChar w:fldCharType="end"/>
          </w:r>
        </w:p>
      </w:tc>
    </w:tr>
  </w:tbl>
  <w:p w:rsidR="006704C5" w:rsidRDefault="00670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7C" w:rsidRDefault="0073637C" w:rsidP="006704C5">
      <w:pPr>
        <w:spacing w:after="0" w:line="240" w:lineRule="auto"/>
      </w:pPr>
      <w:r>
        <w:separator/>
      </w:r>
    </w:p>
  </w:footnote>
  <w:footnote w:type="continuationSeparator" w:id="0">
    <w:p w:rsidR="0073637C" w:rsidRDefault="0073637C" w:rsidP="006704C5">
      <w:pPr>
        <w:spacing w:after="0" w:line="240" w:lineRule="auto"/>
      </w:pPr>
      <w:r>
        <w:continuationSeparator/>
      </w:r>
    </w:p>
  </w:footnote>
  <w:footnote w:id="1">
    <w:p w:rsidR="00AB7B38" w:rsidRPr="00F30899" w:rsidRDefault="00AB7B38" w:rsidP="00F30899">
      <w:pPr>
        <w:pStyle w:val="FootnoteText"/>
        <w:jc w:val="both"/>
        <w:rPr>
          <w:b/>
        </w:rPr>
      </w:pPr>
      <w:r>
        <w:rPr>
          <w:rStyle w:val="FootnoteReference"/>
        </w:rPr>
        <w:footnoteRef/>
      </w:r>
      <w:r>
        <w:t xml:space="preserve"> </w:t>
      </w:r>
      <w:r w:rsidRPr="00F578E9">
        <w:t>Încasările din ian</w:t>
      </w:r>
      <w:r w:rsidR="00F30899">
        <w:t>uarie</w:t>
      </w:r>
      <w:r w:rsidRPr="00F578E9">
        <w:t xml:space="preserve"> 2019 nu au fost afectate de</w:t>
      </w:r>
      <w:r>
        <w:t xml:space="preserve"> această</w:t>
      </w:r>
      <w:r w:rsidRPr="00F578E9">
        <w:t xml:space="preserve"> scutire, întrucât au fost aferente salariilor din decembrie 2018</w:t>
      </w:r>
      <w:r>
        <w:t>.</w:t>
      </w:r>
      <w:r w:rsidR="00FF60CF">
        <w:t xml:space="preserve"> </w:t>
      </w:r>
      <w:r w:rsidR="00F30899">
        <w:t>În luna decembrie 2019 peste 500 000 de salariați din domeniul construcțiilor au beneficiat de scutirea de la plata impozitului pe venit</w:t>
      </w:r>
      <w:r w:rsidR="00F30899" w:rsidRPr="00F578E9">
        <w:t>.</w:t>
      </w:r>
    </w:p>
  </w:footnote>
  <w:footnote w:id="2">
    <w:p w:rsidR="00AB7B38" w:rsidRDefault="00AB7B38" w:rsidP="00AB7B38">
      <w:pPr>
        <w:pStyle w:val="FootnoteText"/>
        <w:jc w:val="both"/>
      </w:pPr>
      <w:r>
        <w:rPr>
          <w:rStyle w:val="FootnoteReference"/>
        </w:rPr>
        <w:footnoteRef/>
      </w:r>
      <w:r>
        <w:t xml:space="preserve"> </w:t>
      </w:r>
      <w:r w:rsidRPr="009C72B0">
        <w:t xml:space="preserve">Diminuarea este </w:t>
      </w:r>
      <w:r>
        <w:t>explicată într-o anumită măsură și</w:t>
      </w:r>
      <w:r w:rsidRPr="009C72B0">
        <w:t xml:space="preserve"> de extinderea aplicării cotei reduse de TVA de 5% </w:t>
      </w:r>
      <w:r>
        <w:t>(</w:t>
      </w:r>
      <w:r w:rsidRPr="009C72B0">
        <w:t xml:space="preserve">de la </w:t>
      </w:r>
      <w:r>
        <w:t xml:space="preserve">un nivel de </w:t>
      </w:r>
      <w:r w:rsidRPr="009C72B0">
        <w:t>9%</w:t>
      </w:r>
      <w:r>
        <w:t>)</w:t>
      </w:r>
      <w:r w:rsidR="00943E38">
        <w:t xml:space="preserve">, </w:t>
      </w:r>
      <w:r w:rsidR="00943E38" w:rsidRPr="009C72B0">
        <w:t>începând cu 1 ianuarie 2019 (cu influențe pe încasări din luna februarie 2019)</w:t>
      </w:r>
      <w:r w:rsidR="00943E38">
        <w:t>,</w:t>
      </w:r>
      <w:r w:rsidRPr="009C72B0">
        <w:t xml:space="preserve"> pentru serviciile de restaurant și de </w:t>
      </w:r>
      <w:proofErr w:type="spellStart"/>
      <w:r w:rsidRPr="009C72B0">
        <w:t>catering</w:t>
      </w:r>
      <w:proofErr w:type="spellEnd"/>
      <w:r w:rsidRPr="009C72B0">
        <w:t xml:space="preserve">, </w:t>
      </w:r>
      <w:r w:rsidR="00943E38">
        <w:t xml:space="preserve">și pentru </w:t>
      </w:r>
      <w:r w:rsidRPr="009C72B0">
        <w:t>servicii</w:t>
      </w:r>
      <w:r w:rsidR="00943E38">
        <w:t>le</w:t>
      </w:r>
      <w:r w:rsidRPr="009C72B0">
        <w:t xml:space="preserve"> de cazar</w:t>
      </w:r>
      <w:r w:rsidR="00943E38">
        <w:t>e in cadrul sectorului hotelier.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12C3B"/>
    <w:rsid w:val="00016F63"/>
    <w:rsid w:val="00017361"/>
    <w:rsid w:val="00026DEC"/>
    <w:rsid w:val="00032A05"/>
    <w:rsid w:val="00041D0D"/>
    <w:rsid w:val="00052351"/>
    <w:rsid w:val="00056BE3"/>
    <w:rsid w:val="000573AD"/>
    <w:rsid w:val="00062A56"/>
    <w:rsid w:val="0008264F"/>
    <w:rsid w:val="000916B5"/>
    <w:rsid w:val="000942F8"/>
    <w:rsid w:val="000951A2"/>
    <w:rsid w:val="00095242"/>
    <w:rsid w:val="000A25FA"/>
    <w:rsid w:val="000A4203"/>
    <w:rsid w:val="000A62E1"/>
    <w:rsid w:val="000B579B"/>
    <w:rsid w:val="000C30DF"/>
    <w:rsid w:val="000C5478"/>
    <w:rsid w:val="000D2B64"/>
    <w:rsid w:val="000D5417"/>
    <w:rsid w:val="000D653B"/>
    <w:rsid w:val="000F0A63"/>
    <w:rsid w:val="000F10A9"/>
    <w:rsid w:val="000F1E3F"/>
    <w:rsid w:val="000F62DB"/>
    <w:rsid w:val="00107875"/>
    <w:rsid w:val="00122DF5"/>
    <w:rsid w:val="00125818"/>
    <w:rsid w:val="00142FC5"/>
    <w:rsid w:val="00153418"/>
    <w:rsid w:val="00156388"/>
    <w:rsid w:val="00170657"/>
    <w:rsid w:val="001707DC"/>
    <w:rsid w:val="00175AD6"/>
    <w:rsid w:val="0018055E"/>
    <w:rsid w:val="001915F6"/>
    <w:rsid w:val="001A2254"/>
    <w:rsid w:val="001B1E6F"/>
    <w:rsid w:val="001B20A6"/>
    <w:rsid w:val="001B60DA"/>
    <w:rsid w:val="001B70D2"/>
    <w:rsid w:val="001C52B3"/>
    <w:rsid w:val="001D03AF"/>
    <w:rsid w:val="001D06A7"/>
    <w:rsid w:val="001D29DC"/>
    <w:rsid w:val="001D44C7"/>
    <w:rsid w:val="001D65FC"/>
    <w:rsid w:val="001D6927"/>
    <w:rsid w:val="001E4EAE"/>
    <w:rsid w:val="001E6762"/>
    <w:rsid w:val="001F1E8A"/>
    <w:rsid w:val="001F36DD"/>
    <w:rsid w:val="00206989"/>
    <w:rsid w:val="00212F98"/>
    <w:rsid w:val="00214764"/>
    <w:rsid w:val="00217F5C"/>
    <w:rsid w:val="002200B1"/>
    <w:rsid w:val="00220A5A"/>
    <w:rsid w:val="00223065"/>
    <w:rsid w:val="0022634D"/>
    <w:rsid w:val="00231AE5"/>
    <w:rsid w:val="00232E16"/>
    <w:rsid w:val="0023449A"/>
    <w:rsid w:val="00237850"/>
    <w:rsid w:val="00241CAA"/>
    <w:rsid w:val="00253FAE"/>
    <w:rsid w:val="00256949"/>
    <w:rsid w:val="00274B69"/>
    <w:rsid w:val="00274F7D"/>
    <w:rsid w:val="002915B1"/>
    <w:rsid w:val="0029776C"/>
    <w:rsid w:val="002A7F1B"/>
    <w:rsid w:val="002B0F64"/>
    <w:rsid w:val="002B3CC9"/>
    <w:rsid w:val="002C7C10"/>
    <w:rsid w:val="002D4811"/>
    <w:rsid w:val="002E36A6"/>
    <w:rsid w:val="002E7628"/>
    <w:rsid w:val="002F4790"/>
    <w:rsid w:val="00302BA3"/>
    <w:rsid w:val="00311431"/>
    <w:rsid w:val="00313230"/>
    <w:rsid w:val="00335354"/>
    <w:rsid w:val="00353276"/>
    <w:rsid w:val="003565E1"/>
    <w:rsid w:val="00356F6A"/>
    <w:rsid w:val="00360906"/>
    <w:rsid w:val="003773F4"/>
    <w:rsid w:val="003836BC"/>
    <w:rsid w:val="00392457"/>
    <w:rsid w:val="00392E3D"/>
    <w:rsid w:val="0039710E"/>
    <w:rsid w:val="003A6D4C"/>
    <w:rsid w:val="003B44A7"/>
    <w:rsid w:val="003C25D1"/>
    <w:rsid w:val="003C28B1"/>
    <w:rsid w:val="003C663D"/>
    <w:rsid w:val="003F37F1"/>
    <w:rsid w:val="003F4337"/>
    <w:rsid w:val="003F4E84"/>
    <w:rsid w:val="00400409"/>
    <w:rsid w:val="004071E1"/>
    <w:rsid w:val="00407EFE"/>
    <w:rsid w:val="00410E69"/>
    <w:rsid w:val="00414D79"/>
    <w:rsid w:val="00423CAE"/>
    <w:rsid w:val="004320A1"/>
    <w:rsid w:val="00432FF1"/>
    <w:rsid w:val="00434C82"/>
    <w:rsid w:val="00452ACC"/>
    <w:rsid w:val="004546CE"/>
    <w:rsid w:val="0048352B"/>
    <w:rsid w:val="00484DB4"/>
    <w:rsid w:val="0048518E"/>
    <w:rsid w:val="004901E4"/>
    <w:rsid w:val="004A1E84"/>
    <w:rsid w:val="004B7A33"/>
    <w:rsid w:val="004C373B"/>
    <w:rsid w:val="004D1156"/>
    <w:rsid w:val="004D6936"/>
    <w:rsid w:val="004E0E38"/>
    <w:rsid w:val="004E0EDE"/>
    <w:rsid w:val="004E126B"/>
    <w:rsid w:val="004E13C1"/>
    <w:rsid w:val="004E2A7B"/>
    <w:rsid w:val="004E3BAE"/>
    <w:rsid w:val="004F2959"/>
    <w:rsid w:val="0050613A"/>
    <w:rsid w:val="00511104"/>
    <w:rsid w:val="005233AC"/>
    <w:rsid w:val="00526E8B"/>
    <w:rsid w:val="00527A5F"/>
    <w:rsid w:val="005316E8"/>
    <w:rsid w:val="005458DC"/>
    <w:rsid w:val="00547F5F"/>
    <w:rsid w:val="005623F6"/>
    <w:rsid w:val="005656AD"/>
    <w:rsid w:val="00565CBB"/>
    <w:rsid w:val="00571D08"/>
    <w:rsid w:val="00573953"/>
    <w:rsid w:val="00581AF2"/>
    <w:rsid w:val="005842BD"/>
    <w:rsid w:val="0058551F"/>
    <w:rsid w:val="005879EE"/>
    <w:rsid w:val="005922C0"/>
    <w:rsid w:val="005964AB"/>
    <w:rsid w:val="005A2C17"/>
    <w:rsid w:val="005A37CF"/>
    <w:rsid w:val="005A4448"/>
    <w:rsid w:val="005C1DD0"/>
    <w:rsid w:val="005E58C4"/>
    <w:rsid w:val="005F3004"/>
    <w:rsid w:val="00622EAC"/>
    <w:rsid w:val="00623A5E"/>
    <w:rsid w:val="00625493"/>
    <w:rsid w:val="006306E1"/>
    <w:rsid w:val="00667C1C"/>
    <w:rsid w:val="006704C5"/>
    <w:rsid w:val="00671CB8"/>
    <w:rsid w:val="00672393"/>
    <w:rsid w:val="006730CA"/>
    <w:rsid w:val="00682712"/>
    <w:rsid w:val="00682DEE"/>
    <w:rsid w:val="0069273C"/>
    <w:rsid w:val="00692B95"/>
    <w:rsid w:val="00694A9A"/>
    <w:rsid w:val="00696BE5"/>
    <w:rsid w:val="006A012D"/>
    <w:rsid w:val="006A0560"/>
    <w:rsid w:val="006B50AB"/>
    <w:rsid w:val="006C0750"/>
    <w:rsid w:val="006C31A6"/>
    <w:rsid w:val="006C76FA"/>
    <w:rsid w:val="006E2931"/>
    <w:rsid w:val="006E734C"/>
    <w:rsid w:val="006F3F63"/>
    <w:rsid w:val="006F6BF2"/>
    <w:rsid w:val="00703ACE"/>
    <w:rsid w:val="007108BD"/>
    <w:rsid w:val="007121BE"/>
    <w:rsid w:val="00717788"/>
    <w:rsid w:val="00721CAF"/>
    <w:rsid w:val="00734D13"/>
    <w:rsid w:val="0073637C"/>
    <w:rsid w:val="0073781B"/>
    <w:rsid w:val="00740BCB"/>
    <w:rsid w:val="00740FA8"/>
    <w:rsid w:val="00741961"/>
    <w:rsid w:val="00742502"/>
    <w:rsid w:val="00742F88"/>
    <w:rsid w:val="00744377"/>
    <w:rsid w:val="00744E04"/>
    <w:rsid w:val="00746D5E"/>
    <w:rsid w:val="00751BF9"/>
    <w:rsid w:val="007536F7"/>
    <w:rsid w:val="00754831"/>
    <w:rsid w:val="00771F9D"/>
    <w:rsid w:val="00791FEB"/>
    <w:rsid w:val="007A0DDC"/>
    <w:rsid w:val="007A23F1"/>
    <w:rsid w:val="007B4E71"/>
    <w:rsid w:val="007B5527"/>
    <w:rsid w:val="007D381A"/>
    <w:rsid w:val="007D76CC"/>
    <w:rsid w:val="007D782E"/>
    <w:rsid w:val="007E48B7"/>
    <w:rsid w:val="00800AC8"/>
    <w:rsid w:val="00807885"/>
    <w:rsid w:val="008154B0"/>
    <w:rsid w:val="0082174B"/>
    <w:rsid w:val="008343FE"/>
    <w:rsid w:val="00854A05"/>
    <w:rsid w:val="00883977"/>
    <w:rsid w:val="008841E4"/>
    <w:rsid w:val="00886DFA"/>
    <w:rsid w:val="00896686"/>
    <w:rsid w:val="008A2ED1"/>
    <w:rsid w:val="008A3F97"/>
    <w:rsid w:val="008A6AFE"/>
    <w:rsid w:val="008B1FD4"/>
    <w:rsid w:val="008B44CC"/>
    <w:rsid w:val="008D4EFA"/>
    <w:rsid w:val="008D5E65"/>
    <w:rsid w:val="008E2FC1"/>
    <w:rsid w:val="008E39D6"/>
    <w:rsid w:val="008F6106"/>
    <w:rsid w:val="008F735B"/>
    <w:rsid w:val="009008DE"/>
    <w:rsid w:val="0090243B"/>
    <w:rsid w:val="00907645"/>
    <w:rsid w:val="00910F23"/>
    <w:rsid w:val="0092174A"/>
    <w:rsid w:val="009300C7"/>
    <w:rsid w:val="00933946"/>
    <w:rsid w:val="00934745"/>
    <w:rsid w:val="00934D73"/>
    <w:rsid w:val="00936318"/>
    <w:rsid w:val="00936B61"/>
    <w:rsid w:val="00943365"/>
    <w:rsid w:val="00943E38"/>
    <w:rsid w:val="00964866"/>
    <w:rsid w:val="00964CBD"/>
    <w:rsid w:val="009714B3"/>
    <w:rsid w:val="009723DE"/>
    <w:rsid w:val="00973651"/>
    <w:rsid w:val="009746E7"/>
    <w:rsid w:val="009775C3"/>
    <w:rsid w:val="009833EE"/>
    <w:rsid w:val="009A25BD"/>
    <w:rsid w:val="009A2E62"/>
    <w:rsid w:val="009A4D06"/>
    <w:rsid w:val="009A5714"/>
    <w:rsid w:val="009A5F48"/>
    <w:rsid w:val="009B7E76"/>
    <w:rsid w:val="009C2214"/>
    <w:rsid w:val="009C3388"/>
    <w:rsid w:val="009C72B0"/>
    <w:rsid w:val="009E35E8"/>
    <w:rsid w:val="009E4B9C"/>
    <w:rsid w:val="00A02EF0"/>
    <w:rsid w:val="00A15402"/>
    <w:rsid w:val="00A263BF"/>
    <w:rsid w:val="00A44D76"/>
    <w:rsid w:val="00A45580"/>
    <w:rsid w:val="00A45C4C"/>
    <w:rsid w:val="00A46A47"/>
    <w:rsid w:val="00A725CE"/>
    <w:rsid w:val="00A86B38"/>
    <w:rsid w:val="00AA6EE5"/>
    <w:rsid w:val="00AB7B38"/>
    <w:rsid w:val="00AC33D2"/>
    <w:rsid w:val="00AC5273"/>
    <w:rsid w:val="00AD74AC"/>
    <w:rsid w:val="00AE5117"/>
    <w:rsid w:val="00AE54C4"/>
    <w:rsid w:val="00AF3117"/>
    <w:rsid w:val="00AF7AEA"/>
    <w:rsid w:val="00B0181F"/>
    <w:rsid w:val="00B03261"/>
    <w:rsid w:val="00B17760"/>
    <w:rsid w:val="00B25F58"/>
    <w:rsid w:val="00B42D64"/>
    <w:rsid w:val="00B43EF4"/>
    <w:rsid w:val="00B44140"/>
    <w:rsid w:val="00B519D8"/>
    <w:rsid w:val="00B55707"/>
    <w:rsid w:val="00B67AE1"/>
    <w:rsid w:val="00B67E3C"/>
    <w:rsid w:val="00B734CD"/>
    <w:rsid w:val="00B87BDE"/>
    <w:rsid w:val="00B921B0"/>
    <w:rsid w:val="00B92EB8"/>
    <w:rsid w:val="00BA152F"/>
    <w:rsid w:val="00BA17B1"/>
    <w:rsid w:val="00BA47F5"/>
    <w:rsid w:val="00BA63CD"/>
    <w:rsid w:val="00BA66BF"/>
    <w:rsid w:val="00BA7231"/>
    <w:rsid w:val="00BB1057"/>
    <w:rsid w:val="00BD4CA5"/>
    <w:rsid w:val="00BE3856"/>
    <w:rsid w:val="00BE4BB6"/>
    <w:rsid w:val="00BE4FC7"/>
    <w:rsid w:val="00BE5D00"/>
    <w:rsid w:val="00BE7B9B"/>
    <w:rsid w:val="00BF0246"/>
    <w:rsid w:val="00C067B1"/>
    <w:rsid w:val="00C1370B"/>
    <w:rsid w:val="00C16D94"/>
    <w:rsid w:val="00C1718B"/>
    <w:rsid w:val="00C267BD"/>
    <w:rsid w:val="00C361BA"/>
    <w:rsid w:val="00C50AC2"/>
    <w:rsid w:val="00C51147"/>
    <w:rsid w:val="00C56676"/>
    <w:rsid w:val="00C624BA"/>
    <w:rsid w:val="00C7035B"/>
    <w:rsid w:val="00C7250A"/>
    <w:rsid w:val="00C76E83"/>
    <w:rsid w:val="00C80231"/>
    <w:rsid w:val="00C83108"/>
    <w:rsid w:val="00C86C65"/>
    <w:rsid w:val="00C87154"/>
    <w:rsid w:val="00C8723C"/>
    <w:rsid w:val="00C877EE"/>
    <w:rsid w:val="00C90455"/>
    <w:rsid w:val="00C9325A"/>
    <w:rsid w:val="00CA3901"/>
    <w:rsid w:val="00CA4A92"/>
    <w:rsid w:val="00CA50CD"/>
    <w:rsid w:val="00CA79E1"/>
    <w:rsid w:val="00CB5101"/>
    <w:rsid w:val="00CB72EB"/>
    <w:rsid w:val="00CC03AF"/>
    <w:rsid w:val="00CC402A"/>
    <w:rsid w:val="00CC4F2C"/>
    <w:rsid w:val="00CD33CA"/>
    <w:rsid w:val="00CD37CA"/>
    <w:rsid w:val="00CD578B"/>
    <w:rsid w:val="00CE2B39"/>
    <w:rsid w:val="00CE54D7"/>
    <w:rsid w:val="00CE6770"/>
    <w:rsid w:val="00CE721E"/>
    <w:rsid w:val="00CF1ED7"/>
    <w:rsid w:val="00D1037B"/>
    <w:rsid w:val="00D109D6"/>
    <w:rsid w:val="00D2421D"/>
    <w:rsid w:val="00D36298"/>
    <w:rsid w:val="00D374AE"/>
    <w:rsid w:val="00D40303"/>
    <w:rsid w:val="00D506AC"/>
    <w:rsid w:val="00D60BC0"/>
    <w:rsid w:val="00D96816"/>
    <w:rsid w:val="00DA35E4"/>
    <w:rsid w:val="00DD3FBA"/>
    <w:rsid w:val="00DD5C43"/>
    <w:rsid w:val="00DE2EB1"/>
    <w:rsid w:val="00DE5601"/>
    <w:rsid w:val="00DF01F7"/>
    <w:rsid w:val="00DF5205"/>
    <w:rsid w:val="00DF6426"/>
    <w:rsid w:val="00DF707F"/>
    <w:rsid w:val="00E01455"/>
    <w:rsid w:val="00E16164"/>
    <w:rsid w:val="00E21979"/>
    <w:rsid w:val="00E23BE8"/>
    <w:rsid w:val="00E25FC5"/>
    <w:rsid w:val="00E261B4"/>
    <w:rsid w:val="00E42AAB"/>
    <w:rsid w:val="00E56254"/>
    <w:rsid w:val="00E74759"/>
    <w:rsid w:val="00E74A8C"/>
    <w:rsid w:val="00E75196"/>
    <w:rsid w:val="00E82CC6"/>
    <w:rsid w:val="00E87431"/>
    <w:rsid w:val="00E92C88"/>
    <w:rsid w:val="00E94D84"/>
    <w:rsid w:val="00EB0ECB"/>
    <w:rsid w:val="00EB7155"/>
    <w:rsid w:val="00EC3F79"/>
    <w:rsid w:val="00ED2E85"/>
    <w:rsid w:val="00ED3C31"/>
    <w:rsid w:val="00ED6201"/>
    <w:rsid w:val="00EE3559"/>
    <w:rsid w:val="00EE4334"/>
    <w:rsid w:val="00EF2503"/>
    <w:rsid w:val="00EF6134"/>
    <w:rsid w:val="00EF74C2"/>
    <w:rsid w:val="00F072D2"/>
    <w:rsid w:val="00F07738"/>
    <w:rsid w:val="00F14666"/>
    <w:rsid w:val="00F155D7"/>
    <w:rsid w:val="00F156D5"/>
    <w:rsid w:val="00F170F2"/>
    <w:rsid w:val="00F22F81"/>
    <w:rsid w:val="00F263F6"/>
    <w:rsid w:val="00F27AD3"/>
    <w:rsid w:val="00F30899"/>
    <w:rsid w:val="00F405DB"/>
    <w:rsid w:val="00F42E28"/>
    <w:rsid w:val="00F51834"/>
    <w:rsid w:val="00F53291"/>
    <w:rsid w:val="00F5546F"/>
    <w:rsid w:val="00F578E9"/>
    <w:rsid w:val="00F7443E"/>
    <w:rsid w:val="00F859E9"/>
    <w:rsid w:val="00F859F4"/>
    <w:rsid w:val="00F94C90"/>
    <w:rsid w:val="00F972DC"/>
    <w:rsid w:val="00FA10B7"/>
    <w:rsid w:val="00FA11D3"/>
    <w:rsid w:val="00FB6A82"/>
    <w:rsid w:val="00FC0E54"/>
    <w:rsid w:val="00FD1E06"/>
    <w:rsid w:val="00FD1F6D"/>
    <w:rsid w:val="00FE1EA0"/>
    <w:rsid w:val="00FE57E7"/>
    <w:rsid w:val="00FF15AC"/>
    <w:rsid w:val="00FF60CF"/>
    <w:rsid w:val="00FF69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0B75"/>
  <w15:docId w15:val="{7BE34188-2FEB-4854-A2D3-0958BCB9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basedOn w:val="Normal"/>
    <w:link w:val="FootnoteTextChar"/>
    <w:uiPriority w:val="99"/>
    <w:semiHidden/>
    <w:unhideWhenUsed/>
    <w:rsid w:val="00974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6E7"/>
    <w:rPr>
      <w:sz w:val="20"/>
      <w:szCs w:val="20"/>
      <w:lang w:val="ro-RO"/>
    </w:rPr>
  </w:style>
  <w:style w:type="character" w:styleId="FootnoteReference">
    <w:name w:val="footnote reference"/>
    <w:basedOn w:val="DefaultParagraphFont"/>
    <w:uiPriority w:val="99"/>
    <w:semiHidden/>
    <w:unhideWhenUsed/>
    <w:rsid w:val="00974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F477074C5474DB153439CBFE5B89B"/>
        <w:category>
          <w:name w:val="General"/>
          <w:gallery w:val="placeholder"/>
        </w:category>
        <w:types>
          <w:type w:val="bbPlcHdr"/>
        </w:types>
        <w:behaviors>
          <w:behavior w:val="content"/>
        </w:behaviors>
        <w:guid w:val="{436DC4DB-4B98-4828-A2DB-7CEFE3A6E5F7}"/>
      </w:docPartPr>
      <w:docPartBody>
        <w:p w:rsidR="00B20AF3" w:rsidRDefault="007D235C" w:rsidP="007D235C">
          <w:pPr>
            <w:pStyle w:val="D84F477074C5474DB153439CBFE5B8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D235C"/>
    <w:rsid w:val="00003060"/>
    <w:rsid w:val="00016BDE"/>
    <w:rsid w:val="000406A2"/>
    <w:rsid w:val="00046379"/>
    <w:rsid w:val="00126D45"/>
    <w:rsid w:val="00266D62"/>
    <w:rsid w:val="0027247A"/>
    <w:rsid w:val="004E2B15"/>
    <w:rsid w:val="00577EFC"/>
    <w:rsid w:val="005D0CF2"/>
    <w:rsid w:val="00644648"/>
    <w:rsid w:val="006B4261"/>
    <w:rsid w:val="006D26BC"/>
    <w:rsid w:val="006E4CB8"/>
    <w:rsid w:val="00742E48"/>
    <w:rsid w:val="00757288"/>
    <w:rsid w:val="007C272E"/>
    <w:rsid w:val="007D235C"/>
    <w:rsid w:val="00824870"/>
    <w:rsid w:val="00884844"/>
    <w:rsid w:val="008B294D"/>
    <w:rsid w:val="009F6538"/>
    <w:rsid w:val="00AB4049"/>
    <w:rsid w:val="00B20AF3"/>
    <w:rsid w:val="00C2554E"/>
    <w:rsid w:val="00C7242F"/>
    <w:rsid w:val="00C81CF7"/>
    <w:rsid w:val="00D51E4B"/>
    <w:rsid w:val="00D57ECE"/>
    <w:rsid w:val="00DE4240"/>
    <w:rsid w:val="00E1117C"/>
    <w:rsid w:val="00E1791D"/>
    <w:rsid w:val="00E37535"/>
    <w:rsid w:val="00E74945"/>
    <w:rsid w:val="00E82EAA"/>
    <w:rsid w:val="00E9355A"/>
    <w:rsid w:val="00FC570D"/>
    <w:rsid w:val="00FD7A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3FAA469BF41AFB80B15BA8B3BC5C7">
    <w:name w:val="DC53FAA469BF41AFB80B15BA8B3BC5C7"/>
    <w:rsid w:val="007D235C"/>
  </w:style>
  <w:style w:type="paragraph" w:customStyle="1" w:styleId="A63BA8AA347747239C28BBD29DF049A6">
    <w:name w:val="A63BA8AA347747239C28BBD29DF049A6"/>
    <w:rsid w:val="007D235C"/>
  </w:style>
  <w:style w:type="paragraph" w:customStyle="1" w:styleId="EFE17D0A18134B018CED955263547CFF">
    <w:name w:val="EFE17D0A18134B018CED955263547CFF"/>
    <w:rsid w:val="007D235C"/>
  </w:style>
  <w:style w:type="paragraph" w:customStyle="1" w:styleId="9F4ED5013DF44E3199274DF65CB4D04D">
    <w:name w:val="9F4ED5013DF44E3199274DF65CB4D04D"/>
    <w:rsid w:val="007D235C"/>
  </w:style>
  <w:style w:type="paragraph" w:customStyle="1" w:styleId="AE61C2965EC946FA873DC7359A55B5A6">
    <w:name w:val="AE61C2965EC946FA873DC7359A55B5A6"/>
    <w:rsid w:val="007D235C"/>
  </w:style>
  <w:style w:type="character" w:styleId="PlaceholderText">
    <w:name w:val="Placeholder Text"/>
    <w:basedOn w:val="DefaultParagraphFont"/>
    <w:uiPriority w:val="99"/>
    <w:semiHidden/>
    <w:rsid w:val="007D235C"/>
    <w:rPr>
      <w:color w:val="808080"/>
    </w:rPr>
  </w:style>
  <w:style w:type="paragraph" w:customStyle="1" w:styleId="D84F477074C5474DB153439CBFE5B89B">
    <w:name w:val="D84F477074C5474DB153439CBFE5B89B"/>
    <w:rsid w:val="007D2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37F3-A6C0-4FC8-B6F9-2C50FD4E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1197</Words>
  <Characters>6829</Characters>
  <Application>Microsoft Office Word</Application>
  <DocSecurity>0</DocSecurity>
  <Lines>56</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Executie buget general consolidat | ianuarie 2020</dc:creator>
  <cp:lastModifiedBy>IOANA-ALINA BURLA</cp:lastModifiedBy>
  <cp:revision>4</cp:revision>
  <cp:lastPrinted>2020-02-25T14:57:00Z</cp:lastPrinted>
  <dcterms:created xsi:type="dcterms:W3CDTF">2020-02-25T14:47:00Z</dcterms:created>
  <dcterms:modified xsi:type="dcterms:W3CDTF">2020-02-25T14:59:00Z</dcterms:modified>
</cp:coreProperties>
</file>