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C5" w:rsidRPr="00235FEC" w:rsidRDefault="00A238C5" w:rsidP="00A238C5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right"/>
        <w:rPr>
          <w:rFonts w:ascii="Tahoma" w:hAnsi="Tahoma" w:cs="Tahoma"/>
          <w:b/>
          <w:caps/>
          <w:color w:val="0070C0"/>
          <w:sz w:val="24"/>
          <w:szCs w:val="24"/>
          <w:lang w:val="en-GB"/>
        </w:rPr>
      </w:pPr>
      <w:r w:rsidRPr="00235FEC">
        <w:rPr>
          <w:rFonts w:ascii="Tahoma" w:hAnsi="Tahoma" w:cs="Tahoma"/>
          <w:b/>
          <w:caps/>
          <w:color w:val="0070C0"/>
          <w:sz w:val="24"/>
          <w:szCs w:val="24"/>
          <w:lang w:val="en-GB"/>
        </w:rPr>
        <w:t>Report on general government budget</w:t>
      </w:r>
    </w:p>
    <w:p w:rsidR="004B7A33" w:rsidRPr="00235FEC" w:rsidRDefault="00A238C5" w:rsidP="003F4E84">
      <w:pPr>
        <w:spacing w:after="120" w:line="240" w:lineRule="auto"/>
        <w:jc w:val="right"/>
        <w:rPr>
          <w:rFonts w:ascii="Tahoma" w:hAnsi="Tahoma" w:cs="Tahoma"/>
          <w:b/>
          <w:color w:val="0070C0"/>
          <w:sz w:val="24"/>
          <w:szCs w:val="24"/>
          <w:lang w:val="en-GB"/>
        </w:rPr>
      </w:pPr>
      <w:r w:rsidRPr="00235FEC">
        <w:rPr>
          <w:rFonts w:ascii="Tahoma" w:hAnsi="Tahoma" w:cs="Tahoma"/>
          <w:b/>
          <w:color w:val="0070C0"/>
          <w:sz w:val="24"/>
          <w:szCs w:val="24"/>
          <w:lang w:val="en-GB"/>
        </w:rPr>
        <w:t>January</w:t>
      </w:r>
      <w:r w:rsidR="009300C7" w:rsidRPr="00235FEC">
        <w:rPr>
          <w:rFonts w:ascii="Tahoma" w:hAnsi="Tahoma" w:cs="Tahoma"/>
          <w:b/>
          <w:color w:val="0070C0"/>
          <w:sz w:val="24"/>
          <w:szCs w:val="24"/>
          <w:lang w:val="en-GB"/>
        </w:rPr>
        <w:t xml:space="preserve"> 2020</w:t>
      </w:r>
      <w:r w:rsidR="00526E8B" w:rsidRPr="00235FEC">
        <w:rPr>
          <w:rFonts w:ascii="Tahoma" w:hAnsi="Tahoma" w:cs="Tahoma"/>
          <w:b/>
          <w:color w:val="0070C0"/>
          <w:sz w:val="24"/>
          <w:szCs w:val="24"/>
          <w:lang w:val="en-GB"/>
        </w:rPr>
        <w:br/>
      </w:r>
    </w:p>
    <w:p w:rsidR="003F4E84" w:rsidRPr="00235FEC" w:rsidRDefault="003F4E84" w:rsidP="003F4E84">
      <w:pPr>
        <w:spacing w:after="120" w:line="240" w:lineRule="auto"/>
        <w:jc w:val="right"/>
        <w:rPr>
          <w:rFonts w:ascii="Tahoma" w:hAnsi="Tahoma" w:cs="Tahoma"/>
          <w:b/>
          <w:color w:val="0070C0"/>
          <w:sz w:val="24"/>
          <w:szCs w:val="24"/>
          <w:lang w:val="en-GB"/>
        </w:rPr>
      </w:pPr>
    </w:p>
    <w:p w:rsidR="00CA4A92" w:rsidRPr="00235FEC" w:rsidRDefault="00753827" w:rsidP="002B3CC9">
      <w:pPr>
        <w:shd w:val="clear" w:color="auto" w:fill="DEEAF6" w:themeFill="accent1" w:themeFillTint="33"/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G</w:t>
      </w:r>
      <w:r w:rsidR="007725A3" w:rsidRPr="00235FEC">
        <w:rPr>
          <w:rFonts w:ascii="Tahoma" w:hAnsi="Tahoma" w:cs="Tahoma"/>
          <w:sz w:val="24"/>
          <w:szCs w:val="24"/>
          <w:lang w:val="en-GB"/>
        </w:rPr>
        <w:t xml:space="preserve">eneral government budget </w:t>
      </w:r>
      <w:r w:rsidR="005C7C7E">
        <w:rPr>
          <w:rFonts w:ascii="Tahoma" w:hAnsi="Tahoma" w:cs="Tahoma"/>
          <w:sz w:val="24"/>
          <w:szCs w:val="24"/>
          <w:lang w:val="en-GB"/>
        </w:rPr>
        <w:t>recorded</w:t>
      </w:r>
      <w:r w:rsidR="00686F10">
        <w:rPr>
          <w:rFonts w:ascii="Tahoma" w:hAnsi="Tahoma" w:cs="Tahoma"/>
          <w:sz w:val="24"/>
          <w:szCs w:val="24"/>
          <w:lang w:val="en-GB"/>
        </w:rPr>
        <w:t xml:space="preserve"> a deficit of</w:t>
      </w:r>
      <w:r w:rsidR="007725A3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7725A3" w:rsidRPr="00235FEC">
        <w:rPr>
          <w:rFonts w:ascii="Tahoma" w:hAnsi="Tahoma" w:cs="Tahoma"/>
          <w:b/>
          <w:sz w:val="24"/>
          <w:szCs w:val="24"/>
          <w:lang w:val="en-GB"/>
        </w:rPr>
        <w:t xml:space="preserve">RON </w:t>
      </w:r>
      <w:r w:rsidR="00800AC8" w:rsidRPr="00235FEC">
        <w:rPr>
          <w:rFonts w:ascii="Tahoma" w:hAnsi="Tahoma" w:cs="Tahoma"/>
          <w:b/>
          <w:sz w:val="24"/>
          <w:szCs w:val="24"/>
          <w:lang w:val="en-GB"/>
        </w:rPr>
        <w:t>0,</w:t>
      </w:r>
      <w:r w:rsidR="009300C7" w:rsidRPr="00235FEC">
        <w:rPr>
          <w:rFonts w:ascii="Tahoma" w:hAnsi="Tahoma" w:cs="Tahoma"/>
          <w:b/>
          <w:sz w:val="24"/>
          <w:szCs w:val="24"/>
          <w:lang w:val="en-GB"/>
        </w:rPr>
        <w:t>4</w:t>
      </w:r>
      <w:r w:rsidR="004E3BAE" w:rsidRPr="00235FEC">
        <w:rPr>
          <w:rFonts w:ascii="Tahoma" w:hAnsi="Tahoma" w:cs="Tahoma"/>
          <w:b/>
          <w:sz w:val="24"/>
          <w:szCs w:val="24"/>
          <w:lang w:val="en-GB"/>
        </w:rPr>
        <w:t>6</w:t>
      </w:r>
      <w:r w:rsidR="000F1E3F" w:rsidRPr="00235FEC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7725A3" w:rsidRPr="00235FEC">
        <w:rPr>
          <w:rFonts w:ascii="Tahoma" w:hAnsi="Tahoma" w:cs="Tahoma"/>
          <w:b/>
          <w:sz w:val="24"/>
          <w:szCs w:val="24"/>
          <w:lang w:val="en-GB"/>
        </w:rPr>
        <w:t>billion</w:t>
      </w:r>
      <w:r w:rsidR="00686F10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0F1E3F" w:rsidRPr="00235FEC">
        <w:rPr>
          <w:rFonts w:ascii="Tahoma" w:hAnsi="Tahoma" w:cs="Tahoma"/>
          <w:b/>
          <w:sz w:val="24"/>
          <w:szCs w:val="24"/>
          <w:lang w:val="en-GB"/>
        </w:rPr>
        <w:t>(</w:t>
      </w:r>
      <w:r w:rsidR="00800AC8" w:rsidRPr="00235FEC">
        <w:rPr>
          <w:rFonts w:ascii="Tahoma" w:hAnsi="Tahoma" w:cs="Tahoma"/>
          <w:b/>
          <w:sz w:val="24"/>
          <w:szCs w:val="24"/>
          <w:lang w:val="en-GB"/>
        </w:rPr>
        <w:t>0,04</w:t>
      </w:r>
      <w:r w:rsidR="000F1E3F" w:rsidRPr="00235FEC">
        <w:rPr>
          <w:rFonts w:ascii="Tahoma" w:hAnsi="Tahoma" w:cs="Tahoma"/>
          <w:b/>
          <w:sz w:val="24"/>
          <w:szCs w:val="24"/>
          <w:lang w:val="en-GB"/>
        </w:rPr>
        <w:t xml:space="preserve">% </w:t>
      </w:r>
      <w:r w:rsidR="007725A3" w:rsidRPr="00235FEC">
        <w:rPr>
          <w:rFonts w:ascii="Tahoma" w:hAnsi="Tahoma" w:cs="Tahoma"/>
          <w:b/>
          <w:sz w:val="24"/>
          <w:szCs w:val="24"/>
          <w:lang w:val="en-GB"/>
        </w:rPr>
        <w:t>of GDP</w:t>
      </w:r>
      <w:r w:rsidR="000F1E3F" w:rsidRPr="00235FEC">
        <w:rPr>
          <w:rFonts w:ascii="Tahoma" w:hAnsi="Tahoma" w:cs="Tahoma"/>
          <w:b/>
          <w:sz w:val="24"/>
          <w:szCs w:val="24"/>
          <w:lang w:val="en-GB"/>
        </w:rPr>
        <w:t>)</w:t>
      </w:r>
      <w:r w:rsidRPr="00753827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in January 2020 </w:t>
      </w:r>
      <w:r w:rsidR="007725A3" w:rsidRPr="00235FEC">
        <w:rPr>
          <w:rFonts w:ascii="Tahoma" w:hAnsi="Tahoma" w:cs="Tahoma"/>
          <w:sz w:val="24"/>
          <w:szCs w:val="24"/>
          <w:lang w:val="en-GB"/>
        </w:rPr>
        <w:t>(Annexes 1 and 2).</w:t>
      </w:r>
      <w:r w:rsidR="00744E04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0B579B" w:rsidRPr="00235FEC" w:rsidRDefault="00271414" w:rsidP="002B3CC9">
      <w:pPr>
        <w:shd w:val="clear" w:color="auto" w:fill="DEEAF6" w:themeFill="accent1" w:themeFillTint="33"/>
        <w:spacing w:after="120" w:line="360" w:lineRule="auto"/>
        <w:jc w:val="both"/>
        <w:rPr>
          <w:rFonts w:ascii="Tahoma" w:hAnsi="Tahoma" w:cs="Tahoma"/>
          <w:color w:val="FF0000"/>
          <w:sz w:val="24"/>
          <w:szCs w:val="24"/>
          <w:lang w:val="en-GB"/>
        </w:rPr>
      </w:pPr>
      <w:r w:rsidRPr="00271414">
        <w:rPr>
          <w:rFonts w:ascii="Tahoma" w:hAnsi="Tahoma" w:cs="Tahoma"/>
          <w:sz w:val="24"/>
          <w:szCs w:val="24"/>
          <w:lang w:val="en-GB"/>
        </w:rPr>
        <w:t xml:space="preserve">Compared to the surplus </w:t>
      </w:r>
      <w:r w:rsidR="00747E2C">
        <w:rPr>
          <w:rFonts w:ascii="Tahoma" w:hAnsi="Tahoma" w:cs="Tahoma"/>
          <w:sz w:val="24"/>
          <w:szCs w:val="24"/>
          <w:lang w:val="en-GB"/>
        </w:rPr>
        <w:t>reached</w:t>
      </w:r>
      <w:r w:rsidRPr="00271414">
        <w:rPr>
          <w:rFonts w:ascii="Tahoma" w:hAnsi="Tahoma" w:cs="Tahoma"/>
          <w:sz w:val="24"/>
          <w:szCs w:val="24"/>
          <w:lang w:val="en-GB"/>
        </w:rPr>
        <w:t xml:space="preserve"> in the same month of last year, the deficit in January 2020 is mainly explained by the increase of VAT reimbursements by </w:t>
      </w:r>
      <w:r w:rsidR="003943B0">
        <w:rPr>
          <w:rFonts w:ascii="Tahoma" w:hAnsi="Tahoma" w:cs="Tahoma"/>
          <w:sz w:val="24"/>
          <w:szCs w:val="24"/>
          <w:lang w:val="en-GB"/>
        </w:rPr>
        <w:t xml:space="preserve">RON </w:t>
      </w:r>
      <w:r w:rsidRPr="00271414">
        <w:rPr>
          <w:rFonts w:ascii="Tahoma" w:hAnsi="Tahoma" w:cs="Tahoma"/>
          <w:sz w:val="24"/>
          <w:szCs w:val="24"/>
          <w:lang w:val="en-GB"/>
        </w:rPr>
        <w:t>1 billion (</w:t>
      </w:r>
      <w:r w:rsidR="003943B0">
        <w:rPr>
          <w:rFonts w:ascii="Tahoma" w:hAnsi="Tahoma" w:cs="Tahoma"/>
          <w:sz w:val="24"/>
          <w:szCs w:val="24"/>
          <w:lang w:val="en-GB"/>
        </w:rPr>
        <w:t xml:space="preserve">RON </w:t>
      </w:r>
      <w:r w:rsidRPr="00271414">
        <w:rPr>
          <w:rFonts w:ascii="Tahoma" w:hAnsi="Tahoma" w:cs="Tahoma"/>
          <w:sz w:val="24"/>
          <w:szCs w:val="24"/>
          <w:lang w:val="en-GB"/>
        </w:rPr>
        <w:t>1.72 billion in January 2020, compared to</w:t>
      </w:r>
      <w:r w:rsidR="003943B0">
        <w:rPr>
          <w:rFonts w:ascii="Tahoma" w:hAnsi="Tahoma" w:cs="Tahoma"/>
          <w:sz w:val="24"/>
          <w:szCs w:val="24"/>
          <w:lang w:val="en-GB"/>
        </w:rPr>
        <w:t xml:space="preserve"> RON</w:t>
      </w:r>
      <w:r w:rsidRPr="00271414">
        <w:rPr>
          <w:rFonts w:ascii="Tahoma" w:hAnsi="Tahoma" w:cs="Tahoma"/>
          <w:sz w:val="24"/>
          <w:szCs w:val="24"/>
          <w:lang w:val="en-GB"/>
        </w:rPr>
        <w:t xml:space="preserve"> 0.72 billion in January 2019)</w:t>
      </w:r>
      <w:r>
        <w:rPr>
          <w:rFonts w:ascii="Tahoma" w:hAnsi="Tahoma" w:cs="Tahoma"/>
          <w:sz w:val="24"/>
          <w:szCs w:val="24"/>
          <w:lang w:val="en-GB"/>
        </w:rPr>
        <w:t xml:space="preserve">, </w:t>
      </w:r>
      <w:r w:rsidRPr="00271414">
        <w:rPr>
          <w:rFonts w:ascii="Tahoma" w:hAnsi="Tahoma" w:cs="Tahoma"/>
          <w:sz w:val="24"/>
          <w:szCs w:val="24"/>
          <w:lang w:val="en-GB"/>
        </w:rPr>
        <w:t xml:space="preserve">as well as </w:t>
      </w:r>
      <w:r w:rsidR="00712164">
        <w:rPr>
          <w:rFonts w:ascii="Tahoma" w:hAnsi="Tahoma" w:cs="Tahoma"/>
          <w:sz w:val="24"/>
          <w:szCs w:val="24"/>
          <w:lang w:val="en-GB"/>
        </w:rPr>
        <w:t>growing</w:t>
      </w:r>
      <w:r w:rsidRPr="00271414">
        <w:rPr>
          <w:rFonts w:ascii="Tahoma" w:hAnsi="Tahoma" w:cs="Tahoma"/>
          <w:sz w:val="24"/>
          <w:szCs w:val="24"/>
          <w:lang w:val="en-GB"/>
        </w:rPr>
        <w:t xml:space="preserve"> investment </w:t>
      </w:r>
      <w:r>
        <w:rPr>
          <w:rFonts w:ascii="Tahoma" w:hAnsi="Tahoma" w:cs="Tahoma"/>
          <w:sz w:val="24"/>
          <w:szCs w:val="24"/>
          <w:lang w:val="en-GB"/>
        </w:rPr>
        <w:t>spending</w:t>
      </w:r>
      <w:r w:rsidRPr="00271414">
        <w:rPr>
          <w:rFonts w:ascii="Tahoma" w:hAnsi="Tahoma" w:cs="Tahoma"/>
          <w:sz w:val="24"/>
          <w:szCs w:val="24"/>
          <w:lang w:val="en-GB"/>
        </w:rPr>
        <w:t xml:space="preserve"> by approximately </w:t>
      </w:r>
      <w:r w:rsidR="003943B0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747E2C">
        <w:rPr>
          <w:rFonts w:ascii="Tahoma" w:hAnsi="Tahoma" w:cs="Tahoma"/>
          <w:sz w:val="24"/>
          <w:szCs w:val="24"/>
          <w:lang w:val="en-GB"/>
        </w:rPr>
        <w:t xml:space="preserve">0.82 billion. </w:t>
      </w:r>
    </w:p>
    <w:p w:rsidR="00016F63" w:rsidRPr="00235FEC" w:rsidRDefault="00016F63" w:rsidP="002B3CC9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</w:p>
    <w:p w:rsidR="00F972DC" w:rsidRPr="00235FEC" w:rsidRDefault="007725A3" w:rsidP="00753827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120" w:line="276" w:lineRule="auto"/>
        <w:ind w:hanging="1080"/>
        <w:jc w:val="both"/>
        <w:rPr>
          <w:rFonts w:ascii="Tahoma" w:hAnsi="Tahoma" w:cs="Tahoma"/>
          <w:b/>
          <w:caps/>
          <w:color w:val="0070C0"/>
          <w:sz w:val="24"/>
          <w:szCs w:val="24"/>
          <w:lang w:val="en-GB"/>
        </w:rPr>
      </w:pPr>
      <w:r w:rsidRPr="00235FEC">
        <w:rPr>
          <w:rFonts w:ascii="Tahoma" w:hAnsi="Tahoma" w:cs="Tahoma"/>
          <w:b/>
          <w:caps/>
          <w:color w:val="0070C0"/>
          <w:sz w:val="24"/>
          <w:szCs w:val="24"/>
          <w:lang w:val="en-GB"/>
        </w:rPr>
        <w:t>general government revenue</w:t>
      </w:r>
    </w:p>
    <w:p w:rsidR="000F1E3F" w:rsidRPr="00235FEC" w:rsidRDefault="000F1E3F" w:rsidP="000F1E3F">
      <w:pPr>
        <w:spacing w:after="120" w:line="240" w:lineRule="auto"/>
        <w:rPr>
          <w:rFonts w:ascii="Tahoma" w:hAnsi="Tahoma" w:cs="Tahoma"/>
          <w:b/>
          <w:color w:val="0070C0"/>
          <w:sz w:val="24"/>
          <w:szCs w:val="24"/>
          <w:lang w:val="en-GB"/>
        </w:rPr>
      </w:pPr>
      <w:bookmarkStart w:id="0" w:name="_GoBack"/>
      <w:bookmarkEnd w:id="0"/>
    </w:p>
    <w:p w:rsidR="009300C7" w:rsidRPr="00235FEC" w:rsidRDefault="007725A3" w:rsidP="00CF1ED7">
      <w:pPr>
        <w:shd w:val="clear" w:color="auto" w:fill="D9D9D9" w:themeFill="background1" w:themeFillShade="D9"/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sz w:val="24"/>
          <w:szCs w:val="24"/>
          <w:lang w:val="en-GB"/>
        </w:rPr>
        <w:t xml:space="preserve">Total revenue amounted to RON </w:t>
      </w:r>
      <w:r w:rsidR="004D1156" w:rsidRPr="00235FEC">
        <w:rPr>
          <w:rFonts w:ascii="Tahoma" w:hAnsi="Tahoma" w:cs="Tahoma"/>
          <w:sz w:val="24"/>
          <w:szCs w:val="24"/>
          <w:lang w:val="en-GB"/>
        </w:rPr>
        <w:t>27</w:t>
      </w:r>
      <w:r w:rsidR="00F56574">
        <w:rPr>
          <w:rFonts w:ascii="Tahoma" w:hAnsi="Tahoma" w:cs="Tahoma"/>
          <w:sz w:val="24"/>
          <w:szCs w:val="24"/>
          <w:lang w:val="en-GB"/>
        </w:rPr>
        <w:t>.</w:t>
      </w:r>
      <w:r w:rsidR="009300C7" w:rsidRPr="00235FEC">
        <w:rPr>
          <w:rFonts w:ascii="Tahoma" w:hAnsi="Tahoma" w:cs="Tahoma"/>
          <w:sz w:val="24"/>
          <w:szCs w:val="24"/>
          <w:lang w:val="en-GB"/>
        </w:rPr>
        <w:t>55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35FEC">
        <w:rPr>
          <w:rFonts w:ascii="Tahoma" w:hAnsi="Tahoma" w:cs="Tahoma"/>
          <w:sz w:val="24"/>
          <w:szCs w:val="24"/>
          <w:lang w:val="en-GB"/>
        </w:rPr>
        <w:t>billion in January 2020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 xml:space="preserve">, </w:t>
      </w:r>
      <w:r w:rsidR="00F56574">
        <w:rPr>
          <w:rFonts w:ascii="Tahoma" w:hAnsi="Tahoma" w:cs="Tahoma"/>
          <w:sz w:val="24"/>
          <w:szCs w:val="24"/>
          <w:lang w:val="en-GB"/>
        </w:rPr>
        <w:t>6.</w:t>
      </w:r>
      <w:r w:rsidR="009300C7" w:rsidRPr="00235FEC">
        <w:rPr>
          <w:rFonts w:ascii="Tahoma" w:hAnsi="Tahoma" w:cs="Tahoma"/>
          <w:sz w:val="24"/>
          <w:szCs w:val="24"/>
          <w:lang w:val="en-GB"/>
        </w:rPr>
        <w:t>8</w:t>
      </w:r>
      <w:r w:rsidR="004D1156" w:rsidRPr="00235FEC">
        <w:rPr>
          <w:rFonts w:ascii="Tahoma" w:hAnsi="Tahoma" w:cs="Tahoma"/>
          <w:sz w:val="24"/>
          <w:szCs w:val="24"/>
          <w:lang w:val="en-GB"/>
        </w:rPr>
        <w:t xml:space="preserve">%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above the level </w:t>
      </w:r>
      <w:r w:rsidR="00F56574">
        <w:rPr>
          <w:rFonts w:ascii="Tahoma" w:hAnsi="Tahoma" w:cs="Tahoma"/>
          <w:sz w:val="24"/>
          <w:szCs w:val="24"/>
          <w:lang w:val="en-GB"/>
        </w:rPr>
        <w:t>reached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in the same month last year</w:t>
      </w:r>
      <w:r w:rsidR="00CA4EB6" w:rsidRPr="00235FEC">
        <w:rPr>
          <w:rFonts w:ascii="Tahoma" w:hAnsi="Tahoma" w:cs="Tahoma"/>
          <w:sz w:val="24"/>
          <w:szCs w:val="24"/>
          <w:lang w:val="en-GB"/>
        </w:rPr>
        <w:t>.</w:t>
      </w:r>
    </w:p>
    <w:p w:rsidR="008154B0" w:rsidRPr="00235FEC" w:rsidRDefault="007725A3" w:rsidP="00CF1ED7">
      <w:pPr>
        <w:shd w:val="clear" w:color="auto" w:fill="D9D9D9" w:themeFill="background1" w:themeFillShade="D9"/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sz w:val="24"/>
          <w:szCs w:val="24"/>
          <w:lang w:val="en-GB"/>
        </w:rPr>
        <w:t>As a share of GDP</w:t>
      </w:r>
      <w:r w:rsidR="00744E04" w:rsidRPr="00235FEC">
        <w:rPr>
          <w:rFonts w:ascii="Tahoma" w:hAnsi="Tahoma" w:cs="Tahoma"/>
          <w:sz w:val="24"/>
          <w:szCs w:val="24"/>
          <w:lang w:val="en-GB"/>
        </w:rPr>
        <w:t xml:space="preserve">,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the budget revenue </w:t>
      </w:r>
      <w:r w:rsidR="00F56574">
        <w:rPr>
          <w:rFonts w:ascii="Tahoma" w:hAnsi="Tahoma" w:cs="Tahoma"/>
          <w:sz w:val="24"/>
          <w:szCs w:val="24"/>
          <w:lang w:val="en-GB"/>
        </w:rPr>
        <w:t>recorded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only a marginal decrease (0.1 pp), mainly due to the increase of VAT 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>reimbursements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by 141%.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0D2B64" w:rsidRPr="00235FEC" w:rsidRDefault="000D2B64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:rsidR="00056BE3" w:rsidRPr="00235FEC" w:rsidRDefault="00CE699A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b/>
          <w:i/>
          <w:sz w:val="24"/>
          <w:szCs w:val="24"/>
          <w:lang w:val="en-GB"/>
        </w:rPr>
        <w:t>Personal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35FEC">
        <w:rPr>
          <w:rFonts w:ascii="Tahoma" w:hAnsi="Tahoma" w:cs="Tahoma"/>
          <w:b/>
          <w:i/>
          <w:sz w:val="24"/>
          <w:szCs w:val="24"/>
          <w:lang w:val="en-GB"/>
        </w:rPr>
        <w:t>income tax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receipts</w:t>
      </w:r>
      <w:r w:rsidRPr="00235FEC">
        <w:rPr>
          <w:rStyle w:val="FootnoteReference"/>
          <w:rFonts w:ascii="Tahoma" w:hAnsi="Tahoma" w:cs="Tahoma"/>
          <w:sz w:val="24"/>
          <w:szCs w:val="24"/>
          <w:lang w:val="en-GB"/>
        </w:rPr>
        <w:footnoteReference w:id="1"/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A52D05">
        <w:rPr>
          <w:rFonts w:ascii="Tahoma" w:hAnsi="Tahoma" w:cs="Tahoma"/>
          <w:sz w:val="24"/>
          <w:szCs w:val="24"/>
          <w:lang w:val="en-GB"/>
        </w:rPr>
        <w:t>amounted to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RON </w:t>
      </w:r>
      <w:r w:rsidR="00F56574">
        <w:rPr>
          <w:rFonts w:ascii="Tahoma" w:hAnsi="Tahoma" w:cs="Tahoma"/>
          <w:sz w:val="24"/>
          <w:szCs w:val="24"/>
          <w:lang w:val="en-GB"/>
        </w:rPr>
        <w:t>2.</w:t>
      </w:r>
      <w:r w:rsidR="00153418" w:rsidRPr="00235FEC">
        <w:rPr>
          <w:rFonts w:ascii="Tahoma" w:hAnsi="Tahoma" w:cs="Tahoma"/>
          <w:sz w:val="24"/>
          <w:szCs w:val="24"/>
          <w:lang w:val="en-GB"/>
        </w:rPr>
        <w:t>2</w:t>
      </w:r>
      <w:r w:rsidR="0092174A" w:rsidRPr="00235FEC">
        <w:rPr>
          <w:rFonts w:ascii="Tahoma" w:hAnsi="Tahoma" w:cs="Tahoma"/>
          <w:sz w:val="24"/>
          <w:szCs w:val="24"/>
          <w:lang w:val="en-GB"/>
        </w:rPr>
        <w:t>8</w:t>
      </w:r>
      <w:r w:rsidR="00153418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F56574">
        <w:rPr>
          <w:rFonts w:ascii="Tahoma" w:hAnsi="Tahoma" w:cs="Tahoma"/>
          <w:sz w:val="24"/>
          <w:szCs w:val="24"/>
          <w:lang w:val="en-GB"/>
        </w:rPr>
        <w:t xml:space="preserve">billion in January 2020 and grew by </w:t>
      </w:r>
      <w:r w:rsidR="0092174A" w:rsidRPr="00235FEC">
        <w:rPr>
          <w:rFonts w:ascii="Tahoma" w:hAnsi="Tahoma" w:cs="Tahoma"/>
          <w:sz w:val="24"/>
          <w:szCs w:val="24"/>
          <w:lang w:val="en-GB"/>
        </w:rPr>
        <w:t>14,4</w:t>
      </w:r>
      <w:r w:rsidR="005656AD" w:rsidRPr="00235FEC">
        <w:rPr>
          <w:rFonts w:ascii="Tahoma" w:hAnsi="Tahoma" w:cs="Tahoma"/>
          <w:sz w:val="24"/>
          <w:szCs w:val="24"/>
          <w:lang w:val="en-GB"/>
        </w:rPr>
        <w:t xml:space="preserve">% </w:t>
      </w:r>
      <w:r w:rsidRPr="00235FEC">
        <w:rPr>
          <w:rFonts w:ascii="Tahoma" w:hAnsi="Tahoma" w:cs="Tahoma"/>
          <w:sz w:val="24"/>
          <w:szCs w:val="24"/>
          <w:lang w:val="en-GB"/>
        </w:rPr>
        <w:t>(yoy)</w:t>
      </w:r>
      <w:r w:rsidR="008F6106" w:rsidRPr="00235FEC">
        <w:rPr>
          <w:rFonts w:ascii="Tahoma" w:hAnsi="Tahoma" w:cs="Tahoma"/>
          <w:sz w:val="24"/>
          <w:szCs w:val="24"/>
          <w:lang w:val="en-GB"/>
        </w:rPr>
        <w:t>.</w:t>
      </w:r>
      <w:r w:rsidR="004E13C1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CF1ED7" w:rsidRPr="00235FEC" w:rsidRDefault="00F56574" w:rsidP="00CF1ED7">
      <w:pPr>
        <w:spacing w:after="120" w:line="360" w:lineRule="auto"/>
        <w:jc w:val="both"/>
        <w:rPr>
          <w:rFonts w:ascii="Tahoma" w:hAnsi="Tahoma" w:cs="Tahoma"/>
          <w:color w:val="FF0000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The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686F10">
        <w:rPr>
          <w:rFonts w:ascii="Tahoma" w:hAnsi="Tahoma" w:cs="Tahoma"/>
          <w:sz w:val="24"/>
          <w:szCs w:val="24"/>
          <w:lang w:val="en-GB"/>
        </w:rPr>
        <w:t>pace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 xml:space="preserve"> of the labour income tax receipts </w:t>
      </w:r>
      <w:r w:rsidR="008F6106" w:rsidRPr="00235FEC">
        <w:rPr>
          <w:rFonts w:ascii="Tahoma" w:hAnsi="Tahoma" w:cs="Tahoma"/>
          <w:sz w:val="24"/>
          <w:szCs w:val="24"/>
          <w:lang w:val="en-GB"/>
        </w:rPr>
        <w:t>(8%,</w:t>
      </w:r>
      <w:r w:rsidR="00F578E9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>yoy</w:t>
      </w:r>
      <w:r w:rsidR="008F6106" w:rsidRPr="00235FEC">
        <w:rPr>
          <w:rFonts w:ascii="Tahoma" w:hAnsi="Tahoma" w:cs="Tahoma"/>
          <w:sz w:val="24"/>
          <w:szCs w:val="24"/>
          <w:lang w:val="en-GB"/>
        </w:rPr>
        <w:t xml:space="preserve">) </w:t>
      </w:r>
      <w:r w:rsidR="00686F10">
        <w:rPr>
          <w:rFonts w:ascii="Tahoma" w:hAnsi="Tahoma" w:cs="Tahoma"/>
          <w:sz w:val="24"/>
          <w:szCs w:val="24"/>
          <w:lang w:val="en-GB"/>
        </w:rPr>
        <w:t>largely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 xml:space="preserve"> reflects </w:t>
      </w:r>
      <w:r w:rsidR="00686F10">
        <w:rPr>
          <w:rFonts w:ascii="Tahoma" w:hAnsi="Tahoma" w:cs="Tahoma"/>
          <w:sz w:val="24"/>
          <w:szCs w:val="24"/>
          <w:lang w:val="en-GB"/>
        </w:rPr>
        <w:t xml:space="preserve">the advance of </w:t>
      </w:r>
      <w:r w:rsidR="00686F10" w:rsidRPr="00F56574">
        <w:rPr>
          <w:rFonts w:ascii="Tahoma" w:hAnsi="Tahoma" w:cs="Tahoma"/>
          <w:sz w:val="24"/>
          <w:szCs w:val="24"/>
          <w:lang w:val="en-GB"/>
        </w:rPr>
        <w:t xml:space="preserve">average </w:t>
      </w:r>
      <w:r w:rsidR="00CE699A" w:rsidRPr="00F56574">
        <w:rPr>
          <w:rFonts w:ascii="Tahoma" w:hAnsi="Tahoma" w:cs="Tahoma"/>
          <w:sz w:val="24"/>
          <w:szCs w:val="24"/>
          <w:lang w:val="en-GB"/>
        </w:rPr>
        <w:t>gross earning</w:t>
      </w:r>
      <w:r w:rsidR="00686F10" w:rsidRPr="00F56574">
        <w:rPr>
          <w:rFonts w:ascii="Tahoma" w:hAnsi="Tahoma" w:cs="Tahoma"/>
          <w:sz w:val="24"/>
          <w:szCs w:val="24"/>
          <w:lang w:val="en-GB"/>
        </w:rPr>
        <w:t>s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4546CE" w:rsidRPr="00235FEC">
        <w:rPr>
          <w:rFonts w:ascii="Tahoma" w:hAnsi="Tahoma" w:cs="Tahoma"/>
          <w:sz w:val="24"/>
          <w:szCs w:val="24"/>
          <w:lang w:val="en-GB"/>
        </w:rPr>
        <w:t>(</w:t>
      </w:r>
      <w:r w:rsidR="00DE5601" w:rsidRPr="00235FEC">
        <w:rPr>
          <w:rFonts w:ascii="Tahoma" w:hAnsi="Tahoma" w:cs="Tahoma"/>
          <w:sz w:val="24"/>
          <w:szCs w:val="24"/>
          <w:lang w:val="en-GB"/>
        </w:rPr>
        <w:t>1</w:t>
      </w:r>
      <w:r w:rsidR="00D40303" w:rsidRPr="00235FEC">
        <w:rPr>
          <w:rFonts w:ascii="Tahoma" w:hAnsi="Tahoma" w:cs="Tahoma"/>
          <w:sz w:val="24"/>
          <w:szCs w:val="24"/>
          <w:lang w:val="en-GB"/>
        </w:rPr>
        <w:t>0</w:t>
      </w:r>
      <w:r>
        <w:rPr>
          <w:rFonts w:ascii="Tahoma" w:hAnsi="Tahoma" w:cs="Tahoma"/>
          <w:sz w:val="24"/>
          <w:szCs w:val="24"/>
          <w:lang w:val="en-GB"/>
        </w:rPr>
        <w:t>.</w:t>
      </w:r>
      <w:r w:rsidR="00DE5601" w:rsidRPr="00235FEC">
        <w:rPr>
          <w:rFonts w:ascii="Tahoma" w:hAnsi="Tahoma" w:cs="Tahoma"/>
          <w:sz w:val="24"/>
          <w:szCs w:val="24"/>
          <w:lang w:val="en-GB"/>
        </w:rPr>
        <w:t>7%</w:t>
      </w:r>
      <w:r w:rsidR="004546CE" w:rsidRPr="00235FEC">
        <w:rPr>
          <w:rFonts w:ascii="Tahoma" w:hAnsi="Tahoma" w:cs="Tahoma"/>
          <w:sz w:val="24"/>
          <w:szCs w:val="24"/>
          <w:lang w:val="en-GB"/>
        </w:rPr>
        <w:t xml:space="preserve">) 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 xml:space="preserve">and </w:t>
      </w:r>
      <w:r w:rsidR="00686F10">
        <w:rPr>
          <w:rFonts w:ascii="Tahoma" w:hAnsi="Tahoma" w:cs="Tahoma"/>
          <w:sz w:val="24"/>
          <w:szCs w:val="24"/>
          <w:lang w:val="en-GB"/>
        </w:rPr>
        <w:t>employment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4546CE" w:rsidRPr="00235FEC">
        <w:rPr>
          <w:rFonts w:ascii="Tahoma" w:hAnsi="Tahoma" w:cs="Tahoma"/>
          <w:sz w:val="24"/>
          <w:szCs w:val="24"/>
          <w:lang w:val="en-GB"/>
        </w:rPr>
        <w:t>(</w:t>
      </w:r>
      <w:r>
        <w:rPr>
          <w:rFonts w:ascii="Tahoma" w:hAnsi="Tahoma" w:cs="Tahoma"/>
          <w:sz w:val="24"/>
          <w:szCs w:val="24"/>
          <w:lang w:val="en-GB"/>
        </w:rPr>
        <w:t>0.</w:t>
      </w:r>
      <w:r w:rsidR="00F30899" w:rsidRPr="00235FEC">
        <w:rPr>
          <w:rFonts w:ascii="Tahoma" w:hAnsi="Tahoma" w:cs="Tahoma"/>
          <w:sz w:val="24"/>
          <w:szCs w:val="24"/>
          <w:lang w:val="en-GB"/>
        </w:rPr>
        <w:t xml:space="preserve">9%) 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 xml:space="preserve">recorded in December </w:t>
      </w:r>
      <w:r w:rsidR="00F30899" w:rsidRPr="00235FEC">
        <w:rPr>
          <w:rFonts w:ascii="Tahoma" w:hAnsi="Tahoma" w:cs="Tahoma"/>
          <w:sz w:val="24"/>
          <w:szCs w:val="24"/>
          <w:lang w:val="en-GB"/>
        </w:rPr>
        <w:t xml:space="preserve">2019. 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 xml:space="preserve">Nevertheless, exempting the </w:t>
      </w:r>
      <w:r w:rsidR="00686F10">
        <w:rPr>
          <w:rFonts w:ascii="Tahoma" w:hAnsi="Tahoma" w:cs="Tahoma"/>
          <w:sz w:val="24"/>
          <w:szCs w:val="24"/>
          <w:lang w:val="en-GB"/>
        </w:rPr>
        <w:t xml:space="preserve">wages 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 xml:space="preserve">from construction and related industrial sectors (according to GEO no. 114/2018) from the labour income tax lowered the </w:t>
      </w:r>
      <w:r>
        <w:rPr>
          <w:rFonts w:ascii="Tahoma" w:hAnsi="Tahoma" w:cs="Tahoma"/>
          <w:sz w:val="24"/>
          <w:szCs w:val="24"/>
          <w:lang w:val="en-GB"/>
        </w:rPr>
        <w:t>revenue by RON 127.</w:t>
      </w:r>
      <w:r w:rsidR="00CE699A" w:rsidRPr="00235FEC">
        <w:rPr>
          <w:rFonts w:ascii="Tahoma" w:hAnsi="Tahoma" w:cs="Tahoma"/>
          <w:sz w:val="24"/>
          <w:szCs w:val="24"/>
          <w:lang w:val="en-GB"/>
        </w:rPr>
        <w:t>9 million</w:t>
      </w:r>
      <w:r w:rsidR="00AB7B38" w:rsidRPr="00235FEC">
        <w:rPr>
          <w:rStyle w:val="FootnoteReference"/>
          <w:rFonts w:ascii="Tahoma" w:hAnsi="Tahoma" w:cs="Tahoma"/>
          <w:sz w:val="24"/>
          <w:szCs w:val="24"/>
          <w:lang w:val="en-GB"/>
        </w:rPr>
        <w:footnoteReference w:id="2"/>
      </w:r>
      <w:r w:rsidR="00A263BF" w:rsidRPr="00235FEC">
        <w:rPr>
          <w:rFonts w:ascii="Tahoma" w:hAnsi="Tahoma" w:cs="Tahoma"/>
          <w:sz w:val="24"/>
          <w:szCs w:val="24"/>
          <w:lang w:val="en-GB"/>
        </w:rPr>
        <w:t>.</w:t>
      </w:r>
    </w:p>
    <w:p w:rsidR="00CF1ED7" w:rsidRPr="00235FEC" w:rsidRDefault="00C32CA3" w:rsidP="0073781B">
      <w:pPr>
        <w:spacing w:after="0" w:line="240" w:lineRule="auto"/>
        <w:contextualSpacing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US"/>
        </w:rPr>
        <w:lastRenderedPageBreak/>
        <w:drawing>
          <wp:inline distT="0" distB="0" distL="0" distR="0" wp14:anchorId="2291ACF7">
            <wp:extent cx="4972685" cy="22834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559" cy="231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81B" w:rsidRPr="00235FEC" w:rsidRDefault="00222089" w:rsidP="0073781B">
      <w:pPr>
        <w:pStyle w:val="ListParagraph"/>
        <w:spacing w:line="360" w:lineRule="auto"/>
        <w:jc w:val="both"/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</w:pPr>
      <w:r w:rsidRPr="00222089"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  <w:t>Source: MoPF, NIS, own calculations</w:t>
      </w:r>
    </w:p>
    <w:p w:rsidR="00CF1ED7" w:rsidRPr="00235FEC" w:rsidRDefault="00CF1ED7" w:rsidP="00F30899">
      <w:pPr>
        <w:pStyle w:val="ListParagraph"/>
        <w:spacing w:before="240" w:line="360" w:lineRule="auto"/>
        <w:jc w:val="center"/>
        <w:rPr>
          <w:rFonts w:ascii="Tahoma" w:hAnsi="Tahoma" w:cs="Tahoma"/>
          <w:b/>
          <w:color w:val="767171" w:themeColor="background2" w:themeShade="80"/>
          <w:szCs w:val="24"/>
          <w:lang w:val="en-GB"/>
        </w:rPr>
      </w:pPr>
      <w:r w:rsidRPr="00235FEC">
        <w:rPr>
          <w:rFonts w:ascii="Tahoma" w:hAnsi="Tahoma" w:cs="Tahoma"/>
          <w:b/>
          <w:color w:val="767171" w:themeColor="background2" w:themeShade="80"/>
          <w:szCs w:val="24"/>
          <w:lang w:val="en-GB"/>
        </w:rPr>
        <w:t>Fig.</w:t>
      </w:r>
      <w:r w:rsidR="000D2B64" w:rsidRPr="00235FEC">
        <w:rPr>
          <w:rFonts w:ascii="Tahoma" w:hAnsi="Tahoma" w:cs="Tahoma"/>
          <w:b/>
          <w:color w:val="767171" w:themeColor="background2" w:themeShade="80"/>
          <w:szCs w:val="24"/>
          <w:lang w:val="en-GB"/>
        </w:rPr>
        <w:t>1</w:t>
      </w:r>
      <w:r w:rsidR="00D60BC0" w:rsidRPr="00235FEC">
        <w:rPr>
          <w:rFonts w:ascii="Tahoma" w:hAnsi="Tahoma" w:cs="Tahoma"/>
          <w:b/>
          <w:color w:val="767171" w:themeColor="background2" w:themeShade="80"/>
          <w:szCs w:val="24"/>
          <w:lang w:val="en-GB"/>
        </w:rPr>
        <w:t xml:space="preserve"> </w:t>
      </w:r>
      <w:r w:rsidR="00222089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Personal income tax revenue</w:t>
      </w:r>
      <w:r w:rsidRPr="00235FEC">
        <w:rPr>
          <w:rFonts w:ascii="Tahoma" w:hAnsi="Tahoma" w:cs="Tahoma"/>
          <w:b/>
          <w:color w:val="767171" w:themeColor="background2" w:themeShade="80"/>
          <w:szCs w:val="24"/>
          <w:lang w:val="en-GB"/>
        </w:rPr>
        <w:t xml:space="preserve"> </w:t>
      </w:r>
    </w:p>
    <w:p w:rsidR="00016F63" w:rsidRPr="00235FEC" w:rsidRDefault="0053393D" w:rsidP="00016F63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b/>
          <w:i/>
          <w:sz w:val="24"/>
          <w:szCs w:val="24"/>
          <w:lang w:val="en-GB"/>
        </w:rPr>
        <w:t>Social contributions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revenue </w:t>
      </w:r>
      <w:r w:rsidR="00A52D05">
        <w:rPr>
          <w:rFonts w:ascii="Tahoma" w:hAnsi="Tahoma" w:cs="Tahoma"/>
          <w:sz w:val="24"/>
          <w:szCs w:val="24"/>
          <w:lang w:val="en-GB"/>
        </w:rPr>
        <w:t>amounted to</w:t>
      </w:r>
      <w:r w:rsidR="00A52D05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0573AD" w:rsidRPr="00235FEC">
        <w:rPr>
          <w:rFonts w:ascii="Tahoma" w:hAnsi="Tahoma" w:cs="Tahoma"/>
          <w:sz w:val="24"/>
          <w:szCs w:val="24"/>
          <w:lang w:val="en-GB"/>
        </w:rPr>
        <w:t>9</w:t>
      </w:r>
      <w:r w:rsidR="00F56574">
        <w:rPr>
          <w:rFonts w:ascii="Tahoma" w:hAnsi="Tahoma" w:cs="Tahoma"/>
          <w:sz w:val="24"/>
          <w:szCs w:val="24"/>
          <w:lang w:val="en-GB"/>
        </w:rPr>
        <w:t>.</w:t>
      </w:r>
      <w:r w:rsidR="000573AD" w:rsidRPr="00235FEC">
        <w:rPr>
          <w:rFonts w:ascii="Tahoma" w:hAnsi="Tahoma" w:cs="Tahoma"/>
          <w:sz w:val="24"/>
          <w:szCs w:val="24"/>
          <w:lang w:val="en-GB"/>
        </w:rPr>
        <w:t>9</w:t>
      </w:r>
      <w:r w:rsidR="001A2254" w:rsidRPr="00235FEC">
        <w:rPr>
          <w:rFonts w:ascii="Tahoma" w:hAnsi="Tahoma" w:cs="Tahoma"/>
          <w:sz w:val="24"/>
          <w:szCs w:val="24"/>
          <w:lang w:val="en-GB"/>
        </w:rPr>
        <w:t>7</w:t>
      </w:r>
      <w:r w:rsidR="00667C1C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35FEC">
        <w:rPr>
          <w:rFonts w:ascii="Tahoma" w:hAnsi="Tahoma" w:cs="Tahoma"/>
          <w:sz w:val="24"/>
          <w:szCs w:val="24"/>
          <w:lang w:val="en-GB"/>
        </w:rPr>
        <w:t>billion in January, accelerating from 8.5% in December 2019 to 10% in January 2020 (yoy)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 xml:space="preserve">.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Social contributions receipts largely reflect developments in the </w:t>
      </w:r>
      <w:r w:rsidR="00F56574">
        <w:rPr>
          <w:rFonts w:ascii="Tahoma" w:hAnsi="Tahoma" w:cs="Tahoma"/>
          <w:sz w:val="24"/>
          <w:szCs w:val="24"/>
          <w:lang w:val="en-GB"/>
        </w:rPr>
        <w:t>economy's wage bill (11.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6% in December 2019, slowing </w:t>
      </w:r>
      <w:r w:rsidR="001049CF">
        <w:rPr>
          <w:rFonts w:ascii="Tahoma" w:hAnsi="Tahoma" w:cs="Tahoma"/>
          <w:sz w:val="24"/>
          <w:szCs w:val="24"/>
          <w:lang w:val="en-GB"/>
        </w:rPr>
        <w:t>from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the previous month). Furthermore, the receipts </w:t>
      </w:r>
      <w:r w:rsidR="00A33EA5" w:rsidRPr="00235FEC">
        <w:rPr>
          <w:rFonts w:ascii="Tahoma" w:hAnsi="Tahoma" w:cs="Tahoma"/>
          <w:sz w:val="24"/>
          <w:szCs w:val="24"/>
          <w:lang w:val="en-GB"/>
        </w:rPr>
        <w:t>were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adversely affected by exempting </w:t>
      </w:r>
      <w:r w:rsidR="003E0E25">
        <w:rPr>
          <w:rFonts w:ascii="Tahoma" w:hAnsi="Tahoma" w:cs="Tahoma"/>
          <w:sz w:val="24"/>
          <w:szCs w:val="24"/>
          <w:lang w:val="en-GB"/>
        </w:rPr>
        <w:t>construction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employees and related industrial sectors from the health insurance contribution, as well as by reducing the social contributions due by employers (according to GEO no.114/2018, wi</w:t>
      </w:r>
      <w:r w:rsidR="00F56574">
        <w:rPr>
          <w:rFonts w:ascii="Tahoma" w:hAnsi="Tahoma" w:cs="Tahoma"/>
          <w:sz w:val="24"/>
          <w:szCs w:val="24"/>
          <w:lang w:val="en-GB"/>
        </w:rPr>
        <w:t>th a negative impact of RON 180.</w:t>
      </w:r>
      <w:r w:rsidRPr="00235FEC">
        <w:rPr>
          <w:rFonts w:ascii="Tahoma" w:hAnsi="Tahoma" w:cs="Tahoma"/>
          <w:sz w:val="24"/>
          <w:szCs w:val="24"/>
          <w:lang w:val="en-GB"/>
        </w:rPr>
        <w:t>9 million).</w:t>
      </w:r>
      <w:r w:rsidR="00625493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0D2B64" w:rsidRPr="00235FEC" w:rsidRDefault="000D2B64" w:rsidP="0073781B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GB"/>
        </w:rPr>
      </w:pPr>
    </w:p>
    <w:p w:rsidR="00CF1ED7" w:rsidRPr="00235FEC" w:rsidRDefault="00361BAE" w:rsidP="0073781B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0B865421">
            <wp:extent cx="4999530" cy="234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75" cy="235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089" w:rsidRPr="00235FEC" w:rsidRDefault="00222089" w:rsidP="00222089">
      <w:pPr>
        <w:pStyle w:val="ListParagraph"/>
        <w:spacing w:line="360" w:lineRule="auto"/>
        <w:jc w:val="both"/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</w:pPr>
      <w:r w:rsidRPr="00222089"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  <w:t>Source: MoPF, NIS, own calculations</w:t>
      </w:r>
    </w:p>
    <w:p w:rsidR="0073781B" w:rsidRPr="00235FEC" w:rsidRDefault="0073781B" w:rsidP="0073781B">
      <w:pPr>
        <w:pStyle w:val="ListParagraph"/>
        <w:spacing w:line="360" w:lineRule="auto"/>
        <w:jc w:val="both"/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</w:pPr>
    </w:p>
    <w:p w:rsidR="00CF1ED7" w:rsidRPr="00235FEC" w:rsidRDefault="00CF1ED7" w:rsidP="00CF1ED7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Cs w:val="24"/>
          <w:lang w:val="en-GB"/>
        </w:rPr>
      </w:pPr>
      <w:r w:rsidRPr="00235FEC">
        <w:rPr>
          <w:rFonts w:ascii="Tahoma" w:hAnsi="Tahoma" w:cs="Tahoma"/>
          <w:b/>
          <w:color w:val="767171" w:themeColor="background2" w:themeShade="80"/>
          <w:szCs w:val="24"/>
          <w:lang w:val="en-GB"/>
        </w:rPr>
        <w:t>Fig.</w:t>
      </w:r>
      <w:r w:rsidR="000D2B64" w:rsidRPr="00235FEC">
        <w:rPr>
          <w:rFonts w:ascii="Tahoma" w:hAnsi="Tahoma" w:cs="Tahoma"/>
          <w:b/>
          <w:color w:val="767171" w:themeColor="background2" w:themeShade="80"/>
          <w:szCs w:val="24"/>
          <w:lang w:val="en-GB"/>
        </w:rPr>
        <w:t>2</w:t>
      </w:r>
      <w:r w:rsidR="00D60BC0" w:rsidRPr="00235FEC">
        <w:rPr>
          <w:rFonts w:ascii="Tahoma" w:hAnsi="Tahoma" w:cs="Tahoma"/>
          <w:b/>
          <w:color w:val="767171" w:themeColor="background2" w:themeShade="80"/>
          <w:szCs w:val="24"/>
          <w:lang w:val="en-GB"/>
        </w:rPr>
        <w:t xml:space="preserve"> </w:t>
      </w:r>
      <w:r w:rsidR="00222089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Social contribution revenue</w:t>
      </w:r>
    </w:p>
    <w:p w:rsidR="00AB7B38" w:rsidRPr="00235FEC" w:rsidRDefault="0053393D" w:rsidP="00AB7B38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b/>
          <w:i/>
          <w:sz w:val="24"/>
          <w:szCs w:val="24"/>
          <w:lang w:val="en-GB"/>
        </w:rPr>
        <w:lastRenderedPageBreak/>
        <w:t>VAT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receipts amounted to RON</w:t>
      </w:r>
      <w:r w:rsidR="00F56574">
        <w:rPr>
          <w:rFonts w:ascii="Tahoma" w:hAnsi="Tahoma" w:cs="Tahoma"/>
          <w:sz w:val="24"/>
          <w:szCs w:val="24"/>
          <w:lang w:val="en-GB"/>
        </w:rPr>
        <w:t xml:space="preserve"> 6.</w:t>
      </w:r>
      <w:r w:rsidR="00AB7B38" w:rsidRPr="00235FEC">
        <w:rPr>
          <w:rFonts w:ascii="Tahoma" w:hAnsi="Tahoma" w:cs="Tahoma"/>
          <w:sz w:val="24"/>
          <w:szCs w:val="24"/>
          <w:lang w:val="en-GB"/>
        </w:rPr>
        <w:t xml:space="preserve">68 </w:t>
      </w:r>
      <w:r w:rsidRPr="00235FEC">
        <w:rPr>
          <w:rFonts w:ascii="Tahoma" w:hAnsi="Tahoma" w:cs="Tahoma"/>
          <w:sz w:val="24"/>
          <w:szCs w:val="24"/>
          <w:lang w:val="en-GB"/>
        </w:rPr>
        <w:t>billion in January</w:t>
      </w:r>
      <w:r w:rsidR="00AB7B38" w:rsidRPr="00235FEC">
        <w:rPr>
          <w:rFonts w:ascii="Tahoma" w:hAnsi="Tahoma" w:cs="Tahoma"/>
          <w:sz w:val="24"/>
          <w:szCs w:val="24"/>
          <w:lang w:val="en-GB"/>
        </w:rPr>
        <w:t xml:space="preserve"> 2020, 4%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lower </w:t>
      </w:r>
      <w:r w:rsidR="00A52D05">
        <w:rPr>
          <w:rFonts w:ascii="Tahoma" w:hAnsi="Tahoma" w:cs="Tahoma"/>
          <w:sz w:val="24"/>
          <w:szCs w:val="24"/>
          <w:lang w:val="en-GB"/>
        </w:rPr>
        <w:t>(</w:t>
      </w:r>
      <w:r w:rsidR="00CA4EB6" w:rsidRPr="00235FEC">
        <w:rPr>
          <w:rFonts w:ascii="Tahoma" w:hAnsi="Tahoma" w:cs="Tahoma"/>
          <w:sz w:val="24"/>
          <w:szCs w:val="24"/>
          <w:lang w:val="en-GB"/>
        </w:rPr>
        <w:t>yoy</w:t>
      </w:r>
      <w:r w:rsidR="00A52D05">
        <w:rPr>
          <w:rFonts w:ascii="Tahoma" w:hAnsi="Tahoma" w:cs="Tahoma"/>
          <w:sz w:val="24"/>
          <w:szCs w:val="24"/>
          <w:lang w:val="en-GB"/>
        </w:rPr>
        <w:t>)</w:t>
      </w:r>
      <w:r w:rsidR="00CA4EB6" w:rsidRPr="00235FEC">
        <w:rPr>
          <w:rFonts w:ascii="Tahoma" w:hAnsi="Tahoma" w:cs="Tahoma"/>
          <w:sz w:val="24"/>
          <w:szCs w:val="24"/>
          <w:lang w:val="en-GB"/>
        </w:rPr>
        <w:t>.</w:t>
      </w:r>
      <w:r w:rsidR="00A33EA5">
        <w:rPr>
          <w:rFonts w:ascii="Tahoma" w:hAnsi="Tahoma" w:cs="Tahoma"/>
          <w:sz w:val="24"/>
          <w:szCs w:val="24"/>
          <w:lang w:val="en-GB"/>
        </w:rPr>
        <w:t xml:space="preserve"> </w:t>
      </w:r>
      <w:r w:rsidR="00CA4EB6" w:rsidRPr="00235FEC">
        <w:rPr>
          <w:rFonts w:ascii="Tahoma" w:hAnsi="Tahoma" w:cs="Tahoma"/>
          <w:sz w:val="24"/>
          <w:szCs w:val="24"/>
          <w:lang w:val="en-GB"/>
        </w:rPr>
        <w:t>The decline in net VAT receipts is explained by the increase of VAT reimbursements by 141% in January 2020 (</w:t>
      </w:r>
      <w:r w:rsidR="00A52D05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CA4EB6" w:rsidRPr="00235FEC">
        <w:rPr>
          <w:rFonts w:ascii="Tahoma" w:hAnsi="Tahoma" w:cs="Tahoma"/>
          <w:sz w:val="24"/>
          <w:szCs w:val="24"/>
          <w:lang w:val="en-GB"/>
        </w:rPr>
        <w:t xml:space="preserve">1.72 billion in January 2020, compared to </w:t>
      </w:r>
      <w:r w:rsidR="00A52D05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CA4EB6" w:rsidRPr="00235FEC">
        <w:rPr>
          <w:rFonts w:ascii="Tahoma" w:hAnsi="Tahoma" w:cs="Tahoma"/>
          <w:sz w:val="24"/>
          <w:szCs w:val="24"/>
          <w:lang w:val="en-GB"/>
        </w:rPr>
        <w:t>0.72 billion in January 2019)</w:t>
      </w:r>
      <w:r w:rsidR="00AB7B38" w:rsidRPr="00235FEC">
        <w:rPr>
          <w:rStyle w:val="FootnoteReference"/>
          <w:rFonts w:ascii="Tahoma" w:hAnsi="Tahoma" w:cs="Tahoma"/>
          <w:sz w:val="24"/>
          <w:szCs w:val="24"/>
          <w:lang w:val="en-GB"/>
        </w:rPr>
        <w:footnoteReference w:id="3"/>
      </w:r>
      <w:r w:rsidR="00AB7B38" w:rsidRPr="00235FEC">
        <w:rPr>
          <w:rFonts w:ascii="Tahoma" w:hAnsi="Tahoma" w:cs="Tahoma"/>
          <w:sz w:val="24"/>
          <w:szCs w:val="24"/>
          <w:lang w:val="en-GB"/>
        </w:rPr>
        <w:t xml:space="preserve">. </w:t>
      </w:r>
      <w:r w:rsidR="00CA4EB6" w:rsidRPr="00235FEC">
        <w:rPr>
          <w:rFonts w:ascii="Tahoma" w:hAnsi="Tahoma" w:cs="Tahoma"/>
          <w:sz w:val="24"/>
          <w:szCs w:val="24"/>
          <w:lang w:val="en-GB"/>
        </w:rPr>
        <w:t xml:space="preserve">Moreover, gross VAT revenue (excluding reimbursements) </w:t>
      </w:r>
      <w:r w:rsidR="00A52D05">
        <w:rPr>
          <w:rFonts w:ascii="Tahoma" w:hAnsi="Tahoma" w:cs="Tahoma"/>
          <w:sz w:val="24"/>
          <w:szCs w:val="24"/>
          <w:lang w:val="en-GB"/>
        </w:rPr>
        <w:t>grew</w:t>
      </w:r>
      <w:r w:rsidR="00CA4EB6" w:rsidRPr="00235FEC">
        <w:rPr>
          <w:rFonts w:ascii="Tahoma" w:hAnsi="Tahoma" w:cs="Tahoma"/>
          <w:sz w:val="24"/>
          <w:szCs w:val="24"/>
          <w:lang w:val="en-GB"/>
        </w:rPr>
        <w:t xml:space="preserve"> by 11% yoy (recording a historical record level of RON 8.4 billion), in line with the relevant macroeconomic base developments - turnover in trade, services and industry (12%</w:t>
      </w:r>
      <w:r w:rsidR="00A52D05">
        <w:rPr>
          <w:rFonts w:ascii="Tahoma" w:hAnsi="Tahoma" w:cs="Tahoma"/>
          <w:sz w:val="24"/>
          <w:szCs w:val="24"/>
          <w:lang w:val="en-GB"/>
        </w:rPr>
        <w:t>,</w:t>
      </w:r>
      <w:r w:rsidR="00CA4EB6" w:rsidRPr="00235FEC">
        <w:rPr>
          <w:rFonts w:ascii="Tahoma" w:hAnsi="Tahoma" w:cs="Tahoma"/>
          <w:sz w:val="24"/>
          <w:szCs w:val="24"/>
          <w:lang w:val="en-GB"/>
        </w:rPr>
        <w:t xml:space="preserve"> yoy). </w:t>
      </w:r>
    </w:p>
    <w:p w:rsidR="00AB7B38" w:rsidRPr="00235FEC" w:rsidRDefault="00AB7B38" w:rsidP="00AB7B3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GB"/>
        </w:rPr>
      </w:pPr>
    </w:p>
    <w:p w:rsidR="00AB7B38" w:rsidRPr="00235FEC" w:rsidRDefault="00361BAE" w:rsidP="00AB7B3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1FBDF759">
            <wp:extent cx="4717415" cy="3181242"/>
            <wp:effectExtent l="0" t="0" r="698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927" cy="3191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089" w:rsidRPr="00235FEC" w:rsidRDefault="00222089" w:rsidP="00222089">
      <w:pPr>
        <w:pStyle w:val="ListParagraph"/>
        <w:spacing w:line="360" w:lineRule="auto"/>
        <w:jc w:val="both"/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</w:pPr>
      <w:r w:rsidRPr="00222089"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  <w:t>Source: MoPF, NIS, own calculations</w:t>
      </w:r>
    </w:p>
    <w:p w:rsidR="00AB7B38" w:rsidRPr="00235FEC" w:rsidRDefault="00AB7B38" w:rsidP="00AB7B38">
      <w:pPr>
        <w:pStyle w:val="ListParagraph"/>
        <w:spacing w:line="360" w:lineRule="auto"/>
        <w:jc w:val="both"/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</w:pPr>
    </w:p>
    <w:p w:rsidR="00AB7B38" w:rsidRPr="00235FEC" w:rsidRDefault="00AB7B38" w:rsidP="00AB7B38">
      <w:pPr>
        <w:pStyle w:val="ListParagraph"/>
        <w:spacing w:before="240" w:line="360" w:lineRule="auto"/>
        <w:jc w:val="center"/>
        <w:rPr>
          <w:rFonts w:ascii="Tahoma" w:hAnsi="Tahoma" w:cs="Tahoma"/>
          <w:b/>
          <w:color w:val="767171" w:themeColor="background2" w:themeShade="80"/>
          <w:szCs w:val="24"/>
          <w:lang w:val="en-GB"/>
        </w:rPr>
      </w:pPr>
      <w:r w:rsidRPr="00235FEC">
        <w:rPr>
          <w:rFonts w:ascii="Tahoma" w:hAnsi="Tahoma" w:cs="Tahoma"/>
          <w:b/>
          <w:color w:val="767171" w:themeColor="background2" w:themeShade="80"/>
          <w:szCs w:val="24"/>
          <w:lang w:val="en-GB"/>
        </w:rPr>
        <w:t xml:space="preserve">Fig.3 </w:t>
      </w:r>
      <w:r w:rsidR="00222089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VAT revenue</w:t>
      </w:r>
    </w:p>
    <w:p w:rsidR="00C1718B" w:rsidRPr="00235FEC" w:rsidRDefault="00C1718B" w:rsidP="00CF1ED7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</w:p>
    <w:p w:rsidR="00A33EA5" w:rsidRDefault="00CA4EB6" w:rsidP="00A33EA5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b/>
          <w:i/>
          <w:sz w:val="24"/>
          <w:szCs w:val="24"/>
          <w:lang w:val="en-GB"/>
        </w:rPr>
        <w:t xml:space="preserve">Excise duties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receipts amounted to RON 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>3</w:t>
      </w:r>
      <w:r w:rsidR="00C21E60">
        <w:rPr>
          <w:rFonts w:ascii="Tahoma" w:hAnsi="Tahoma" w:cs="Tahoma"/>
          <w:sz w:val="24"/>
          <w:szCs w:val="24"/>
          <w:lang w:val="en-GB"/>
        </w:rPr>
        <w:t>.</w:t>
      </w:r>
      <w:r w:rsidR="00223065" w:rsidRPr="00235FEC">
        <w:rPr>
          <w:rFonts w:ascii="Tahoma" w:hAnsi="Tahoma" w:cs="Tahoma"/>
          <w:sz w:val="24"/>
          <w:szCs w:val="24"/>
          <w:lang w:val="en-GB"/>
        </w:rPr>
        <w:t>31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35FEC">
        <w:rPr>
          <w:rFonts w:ascii="Tahoma" w:hAnsi="Tahoma" w:cs="Tahoma"/>
          <w:sz w:val="24"/>
          <w:szCs w:val="24"/>
          <w:lang w:val="en-GB"/>
        </w:rPr>
        <w:t>billion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 xml:space="preserve">, </w:t>
      </w:r>
      <w:r w:rsidR="00A33EA5">
        <w:rPr>
          <w:rFonts w:ascii="Tahoma" w:hAnsi="Tahoma" w:cs="Tahoma"/>
          <w:sz w:val="24"/>
          <w:szCs w:val="24"/>
          <w:lang w:val="en-GB"/>
        </w:rPr>
        <w:t>advancing by</w:t>
      </w:r>
      <w:r w:rsidR="00C21E60">
        <w:rPr>
          <w:rFonts w:ascii="Tahoma" w:hAnsi="Tahoma" w:cs="Tahoma"/>
          <w:sz w:val="24"/>
          <w:szCs w:val="24"/>
          <w:lang w:val="en-GB"/>
        </w:rPr>
        <w:t xml:space="preserve"> 13.</w:t>
      </w:r>
      <w:r w:rsidR="00223065" w:rsidRPr="00235FEC">
        <w:rPr>
          <w:rFonts w:ascii="Tahoma" w:hAnsi="Tahoma" w:cs="Tahoma"/>
          <w:sz w:val="24"/>
          <w:szCs w:val="24"/>
          <w:lang w:val="en-GB"/>
        </w:rPr>
        <w:t>9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>%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compared to </w:t>
      </w:r>
      <w:r w:rsidR="000500BA">
        <w:rPr>
          <w:rFonts w:ascii="Tahoma" w:hAnsi="Tahoma" w:cs="Tahoma"/>
          <w:sz w:val="24"/>
          <w:szCs w:val="24"/>
          <w:lang w:val="en-GB"/>
        </w:rPr>
        <w:t>January 2019</w:t>
      </w:r>
      <w:r w:rsidR="00A33EA5">
        <w:rPr>
          <w:rFonts w:ascii="Tahoma" w:hAnsi="Tahoma" w:cs="Tahoma"/>
          <w:sz w:val="24"/>
          <w:szCs w:val="24"/>
          <w:lang w:val="en-GB"/>
        </w:rPr>
        <w:t>, following the good performance reco</w:t>
      </w:r>
      <w:r w:rsidR="005B1F3B">
        <w:rPr>
          <w:rFonts w:ascii="Tahoma" w:hAnsi="Tahoma" w:cs="Tahoma"/>
          <w:sz w:val="24"/>
          <w:szCs w:val="24"/>
          <w:lang w:val="en-GB"/>
        </w:rPr>
        <w:t>r</w:t>
      </w:r>
      <w:r w:rsidR="00A33EA5">
        <w:rPr>
          <w:rFonts w:ascii="Tahoma" w:hAnsi="Tahoma" w:cs="Tahoma"/>
          <w:sz w:val="24"/>
          <w:szCs w:val="24"/>
          <w:lang w:val="en-GB"/>
        </w:rPr>
        <w:t xml:space="preserve">ded in </w:t>
      </w:r>
      <w:r w:rsidR="00A33EA5" w:rsidRPr="00235FEC">
        <w:rPr>
          <w:rFonts w:ascii="Tahoma" w:hAnsi="Tahoma" w:cs="Tahoma"/>
          <w:sz w:val="24"/>
          <w:szCs w:val="24"/>
          <w:lang w:val="en-GB"/>
        </w:rPr>
        <w:t>November and December 2019 (16.2% on average, yoy).</w:t>
      </w:r>
    </w:p>
    <w:p w:rsidR="00C21E60" w:rsidRDefault="00ED3A9E" w:rsidP="00C21E60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C21E60">
        <w:rPr>
          <w:rFonts w:ascii="Tahoma" w:hAnsi="Tahoma" w:cs="Tahoma"/>
          <w:sz w:val="24"/>
          <w:szCs w:val="24"/>
          <w:lang w:val="en-GB"/>
        </w:rPr>
        <w:lastRenderedPageBreak/>
        <w:t xml:space="preserve">Excise revenue from energy products </w:t>
      </w:r>
      <w:r w:rsidR="00A33EA5" w:rsidRPr="00C21E60">
        <w:rPr>
          <w:rFonts w:ascii="Tahoma" w:hAnsi="Tahoma" w:cs="Tahoma"/>
          <w:sz w:val="24"/>
          <w:szCs w:val="24"/>
          <w:lang w:val="en-GB"/>
        </w:rPr>
        <w:t>expanded</w:t>
      </w:r>
      <w:r w:rsidRPr="00C21E60">
        <w:rPr>
          <w:rFonts w:ascii="Tahoma" w:hAnsi="Tahoma" w:cs="Tahoma"/>
          <w:sz w:val="24"/>
          <w:szCs w:val="24"/>
          <w:lang w:val="en-GB"/>
        </w:rPr>
        <w:t xml:space="preserve"> by </w:t>
      </w:r>
      <w:r w:rsidR="00E23BE8" w:rsidRPr="00C21E60">
        <w:rPr>
          <w:rFonts w:ascii="Tahoma" w:hAnsi="Tahoma" w:cs="Tahoma"/>
          <w:sz w:val="24"/>
          <w:szCs w:val="24"/>
          <w:lang w:val="en-GB"/>
        </w:rPr>
        <w:t>9</w:t>
      </w:r>
      <w:r w:rsidR="00CF1ED7" w:rsidRPr="00C21E60">
        <w:rPr>
          <w:rFonts w:ascii="Tahoma" w:hAnsi="Tahoma" w:cs="Tahoma"/>
          <w:sz w:val="24"/>
          <w:szCs w:val="24"/>
          <w:lang w:val="en-GB"/>
        </w:rPr>
        <w:t>%</w:t>
      </w:r>
      <w:r w:rsidR="00A33EA5" w:rsidRPr="00C21E60">
        <w:rPr>
          <w:rFonts w:ascii="Tahoma" w:hAnsi="Tahoma" w:cs="Tahoma"/>
          <w:sz w:val="24"/>
          <w:szCs w:val="24"/>
          <w:lang w:val="en-GB"/>
        </w:rPr>
        <w:t xml:space="preserve"> (yoy</w:t>
      </w:r>
      <w:r w:rsidR="00E23BE8" w:rsidRPr="00C21E60">
        <w:rPr>
          <w:rFonts w:ascii="Tahoma" w:hAnsi="Tahoma" w:cs="Tahoma"/>
          <w:sz w:val="24"/>
          <w:szCs w:val="24"/>
          <w:lang w:val="en-GB"/>
        </w:rPr>
        <w:t>)</w:t>
      </w:r>
      <w:r w:rsidR="00CF1ED7" w:rsidRPr="00C21E60">
        <w:rPr>
          <w:rFonts w:ascii="Tahoma" w:hAnsi="Tahoma" w:cs="Tahoma"/>
          <w:sz w:val="24"/>
          <w:szCs w:val="24"/>
          <w:lang w:val="en-GB"/>
        </w:rPr>
        <w:t>,</w:t>
      </w:r>
      <w:r w:rsidRPr="00C21E60">
        <w:rPr>
          <w:rFonts w:ascii="Tahoma" w:hAnsi="Tahoma" w:cs="Tahoma"/>
          <w:sz w:val="24"/>
          <w:szCs w:val="24"/>
          <w:lang w:val="en-GB"/>
        </w:rPr>
        <w:t xml:space="preserve"> while the excise </w:t>
      </w:r>
      <w:r w:rsidR="0036632F">
        <w:rPr>
          <w:rFonts w:ascii="Tahoma" w:hAnsi="Tahoma" w:cs="Tahoma"/>
          <w:sz w:val="24"/>
          <w:szCs w:val="24"/>
          <w:lang w:val="en-GB"/>
        </w:rPr>
        <w:t>level</w:t>
      </w:r>
      <w:r w:rsidR="00A33EA5" w:rsidRPr="00C21E60">
        <w:rPr>
          <w:rFonts w:ascii="Tahoma" w:hAnsi="Tahoma" w:cs="Tahoma"/>
          <w:sz w:val="24"/>
          <w:szCs w:val="24"/>
          <w:lang w:val="en-GB"/>
        </w:rPr>
        <w:t xml:space="preserve"> on </w:t>
      </w:r>
      <w:r w:rsidR="0036632F">
        <w:rPr>
          <w:rFonts w:ascii="Tahoma" w:hAnsi="Tahoma" w:cs="Tahoma"/>
          <w:sz w:val="24"/>
          <w:szCs w:val="24"/>
          <w:lang w:val="en-GB"/>
        </w:rPr>
        <w:t>fuel was</w:t>
      </w:r>
      <w:r w:rsidR="00A33EA5" w:rsidRPr="00C21E60">
        <w:rPr>
          <w:rFonts w:ascii="Tahoma" w:hAnsi="Tahoma" w:cs="Tahoma"/>
          <w:sz w:val="24"/>
          <w:szCs w:val="24"/>
          <w:lang w:val="en-GB"/>
        </w:rPr>
        <w:t xml:space="preserve"> cut </w:t>
      </w:r>
      <w:r w:rsidR="00C21E60" w:rsidRPr="00C21E60">
        <w:rPr>
          <w:rFonts w:ascii="Tahoma" w:hAnsi="Tahoma" w:cs="Tahoma"/>
          <w:sz w:val="24"/>
          <w:szCs w:val="24"/>
          <w:lang w:val="en-GB"/>
        </w:rPr>
        <w:t>by</w:t>
      </w:r>
      <w:r w:rsidR="00C21E60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13% </w:t>
      </w:r>
      <w:r w:rsidR="00A33EA5">
        <w:rPr>
          <w:rFonts w:ascii="Tahoma" w:hAnsi="Tahoma" w:cs="Tahoma"/>
          <w:sz w:val="24"/>
          <w:szCs w:val="24"/>
          <w:lang w:val="en-GB"/>
        </w:rPr>
        <w:t>(</w:t>
      </w:r>
      <w:r w:rsidR="00A238C5" w:rsidRPr="00235FEC">
        <w:rPr>
          <w:rFonts w:ascii="Tahoma" w:hAnsi="Tahoma" w:cs="Tahoma"/>
          <w:sz w:val="24"/>
          <w:szCs w:val="24"/>
          <w:lang w:val="en-GB"/>
        </w:rPr>
        <w:t>gasoline</w:t>
      </w:r>
      <w:r w:rsidR="00A33EA5">
        <w:rPr>
          <w:rFonts w:ascii="Tahoma" w:hAnsi="Tahoma" w:cs="Tahoma"/>
          <w:sz w:val="24"/>
          <w:szCs w:val="24"/>
          <w:lang w:val="en-GB"/>
        </w:rPr>
        <w:t>)</w:t>
      </w:r>
      <w:r w:rsidR="003C28B1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A238C5" w:rsidRPr="00235FEC">
        <w:rPr>
          <w:rFonts w:ascii="Tahoma" w:hAnsi="Tahoma" w:cs="Tahoma"/>
          <w:sz w:val="24"/>
          <w:szCs w:val="24"/>
          <w:lang w:val="en-GB"/>
        </w:rPr>
        <w:t>and by</w:t>
      </w:r>
      <w:r w:rsidR="003C28B1" w:rsidRPr="00235FEC">
        <w:rPr>
          <w:rFonts w:ascii="Tahoma" w:hAnsi="Tahoma" w:cs="Tahoma"/>
          <w:sz w:val="24"/>
          <w:szCs w:val="24"/>
          <w:lang w:val="en-GB"/>
        </w:rPr>
        <w:t xml:space="preserve"> 14,3% </w:t>
      </w:r>
      <w:r w:rsidR="00A33EA5">
        <w:rPr>
          <w:rFonts w:ascii="Tahoma" w:hAnsi="Tahoma" w:cs="Tahoma"/>
          <w:sz w:val="24"/>
          <w:szCs w:val="24"/>
          <w:lang w:val="en-GB"/>
        </w:rPr>
        <w:t>(</w:t>
      </w:r>
      <w:r w:rsidR="00A238C5" w:rsidRPr="00235FEC">
        <w:rPr>
          <w:rFonts w:ascii="Tahoma" w:hAnsi="Tahoma" w:cs="Tahoma"/>
          <w:sz w:val="24"/>
          <w:szCs w:val="24"/>
          <w:lang w:val="en-GB"/>
        </w:rPr>
        <w:t>diesel</w:t>
      </w:r>
      <w:r w:rsidR="00C21E60">
        <w:rPr>
          <w:rFonts w:ascii="Tahoma" w:hAnsi="Tahoma" w:cs="Tahoma"/>
          <w:sz w:val="24"/>
          <w:szCs w:val="24"/>
          <w:lang w:val="en-GB"/>
        </w:rPr>
        <w:t>)</w:t>
      </w:r>
      <w:r w:rsidR="00E261B4" w:rsidRPr="00235FEC">
        <w:rPr>
          <w:rFonts w:ascii="Tahoma" w:hAnsi="Tahoma" w:cs="Tahoma"/>
          <w:sz w:val="24"/>
          <w:szCs w:val="24"/>
          <w:lang w:val="en-GB"/>
        </w:rPr>
        <w:t>.</w:t>
      </w:r>
      <w:r w:rsidR="00C21E60">
        <w:rPr>
          <w:rFonts w:ascii="Tahoma" w:hAnsi="Tahoma" w:cs="Tahoma"/>
          <w:sz w:val="24"/>
          <w:szCs w:val="24"/>
          <w:lang w:val="en-GB"/>
        </w:rPr>
        <w:t xml:space="preserve"> </w:t>
      </w:r>
      <w:r w:rsidR="000500BA">
        <w:rPr>
          <w:rFonts w:ascii="Tahoma" w:hAnsi="Tahoma" w:cs="Tahoma"/>
          <w:sz w:val="24"/>
          <w:szCs w:val="24"/>
          <w:lang w:val="en-GB"/>
        </w:rPr>
        <w:t xml:space="preserve">Excise revenue from tobacco products was </w:t>
      </w:r>
      <w:r w:rsidR="000500BA" w:rsidRPr="000500BA">
        <w:rPr>
          <w:rFonts w:ascii="Tahoma" w:hAnsi="Tahoma" w:cs="Tahoma"/>
          <w:sz w:val="24"/>
          <w:szCs w:val="24"/>
          <w:lang w:val="en-GB"/>
        </w:rPr>
        <w:t>16.8%</w:t>
      </w:r>
      <w:r w:rsidR="000500BA">
        <w:rPr>
          <w:rFonts w:ascii="Tahoma" w:hAnsi="Tahoma" w:cs="Tahoma"/>
          <w:sz w:val="24"/>
          <w:szCs w:val="24"/>
          <w:lang w:val="en-GB"/>
        </w:rPr>
        <w:t xml:space="preserve"> larger compared to January 2019, </w:t>
      </w:r>
      <w:r w:rsidR="005B1F3B">
        <w:rPr>
          <w:rFonts w:ascii="Tahoma" w:hAnsi="Tahoma" w:cs="Tahoma"/>
          <w:sz w:val="24"/>
          <w:szCs w:val="24"/>
          <w:lang w:val="en-GB"/>
        </w:rPr>
        <w:t>supported by</w:t>
      </w:r>
      <w:r w:rsidR="000500BA" w:rsidRPr="000500BA">
        <w:rPr>
          <w:rFonts w:ascii="Tahoma" w:hAnsi="Tahoma" w:cs="Tahoma"/>
          <w:sz w:val="24"/>
          <w:szCs w:val="24"/>
          <w:lang w:val="en-GB"/>
        </w:rPr>
        <w:t xml:space="preserve"> the </w:t>
      </w:r>
      <w:r w:rsidR="005B1F3B">
        <w:rPr>
          <w:rFonts w:ascii="Tahoma" w:hAnsi="Tahoma" w:cs="Tahoma"/>
          <w:sz w:val="24"/>
          <w:szCs w:val="24"/>
          <w:lang w:val="en-GB"/>
        </w:rPr>
        <w:t>hike</w:t>
      </w:r>
      <w:r w:rsidR="000500BA" w:rsidRPr="000500BA">
        <w:rPr>
          <w:rFonts w:ascii="Tahoma" w:hAnsi="Tahoma" w:cs="Tahoma"/>
          <w:sz w:val="24"/>
          <w:szCs w:val="24"/>
          <w:lang w:val="en-GB"/>
        </w:rPr>
        <w:t xml:space="preserve"> of </w:t>
      </w:r>
      <w:r w:rsidR="005B1F3B" w:rsidRPr="000500BA">
        <w:rPr>
          <w:rFonts w:ascii="Tahoma" w:hAnsi="Tahoma" w:cs="Tahoma"/>
          <w:sz w:val="24"/>
          <w:szCs w:val="24"/>
          <w:lang w:val="en-GB"/>
        </w:rPr>
        <w:t>4.2%</w:t>
      </w:r>
      <w:r w:rsidR="005B1F3B">
        <w:rPr>
          <w:rFonts w:ascii="Tahoma" w:hAnsi="Tahoma" w:cs="Tahoma"/>
          <w:sz w:val="24"/>
          <w:szCs w:val="24"/>
          <w:lang w:val="en-GB"/>
        </w:rPr>
        <w:t xml:space="preserve"> in the </w:t>
      </w:r>
      <w:r w:rsidR="000500BA" w:rsidRPr="000500BA">
        <w:rPr>
          <w:rFonts w:ascii="Tahoma" w:hAnsi="Tahoma" w:cs="Tahoma"/>
          <w:sz w:val="24"/>
          <w:szCs w:val="24"/>
          <w:lang w:val="en-GB"/>
        </w:rPr>
        <w:t xml:space="preserve">excise </w:t>
      </w:r>
      <w:r w:rsidR="000500BA">
        <w:rPr>
          <w:rFonts w:ascii="Tahoma" w:hAnsi="Tahoma" w:cs="Tahoma"/>
          <w:sz w:val="24"/>
          <w:szCs w:val="24"/>
          <w:lang w:val="en-GB"/>
        </w:rPr>
        <w:t>level</w:t>
      </w:r>
      <w:r w:rsidR="000500BA" w:rsidRPr="000500BA">
        <w:rPr>
          <w:rFonts w:ascii="Tahoma" w:hAnsi="Tahoma" w:cs="Tahoma"/>
          <w:sz w:val="24"/>
          <w:szCs w:val="24"/>
          <w:lang w:val="en-GB"/>
        </w:rPr>
        <w:t xml:space="preserve"> </w:t>
      </w:r>
      <w:r w:rsidR="005B1F3B">
        <w:rPr>
          <w:rFonts w:ascii="Tahoma" w:hAnsi="Tahoma" w:cs="Tahoma"/>
          <w:sz w:val="24"/>
          <w:szCs w:val="24"/>
          <w:lang w:val="en-GB"/>
        </w:rPr>
        <w:t>for</w:t>
      </w:r>
      <w:r w:rsidR="000500BA" w:rsidRPr="000500BA">
        <w:rPr>
          <w:rFonts w:ascii="Tahoma" w:hAnsi="Tahoma" w:cs="Tahoma"/>
          <w:sz w:val="24"/>
          <w:szCs w:val="24"/>
          <w:lang w:val="en-GB"/>
        </w:rPr>
        <w:t xml:space="preserve"> cigarettes.</w:t>
      </w:r>
      <w:r w:rsidR="000500BA">
        <w:rPr>
          <w:rFonts w:ascii="Tahoma" w:hAnsi="Tahoma" w:cs="Tahoma"/>
          <w:sz w:val="24"/>
          <w:szCs w:val="24"/>
          <w:lang w:val="en-GB"/>
        </w:rPr>
        <w:t xml:space="preserve"> </w:t>
      </w:r>
      <w:r w:rsidR="00754D1A">
        <w:rPr>
          <w:rFonts w:ascii="Tahoma" w:hAnsi="Tahoma" w:cs="Tahoma"/>
          <w:sz w:val="24"/>
          <w:szCs w:val="24"/>
          <w:lang w:val="en-GB"/>
        </w:rPr>
        <w:t>M</w:t>
      </w:r>
      <w:r w:rsidR="00C21E60">
        <w:rPr>
          <w:rFonts w:ascii="Tahoma" w:hAnsi="Tahoma" w:cs="Tahoma"/>
          <w:sz w:val="24"/>
          <w:szCs w:val="24"/>
          <w:lang w:val="en-GB"/>
        </w:rPr>
        <w:t xml:space="preserve">onthly revenues from excises are more volatile due to both tax </w:t>
      </w:r>
      <w:r w:rsidR="00C21E60" w:rsidRPr="00C21E60">
        <w:rPr>
          <w:rFonts w:ascii="Tahoma" w:hAnsi="Tahoma" w:cs="Tahoma"/>
          <w:sz w:val="24"/>
          <w:szCs w:val="24"/>
          <w:lang w:val="en-GB"/>
        </w:rPr>
        <w:t>warehousing</w:t>
      </w:r>
      <w:r w:rsidR="00C21E60">
        <w:rPr>
          <w:rFonts w:ascii="Tahoma" w:hAnsi="Tahoma" w:cs="Tahoma"/>
          <w:sz w:val="24"/>
          <w:szCs w:val="24"/>
          <w:lang w:val="en-GB"/>
        </w:rPr>
        <w:t xml:space="preserve"> policy of suppliers and consumption. </w:t>
      </w:r>
    </w:p>
    <w:p w:rsidR="00CF1ED7" w:rsidRPr="00235FEC" w:rsidRDefault="00C107B1" w:rsidP="00222089">
      <w:pPr>
        <w:spacing w:line="240" w:lineRule="auto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1B96CD67">
            <wp:extent cx="5140325" cy="2660151"/>
            <wp:effectExtent l="0" t="0" r="317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599" cy="266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089" w:rsidRPr="00235FEC" w:rsidRDefault="00222089" w:rsidP="00222089">
      <w:pPr>
        <w:pStyle w:val="ListParagraph"/>
        <w:spacing w:line="360" w:lineRule="auto"/>
        <w:jc w:val="both"/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</w:pPr>
      <w:r w:rsidRPr="00222089"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  <w:t>Source: MoPF, NIS, own calculations</w:t>
      </w:r>
    </w:p>
    <w:p w:rsidR="0073781B" w:rsidRPr="00235FEC" w:rsidRDefault="0073781B" w:rsidP="0073781B">
      <w:pPr>
        <w:pStyle w:val="ListParagraph"/>
        <w:spacing w:line="360" w:lineRule="auto"/>
        <w:jc w:val="both"/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</w:pPr>
    </w:p>
    <w:p w:rsidR="00CF1ED7" w:rsidRPr="00235FEC" w:rsidRDefault="00CF1ED7" w:rsidP="00222089">
      <w:pPr>
        <w:pStyle w:val="ListParagraph"/>
        <w:spacing w:line="360" w:lineRule="auto"/>
        <w:jc w:val="center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Fig.</w:t>
      </w:r>
      <w:r w:rsidR="00AB7B38" w:rsidRPr="00235FE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4</w:t>
      </w:r>
      <w:r w:rsidR="00D60BC0" w:rsidRPr="00235FE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  <w:r w:rsidR="00222089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Excise duties revenue</w:t>
      </w:r>
    </w:p>
    <w:p w:rsidR="00CF1ED7" w:rsidRPr="00235FEC" w:rsidRDefault="00A238C5" w:rsidP="009C72B0">
      <w:pPr>
        <w:spacing w:before="240"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sz w:val="24"/>
          <w:szCs w:val="24"/>
          <w:lang w:val="en-GB"/>
        </w:rPr>
        <w:t xml:space="preserve">Revenue from </w:t>
      </w:r>
      <w:r w:rsidRPr="00235FEC">
        <w:rPr>
          <w:rFonts w:ascii="Tahoma" w:hAnsi="Tahoma" w:cs="Tahoma"/>
          <w:b/>
          <w:i/>
          <w:sz w:val="24"/>
          <w:szCs w:val="24"/>
          <w:lang w:val="en-GB"/>
        </w:rPr>
        <w:t>taxes on use of goods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amounted to RON</w:t>
      </w:r>
      <w:r w:rsidR="00DB1C61">
        <w:rPr>
          <w:rFonts w:ascii="Tahoma" w:hAnsi="Tahoma" w:cs="Tahoma"/>
          <w:sz w:val="24"/>
          <w:szCs w:val="24"/>
          <w:lang w:val="en-GB"/>
        </w:rPr>
        <w:t xml:space="preserve"> 0.</w:t>
      </w:r>
      <w:r w:rsidR="00C80231" w:rsidRPr="00235FEC">
        <w:rPr>
          <w:rFonts w:ascii="Tahoma" w:hAnsi="Tahoma" w:cs="Tahoma"/>
          <w:sz w:val="24"/>
          <w:szCs w:val="24"/>
          <w:lang w:val="en-GB"/>
        </w:rPr>
        <w:t xml:space="preserve">36 </w:t>
      </w:r>
      <w:r w:rsidRPr="00235FEC">
        <w:rPr>
          <w:rFonts w:ascii="Tahoma" w:hAnsi="Tahoma" w:cs="Tahoma"/>
          <w:sz w:val="24"/>
          <w:szCs w:val="24"/>
          <w:lang w:val="en-GB"/>
        </w:rPr>
        <w:t>billion</w:t>
      </w:r>
      <w:r w:rsidR="00C80231" w:rsidRPr="00235FEC">
        <w:rPr>
          <w:rFonts w:ascii="Tahoma" w:hAnsi="Tahoma" w:cs="Tahoma"/>
          <w:sz w:val="24"/>
          <w:szCs w:val="24"/>
          <w:lang w:val="en-GB"/>
        </w:rPr>
        <w:t xml:space="preserve">, </w:t>
      </w:r>
      <w:r w:rsidR="00DB1C61">
        <w:rPr>
          <w:rFonts w:ascii="Tahoma" w:hAnsi="Tahoma" w:cs="Tahoma"/>
          <w:sz w:val="24"/>
          <w:szCs w:val="24"/>
          <w:lang w:val="en-GB"/>
        </w:rPr>
        <w:t>advancing by</w:t>
      </w:r>
      <w:r w:rsidR="00C80231" w:rsidRPr="00235FEC">
        <w:rPr>
          <w:rFonts w:ascii="Tahoma" w:hAnsi="Tahoma" w:cs="Tahoma"/>
          <w:sz w:val="24"/>
          <w:szCs w:val="24"/>
          <w:lang w:val="en-GB"/>
        </w:rPr>
        <w:t xml:space="preserve"> 25,3%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(yoy) mainly due to the 47.9% increase in revenues from gambling taxes. </w:t>
      </w:r>
    </w:p>
    <w:p w:rsidR="009C72B0" w:rsidRPr="00235FEC" w:rsidRDefault="00A238C5" w:rsidP="009C72B0">
      <w:pPr>
        <w:spacing w:before="240" w:after="120" w:line="360" w:lineRule="auto"/>
        <w:jc w:val="both"/>
        <w:rPr>
          <w:rFonts w:ascii="Tahoma" w:hAnsi="Tahoma" w:cs="Tahoma"/>
          <w:color w:val="2E74B5" w:themeColor="accent1" w:themeShade="BF"/>
          <w:sz w:val="24"/>
          <w:szCs w:val="24"/>
          <w:lang w:val="en-GB"/>
        </w:rPr>
      </w:pPr>
      <w:r w:rsidRPr="00235FEC">
        <w:rPr>
          <w:rFonts w:ascii="Tahoma" w:hAnsi="Tahoma" w:cs="Tahoma"/>
          <w:b/>
          <w:i/>
          <w:sz w:val="24"/>
          <w:szCs w:val="24"/>
          <w:lang w:val="en-GB"/>
        </w:rPr>
        <w:t>Non-tax revenue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totalled RON 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>2</w:t>
      </w:r>
      <w:r w:rsidR="00DB1C61">
        <w:rPr>
          <w:rFonts w:ascii="Tahoma" w:hAnsi="Tahoma" w:cs="Tahoma"/>
          <w:sz w:val="24"/>
          <w:szCs w:val="24"/>
          <w:lang w:val="en-GB"/>
        </w:rPr>
        <w:t>.</w:t>
      </w:r>
      <w:r w:rsidR="00C80231" w:rsidRPr="00235FEC">
        <w:rPr>
          <w:rFonts w:ascii="Tahoma" w:hAnsi="Tahoma" w:cs="Tahoma"/>
          <w:sz w:val="24"/>
          <w:szCs w:val="24"/>
          <w:lang w:val="en-GB"/>
        </w:rPr>
        <w:t xml:space="preserve">11 </w:t>
      </w:r>
      <w:r w:rsidRPr="00235FEC">
        <w:rPr>
          <w:rFonts w:ascii="Tahoma" w:hAnsi="Tahoma" w:cs="Tahoma"/>
          <w:sz w:val="24"/>
          <w:szCs w:val="24"/>
          <w:lang w:val="en-GB"/>
        </w:rPr>
        <w:t>billion in January</w:t>
      </w:r>
      <w:r w:rsidR="00C21E60">
        <w:rPr>
          <w:rFonts w:ascii="Tahoma" w:hAnsi="Tahoma" w:cs="Tahoma"/>
          <w:sz w:val="24"/>
          <w:szCs w:val="24"/>
          <w:lang w:val="en-GB"/>
        </w:rPr>
        <w:t xml:space="preserve"> 2020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C21E60">
        <w:rPr>
          <w:rFonts w:ascii="Tahoma" w:hAnsi="Tahoma" w:cs="Tahoma"/>
          <w:sz w:val="24"/>
          <w:szCs w:val="24"/>
          <w:lang w:val="en-GB"/>
        </w:rPr>
        <w:t>and grew by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C80231" w:rsidRPr="00235FEC">
        <w:rPr>
          <w:rFonts w:ascii="Tahoma" w:hAnsi="Tahoma" w:cs="Tahoma"/>
          <w:sz w:val="24"/>
          <w:szCs w:val="24"/>
          <w:lang w:val="en-GB"/>
        </w:rPr>
        <w:t>11,6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>%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(yoy)</w:t>
      </w:r>
      <w:r w:rsidR="00CF1ED7" w:rsidRPr="00235FEC">
        <w:rPr>
          <w:rFonts w:ascii="Tahoma" w:hAnsi="Tahoma" w:cs="Tahoma"/>
          <w:sz w:val="24"/>
          <w:szCs w:val="24"/>
          <w:lang w:val="en-GB"/>
        </w:rPr>
        <w:t xml:space="preserve">. </w:t>
      </w:r>
      <w:r w:rsidR="00DB1C61">
        <w:rPr>
          <w:rFonts w:ascii="Tahoma" w:hAnsi="Tahoma" w:cs="Tahoma"/>
          <w:sz w:val="24"/>
          <w:szCs w:val="24"/>
          <w:lang w:val="en-GB"/>
        </w:rPr>
        <w:t>This</w:t>
      </w:r>
      <w:r w:rsidR="00A737BB" w:rsidRPr="00A737BB">
        <w:rPr>
          <w:rFonts w:ascii="Tahoma" w:hAnsi="Tahoma" w:cs="Tahoma"/>
          <w:sz w:val="24"/>
          <w:szCs w:val="24"/>
          <w:lang w:val="en-GB"/>
        </w:rPr>
        <w:t xml:space="preserve"> dynamic was backed by </w:t>
      </w:r>
      <w:r w:rsidR="00DB1C61">
        <w:rPr>
          <w:rFonts w:ascii="Tahoma" w:hAnsi="Tahoma" w:cs="Tahoma"/>
          <w:sz w:val="24"/>
          <w:szCs w:val="24"/>
          <w:lang w:val="en-GB"/>
        </w:rPr>
        <w:t>increasing</w:t>
      </w:r>
      <w:r w:rsidR="00A737BB" w:rsidRPr="00A737BB">
        <w:rPr>
          <w:rFonts w:ascii="Tahoma" w:hAnsi="Tahoma" w:cs="Tahoma"/>
          <w:sz w:val="24"/>
          <w:szCs w:val="24"/>
          <w:lang w:val="en-GB"/>
        </w:rPr>
        <w:t xml:space="preserve"> revenue from sale of greenhouse gas emission certificates (</w:t>
      </w:r>
      <w:r w:rsidR="0046491F">
        <w:rPr>
          <w:rFonts w:ascii="Tahoma" w:hAnsi="Tahoma" w:cs="Tahoma"/>
          <w:sz w:val="24"/>
          <w:szCs w:val="24"/>
          <w:lang w:val="en-GB"/>
        </w:rPr>
        <w:t>+</w:t>
      </w:r>
      <w:r w:rsidR="00A737BB" w:rsidRPr="00A737BB">
        <w:rPr>
          <w:rFonts w:ascii="Tahoma" w:hAnsi="Tahoma" w:cs="Tahoma"/>
          <w:sz w:val="24"/>
          <w:szCs w:val="24"/>
          <w:lang w:val="en-GB"/>
        </w:rPr>
        <w:t>113.7%) and interest income (+17.4%).</w:t>
      </w:r>
    </w:p>
    <w:p w:rsidR="009A2E62" w:rsidRDefault="00A238C5" w:rsidP="009C72B0">
      <w:pPr>
        <w:spacing w:before="240"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b/>
          <w:i/>
          <w:sz w:val="24"/>
          <w:szCs w:val="24"/>
          <w:lang w:val="en-GB"/>
        </w:rPr>
        <w:t>EU Refunds and donations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amounted to RON</w:t>
      </w:r>
      <w:r w:rsidR="00A45C4C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C76E83" w:rsidRPr="00235FEC">
        <w:rPr>
          <w:rFonts w:ascii="Tahoma" w:hAnsi="Tahoma" w:cs="Tahoma"/>
          <w:sz w:val="24"/>
          <w:szCs w:val="24"/>
          <w:lang w:val="en-GB"/>
        </w:rPr>
        <w:t>1</w:t>
      </w:r>
      <w:r w:rsidR="00883C7D">
        <w:rPr>
          <w:rFonts w:ascii="Tahoma" w:hAnsi="Tahoma" w:cs="Tahoma"/>
          <w:sz w:val="24"/>
          <w:szCs w:val="24"/>
          <w:lang w:val="en-GB"/>
        </w:rPr>
        <w:t>.</w:t>
      </w:r>
      <w:r w:rsidR="00FF695E" w:rsidRPr="00235FEC">
        <w:rPr>
          <w:rFonts w:ascii="Tahoma" w:hAnsi="Tahoma" w:cs="Tahoma"/>
          <w:sz w:val="24"/>
          <w:szCs w:val="24"/>
          <w:lang w:val="en-GB"/>
        </w:rPr>
        <w:t>11</w:t>
      </w:r>
      <w:r w:rsidR="00A45C4C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35FEC">
        <w:rPr>
          <w:rFonts w:ascii="Tahoma" w:hAnsi="Tahoma" w:cs="Tahoma"/>
          <w:sz w:val="24"/>
          <w:szCs w:val="24"/>
          <w:lang w:val="en-GB"/>
        </w:rPr>
        <w:t>billion in January</w:t>
      </w:r>
      <w:r w:rsidR="009746E7"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A45C4C" w:rsidRPr="00235FEC">
        <w:rPr>
          <w:rFonts w:ascii="Tahoma" w:hAnsi="Tahoma" w:cs="Tahoma"/>
          <w:sz w:val="24"/>
          <w:szCs w:val="24"/>
          <w:lang w:val="en-GB"/>
        </w:rPr>
        <w:t>20</w:t>
      </w:r>
      <w:r w:rsidR="00C76E83" w:rsidRPr="00235FEC">
        <w:rPr>
          <w:rFonts w:ascii="Tahoma" w:hAnsi="Tahoma" w:cs="Tahoma"/>
          <w:sz w:val="24"/>
          <w:szCs w:val="24"/>
          <w:lang w:val="en-GB"/>
        </w:rPr>
        <w:t>20</w:t>
      </w:r>
      <w:r w:rsidR="00883C7D">
        <w:rPr>
          <w:rFonts w:ascii="Tahoma" w:hAnsi="Tahoma" w:cs="Tahoma"/>
          <w:sz w:val="24"/>
          <w:szCs w:val="24"/>
          <w:lang w:val="en-GB"/>
        </w:rPr>
        <w:t xml:space="preserve"> and stood at 0.</w:t>
      </w:r>
      <w:r w:rsidR="00AB52D0">
        <w:rPr>
          <w:rFonts w:ascii="Tahoma" w:hAnsi="Tahoma" w:cs="Tahoma"/>
          <w:sz w:val="24"/>
          <w:szCs w:val="24"/>
          <w:lang w:val="en-GB"/>
        </w:rPr>
        <w:t>1</w:t>
      </w:r>
      <w:r w:rsidR="00883C7D">
        <w:rPr>
          <w:rFonts w:ascii="Tahoma" w:hAnsi="Tahoma" w:cs="Tahoma"/>
          <w:sz w:val="24"/>
          <w:szCs w:val="24"/>
          <w:lang w:val="en-GB"/>
        </w:rPr>
        <w:t>%</w:t>
      </w:r>
      <w:r w:rsidR="00AB52D0">
        <w:rPr>
          <w:rFonts w:ascii="Tahoma" w:hAnsi="Tahoma" w:cs="Tahoma"/>
          <w:sz w:val="24"/>
          <w:szCs w:val="24"/>
          <w:lang w:val="en-GB"/>
        </w:rPr>
        <w:t xml:space="preserve"> of GDP.  </w:t>
      </w:r>
    </w:p>
    <w:p w:rsidR="003F7A5E" w:rsidRDefault="003F7A5E" w:rsidP="009C72B0">
      <w:pPr>
        <w:spacing w:before="240"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:rsidR="003F7A5E" w:rsidRPr="00235FEC" w:rsidRDefault="003F7A5E" w:rsidP="009C72B0">
      <w:pPr>
        <w:spacing w:before="240"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:rsidR="009A2E62" w:rsidRPr="00753827" w:rsidRDefault="00235FEC" w:rsidP="00753827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120" w:line="276" w:lineRule="auto"/>
        <w:ind w:hanging="1080"/>
        <w:jc w:val="both"/>
        <w:rPr>
          <w:rFonts w:ascii="Tahoma" w:hAnsi="Tahoma" w:cs="Tahoma"/>
          <w:b/>
          <w:caps/>
          <w:color w:val="0070C0"/>
          <w:sz w:val="24"/>
          <w:szCs w:val="24"/>
          <w:lang w:val="en-GB"/>
        </w:rPr>
      </w:pPr>
      <w:r w:rsidRPr="00753827">
        <w:rPr>
          <w:rFonts w:ascii="Tahoma" w:hAnsi="Tahoma" w:cs="Tahoma"/>
          <w:b/>
          <w:caps/>
          <w:color w:val="0070C0"/>
          <w:sz w:val="24"/>
          <w:szCs w:val="24"/>
          <w:lang w:val="en-GB"/>
        </w:rPr>
        <w:lastRenderedPageBreak/>
        <w:t>GENERAL GOVERNMENT EXPENDITURE</w:t>
      </w:r>
      <w:r w:rsidRPr="00235FEC">
        <w:rPr>
          <w:rFonts w:ascii="Tahoma" w:hAnsi="Tahoma" w:cs="Tahoma"/>
          <w:b/>
          <w:caps/>
          <w:color w:val="0070C0"/>
          <w:sz w:val="24"/>
          <w:szCs w:val="24"/>
          <w:lang w:val="en-GB"/>
        </w:rPr>
        <w:t xml:space="preserve"> </w:t>
      </w:r>
    </w:p>
    <w:p w:rsidR="00484DB4" w:rsidRPr="00235FEC" w:rsidRDefault="00484DB4" w:rsidP="00484DB4">
      <w:pPr>
        <w:spacing w:after="120" w:line="360" w:lineRule="auto"/>
        <w:jc w:val="both"/>
        <w:rPr>
          <w:rFonts w:ascii="Tahoma" w:hAnsi="Tahoma" w:cs="Tahoma"/>
          <w:sz w:val="2"/>
          <w:szCs w:val="28"/>
          <w:lang w:val="en-GB"/>
        </w:rPr>
      </w:pPr>
    </w:p>
    <w:p w:rsidR="00235FEC" w:rsidRPr="00235FEC" w:rsidRDefault="00235FEC" w:rsidP="00235FEC">
      <w:pPr>
        <w:shd w:val="clear" w:color="auto" w:fill="D9D9D9" w:themeFill="background1" w:themeFillShade="D9"/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sz w:val="24"/>
          <w:szCs w:val="24"/>
          <w:lang w:val="en-GB"/>
        </w:rPr>
        <w:t xml:space="preserve">General government expenditure </w:t>
      </w:r>
      <w:r w:rsidR="00747E2C">
        <w:rPr>
          <w:rFonts w:ascii="Tahoma" w:hAnsi="Tahoma" w:cs="Tahoma"/>
          <w:sz w:val="24"/>
          <w:szCs w:val="24"/>
          <w:lang w:val="en-GB"/>
        </w:rPr>
        <w:t xml:space="preserve">totalled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RON 28 billion (2.5% of GDP), </w:t>
      </w:r>
      <w:r w:rsidR="00753827">
        <w:rPr>
          <w:rFonts w:ascii="Tahoma" w:hAnsi="Tahoma" w:cs="Tahoma"/>
          <w:sz w:val="24"/>
          <w:szCs w:val="24"/>
          <w:lang w:val="en-GB"/>
        </w:rPr>
        <w:t>advancing by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11.6% compared to January 2019. Total expenditure increased marginally by 0.07 pp, from 2.4% of GDP in 2019 to 2.5% of GDP in 2020.</w:t>
      </w:r>
    </w:p>
    <w:p w:rsidR="00235FEC" w:rsidRPr="00235FEC" w:rsidRDefault="00235FEC" w:rsidP="00484DB4">
      <w:pPr>
        <w:spacing w:line="360" w:lineRule="auto"/>
        <w:ind w:right="-57"/>
        <w:jc w:val="both"/>
        <w:rPr>
          <w:rFonts w:ascii="Tahoma" w:hAnsi="Tahoma" w:cs="Tahoma"/>
          <w:b/>
          <w:i/>
          <w:sz w:val="24"/>
          <w:szCs w:val="28"/>
          <w:lang w:val="en-GB"/>
        </w:rPr>
      </w:pPr>
    </w:p>
    <w:p w:rsidR="00235FEC" w:rsidRPr="00235FEC" w:rsidRDefault="00235FEC" w:rsidP="00235FEC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b/>
          <w:i/>
          <w:sz w:val="24"/>
          <w:szCs w:val="24"/>
          <w:lang w:val="en-GB"/>
        </w:rPr>
        <w:t xml:space="preserve">Compensation of employees </w:t>
      </w:r>
      <w:r w:rsidRPr="00235FEC">
        <w:rPr>
          <w:rFonts w:ascii="Tahoma" w:hAnsi="Tahoma" w:cs="Tahoma"/>
          <w:sz w:val="24"/>
          <w:szCs w:val="24"/>
          <w:lang w:val="en-GB"/>
        </w:rPr>
        <w:t>amounted to</w:t>
      </w:r>
      <w:r w:rsidRPr="00235FEC">
        <w:rPr>
          <w:rFonts w:ascii="Tahoma" w:hAnsi="Tahoma" w:cs="Tahoma"/>
          <w:b/>
          <w:i/>
          <w:sz w:val="24"/>
          <w:szCs w:val="24"/>
          <w:lang w:val="en-GB"/>
        </w:rPr>
        <w:t xml:space="preserve">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RON </w:t>
      </w:r>
      <w:r w:rsidRPr="00235FEC">
        <w:rPr>
          <w:rFonts w:ascii="Tahoma" w:hAnsi="Tahoma" w:cs="Tahoma"/>
          <w:sz w:val="24"/>
          <w:szCs w:val="28"/>
          <w:lang w:val="en-GB"/>
        </w:rPr>
        <w:t>8</w:t>
      </w:r>
      <w:r w:rsidR="00753827">
        <w:rPr>
          <w:rFonts w:ascii="Tahoma" w:hAnsi="Tahoma" w:cs="Tahoma"/>
          <w:sz w:val="24"/>
          <w:szCs w:val="28"/>
          <w:lang w:val="en-GB"/>
        </w:rPr>
        <w:t>.</w:t>
      </w:r>
      <w:r w:rsidRPr="00235FEC">
        <w:rPr>
          <w:rFonts w:ascii="Tahoma" w:hAnsi="Tahoma" w:cs="Tahoma"/>
          <w:sz w:val="24"/>
          <w:szCs w:val="28"/>
          <w:lang w:val="en-GB"/>
        </w:rPr>
        <w:t xml:space="preserve">46 </w:t>
      </w:r>
      <w:r w:rsidRPr="00753827">
        <w:rPr>
          <w:rFonts w:ascii="Tahoma" w:hAnsi="Tahoma" w:cs="Tahoma"/>
          <w:sz w:val="24"/>
          <w:szCs w:val="24"/>
          <w:lang w:val="en-GB"/>
        </w:rPr>
        <w:t>billion, up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11.9% (yoy). This </w:t>
      </w:r>
      <w:r w:rsidR="00C21E60">
        <w:rPr>
          <w:rFonts w:ascii="Tahoma" w:hAnsi="Tahoma" w:cs="Tahoma"/>
          <w:sz w:val="24"/>
          <w:szCs w:val="24"/>
          <w:lang w:val="en-GB"/>
        </w:rPr>
        <w:t>outcome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is </w:t>
      </w:r>
      <w:r w:rsidR="00C21E60">
        <w:rPr>
          <w:rFonts w:ascii="Tahoma" w:hAnsi="Tahoma" w:cs="Tahoma"/>
          <w:sz w:val="24"/>
          <w:szCs w:val="24"/>
          <w:lang w:val="en-GB"/>
        </w:rPr>
        <w:t xml:space="preserve">mainly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explained by the hikes in public wages and </w:t>
      </w:r>
      <w:r w:rsidR="00C21E60">
        <w:rPr>
          <w:rFonts w:ascii="Tahoma" w:hAnsi="Tahoma" w:cs="Tahoma"/>
          <w:sz w:val="24"/>
          <w:szCs w:val="24"/>
          <w:lang w:val="en-GB"/>
        </w:rPr>
        <w:t xml:space="preserve">the introduction of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meal </w:t>
      </w:r>
      <w:r w:rsidRPr="00753827">
        <w:rPr>
          <w:rFonts w:ascii="Tahoma" w:hAnsi="Tahoma" w:cs="Tahoma"/>
          <w:sz w:val="24"/>
          <w:szCs w:val="24"/>
          <w:lang w:val="en-GB"/>
        </w:rPr>
        <w:t>allowance to all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public sector employees as of January 1</w:t>
      </w:r>
      <w:r w:rsidRPr="00235FEC">
        <w:rPr>
          <w:rFonts w:ascii="Tahoma" w:hAnsi="Tahoma" w:cs="Tahoma"/>
          <w:sz w:val="24"/>
          <w:szCs w:val="24"/>
          <w:vertAlign w:val="superscript"/>
          <w:lang w:val="en-GB"/>
        </w:rPr>
        <w:t>st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2019 (according to Law 153/2017). As a percentage of GDP, compensation of employees stood at 0.7%. </w:t>
      </w:r>
    </w:p>
    <w:p w:rsidR="00C21E60" w:rsidRPr="00500C22" w:rsidRDefault="00235FEC" w:rsidP="00235FEC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b/>
          <w:i/>
          <w:sz w:val="24"/>
          <w:szCs w:val="24"/>
          <w:lang w:val="en-GB"/>
        </w:rPr>
        <w:t>Goods and services expenditure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</w:t>
      </w:r>
      <w:r w:rsidR="00C21E60">
        <w:rPr>
          <w:rFonts w:ascii="Tahoma" w:hAnsi="Tahoma" w:cs="Tahoma"/>
          <w:sz w:val="24"/>
          <w:szCs w:val="24"/>
          <w:lang w:val="en-GB"/>
        </w:rPr>
        <w:t>expanded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by </w:t>
      </w:r>
      <w:r w:rsidR="00753827">
        <w:rPr>
          <w:rFonts w:ascii="Tahoma" w:hAnsi="Tahoma" w:cs="Tahoma"/>
          <w:sz w:val="24"/>
          <w:szCs w:val="28"/>
          <w:lang w:val="en-GB"/>
        </w:rPr>
        <w:t>2.</w:t>
      </w:r>
      <w:r w:rsidRPr="00235FEC">
        <w:rPr>
          <w:rFonts w:ascii="Tahoma" w:hAnsi="Tahoma" w:cs="Tahoma"/>
          <w:sz w:val="24"/>
          <w:szCs w:val="28"/>
          <w:lang w:val="en-GB"/>
        </w:rPr>
        <w:t>8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% (yoy), </w:t>
      </w:r>
      <w:r w:rsidR="00C21E60">
        <w:rPr>
          <w:rFonts w:ascii="Tahoma" w:hAnsi="Tahoma" w:cs="Tahoma"/>
          <w:sz w:val="24"/>
          <w:szCs w:val="24"/>
          <w:lang w:val="en-GB"/>
        </w:rPr>
        <w:t>reaching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 RON </w:t>
      </w:r>
      <w:r w:rsidR="00753827">
        <w:rPr>
          <w:rFonts w:ascii="Tahoma" w:hAnsi="Tahoma" w:cs="Tahoma"/>
          <w:sz w:val="24"/>
          <w:szCs w:val="28"/>
          <w:lang w:val="en-GB"/>
        </w:rPr>
        <w:t>3.</w:t>
      </w:r>
      <w:r w:rsidRPr="00235FEC">
        <w:rPr>
          <w:rFonts w:ascii="Tahoma" w:hAnsi="Tahoma" w:cs="Tahoma"/>
          <w:sz w:val="24"/>
          <w:szCs w:val="28"/>
          <w:lang w:val="en-GB"/>
        </w:rPr>
        <w:t xml:space="preserve">23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billion, </w:t>
      </w:r>
      <w:r w:rsidR="00C21E60">
        <w:rPr>
          <w:rFonts w:ascii="Tahoma" w:hAnsi="Tahoma" w:cs="Tahoma"/>
          <w:sz w:val="24"/>
          <w:szCs w:val="24"/>
          <w:lang w:val="en-GB"/>
        </w:rPr>
        <w:t xml:space="preserve">following the </w:t>
      </w:r>
      <w:r w:rsidRPr="00235FEC">
        <w:rPr>
          <w:rFonts w:ascii="Tahoma" w:hAnsi="Tahoma" w:cs="Tahoma"/>
          <w:sz w:val="24"/>
          <w:szCs w:val="24"/>
          <w:lang w:val="en-GB"/>
        </w:rPr>
        <w:t xml:space="preserve">increase in local administration expenses and </w:t>
      </w:r>
      <w:r w:rsidR="005B1F3B">
        <w:rPr>
          <w:rFonts w:ascii="Tahoma" w:hAnsi="Tahoma" w:cs="Tahoma"/>
          <w:sz w:val="24"/>
          <w:szCs w:val="24"/>
          <w:lang w:val="en-GB"/>
        </w:rPr>
        <w:t xml:space="preserve">the </w:t>
      </w:r>
      <w:r w:rsidR="00B11169">
        <w:rPr>
          <w:rFonts w:ascii="Tahoma" w:hAnsi="Tahoma" w:cs="Tahoma"/>
          <w:sz w:val="24"/>
          <w:szCs w:val="24"/>
          <w:lang w:val="en-GB"/>
        </w:rPr>
        <w:t xml:space="preserve">postal service payment (related </w:t>
      </w:r>
      <w:r w:rsidR="00B11169" w:rsidRPr="00500C22">
        <w:rPr>
          <w:rFonts w:ascii="Tahoma" w:hAnsi="Tahoma" w:cs="Tahoma"/>
          <w:sz w:val="24"/>
          <w:szCs w:val="24"/>
          <w:lang w:val="en-GB"/>
        </w:rPr>
        <w:t>to pensions</w:t>
      </w:r>
      <w:r w:rsidR="00ED3824" w:rsidRPr="00500C22">
        <w:rPr>
          <w:rFonts w:ascii="Tahoma" w:hAnsi="Tahoma" w:cs="Tahoma"/>
          <w:sz w:val="24"/>
          <w:szCs w:val="24"/>
          <w:lang w:val="en-GB"/>
        </w:rPr>
        <w:t xml:space="preserve"> distribution</w:t>
      </w:r>
      <w:r w:rsidR="00B11169" w:rsidRPr="00500C22">
        <w:rPr>
          <w:rFonts w:ascii="Tahoma" w:hAnsi="Tahoma" w:cs="Tahoma"/>
          <w:sz w:val="24"/>
          <w:szCs w:val="24"/>
          <w:lang w:val="en-GB"/>
        </w:rPr>
        <w:t xml:space="preserve">). </w:t>
      </w:r>
    </w:p>
    <w:p w:rsidR="00500C22" w:rsidRPr="00500C22" w:rsidRDefault="00235FEC" w:rsidP="00235FEC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500C22">
        <w:rPr>
          <w:rFonts w:ascii="Tahoma" w:hAnsi="Tahoma" w:cs="Tahoma"/>
          <w:b/>
          <w:i/>
          <w:sz w:val="24"/>
          <w:szCs w:val="24"/>
          <w:lang w:val="en-GB"/>
        </w:rPr>
        <w:t>Social assistance expenditure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 </w:t>
      </w:r>
      <w:r w:rsidR="00747E2C" w:rsidRPr="00500C22">
        <w:rPr>
          <w:rFonts w:ascii="Tahoma" w:hAnsi="Tahoma" w:cs="Tahoma"/>
          <w:sz w:val="24"/>
          <w:szCs w:val="24"/>
          <w:lang w:val="en-GB"/>
        </w:rPr>
        <w:t>reached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 RON </w:t>
      </w:r>
      <w:r w:rsidR="00753827" w:rsidRPr="00500C22">
        <w:rPr>
          <w:rFonts w:ascii="Tahoma" w:hAnsi="Tahoma" w:cs="Tahoma"/>
          <w:sz w:val="24"/>
          <w:szCs w:val="28"/>
          <w:lang w:val="en-GB"/>
        </w:rPr>
        <w:t>11.</w:t>
      </w:r>
      <w:r w:rsidRPr="00500C22">
        <w:rPr>
          <w:rFonts w:ascii="Tahoma" w:hAnsi="Tahoma" w:cs="Tahoma"/>
          <w:sz w:val="24"/>
          <w:szCs w:val="28"/>
          <w:lang w:val="en-GB"/>
        </w:rPr>
        <w:t xml:space="preserve">87 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billion, </w:t>
      </w:r>
      <w:r w:rsidR="00754D1A" w:rsidRPr="00500C22">
        <w:rPr>
          <w:rFonts w:ascii="Tahoma" w:hAnsi="Tahoma" w:cs="Tahoma"/>
          <w:sz w:val="24"/>
          <w:szCs w:val="24"/>
          <w:lang w:val="en-GB"/>
        </w:rPr>
        <w:t>advancing by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 15.1% (yoy). This dynamic is mainly explained by increases in: (i) pension point by 15% as of September 1</w:t>
      </w:r>
      <w:r w:rsidRPr="00500C22">
        <w:rPr>
          <w:rFonts w:ascii="Tahoma" w:hAnsi="Tahoma" w:cs="Tahoma"/>
          <w:sz w:val="24"/>
          <w:szCs w:val="24"/>
          <w:vertAlign w:val="superscript"/>
          <w:lang w:val="en-GB"/>
        </w:rPr>
        <w:t>st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 2019 (from RON 1.000 to RON 1.265); (ii) social allowance for pensioners by 10%, (iii) child a</w:t>
      </w:r>
      <w:r w:rsidR="00754D1A" w:rsidRPr="00500C22">
        <w:rPr>
          <w:rFonts w:ascii="Tahoma" w:hAnsi="Tahoma" w:cs="Tahoma"/>
          <w:sz w:val="24"/>
          <w:szCs w:val="24"/>
          <w:lang w:val="en-GB"/>
        </w:rPr>
        <w:t>ll</w:t>
      </w:r>
      <w:r w:rsidR="005B1F3B">
        <w:rPr>
          <w:rFonts w:ascii="Tahoma" w:hAnsi="Tahoma" w:cs="Tahoma"/>
          <w:sz w:val="24"/>
          <w:szCs w:val="24"/>
          <w:lang w:val="en-GB"/>
        </w:rPr>
        <w:t>owance</w:t>
      </w:r>
      <w:r w:rsidR="00754D1A" w:rsidRPr="00500C22">
        <w:rPr>
          <w:rFonts w:ascii="Tahoma" w:hAnsi="Tahoma" w:cs="Tahoma"/>
          <w:sz w:val="24"/>
          <w:szCs w:val="24"/>
          <w:lang w:val="en-GB"/>
        </w:rPr>
        <w:t xml:space="preserve"> increase as of May 1</w:t>
      </w:r>
      <w:r w:rsidR="00754D1A" w:rsidRPr="00500C22">
        <w:rPr>
          <w:rFonts w:ascii="Tahoma" w:hAnsi="Tahoma" w:cs="Tahoma"/>
          <w:sz w:val="24"/>
          <w:szCs w:val="24"/>
          <w:vertAlign w:val="superscript"/>
          <w:lang w:val="en-GB"/>
        </w:rPr>
        <w:t>st</w:t>
      </w:r>
      <w:r w:rsidR="00754D1A" w:rsidRPr="00500C22">
        <w:rPr>
          <w:rFonts w:ascii="Tahoma" w:hAnsi="Tahoma" w:cs="Tahoma"/>
          <w:sz w:val="24"/>
          <w:szCs w:val="24"/>
          <w:lang w:val="en-GB"/>
        </w:rPr>
        <w:t xml:space="preserve"> </w:t>
      </w:r>
      <w:r w:rsidRPr="00500C22">
        <w:rPr>
          <w:rFonts w:ascii="Tahoma" w:hAnsi="Tahoma" w:cs="Tahoma"/>
          <w:sz w:val="24"/>
          <w:szCs w:val="24"/>
          <w:lang w:val="en-GB"/>
        </w:rPr>
        <w:t>2019 and, (iv)</w:t>
      </w:r>
      <w:r w:rsidR="00756AD1" w:rsidRPr="00500C22">
        <w:t xml:space="preserve"> </w:t>
      </w:r>
      <w:r w:rsidR="00C25160" w:rsidRPr="00500C22">
        <w:rPr>
          <w:rFonts w:ascii="Tahoma" w:hAnsi="Tahoma" w:cs="Tahoma"/>
          <w:sz w:val="24"/>
          <w:szCs w:val="24"/>
          <w:lang w:val="en-GB"/>
        </w:rPr>
        <w:t>a</w:t>
      </w:r>
      <w:r w:rsidR="00756AD1" w:rsidRPr="00500C22">
        <w:rPr>
          <w:rFonts w:ascii="Tahoma" w:hAnsi="Tahoma" w:cs="Tahoma"/>
          <w:sz w:val="24"/>
          <w:szCs w:val="24"/>
          <w:lang w:val="en-GB"/>
        </w:rPr>
        <w:t>dvance</w:t>
      </w:r>
      <w:r w:rsidR="0006223E" w:rsidRPr="00500C22">
        <w:rPr>
          <w:rFonts w:ascii="Tahoma" w:hAnsi="Tahoma" w:cs="Tahoma"/>
          <w:sz w:val="24"/>
          <w:szCs w:val="24"/>
          <w:lang w:val="en-GB"/>
        </w:rPr>
        <w:t xml:space="preserve"> </w:t>
      </w:r>
      <w:r w:rsidR="00756AD1" w:rsidRPr="00500C22">
        <w:rPr>
          <w:rFonts w:ascii="Tahoma" w:hAnsi="Tahoma" w:cs="Tahoma"/>
          <w:sz w:val="24"/>
          <w:szCs w:val="24"/>
          <w:lang w:val="en-GB"/>
        </w:rPr>
        <w:t>payment</w:t>
      </w:r>
      <w:r w:rsidR="00E86683" w:rsidRPr="00500C22">
        <w:rPr>
          <w:rFonts w:ascii="Tahoma" w:hAnsi="Tahoma" w:cs="Tahoma"/>
          <w:sz w:val="24"/>
          <w:szCs w:val="24"/>
          <w:lang w:val="en-GB"/>
        </w:rPr>
        <w:t>s</w:t>
      </w:r>
      <w:r w:rsidR="00756AD1" w:rsidRPr="00500C22">
        <w:rPr>
          <w:rFonts w:ascii="Tahoma" w:hAnsi="Tahoma" w:cs="Tahoma"/>
          <w:sz w:val="24"/>
          <w:szCs w:val="24"/>
          <w:lang w:val="en-GB"/>
        </w:rPr>
        <w:t xml:space="preserve"> of 1.4 billion lei </w:t>
      </w:r>
      <w:r w:rsidR="005B1F3B" w:rsidRPr="00500C22">
        <w:rPr>
          <w:rFonts w:ascii="Tahoma" w:hAnsi="Tahoma" w:cs="Tahoma"/>
          <w:sz w:val="24"/>
          <w:szCs w:val="24"/>
          <w:lang w:val="en-GB"/>
        </w:rPr>
        <w:t>relating to</w:t>
      </w:r>
      <w:r w:rsidR="00E86683" w:rsidRPr="00500C22">
        <w:rPr>
          <w:rFonts w:ascii="Tahoma" w:hAnsi="Tahoma" w:cs="Tahoma"/>
          <w:sz w:val="24"/>
          <w:szCs w:val="24"/>
          <w:lang w:val="en-GB"/>
        </w:rPr>
        <w:t xml:space="preserve"> </w:t>
      </w:r>
      <w:r w:rsidR="00756AD1" w:rsidRPr="00500C22">
        <w:rPr>
          <w:rFonts w:ascii="Tahoma" w:hAnsi="Tahoma" w:cs="Tahoma"/>
          <w:sz w:val="24"/>
          <w:szCs w:val="24"/>
          <w:lang w:val="en-GB"/>
        </w:rPr>
        <w:t xml:space="preserve">50% of </w:t>
      </w:r>
      <w:r w:rsidR="00E86683" w:rsidRPr="00500C22">
        <w:rPr>
          <w:rFonts w:ascii="Tahoma" w:hAnsi="Tahoma" w:cs="Tahoma"/>
          <w:sz w:val="24"/>
          <w:szCs w:val="24"/>
          <w:lang w:val="en-GB"/>
        </w:rPr>
        <w:t>February pension expenditure</w:t>
      </w:r>
      <w:r w:rsidR="00756AD1" w:rsidRPr="00500C22">
        <w:rPr>
          <w:rFonts w:ascii="Tahoma" w:hAnsi="Tahoma" w:cs="Tahoma"/>
          <w:sz w:val="24"/>
          <w:szCs w:val="24"/>
          <w:lang w:val="en-GB"/>
        </w:rPr>
        <w:t xml:space="preserve"> distributed </w:t>
      </w:r>
      <w:r w:rsidR="00E86683" w:rsidRPr="00500C22">
        <w:rPr>
          <w:rFonts w:ascii="Tahoma" w:hAnsi="Tahoma" w:cs="Tahoma"/>
          <w:sz w:val="24"/>
          <w:szCs w:val="24"/>
          <w:lang w:val="en-GB"/>
        </w:rPr>
        <w:t>by</w:t>
      </w:r>
      <w:r w:rsidR="00756AD1" w:rsidRPr="00500C22">
        <w:rPr>
          <w:rFonts w:ascii="Tahoma" w:hAnsi="Tahoma" w:cs="Tahoma"/>
          <w:sz w:val="24"/>
          <w:szCs w:val="24"/>
          <w:lang w:val="en-GB"/>
        </w:rPr>
        <w:t xml:space="preserve"> Romanian Post</w:t>
      </w:r>
      <w:r w:rsidR="00E86683" w:rsidRPr="00500C22">
        <w:rPr>
          <w:rFonts w:ascii="Tahoma" w:hAnsi="Tahoma" w:cs="Tahoma"/>
          <w:sz w:val="24"/>
          <w:szCs w:val="24"/>
          <w:lang w:val="en-GB"/>
        </w:rPr>
        <w:t>al Service</w:t>
      </w:r>
      <w:r w:rsidR="00756AD1" w:rsidRPr="00500C22">
        <w:rPr>
          <w:rFonts w:ascii="Tahoma" w:hAnsi="Tahoma" w:cs="Tahoma"/>
          <w:sz w:val="24"/>
          <w:szCs w:val="24"/>
          <w:lang w:val="en-GB"/>
        </w:rPr>
        <w:t>.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235FEC" w:rsidRPr="00500C22" w:rsidRDefault="00235FEC" w:rsidP="00235FEC">
      <w:pPr>
        <w:spacing w:after="120" w:line="360" w:lineRule="auto"/>
        <w:jc w:val="both"/>
        <w:rPr>
          <w:rFonts w:ascii="Tahoma" w:hAnsi="Tahoma" w:cs="Tahoma"/>
          <w:b/>
          <w:i/>
          <w:sz w:val="24"/>
          <w:szCs w:val="24"/>
          <w:lang w:val="en-GB"/>
        </w:rPr>
      </w:pPr>
      <w:r w:rsidRPr="00500C22">
        <w:rPr>
          <w:rFonts w:ascii="Tahoma" w:hAnsi="Tahoma" w:cs="Tahoma"/>
          <w:b/>
          <w:i/>
          <w:sz w:val="24"/>
          <w:szCs w:val="24"/>
          <w:lang w:val="en-GB"/>
        </w:rPr>
        <w:t xml:space="preserve">Other transfers 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amounted to RON 1.7 billion, </w:t>
      </w:r>
      <w:r w:rsidR="00753827" w:rsidRPr="00500C22">
        <w:rPr>
          <w:rFonts w:ascii="Tahoma" w:hAnsi="Tahoma" w:cs="Tahoma"/>
          <w:sz w:val="24"/>
          <w:szCs w:val="24"/>
          <w:lang w:val="en-GB"/>
        </w:rPr>
        <w:t>growing by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 21.0% (yoy), </w:t>
      </w:r>
      <w:r w:rsidR="004D36F4" w:rsidRPr="00500C22">
        <w:rPr>
          <w:rFonts w:ascii="Tahoma" w:hAnsi="Tahoma" w:cs="Tahoma"/>
          <w:sz w:val="24"/>
          <w:szCs w:val="24"/>
          <w:lang w:val="en-GB"/>
        </w:rPr>
        <w:t>reflecting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 a higher national contribution to the EU budget (RON 1.5 billion in January 2020 compared to RON 1.2 billion in January 2019).</w:t>
      </w:r>
      <w:r w:rsidRPr="00500C22">
        <w:rPr>
          <w:rFonts w:ascii="Tahoma" w:hAnsi="Tahoma" w:cs="Tahoma"/>
          <w:b/>
          <w:i/>
          <w:sz w:val="24"/>
          <w:szCs w:val="24"/>
          <w:lang w:val="en-GB"/>
        </w:rPr>
        <w:t xml:space="preserve"> </w:t>
      </w:r>
    </w:p>
    <w:p w:rsidR="00235FEC" w:rsidRPr="00500C22" w:rsidRDefault="00235FEC" w:rsidP="00235FEC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500C22">
        <w:rPr>
          <w:rFonts w:ascii="Tahoma" w:hAnsi="Tahoma" w:cs="Tahoma"/>
          <w:b/>
          <w:i/>
          <w:sz w:val="24"/>
          <w:szCs w:val="24"/>
          <w:lang w:val="en-GB"/>
        </w:rPr>
        <w:t>Other expenditure</w:t>
      </w:r>
      <w:r w:rsidR="004D36F4" w:rsidRPr="00500C22">
        <w:rPr>
          <w:rFonts w:ascii="Tahoma" w:hAnsi="Tahoma" w:cs="Tahoma"/>
          <w:b/>
          <w:i/>
          <w:sz w:val="24"/>
          <w:szCs w:val="24"/>
          <w:lang w:val="en-GB"/>
        </w:rPr>
        <w:t>,</w:t>
      </w:r>
      <w:r w:rsidR="004D36F4" w:rsidRPr="00500C22">
        <w:rPr>
          <w:rFonts w:ascii="Tahoma" w:hAnsi="Tahoma" w:cs="Tahoma"/>
          <w:sz w:val="24"/>
          <w:szCs w:val="24"/>
          <w:lang w:val="en-GB"/>
        </w:rPr>
        <w:t xml:space="preserve"> including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 payment titles issued by the National Authority for Properties Restitution (RON 0.2 billion), scholarships for students and </w:t>
      </w:r>
      <w:r w:rsidR="00C02ECC" w:rsidRPr="00500C22">
        <w:rPr>
          <w:rFonts w:ascii="Tahoma" w:hAnsi="Tahoma" w:cs="Tahoma"/>
          <w:sz w:val="24"/>
          <w:szCs w:val="24"/>
          <w:lang w:val="en-GB"/>
        </w:rPr>
        <w:t>court decisions</w:t>
      </w:r>
      <w:r w:rsidR="004D36F4" w:rsidRPr="00500C22">
        <w:rPr>
          <w:rFonts w:ascii="Tahoma" w:hAnsi="Tahoma" w:cs="Tahoma"/>
          <w:sz w:val="24"/>
          <w:szCs w:val="24"/>
          <w:lang w:val="en-GB"/>
        </w:rPr>
        <w:t xml:space="preserve">, </w:t>
      </w:r>
      <w:r w:rsidRPr="00500C22">
        <w:rPr>
          <w:rFonts w:ascii="Tahoma" w:hAnsi="Tahoma" w:cs="Tahoma"/>
          <w:sz w:val="24"/>
          <w:szCs w:val="24"/>
          <w:lang w:val="en-GB"/>
        </w:rPr>
        <w:t>amounted to RON 0.49 billion</w:t>
      </w:r>
      <w:r w:rsidR="00712164">
        <w:rPr>
          <w:rFonts w:ascii="Tahoma" w:hAnsi="Tahoma" w:cs="Tahoma"/>
          <w:sz w:val="24"/>
          <w:szCs w:val="24"/>
          <w:lang w:val="en-GB"/>
        </w:rPr>
        <w:t xml:space="preserve"> and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 </w:t>
      </w:r>
      <w:r w:rsidR="00753827" w:rsidRPr="00500C22">
        <w:rPr>
          <w:rFonts w:ascii="Tahoma" w:hAnsi="Tahoma" w:cs="Tahoma"/>
          <w:sz w:val="24"/>
          <w:szCs w:val="24"/>
          <w:lang w:val="en-GB"/>
        </w:rPr>
        <w:t>advanc</w:t>
      </w:r>
      <w:r w:rsidR="00712164">
        <w:rPr>
          <w:rFonts w:ascii="Tahoma" w:hAnsi="Tahoma" w:cs="Tahoma"/>
          <w:sz w:val="24"/>
          <w:szCs w:val="24"/>
          <w:lang w:val="en-GB"/>
        </w:rPr>
        <w:t>ed</w:t>
      </w:r>
      <w:r w:rsidR="00753827" w:rsidRPr="00500C22">
        <w:rPr>
          <w:rFonts w:ascii="Tahoma" w:hAnsi="Tahoma" w:cs="Tahoma"/>
          <w:sz w:val="24"/>
          <w:szCs w:val="24"/>
          <w:lang w:val="en-GB"/>
        </w:rPr>
        <w:t xml:space="preserve"> by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 23% (yoy). </w:t>
      </w:r>
    </w:p>
    <w:p w:rsidR="00235FEC" w:rsidRDefault="00235FEC" w:rsidP="00235FEC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500C22">
        <w:rPr>
          <w:rFonts w:ascii="Tahoma" w:hAnsi="Tahoma" w:cs="Tahoma"/>
          <w:sz w:val="24"/>
          <w:szCs w:val="24"/>
          <w:lang w:val="en-GB"/>
        </w:rPr>
        <w:t xml:space="preserve">Expenditure for projects financed from non-reimbursable external funds (including EU subsidies for agriculture) </w:t>
      </w:r>
      <w:r w:rsidR="00754D1A" w:rsidRPr="00500C22">
        <w:rPr>
          <w:rFonts w:ascii="Tahoma" w:hAnsi="Tahoma" w:cs="Tahoma"/>
          <w:sz w:val="24"/>
          <w:szCs w:val="24"/>
          <w:lang w:val="en-GB"/>
        </w:rPr>
        <w:t xml:space="preserve">reached 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RON </w:t>
      </w:r>
      <w:r w:rsidRPr="00500C22">
        <w:rPr>
          <w:rFonts w:ascii="Tahoma" w:hAnsi="Tahoma" w:cs="Tahoma"/>
          <w:bCs/>
          <w:sz w:val="24"/>
          <w:szCs w:val="28"/>
        </w:rPr>
        <w:t>1.26</w:t>
      </w:r>
      <w:r w:rsidRPr="00500C22">
        <w:rPr>
          <w:rFonts w:ascii="Tahoma" w:hAnsi="Tahoma" w:cs="Tahoma"/>
          <w:sz w:val="24"/>
          <w:szCs w:val="24"/>
          <w:lang w:val="en-GB"/>
        </w:rPr>
        <w:t xml:space="preserve"> billion, 2.8%</w:t>
      </w:r>
      <w:r w:rsidR="00660040" w:rsidRPr="00500C22">
        <w:rPr>
          <w:rFonts w:ascii="Tahoma" w:hAnsi="Tahoma" w:cs="Tahoma"/>
          <w:sz w:val="24"/>
          <w:szCs w:val="24"/>
          <w:lang w:val="en-GB"/>
        </w:rPr>
        <w:t xml:space="preserve"> above the level reached in January 2019.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2C44C8" w:rsidRDefault="00235FEC" w:rsidP="00235FEC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lastRenderedPageBreak/>
        <w:t>Investment</w:t>
      </w:r>
      <w:r w:rsidRPr="0066150C">
        <w:rPr>
          <w:rFonts w:ascii="Tahoma" w:hAnsi="Tahoma" w:cs="Tahoma"/>
          <w:sz w:val="24"/>
          <w:szCs w:val="24"/>
          <w:lang w:val="en-GB"/>
        </w:rPr>
        <w:t>, which include</w:t>
      </w:r>
      <w:r w:rsidR="002C44C8">
        <w:rPr>
          <w:rFonts w:ascii="Tahoma" w:hAnsi="Tahoma" w:cs="Tahoma"/>
          <w:sz w:val="24"/>
          <w:szCs w:val="24"/>
          <w:lang w:val="en-GB"/>
        </w:rPr>
        <w:t>s capital expenditure and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spending related to </w:t>
      </w:r>
      <w:r w:rsidRPr="00E6277F">
        <w:rPr>
          <w:rFonts w:ascii="Tahoma" w:hAnsi="Tahoma" w:cs="Tahoma"/>
          <w:sz w:val="24"/>
          <w:szCs w:val="24"/>
          <w:lang w:val="en-GB"/>
        </w:rPr>
        <w:t>development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programs financed from domestic and external sources, amounted to RON </w:t>
      </w:r>
      <w:r w:rsidRPr="009723DE">
        <w:rPr>
          <w:rFonts w:ascii="Tahoma" w:hAnsi="Tahoma" w:cs="Tahoma"/>
          <w:sz w:val="24"/>
          <w:szCs w:val="28"/>
        </w:rPr>
        <w:t>1</w:t>
      </w:r>
      <w:r>
        <w:rPr>
          <w:rFonts w:ascii="Tahoma" w:hAnsi="Tahoma" w:cs="Tahoma"/>
          <w:sz w:val="24"/>
          <w:szCs w:val="28"/>
        </w:rPr>
        <w:t>.</w:t>
      </w:r>
      <w:r w:rsidRPr="009723DE">
        <w:rPr>
          <w:rFonts w:ascii="Tahoma" w:hAnsi="Tahoma" w:cs="Tahoma"/>
          <w:sz w:val="24"/>
          <w:szCs w:val="28"/>
        </w:rPr>
        <w:t xml:space="preserve">31 </w:t>
      </w:r>
      <w:r w:rsidRPr="0066150C">
        <w:rPr>
          <w:rFonts w:ascii="Tahoma" w:hAnsi="Tahoma" w:cs="Tahoma"/>
          <w:sz w:val="24"/>
          <w:szCs w:val="24"/>
          <w:lang w:val="en-GB"/>
        </w:rPr>
        <w:t>billion</w:t>
      </w:r>
      <w:r w:rsidR="00C25F82">
        <w:rPr>
          <w:rFonts w:ascii="Tahoma" w:hAnsi="Tahoma" w:cs="Tahoma"/>
          <w:sz w:val="24"/>
          <w:szCs w:val="24"/>
          <w:lang w:val="en-GB"/>
        </w:rPr>
        <w:t xml:space="preserve"> and has been </w:t>
      </w:r>
      <w:r w:rsidRPr="002C44C8">
        <w:rPr>
          <w:rFonts w:ascii="Tahoma" w:hAnsi="Tahoma" w:cs="Tahoma"/>
          <w:sz w:val="24"/>
          <w:szCs w:val="24"/>
          <w:lang w:val="en-GB"/>
        </w:rPr>
        <w:t>three times higher compared to January 2019 (</w:t>
      </w:r>
      <w:r w:rsidR="002C44C8" w:rsidRPr="002C44C8">
        <w:rPr>
          <w:rFonts w:ascii="Tahoma" w:hAnsi="Tahoma" w:cs="Tahoma"/>
          <w:sz w:val="24"/>
          <w:szCs w:val="24"/>
          <w:lang w:val="en-GB"/>
        </w:rPr>
        <w:t>reflecting increases at both central and local level, as well as from both domestic and non-reimbursable external funds).</w:t>
      </w:r>
      <w:r w:rsidR="002C44C8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484DB4" w:rsidRPr="00235FEC" w:rsidRDefault="00484DB4" w:rsidP="00484DB4">
      <w:pPr>
        <w:spacing w:before="240" w:line="360" w:lineRule="auto"/>
        <w:contextualSpacing/>
        <w:jc w:val="both"/>
        <w:rPr>
          <w:rFonts w:ascii="Tahoma" w:hAnsi="Tahoma" w:cs="Tahoma"/>
          <w:sz w:val="24"/>
          <w:szCs w:val="28"/>
          <w:lang w:val="en-GB"/>
        </w:rPr>
      </w:pPr>
    </w:p>
    <w:p w:rsidR="00484DB4" w:rsidRPr="00235FEC" w:rsidRDefault="00484DB4" w:rsidP="00484DB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GB"/>
        </w:rPr>
      </w:pPr>
    </w:p>
    <w:p w:rsidR="00484DB4" w:rsidRPr="00235FEC" w:rsidRDefault="00C107B1" w:rsidP="00E01455">
      <w:pPr>
        <w:spacing w:after="0" w:line="360" w:lineRule="auto"/>
        <w:jc w:val="center"/>
        <w:rPr>
          <w:rFonts w:ascii="Tahoma" w:hAnsi="Tahoma" w:cs="Tahoma"/>
          <w:sz w:val="2"/>
          <w:szCs w:val="2"/>
          <w:lang w:val="en-GB"/>
        </w:rPr>
      </w:pPr>
      <w:r>
        <w:rPr>
          <w:rFonts w:ascii="Tahoma" w:hAnsi="Tahoma" w:cs="Tahoma"/>
          <w:noProof/>
          <w:sz w:val="2"/>
          <w:szCs w:val="2"/>
          <w:lang w:val="en-US"/>
        </w:rPr>
        <w:drawing>
          <wp:inline distT="0" distB="0" distL="0" distR="0" wp14:anchorId="65916DDD">
            <wp:extent cx="4951095" cy="2571380"/>
            <wp:effectExtent l="0" t="0" r="190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165" cy="2579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4DB4" w:rsidRPr="00235FEC">
        <w:rPr>
          <w:rFonts w:ascii="Tahoma" w:hAnsi="Tahoma" w:cs="Tahoma"/>
          <w:sz w:val="2"/>
          <w:szCs w:val="2"/>
          <w:lang w:val="en-GB"/>
        </w:rPr>
        <w:t xml:space="preserve"> </w:t>
      </w:r>
    </w:p>
    <w:p w:rsidR="00484DB4" w:rsidRPr="00235FEC" w:rsidRDefault="00484DB4" w:rsidP="00484DB4">
      <w:pPr>
        <w:spacing w:after="120" w:line="360" w:lineRule="auto"/>
        <w:jc w:val="both"/>
        <w:rPr>
          <w:rFonts w:ascii="Tahoma" w:hAnsi="Tahoma" w:cs="Tahoma"/>
          <w:sz w:val="2"/>
          <w:szCs w:val="2"/>
          <w:lang w:val="en-GB"/>
        </w:rPr>
      </w:pPr>
    </w:p>
    <w:p w:rsidR="00E01455" w:rsidRPr="00235FEC" w:rsidRDefault="00E01455" w:rsidP="00E01455">
      <w:pPr>
        <w:pStyle w:val="ListParagraph"/>
        <w:spacing w:line="360" w:lineRule="auto"/>
        <w:jc w:val="both"/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</w:pPr>
      <w:r w:rsidRPr="00235FEC"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  <w:t xml:space="preserve">           S</w:t>
      </w:r>
      <w:r w:rsidR="00AB52D0"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  <w:t>ource</w:t>
      </w:r>
      <w:r w:rsidRPr="00235FEC"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  <w:t>: M</w:t>
      </w:r>
      <w:r w:rsidR="00AB52D0"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  <w:t>o</w:t>
      </w:r>
      <w:r w:rsidRPr="00235FEC"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  <w:t>P</w:t>
      </w:r>
      <w:r w:rsidR="00AB52D0">
        <w:rPr>
          <w:rFonts w:ascii="Tahoma" w:hAnsi="Tahoma" w:cs="Tahoma"/>
          <w:color w:val="767171" w:themeColor="background2" w:themeShade="80"/>
          <w:sz w:val="20"/>
          <w:szCs w:val="24"/>
          <w:lang w:val="en-GB"/>
        </w:rPr>
        <w:t>F</w:t>
      </w:r>
    </w:p>
    <w:p w:rsidR="00484DB4" w:rsidRPr="00235FEC" w:rsidRDefault="00484DB4" w:rsidP="00E01455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Cs w:val="28"/>
          <w:lang w:val="en-GB"/>
        </w:rPr>
      </w:pPr>
      <w:r w:rsidRPr="00235FEC">
        <w:rPr>
          <w:rFonts w:ascii="Tahoma" w:hAnsi="Tahoma" w:cs="Tahoma"/>
          <w:b/>
          <w:color w:val="767171" w:themeColor="background2" w:themeShade="80"/>
          <w:szCs w:val="28"/>
          <w:lang w:val="en-GB"/>
        </w:rPr>
        <w:t xml:space="preserve">Fig. 5 </w:t>
      </w:r>
      <w:r w:rsidR="00AB52D0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Public investment structure</w:t>
      </w:r>
    </w:p>
    <w:p w:rsidR="00335354" w:rsidRPr="00235FEC" w:rsidRDefault="00335354">
      <w:pPr>
        <w:rPr>
          <w:rFonts w:ascii="Tahoma" w:hAnsi="Tahoma" w:cs="Tahoma"/>
          <w:sz w:val="24"/>
          <w:szCs w:val="24"/>
          <w:lang w:val="en-GB"/>
        </w:rPr>
      </w:pPr>
    </w:p>
    <w:p w:rsidR="00335354" w:rsidRPr="00235FEC" w:rsidRDefault="00335354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:rsidR="00335354" w:rsidRPr="00235FEC" w:rsidRDefault="00335354" w:rsidP="00335354">
      <w:pPr>
        <w:rPr>
          <w:rFonts w:ascii="Tahoma" w:hAnsi="Tahoma" w:cs="Tahoma"/>
          <w:sz w:val="24"/>
          <w:szCs w:val="24"/>
          <w:lang w:val="en-GB"/>
        </w:rPr>
      </w:pPr>
    </w:p>
    <w:p w:rsidR="00484DB4" w:rsidRPr="00235FEC" w:rsidRDefault="00335354" w:rsidP="00335354">
      <w:pPr>
        <w:tabs>
          <w:tab w:val="left" w:pos="2154"/>
        </w:tabs>
        <w:rPr>
          <w:rFonts w:ascii="Tahoma" w:hAnsi="Tahoma" w:cs="Tahoma"/>
          <w:sz w:val="24"/>
          <w:szCs w:val="24"/>
          <w:lang w:val="en-GB"/>
        </w:rPr>
      </w:pPr>
      <w:r w:rsidRPr="00235FEC">
        <w:rPr>
          <w:rFonts w:ascii="Tahoma" w:hAnsi="Tahoma" w:cs="Tahoma"/>
          <w:sz w:val="24"/>
          <w:szCs w:val="24"/>
          <w:lang w:val="en-GB"/>
        </w:rPr>
        <w:tab/>
      </w:r>
    </w:p>
    <w:p w:rsidR="00335354" w:rsidRPr="00235FEC" w:rsidRDefault="00335354" w:rsidP="00335354">
      <w:pPr>
        <w:tabs>
          <w:tab w:val="left" w:pos="2154"/>
        </w:tabs>
        <w:rPr>
          <w:rFonts w:ascii="Tahoma" w:hAnsi="Tahoma" w:cs="Tahoma"/>
          <w:sz w:val="24"/>
          <w:szCs w:val="24"/>
          <w:lang w:val="en-GB"/>
        </w:rPr>
      </w:pPr>
    </w:p>
    <w:p w:rsidR="00335354" w:rsidRPr="00235FEC" w:rsidRDefault="00335354" w:rsidP="00335354">
      <w:pPr>
        <w:tabs>
          <w:tab w:val="left" w:pos="2154"/>
        </w:tabs>
        <w:rPr>
          <w:rFonts w:ascii="Tahoma" w:hAnsi="Tahoma" w:cs="Tahoma"/>
          <w:sz w:val="24"/>
          <w:szCs w:val="24"/>
          <w:lang w:val="en-GB"/>
        </w:rPr>
        <w:sectPr w:rsidR="00335354" w:rsidRPr="00235FEC" w:rsidSect="00526E8B">
          <w:footerReference w:type="default" r:id="rId13"/>
          <w:pgSz w:w="12240" w:h="15840"/>
          <w:pgMar w:top="1170" w:right="1260" w:bottom="1440" w:left="1170" w:header="720" w:footer="720" w:gutter="0"/>
          <w:cols w:space="720"/>
          <w:docGrid w:linePitch="360"/>
        </w:sectPr>
      </w:pPr>
    </w:p>
    <w:p w:rsidR="00335354" w:rsidRPr="00235FEC" w:rsidRDefault="002A318F" w:rsidP="00335354">
      <w:pPr>
        <w:tabs>
          <w:tab w:val="left" w:pos="2154"/>
        </w:tabs>
        <w:rPr>
          <w:rFonts w:ascii="Tahoma" w:hAnsi="Tahoma" w:cs="Tahoma"/>
          <w:sz w:val="24"/>
          <w:szCs w:val="24"/>
          <w:lang w:val="en-GB"/>
        </w:rPr>
      </w:pPr>
      <w:r w:rsidRPr="002A318F">
        <w:rPr>
          <w:noProof/>
          <w:lang w:val="en-US"/>
        </w:rPr>
        <w:lastRenderedPageBreak/>
        <w:drawing>
          <wp:inline distT="0" distB="0" distL="0" distR="0">
            <wp:extent cx="8402320" cy="582383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320" cy="582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54" w:rsidRPr="00235FEC" w:rsidRDefault="00335354" w:rsidP="00335354">
      <w:pPr>
        <w:tabs>
          <w:tab w:val="left" w:pos="2154"/>
        </w:tabs>
        <w:rPr>
          <w:rFonts w:ascii="Tahoma" w:hAnsi="Tahoma" w:cs="Tahoma"/>
          <w:sz w:val="24"/>
          <w:szCs w:val="24"/>
          <w:lang w:val="en-GB"/>
        </w:rPr>
      </w:pPr>
    </w:p>
    <w:p w:rsidR="00335354" w:rsidRPr="00235FEC" w:rsidRDefault="00335354" w:rsidP="00335354">
      <w:pPr>
        <w:tabs>
          <w:tab w:val="left" w:pos="2154"/>
        </w:tabs>
        <w:rPr>
          <w:rFonts w:ascii="Tahoma" w:hAnsi="Tahoma" w:cs="Tahoma"/>
          <w:sz w:val="24"/>
          <w:szCs w:val="24"/>
          <w:lang w:val="en-GB"/>
        </w:rPr>
      </w:pPr>
    </w:p>
    <w:p w:rsidR="00335354" w:rsidRPr="00235FEC" w:rsidRDefault="002A318F" w:rsidP="00335354">
      <w:pPr>
        <w:tabs>
          <w:tab w:val="left" w:pos="2154"/>
        </w:tabs>
        <w:rPr>
          <w:rFonts w:ascii="Tahoma" w:hAnsi="Tahoma" w:cs="Tahoma"/>
          <w:sz w:val="24"/>
          <w:szCs w:val="24"/>
          <w:lang w:val="en-GB"/>
        </w:rPr>
        <w:sectPr w:rsidR="00335354" w:rsidRPr="00235FEC" w:rsidSect="00335354">
          <w:pgSz w:w="15840" w:h="12240" w:orient="landscape"/>
          <w:pgMar w:top="1168" w:right="1168" w:bottom="1259" w:left="1440" w:header="720" w:footer="720" w:gutter="0"/>
          <w:cols w:space="720"/>
          <w:docGrid w:linePitch="360"/>
        </w:sectPr>
      </w:pPr>
      <w:r w:rsidRPr="002A318F">
        <w:rPr>
          <w:noProof/>
          <w:lang w:val="en-US"/>
        </w:rPr>
        <w:drawing>
          <wp:inline distT="0" distB="0" distL="0" distR="0">
            <wp:extent cx="8401685" cy="48788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689" cy="488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54" w:rsidRPr="00235FEC" w:rsidRDefault="002A318F" w:rsidP="00335354">
      <w:pPr>
        <w:tabs>
          <w:tab w:val="left" w:pos="2154"/>
        </w:tabs>
        <w:rPr>
          <w:rFonts w:ascii="Tahoma" w:hAnsi="Tahoma" w:cs="Tahoma"/>
          <w:sz w:val="24"/>
          <w:szCs w:val="24"/>
          <w:lang w:val="en-GB"/>
        </w:rPr>
      </w:pPr>
      <w:r w:rsidRPr="002A318F">
        <w:rPr>
          <w:noProof/>
          <w:lang w:val="en-US"/>
        </w:rPr>
        <w:lastRenderedPageBreak/>
        <w:drawing>
          <wp:inline distT="0" distB="0" distL="0" distR="0">
            <wp:extent cx="5581086" cy="838898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59" cy="842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354" w:rsidRPr="00235FEC" w:rsidSect="00526E8B">
      <w:pgSz w:w="12240" w:h="15840"/>
      <w:pgMar w:top="117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BA" w:rsidRDefault="00CE2BBA" w:rsidP="006704C5">
      <w:pPr>
        <w:spacing w:after="0" w:line="240" w:lineRule="auto"/>
      </w:pPr>
      <w:r>
        <w:separator/>
      </w:r>
    </w:p>
  </w:endnote>
  <w:endnote w:type="continuationSeparator" w:id="0">
    <w:p w:rsidR="00CE2BBA" w:rsidRDefault="00CE2BBA" w:rsidP="006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70"/>
      <w:gridCol w:w="3240"/>
    </w:tblGrid>
    <w:tr w:rsidR="00CA4A92" w:rsidTr="00A238C5">
      <w:trPr>
        <w:trHeight w:hRule="exact" w:val="115"/>
        <w:jc w:val="center"/>
      </w:trPr>
      <w:tc>
        <w:tcPr>
          <w:tcW w:w="6570" w:type="dxa"/>
          <w:shd w:val="clear" w:color="auto" w:fill="5B9BD5" w:themeFill="accent1"/>
          <w:tcMar>
            <w:top w:w="0" w:type="dxa"/>
            <w:bottom w:w="0" w:type="dxa"/>
          </w:tcMar>
        </w:tcPr>
        <w:p w:rsidR="00CA4A92" w:rsidRDefault="00CA4A9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3240" w:type="dxa"/>
          <w:shd w:val="clear" w:color="auto" w:fill="5B9BD5" w:themeFill="accent1"/>
          <w:tcMar>
            <w:top w:w="0" w:type="dxa"/>
            <w:bottom w:w="0" w:type="dxa"/>
          </w:tcMar>
        </w:tcPr>
        <w:p w:rsidR="00CA4A92" w:rsidRDefault="00CA4A9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A4A92" w:rsidTr="00A238C5">
      <w:trPr>
        <w:jc w:val="center"/>
      </w:trPr>
      <w:sdt>
        <w:sdtPr>
          <w:rPr>
            <w:rFonts w:ascii="Tahoma" w:hAnsi="Tahoma" w:cs="Tahoma"/>
            <w:caps/>
            <w:color w:val="808080" w:themeColor="background1" w:themeShade="80"/>
            <w:sz w:val="18"/>
            <w:szCs w:val="18"/>
            <w:lang w:val="en-US"/>
          </w:rPr>
          <w:alias w:val="Author"/>
          <w:tag w:val=""/>
          <w:id w:val="1534151868"/>
          <w:placeholder>
            <w:docPart w:val="D84F477074C5474DB153439CBFE5B89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70" w:type="dxa"/>
              <w:shd w:val="clear" w:color="auto" w:fill="auto"/>
              <w:vAlign w:val="center"/>
            </w:tcPr>
            <w:p w:rsidR="00CA4A92" w:rsidRPr="00CA4A92" w:rsidRDefault="00A238C5" w:rsidP="00A238C5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Tahoma" w:hAnsi="Tahoma" w:cs="Tahoma"/>
                  <w:caps/>
                  <w:color w:val="808080" w:themeColor="background1" w:themeShade="80"/>
                  <w:sz w:val="18"/>
                  <w:szCs w:val="18"/>
                </w:rPr>
              </w:pPr>
              <w:r w:rsidRPr="00A238C5">
                <w:rPr>
                  <w:rFonts w:ascii="Tahoma" w:hAnsi="Tahoma" w:cs="Tahoma"/>
                  <w:caps/>
                  <w:color w:val="808080" w:themeColor="background1" w:themeShade="80"/>
                  <w:sz w:val="18"/>
                  <w:szCs w:val="18"/>
                  <w:lang w:val="en-US"/>
                </w:rPr>
                <w:t xml:space="preserve">EXECUTION OF THE GENERAL GOVERNMENT BUDGET | </w:t>
              </w:r>
              <w:r>
                <w:rPr>
                  <w:rFonts w:ascii="Tahoma" w:hAnsi="Tahoma" w:cs="Tahoma"/>
                  <w:caps/>
                  <w:color w:val="808080" w:themeColor="background1" w:themeShade="80"/>
                  <w:sz w:val="18"/>
                  <w:szCs w:val="18"/>
                  <w:lang w:val="en-US"/>
                </w:rPr>
                <w:t xml:space="preserve">JANUARY </w:t>
              </w:r>
              <w:r w:rsidRPr="00A238C5">
                <w:rPr>
                  <w:rFonts w:ascii="Tahoma" w:hAnsi="Tahoma" w:cs="Tahoma"/>
                  <w:caps/>
                  <w:color w:val="808080" w:themeColor="background1" w:themeShade="80"/>
                  <w:sz w:val="18"/>
                  <w:szCs w:val="18"/>
                  <w:lang w:val="en-US"/>
                </w:rPr>
                <w:t>2020</w:t>
              </w:r>
            </w:p>
          </w:tc>
        </w:sdtContent>
      </w:sdt>
      <w:tc>
        <w:tcPr>
          <w:tcW w:w="3240" w:type="dxa"/>
          <w:shd w:val="clear" w:color="auto" w:fill="auto"/>
          <w:vAlign w:val="center"/>
        </w:tcPr>
        <w:p w:rsidR="00CA4A92" w:rsidRPr="00CA4A92" w:rsidRDefault="001F36DD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Tahoma" w:hAnsi="Tahoma" w:cs="Tahoma"/>
              <w:caps/>
              <w:color w:val="808080" w:themeColor="background1" w:themeShade="80"/>
              <w:sz w:val="18"/>
              <w:szCs w:val="18"/>
            </w:rPr>
          </w:pPr>
          <w:r w:rsidRPr="00CA4A92">
            <w:rPr>
              <w:rFonts w:ascii="Tahoma" w:hAnsi="Tahoma" w:cs="Tahoma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CA4A92" w:rsidRPr="00CA4A92">
            <w:rPr>
              <w:rFonts w:ascii="Tahoma" w:hAnsi="Tahoma" w:cs="Tahoma"/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CA4A92">
            <w:rPr>
              <w:rFonts w:ascii="Tahoma" w:hAnsi="Tahoma" w:cs="Tahoma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12164">
            <w:rPr>
              <w:rFonts w:ascii="Tahoma" w:hAnsi="Tahoma" w:cs="Tahoma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Pr="00CA4A92">
            <w:rPr>
              <w:rFonts w:ascii="Tahoma" w:hAnsi="Tahoma" w:cs="Tahoma"/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704C5" w:rsidRDefault="00A238C5" w:rsidP="00A238C5">
    <w:pPr>
      <w:pStyle w:val="Footer"/>
      <w:tabs>
        <w:tab w:val="clear" w:pos="4680"/>
        <w:tab w:val="clear" w:pos="9360"/>
        <w:tab w:val="left" w:pos="6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BA" w:rsidRDefault="00CE2BBA" w:rsidP="006704C5">
      <w:pPr>
        <w:spacing w:after="0" w:line="240" w:lineRule="auto"/>
      </w:pPr>
      <w:r>
        <w:separator/>
      </w:r>
    </w:p>
  </w:footnote>
  <w:footnote w:type="continuationSeparator" w:id="0">
    <w:p w:rsidR="00CE2BBA" w:rsidRDefault="00CE2BBA" w:rsidP="006704C5">
      <w:pPr>
        <w:spacing w:after="0" w:line="240" w:lineRule="auto"/>
      </w:pPr>
      <w:r>
        <w:continuationSeparator/>
      </w:r>
    </w:p>
  </w:footnote>
  <w:footnote w:id="1">
    <w:p w:rsidR="00CE699A" w:rsidRPr="0066150C" w:rsidRDefault="00CE699A" w:rsidP="00CE699A">
      <w:pPr>
        <w:pStyle w:val="FootnoteText"/>
        <w:rPr>
          <w:lang w:val="en-GB"/>
        </w:rPr>
      </w:pPr>
      <w:r w:rsidRPr="0066150C">
        <w:rPr>
          <w:rStyle w:val="FootnoteReference"/>
          <w:lang w:val="en-GB"/>
        </w:rPr>
        <w:footnoteRef/>
      </w:r>
      <w:r w:rsidRPr="0066150C">
        <w:rPr>
          <w:lang w:val="en-GB"/>
        </w:rPr>
        <w:t xml:space="preserve"> </w:t>
      </w:r>
      <w:r w:rsidRPr="0066150C">
        <w:rPr>
          <w:color w:val="808080" w:themeColor="background1" w:themeShade="80"/>
          <w:lang w:val="en-GB"/>
        </w:rPr>
        <w:t>PIT revenue includes tax receipts from labour income, capital income and other sources (mostly pensions)</w:t>
      </w:r>
      <w:r w:rsidR="00F56574">
        <w:rPr>
          <w:color w:val="808080" w:themeColor="background1" w:themeShade="80"/>
          <w:lang w:val="en-GB"/>
        </w:rPr>
        <w:t>.</w:t>
      </w:r>
    </w:p>
  </w:footnote>
  <w:footnote w:id="2">
    <w:p w:rsidR="00AB7B38" w:rsidRPr="00CE699A" w:rsidRDefault="00AB7B38" w:rsidP="00F30899">
      <w:pPr>
        <w:pStyle w:val="FootnoteText"/>
        <w:jc w:val="both"/>
        <w:rPr>
          <w:b/>
          <w:lang w:val="en-GB"/>
        </w:rPr>
      </w:pPr>
      <w:r w:rsidRPr="00CE699A">
        <w:rPr>
          <w:rStyle w:val="FootnoteReference"/>
          <w:lang w:val="en-GB"/>
        </w:rPr>
        <w:footnoteRef/>
      </w:r>
      <w:r w:rsidRPr="00CE699A">
        <w:rPr>
          <w:lang w:val="en-GB"/>
        </w:rPr>
        <w:t xml:space="preserve"> </w:t>
      </w:r>
      <w:r w:rsidR="00CE699A" w:rsidRPr="00A52D05">
        <w:rPr>
          <w:color w:val="808080" w:themeColor="background1" w:themeShade="80"/>
          <w:lang w:val="en-GB"/>
        </w:rPr>
        <w:t xml:space="preserve">Receipts from January 2019 were not affected by this exemption, as they were related to the wages of December 2018. In December 2019 </w:t>
      </w:r>
      <w:r w:rsidR="000913D0" w:rsidRPr="00A52D05">
        <w:rPr>
          <w:color w:val="808080" w:themeColor="background1" w:themeShade="80"/>
          <w:lang w:val="en-GB"/>
        </w:rPr>
        <w:t>more than</w:t>
      </w:r>
      <w:r w:rsidR="00CE699A" w:rsidRPr="00A52D05">
        <w:rPr>
          <w:color w:val="808080" w:themeColor="background1" w:themeShade="80"/>
          <w:lang w:val="en-GB"/>
        </w:rPr>
        <w:t xml:space="preserve"> 500,000</w:t>
      </w:r>
      <w:r w:rsidR="00601577">
        <w:rPr>
          <w:color w:val="808080" w:themeColor="background1" w:themeShade="80"/>
          <w:lang w:val="en-GB"/>
        </w:rPr>
        <w:t xml:space="preserve"> construction </w:t>
      </w:r>
      <w:r w:rsidR="00CE699A" w:rsidRPr="00A52D05">
        <w:rPr>
          <w:color w:val="808080" w:themeColor="background1" w:themeShade="80"/>
          <w:lang w:val="en-GB"/>
        </w:rPr>
        <w:t xml:space="preserve">employees </w:t>
      </w:r>
      <w:r w:rsidR="00F56574">
        <w:rPr>
          <w:color w:val="808080" w:themeColor="background1" w:themeShade="80"/>
          <w:lang w:val="en-GB"/>
        </w:rPr>
        <w:t xml:space="preserve">have </w:t>
      </w:r>
      <w:r w:rsidR="00CE699A" w:rsidRPr="00A52D05">
        <w:rPr>
          <w:color w:val="808080" w:themeColor="background1" w:themeShade="80"/>
          <w:lang w:val="en-GB"/>
        </w:rPr>
        <w:t>benefited from th</w:t>
      </w:r>
      <w:r w:rsidR="000913D0" w:rsidRPr="00A52D05">
        <w:rPr>
          <w:color w:val="808080" w:themeColor="background1" w:themeShade="80"/>
          <w:lang w:val="en-GB"/>
        </w:rPr>
        <w:t>is</w:t>
      </w:r>
      <w:r w:rsidR="00CE699A" w:rsidRPr="00A52D05">
        <w:rPr>
          <w:color w:val="808080" w:themeColor="background1" w:themeShade="80"/>
          <w:lang w:val="en-GB"/>
        </w:rPr>
        <w:t xml:space="preserve"> exemption.</w:t>
      </w:r>
    </w:p>
  </w:footnote>
  <w:footnote w:id="3">
    <w:p w:rsidR="00AB7B38" w:rsidRDefault="00AB7B38" w:rsidP="00AB7B3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763F9" w:rsidRPr="00B763F9">
        <w:rPr>
          <w:lang w:val="en-GB"/>
        </w:rPr>
        <w:t xml:space="preserve">The decrease is </w:t>
      </w:r>
      <w:r w:rsidR="005C7107">
        <w:rPr>
          <w:lang w:val="en-GB"/>
        </w:rPr>
        <w:t xml:space="preserve">also </w:t>
      </w:r>
      <w:r w:rsidR="00B763F9" w:rsidRPr="00B763F9">
        <w:rPr>
          <w:lang w:val="en-GB"/>
        </w:rPr>
        <w:t>explained</w:t>
      </w:r>
      <w:r w:rsidR="005C7107">
        <w:rPr>
          <w:lang w:val="en-GB"/>
        </w:rPr>
        <w:t>,</w:t>
      </w:r>
      <w:r w:rsidR="00B763F9" w:rsidRPr="00B763F9">
        <w:rPr>
          <w:lang w:val="en-GB"/>
        </w:rPr>
        <w:t xml:space="preserve"> to a certain extent</w:t>
      </w:r>
      <w:r w:rsidR="005C7107">
        <w:rPr>
          <w:lang w:val="en-GB"/>
        </w:rPr>
        <w:t>,</w:t>
      </w:r>
      <w:r w:rsidR="00B763F9" w:rsidRPr="00B763F9">
        <w:rPr>
          <w:lang w:val="en-GB"/>
        </w:rPr>
        <w:t xml:space="preserve"> by </w:t>
      </w:r>
      <w:r w:rsidR="005C7107" w:rsidRPr="005C7107">
        <w:rPr>
          <w:lang w:val="en-GB"/>
        </w:rPr>
        <w:t>the broadening of the 5% reduced VAT rate to restaurant and catering services, high quality food deliveries, hotel a</w:t>
      </w:r>
      <w:r w:rsidR="005C7107">
        <w:rPr>
          <w:lang w:val="en-GB"/>
        </w:rPr>
        <w:t xml:space="preserve">ccommodation services (from 9%) </w:t>
      </w:r>
      <w:r w:rsidR="00B763F9" w:rsidRPr="00B763F9">
        <w:rPr>
          <w:lang w:val="en-GB"/>
        </w:rPr>
        <w:t>starting with January 1, 2019 (</w:t>
      </w:r>
      <w:r w:rsidR="0075172A">
        <w:rPr>
          <w:lang w:val="en-GB"/>
        </w:rPr>
        <w:t xml:space="preserve">affecting </w:t>
      </w:r>
      <w:r w:rsidR="0075172A" w:rsidRPr="0075172A">
        <w:rPr>
          <w:lang w:val="en-GB"/>
        </w:rPr>
        <w:t>receipts since February 2019</w:t>
      </w:r>
      <w:r w:rsidR="0075172A">
        <w:rPr>
          <w:lang w:val="en-GB"/>
        </w:rPr>
        <w:t>)</w:t>
      </w:r>
      <w:r w:rsidR="00B763F9" w:rsidRPr="00B763F9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74559"/>
    <w:multiLevelType w:val="hybridMultilevel"/>
    <w:tmpl w:val="60F623AE"/>
    <w:lvl w:ilvl="0" w:tplc="A59CE0C4">
      <w:numFmt w:val="bullet"/>
      <w:lvlText w:val="-"/>
      <w:lvlJc w:val="left"/>
      <w:pPr>
        <w:ind w:left="10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>
    <w:nsid w:val="19AE6EB8"/>
    <w:multiLevelType w:val="hybridMultilevel"/>
    <w:tmpl w:val="A8B84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D316B"/>
    <w:multiLevelType w:val="hybridMultilevel"/>
    <w:tmpl w:val="AC76A1EE"/>
    <w:lvl w:ilvl="0" w:tplc="30126C2E">
      <w:numFmt w:val="bullet"/>
      <w:lvlText w:val="-"/>
      <w:lvlJc w:val="left"/>
      <w:pPr>
        <w:ind w:left="750" w:hanging="39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B1D8C"/>
    <w:multiLevelType w:val="hybridMultilevel"/>
    <w:tmpl w:val="A3C410EA"/>
    <w:lvl w:ilvl="0" w:tplc="6F76A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968D3"/>
    <w:multiLevelType w:val="hybridMultilevel"/>
    <w:tmpl w:val="B202A21C"/>
    <w:lvl w:ilvl="0" w:tplc="731EB55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73916"/>
    <w:multiLevelType w:val="hybridMultilevel"/>
    <w:tmpl w:val="7480F156"/>
    <w:lvl w:ilvl="0" w:tplc="30126C2E">
      <w:numFmt w:val="bullet"/>
      <w:lvlText w:val="-"/>
      <w:lvlJc w:val="left"/>
      <w:pPr>
        <w:ind w:left="750" w:hanging="39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97CC7"/>
    <w:multiLevelType w:val="hybridMultilevel"/>
    <w:tmpl w:val="C51EB1E6"/>
    <w:lvl w:ilvl="0" w:tplc="52C60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23"/>
    <w:rsid w:val="00001E8C"/>
    <w:rsid w:val="00012C3B"/>
    <w:rsid w:val="00016F63"/>
    <w:rsid w:val="00017361"/>
    <w:rsid w:val="00026DEC"/>
    <w:rsid w:val="00032A05"/>
    <w:rsid w:val="00041D0D"/>
    <w:rsid w:val="00043EEA"/>
    <w:rsid w:val="000500BA"/>
    <w:rsid w:val="00052351"/>
    <w:rsid w:val="00056BE3"/>
    <w:rsid w:val="000573AD"/>
    <w:rsid w:val="0006223E"/>
    <w:rsid w:val="00062A56"/>
    <w:rsid w:val="0008264F"/>
    <w:rsid w:val="000913D0"/>
    <w:rsid w:val="000916B5"/>
    <w:rsid w:val="000941CC"/>
    <w:rsid w:val="000942F8"/>
    <w:rsid w:val="000951A2"/>
    <w:rsid w:val="00095242"/>
    <w:rsid w:val="000A25FA"/>
    <w:rsid w:val="000A4203"/>
    <w:rsid w:val="000A62E1"/>
    <w:rsid w:val="000B579B"/>
    <w:rsid w:val="000C30DF"/>
    <w:rsid w:val="000C5478"/>
    <w:rsid w:val="000D2B64"/>
    <w:rsid w:val="000D5417"/>
    <w:rsid w:val="000D653B"/>
    <w:rsid w:val="000F0A63"/>
    <w:rsid w:val="000F10A9"/>
    <w:rsid w:val="000F1E3F"/>
    <w:rsid w:val="000F62DB"/>
    <w:rsid w:val="001049CF"/>
    <w:rsid w:val="00107875"/>
    <w:rsid w:val="00122DF5"/>
    <w:rsid w:val="00125818"/>
    <w:rsid w:val="00142FC5"/>
    <w:rsid w:val="00153418"/>
    <w:rsid w:val="00156388"/>
    <w:rsid w:val="00170657"/>
    <w:rsid w:val="001707DC"/>
    <w:rsid w:val="00175AD6"/>
    <w:rsid w:val="0018055E"/>
    <w:rsid w:val="001915F6"/>
    <w:rsid w:val="001A2254"/>
    <w:rsid w:val="001B1E6F"/>
    <w:rsid w:val="001B20A6"/>
    <w:rsid w:val="001B60DA"/>
    <w:rsid w:val="001B70D2"/>
    <w:rsid w:val="001C52B3"/>
    <w:rsid w:val="001D03AF"/>
    <w:rsid w:val="001D06A7"/>
    <w:rsid w:val="001D29DC"/>
    <w:rsid w:val="001D44C7"/>
    <w:rsid w:val="001D65FC"/>
    <w:rsid w:val="001D6927"/>
    <w:rsid w:val="001E4EAE"/>
    <w:rsid w:val="001E6762"/>
    <w:rsid w:val="001F1E8A"/>
    <w:rsid w:val="001F36DD"/>
    <w:rsid w:val="00206989"/>
    <w:rsid w:val="00212F98"/>
    <w:rsid w:val="00214764"/>
    <w:rsid w:val="00217F5C"/>
    <w:rsid w:val="002200B1"/>
    <w:rsid w:val="00220A5A"/>
    <w:rsid w:val="00222089"/>
    <w:rsid w:val="00223065"/>
    <w:rsid w:val="0022634D"/>
    <w:rsid w:val="00231AE5"/>
    <w:rsid w:val="00232E16"/>
    <w:rsid w:val="0023449A"/>
    <w:rsid w:val="00235FEC"/>
    <w:rsid w:val="00237850"/>
    <w:rsid w:val="00241CAA"/>
    <w:rsid w:val="00253FAE"/>
    <w:rsid w:val="00256949"/>
    <w:rsid w:val="00271414"/>
    <w:rsid w:val="00274B69"/>
    <w:rsid w:val="00274F7D"/>
    <w:rsid w:val="002915B1"/>
    <w:rsid w:val="0029776C"/>
    <w:rsid w:val="002A318F"/>
    <w:rsid w:val="002A7F1B"/>
    <w:rsid w:val="002B0F64"/>
    <w:rsid w:val="002B3CC9"/>
    <w:rsid w:val="002C44C8"/>
    <w:rsid w:val="002C7C10"/>
    <w:rsid w:val="002D4811"/>
    <w:rsid w:val="002E36A6"/>
    <w:rsid w:val="002E7628"/>
    <w:rsid w:val="002F4790"/>
    <w:rsid w:val="00302BA3"/>
    <w:rsid w:val="00311431"/>
    <w:rsid w:val="00313230"/>
    <w:rsid w:val="00335354"/>
    <w:rsid w:val="00353276"/>
    <w:rsid w:val="003565E1"/>
    <w:rsid w:val="00356F6A"/>
    <w:rsid w:val="00360906"/>
    <w:rsid w:val="00361BAE"/>
    <w:rsid w:val="0036632F"/>
    <w:rsid w:val="003773F4"/>
    <w:rsid w:val="003836BC"/>
    <w:rsid w:val="00392457"/>
    <w:rsid w:val="00392E3D"/>
    <w:rsid w:val="003943B0"/>
    <w:rsid w:val="0039710E"/>
    <w:rsid w:val="003A6D4C"/>
    <w:rsid w:val="003B44A7"/>
    <w:rsid w:val="003C25D1"/>
    <w:rsid w:val="003C28B1"/>
    <w:rsid w:val="003C663D"/>
    <w:rsid w:val="003E0E25"/>
    <w:rsid w:val="003F37F1"/>
    <w:rsid w:val="003F4337"/>
    <w:rsid w:val="003F4E84"/>
    <w:rsid w:val="003F7A5E"/>
    <w:rsid w:val="00400409"/>
    <w:rsid w:val="004071E1"/>
    <w:rsid w:val="00407EFE"/>
    <w:rsid w:val="00410E69"/>
    <w:rsid w:val="00414D79"/>
    <w:rsid w:val="00423CAE"/>
    <w:rsid w:val="004320A1"/>
    <w:rsid w:val="00432FF1"/>
    <w:rsid w:val="00434C82"/>
    <w:rsid w:val="0044046A"/>
    <w:rsid w:val="00452ACC"/>
    <w:rsid w:val="004546CE"/>
    <w:rsid w:val="0046238D"/>
    <w:rsid w:val="0046491F"/>
    <w:rsid w:val="0048352B"/>
    <w:rsid w:val="00484DB4"/>
    <w:rsid w:val="0048518E"/>
    <w:rsid w:val="004901E4"/>
    <w:rsid w:val="004A1E84"/>
    <w:rsid w:val="004B7A33"/>
    <w:rsid w:val="004C2943"/>
    <w:rsid w:val="004C373B"/>
    <w:rsid w:val="004D1156"/>
    <w:rsid w:val="004D36F4"/>
    <w:rsid w:val="004D6936"/>
    <w:rsid w:val="004E0E38"/>
    <w:rsid w:val="004E0EDE"/>
    <w:rsid w:val="004E126B"/>
    <w:rsid w:val="004E13C1"/>
    <w:rsid w:val="004E2A7B"/>
    <w:rsid w:val="004E3BAE"/>
    <w:rsid w:val="004F2959"/>
    <w:rsid w:val="00500C22"/>
    <w:rsid w:val="0050613A"/>
    <w:rsid w:val="00511104"/>
    <w:rsid w:val="00515DAC"/>
    <w:rsid w:val="005233AC"/>
    <w:rsid w:val="00526E8B"/>
    <w:rsid w:val="00527A5F"/>
    <w:rsid w:val="005316E8"/>
    <w:rsid w:val="0053393D"/>
    <w:rsid w:val="005458DC"/>
    <w:rsid w:val="00547F5F"/>
    <w:rsid w:val="005623F6"/>
    <w:rsid w:val="005656AD"/>
    <w:rsid w:val="00565CBB"/>
    <w:rsid w:val="00571D08"/>
    <w:rsid w:val="00573953"/>
    <w:rsid w:val="00581AF2"/>
    <w:rsid w:val="005842BD"/>
    <w:rsid w:val="0058551F"/>
    <w:rsid w:val="005879EE"/>
    <w:rsid w:val="005922C0"/>
    <w:rsid w:val="005964AB"/>
    <w:rsid w:val="005A2C17"/>
    <w:rsid w:val="005A37CF"/>
    <w:rsid w:val="005A4448"/>
    <w:rsid w:val="005B1F3B"/>
    <w:rsid w:val="005C1DD0"/>
    <w:rsid w:val="005C7107"/>
    <w:rsid w:val="005C7C7E"/>
    <w:rsid w:val="005E58C4"/>
    <w:rsid w:val="005F3004"/>
    <w:rsid w:val="00601577"/>
    <w:rsid w:val="00603647"/>
    <w:rsid w:val="00622EAC"/>
    <w:rsid w:val="00623A5E"/>
    <w:rsid w:val="00625493"/>
    <w:rsid w:val="006306E1"/>
    <w:rsid w:val="00660040"/>
    <w:rsid w:val="00667C1C"/>
    <w:rsid w:val="006704C5"/>
    <w:rsid w:val="00671CB8"/>
    <w:rsid w:val="00672393"/>
    <w:rsid w:val="006730CA"/>
    <w:rsid w:val="00682712"/>
    <w:rsid w:val="00682DEE"/>
    <w:rsid w:val="00686F10"/>
    <w:rsid w:val="0069273C"/>
    <w:rsid w:val="00692B95"/>
    <w:rsid w:val="00694A9A"/>
    <w:rsid w:val="00696BE5"/>
    <w:rsid w:val="006A012D"/>
    <w:rsid w:val="006A0560"/>
    <w:rsid w:val="006B50AB"/>
    <w:rsid w:val="006C0750"/>
    <w:rsid w:val="006C31A6"/>
    <w:rsid w:val="006C76FA"/>
    <w:rsid w:val="006E2931"/>
    <w:rsid w:val="006E734C"/>
    <w:rsid w:val="006F3F63"/>
    <w:rsid w:val="006F6BF2"/>
    <w:rsid w:val="00703ACE"/>
    <w:rsid w:val="007059A5"/>
    <w:rsid w:val="007108BD"/>
    <w:rsid w:val="00712164"/>
    <w:rsid w:val="007121BE"/>
    <w:rsid w:val="00717788"/>
    <w:rsid w:val="00721CAF"/>
    <w:rsid w:val="00734D13"/>
    <w:rsid w:val="0073637C"/>
    <w:rsid w:val="0073781B"/>
    <w:rsid w:val="00740BCB"/>
    <w:rsid w:val="00740FA8"/>
    <w:rsid w:val="00741961"/>
    <w:rsid w:val="00742502"/>
    <w:rsid w:val="00742F88"/>
    <w:rsid w:val="00744377"/>
    <w:rsid w:val="00744E04"/>
    <w:rsid w:val="00746D5E"/>
    <w:rsid w:val="00747E2C"/>
    <w:rsid w:val="0075172A"/>
    <w:rsid w:val="00751BF9"/>
    <w:rsid w:val="007536F7"/>
    <w:rsid w:val="00753827"/>
    <w:rsid w:val="00754831"/>
    <w:rsid w:val="00754D1A"/>
    <w:rsid w:val="00756AD1"/>
    <w:rsid w:val="00771F9D"/>
    <w:rsid w:val="007725A3"/>
    <w:rsid w:val="00791130"/>
    <w:rsid w:val="00791FEB"/>
    <w:rsid w:val="007A0DDC"/>
    <w:rsid w:val="007A23F1"/>
    <w:rsid w:val="007B4E71"/>
    <w:rsid w:val="007B5527"/>
    <w:rsid w:val="007D381A"/>
    <w:rsid w:val="007D5BA0"/>
    <w:rsid w:val="007D76CC"/>
    <w:rsid w:val="007D782E"/>
    <w:rsid w:val="007E48B7"/>
    <w:rsid w:val="00800AC8"/>
    <w:rsid w:val="00807885"/>
    <w:rsid w:val="008154B0"/>
    <w:rsid w:val="0082174B"/>
    <w:rsid w:val="008343FE"/>
    <w:rsid w:val="008366F9"/>
    <w:rsid w:val="00854A05"/>
    <w:rsid w:val="00883977"/>
    <w:rsid w:val="00883C7D"/>
    <w:rsid w:val="008841E4"/>
    <w:rsid w:val="00886DFA"/>
    <w:rsid w:val="00896686"/>
    <w:rsid w:val="008A2ED1"/>
    <w:rsid w:val="008A3F97"/>
    <w:rsid w:val="008A6AFE"/>
    <w:rsid w:val="008B1FD4"/>
    <w:rsid w:val="008B44CC"/>
    <w:rsid w:val="008D4EFA"/>
    <w:rsid w:val="008D5E65"/>
    <w:rsid w:val="008E2FC1"/>
    <w:rsid w:val="008E39D6"/>
    <w:rsid w:val="008E7607"/>
    <w:rsid w:val="008F6106"/>
    <w:rsid w:val="008F735B"/>
    <w:rsid w:val="009008DE"/>
    <w:rsid w:val="0090243B"/>
    <w:rsid w:val="00907645"/>
    <w:rsid w:val="00910F23"/>
    <w:rsid w:val="0092174A"/>
    <w:rsid w:val="009300C7"/>
    <w:rsid w:val="00933946"/>
    <w:rsid w:val="00934745"/>
    <w:rsid w:val="00934D73"/>
    <w:rsid w:val="00936318"/>
    <w:rsid w:val="00936B61"/>
    <w:rsid w:val="00943365"/>
    <w:rsid w:val="00943E38"/>
    <w:rsid w:val="00964866"/>
    <w:rsid w:val="00964CBD"/>
    <w:rsid w:val="009714B3"/>
    <w:rsid w:val="009723DE"/>
    <w:rsid w:val="00973651"/>
    <w:rsid w:val="009746E7"/>
    <w:rsid w:val="009775C3"/>
    <w:rsid w:val="009833EE"/>
    <w:rsid w:val="009A25BD"/>
    <w:rsid w:val="009A2E62"/>
    <w:rsid w:val="009A4D06"/>
    <w:rsid w:val="009A5714"/>
    <w:rsid w:val="009A5F48"/>
    <w:rsid w:val="009B7E76"/>
    <w:rsid w:val="009C2214"/>
    <w:rsid w:val="009C3388"/>
    <w:rsid w:val="009C72B0"/>
    <w:rsid w:val="009E35E8"/>
    <w:rsid w:val="009E4B9C"/>
    <w:rsid w:val="00A02EF0"/>
    <w:rsid w:val="00A1285D"/>
    <w:rsid w:val="00A15402"/>
    <w:rsid w:val="00A238C5"/>
    <w:rsid w:val="00A263BF"/>
    <w:rsid w:val="00A33EA5"/>
    <w:rsid w:val="00A44D76"/>
    <w:rsid w:val="00A45580"/>
    <w:rsid w:val="00A45C4C"/>
    <w:rsid w:val="00A46A47"/>
    <w:rsid w:val="00A52D05"/>
    <w:rsid w:val="00A725CE"/>
    <w:rsid w:val="00A737BB"/>
    <w:rsid w:val="00A86B38"/>
    <w:rsid w:val="00A96E6E"/>
    <w:rsid w:val="00AA6EE5"/>
    <w:rsid w:val="00AB52D0"/>
    <w:rsid w:val="00AB7B38"/>
    <w:rsid w:val="00AC33D2"/>
    <w:rsid w:val="00AC5273"/>
    <w:rsid w:val="00AD74AC"/>
    <w:rsid w:val="00AE5117"/>
    <w:rsid w:val="00AE54C4"/>
    <w:rsid w:val="00AF3117"/>
    <w:rsid w:val="00AF7AEA"/>
    <w:rsid w:val="00B0181F"/>
    <w:rsid w:val="00B03261"/>
    <w:rsid w:val="00B11169"/>
    <w:rsid w:val="00B17760"/>
    <w:rsid w:val="00B25F58"/>
    <w:rsid w:val="00B42D64"/>
    <w:rsid w:val="00B43EF4"/>
    <w:rsid w:val="00B44140"/>
    <w:rsid w:val="00B519D8"/>
    <w:rsid w:val="00B55707"/>
    <w:rsid w:val="00B67AE1"/>
    <w:rsid w:val="00B67E3C"/>
    <w:rsid w:val="00B734CD"/>
    <w:rsid w:val="00B763F9"/>
    <w:rsid w:val="00B87BDE"/>
    <w:rsid w:val="00B921B0"/>
    <w:rsid w:val="00B92EB8"/>
    <w:rsid w:val="00BA152F"/>
    <w:rsid w:val="00BA17B1"/>
    <w:rsid w:val="00BA47F5"/>
    <w:rsid w:val="00BA63CD"/>
    <w:rsid w:val="00BA66BF"/>
    <w:rsid w:val="00BA7231"/>
    <w:rsid w:val="00BB1057"/>
    <w:rsid w:val="00BD4CA5"/>
    <w:rsid w:val="00BE3856"/>
    <w:rsid w:val="00BE4BB6"/>
    <w:rsid w:val="00BE4FC7"/>
    <w:rsid w:val="00BE5D00"/>
    <w:rsid w:val="00BE7B9B"/>
    <w:rsid w:val="00BF0246"/>
    <w:rsid w:val="00BF0BC4"/>
    <w:rsid w:val="00BF7E60"/>
    <w:rsid w:val="00C02ECC"/>
    <w:rsid w:val="00C067B1"/>
    <w:rsid w:val="00C107B1"/>
    <w:rsid w:val="00C1370B"/>
    <w:rsid w:val="00C16D94"/>
    <w:rsid w:val="00C1718B"/>
    <w:rsid w:val="00C21E60"/>
    <w:rsid w:val="00C25160"/>
    <w:rsid w:val="00C25F82"/>
    <w:rsid w:val="00C267BD"/>
    <w:rsid w:val="00C32CA3"/>
    <w:rsid w:val="00C361BA"/>
    <w:rsid w:val="00C50AC2"/>
    <w:rsid w:val="00C51147"/>
    <w:rsid w:val="00C56676"/>
    <w:rsid w:val="00C624BA"/>
    <w:rsid w:val="00C7035B"/>
    <w:rsid w:val="00C7250A"/>
    <w:rsid w:val="00C76E83"/>
    <w:rsid w:val="00C80231"/>
    <w:rsid w:val="00C83108"/>
    <w:rsid w:val="00C86C65"/>
    <w:rsid w:val="00C87154"/>
    <w:rsid w:val="00C8723C"/>
    <w:rsid w:val="00C877EE"/>
    <w:rsid w:val="00C90455"/>
    <w:rsid w:val="00C9325A"/>
    <w:rsid w:val="00CA3901"/>
    <w:rsid w:val="00CA4A92"/>
    <w:rsid w:val="00CA4EB6"/>
    <w:rsid w:val="00CA50CD"/>
    <w:rsid w:val="00CA79E1"/>
    <w:rsid w:val="00CB5101"/>
    <w:rsid w:val="00CB72EB"/>
    <w:rsid w:val="00CC03AF"/>
    <w:rsid w:val="00CC402A"/>
    <w:rsid w:val="00CC4F2C"/>
    <w:rsid w:val="00CD33CA"/>
    <w:rsid w:val="00CD37CA"/>
    <w:rsid w:val="00CD578B"/>
    <w:rsid w:val="00CE2B39"/>
    <w:rsid w:val="00CE2BBA"/>
    <w:rsid w:val="00CE54D7"/>
    <w:rsid w:val="00CE6770"/>
    <w:rsid w:val="00CE699A"/>
    <w:rsid w:val="00CE721E"/>
    <w:rsid w:val="00CF1ED7"/>
    <w:rsid w:val="00D1037B"/>
    <w:rsid w:val="00D109D6"/>
    <w:rsid w:val="00D2421D"/>
    <w:rsid w:val="00D36298"/>
    <w:rsid w:val="00D374AE"/>
    <w:rsid w:val="00D40303"/>
    <w:rsid w:val="00D506AC"/>
    <w:rsid w:val="00D60BC0"/>
    <w:rsid w:val="00D96816"/>
    <w:rsid w:val="00DA35E4"/>
    <w:rsid w:val="00DB1C61"/>
    <w:rsid w:val="00DD3FBA"/>
    <w:rsid w:val="00DD5C43"/>
    <w:rsid w:val="00DE2EB1"/>
    <w:rsid w:val="00DE5601"/>
    <w:rsid w:val="00DF01F7"/>
    <w:rsid w:val="00DF4383"/>
    <w:rsid w:val="00DF5205"/>
    <w:rsid w:val="00DF6426"/>
    <w:rsid w:val="00DF707F"/>
    <w:rsid w:val="00E01455"/>
    <w:rsid w:val="00E16164"/>
    <w:rsid w:val="00E21979"/>
    <w:rsid w:val="00E23BE8"/>
    <w:rsid w:val="00E25FC5"/>
    <w:rsid w:val="00E261B4"/>
    <w:rsid w:val="00E42AAB"/>
    <w:rsid w:val="00E56254"/>
    <w:rsid w:val="00E74759"/>
    <w:rsid w:val="00E74A8C"/>
    <w:rsid w:val="00E75196"/>
    <w:rsid w:val="00E82CC6"/>
    <w:rsid w:val="00E8379D"/>
    <w:rsid w:val="00E86683"/>
    <w:rsid w:val="00E87431"/>
    <w:rsid w:val="00E92C88"/>
    <w:rsid w:val="00E94D84"/>
    <w:rsid w:val="00EB0ECB"/>
    <w:rsid w:val="00EB7155"/>
    <w:rsid w:val="00EC3F79"/>
    <w:rsid w:val="00ED2E85"/>
    <w:rsid w:val="00ED3824"/>
    <w:rsid w:val="00ED3A9E"/>
    <w:rsid w:val="00ED3C31"/>
    <w:rsid w:val="00ED6201"/>
    <w:rsid w:val="00EE3559"/>
    <w:rsid w:val="00EE4334"/>
    <w:rsid w:val="00EF2503"/>
    <w:rsid w:val="00EF6134"/>
    <w:rsid w:val="00EF74C2"/>
    <w:rsid w:val="00F072D2"/>
    <w:rsid w:val="00F07738"/>
    <w:rsid w:val="00F14666"/>
    <w:rsid w:val="00F155D7"/>
    <w:rsid w:val="00F156D5"/>
    <w:rsid w:val="00F170F2"/>
    <w:rsid w:val="00F22F81"/>
    <w:rsid w:val="00F263F6"/>
    <w:rsid w:val="00F27AD3"/>
    <w:rsid w:val="00F30899"/>
    <w:rsid w:val="00F405DB"/>
    <w:rsid w:val="00F42E28"/>
    <w:rsid w:val="00F51834"/>
    <w:rsid w:val="00F53291"/>
    <w:rsid w:val="00F53A27"/>
    <w:rsid w:val="00F5546F"/>
    <w:rsid w:val="00F56574"/>
    <w:rsid w:val="00F578E9"/>
    <w:rsid w:val="00F7443E"/>
    <w:rsid w:val="00F859E9"/>
    <w:rsid w:val="00F859F4"/>
    <w:rsid w:val="00F86001"/>
    <w:rsid w:val="00F94C90"/>
    <w:rsid w:val="00F972DC"/>
    <w:rsid w:val="00FA10B7"/>
    <w:rsid w:val="00FA11D3"/>
    <w:rsid w:val="00FB17C8"/>
    <w:rsid w:val="00FB6A82"/>
    <w:rsid w:val="00FC0E54"/>
    <w:rsid w:val="00FD1E06"/>
    <w:rsid w:val="00FD1F6D"/>
    <w:rsid w:val="00FE1EA0"/>
    <w:rsid w:val="00FE57E7"/>
    <w:rsid w:val="00FF15AC"/>
    <w:rsid w:val="00FF60CF"/>
    <w:rsid w:val="00FF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34188-2FEB-4854-A2D3-0958BCB9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D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4C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7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4C5"/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87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9E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9EE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EE"/>
    <w:rPr>
      <w:rFonts w:ascii="Segoe UI" w:hAnsi="Segoe UI" w:cs="Segoe UI"/>
      <w:sz w:val="18"/>
      <w:szCs w:val="18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46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46E7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74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8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4F477074C5474DB153439CBFE5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C4DB-4B98-4828-A2DB-7CEFE3A6E5F7}"/>
      </w:docPartPr>
      <w:docPartBody>
        <w:p w:rsidR="00B20AF3" w:rsidRDefault="007D235C" w:rsidP="007D235C">
          <w:pPr>
            <w:pStyle w:val="D84F477074C5474DB153439CBFE5B89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235C"/>
    <w:rsid w:val="00003060"/>
    <w:rsid w:val="00016BDE"/>
    <w:rsid w:val="00024B67"/>
    <w:rsid w:val="000406A2"/>
    <w:rsid w:val="00046379"/>
    <w:rsid w:val="0007608A"/>
    <w:rsid w:val="00126D45"/>
    <w:rsid w:val="00212767"/>
    <w:rsid w:val="00266D62"/>
    <w:rsid w:val="0027247A"/>
    <w:rsid w:val="00414289"/>
    <w:rsid w:val="004E2B15"/>
    <w:rsid w:val="00577EFC"/>
    <w:rsid w:val="005D0CF2"/>
    <w:rsid w:val="00644648"/>
    <w:rsid w:val="006B4261"/>
    <w:rsid w:val="006D26BC"/>
    <w:rsid w:val="006E4CB8"/>
    <w:rsid w:val="00742E48"/>
    <w:rsid w:val="00757288"/>
    <w:rsid w:val="007C272E"/>
    <w:rsid w:val="007D235C"/>
    <w:rsid w:val="00824870"/>
    <w:rsid w:val="00884844"/>
    <w:rsid w:val="008B294D"/>
    <w:rsid w:val="009F6538"/>
    <w:rsid w:val="00AB4049"/>
    <w:rsid w:val="00B20AF3"/>
    <w:rsid w:val="00B24F01"/>
    <w:rsid w:val="00C2554E"/>
    <w:rsid w:val="00C7242F"/>
    <w:rsid w:val="00C81CF7"/>
    <w:rsid w:val="00D51E4B"/>
    <w:rsid w:val="00D52511"/>
    <w:rsid w:val="00D57ECE"/>
    <w:rsid w:val="00DE4240"/>
    <w:rsid w:val="00E1117C"/>
    <w:rsid w:val="00E1791D"/>
    <w:rsid w:val="00E37535"/>
    <w:rsid w:val="00E74945"/>
    <w:rsid w:val="00E82EAA"/>
    <w:rsid w:val="00E9355A"/>
    <w:rsid w:val="00FC570D"/>
    <w:rsid w:val="00FD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53FAA469BF41AFB80B15BA8B3BC5C7">
    <w:name w:val="DC53FAA469BF41AFB80B15BA8B3BC5C7"/>
    <w:rsid w:val="007D235C"/>
  </w:style>
  <w:style w:type="paragraph" w:customStyle="1" w:styleId="A63BA8AA347747239C28BBD29DF049A6">
    <w:name w:val="A63BA8AA347747239C28BBD29DF049A6"/>
    <w:rsid w:val="007D235C"/>
  </w:style>
  <w:style w:type="paragraph" w:customStyle="1" w:styleId="EFE17D0A18134B018CED955263547CFF">
    <w:name w:val="EFE17D0A18134B018CED955263547CFF"/>
    <w:rsid w:val="007D235C"/>
  </w:style>
  <w:style w:type="paragraph" w:customStyle="1" w:styleId="9F4ED5013DF44E3199274DF65CB4D04D">
    <w:name w:val="9F4ED5013DF44E3199274DF65CB4D04D"/>
    <w:rsid w:val="007D235C"/>
  </w:style>
  <w:style w:type="paragraph" w:customStyle="1" w:styleId="AE61C2965EC946FA873DC7359A55B5A6">
    <w:name w:val="AE61C2965EC946FA873DC7359A55B5A6"/>
    <w:rsid w:val="007D235C"/>
  </w:style>
  <w:style w:type="character" w:styleId="PlaceholderText">
    <w:name w:val="Placeholder Text"/>
    <w:basedOn w:val="DefaultParagraphFont"/>
    <w:uiPriority w:val="99"/>
    <w:semiHidden/>
    <w:rsid w:val="007D235C"/>
    <w:rPr>
      <w:color w:val="808080"/>
    </w:rPr>
  </w:style>
  <w:style w:type="paragraph" w:customStyle="1" w:styleId="D84F477074C5474DB153439CBFE5B89B">
    <w:name w:val="D84F477074C5474DB153439CBFE5B89B"/>
    <w:rsid w:val="007D2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BCBA-8029-4EEC-AB16-B6A7FDDC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Finantelor Publice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EXECUTION OF THE GENERAL GOVERNMENT BUDGET | JANUARY 2020</dc:creator>
  <cp:lastModifiedBy>DAN MATEI</cp:lastModifiedBy>
  <cp:revision>2</cp:revision>
  <cp:lastPrinted>2020-02-25T14:57:00Z</cp:lastPrinted>
  <dcterms:created xsi:type="dcterms:W3CDTF">2020-03-02T11:17:00Z</dcterms:created>
  <dcterms:modified xsi:type="dcterms:W3CDTF">2020-03-02T11:17:00Z</dcterms:modified>
</cp:coreProperties>
</file>