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84" w:rsidRPr="00F228D9" w:rsidRDefault="003F4E84"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F228D9">
        <w:rPr>
          <w:rFonts w:ascii="Tahoma" w:hAnsi="Tahoma" w:cs="Tahoma"/>
          <w:b/>
          <w:caps/>
          <w:color w:val="0070C0"/>
          <w:sz w:val="24"/>
          <w:szCs w:val="24"/>
        </w:rPr>
        <w:t>execuția bugetului general consolidat</w:t>
      </w:r>
    </w:p>
    <w:p w:rsidR="004B7A33" w:rsidRPr="00F228D9" w:rsidRDefault="002B01DC" w:rsidP="003F4E84">
      <w:pPr>
        <w:spacing w:after="120" w:line="240" w:lineRule="auto"/>
        <w:jc w:val="right"/>
        <w:rPr>
          <w:rFonts w:ascii="Tahoma" w:hAnsi="Tahoma" w:cs="Tahoma"/>
          <w:b/>
          <w:color w:val="0070C0"/>
          <w:sz w:val="24"/>
          <w:szCs w:val="24"/>
        </w:rPr>
      </w:pPr>
      <w:r w:rsidRPr="00F228D9">
        <w:rPr>
          <w:rFonts w:ascii="Tahoma" w:hAnsi="Tahoma" w:cs="Tahoma"/>
          <w:b/>
          <w:color w:val="0070C0"/>
          <w:sz w:val="24"/>
          <w:szCs w:val="24"/>
        </w:rPr>
        <w:t xml:space="preserve">31 </w:t>
      </w:r>
      <w:r w:rsidR="00661C32" w:rsidRPr="00F228D9">
        <w:rPr>
          <w:rFonts w:ascii="Tahoma" w:hAnsi="Tahoma" w:cs="Tahoma"/>
          <w:b/>
          <w:color w:val="0070C0"/>
          <w:sz w:val="24"/>
          <w:szCs w:val="24"/>
        </w:rPr>
        <w:t>MARTIE</w:t>
      </w:r>
      <w:r w:rsidR="009300C7" w:rsidRPr="00F228D9">
        <w:rPr>
          <w:rFonts w:ascii="Tahoma" w:hAnsi="Tahoma" w:cs="Tahoma"/>
          <w:b/>
          <w:color w:val="0070C0"/>
          <w:sz w:val="24"/>
          <w:szCs w:val="24"/>
        </w:rPr>
        <w:t>2020</w:t>
      </w:r>
      <w:r w:rsidR="00526E8B" w:rsidRPr="00F228D9">
        <w:rPr>
          <w:rFonts w:ascii="Tahoma" w:hAnsi="Tahoma" w:cs="Tahoma"/>
          <w:b/>
          <w:color w:val="0070C0"/>
          <w:sz w:val="24"/>
          <w:szCs w:val="24"/>
        </w:rPr>
        <w:br/>
      </w:r>
    </w:p>
    <w:p w:rsidR="003F4E84" w:rsidRPr="00F228D9" w:rsidRDefault="003F4E84" w:rsidP="003F4E84">
      <w:pPr>
        <w:spacing w:after="120" w:line="240" w:lineRule="auto"/>
        <w:jc w:val="right"/>
        <w:rPr>
          <w:rFonts w:ascii="Tahoma" w:hAnsi="Tahoma" w:cs="Tahoma"/>
          <w:b/>
          <w:color w:val="0070C0"/>
          <w:sz w:val="24"/>
          <w:szCs w:val="24"/>
        </w:rPr>
      </w:pPr>
    </w:p>
    <w:p w:rsidR="00061787" w:rsidRPr="00F228D9" w:rsidRDefault="009723DE" w:rsidP="002B3CC9">
      <w:pPr>
        <w:shd w:val="clear" w:color="auto" w:fill="DEEAF6" w:themeFill="accent1" w:themeFillTint="33"/>
        <w:spacing w:after="120" w:line="360" w:lineRule="auto"/>
        <w:jc w:val="both"/>
        <w:rPr>
          <w:rFonts w:ascii="Tahoma" w:hAnsi="Tahoma" w:cs="Tahoma"/>
          <w:sz w:val="24"/>
          <w:szCs w:val="24"/>
        </w:rPr>
      </w:pPr>
      <w:r w:rsidRPr="00F228D9">
        <w:rPr>
          <w:rFonts w:ascii="Tahoma" w:hAnsi="Tahoma" w:cs="Tahoma"/>
          <w:sz w:val="24"/>
          <w:szCs w:val="24"/>
        </w:rPr>
        <w:t>E</w:t>
      </w:r>
      <w:r w:rsidR="000F1E3F" w:rsidRPr="00F228D9">
        <w:rPr>
          <w:rFonts w:ascii="Tahoma" w:hAnsi="Tahoma" w:cs="Tahoma"/>
          <w:sz w:val="24"/>
          <w:szCs w:val="24"/>
        </w:rPr>
        <w:t xml:space="preserve">xecuția bugetului general consolidat </w:t>
      </w:r>
      <w:r w:rsidR="00800AC8" w:rsidRPr="00F228D9">
        <w:rPr>
          <w:rFonts w:ascii="Tahoma" w:hAnsi="Tahoma" w:cs="Tahoma"/>
          <w:sz w:val="24"/>
          <w:szCs w:val="24"/>
        </w:rPr>
        <w:t xml:space="preserve">în </w:t>
      </w:r>
      <w:r w:rsidR="00B339DC" w:rsidRPr="00F228D9">
        <w:rPr>
          <w:rFonts w:ascii="Tahoma" w:hAnsi="Tahoma" w:cs="Tahoma"/>
          <w:sz w:val="24"/>
          <w:szCs w:val="24"/>
        </w:rPr>
        <w:t xml:space="preserve">primele </w:t>
      </w:r>
      <w:r w:rsidR="00661C32" w:rsidRPr="00F228D9">
        <w:rPr>
          <w:rFonts w:ascii="Tahoma" w:hAnsi="Tahoma" w:cs="Tahoma"/>
          <w:sz w:val="24"/>
          <w:szCs w:val="24"/>
        </w:rPr>
        <w:t>trei</w:t>
      </w:r>
      <w:r w:rsidR="00B339DC" w:rsidRPr="00F228D9">
        <w:rPr>
          <w:rFonts w:ascii="Tahoma" w:hAnsi="Tahoma" w:cs="Tahoma"/>
          <w:sz w:val="24"/>
          <w:szCs w:val="24"/>
        </w:rPr>
        <w:t xml:space="preserve"> luni ale anului</w:t>
      </w:r>
      <w:r w:rsidR="00800AC8" w:rsidRPr="00F228D9">
        <w:rPr>
          <w:rFonts w:ascii="Tahoma" w:hAnsi="Tahoma" w:cs="Tahoma"/>
          <w:sz w:val="24"/>
          <w:szCs w:val="24"/>
        </w:rPr>
        <w:t xml:space="preserve"> 2020</w:t>
      </w:r>
      <w:r w:rsidR="007F4FE7" w:rsidRPr="00F228D9">
        <w:rPr>
          <w:rFonts w:ascii="Tahoma" w:hAnsi="Tahoma" w:cs="Tahoma"/>
          <w:sz w:val="24"/>
          <w:szCs w:val="24"/>
        </w:rPr>
        <w:t xml:space="preserve">a înregistrat </w:t>
      </w:r>
      <w:r w:rsidR="000F1E3F" w:rsidRPr="00F228D9">
        <w:rPr>
          <w:rFonts w:ascii="Tahoma" w:hAnsi="Tahoma" w:cs="Tahoma"/>
          <w:sz w:val="24"/>
          <w:szCs w:val="24"/>
        </w:rPr>
        <w:t xml:space="preserve">un </w:t>
      </w:r>
      <w:r w:rsidR="000F1E3F" w:rsidRPr="00F228D9">
        <w:rPr>
          <w:rFonts w:ascii="Tahoma" w:hAnsi="Tahoma" w:cs="Tahoma"/>
          <w:b/>
          <w:sz w:val="24"/>
          <w:szCs w:val="24"/>
        </w:rPr>
        <w:t xml:space="preserve">deficit de </w:t>
      </w:r>
      <w:r w:rsidR="00661C32" w:rsidRPr="00F228D9">
        <w:rPr>
          <w:rFonts w:ascii="Tahoma" w:hAnsi="Tahoma" w:cs="Tahoma"/>
          <w:b/>
          <w:sz w:val="24"/>
          <w:szCs w:val="24"/>
        </w:rPr>
        <w:t>1</w:t>
      </w:r>
      <w:r w:rsidR="008A34D2" w:rsidRPr="00F228D9">
        <w:rPr>
          <w:rFonts w:ascii="Tahoma" w:hAnsi="Tahoma" w:cs="Tahoma"/>
          <w:b/>
          <w:sz w:val="24"/>
          <w:szCs w:val="24"/>
        </w:rPr>
        <w:t>8,</w:t>
      </w:r>
      <w:r w:rsidR="00661C32" w:rsidRPr="00F228D9">
        <w:rPr>
          <w:rFonts w:ascii="Tahoma" w:hAnsi="Tahoma" w:cs="Tahoma"/>
          <w:b/>
          <w:sz w:val="24"/>
          <w:szCs w:val="24"/>
        </w:rPr>
        <w:t>06</w:t>
      </w:r>
      <w:r w:rsidR="000F1E3F" w:rsidRPr="00F228D9">
        <w:rPr>
          <w:rFonts w:ascii="Tahoma" w:hAnsi="Tahoma" w:cs="Tahoma"/>
          <w:b/>
          <w:sz w:val="24"/>
          <w:szCs w:val="24"/>
        </w:rPr>
        <w:t xml:space="preserve"> miliarde lei (</w:t>
      </w:r>
      <w:r w:rsidR="00661C32" w:rsidRPr="00F228D9">
        <w:rPr>
          <w:rFonts w:ascii="Tahoma" w:hAnsi="Tahoma" w:cs="Tahoma"/>
          <w:b/>
          <w:sz w:val="24"/>
          <w:szCs w:val="24"/>
        </w:rPr>
        <w:t>1</w:t>
      </w:r>
      <w:r w:rsidR="00800AC8" w:rsidRPr="00F228D9">
        <w:rPr>
          <w:rFonts w:ascii="Tahoma" w:hAnsi="Tahoma" w:cs="Tahoma"/>
          <w:b/>
          <w:sz w:val="24"/>
          <w:szCs w:val="24"/>
        </w:rPr>
        <w:t>,</w:t>
      </w:r>
      <w:r w:rsidR="00661C32" w:rsidRPr="00F228D9">
        <w:rPr>
          <w:rFonts w:ascii="Tahoma" w:hAnsi="Tahoma" w:cs="Tahoma"/>
          <w:b/>
          <w:sz w:val="24"/>
          <w:szCs w:val="24"/>
        </w:rPr>
        <w:t>67</w:t>
      </w:r>
      <w:r w:rsidR="000F1E3F" w:rsidRPr="00F228D9">
        <w:rPr>
          <w:rFonts w:ascii="Tahoma" w:hAnsi="Tahoma" w:cs="Tahoma"/>
          <w:b/>
          <w:sz w:val="24"/>
          <w:szCs w:val="24"/>
        </w:rPr>
        <w:t>% din PIB)</w:t>
      </w:r>
      <w:r w:rsidR="000F1E3F" w:rsidRPr="00F228D9">
        <w:rPr>
          <w:rFonts w:ascii="Tahoma" w:hAnsi="Tahoma" w:cs="Tahoma"/>
          <w:sz w:val="24"/>
          <w:szCs w:val="24"/>
        </w:rPr>
        <w:t xml:space="preserve"> (Anexa nr. 1 și Anexa nr. 2).</w:t>
      </w:r>
    </w:p>
    <w:p w:rsidR="00692AF8" w:rsidRPr="00F228D9" w:rsidRDefault="007F4FE7" w:rsidP="000141BF">
      <w:pPr>
        <w:shd w:val="clear" w:color="auto" w:fill="DEEAF6" w:themeFill="accent1" w:themeFillTint="33"/>
        <w:spacing w:after="120" w:line="360" w:lineRule="auto"/>
        <w:jc w:val="both"/>
        <w:rPr>
          <w:rFonts w:ascii="Tahoma" w:hAnsi="Tahoma" w:cs="Tahoma"/>
          <w:color w:val="000000" w:themeColor="text1"/>
          <w:sz w:val="24"/>
          <w:szCs w:val="24"/>
        </w:rPr>
      </w:pPr>
      <w:r w:rsidRPr="00F228D9">
        <w:rPr>
          <w:rFonts w:ascii="Tahoma" w:hAnsi="Tahoma" w:cs="Tahoma"/>
          <w:color w:val="000000" w:themeColor="text1"/>
          <w:sz w:val="24"/>
          <w:szCs w:val="24"/>
        </w:rPr>
        <w:t>Creşterea d</w:t>
      </w:r>
      <w:r w:rsidR="00273697" w:rsidRPr="00F228D9">
        <w:rPr>
          <w:rFonts w:ascii="Tahoma" w:hAnsi="Tahoma" w:cs="Tahoma"/>
          <w:color w:val="000000" w:themeColor="text1"/>
          <w:sz w:val="24"/>
          <w:szCs w:val="24"/>
        </w:rPr>
        <w:t xml:space="preserve">eficitul </w:t>
      </w:r>
      <w:r w:rsidR="007F440C" w:rsidRPr="00F228D9">
        <w:rPr>
          <w:rFonts w:ascii="Tahoma" w:hAnsi="Tahoma" w:cs="Tahoma"/>
          <w:color w:val="000000" w:themeColor="text1"/>
          <w:sz w:val="24"/>
          <w:szCs w:val="24"/>
        </w:rPr>
        <w:t xml:space="preserve">bugetar </w:t>
      </w:r>
      <w:r w:rsidR="00273697" w:rsidRPr="00F228D9">
        <w:rPr>
          <w:rFonts w:ascii="Tahoma" w:hAnsi="Tahoma" w:cs="Tahoma"/>
          <w:color w:val="000000" w:themeColor="text1"/>
          <w:sz w:val="24"/>
          <w:szCs w:val="24"/>
        </w:rPr>
        <w:t>aferent</w:t>
      </w:r>
      <w:r w:rsidR="00AF0F5C">
        <w:rPr>
          <w:rFonts w:ascii="Tahoma" w:hAnsi="Tahoma" w:cs="Tahoma"/>
          <w:color w:val="000000" w:themeColor="text1"/>
          <w:sz w:val="24"/>
          <w:szCs w:val="24"/>
        </w:rPr>
        <w:t xml:space="preserve"> </w:t>
      </w:r>
      <w:r w:rsidR="00273697" w:rsidRPr="00F228D9">
        <w:rPr>
          <w:rFonts w:ascii="Tahoma" w:hAnsi="Tahoma" w:cs="Tahoma"/>
          <w:color w:val="000000" w:themeColor="text1"/>
          <w:sz w:val="24"/>
          <w:szCs w:val="24"/>
        </w:rPr>
        <w:t>primului trimestru al anului curent, c</w:t>
      </w:r>
      <w:r w:rsidR="000141BF" w:rsidRPr="00F228D9">
        <w:rPr>
          <w:rFonts w:ascii="Tahoma" w:hAnsi="Tahoma" w:cs="Tahoma"/>
          <w:color w:val="000000" w:themeColor="text1"/>
          <w:sz w:val="24"/>
          <w:szCs w:val="24"/>
        </w:rPr>
        <w:t xml:space="preserve">omparativ cu </w:t>
      </w:r>
      <w:r w:rsidR="00273697" w:rsidRPr="00F228D9">
        <w:rPr>
          <w:rFonts w:ascii="Tahoma" w:hAnsi="Tahoma" w:cs="Tahoma"/>
          <w:color w:val="000000" w:themeColor="text1"/>
          <w:sz w:val="24"/>
          <w:szCs w:val="24"/>
        </w:rPr>
        <w:t>cel</w:t>
      </w:r>
      <w:r w:rsidR="000141BF" w:rsidRPr="00F228D9">
        <w:rPr>
          <w:rFonts w:ascii="Tahoma" w:hAnsi="Tahoma" w:cs="Tahoma"/>
          <w:color w:val="000000" w:themeColor="text1"/>
          <w:sz w:val="24"/>
          <w:szCs w:val="24"/>
        </w:rPr>
        <w:t xml:space="preserve"> înregistrat în perioada similară a anului trecut, este explicat</w:t>
      </w:r>
      <w:r w:rsidRPr="00F228D9">
        <w:rPr>
          <w:rFonts w:ascii="Tahoma" w:hAnsi="Tahoma" w:cs="Tahoma"/>
          <w:color w:val="000000" w:themeColor="text1"/>
          <w:sz w:val="24"/>
          <w:szCs w:val="24"/>
        </w:rPr>
        <w:t>ă</w:t>
      </w:r>
      <w:r w:rsidR="000141BF" w:rsidRPr="00F228D9">
        <w:rPr>
          <w:rFonts w:ascii="Tahoma" w:hAnsi="Tahoma" w:cs="Tahoma"/>
          <w:color w:val="000000" w:themeColor="text1"/>
          <w:sz w:val="24"/>
          <w:szCs w:val="24"/>
        </w:rPr>
        <w:t xml:space="preserve"> în principal </w:t>
      </w:r>
      <w:r w:rsidR="006477A6" w:rsidRPr="00F228D9">
        <w:rPr>
          <w:rFonts w:ascii="Tahoma" w:hAnsi="Tahoma" w:cs="Tahoma"/>
          <w:color w:val="000000" w:themeColor="text1"/>
          <w:sz w:val="24"/>
          <w:szCs w:val="24"/>
        </w:rPr>
        <w:t xml:space="preserve">de </w:t>
      </w:r>
      <w:r w:rsidRPr="00F228D9">
        <w:rPr>
          <w:rFonts w:ascii="Tahoma" w:hAnsi="Tahoma" w:cs="Tahoma"/>
          <w:color w:val="000000" w:themeColor="text1"/>
          <w:sz w:val="24"/>
          <w:szCs w:val="24"/>
        </w:rPr>
        <w:t xml:space="preserve">evoluţia nefavorabilă a încasărilor bugetare în luna martie ca urmare a amânării plăţii </w:t>
      </w:r>
      <w:r w:rsidR="00661A38" w:rsidRPr="00F228D9">
        <w:rPr>
          <w:rFonts w:ascii="Tahoma" w:hAnsi="Tahoma" w:cs="Tahoma"/>
          <w:color w:val="000000" w:themeColor="text1"/>
          <w:sz w:val="24"/>
          <w:szCs w:val="24"/>
        </w:rPr>
        <w:t>unor obligaţii</w:t>
      </w:r>
      <w:r w:rsidRPr="00F228D9">
        <w:rPr>
          <w:rFonts w:ascii="Tahoma" w:hAnsi="Tahoma" w:cs="Tahoma"/>
          <w:color w:val="000000" w:themeColor="text1"/>
          <w:sz w:val="24"/>
          <w:szCs w:val="24"/>
        </w:rPr>
        <w:t xml:space="preserve"> fiscale de către agenţii economici</w:t>
      </w:r>
      <w:r w:rsidR="006477A6" w:rsidRPr="00F228D9">
        <w:rPr>
          <w:rFonts w:ascii="Tahoma" w:hAnsi="Tahoma" w:cs="Tahoma"/>
          <w:color w:val="000000" w:themeColor="text1"/>
          <w:sz w:val="24"/>
          <w:szCs w:val="24"/>
        </w:rPr>
        <w:t>pe perioada stării de urgență</w:t>
      </w:r>
      <w:r w:rsidR="00202269">
        <w:rPr>
          <w:rFonts w:ascii="Tahoma" w:hAnsi="Tahoma" w:cs="Tahoma"/>
          <w:color w:val="000000" w:themeColor="text1"/>
          <w:sz w:val="24"/>
          <w:szCs w:val="24"/>
        </w:rPr>
        <w:t xml:space="preserve"> (7,7 mld lei)</w:t>
      </w:r>
      <w:bookmarkStart w:id="0" w:name="_GoBack"/>
      <w:bookmarkEnd w:id="0"/>
      <w:r w:rsidR="00A811A1" w:rsidRPr="00F228D9">
        <w:rPr>
          <w:rStyle w:val="FootnoteReference"/>
          <w:rFonts w:ascii="Tahoma" w:hAnsi="Tahoma" w:cs="Tahoma"/>
          <w:color w:val="000000" w:themeColor="text1"/>
          <w:sz w:val="24"/>
          <w:szCs w:val="24"/>
        </w:rPr>
        <w:footnoteReference w:id="2"/>
      </w:r>
      <w:r w:rsidR="00ED2E0A" w:rsidRPr="00F228D9">
        <w:rPr>
          <w:rFonts w:ascii="Tahoma" w:hAnsi="Tahoma" w:cs="Tahoma"/>
          <w:color w:val="000000" w:themeColor="text1"/>
          <w:sz w:val="24"/>
          <w:szCs w:val="24"/>
        </w:rPr>
        <w:t xml:space="preserve">și </w:t>
      </w:r>
      <w:r w:rsidR="00661A38" w:rsidRPr="00F228D9">
        <w:rPr>
          <w:rFonts w:ascii="Tahoma" w:hAnsi="Tahoma" w:cs="Tahoma"/>
          <w:color w:val="000000" w:themeColor="text1"/>
          <w:sz w:val="24"/>
          <w:szCs w:val="24"/>
        </w:rPr>
        <w:t xml:space="preserve">de </w:t>
      </w:r>
      <w:r w:rsidR="00692AF8" w:rsidRPr="00F228D9">
        <w:rPr>
          <w:rFonts w:ascii="Tahoma" w:hAnsi="Tahoma" w:cs="Tahoma"/>
          <w:color w:val="000000" w:themeColor="text1"/>
          <w:sz w:val="24"/>
          <w:szCs w:val="24"/>
        </w:rPr>
        <w:t>restituirile suplimentare de TVA de 3,</w:t>
      </w:r>
      <w:r w:rsidR="00005729" w:rsidRPr="00F228D9">
        <w:rPr>
          <w:rFonts w:ascii="Tahoma" w:hAnsi="Tahoma" w:cs="Tahoma"/>
          <w:color w:val="000000" w:themeColor="text1"/>
          <w:sz w:val="24"/>
          <w:szCs w:val="24"/>
        </w:rPr>
        <w:t>17</w:t>
      </w:r>
      <w:r w:rsidR="00B60435" w:rsidRPr="00F228D9">
        <w:rPr>
          <w:rFonts w:ascii="Tahoma" w:hAnsi="Tahoma" w:cs="Tahoma"/>
          <w:color w:val="000000" w:themeColor="text1"/>
          <w:sz w:val="24"/>
          <w:szCs w:val="24"/>
        </w:rPr>
        <w:t>mld</w:t>
      </w:r>
      <w:r w:rsidR="00692AF8" w:rsidRPr="00F228D9">
        <w:rPr>
          <w:rFonts w:ascii="Tahoma" w:hAnsi="Tahoma" w:cs="Tahoma"/>
          <w:color w:val="000000" w:themeColor="text1"/>
          <w:sz w:val="24"/>
          <w:szCs w:val="24"/>
        </w:rPr>
        <w:t xml:space="preserve"> lei</w:t>
      </w:r>
      <w:r w:rsidR="00C87486" w:rsidRPr="00F228D9">
        <w:rPr>
          <w:rFonts w:ascii="Tahoma" w:hAnsi="Tahoma" w:cs="Tahoma"/>
          <w:color w:val="000000" w:themeColor="text1"/>
          <w:sz w:val="24"/>
          <w:szCs w:val="24"/>
        </w:rPr>
        <w:t xml:space="preserve"> pentru </w:t>
      </w:r>
      <w:r w:rsidR="009B5876" w:rsidRPr="00F228D9">
        <w:rPr>
          <w:rFonts w:ascii="Tahoma" w:hAnsi="Tahoma" w:cs="Tahoma"/>
          <w:color w:val="000000" w:themeColor="text1"/>
          <w:sz w:val="24"/>
          <w:szCs w:val="24"/>
        </w:rPr>
        <w:t xml:space="preserve">susţinerea </w:t>
      </w:r>
      <w:r w:rsidR="00225829" w:rsidRPr="00F228D9">
        <w:rPr>
          <w:rFonts w:ascii="Tahoma" w:hAnsi="Tahoma" w:cs="Tahoma"/>
          <w:color w:val="000000" w:themeColor="text1"/>
          <w:sz w:val="24"/>
          <w:szCs w:val="24"/>
        </w:rPr>
        <w:t>l</w:t>
      </w:r>
      <w:r w:rsidR="00225829">
        <w:rPr>
          <w:rFonts w:ascii="Tahoma" w:hAnsi="Tahoma" w:cs="Tahoma"/>
          <w:color w:val="000000" w:themeColor="text1"/>
          <w:sz w:val="24"/>
          <w:szCs w:val="24"/>
        </w:rPr>
        <w:t>ichidității în sectorul privat. De asemenea, pe partea de cheltuieli</w:t>
      </w:r>
      <w:r w:rsidR="007E6BCA">
        <w:rPr>
          <w:rFonts w:ascii="Tahoma" w:hAnsi="Tahoma" w:cs="Tahoma"/>
          <w:color w:val="000000" w:themeColor="text1"/>
          <w:sz w:val="24"/>
          <w:szCs w:val="24"/>
        </w:rPr>
        <w:t>,</w:t>
      </w:r>
      <w:r w:rsidR="00AF0F5C">
        <w:rPr>
          <w:rFonts w:ascii="Tahoma" w:hAnsi="Tahoma" w:cs="Tahoma"/>
          <w:color w:val="000000" w:themeColor="text1"/>
          <w:sz w:val="24"/>
          <w:szCs w:val="24"/>
        </w:rPr>
        <w:t xml:space="preserve"> </w:t>
      </w:r>
      <w:r w:rsidR="00225829" w:rsidRPr="00225829">
        <w:rPr>
          <w:rFonts w:ascii="Tahoma" w:hAnsi="Tahoma" w:cs="Tahoma"/>
          <w:color w:val="000000" w:themeColor="text1"/>
          <w:sz w:val="24"/>
          <w:szCs w:val="24"/>
        </w:rPr>
        <w:t>creșterea cheltuielilor d</w:t>
      </w:r>
      <w:r w:rsidR="00225829">
        <w:rPr>
          <w:rFonts w:ascii="Tahoma" w:hAnsi="Tahoma" w:cs="Tahoma"/>
          <w:color w:val="000000" w:themeColor="text1"/>
          <w:sz w:val="24"/>
          <w:szCs w:val="24"/>
        </w:rPr>
        <w:t>e investiții cu aproximativ 1,0 miliard</w:t>
      </w:r>
      <w:r w:rsidR="00225829" w:rsidRPr="00225829">
        <w:rPr>
          <w:rFonts w:ascii="Tahoma" w:hAnsi="Tahoma" w:cs="Tahoma"/>
          <w:color w:val="000000" w:themeColor="text1"/>
          <w:sz w:val="24"/>
          <w:szCs w:val="24"/>
        </w:rPr>
        <w:t xml:space="preserve"> lei față de aceeași perioadă a anului precedent, precum și avansurile ajutoarelor naționale tranzitorii în sectorul vege</w:t>
      </w:r>
      <w:r w:rsidR="00225829">
        <w:rPr>
          <w:rFonts w:ascii="Tahoma" w:hAnsi="Tahoma" w:cs="Tahoma"/>
          <w:color w:val="000000" w:themeColor="text1"/>
          <w:sz w:val="24"/>
          <w:szCs w:val="24"/>
        </w:rPr>
        <w:t>tal și zootehnic în sumă de aproximativ 1,0 miliard</w:t>
      </w:r>
      <w:r w:rsidR="00225829" w:rsidRPr="00225829">
        <w:rPr>
          <w:rFonts w:ascii="Tahoma" w:hAnsi="Tahoma" w:cs="Tahoma"/>
          <w:color w:val="000000" w:themeColor="text1"/>
          <w:sz w:val="24"/>
          <w:szCs w:val="24"/>
        </w:rPr>
        <w:t xml:space="preserve"> lei</w:t>
      </w:r>
      <w:r w:rsidR="007E6BCA">
        <w:rPr>
          <w:rFonts w:ascii="Tahoma" w:hAnsi="Tahoma" w:cs="Tahoma"/>
          <w:color w:val="000000" w:themeColor="text1"/>
          <w:sz w:val="24"/>
          <w:szCs w:val="24"/>
        </w:rPr>
        <w:t xml:space="preserve"> au contribuit la majorarea deficitului</w:t>
      </w:r>
      <w:r w:rsidR="00225829" w:rsidRPr="00225829">
        <w:rPr>
          <w:rFonts w:ascii="Tahoma" w:hAnsi="Tahoma" w:cs="Tahoma"/>
          <w:color w:val="000000" w:themeColor="text1"/>
          <w:sz w:val="24"/>
          <w:szCs w:val="24"/>
        </w:rPr>
        <w:t>.</w:t>
      </w:r>
    </w:p>
    <w:p w:rsidR="00016F63" w:rsidRPr="00F228D9" w:rsidRDefault="00016F63" w:rsidP="000141BF">
      <w:pPr>
        <w:pStyle w:val="ListParagraph"/>
        <w:spacing w:line="360" w:lineRule="auto"/>
        <w:jc w:val="both"/>
        <w:rPr>
          <w:rFonts w:ascii="Tahoma" w:hAnsi="Tahoma" w:cs="Tahoma"/>
          <w:b/>
          <w:color w:val="767171" w:themeColor="background2" w:themeShade="80"/>
          <w:sz w:val="24"/>
          <w:szCs w:val="24"/>
        </w:rPr>
      </w:pPr>
    </w:p>
    <w:p w:rsidR="00F972DC" w:rsidRPr="00F228D9"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F228D9">
        <w:rPr>
          <w:rFonts w:ascii="Tahoma" w:hAnsi="Tahoma" w:cs="Tahoma"/>
          <w:b/>
          <w:caps/>
          <w:color w:val="0070C0"/>
          <w:sz w:val="24"/>
          <w:szCs w:val="24"/>
        </w:rPr>
        <w:t>veniturile bugetului general consolidat</w:t>
      </w:r>
    </w:p>
    <w:p w:rsidR="000F1E3F" w:rsidRPr="00F228D9" w:rsidRDefault="000F1E3F" w:rsidP="000F1E3F">
      <w:pPr>
        <w:spacing w:after="120" w:line="240" w:lineRule="auto"/>
        <w:rPr>
          <w:rFonts w:ascii="Tahoma" w:hAnsi="Tahoma" w:cs="Tahoma"/>
          <w:b/>
          <w:color w:val="0070C0"/>
          <w:sz w:val="24"/>
          <w:szCs w:val="24"/>
        </w:rPr>
      </w:pPr>
    </w:p>
    <w:p w:rsidR="00141717" w:rsidRPr="00F228D9" w:rsidRDefault="008A34D2" w:rsidP="001648BC">
      <w:pPr>
        <w:shd w:val="clear" w:color="auto" w:fill="D9D9D9" w:themeFill="background1" w:themeFillShade="D9"/>
        <w:spacing w:after="120" w:line="360" w:lineRule="auto"/>
        <w:jc w:val="both"/>
        <w:rPr>
          <w:rFonts w:ascii="Tahoma" w:hAnsi="Tahoma" w:cs="Tahoma"/>
          <w:sz w:val="24"/>
          <w:szCs w:val="24"/>
        </w:rPr>
      </w:pPr>
      <w:r w:rsidRPr="00F228D9">
        <w:rPr>
          <w:rFonts w:ascii="Tahoma" w:hAnsi="Tahoma" w:cs="Tahoma"/>
          <w:sz w:val="24"/>
          <w:szCs w:val="24"/>
        </w:rPr>
        <w:t xml:space="preserve">Veniturile bugetului general consolidat au însumat </w:t>
      </w:r>
      <w:r w:rsidR="00661C32" w:rsidRPr="00F228D9">
        <w:rPr>
          <w:rFonts w:ascii="Tahoma" w:hAnsi="Tahoma" w:cs="Tahoma"/>
          <w:sz w:val="24"/>
          <w:szCs w:val="24"/>
        </w:rPr>
        <w:t>72</w:t>
      </w:r>
      <w:r w:rsidRPr="00F228D9">
        <w:rPr>
          <w:rFonts w:ascii="Tahoma" w:hAnsi="Tahoma" w:cs="Tahoma"/>
          <w:sz w:val="24"/>
          <w:szCs w:val="24"/>
        </w:rPr>
        <w:t>,2</w:t>
      </w:r>
      <w:r w:rsidR="00661C32" w:rsidRPr="00F228D9">
        <w:rPr>
          <w:rFonts w:ascii="Tahoma" w:hAnsi="Tahoma" w:cs="Tahoma"/>
          <w:sz w:val="24"/>
          <w:szCs w:val="24"/>
        </w:rPr>
        <w:t>3</w:t>
      </w:r>
      <w:r w:rsidRPr="00F228D9">
        <w:rPr>
          <w:rFonts w:ascii="Tahoma" w:hAnsi="Tahoma" w:cs="Tahoma"/>
          <w:sz w:val="24"/>
          <w:szCs w:val="24"/>
        </w:rPr>
        <w:t xml:space="preserve"> mld lei </w:t>
      </w:r>
      <w:r w:rsidR="00B339DC" w:rsidRPr="00F228D9">
        <w:rPr>
          <w:rFonts w:ascii="Tahoma" w:hAnsi="Tahoma" w:cs="Tahoma"/>
          <w:sz w:val="24"/>
          <w:szCs w:val="24"/>
        </w:rPr>
        <w:t xml:space="preserve">în primele </w:t>
      </w:r>
      <w:r w:rsidR="00661C32" w:rsidRPr="00F228D9">
        <w:rPr>
          <w:rFonts w:ascii="Tahoma" w:hAnsi="Tahoma" w:cs="Tahoma"/>
          <w:sz w:val="24"/>
          <w:szCs w:val="24"/>
        </w:rPr>
        <w:t>3</w:t>
      </w:r>
      <w:r w:rsidR="00B339DC" w:rsidRPr="00F228D9">
        <w:rPr>
          <w:rFonts w:ascii="Tahoma" w:hAnsi="Tahoma" w:cs="Tahoma"/>
          <w:sz w:val="24"/>
          <w:szCs w:val="24"/>
        </w:rPr>
        <w:t xml:space="preserve"> luni ale anului </w:t>
      </w:r>
      <w:r w:rsidRPr="00F228D9">
        <w:rPr>
          <w:rFonts w:ascii="Tahoma" w:hAnsi="Tahoma" w:cs="Tahoma"/>
          <w:sz w:val="24"/>
          <w:szCs w:val="24"/>
        </w:rPr>
        <w:t xml:space="preserve">2020, în </w:t>
      </w:r>
      <w:r w:rsidR="00661C32" w:rsidRPr="00F228D9">
        <w:rPr>
          <w:rFonts w:ascii="Tahoma" w:hAnsi="Tahoma" w:cs="Tahoma"/>
          <w:sz w:val="24"/>
          <w:szCs w:val="24"/>
        </w:rPr>
        <w:t>scădere</w:t>
      </w:r>
      <w:r w:rsidRPr="00F228D9">
        <w:rPr>
          <w:rFonts w:ascii="Tahoma" w:hAnsi="Tahoma" w:cs="Tahoma"/>
          <w:sz w:val="24"/>
          <w:szCs w:val="24"/>
        </w:rPr>
        <w:t xml:space="preserve"> cu </w:t>
      </w:r>
      <w:r w:rsidR="00661C32" w:rsidRPr="00F228D9">
        <w:rPr>
          <w:rFonts w:ascii="Tahoma" w:hAnsi="Tahoma" w:cs="Tahoma"/>
          <w:sz w:val="24"/>
          <w:szCs w:val="24"/>
        </w:rPr>
        <w:t>3</w:t>
      </w:r>
      <w:r w:rsidRPr="00F228D9">
        <w:rPr>
          <w:rFonts w:ascii="Tahoma" w:hAnsi="Tahoma" w:cs="Tahoma"/>
          <w:sz w:val="24"/>
          <w:szCs w:val="24"/>
        </w:rPr>
        <w:t>,</w:t>
      </w:r>
      <w:r w:rsidR="00622B86" w:rsidRPr="00F228D9">
        <w:rPr>
          <w:rFonts w:ascii="Tahoma" w:hAnsi="Tahoma" w:cs="Tahoma"/>
          <w:sz w:val="24"/>
          <w:szCs w:val="24"/>
        </w:rPr>
        <w:t>3</w:t>
      </w:r>
      <w:r w:rsidRPr="00F228D9">
        <w:rPr>
          <w:rFonts w:ascii="Tahoma" w:hAnsi="Tahoma" w:cs="Tahoma"/>
          <w:sz w:val="24"/>
          <w:szCs w:val="24"/>
        </w:rPr>
        <w:t>% față de nivelul înregistrat în perioada similară a anului trecut</w:t>
      </w:r>
      <w:r w:rsidR="00622B86" w:rsidRPr="00F228D9">
        <w:rPr>
          <w:rFonts w:ascii="Tahoma" w:hAnsi="Tahoma" w:cs="Tahoma"/>
          <w:sz w:val="24"/>
          <w:szCs w:val="24"/>
        </w:rPr>
        <w:t>, reflectând în principal contracți</w:t>
      </w:r>
      <w:r w:rsidR="00661C32" w:rsidRPr="00F228D9">
        <w:rPr>
          <w:rFonts w:ascii="Tahoma" w:hAnsi="Tahoma" w:cs="Tahoma"/>
          <w:sz w:val="24"/>
          <w:szCs w:val="24"/>
        </w:rPr>
        <w:t xml:space="preserve">a </w:t>
      </w:r>
      <w:r w:rsidR="000923D7" w:rsidRPr="00F228D9">
        <w:rPr>
          <w:rFonts w:ascii="Tahoma" w:hAnsi="Tahoma" w:cs="Tahoma"/>
          <w:sz w:val="24"/>
          <w:szCs w:val="24"/>
        </w:rPr>
        <w:t>încasărilor</w:t>
      </w:r>
      <w:r w:rsidR="00661C32" w:rsidRPr="00F228D9">
        <w:rPr>
          <w:rFonts w:ascii="Tahoma" w:hAnsi="Tahoma" w:cs="Tahoma"/>
          <w:sz w:val="24"/>
          <w:szCs w:val="24"/>
        </w:rPr>
        <w:t xml:space="preserve"> bugetare </w:t>
      </w:r>
      <w:r w:rsidR="00DD1C70" w:rsidRPr="00F228D9">
        <w:rPr>
          <w:rFonts w:ascii="Tahoma" w:hAnsi="Tahoma" w:cs="Tahoma"/>
          <w:sz w:val="24"/>
          <w:szCs w:val="24"/>
        </w:rPr>
        <w:t xml:space="preserve">în luna martie (-25,1% an/an) </w:t>
      </w:r>
      <w:r w:rsidR="00661C32" w:rsidRPr="00F228D9">
        <w:rPr>
          <w:rFonts w:ascii="Tahoma" w:hAnsi="Tahoma" w:cs="Tahoma"/>
          <w:sz w:val="24"/>
          <w:szCs w:val="24"/>
        </w:rPr>
        <w:t xml:space="preserve">ca urmare a </w:t>
      </w:r>
      <w:r w:rsidR="000923D7" w:rsidRPr="00F228D9">
        <w:rPr>
          <w:rFonts w:ascii="Tahoma" w:hAnsi="Tahoma" w:cs="Tahoma"/>
          <w:sz w:val="24"/>
          <w:szCs w:val="24"/>
        </w:rPr>
        <w:t>facilităţilor</w:t>
      </w:r>
      <w:r w:rsidR="00141717" w:rsidRPr="00F228D9">
        <w:rPr>
          <w:rFonts w:ascii="Tahoma" w:hAnsi="Tahoma" w:cs="Tahoma"/>
          <w:sz w:val="24"/>
          <w:szCs w:val="24"/>
        </w:rPr>
        <w:t xml:space="preserve"> fiscale a</w:t>
      </w:r>
      <w:r w:rsidR="000923D7" w:rsidRPr="00F228D9">
        <w:rPr>
          <w:rFonts w:ascii="Tahoma" w:hAnsi="Tahoma" w:cs="Tahoma"/>
          <w:sz w:val="24"/>
          <w:szCs w:val="24"/>
        </w:rPr>
        <w:t>cordate pentru susţinerea economiei</w:t>
      </w:r>
      <w:r w:rsidR="00141717" w:rsidRPr="00F228D9">
        <w:rPr>
          <w:rFonts w:ascii="Tahoma" w:hAnsi="Tahoma" w:cs="Tahoma"/>
          <w:sz w:val="24"/>
          <w:szCs w:val="24"/>
        </w:rPr>
        <w:t xml:space="preserve"> în contextul instituirii stării de urgenț</w:t>
      </w:r>
      <w:r w:rsidR="00F13D2C" w:rsidRPr="00F228D9">
        <w:rPr>
          <w:rFonts w:ascii="Tahoma" w:hAnsi="Tahoma" w:cs="Tahoma"/>
          <w:sz w:val="24"/>
          <w:szCs w:val="24"/>
        </w:rPr>
        <w:t>ă</w:t>
      </w:r>
      <w:r w:rsidR="00141717" w:rsidRPr="00F228D9">
        <w:rPr>
          <w:rFonts w:ascii="Tahoma" w:hAnsi="Tahoma" w:cs="Tahoma"/>
          <w:sz w:val="24"/>
          <w:szCs w:val="24"/>
        </w:rPr>
        <w:t xml:space="preserve">. </w:t>
      </w:r>
      <w:r w:rsidR="00B16FC7" w:rsidRPr="00F228D9">
        <w:rPr>
          <w:rFonts w:ascii="Tahoma" w:hAnsi="Tahoma" w:cs="Tahoma"/>
          <w:sz w:val="24"/>
          <w:szCs w:val="24"/>
        </w:rPr>
        <w:t xml:space="preserve">Astfel, dacă valoarea totală a obligațiilor fiscale declarate către ANAF în luna martie 2020 a fost de 24,63 mld lei, în creştere cu 8,5% faţă de sumele declarate în perioada similară din anul 2019, veniturile </w:t>
      </w:r>
      <w:r w:rsidR="00FA2524" w:rsidRPr="00F228D9">
        <w:rPr>
          <w:rFonts w:ascii="Tahoma" w:hAnsi="Tahoma" w:cs="Tahoma"/>
          <w:sz w:val="24"/>
          <w:szCs w:val="24"/>
        </w:rPr>
        <w:t xml:space="preserve">nete </w:t>
      </w:r>
      <w:r w:rsidR="00B16FC7" w:rsidRPr="00F228D9">
        <w:rPr>
          <w:rFonts w:ascii="Tahoma" w:hAnsi="Tahoma" w:cs="Tahoma"/>
          <w:sz w:val="24"/>
          <w:szCs w:val="24"/>
        </w:rPr>
        <w:t>colectate au fost de 16,95 mld lei</w:t>
      </w:r>
      <w:r w:rsidR="00FA2524" w:rsidRPr="00F228D9">
        <w:rPr>
          <w:rFonts w:ascii="Tahoma" w:hAnsi="Tahoma" w:cs="Tahoma"/>
          <w:sz w:val="24"/>
          <w:szCs w:val="24"/>
        </w:rPr>
        <w:t>.</w:t>
      </w:r>
    </w:p>
    <w:p w:rsidR="000434BF" w:rsidRPr="00F228D9" w:rsidRDefault="000434BF" w:rsidP="00CF1ED7">
      <w:pPr>
        <w:spacing w:after="120" w:line="360" w:lineRule="auto"/>
        <w:jc w:val="both"/>
        <w:rPr>
          <w:rFonts w:ascii="Tahoma" w:hAnsi="Tahoma" w:cs="Tahoma"/>
          <w:sz w:val="24"/>
          <w:szCs w:val="24"/>
        </w:rPr>
      </w:pPr>
    </w:p>
    <w:p w:rsidR="00056BE3" w:rsidRPr="00F228D9" w:rsidRDefault="00CF1ED7" w:rsidP="00CF1ED7">
      <w:pPr>
        <w:spacing w:after="120" w:line="360" w:lineRule="auto"/>
        <w:jc w:val="both"/>
        <w:rPr>
          <w:rFonts w:ascii="Tahoma" w:hAnsi="Tahoma" w:cs="Tahoma"/>
          <w:sz w:val="24"/>
          <w:szCs w:val="24"/>
        </w:rPr>
      </w:pPr>
      <w:r w:rsidRPr="00F228D9">
        <w:rPr>
          <w:rFonts w:ascii="Tahoma" w:hAnsi="Tahoma" w:cs="Tahoma"/>
          <w:sz w:val="24"/>
          <w:szCs w:val="24"/>
        </w:rPr>
        <w:lastRenderedPageBreak/>
        <w:t xml:space="preserve">Încasările din </w:t>
      </w:r>
      <w:r w:rsidRPr="00F228D9">
        <w:rPr>
          <w:rFonts w:ascii="Tahoma" w:hAnsi="Tahoma" w:cs="Tahoma"/>
          <w:b/>
          <w:i/>
          <w:sz w:val="24"/>
          <w:szCs w:val="24"/>
        </w:rPr>
        <w:t>impozitul pe venit</w:t>
      </w:r>
      <w:r w:rsidRPr="00F228D9">
        <w:rPr>
          <w:rFonts w:ascii="Tahoma" w:hAnsi="Tahoma" w:cs="Tahoma"/>
          <w:sz w:val="24"/>
          <w:szCs w:val="24"/>
        </w:rPr>
        <w:t xml:space="preserve"> au </w:t>
      </w:r>
      <w:r w:rsidR="00153418" w:rsidRPr="00F228D9">
        <w:rPr>
          <w:rFonts w:ascii="Tahoma" w:hAnsi="Tahoma" w:cs="Tahoma"/>
          <w:sz w:val="24"/>
          <w:szCs w:val="24"/>
        </w:rPr>
        <w:t xml:space="preserve">înregistrat </w:t>
      </w:r>
      <w:r w:rsidR="0025301D" w:rsidRPr="00F228D9">
        <w:rPr>
          <w:rFonts w:ascii="Tahoma" w:hAnsi="Tahoma" w:cs="Tahoma"/>
          <w:sz w:val="24"/>
          <w:szCs w:val="24"/>
        </w:rPr>
        <w:t>6,0</w:t>
      </w:r>
      <w:r w:rsidR="00153418" w:rsidRPr="00F228D9">
        <w:rPr>
          <w:rFonts w:ascii="Tahoma" w:hAnsi="Tahoma" w:cs="Tahoma"/>
          <w:sz w:val="24"/>
          <w:szCs w:val="24"/>
        </w:rPr>
        <w:t xml:space="preserve"> mld lei </w:t>
      </w:r>
      <w:r w:rsidR="00F160D8" w:rsidRPr="00F228D9">
        <w:rPr>
          <w:rFonts w:ascii="Tahoma" w:hAnsi="Tahoma" w:cs="Tahoma"/>
          <w:sz w:val="24"/>
          <w:szCs w:val="24"/>
        </w:rPr>
        <w:t xml:space="preserve">în </w:t>
      </w:r>
      <w:r w:rsidR="00647AE3" w:rsidRPr="00F228D9">
        <w:rPr>
          <w:rFonts w:ascii="Tahoma" w:hAnsi="Tahoma" w:cs="Tahoma"/>
          <w:sz w:val="24"/>
          <w:szCs w:val="24"/>
        </w:rPr>
        <w:t>primul trimestru al</w:t>
      </w:r>
      <w:r w:rsidR="00F160D8" w:rsidRPr="00F228D9">
        <w:rPr>
          <w:rFonts w:ascii="Tahoma" w:hAnsi="Tahoma" w:cs="Tahoma"/>
          <w:sz w:val="24"/>
          <w:szCs w:val="24"/>
        </w:rPr>
        <w:t xml:space="preserve"> anului</w:t>
      </w:r>
      <w:r w:rsidR="00B339DC" w:rsidRPr="00AF5A15">
        <w:rPr>
          <w:rFonts w:ascii="Tahoma" w:hAnsi="Tahoma" w:cs="Tahoma"/>
          <w:sz w:val="24"/>
          <w:szCs w:val="24"/>
        </w:rPr>
        <w:t>curent</w:t>
      </w:r>
      <w:r w:rsidR="00647AE3" w:rsidRPr="00AF5A15">
        <w:rPr>
          <w:rFonts w:ascii="Tahoma" w:hAnsi="Tahoma" w:cs="Tahoma"/>
          <w:sz w:val="24"/>
          <w:szCs w:val="24"/>
        </w:rPr>
        <w:t>,</w:t>
      </w:r>
      <w:r w:rsidR="00731902" w:rsidRPr="00AF5A15">
        <w:rPr>
          <w:rFonts w:ascii="Tahoma" w:hAnsi="Tahoma" w:cs="Tahoma"/>
          <w:sz w:val="24"/>
          <w:szCs w:val="24"/>
        </w:rPr>
        <w:t>cu 8,</w:t>
      </w:r>
      <w:r w:rsidR="00005729" w:rsidRPr="00F228D9">
        <w:rPr>
          <w:rFonts w:ascii="Tahoma" w:hAnsi="Tahoma" w:cs="Tahoma"/>
          <w:sz w:val="24"/>
          <w:szCs w:val="24"/>
        </w:rPr>
        <w:t>5</w:t>
      </w:r>
      <w:r w:rsidR="005656AD" w:rsidRPr="00F228D9">
        <w:rPr>
          <w:rFonts w:ascii="Tahoma" w:hAnsi="Tahoma" w:cs="Tahoma"/>
          <w:sz w:val="24"/>
          <w:szCs w:val="24"/>
        </w:rPr>
        <w:t xml:space="preserve">% </w:t>
      </w:r>
      <w:r w:rsidR="00005729" w:rsidRPr="00F228D9">
        <w:rPr>
          <w:rFonts w:ascii="Tahoma" w:hAnsi="Tahoma" w:cs="Tahoma"/>
          <w:sz w:val="24"/>
          <w:szCs w:val="24"/>
        </w:rPr>
        <w:t xml:space="preserve">mai mari </w:t>
      </w:r>
      <w:r w:rsidR="0092174A" w:rsidRPr="00F228D9">
        <w:rPr>
          <w:rFonts w:ascii="Tahoma" w:hAnsi="Tahoma" w:cs="Tahoma"/>
          <w:sz w:val="24"/>
          <w:szCs w:val="24"/>
        </w:rPr>
        <w:t xml:space="preserve">față de </w:t>
      </w:r>
      <w:r w:rsidR="00F160D8" w:rsidRPr="00F228D9">
        <w:rPr>
          <w:rFonts w:ascii="Tahoma" w:hAnsi="Tahoma" w:cs="Tahoma"/>
          <w:sz w:val="24"/>
          <w:szCs w:val="24"/>
        </w:rPr>
        <w:t>perioada</w:t>
      </w:r>
      <w:r w:rsidR="0092174A" w:rsidRPr="00F228D9">
        <w:rPr>
          <w:rFonts w:ascii="Tahoma" w:hAnsi="Tahoma" w:cs="Tahoma"/>
          <w:sz w:val="24"/>
          <w:szCs w:val="24"/>
        </w:rPr>
        <w:t xml:space="preserve"> similară a anului trecut</w:t>
      </w:r>
      <w:r w:rsidR="00647AE3" w:rsidRPr="00F228D9">
        <w:rPr>
          <w:rFonts w:ascii="Tahoma" w:hAnsi="Tahoma" w:cs="Tahoma"/>
          <w:sz w:val="24"/>
          <w:szCs w:val="24"/>
        </w:rPr>
        <w:t>.</w:t>
      </w:r>
      <w:r w:rsidR="00F13D2C" w:rsidRPr="00F228D9">
        <w:rPr>
          <w:rFonts w:ascii="Tahoma" w:hAnsi="Tahoma" w:cs="Tahoma"/>
          <w:sz w:val="24"/>
          <w:szCs w:val="24"/>
        </w:rPr>
        <w:t xml:space="preserve">Această creștere </w:t>
      </w:r>
      <w:r w:rsidR="00005729" w:rsidRPr="00F228D9">
        <w:rPr>
          <w:rFonts w:ascii="Tahoma" w:hAnsi="Tahoma" w:cs="Tahoma"/>
          <w:sz w:val="24"/>
          <w:szCs w:val="24"/>
        </w:rPr>
        <w:t>a fost</w:t>
      </w:r>
      <w:r w:rsidR="00191CC0" w:rsidRPr="00F228D9">
        <w:rPr>
          <w:rFonts w:ascii="Tahoma" w:hAnsi="Tahoma" w:cs="Tahoma"/>
          <w:sz w:val="24"/>
          <w:szCs w:val="24"/>
        </w:rPr>
        <w:t>susţinută</w:t>
      </w:r>
      <w:r w:rsidR="00F13D2C" w:rsidRPr="00F228D9">
        <w:rPr>
          <w:rFonts w:ascii="Tahoma" w:hAnsi="Tahoma" w:cs="Tahoma"/>
          <w:sz w:val="24"/>
          <w:szCs w:val="24"/>
        </w:rPr>
        <w:t xml:space="preserve"> de </w:t>
      </w:r>
      <w:r w:rsidR="00191CC0" w:rsidRPr="00F228D9">
        <w:rPr>
          <w:rFonts w:ascii="Tahoma" w:hAnsi="Tahoma" w:cs="Tahoma"/>
          <w:sz w:val="24"/>
          <w:szCs w:val="24"/>
        </w:rPr>
        <w:t xml:space="preserve">creșterea numărului de salariați cu 0,7% și a câştigului mediu brut la nivelul economiei cu 9,2% în perioada dec-feb 2020 comparativ cu perioada similară a anului precedent în condiţiile </w:t>
      </w:r>
      <w:r w:rsidR="00F13D2C" w:rsidRPr="00F228D9">
        <w:rPr>
          <w:rFonts w:ascii="Tahoma" w:hAnsi="Tahoma" w:cs="Tahoma"/>
          <w:sz w:val="24"/>
          <w:szCs w:val="24"/>
        </w:rPr>
        <w:t>major</w:t>
      </w:r>
      <w:r w:rsidR="00191CC0" w:rsidRPr="00F228D9">
        <w:rPr>
          <w:rFonts w:ascii="Tahoma" w:hAnsi="Tahoma" w:cs="Tahoma"/>
          <w:sz w:val="24"/>
          <w:szCs w:val="24"/>
        </w:rPr>
        <w:t>ării</w:t>
      </w:r>
      <w:r w:rsidR="00F13D2C" w:rsidRPr="00F228D9">
        <w:rPr>
          <w:rFonts w:ascii="Tahoma" w:hAnsi="Tahoma" w:cs="Tahoma"/>
          <w:sz w:val="24"/>
          <w:szCs w:val="24"/>
        </w:rPr>
        <w:t xml:space="preserve"> salariului minim </w:t>
      </w:r>
      <w:r w:rsidR="00191CC0" w:rsidRPr="00F228D9">
        <w:rPr>
          <w:rFonts w:ascii="Tahoma" w:hAnsi="Tahoma" w:cs="Tahoma"/>
          <w:sz w:val="24"/>
          <w:szCs w:val="24"/>
        </w:rPr>
        <w:t xml:space="preserve">brut </w:t>
      </w:r>
      <w:r w:rsidR="00F13D2C" w:rsidRPr="00F228D9">
        <w:rPr>
          <w:rFonts w:ascii="Tahoma" w:hAnsi="Tahoma" w:cs="Tahoma"/>
          <w:sz w:val="24"/>
          <w:szCs w:val="24"/>
        </w:rPr>
        <w:t xml:space="preserve">de la </w:t>
      </w:r>
      <w:r w:rsidR="00F13D2C" w:rsidRPr="00AF5A15">
        <w:rPr>
          <w:rFonts w:ascii="Tahoma" w:hAnsi="Tahoma" w:cs="Tahoma"/>
          <w:sz w:val="24"/>
          <w:szCs w:val="24"/>
        </w:rPr>
        <w:t>2</w:t>
      </w:r>
      <w:r w:rsidR="00D37654" w:rsidRPr="00AF5A15">
        <w:rPr>
          <w:rFonts w:ascii="Tahoma" w:hAnsi="Tahoma" w:cs="Tahoma"/>
          <w:sz w:val="24"/>
          <w:szCs w:val="24"/>
        </w:rPr>
        <w:t>.</w:t>
      </w:r>
      <w:r w:rsidR="00F13D2C" w:rsidRPr="00AF5A15">
        <w:rPr>
          <w:rFonts w:ascii="Tahoma" w:hAnsi="Tahoma" w:cs="Tahoma"/>
          <w:sz w:val="24"/>
          <w:szCs w:val="24"/>
        </w:rPr>
        <w:t>080 lei la 2</w:t>
      </w:r>
      <w:r w:rsidR="00D37654" w:rsidRPr="00AF5A15">
        <w:rPr>
          <w:rFonts w:ascii="Tahoma" w:hAnsi="Tahoma" w:cs="Tahoma"/>
          <w:sz w:val="24"/>
          <w:szCs w:val="24"/>
        </w:rPr>
        <w:t>.</w:t>
      </w:r>
      <w:r w:rsidR="00F13D2C" w:rsidRPr="00AF5A15">
        <w:rPr>
          <w:rFonts w:ascii="Tahoma" w:hAnsi="Tahoma" w:cs="Tahoma"/>
          <w:sz w:val="24"/>
          <w:szCs w:val="24"/>
        </w:rPr>
        <w:t>230</w:t>
      </w:r>
      <w:r w:rsidR="00F13D2C" w:rsidRPr="00F228D9">
        <w:rPr>
          <w:rFonts w:ascii="Tahoma" w:hAnsi="Tahoma" w:cs="Tahoma"/>
          <w:sz w:val="24"/>
          <w:szCs w:val="24"/>
        </w:rPr>
        <w:t xml:space="preserve"> lei</w:t>
      </w:r>
      <w:r w:rsidR="00F34894" w:rsidRPr="00F228D9">
        <w:rPr>
          <w:rFonts w:ascii="Tahoma" w:hAnsi="Tahoma" w:cs="Tahoma"/>
          <w:sz w:val="24"/>
          <w:szCs w:val="24"/>
        </w:rPr>
        <w:t>.</w:t>
      </w:r>
      <w:r w:rsidR="00F46295" w:rsidRPr="00F228D9">
        <w:rPr>
          <w:rFonts w:ascii="Tahoma" w:hAnsi="Tahoma" w:cs="Tahoma"/>
          <w:sz w:val="24"/>
          <w:szCs w:val="24"/>
        </w:rPr>
        <w:t>În ce</w:t>
      </w:r>
      <w:r w:rsidR="00E762E4">
        <w:rPr>
          <w:rFonts w:ascii="Tahoma" w:hAnsi="Tahoma" w:cs="Tahoma"/>
          <w:sz w:val="24"/>
          <w:szCs w:val="24"/>
        </w:rPr>
        <w:t>ea ce</w:t>
      </w:r>
      <w:r w:rsidR="00F46295" w:rsidRPr="00F228D9">
        <w:rPr>
          <w:rFonts w:ascii="Tahoma" w:hAnsi="Tahoma" w:cs="Tahoma"/>
          <w:sz w:val="24"/>
          <w:szCs w:val="24"/>
        </w:rPr>
        <w:t xml:space="preserve"> privește încasările din impozitul pe salarii, d</w:t>
      </w:r>
      <w:r w:rsidR="00CA2A40" w:rsidRPr="00F228D9">
        <w:rPr>
          <w:rFonts w:ascii="Tahoma" w:hAnsi="Tahoma" w:cs="Tahoma"/>
          <w:sz w:val="24"/>
          <w:szCs w:val="24"/>
        </w:rPr>
        <w:t xml:space="preserve">upă avansul </w:t>
      </w:r>
      <w:r w:rsidR="000A7436" w:rsidRPr="00F228D9">
        <w:rPr>
          <w:rFonts w:ascii="Tahoma" w:hAnsi="Tahoma" w:cs="Tahoma"/>
          <w:sz w:val="24"/>
          <w:szCs w:val="24"/>
        </w:rPr>
        <w:t>pozi</w:t>
      </w:r>
      <w:r w:rsidR="00191CC0" w:rsidRPr="00F228D9">
        <w:rPr>
          <w:rFonts w:ascii="Tahoma" w:hAnsi="Tahoma" w:cs="Tahoma"/>
          <w:sz w:val="24"/>
          <w:szCs w:val="24"/>
        </w:rPr>
        <w:t>tiv însemnat din lunile ian-feb</w:t>
      </w:r>
      <w:r w:rsidR="00F46295" w:rsidRPr="00F228D9">
        <w:rPr>
          <w:rFonts w:ascii="Tahoma" w:hAnsi="Tahoma" w:cs="Tahoma"/>
          <w:sz w:val="24"/>
          <w:szCs w:val="24"/>
        </w:rPr>
        <w:t xml:space="preserve"> (10% an/an)</w:t>
      </w:r>
      <w:r w:rsidR="00011138" w:rsidRPr="00F228D9">
        <w:rPr>
          <w:rFonts w:ascii="Tahoma" w:hAnsi="Tahoma" w:cs="Tahoma"/>
          <w:sz w:val="24"/>
          <w:szCs w:val="24"/>
        </w:rPr>
        <w:t xml:space="preserve"> și în contextul </w:t>
      </w:r>
      <w:r w:rsidR="000A7436" w:rsidRPr="00F228D9">
        <w:rPr>
          <w:rFonts w:ascii="Tahoma" w:hAnsi="Tahoma" w:cs="Tahoma"/>
          <w:sz w:val="24"/>
          <w:szCs w:val="24"/>
        </w:rPr>
        <w:t>accelerării dinamicii fondul</w:t>
      </w:r>
      <w:r w:rsidR="00FA2524" w:rsidRPr="00F228D9">
        <w:rPr>
          <w:rFonts w:ascii="Tahoma" w:hAnsi="Tahoma" w:cs="Tahoma"/>
          <w:sz w:val="24"/>
          <w:szCs w:val="24"/>
        </w:rPr>
        <w:t>ui de salarii (</w:t>
      </w:r>
      <w:r w:rsidR="00011138" w:rsidRPr="00F228D9">
        <w:rPr>
          <w:rFonts w:ascii="Tahoma" w:hAnsi="Tahoma" w:cs="Tahoma"/>
          <w:sz w:val="24"/>
          <w:szCs w:val="24"/>
        </w:rPr>
        <w:t xml:space="preserve">la </w:t>
      </w:r>
      <w:r w:rsidR="00FA2524" w:rsidRPr="00F228D9">
        <w:rPr>
          <w:rFonts w:ascii="Tahoma" w:hAnsi="Tahoma" w:cs="Tahoma"/>
          <w:sz w:val="24"/>
          <w:szCs w:val="24"/>
        </w:rPr>
        <w:t xml:space="preserve">9,4% </w:t>
      </w:r>
      <w:r w:rsidR="00191CC0" w:rsidRPr="00F228D9">
        <w:rPr>
          <w:rFonts w:ascii="Tahoma" w:hAnsi="Tahoma" w:cs="Tahoma"/>
          <w:sz w:val="24"/>
          <w:szCs w:val="24"/>
        </w:rPr>
        <w:t xml:space="preserve">an/an </w:t>
      </w:r>
      <w:r w:rsidR="00011138" w:rsidRPr="00F228D9">
        <w:rPr>
          <w:rFonts w:ascii="Tahoma" w:hAnsi="Tahoma" w:cs="Tahoma"/>
          <w:sz w:val="24"/>
          <w:szCs w:val="24"/>
        </w:rPr>
        <w:t>î</w:t>
      </w:r>
      <w:r w:rsidR="00FA2524" w:rsidRPr="00F228D9">
        <w:rPr>
          <w:rFonts w:ascii="Tahoma" w:hAnsi="Tahoma" w:cs="Tahoma"/>
          <w:sz w:val="24"/>
          <w:szCs w:val="24"/>
        </w:rPr>
        <w:t>n luna feb</w:t>
      </w:r>
      <w:r w:rsidR="00191CC0" w:rsidRPr="00F228D9">
        <w:rPr>
          <w:rFonts w:ascii="Tahoma" w:hAnsi="Tahoma" w:cs="Tahoma"/>
          <w:sz w:val="24"/>
          <w:szCs w:val="24"/>
        </w:rPr>
        <w:t xml:space="preserve"> 2020</w:t>
      </w:r>
      <w:r w:rsidR="000A7436" w:rsidRPr="00F228D9">
        <w:rPr>
          <w:rFonts w:ascii="Tahoma" w:hAnsi="Tahoma" w:cs="Tahoma"/>
          <w:sz w:val="24"/>
          <w:szCs w:val="24"/>
        </w:rPr>
        <w:t xml:space="preserve">),luna </w:t>
      </w:r>
      <w:r w:rsidR="00D61C8C" w:rsidRPr="00F228D9">
        <w:rPr>
          <w:rFonts w:ascii="Tahoma" w:hAnsi="Tahoma" w:cs="Tahoma"/>
          <w:sz w:val="24"/>
          <w:szCs w:val="24"/>
        </w:rPr>
        <w:t>martie</w:t>
      </w:r>
      <w:r w:rsidR="000A7436" w:rsidRPr="00F228D9">
        <w:rPr>
          <w:rFonts w:ascii="Tahoma" w:hAnsi="Tahoma" w:cs="Tahoma"/>
          <w:sz w:val="24"/>
          <w:szCs w:val="24"/>
        </w:rPr>
        <w:t xml:space="preserve"> prezintă o scădere a acestor încasăr</w:t>
      </w:r>
      <w:r w:rsidR="00F46295" w:rsidRPr="00F228D9">
        <w:rPr>
          <w:rFonts w:ascii="Tahoma" w:hAnsi="Tahoma" w:cs="Tahoma"/>
          <w:sz w:val="24"/>
          <w:szCs w:val="24"/>
        </w:rPr>
        <w:t>i</w:t>
      </w:r>
      <w:r w:rsidR="00207E04" w:rsidRPr="00F228D9">
        <w:rPr>
          <w:rFonts w:ascii="Tahoma" w:hAnsi="Tahoma" w:cs="Tahoma"/>
          <w:sz w:val="24"/>
          <w:szCs w:val="24"/>
        </w:rPr>
        <w:t xml:space="preserve"> (</w:t>
      </w:r>
      <w:r w:rsidR="00F46295" w:rsidRPr="00F228D9">
        <w:rPr>
          <w:rFonts w:ascii="Tahoma" w:hAnsi="Tahoma" w:cs="Tahoma"/>
          <w:sz w:val="24"/>
          <w:szCs w:val="24"/>
        </w:rPr>
        <w:t>-9% an/an</w:t>
      </w:r>
      <w:r w:rsidR="00207E04" w:rsidRPr="00F228D9">
        <w:rPr>
          <w:rFonts w:ascii="Tahoma" w:hAnsi="Tahoma" w:cs="Tahoma"/>
          <w:sz w:val="24"/>
          <w:szCs w:val="24"/>
        </w:rPr>
        <w:t>)</w:t>
      </w:r>
      <w:r w:rsidR="00F46295" w:rsidRPr="00F228D9">
        <w:rPr>
          <w:rFonts w:ascii="Tahoma" w:hAnsi="Tahoma" w:cs="Tahoma"/>
          <w:sz w:val="24"/>
          <w:szCs w:val="24"/>
        </w:rPr>
        <w:t>,</w:t>
      </w:r>
      <w:r w:rsidR="000A7436" w:rsidRPr="00F228D9">
        <w:rPr>
          <w:rFonts w:ascii="Tahoma" w:hAnsi="Tahoma" w:cs="Tahoma"/>
          <w:sz w:val="24"/>
          <w:szCs w:val="24"/>
        </w:rPr>
        <w:t xml:space="preserve"> ca urmare a implementării măsurilor fiscale aferente perioadei de urgență</w:t>
      </w:r>
      <w:r w:rsidR="00B50A7D" w:rsidRPr="00F228D9">
        <w:rPr>
          <w:rFonts w:ascii="Tahoma" w:hAnsi="Tahoma" w:cs="Tahoma"/>
          <w:sz w:val="24"/>
          <w:szCs w:val="24"/>
        </w:rPr>
        <w:t>.</w:t>
      </w:r>
      <w:r w:rsidR="00F2551A" w:rsidRPr="00F228D9">
        <w:rPr>
          <w:rStyle w:val="FootnoteReference"/>
          <w:rFonts w:ascii="Tahoma" w:hAnsi="Tahoma" w:cs="Tahoma"/>
          <w:sz w:val="24"/>
          <w:szCs w:val="24"/>
        </w:rPr>
        <w:footnoteReference w:id="3"/>
      </w:r>
    </w:p>
    <w:p w:rsidR="00CF1ED7" w:rsidRPr="00F228D9" w:rsidRDefault="00845E89" w:rsidP="0073781B">
      <w:pPr>
        <w:spacing w:after="0" w:line="240" w:lineRule="auto"/>
        <w:contextualSpacing/>
        <w:jc w:val="center"/>
        <w:rPr>
          <w:rFonts w:ascii="Tahoma" w:hAnsi="Tahoma" w:cs="Tahoma"/>
          <w:sz w:val="24"/>
          <w:szCs w:val="24"/>
        </w:rPr>
      </w:pPr>
      <w:r w:rsidRPr="00F228D9">
        <w:rPr>
          <w:rFonts w:ascii="Tahoma" w:hAnsi="Tahoma" w:cs="Tahoma"/>
          <w:noProof/>
          <w:sz w:val="24"/>
          <w:szCs w:val="24"/>
          <w:lang w:eastAsia="ro-RO"/>
        </w:rPr>
        <w:drawing>
          <wp:inline distT="0" distB="0" distL="0" distR="0">
            <wp:extent cx="6238624" cy="2336369"/>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75052" cy="2350011"/>
                    </a:xfrm>
                    <a:prstGeom prst="rect">
                      <a:avLst/>
                    </a:prstGeom>
                    <a:noFill/>
                  </pic:spPr>
                </pic:pic>
              </a:graphicData>
            </a:graphic>
          </wp:inline>
        </w:drawing>
      </w:r>
    </w:p>
    <w:p w:rsidR="0073781B" w:rsidRPr="00F228D9" w:rsidRDefault="0073781B" w:rsidP="0073781B">
      <w:pPr>
        <w:pStyle w:val="ListParagraph"/>
        <w:spacing w:line="360" w:lineRule="auto"/>
        <w:jc w:val="both"/>
        <w:rPr>
          <w:rFonts w:ascii="Tahoma" w:hAnsi="Tahoma" w:cs="Tahoma"/>
          <w:color w:val="767171" w:themeColor="background2" w:themeShade="80"/>
          <w:sz w:val="20"/>
          <w:szCs w:val="24"/>
        </w:rPr>
      </w:pPr>
      <w:r w:rsidRPr="00F228D9">
        <w:rPr>
          <w:rFonts w:ascii="Tahoma" w:hAnsi="Tahoma" w:cs="Tahoma"/>
          <w:color w:val="767171" w:themeColor="background2" w:themeShade="80"/>
          <w:sz w:val="20"/>
          <w:szCs w:val="24"/>
        </w:rPr>
        <w:t>Sursa: MFP, INS, calcule proprii</w:t>
      </w:r>
    </w:p>
    <w:p w:rsidR="00CF1ED7" w:rsidRPr="00F228D9" w:rsidRDefault="00CF1ED7" w:rsidP="00F30899">
      <w:pPr>
        <w:pStyle w:val="ListParagraph"/>
        <w:spacing w:before="240" w:line="360" w:lineRule="auto"/>
        <w:jc w:val="center"/>
        <w:rPr>
          <w:rFonts w:ascii="Tahoma" w:hAnsi="Tahoma" w:cs="Tahoma"/>
          <w:b/>
          <w:color w:val="767171" w:themeColor="background2" w:themeShade="80"/>
          <w:szCs w:val="24"/>
        </w:rPr>
      </w:pPr>
      <w:r w:rsidRPr="00F228D9">
        <w:rPr>
          <w:rFonts w:ascii="Tahoma" w:hAnsi="Tahoma" w:cs="Tahoma"/>
          <w:b/>
          <w:color w:val="767171" w:themeColor="background2" w:themeShade="80"/>
          <w:szCs w:val="24"/>
        </w:rPr>
        <w:t>Fig.</w:t>
      </w:r>
      <w:r w:rsidR="000D2B64" w:rsidRPr="00F228D9">
        <w:rPr>
          <w:rFonts w:ascii="Tahoma" w:hAnsi="Tahoma" w:cs="Tahoma"/>
          <w:b/>
          <w:color w:val="767171" w:themeColor="background2" w:themeShade="80"/>
          <w:szCs w:val="24"/>
        </w:rPr>
        <w:t>1</w:t>
      </w:r>
      <w:r w:rsidRPr="00F228D9">
        <w:rPr>
          <w:rFonts w:ascii="Tahoma" w:hAnsi="Tahoma" w:cs="Tahoma"/>
          <w:b/>
          <w:color w:val="767171" w:themeColor="background2" w:themeShade="80"/>
          <w:szCs w:val="24"/>
        </w:rPr>
        <w:t xml:space="preserve">Impozitul pe venit </w:t>
      </w:r>
    </w:p>
    <w:p w:rsidR="00F160D8" w:rsidRPr="00F228D9" w:rsidRDefault="00F160D8" w:rsidP="00016F63">
      <w:pPr>
        <w:spacing w:after="120" w:line="360" w:lineRule="auto"/>
        <w:jc w:val="both"/>
        <w:rPr>
          <w:rFonts w:ascii="Tahoma" w:hAnsi="Tahoma" w:cs="Tahoma"/>
          <w:color w:val="000000" w:themeColor="text1"/>
          <w:sz w:val="24"/>
          <w:szCs w:val="24"/>
        </w:rPr>
      </w:pPr>
      <w:r w:rsidRPr="00F228D9">
        <w:rPr>
          <w:rFonts w:ascii="Tahoma" w:hAnsi="Tahoma" w:cs="Tahoma"/>
          <w:b/>
          <w:i/>
          <w:sz w:val="24"/>
          <w:szCs w:val="24"/>
        </w:rPr>
        <w:t xml:space="preserve">Contribuțiile de asigurări  </w:t>
      </w:r>
      <w:r w:rsidR="00811D17" w:rsidRPr="00F228D9">
        <w:rPr>
          <w:rFonts w:ascii="Tahoma" w:hAnsi="Tahoma" w:cs="Tahoma"/>
          <w:sz w:val="24"/>
          <w:szCs w:val="24"/>
        </w:rPr>
        <w:t>au înregistrat</w:t>
      </w:r>
      <w:r w:rsidR="00712417" w:rsidRPr="00F228D9">
        <w:rPr>
          <w:rFonts w:ascii="Tahoma" w:hAnsi="Tahoma" w:cs="Tahoma"/>
          <w:sz w:val="24"/>
          <w:szCs w:val="24"/>
        </w:rPr>
        <w:t>27</w:t>
      </w:r>
      <w:r w:rsidRPr="00F228D9">
        <w:rPr>
          <w:rFonts w:ascii="Tahoma" w:hAnsi="Tahoma" w:cs="Tahoma"/>
          <w:sz w:val="24"/>
          <w:szCs w:val="24"/>
        </w:rPr>
        <w:t>,</w:t>
      </w:r>
      <w:r w:rsidR="00712417" w:rsidRPr="00F228D9">
        <w:rPr>
          <w:rFonts w:ascii="Tahoma" w:hAnsi="Tahoma" w:cs="Tahoma"/>
          <w:sz w:val="24"/>
          <w:szCs w:val="24"/>
        </w:rPr>
        <w:t>31</w:t>
      </w:r>
      <w:r w:rsidRPr="00F228D9">
        <w:rPr>
          <w:rFonts w:ascii="Tahoma" w:hAnsi="Tahoma" w:cs="Tahoma"/>
          <w:sz w:val="24"/>
          <w:szCs w:val="24"/>
        </w:rPr>
        <w:t xml:space="preserve"> mld lei în primele </w:t>
      </w:r>
      <w:r w:rsidR="00712417" w:rsidRPr="00F228D9">
        <w:rPr>
          <w:rFonts w:ascii="Tahoma" w:hAnsi="Tahoma" w:cs="Tahoma"/>
          <w:sz w:val="24"/>
          <w:szCs w:val="24"/>
        </w:rPr>
        <w:t>3</w:t>
      </w:r>
      <w:r w:rsidRPr="00F228D9">
        <w:rPr>
          <w:rFonts w:ascii="Tahoma" w:hAnsi="Tahoma" w:cs="Tahoma"/>
          <w:sz w:val="24"/>
          <w:szCs w:val="24"/>
        </w:rPr>
        <w:t xml:space="preserve"> luni ale anului 2020, cu </w:t>
      </w:r>
      <w:r w:rsidR="00F34894" w:rsidRPr="00F228D9">
        <w:rPr>
          <w:rFonts w:ascii="Tahoma" w:hAnsi="Tahoma" w:cs="Tahoma"/>
          <w:sz w:val="24"/>
          <w:szCs w:val="24"/>
        </w:rPr>
        <w:t>2</w:t>
      </w:r>
      <w:r w:rsidRPr="00F228D9">
        <w:rPr>
          <w:rFonts w:ascii="Tahoma" w:hAnsi="Tahoma" w:cs="Tahoma"/>
          <w:sz w:val="24"/>
          <w:szCs w:val="24"/>
        </w:rPr>
        <w:t xml:space="preserve">% peste </w:t>
      </w:r>
      <w:r w:rsidR="00811D17" w:rsidRPr="00F228D9">
        <w:rPr>
          <w:rFonts w:ascii="Tahoma" w:hAnsi="Tahoma" w:cs="Tahoma"/>
          <w:sz w:val="24"/>
          <w:szCs w:val="24"/>
        </w:rPr>
        <w:t>nivelul înregistrat în</w:t>
      </w:r>
      <w:r w:rsidRPr="00F228D9">
        <w:rPr>
          <w:rFonts w:ascii="Tahoma" w:hAnsi="Tahoma" w:cs="Tahoma"/>
          <w:sz w:val="24"/>
          <w:szCs w:val="24"/>
        </w:rPr>
        <w:t xml:space="preserve"> perioad</w:t>
      </w:r>
      <w:r w:rsidR="00811D17" w:rsidRPr="00F228D9">
        <w:rPr>
          <w:rFonts w:ascii="Tahoma" w:hAnsi="Tahoma" w:cs="Tahoma"/>
          <w:sz w:val="24"/>
          <w:szCs w:val="24"/>
        </w:rPr>
        <w:t xml:space="preserve">a </w:t>
      </w:r>
      <w:r w:rsidR="009D71C3" w:rsidRPr="00F228D9">
        <w:rPr>
          <w:rFonts w:ascii="Tahoma" w:hAnsi="Tahoma" w:cs="Tahoma"/>
          <w:sz w:val="24"/>
          <w:szCs w:val="24"/>
        </w:rPr>
        <w:t>corespunzătoare</w:t>
      </w:r>
      <w:r w:rsidR="00811D17" w:rsidRPr="00F228D9">
        <w:rPr>
          <w:rFonts w:ascii="Tahoma" w:hAnsi="Tahoma" w:cs="Tahoma"/>
          <w:sz w:val="24"/>
          <w:szCs w:val="24"/>
        </w:rPr>
        <w:t xml:space="preserve"> a</w:t>
      </w:r>
      <w:r w:rsidRPr="00F228D9">
        <w:rPr>
          <w:rFonts w:ascii="Tahoma" w:hAnsi="Tahoma" w:cs="Tahoma"/>
          <w:sz w:val="24"/>
          <w:szCs w:val="24"/>
        </w:rPr>
        <w:t xml:space="preserve"> anului </w:t>
      </w:r>
      <w:r w:rsidR="00811D17" w:rsidRPr="00F228D9">
        <w:rPr>
          <w:rFonts w:ascii="Tahoma" w:hAnsi="Tahoma" w:cs="Tahoma"/>
          <w:sz w:val="24"/>
          <w:szCs w:val="24"/>
        </w:rPr>
        <w:t>trecut</w:t>
      </w:r>
      <w:r w:rsidRPr="00F228D9">
        <w:rPr>
          <w:rFonts w:ascii="Tahoma" w:hAnsi="Tahoma" w:cs="Tahoma"/>
          <w:sz w:val="24"/>
          <w:szCs w:val="24"/>
        </w:rPr>
        <w:t xml:space="preserve">. </w:t>
      </w:r>
      <w:r w:rsidR="00675166" w:rsidRPr="00F228D9">
        <w:rPr>
          <w:rFonts w:ascii="Tahoma" w:hAnsi="Tahoma" w:cs="Tahoma"/>
          <w:color w:val="000000" w:themeColor="text1"/>
          <w:sz w:val="24"/>
          <w:szCs w:val="24"/>
        </w:rPr>
        <w:t xml:space="preserve">Similar evoluției </w:t>
      </w:r>
      <w:r w:rsidR="009D71C3" w:rsidRPr="00F228D9">
        <w:rPr>
          <w:rFonts w:ascii="Tahoma" w:hAnsi="Tahoma" w:cs="Tahoma"/>
          <w:color w:val="000000" w:themeColor="text1"/>
          <w:sz w:val="24"/>
          <w:szCs w:val="24"/>
        </w:rPr>
        <w:t xml:space="preserve">veniturilor din </w:t>
      </w:r>
      <w:r w:rsidR="00675166" w:rsidRPr="00F228D9">
        <w:rPr>
          <w:rFonts w:ascii="Tahoma" w:hAnsi="Tahoma" w:cs="Tahoma"/>
          <w:color w:val="000000" w:themeColor="text1"/>
          <w:sz w:val="24"/>
          <w:szCs w:val="24"/>
        </w:rPr>
        <w:t xml:space="preserve">impozitul pe </w:t>
      </w:r>
      <w:r w:rsidR="00974E99" w:rsidRPr="00F228D9">
        <w:rPr>
          <w:rFonts w:ascii="Tahoma" w:hAnsi="Tahoma" w:cs="Tahoma"/>
          <w:color w:val="000000" w:themeColor="text1"/>
          <w:sz w:val="24"/>
          <w:szCs w:val="24"/>
        </w:rPr>
        <w:t>venit</w:t>
      </w:r>
      <w:r w:rsidR="00675166" w:rsidRPr="00F228D9">
        <w:rPr>
          <w:rFonts w:ascii="Tahoma" w:hAnsi="Tahoma" w:cs="Tahoma"/>
          <w:color w:val="000000" w:themeColor="text1"/>
          <w:sz w:val="24"/>
          <w:szCs w:val="24"/>
        </w:rPr>
        <w:t xml:space="preserve">, </w:t>
      </w:r>
      <w:r w:rsidR="009D71C3" w:rsidRPr="00F228D9">
        <w:rPr>
          <w:rFonts w:ascii="Tahoma" w:hAnsi="Tahoma" w:cs="Tahoma"/>
          <w:color w:val="000000" w:themeColor="text1"/>
          <w:sz w:val="24"/>
          <w:szCs w:val="24"/>
        </w:rPr>
        <w:t xml:space="preserve">dinamica pozitivă a veniturilor din </w:t>
      </w:r>
      <w:r w:rsidR="00811D17" w:rsidRPr="00F228D9">
        <w:rPr>
          <w:rFonts w:ascii="Tahoma" w:hAnsi="Tahoma" w:cs="Tahoma"/>
          <w:color w:val="000000" w:themeColor="text1"/>
          <w:sz w:val="24"/>
          <w:szCs w:val="24"/>
        </w:rPr>
        <w:t>contribuții</w:t>
      </w:r>
      <w:r w:rsidR="00163874" w:rsidRPr="00F228D9">
        <w:rPr>
          <w:rFonts w:ascii="Tahoma" w:hAnsi="Tahoma" w:cs="Tahoma"/>
          <w:color w:val="000000" w:themeColor="text1"/>
          <w:sz w:val="24"/>
          <w:szCs w:val="24"/>
        </w:rPr>
        <w:t xml:space="preserve"> sociale </w:t>
      </w:r>
      <w:r w:rsidR="009D71C3" w:rsidRPr="00F228D9">
        <w:rPr>
          <w:rFonts w:ascii="Tahoma" w:hAnsi="Tahoma" w:cs="Tahoma"/>
          <w:color w:val="000000" w:themeColor="text1"/>
          <w:sz w:val="24"/>
          <w:szCs w:val="24"/>
        </w:rPr>
        <w:t xml:space="preserve">a fost influențată de majorarea salariului minim garantat în plată și de evoluția acelorași indicatori macroeconomici relevanți. </w:t>
      </w:r>
      <w:r w:rsidR="00AF077A" w:rsidRPr="00F228D9">
        <w:rPr>
          <w:rFonts w:ascii="Tahoma" w:hAnsi="Tahoma" w:cs="Tahoma"/>
          <w:color w:val="000000" w:themeColor="text1"/>
          <w:sz w:val="24"/>
          <w:szCs w:val="24"/>
        </w:rPr>
        <w:t>Totuşi, încasările din contribuţii sociale în luna martie au fost cu 1,7 mld lei mai reduse decât obligaţiile fiscale declarate de către contribuabili. De asemenea</w:t>
      </w:r>
      <w:r w:rsidR="009A7463" w:rsidRPr="00F228D9">
        <w:rPr>
          <w:rFonts w:ascii="Tahoma" w:hAnsi="Tahoma" w:cs="Tahoma"/>
          <w:color w:val="000000" w:themeColor="text1"/>
          <w:sz w:val="24"/>
          <w:szCs w:val="24"/>
        </w:rPr>
        <w:t>, c</w:t>
      </w:r>
      <w:r w:rsidR="000557D4" w:rsidRPr="00F228D9">
        <w:rPr>
          <w:rFonts w:ascii="Tahoma" w:hAnsi="Tahoma" w:cs="Tahoma"/>
          <w:color w:val="000000" w:themeColor="text1"/>
          <w:sz w:val="24"/>
          <w:szCs w:val="24"/>
        </w:rPr>
        <w:t xml:space="preserve">omparativ </w:t>
      </w:r>
      <w:r w:rsidR="00E27A1E" w:rsidRPr="00F228D9">
        <w:rPr>
          <w:rFonts w:ascii="Tahoma" w:hAnsi="Tahoma" w:cs="Tahoma"/>
          <w:color w:val="000000" w:themeColor="text1"/>
          <w:sz w:val="24"/>
          <w:szCs w:val="24"/>
        </w:rPr>
        <w:t xml:space="preserve">cu </w:t>
      </w:r>
      <w:r w:rsidR="000557D4" w:rsidRPr="00F228D9">
        <w:rPr>
          <w:rFonts w:ascii="Tahoma" w:hAnsi="Tahoma" w:cs="Tahoma"/>
          <w:color w:val="000000" w:themeColor="text1"/>
          <w:sz w:val="24"/>
          <w:szCs w:val="24"/>
        </w:rPr>
        <w:t>aceeași perioadă a anului</w:t>
      </w:r>
      <w:r w:rsidR="0005779D" w:rsidRPr="00F228D9">
        <w:rPr>
          <w:rFonts w:ascii="Tahoma" w:hAnsi="Tahoma" w:cs="Tahoma"/>
          <w:color w:val="000000" w:themeColor="text1"/>
          <w:sz w:val="24"/>
          <w:szCs w:val="24"/>
        </w:rPr>
        <w:t xml:space="preserve"> trecut</w:t>
      </w:r>
      <w:r w:rsidR="000557D4" w:rsidRPr="00F228D9">
        <w:rPr>
          <w:rFonts w:ascii="Tahoma" w:hAnsi="Tahoma" w:cs="Tahoma"/>
          <w:color w:val="000000" w:themeColor="text1"/>
          <w:sz w:val="24"/>
          <w:szCs w:val="24"/>
        </w:rPr>
        <w:t>, c</w:t>
      </w:r>
      <w:r w:rsidR="00811D17" w:rsidRPr="00F228D9">
        <w:rPr>
          <w:rFonts w:ascii="Tahoma" w:hAnsi="Tahoma" w:cs="Tahoma"/>
          <w:color w:val="000000" w:themeColor="text1"/>
          <w:sz w:val="24"/>
          <w:szCs w:val="24"/>
        </w:rPr>
        <w:t>ontribuțiile</w:t>
      </w:r>
      <w:r w:rsidRPr="00F228D9">
        <w:rPr>
          <w:rFonts w:ascii="Tahoma" w:hAnsi="Tahoma" w:cs="Tahoma"/>
          <w:color w:val="000000" w:themeColor="text1"/>
          <w:sz w:val="24"/>
          <w:szCs w:val="24"/>
        </w:rPr>
        <w:t xml:space="preserve"> sociale </w:t>
      </w:r>
      <w:r w:rsidR="000557D4" w:rsidRPr="00F228D9">
        <w:rPr>
          <w:rFonts w:ascii="Tahoma" w:hAnsi="Tahoma" w:cs="Tahoma"/>
          <w:color w:val="000000" w:themeColor="text1"/>
          <w:sz w:val="24"/>
          <w:szCs w:val="24"/>
        </w:rPr>
        <w:t xml:space="preserve">au fost </w:t>
      </w:r>
      <w:r w:rsidR="00AF077A" w:rsidRPr="00F228D9">
        <w:rPr>
          <w:rFonts w:ascii="Tahoma" w:hAnsi="Tahoma" w:cs="Tahoma"/>
          <w:color w:val="000000" w:themeColor="text1"/>
          <w:sz w:val="24"/>
          <w:szCs w:val="24"/>
        </w:rPr>
        <w:t>afectate</w:t>
      </w:r>
      <w:r w:rsidR="00F34894" w:rsidRPr="00F228D9">
        <w:rPr>
          <w:rFonts w:ascii="Tahoma" w:hAnsi="Tahoma" w:cs="Tahoma"/>
          <w:color w:val="000000" w:themeColor="text1"/>
          <w:sz w:val="24"/>
          <w:szCs w:val="24"/>
        </w:rPr>
        <w:t>de</w:t>
      </w:r>
      <w:r w:rsidR="0005779D" w:rsidRPr="00F228D9">
        <w:rPr>
          <w:rFonts w:ascii="Tahoma" w:hAnsi="Tahoma" w:cs="Tahoma"/>
          <w:color w:val="000000" w:themeColor="text1"/>
          <w:sz w:val="24"/>
          <w:szCs w:val="24"/>
        </w:rPr>
        <w:t xml:space="preserve"> modific</w:t>
      </w:r>
      <w:r w:rsidR="00F34894" w:rsidRPr="00F228D9">
        <w:rPr>
          <w:rFonts w:ascii="Tahoma" w:hAnsi="Tahoma" w:cs="Tahoma"/>
          <w:color w:val="000000" w:themeColor="text1"/>
          <w:sz w:val="24"/>
          <w:szCs w:val="24"/>
        </w:rPr>
        <w:t>area</w:t>
      </w:r>
      <w:r w:rsidR="0005779D" w:rsidRPr="00F228D9">
        <w:rPr>
          <w:rFonts w:ascii="Tahoma" w:hAnsi="Tahoma" w:cs="Tahoma"/>
          <w:color w:val="000000" w:themeColor="text1"/>
          <w:sz w:val="24"/>
          <w:szCs w:val="24"/>
        </w:rPr>
        <w:t xml:space="preserve"> bazei </w:t>
      </w:r>
      <w:r w:rsidR="00B6727A" w:rsidRPr="00F228D9">
        <w:rPr>
          <w:rFonts w:ascii="Tahoma" w:hAnsi="Tahoma" w:cs="Tahoma"/>
          <w:color w:val="000000" w:themeColor="text1"/>
          <w:sz w:val="24"/>
          <w:szCs w:val="24"/>
        </w:rPr>
        <w:t xml:space="preserve">de </w:t>
      </w:r>
      <w:r w:rsidR="0005779D" w:rsidRPr="00F228D9">
        <w:rPr>
          <w:rFonts w:ascii="Tahoma" w:hAnsi="Tahoma" w:cs="Tahoma"/>
          <w:color w:val="000000" w:themeColor="text1"/>
          <w:sz w:val="24"/>
          <w:szCs w:val="24"/>
        </w:rPr>
        <w:t xml:space="preserve">calcul a CAS și CASS datorată </w:t>
      </w:r>
      <w:r w:rsidR="006B3457" w:rsidRPr="00F228D9">
        <w:rPr>
          <w:rFonts w:ascii="Tahoma" w:hAnsi="Tahoma" w:cs="Tahoma"/>
          <w:color w:val="000000" w:themeColor="text1"/>
          <w:sz w:val="24"/>
          <w:szCs w:val="24"/>
        </w:rPr>
        <w:t>de</w:t>
      </w:r>
      <w:r w:rsidR="0005779D" w:rsidRPr="00F228D9">
        <w:rPr>
          <w:rFonts w:ascii="Tahoma" w:hAnsi="Tahoma" w:cs="Tahoma"/>
          <w:color w:val="000000" w:themeColor="text1"/>
          <w:sz w:val="24"/>
          <w:szCs w:val="24"/>
        </w:rPr>
        <w:t xml:space="preserve"> salariații cu contract </w:t>
      </w:r>
      <w:r w:rsidR="0005779D" w:rsidRPr="00F228D9">
        <w:rPr>
          <w:rFonts w:ascii="Tahoma" w:hAnsi="Tahoma" w:cs="Tahoma"/>
          <w:color w:val="000000" w:themeColor="text1"/>
          <w:sz w:val="24"/>
          <w:szCs w:val="24"/>
        </w:rPr>
        <w:lastRenderedPageBreak/>
        <w:t>individual de muncă cu timp parțial</w:t>
      </w:r>
      <w:r w:rsidR="00506D31" w:rsidRPr="00F228D9">
        <w:rPr>
          <w:rFonts w:ascii="Tahoma" w:hAnsi="Tahoma" w:cs="Tahoma"/>
          <w:color w:val="000000" w:themeColor="text1"/>
          <w:sz w:val="24"/>
          <w:szCs w:val="24"/>
        </w:rPr>
        <w:t xml:space="preserve">și de prorogarea termenului de plată a declarației unice privind impozitul pe venit și contribuțiile sociale datorate de persoanele fizice de la 15 martie 2020 la data de 25 mai 2020 inclusiv. </w:t>
      </w:r>
    </w:p>
    <w:p w:rsidR="00CF1ED7" w:rsidRPr="00F228D9" w:rsidRDefault="005E5AB8" w:rsidP="0073781B">
      <w:pPr>
        <w:spacing w:after="0" w:line="240" w:lineRule="auto"/>
        <w:jc w:val="center"/>
        <w:rPr>
          <w:rFonts w:ascii="Tahoma" w:hAnsi="Tahoma" w:cs="Tahoma"/>
          <w:sz w:val="24"/>
          <w:szCs w:val="24"/>
        </w:rPr>
      </w:pPr>
      <w:r w:rsidRPr="00F228D9">
        <w:rPr>
          <w:rFonts w:ascii="Tahoma" w:hAnsi="Tahoma" w:cs="Tahoma"/>
          <w:noProof/>
          <w:sz w:val="24"/>
          <w:szCs w:val="24"/>
          <w:lang w:eastAsia="ro-RO"/>
        </w:rPr>
        <w:drawing>
          <wp:inline distT="0" distB="0" distL="0" distR="0">
            <wp:extent cx="6130290" cy="2695699"/>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40415" cy="2700151"/>
                    </a:xfrm>
                    <a:prstGeom prst="rect">
                      <a:avLst/>
                    </a:prstGeom>
                    <a:noFill/>
                  </pic:spPr>
                </pic:pic>
              </a:graphicData>
            </a:graphic>
          </wp:inline>
        </w:drawing>
      </w:r>
    </w:p>
    <w:p w:rsidR="0073781B" w:rsidRPr="00F228D9" w:rsidRDefault="0073781B" w:rsidP="0073781B">
      <w:pPr>
        <w:pStyle w:val="ListParagraph"/>
        <w:spacing w:line="360" w:lineRule="auto"/>
        <w:jc w:val="both"/>
        <w:rPr>
          <w:rFonts w:ascii="Tahoma" w:hAnsi="Tahoma" w:cs="Tahoma"/>
          <w:color w:val="767171" w:themeColor="background2" w:themeShade="80"/>
          <w:sz w:val="20"/>
          <w:szCs w:val="24"/>
        </w:rPr>
      </w:pPr>
      <w:r w:rsidRPr="00F228D9">
        <w:rPr>
          <w:rFonts w:ascii="Tahoma" w:hAnsi="Tahoma" w:cs="Tahoma"/>
          <w:color w:val="767171" w:themeColor="background2" w:themeShade="80"/>
          <w:sz w:val="20"/>
          <w:szCs w:val="24"/>
        </w:rPr>
        <w:t>Sursa: MFP, INS, calcule proprii</w:t>
      </w:r>
    </w:p>
    <w:p w:rsidR="00CF1ED7" w:rsidRPr="00F228D9" w:rsidRDefault="00CF1ED7" w:rsidP="00CF1ED7">
      <w:pPr>
        <w:pStyle w:val="ListParagraph"/>
        <w:spacing w:line="360" w:lineRule="auto"/>
        <w:jc w:val="center"/>
        <w:rPr>
          <w:rFonts w:ascii="Tahoma" w:hAnsi="Tahoma" w:cs="Tahoma"/>
          <w:b/>
          <w:color w:val="767171" w:themeColor="background2" w:themeShade="80"/>
          <w:szCs w:val="24"/>
        </w:rPr>
      </w:pPr>
      <w:r w:rsidRPr="00F228D9">
        <w:rPr>
          <w:rFonts w:ascii="Tahoma" w:hAnsi="Tahoma" w:cs="Tahoma"/>
          <w:b/>
          <w:color w:val="767171" w:themeColor="background2" w:themeShade="80"/>
          <w:szCs w:val="24"/>
        </w:rPr>
        <w:t>Fig.</w:t>
      </w:r>
      <w:r w:rsidR="000D2B64" w:rsidRPr="00F228D9">
        <w:rPr>
          <w:rFonts w:ascii="Tahoma" w:hAnsi="Tahoma" w:cs="Tahoma"/>
          <w:b/>
          <w:color w:val="767171" w:themeColor="background2" w:themeShade="80"/>
          <w:szCs w:val="24"/>
        </w:rPr>
        <w:t>2</w:t>
      </w:r>
      <w:r w:rsidR="00D37654" w:rsidRPr="00AF5A15">
        <w:rPr>
          <w:rFonts w:ascii="Tahoma" w:hAnsi="Tahoma" w:cs="Tahoma"/>
          <w:b/>
          <w:color w:val="767171" w:themeColor="background2" w:themeShade="80"/>
          <w:szCs w:val="24"/>
        </w:rPr>
        <w:t>.</w:t>
      </w:r>
      <w:r w:rsidRPr="00AF5A15">
        <w:rPr>
          <w:rFonts w:ascii="Tahoma" w:hAnsi="Tahoma" w:cs="Tahoma"/>
          <w:b/>
          <w:color w:val="767171" w:themeColor="background2" w:themeShade="80"/>
          <w:szCs w:val="24"/>
        </w:rPr>
        <w:t>C</w:t>
      </w:r>
      <w:r w:rsidRPr="00F228D9">
        <w:rPr>
          <w:rFonts w:ascii="Tahoma" w:hAnsi="Tahoma" w:cs="Tahoma"/>
          <w:b/>
          <w:color w:val="767171" w:themeColor="background2" w:themeShade="80"/>
          <w:szCs w:val="24"/>
        </w:rPr>
        <w:t>ontribuții de asigurări</w:t>
      </w:r>
    </w:p>
    <w:p w:rsidR="005E5AB8" w:rsidRPr="00F228D9" w:rsidRDefault="005E5AB8" w:rsidP="005E5AB8">
      <w:pPr>
        <w:spacing w:before="240" w:after="120" w:line="360" w:lineRule="auto"/>
        <w:jc w:val="both"/>
        <w:rPr>
          <w:rFonts w:ascii="Tahoma" w:hAnsi="Tahoma" w:cs="Tahoma"/>
          <w:sz w:val="24"/>
          <w:szCs w:val="28"/>
        </w:rPr>
      </w:pPr>
      <w:r w:rsidRPr="00F228D9">
        <w:rPr>
          <w:rFonts w:ascii="Tahoma" w:hAnsi="Tahoma" w:cs="Tahoma"/>
          <w:sz w:val="24"/>
          <w:szCs w:val="28"/>
        </w:rPr>
        <w:t xml:space="preserve">Încasările din </w:t>
      </w:r>
      <w:r w:rsidRPr="00F228D9">
        <w:rPr>
          <w:rFonts w:ascii="Tahoma" w:hAnsi="Tahoma" w:cs="Tahoma"/>
          <w:b/>
          <w:i/>
          <w:sz w:val="24"/>
          <w:szCs w:val="28"/>
        </w:rPr>
        <w:t>impozitul pe profit</w:t>
      </w:r>
      <w:r w:rsidRPr="00F228D9">
        <w:rPr>
          <w:rFonts w:ascii="Tahoma" w:hAnsi="Tahoma" w:cs="Tahoma"/>
          <w:sz w:val="24"/>
          <w:szCs w:val="28"/>
        </w:rPr>
        <w:t xml:space="preserve">au însumat 2,86 mld lei în primul trimestru al anului curent, în scădere cu 32,0% (-1.35 mld lei) față de perioada corespunzătoare a anului trecut. Această evoluție negativă este explicată de </w:t>
      </w:r>
      <w:r w:rsidR="00AF077A" w:rsidRPr="00F228D9">
        <w:rPr>
          <w:rFonts w:ascii="Tahoma" w:hAnsi="Tahoma" w:cs="Tahoma"/>
          <w:sz w:val="24"/>
          <w:szCs w:val="28"/>
        </w:rPr>
        <w:t>amânarea achitării unor obligaţii fiscale în luna martie de către contribuabilii</w:t>
      </w:r>
      <w:r w:rsidRPr="00F228D9">
        <w:rPr>
          <w:rFonts w:ascii="Tahoma" w:hAnsi="Tahoma" w:cs="Tahoma"/>
          <w:sz w:val="24"/>
          <w:szCs w:val="28"/>
        </w:rPr>
        <w:t xml:space="preserve"> plătitori de impozit pe profit (OUG nr. 29/2020). În structur</w:t>
      </w:r>
      <w:r w:rsidR="00FF29DD" w:rsidRPr="00F228D9">
        <w:rPr>
          <w:rFonts w:ascii="Tahoma" w:hAnsi="Tahoma" w:cs="Tahoma"/>
          <w:sz w:val="24"/>
          <w:szCs w:val="28"/>
        </w:rPr>
        <w:t>a veniturilor din impozitul pe profit</w:t>
      </w:r>
      <w:r w:rsidRPr="00F228D9">
        <w:rPr>
          <w:rFonts w:ascii="Tahoma" w:hAnsi="Tahoma" w:cs="Tahoma"/>
          <w:sz w:val="24"/>
          <w:szCs w:val="28"/>
        </w:rPr>
        <w:t xml:space="preserve"> se </w:t>
      </w:r>
      <w:r w:rsidR="00FF29DD" w:rsidRPr="00F228D9">
        <w:rPr>
          <w:rFonts w:ascii="Tahoma" w:hAnsi="Tahoma" w:cs="Tahoma"/>
          <w:sz w:val="24"/>
          <w:szCs w:val="28"/>
        </w:rPr>
        <w:t>observăreduceri</w:t>
      </w:r>
      <w:r w:rsidR="003700C3" w:rsidRPr="003700C3">
        <w:rPr>
          <w:rFonts w:ascii="Tahoma" w:hAnsi="Tahoma" w:cs="Tahoma"/>
          <w:sz w:val="24"/>
          <w:szCs w:val="28"/>
        </w:rPr>
        <w:t xml:space="preserve">ale încasărilor de la </w:t>
      </w:r>
      <w:r w:rsidR="006E331D" w:rsidRPr="00F228D9">
        <w:rPr>
          <w:rFonts w:ascii="Tahoma" w:hAnsi="Tahoma" w:cs="Tahoma"/>
          <w:sz w:val="24"/>
          <w:szCs w:val="28"/>
        </w:rPr>
        <w:t xml:space="preserve">agenții economici cu 26,9% </w:t>
      </w:r>
      <w:r w:rsidR="00DB67BD" w:rsidRPr="00F228D9">
        <w:rPr>
          <w:rFonts w:ascii="Tahoma" w:hAnsi="Tahoma" w:cs="Tahoma"/>
          <w:sz w:val="24"/>
          <w:szCs w:val="28"/>
        </w:rPr>
        <w:t xml:space="preserve">și </w:t>
      </w:r>
      <w:r w:rsidR="006E331D" w:rsidRPr="00F228D9">
        <w:rPr>
          <w:rFonts w:ascii="Tahoma" w:hAnsi="Tahoma" w:cs="Tahoma"/>
          <w:sz w:val="24"/>
          <w:szCs w:val="28"/>
        </w:rPr>
        <w:t>a băncilor</w:t>
      </w:r>
      <w:r w:rsidR="00DB67BD" w:rsidRPr="00F228D9">
        <w:rPr>
          <w:rFonts w:ascii="Tahoma" w:hAnsi="Tahoma" w:cs="Tahoma"/>
          <w:sz w:val="24"/>
          <w:szCs w:val="28"/>
        </w:rPr>
        <w:t xml:space="preserve"> comerciale</w:t>
      </w:r>
      <w:r w:rsidR="006E331D" w:rsidRPr="00F228D9">
        <w:rPr>
          <w:rFonts w:ascii="Tahoma" w:hAnsi="Tahoma" w:cs="Tahoma"/>
          <w:sz w:val="24"/>
          <w:szCs w:val="28"/>
        </w:rPr>
        <w:t xml:space="preserve"> cu </w:t>
      </w:r>
      <w:r w:rsidR="00DB67BD" w:rsidRPr="00F228D9">
        <w:rPr>
          <w:rFonts w:ascii="Tahoma" w:hAnsi="Tahoma" w:cs="Tahoma"/>
          <w:sz w:val="24"/>
          <w:szCs w:val="28"/>
        </w:rPr>
        <w:t>76,2%</w:t>
      </w:r>
      <w:r w:rsidR="006E331D" w:rsidRPr="00F228D9">
        <w:rPr>
          <w:rFonts w:ascii="Tahoma" w:hAnsi="Tahoma" w:cs="Tahoma"/>
          <w:sz w:val="24"/>
          <w:szCs w:val="28"/>
        </w:rPr>
        <w:t xml:space="preserve"> în trimestrul I 2020.</w:t>
      </w:r>
    </w:p>
    <w:p w:rsidR="008A34D2" w:rsidRPr="00F228D9" w:rsidRDefault="008A34D2" w:rsidP="005D07BD">
      <w:pPr>
        <w:spacing w:before="240" w:after="120" w:line="360" w:lineRule="auto"/>
        <w:jc w:val="both"/>
        <w:rPr>
          <w:rFonts w:ascii="Tahoma" w:hAnsi="Tahoma" w:cs="Tahoma"/>
          <w:sz w:val="24"/>
          <w:szCs w:val="24"/>
        </w:rPr>
      </w:pPr>
      <w:r w:rsidRPr="00F228D9">
        <w:rPr>
          <w:rFonts w:ascii="Tahoma" w:hAnsi="Tahoma" w:cs="Tahoma"/>
          <w:sz w:val="24"/>
          <w:szCs w:val="24"/>
        </w:rPr>
        <w:t xml:space="preserve">Încasările din </w:t>
      </w:r>
      <w:r w:rsidRPr="00F228D9">
        <w:rPr>
          <w:rFonts w:ascii="Tahoma" w:hAnsi="Tahoma" w:cs="Tahoma"/>
          <w:b/>
          <w:i/>
          <w:sz w:val="24"/>
          <w:szCs w:val="24"/>
        </w:rPr>
        <w:t>TVA</w:t>
      </w:r>
      <w:r w:rsidRPr="00F228D9">
        <w:rPr>
          <w:rFonts w:ascii="Tahoma" w:hAnsi="Tahoma" w:cs="Tahoma"/>
          <w:sz w:val="24"/>
          <w:szCs w:val="24"/>
        </w:rPr>
        <w:t xml:space="preserve"> au în</w:t>
      </w:r>
      <w:r w:rsidR="00AF077A" w:rsidRPr="00F228D9">
        <w:rPr>
          <w:rFonts w:ascii="Tahoma" w:hAnsi="Tahoma" w:cs="Tahoma"/>
          <w:sz w:val="24"/>
          <w:szCs w:val="24"/>
        </w:rPr>
        <w:t>registrat</w:t>
      </w:r>
      <w:r w:rsidRPr="00F228D9">
        <w:rPr>
          <w:rFonts w:ascii="Tahoma" w:hAnsi="Tahoma" w:cs="Tahoma"/>
          <w:sz w:val="24"/>
          <w:szCs w:val="24"/>
        </w:rPr>
        <w:t xml:space="preserve"> 1</w:t>
      </w:r>
      <w:r w:rsidR="00712417" w:rsidRPr="00F228D9">
        <w:rPr>
          <w:rFonts w:ascii="Tahoma" w:hAnsi="Tahoma" w:cs="Tahoma"/>
          <w:sz w:val="24"/>
          <w:szCs w:val="24"/>
        </w:rPr>
        <w:t>2</w:t>
      </w:r>
      <w:r w:rsidRPr="00F228D9">
        <w:rPr>
          <w:rFonts w:ascii="Tahoma" w:hAnsi="Tahoma" w:cs="Tahoma"/>
          <w:sz w:val="24"/>
          <w:szCs w:val="24"/>
        </w:rPr>
        <w:t>,2</w:t>
      </w:r>
      <w:r w:rsidR="00712417" w:rsidRPr="00F228D9">
        <w:rPr>
          <w:rFonts w:ascii="Tahoma" w:hAnsi="Tahoma" w:cs="Tahoma"/>
          <w:sz w:val="24"/>
          <w:szCs w:val="24"/>
        </w:rPr>
        <w:t>9</w:t>
      </w:r>
      <w:r w:rsidRPr="00F228D9">
        <w:rPr>
          <w:rFonts w:ascii="Tahoma" w:hAnsi="Tahoma" w:cs="Tahoma"/>
          <w:sz w:val="24"/>
          <w:szCs w:val="24"/>
        </w:rPr>
        <w:t xml:space="preserve"> mld lei în </w:t>
      </w:r>
      <w:r w:rsidR="00F160D8" w:rsidRPr="00F228D9">
        <w:rPr>
          <w:rFonts w:ascii="Tahoma" w:hAnsi="Tahoma" w:cs="Tahoma"/>
          <w:sz w:val="24"/>
          <w:szCs w:val="24"/>
        </w:rPr>
        <w:t xml:space="preserve">primele </w:t>
      </w:r>
      <w:r w:rsidR="00712417" w:rsidRPr="00F228D9">
        <w:rPr>
          <w:rFonts w:ascii="Tahoma" w:hAnsi="Tahoma" w:cs="Tahoma"/>
          <w:sz w:val="24"/>
          <w:szCs w:val="24"/>
        </w:rPr>
        <w:t>trei</w:t>
      </w:r>
      <w:r w:rsidR="00F160D8" w:rsidRPr="00F228D9">
        <w:rPr>
          <w:rFonts w:ascii="Tahoma" w:hAnsi="Tahoma" w:cs="Tahoma"/>
          <w:sz w:val="24"/>
          <w:szCs w:val="24"/>
        </w:rPr>
        <w:t xml:space="preserve"> luni ale anului</w:t>
      </w:r>
      <w:r w:rsidRPr="00F228D9">
        <w:rPr>
          <w:rFonts w:ascii="Tahoma" w:hAnsi="Tahoma" w:cs="Tahoma"/>
          <w:sz w:val="24"/>
          <w:szCs w:val="24"/>
        </w:rPr>
        <w:t xml:space="preserve"> 2020, în </w:t>
      </w:r>
      <w:r w:rsidR="00712417" w:rsidRPr="00F228D9">
        <w:rPr>
          <w:rFonts w:ascii="Tahoma" w:hAnsi="Tahoma" w:cs="Tahoma"/>
          <w:sz w:val="24"/>
          <w:szCs w:val="24"/>
        </w:rPr>
        <w:t>scădere</w:t>
      </w:r>
      <w:r w:rsidRPr="00F228D9">
        <w:rPr>
          <w:rFonts w:ascii="Tahoma" w:hAnsi="Tahoma" w:cs="Tahoma"/>
          <w:sz w:val="24"/>
          <w:szCs w:val="24"/>
        </w:rPr>
        <w:t xml:space="preserve"> cu </w:t>
      </w:r>
      <w:r w:rsidR="00712417" w:rsidRPr="00F228D9">
        <w:rPr>
          <w:rFonts w:ascii="Tahoma" w:hAnsi="Tahoma" w:cs="Tahoma"/>
          <w:color w:val="000000" w:themeColor="text1"/>
          <w:sz w:val="24"/>
          <w:szCs w:val="24"/>
        </w:rPr>
        <w:t>19</w:t>
      </w:r>
      <w:r w:rsidRPr="00F228D9">
        <w:rPr>
          <w:rFonts w:ascii="Tahoma" w:hAnsi="Tahoma" w:cs="Tahoma"/>
          <w:color w:val="000000" w:themeColor="text1"/>
          <w:sz w:val="24"/>
          <w:szCs w:val="24"/>
        </w:rPr>
        <w:t>,</w:t>
      </w:r>
      <w:r w:rsidR="00712417" w:rsidRPr="00F228D9">
        <w:rPr>
          <w:rFonts w:ascii="Tahoma" w:hAnsi="Tahoma" w:cs="Tahoma"/>
          <w:color w:val="000000" w:themeColor="text1"/>
          <w:sz w:val="24"/>
          <w:szCs w:val="24"/>
        </w:rPr>
        <w:t>4</w:t>
      </w:r>
      <w:r w:rsidRPr="00F228D9">
        <w:rPr>
          <w:rFonts w:ascii="Tahoma" w:hAnsi="Tahoma" w:cs="Tahoma"/>
          <w:color w:val="000000" w:themeColor="text1"/>
          <w:sz w:val="24"/>
          <w:szCs w:val="24"/>
        </w:rPr>
        <w:t xml:space="preserve">% față cele înregistrate în perioada similară a anului </w:t>
      </w:r>
      <w:r w:rsidR="00692AF8" w:rsidRPr="00F228D9">
        <w:rPr>
          <w:rFonts w:ascii="Tahoma" w:hAnsi="Tahoma" w:cs="Tahoma"/>
          <w:color w:val="000000" w:themeColor="text1"/>
          <w:sz w:val="24"/>
          <w:szCs w:val="24"/>
        </w:rPr>
        <w:t>trecut</w:t>
      </w:r>
      <w:r w:rsidR="00712417" w:rsidRPr="00F228D9">
        <w:rPr>
          <w:rFonts w:ascii="Tahoma" w:hAnsi="Tahoma" w:cs="Tahoma"/>
          <w:color w:val="000000" w:themeColor="text1"/>
          <w:sz w:val="24"/>
          <w:szCs w:val="24"/>
        </w:rPr>
        <w:t xml:space="preserve">, </w:t>
      </w:r>
      <w:r w:rsidR="00692AF8" w:rsidRPr="00F228D9">
        <w:rPr>
          <w:rFonts w:ascii="Tahoma" w:hAnsi="Tahoma" w:cs="Tahoma"/>
          <w:color w:val="000000" w:themeColor="text1"/>
          <w:sz w:val="24"/>
          <w:szCs w:val="24"/>
        </w:rPr>
        <w:t xml:space="preserve">în principal </w:t>
      </w:r>
      <w:r w:rsidR="00712417" w:rsidRPr="00F228D9">
        <w:rPr>
          <w:rFonts w:ascii="Tahoma" w:hAnsi="Tahoma" w:cs="Tahoma"/>
          <w:color w:val="000000" w:themeColor="text1"/>
          <w:sz w:val="24"/>
          <w:szCs w:val="24"/>
        </w:rPr>
        <w:t>ca urmare a</w:t>
      </w:r>
      <w:r w:rsidR="00692AF8" w:rsidRPr="00F228D9">
        <w:rPr>
          <w:rFonts w:ascii="Tahoma" w:hAnsi="Tahoma" w:cs="Tahoma"/>
          <w:color w:val="000000" w:themeColor="text1"/>
          <w:sz w:val="24"/>
          <w:szCs w:val="24"/>
        </w:rPr>
        <w:t xml:space="preserve"> diminuării semnificative aîncasărilor </w:t>
      </w:r>
      <w:r w:rsidR="00FC1C56" w:rsidRPr="00F228D9">
        <w:rPr>
          <w:rFonts w:ascii="Tahoma" w:hAnsi="Tahoma" w:cs="Tahoma"/>
          <w:color w:val="000000" w:themeColor="text1"/>
          <w:sz w:val="24"/>
          <w:szCs w:val="24"/>
        </w:rPr>
        <w:t xml:space="preserve">nete </w:t>
      </w:r>
      <w:r w:rsidR="00692AF8" w:rsidRPr="00F228D9">
        <w:rPr>
          <w:rFonts w:ascii="Tahoma" w:hAnsi="Tahoma" w:cs="Tahoma"/>
          <w:color w:val="000000" w:themeColor="text1"/>
          <w:sz w:val="24"/>
          <w:szCs w:val="24"/>
        </w:rPr>
        <w:t>în luna martie (-82,5%)</w:t>
      </w:r>
      <w:r w:rsidR="00712417" w:rsidRPr="00F228D9">
        <w:rPr>
          <w:rFonts w:ascii="Tahoma" w:hAnsi="Tahoma" w:cs="Tahoma"/>
          <w:color w:val="000000" w:themeColor="text1"/>
          <w:sz w:val="24"/>
          <w:szCs w:val="24"/>
        </w:rPr>
        <w:t xml:space="preserve">. </w:t>
      </w:r>
      <w:r w:rsidR="006254C8" w:rsidRPr="00F228D9">
        <w:rPr>
          <w:rFonts w:ascii="Tahoma" w:hAnsi="Tahoma" w:cs="Tahoma"/>
          <w:color w:val="000000" w:themeColor="text1"/>
          <w:sz w:val="24"/>
          <w:szCs w:val="24"/>
        </w:rPr>
        <w:t xml:space="preserve">Deși baza macroeconomică relevantă - </w:t>
      </w:r>
      <w:r w:rsidR="00692AF8" w:rsidRPr="00F228D9">
        <w:rPr>
          <w:rFonts w:ascii="Tahoma" w:hAnsi="Tahoma" w:cs="Tahoma"/>
          <w:color w:val="000000" w:themeColor="text1"/>
          <w:sz w:val="24"/>
          <w:szCs w:val="24"/>
        </w:rPr>
        <w:t xml:space="preserve">cifra de afaceri în comerț, servicii și industrie a înregistrat o dinamică de 12,2%, încasările </w:t>
      </w:r>
      <w:r w:rsidR="00B561AA" w:rsidRPr="00F228D9">
        <w:rPr>
          <w:rFonts w:ascii="Tahoma" w:hAnsi="Tahoma" w:cs="Tahoma"/>
          <w:color w:val="000000" w:themeColor="text1"/>
          <w:sz w:val="24"/>
          <w:szCs w:val="24"/>
        </w:rPr>
        <w:t>nete a</w:t>
      </w:r>
      <w:r w:rsidR="00692AF8" w:rsidRPr="00F228D9">
        <w:rPr>
          <w:rFonts w:ascii="Tahoma" w:hAnsi="Tahoma" w:cs="Tahoma"/>
          <w:color w:val="000000" w:themeColor="text1"/>
          <w:sz w:val="24"/>
          <w:szCs w:val="24"/>
        </w:rPr>
        <w:t>u fost influențate de accelerarea rambursărilor de TVA</w:t>
      </w:r>
      <w:r w:rsidR="006254C8" w:rsidRPr="00F228D9">
        <w:rPr>
          <w:rFonts w:ascii="Tahoma" w:hAnsi="Tahoma" w:cs="Tahoma"/>
          <w:color w:val="000000" w:themeColor="text1"/>
          <w:sz w:val="24"/>
          <w:szCs w:val="24"/>
        </w:rPr>
        <w:t xml:space="preserve">care au atins un nivel record </w:t>
      </w:r>
      <w:r w:rsidR="006165B6" w:rsidRPr="00F228D9">
        <w:rPr>
          <w:rFonts w:ascii="Tahoma" w:hAnsi="Tahoma" w:cs="Tahoma"/>
          <w:color w:val="000000" w:themeColor="text1"/>
          <w:sz w:val="24"/>
          <w:szCs w:val="24"/>
        </w:rPr>
        <w:t>în luna martie</w:t>
      </w:r>
      <w:r w:rsidR="00692AF8" w:rsidRPr="00F228D9">
        <w:rPr>
          <w:rFonts w:ascii="Tahoma" w:hAnsi="Tahoma" w:cs="Tahoma"/>
          <w:color w:val="000000" w:themeColor="text1"/>
          <w:sz w:val="24"/>
          <w:szCs w:val="24"/>
        </w:rPr>
        <w:t xml:space="preserve"> (restituiri suplimentare de 3,2 </w:t>
      </w:r>
      <w:r w:rsidR="009A7463" w:rsidRPr="00F228D9">
        <w:rPr>
          <w:rFonts w:ascii="Tahoma" w:hAnsi="Tahoma" w:cs="Tahoma"/>
          <w:color w:val="000000" w:themeColor="text1"/>
          <w:sz w:val="24"/>
          <w:szCs w:val="24"/>
        </w:rPr>
        <w:t>mld</w:t>
      </w:r>
      <w:r w:rsidR="00692AF8" w:rsidRPr="00F228D9">
        <w:rPr>
          <w:rFonts w:ascii="Tahoma" w:hAnsi="Tahoma" w:cs="Tahoma"/>
          <w:color w:val="000000" w:themeColor="text1"/>
          <w:sz w:val="24"/>
          <w:szCs w:val="24"/>
        </w:rPr>
        <w:t xml:space="preserve"> lei </w:t>
      </w:r>
      <w:r w:rsidR="00692AF8" w:rsidRPr="00F228D9">
        <w:rPr>
          <w:rFonts w:ascii="Tahoma" w:hAnsi="Tahoma" w:cs="Tahoma"/>
          <w:color w:val="000000" w:themeColor="text1"/>
          <w:sz w:val="24"/>
          <w:szCs w:val="24"/>
        </w:rPr>
        <w:lastRenderedPageBreak/>
        <w:t>comparativ cu primul trimestrul din 2019)</w:t>
      </w:r>
      <w:r w:rsidR="00020D5F" w:rsidRPr="00F228D9">
        <w:rPr>
          <w:rStyle w:val="FootnoteReference"/>
          <w:rFonts w:ascii="Tahoma" w:hAnsi="Tahoma" w:cs="Tahoma"/>
          <w:color w:val="000000" w:themeColor="text1"/>
          <w:sz w:val="24"/>
          <w:szCs w:val="24"/>
        </w:rPr>
        <w:footnoteReference w:id="4"/>
      </w:r>
      <w:r w:rsidR="00692AF8" w:rsidRPr="00F228D9">
        <w:rPr>
          <w:rFonts w:ascii="Tahoma" w:hAnsi="Tahoma" w:cs="Tahoma"/>
          <w:color w:val="000000" w:themeColor="text1"/>
          <w:sz w:val="24"/>
          <w:szCs w:val="24"/>
        </w:rPr>
        <w:t xml:space="preserve"> și de m</w:t>
      </w:r>
      <w:r w:rsidR="009A7463" w:rsidRPr="00F228D9">
        <w:rPr>
          <w:rFonts w:ascii="Tahoma" w:hAnsi="Tahoma" w:cs="Tahoma"/>
          <w:color w:val="000000" w:themeColor="text1"/>
          <w:sz w:val="24"/>
          <w:szCs w:val="24"/>
        </w:rPr>
        <w:t>ă</w:t>
      </w:r>
      <w:r w:rsidR="00692AF8" w:rsidRPr="00F228D9">
        <w:rPr>
          <w:rFonts w:ascii="Tahoma" w:hAnsi="Tahoma" w:cs="Tahoma"/>
          <w:color w:val="000000" w:themeColor="text1"/>
          <w:sz w:val="24"/>
          <w:szCs w:val="24"/>
        </w:rPr>
        <w:t>surile fiscale adoptate pe durata stării de urgență.</w:t>
      </w:r>
    </w:p>
    <w:p w:rsidR="00AB7B38" w:rsidRPr="00F228D9" w:rsidRDefault="003A18B2" w:rsidP="00AB7B38">
      <w:pPr>
        <w:spacing w:after="0" w:line="240" w:lineRule="auto"/>
        <w:jc w:val="center"/>
        <w:rPr>
          <w:rFonts w:ascii="Tahoma" w:hAnsi="Tahoma" w:cs="Tahoma"/>
          <w:sz w:val="24"/>
          <w:szCs w:val="24"/>
        </w:rPr>
      </w:pPr>
      <w:r w:rsidRPr="00F228D9">
        <w:rPr>
          <w:rFonts w:ascii="Tahoma" w:hAnsi="Tahoma" w:cs="Tahoma"/>
          <w:noProof/>
          <w:sz w:val="24"/>
          <w:szCs w:val="24"/>
          <w:lang w:eastAsia="ro-RO"/>
        </w:rPr>
        <w:drawing>
          <wp:inline distT="0" distB="0" distL="0" distR="0">
            <wp:extent cx="6229350" cy="2542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46780" cy="2550044"/>
                    </a:xfrm>
                    <a:prstGeom prst="rect">
                      <a:avLst/>
                    </a:prstGeom>
                    <a:noFill/>
                  </pic:spPr>
                </pic:pic>
              </a:graphicData>
            </a:graphic>
          </wp:inline>
        </w:drawing>
      </w:r>
    </w:p>
    <w:p w:rsidR="00AB7B38" w:rsidRPr="00F228D9" w:rsidRDefault="00AB7B38" w:rsidP="00AB7B38">
      <w:pPr>
        <w:pStyle w:val="ListParagraph"/>
        <w:spacing w:line="360" w:lineRule="auto"/>
        <w:jc w:val="both"/>
        <w:rPr>
          <w:rFonts w:ascii="Tahoma" w:hAnsi="Tahoma" w:cs="Tahoma"/>
          <w:color w:val="767171" w:themeColor="background2" w:themeShade="80"/>
          <w:sz w:val="20"/>
          <w:szCs w:val="24"/>
        </w:rPr>
      </w:pPr>
      <w:r w:rsidRPr="00F228D9">
        <w:rPr>
          <w:rFonts w:ascii="Tahoma" w:hAnsi="Tahoma" w:cs="Tahoma"/>
          <w:color w:val="767171" w:themeColor="background2" w:themeShade="80"/>
          <w:sz w:val="20"/>
          <w:szCs w:val="24"/>
        </w:rPr>
        <w:t>Sursa: MFP, INS, calcule proprii</w:t>
      </w:r>
    </w:p>
    <w:p w:rsidR="00C1718B" w:rsidRPr="00F228D9" w:rsidRDefault="00AB7B38" w:rsidP="00374899">
      <w:pPr>
        <w:pStyle w:val="ListParagraph"/>
        <w:spacing w:before="240" w:line="360" w:lineRule="auto"/>
        <w:jc w:val="center"/>
        <w:rPr>
          <w:rFonts w:ascii="Tahoma" w:hAnsi="Tahoma" w:cs="Tahoma"/>
          <w:b/>
          <w:color w:val="767171" w:themeColor="background2" w:themeShade="80"/>
          <w:szCs w:val="24"/>
        </w:rPr>
      </w:pPr>
      <w:r w:rsidRPr="00F228D9">
        <w:rPr>
          <w:rFonts w:ascii="Tahoma" w:hAnsi="Tahoma" w:cs="Tahoma"/>
          <w:b/>
          <w:color w:val="767171" w:themeColor="background2" w:themeShade="80"/>
          <w:szCs w:val="24"/>
        </w:rPr>
        <w:t xml:space="preserve">Fig.3 Încasările din taxa pe valoarea adăugată </w:t>
      </w:r>
    </w:p>
    <w:p w:rsidR="00B43EF4" w:rsidRPr="00F228D9" w:rsidRDefault="00FF06B4" w:rsidP="00CF1ED7">
      <w:pPr>
        <w:spacing w:after="120" w:line="360" w:lineRule="auto"/>
        <w:jc w:val="both"/>
        <w:rPr>
          <w:rFonts w:ascii="Tahoma" w:hAnsi="Tahoma" w:cs="Tahoma"/>
          <w:color w:val="FF0000"/>
          <w:sz w:val="24"/>
          <w:szCs w:val="24"/>
        </w:rPr>
      </w:pPr>
      <w:r w:rsidRPr="00F228D9">
        <w:rPr>
          <w:rFonts w:ascii="Tahoma" w:hAnsi="Tahoma" w:cs="Tahoma"/>
          <w:sz w:val="24"/>
          <w:szCs w:val="24"/>
        </w:rPr>
        <w:t xml:space="preserve">Veniturile din </w:t>
      </w:r>
      <w:r w:rsidRPr="00F228D9">
        <w:rPr>
          <w:rFonts w:ascii="Tahoma" w:hAnsi="Tahoma" w:cs="Tahoma"/>
          <w:b/>
          <w:i/>
          <w:sz w:val="24"/>
          <w:szCs w:val="24"/>
        </w:rPr>
        <w:t>accize</w:t>
      </w:r>
      <w:r w:rsidRPr="00F228D9">
        <w:rPr>
          <w:rFonts w:ascii="Tahoma" w:hAnsi="Tahoma" w:cs="Tahoma"/>
          <w:sz w:val="24"/>
          <w:szCs w:val="24"/>
        </w:rPr>
        <w:t xml:space="preserve"> au însumat </w:t>
      </w:r>
      <w:r w:rsidR="00712417" w:rsidRPr="00F228D9">
        <w:rPr>
          <w:rFonts w:ascii="Tahoma" w:hAnsi="Tahoma" w:cs="Tahoma"/>
          <w:sz w:val="24"/>
          <w:szCs w:val="24"/>
        </w:rPr>
        <w:t>7</w:t>
      </w:r>
      <w:r w:rsidRPr="00F228D9">
        <w:rPr>
          <w:rFonts w:ascii="Tahoma" w:hAnsi="Tahoma" w:cs="Tahoma"/>
          <w:sz w:val="24"/>
          <w:szCs w:val="24"/>
        </w:rPr>
        <w:t>,</w:t>
      </w:r>
      <w:r w:rsidR="00712417" w:rsidRPr="00F228D9">
        <w:rPr>
          <w:rFonts w:ascii="Tahoma" w:hAnsi="Tahoma" w:cs="Tahoma"/>
          <w:sz w:val="24"/>
          <w:szCs w:val="24"/>
        </w:rPr>
        <w:t>42</w:t>
      </w:r>
      <w:r w:rsidRPr="00F228D9">
        <w:rPr>
          <w:rFonts w:ascii="Tahoma" w:hAnsi="Tahoma" w:cs="Tahoma"/>
          <w:sz w:val="24"/>
          <w:szCs w:val="24"/>
        </w:rPr>
        <w:t xml:space="preserve"> mld </w:t>
      </w:r>
      <w:r w:rsidR="00993264" w:rsidRPr="00F228D9">
        <w:rPr>
          <w:rFonts w:ascii="Tahoma" w:hAnsi="Tahoma" w:cs="Tahoma"/>
          <w:sz w:val="24"/>
          <w:szCs w:val="24"/>
        </w:rPr>
        <w:t xml:space="preserve">lei în primele </w:t>
      </w:r>
      <w:r w:rsidR="00712417" w:rsidRPr="00F228D9">
        <w:rPr>
          <w:rFonts w:ascii="Tahoma" w:hAnsi="Tahoma" w:cs="Tahoma"/>
          <w:sz w:val="24"/>
          <w:szCs w:val="24"/>
        </w:rPr>
        <w:t>3</w:t>
      </w:r>
      <w:r w:rsidR="00993264" w:rsidRPr="00F228D9">
        <w:rPr>
          <w:rFonts w:ascii="Tahoma" w:hAnsi="Tahoma" w:cs="Tahoma"/>
          <w:sz w:val="24"/>
          <w:szCs w:val="24"/>
        </w:rPr>
        <w:t xml:space="preserve"> luni ale anului 2020</w:t>
      </w:r>
      <w:r w:rsidRPr="00F228D9">
        <w:rPr>
          <w:rFonts w:ascii="Tahoma" w:hAnsi="Tahoma" w:cs="Tahoma"/>
          <w:sz w:val="24"/>
          <w:szCs w:val="24"/>
        </w:rPr>
        <w:t xml:space="preserve">, </w:t>
      </w:r>
      <w:r w:rsidR="00B6727A" w:rsidRPr="00F228D9">
        <w:rPr>
          <w:rFonts w:ascii="Tahoma" w:hAnsi="Tahoma" w:cs="Tahoma"/>
          <w:sz w:val="24"/>
          <w:szCs w:val="24"/>
        </w:rPr>
        <w:t xml:space="preserve">și prezintă un avans </w:t>
      </w:r>
      <w:r w:rsidR="00374899" w:rsidRPr="00F228D9">
        <w:rPr>
          <w:rFonts w:ascii="Tahoma" w:hAnsi="Tahoma" w:cs="Tahoma"/>
          <w:sz w:val="24"/>
          <w:szCs w:val="24"/>
        </w:rPr>
        <w:t>de</w:t>
      </w:r>
      <w:r w:rsidR="00712417" w:rsidRPr="00F228D9">
        <w:rPr>
          <w:rFonts w:ascii="Tahoma" w:hAnsi="Tahoma" w:cs="Tahoma"/>
          <w:sz w:val="24"/>
          <w:szCs w:val="24"/>
        </w:rPr>
        <w:t>8</w:t>
      </w:r>
      <w:r w:rsidR="00993264" w:rsidRPr="00F228D9">
        <w:rPr>
          <w:rFonts w:ascii="Tahoma" w:hAnsi="Tahoma" w:cs="Tahoma"/>
          <w:sz w:val="24"/>
          <w:szCs w:val="24"/>
        </w:rPr>
        <w:t>,</w:t>
      </w:r>
      <w:r w:rsidR="00712417" w:rsidRPr="00F228D9">
        <w:rPr>
          <w:rFonts w:ascii="Tahoma" w:hAnsi="Tahoma" w:cs="Tahoma"/>
          <w:sz w:val="24"/>
          <w:szCs w:val="24"/>
        </w:rPr>
        <w:t>67</w:t>
      </w:r>
      <w:r w:rsidRPr="00F228D9">
        <w:rPr>
          <w:rFonts w:ascii="Tahoma" w:hAnsi="Tahoma" w:cs="Tahoma"/>
          <w:sz w:val="24"/>
          <w:szCs w:val="24"/>
        </w:rPr>
        <w:t xml:space="preserve">% față de </w:t>
      </w:r>
      <w:r w:rsidR="00B6727A" w:rsidRPr="00F228D9">
        <w:rPr>
          <w:rFonts w:ascii="Tahoma" w:hAnsi="Tahoma" w:cs="Tahoma"/>
          <w:sz w:val="24"/>
          <w:szCs w:val="24"/>
        </w:rPr>
        <w:t>nivelul</w:t>
      </w:r>
      <w:r w:rsidRPr="00F228D9">
        <w:rPr>
          <w:rFonts w:ascii="Tahoma" w:hAnsi="Tahoma" w:cs="Tahoma"/>
          <w:sz w:val="24"/>
          <w:szCs w:val="24"/>
        </w:rPr>
        <w:t xml:space="preserve"> înregistrat în perioada similară a anului trecut.</w:t>
      </w:r>
    </w:p>
    <w:p w:rsidR="006254C8" w:rsidRPr="00F228D9" w:rsidRDefault="0037130B" w:rsidP="00625493">
      <w:pPr>
        <w:spacing w:after="120" w:line="360" w:lineRule="auto"/>
        <w:jc w:val="both"/>
        <w:rPr>
          <w:rFonts w:ascii="Tahoma" w:hAnsi="Tahoma" w:cs="Tahoma"/>
          <w:color w:val="000000" w:themeColor="text1"/>
          <w:sz w:val="24"/>
          <w:szCs w:val="24"/>
        </w:rPr>
      </w:pPr>
      <w:r w:rsidRPr="00F228D9">
        <w:rPr>
          <w:rFonts w:ascii="Tahoma" w:hAnsi="Tahoma" w:cs="Tahoma"/>
          <w:color w:val="000000" w:themeColor="text1"/>
          <w:sz w:val="24"/>
          <w:szCs w:val="24"/>
        </w:rPr>
        <w:t>V</w:t>
      </w:r>
      <w:r w:rsidR="00FF06B4" w:rsidRPr="00F228D9">
        <w:rPr>
          <w:rFonts w:ascii="Tahoma" w:hAnsi="Tahoma" w:cs="Tahoma"/>
          <w:color w:val="000000" w:themeColor="text1"/>
          <w:sz w:val="24"/>
          <w:szCs w:val="24"/>
        </w:rPr>
        <w:t xml:space="preserve">eniturile din accize pentru produse energetice </w:t>
      </w:r>
      <w:r w:rsidR="00344677" w:rsidRPr="00F228D9">
        <w:rPr>
          <w:rFonts w:ascii="Tahoma" w:hAnsi="Tahoma" w:cs="Tahoma"/>
          <w:color w:val="000000" w:themeColor="text1"/>
          <w:sz w:val="24"/>
          <w:szCs w:val="24"/>
        </w:rPr>
        <w:t xml:space="preserve">au accelerat în </w:t>
      </w:r>
      <w:r w:rsidR="00812166" w:rsidRPr="00F228D9">
        <w:rPr>
          <w:rFonts w:ascii="Tahoma" w:hAnsi="Tahoma" w:cs="Tahoma"/>
          <w:color w:val="000000" w:themeColor="text1"/>
          <w:sz w:val="24"/>
          <w:szCs w:val="24"/>
        </w:rPr>
        <w:t>primul trimestru al anului cu 2,</w:t>
      </w:r>
      <w:r w:rsidR="009C3BE1" w:rsidRPr="00F228D9">
        <w:rPr>
          <w:rFonts w:ascii="Tahoma" w:hAnsi="Tahoma" w:cs="Tahoma"/>
          <w:color w:val="000000" w:themeColor="text1"/>
          <w:sz w:val="24"/>
          <w:szCs w:val="24"/>
        </w:rPr>
        <w:t>2</w:t>
      </w:r>
      <w:r w:rsidR="00812166" w:rsidRPr="00F228D9">
        <w:rPr>
          <w:rFonts w:ascii="Tahoma" w:hAnsi="Tahoma" w:cs="Tahoma"/>
          <w:color w:val="000000" w:themeColor="text1"/>
          <w:sz w:val="24"/>
          <w:szCs w:val="24"/>
        </w:rPr>
        <w:t>%</w:t>
      </w:r>
      <w:r w:rsidR="00344677" w:rsidRPr="00F228D9">
        <w:rPr>
          <w:rFonts w:ascii="Tahoma" w:hAnsi="Tahoma" w:cs="Tahoma"/>
          <w:color w:val="000000" w:themeColor="text1"/>
          <w:sz w:val="24"/>
          <w:szCs w:val="24"/>
        </w:rPr>
        <w:t>an/an</w:t>
      </w:r>
      <w:r w:rsidR="00812166" w:rsidRPr="00F228D9">
        <w:rPr>
          <w:rFonts w:ascii="Tahoma" w:hAnsi="Tahoma" w:cs="Tahoma"/>
          <w:color w:val="000000" w:themeColor="text1"/>
          <w:sz w:val="24"/>
          <w:szCs w:val="24"/>
        </w:rPr>
        <w:t xml:space="preserve">, </w:t>
      </w:r>
      <w:r w:rsidR="00B6727A" w:rsidRPr="00F228D9">
        <w:rPr>
          <w:rFonts w:ascii="Tahoma" w:hAnsi="Tahoma" w:cs="Tahoma"/>
          <w:color w:val="000000" w:themeColor="text1"/>
          <w:sz w:val="24"/>
          <w:szCs w:val="24"/>
        </w:rPr>
        <w:t>în condițiile în care nivelul</w:t>
      </w:r>
      <w:r w:rsidR="00FF06B4" w:rsidRPr="00F228D9">
        <w:rPr>
          <w:rFonts w:ascii="Tahoma" w:hAnsi="Tahoma" w:cs="Tahoma"/>
          <w:color w:val="000000" w:themeColor="text1"/>
          <w:sz w:val="24"/>
          <w:szCs w:val="24"/>
        </w:rPr>
        <w:t xml:space="preserve"> accizei pentru carburanți a fost diminuat la începutul acestui an cu 13% la benzina fără plumb, respectiv 14,3% la motorină.</w:t>
      </w:r>
      <w:r w:rsidR="00241CAA" w:rsidRPr="00F228D9">
        <w:rPr>
          <w:rFonts w:ascii="Tahoma" w:hAnsi="Tahoma" w:cs="Tahoma"/>
          <w:color w:val="000000" w:themeColor="text1"/>
          <w:sz w:val="24"/>
          <w:szCs w:val="24"/>
        </w:rPr>
        <w:t>Veniturile din a</w:t>
      </w:r>
      <w:r w:rsidR="00CF1ED7" w:rsidRPr="00F228D9">
        <w:rPr>
          <w:rFonts w:ascii="Tahoma" w:hAnsi="Tahoma" w:cs="Tahoma"/>
          <w:color w:val="000000" w:themeColor="text1"/>
          <w:sz w:val="24"/>
          <w:szCs w:val="24"/>
        </w:rPr>
        <w:t xml:space="preserve">ccizele pentru produsele </w:t>
      </w:r>
      <w:r w:rsidR="00241CAA" w:rsidRPr="00F228D9">
        <w:rPr>
          <w:rFonts w:ascii="Tahoma" w:hAnsi="Tahoma" w:cs="Tahoma"/>
          <w:color w:val="000000" w:themeColor="text1"/>
          <w:sz w:val="24"/>
          <w:szCs w:val="24"/>
        </w:rPr>
        <w:t xml:space="preserve">din tutun au </w:t>
      </w:r>
      <w:r w:rsidR="00CF1ED7" w:rsidRPr="00F228D9">
        <w:rPr>
          <w:rFonts w:ascii="Tahoma" w:hAnsi="Tahoma" w:cs="Tahoma"/>
          <w:color w:val="000000" w:themeColor="text1"/>
          <w:sz w:val="24"/>
          <w:szCs w:val="24"/>
        </w:rPr>
        <w:t>înregistr</w:t>
      </w:r>
      <w:r w:rsidR="00241CAA" w:rsidRPr="00F228D9">
        <w:rPr>
          <w:rFonts w:ascii="Tahoma" w:hAnsi="Tahoma" w:cs="Tahoma"/>
          <w:color w:val="000000" w:themeColor="text1"/>
          <w:sz w:val="24"/>
          <w:szCs w:val="24"/>
        </w:rPr>
        <w:t>at</w:t>
      </w:r>
      <w:r w:rsidR="00FE57E7" w:rsidRPr="00F228D9">
        <w:rPr>
          <w:rFonts w:ascii="Tahoma" w:hAnsi="Tahoma" w:cs="Tahoma"/>
          <w:color w:val="000000" w:themeColor="text1"/>
          <w:sz w:val="24"/>
          <w:szCs w:val="24"/>
        </w:rPr>
        <w:t>un avans</w:t>
      </w:r>
      <w:r w:rsidR="00CF1ED7" w:rsidRPr="00F228D9">
        <w:rPr>
          <w:rFonts w:ascii="Tahoma" w:hAnsi="Tahoma" w:cs="Tahoma"/>
          <w:color w:val="000000" w:themeColor="text1"/>
          <w:sz w:val="24"/>
          <w:szCs w:val="24"/>
        </w:rPr>
        <w:t xml:space="preserve"> de 1</w:t>
      </w:r>
      <w:r w:rsidR="00812166" w:rsidRPr="00F228D9">
        <w:rPr>
          <w:rFonts w:ascii="Tahoma" w:hAnsi="Tahoma" w:cs="Tahoma"/>
          <w:color w:val="000000" w:themeColor="text1"/>
          <w:sz w:val="24"/>
          <w:szCs w:val="24"/>
        </w:rPr>
        <w:t>5</w:t>
      </w:r>
      <w:r w:rsidRPr="00F228D9">
        <w:rPr>
          <w:rFonts w:ascii="Tahoma" w:hAnsi="Tahoma" w:cs="Tahoma"/>
          <w:color w:val="000000" w:themeColor="text1"/>
          <w:sz w:val="24"/>
          <w:szCs w:val="24"/>
        </w:rPr>
        <w:t>,</w:t>
      </w:r>
      <w:r w:rsidR="00812166" w:rsidRPr="00F228D9">
        <w:rPr>
          <w:rFonts w:ascii="Tahoma" w:hAnsi="Tahoma" w:cs="Tahoma"/>
          <w:color w:val="000000" w:themeColor="text1"/>
          <w:sz w:val="24"/>
          <w:szCs w:val="24"/>
        </w:rPr>
        <w:t>3</w:t>
      </w:r>
      <w:r w:rsidR="00CF1ED7" w:rsidRPr="00F228D9">
        <w:rPr>
          <w:rFonts w:ascii="Tahoma" w:hAnsi="Tahoma" w:cs="Tahoma"/>
          <w:color w:val="000000" w:themeColor="text1"/>
          <w:sz w:val="24"/>
          <w:szCs w:val="24"/>
        </w:rPr>
        <w:t>%</w:t>
      </w:r>
      <w:r w:rsidR="00F5546F" w:rsidRPr="00F228D9">
        <w:rPr>
          <w:rFonts w:ascii="Tahoma" w:hAnsi="Tahoma" w:cs="Tahoma"/>
          <w:color w:val="000000" w:themeColor="text1"/>
          <w:sz w:val="24"/>
          <w:szCs w:val="24"/>
        </w:rPr>
        <w:t xml:space="preserve"> (an/an)</w:t>
      </w:r>
      <w:r w:rsidR="00CF1ED7" w:rsidRPr="00F228D9">
        <w:rPr>
          <w:rFonts w:ascii="Tahoma" w:hAnsi="Tahoma" w:cs="Tahoma"/>
          <w:color w:val="000000" w:themeColor="text1"/>
          <w:sz w:val="24"/>
          <w:szCs w:val="24"/>
        </w:rPr>
        <w:t xml:space="preserve">, </w:t>
      </w:r>
      <w:r w:rsidR="00B6727A" w:rsidRPr="00F228D9">
        <w:rPr>
          <w:rFonts w:ascii="Tahoma" w:hAnsi="Tahoma" w:cs="Tahoma"/>
          <w:color w:val="000000" w:themeColor="text1"/>
          <w:sz w:val="24"/>
          <w:szCs w:val="24"/>
        </w:rPr>
        <w:t xml:space="preserve">susținut de </w:t>
      </w:r>
      <w:r w:rsidR="00CF1ED7" w:rsidRPr="00F228D9">
        <w:rPr>
          <w:rFonts w:ascii="Tahoma" w:hAnsi="Tahoma" w:cs="Tahoma"/>
          <w:color w:val="000000" w:themeColor="text1"/>
          <w:sz w:val="24"/>
          <w:szCs w:val="24"/>
        </w:rPr>
        <w:t>major</w:t>
      </w:r>
      <w:r w:rsidR="00B6727A" w:rsidRPr="00F228D9">
        <w:rPr>
          <w:rFonts w:ascii="Tahoma" w:hAnsi="Tahoma" w:cs="Tahoma"/>
          <w:color w:val="000000" w:themeColor="text1"/>
          <w:sz w:val="24"/>
          <w:szCs w:val="24"/>
        </w:rPr>
        <w:t>area</w:t>
      </w:r>
      <w:r w:rsidR="00CF1ED7" w:rsidRPr="00F228D9">
        <w:rPr>
          <w:rFonts w:ascii="Tahoma" w:hAnsi="Tahoma" w:cs="Tahoma"/>
          <w:color w:val="000000" w:themeColor="text1"/>
          <w:sz w:val="24"/>
          <w:szCs w:val="24"/>
        </w:rPr>
        <w:t xml:space="preserve"> nivelului accizei la țigarete cu </w:t>
      </w:r>
      <w:r w:rsidR="00AE5117" w:rsidRPr="00F228D9">
        <w:rPr>
          <w:rFonts w:ascii="Tahoma" w:hAnsi="Tahoma" w:cs="Tahoma"/>
          <w:color w:val="000000" w:themeColor="text1"/>
          <w:sz w:val="24"/>
          <w:szCs w:val="24"/>
        </w:rPr>
        <w:t>4,2</w:t>
      </w:r>
      <w:r w:rsidR="00CF1ED7" w:rsidRPr="00F228D9">
        <w:rPr>
          <w:rFonts w:ascii="Tahoma" w:hAnsi="Tahoma" w:cs="Tahoma"/>
          <w:color w:val="000000" w:themeColor="text1"/>
          <w:sz w:val="24"/>
          <w:szCs w:val="24"/>
        </w:rPr>
        <w:t>%.</w:t>
      </w:r>
      <w:r w:rsidR="006254C8" w:rsidRPr="00F228D9">
        <w:rPr>
          <w:rFonts w:ascii="Tahoma" w:hAnsi="Tahoma" w:cs="Tahoma"/>
          <w:color w:val="000000" w:themeColor="text1"/>
          <w:sz w:val="24"/>
          <w:szCs w:val="24"/>
        </w:rPr>
        <w:t>În luna martie, se remarcă o scădere a încasărilor din accize la produse energetice</w:t>
      </w:r>
      <w:r w:rsidR="009C3BE1" w:rsidRPr="00F228D9">
        <w:rPr>
          <w:rFonts w:ascii="Tahoma" w:hAnsi="Tahoma" w:cs="Tahoma"/>
          <w:color w:val="000000" w:themeColor="text1"/>
          <w:sz w:val="24"/>
          <w:szCs w:val="24"/>
        </w:rPr>
        <w:t xml:space="preserve"> (-10,9% an/an)</w:t>
      </w:r>
      <w:r w:rsidR="006254C8" w:rsidRPr="00F228D9">
        <w:rPr>
          <w:rFonts w:ascii="Tahoma" w:hAnsi="Tahoma" w:cs="Tahoma"/>
          <w:color w:val="000000" w:themeColor="text1"/>
          <w:sz w:val="24"/>
          <w:szCs w:val="24"/>
        </w:rPr>
        <w:t xml:space="preserve">, de altfel așteptată în contextul </w:t>
      </w:r>
      <w:r w:rsidR="009C3BE1" w:rsidRPr="00F228D9">
        <w:rPr>
          <w:rFonts w:ascii="Tahoma" w:hAnsi="Tahoma" w:cs="Tahoma"/>
          <w:color w:val="000000" w:themeColor="text1"/>
          <w:sz w:val="24"/>
          <w:szCs w:val="24"/>
        </w:rPr>
        <w:t xml:space="preserve">instituirii stării de urgență. Totodată, încasările din accize la produsele din tutun au cunoscut un avans pozitiv </w:t>
      </w:r>
      <w:r w:rsidR="00FC1C56" w:rsidRPr="00F228D9">
        <w:rPr>
          <w:rFonts w:ascii="Tahoma" w:hAnsi="Tahoma" w:cs="Tahoma"/>
          <w:color w:val="000000" w:themeColor="text1"/>
          <w:sz w:val="24"/>
          <w:szCs w:val="24"/>
        </w:rPr>
        <w:t>semnificativ de 25,2%</w:t>
      </w:r>
      <w:r w:rsidR="009C3BE1" w:rsidRPr="00F228D9">
        <w:rPr>
          <w:rFonts w:ascii="Tahoma" w:hAnsi="Tahoma" w:cs="Tahoma"/>
          <w:color w:val="000000" w:themeColor="text1"/>
          <w:sz w:val="24"/>
          <w:szCs w:val="24"/>
        </w:rPr>
        <w:t xml:space="preserve"> an/an.</w:t>
      </w:r>
    </w:p>
    <w:p w:rsidR="00CF1ED7" w:rsidRPr="00F228D9" w:rsidRDefault="0033573F" w:rsidP="0073781B">
      <w:pPr>
        <w:spacing w:after="0" w:line="240" w:lineRule="auto"/>
        <w:jc w:val="center"/>
        <w:rPr>
          <w:rFonts w:ascii="Tahoma" w:hAnsi="Tahoma" w:cs="Tahoma"/>
          <w:sz w:val="24"/>
          <w:szCs w:val="24"/>
        </w:rPr>
      </w:pPr>
      <w:r w:rsidRPr="00F228D9">
        <w:rPr>
          <w:rFonts w:ascii="Tahoma" w:hAnsi="Tahoma" w:cs="Tahoma"/>
          <w:noProof/>
          <w:sz w:val="24"/>
          <w:szCs w:val="24"/>
          <w:lang w:eastAsia="ro-RO"/>
        </w:rPr>
        <w:lastRenderedPageBreak/>
        <w:drawing>
          <wp:inline distT="0" distB="0" distL="0" distR="0">
            <wp:extent cx="6180403" cy="27432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93795" cy="2749144"/>
                    </a:xfrm>
                    <a:prstGeom prst="rect">
                      <a:avLst/>
                    </a:prstGeom>
                    <a:noFill/>
                  </pic:spPr>
                </pic:pic>
              </a:graphicData>
            </a:graphic>
          </wp:inline>
        </w:drawing>
      </w:r>
    </w:p>
    <w:p w:rsidR="0073781B" w:rsidRPr="00F228D9" w:rsidRDefault="0073781B" w:rsidP="0073781B">
      <w:pPr>
        <w:pStyle w:val="ListParagraph"/>
        <w:spacing w:line="360" w:lineRule="auto"/>
        <w:jc w:val="both"/>
        <w:rPr>
          <w:rFonts w:ascii="Tahoma" w:hAnsi="Tahoma" w:cs="Tahoma"/>
          <w:color w:val="767171" w:themeColor="background2" w:themeShade="80"/>
          <w:sz w:val="20"/>
          <w:szCs w:val="24"/>
        </w:rPr>
      </w:pPr>
      <w:r w:rsidRPr="00F228D9">
        <w:rPr>
          <w:rFonts w:ascii="Tahoma" w:hAnsi="Tahoma" w:cs="Tahoma"/>
          <w:color w:val="767171" w:themeColor="background2" w:themeShade="80"/>
          <w:sz w:val="20"/>
          <w:szCs w:val="24"/>
        </w:rPr>
        <w:t>Sursa: MFP, INS, calcule proprii</w:t>
      </w:r>
    </w:p>
    <w:p w:rsidR="00CF1ED7" w:rsidRPr="00F228D9" w:rsidRDefault="00CF1ED7" w:rsidP="00CF1ED7">
      <w:pPr>
        <w:pStyle w:val="ListParagraph"/>
        <w:spacing w:line="360" w:lineRule="auto"/>
        <w:jc w:val="center"/>
        <w:rPr>
          <w:rFonts w:ascii="Tahoma" w:hAnsi="Tahoma" w:cs="Tahoma"/>
          <w:sz w:val="24"/>
          <w:szCs w:val="24"/>
        </w:rPr>
      </w:pPr>
      <w:r w:rsidRPr="00F228D9">
        <w:rPr>
          <w:rFonts w:ascii="Tahoma" w:hAnsi="Tahoma" w:cs="Tahoma"/>
          <w:b/>
          <w:color w:val="767171" w:themeColor="background2" w:themeShade="80"/>
          <w:sz w:val="24"/>
          <w:szCs w:val="24"/>
        </w:rPr>
        <w:t>Fig.</w:t>
      </w:r>
      <w:r w:rsidR="00AB7B38" w:rsidRPr="00F228D9">
        <w:rPr>
          <w:rFonts w:ascii="Tahoma" w:hAnsi="Tahoma" w:cs="Tahoma"/>
          <w:b/>
          <w:color w:val="767171" w:themeColor="background2" w:themeShade="80"/>
          <w:sz w:val="24"/>
          <w:szCs w:val="24"/>
        </w:rPr>
        <w:t>4</w:t>
      </w:r>
      <w:r w:rsidRPr="00F228D9">
        <w:rPr>
          <w:rFonts w:ascii="Tahoma" w:hAnsi="Tahoma" w:cs="Tahoma"/>
          <w:b/>
          <w:color w:val="767171" w:themeColor="background2" w:themeShade="80"/>
          <w:sz w:val="24"/>
          <w:szCs w:val="24"/>
        </w:rPr>
        <w:t xml:space="preserve">Încasările din accize </w:t>
      </w:r>
    </w:p>
    <w:p w:rsidR="00B4588B" w:rsidRPr="00F228D9" w:rsidRDefault="00182B0D" w:rsidP="00182B0D">
      <w:pPr>
        <w:spacing w:before="240" w:after="120" w:line="360" w:lineRule="auto"/>
        <w:jc w:val="both"/>
        <w:rPr>
          <w:rFonts w:ascii="Tahoma" w:hAnsi="Tahoma" w:cs="Tahoma"/>
          <w:color w:val="FF0000"/>
          <w:sz w:val="24"/>
          <w:szCs w:val="24"/>
        </w:rPr>
      </w:pPr>
      <w:r w:rsidRPr="00F228D9">
        <w:rPr>
          <w:rFonts w:ascii="Tahoma" w:hAnsi="Tahoma" w:cs="Tahoma"/>
          <w:sz w:val="24"/>
          <w:szCs w:val="24"/>
        </w:rPr>
        <w:t xml:space="preserve">Veniturile din </w:t>
      </w:r>
      <w:r w:rsidRPr="00F228D9">
        <w:rPr>
          <w:rFonts w:ascii="Tahoma" w:hAnsi="Tahoma" w:cs="Tahoma"/>
          <w:b/>
          <w:i/>
          <w:sz w:val="24"/>
          <w:szCs w:val="24"/>
        </w:rPr>
        <w:t>taxele pe utilizarea bunurilor</w:t>
      </w:r>
      <w:r w:rsidRPr="00F228D9">
        <w:rPr>
          <w:rFonts w:ascii="Tahoma" w:hAnsi="Tahoma" w:cs="Tahoma"/>
          <w:sz w:val="24"/>
          <w:szCs w:val="24"/>
        </w:rPr>
        <w:t xml:space="preserve"> au în</w:t>
      </w:r>
      <w:r w:rsidR="00FC1C56" w:rsidRPr="00F228D9">
        <w:rPr>
          <w:rFonts w:ascii="Tahoma" w:hAnsi="Tahoma" w:cs="Tahoma"/>
          <w:sz w:val="24"/>
          <w:szCs w:val="24"/>
        </w:rPr>
        <w:t>registrat</w:t>
      </w:r>
      <w:r w:rsidR="00712417" w:rsidRPr="00F228D9">
        <w:rPr>
          <w:rFonts w:ascii="Tahoma" w:hAnsi="Tahoma" w:cs="Tahoma"/>
          <w:sz w:val="24"/>
          <w:szCs w:val="24"/>
        </w:rPr>
        <w:t>1</w:t>
      </w:r>
      <w:r w:rsidRPr="00F228D9">
        <w:rPr>
          <w:rFonts w:ascii="Tahoma" w:hAnsi="Tahoma" w:cs="Tahoma"/>
          <w:sz w:val="24"/>
          <w:szCs w:val="24"/>
        </w:rPr>
        <w:t>,</w:t>
      </w:r>
      <w:r w:rsidR="00712417" w:rsidRPr="00F228D9">
        <w:rPr>
          <w:rFonts w:ascii="Tahoma" w:hAnsi="Tahoma" w:cs="Tahoma"/>
          <w:sz w:val="24"/>
          <w:szCs w:val="24"/>
        </w:rPr>
        <w:t>68</w:t>
      </w:r>
      <w:r w:rsidRPr="00F228D9">
        <w:rPr>
          <w:rFonts w:ascii="Tahoma" w:hAnsi="Tahoma" w:cs="Tahoma"/>
          <w:sz w:val="24"/>
          <w:szCs w:val="24"/>
        </w:rPr>
        <w:t xml:space="preserve"> mld lei, în creștere cu </w:t>
      </w:r>
      <w:r w:rsidR="00B6727A" w:rsidRPr="00F228D9">
        <w:rPr>
          <w:rFonts w:ascii="Tahoma" w:hAnsi="Tahoma" w:cs="Tahoma"/>
          <w:sz w:val="24"/>
          <w:szCs w:val="24"/>
        </w:rPr>
        <w:t>2</w:t>
      </w:r>
      <w:r w:rsidR="00712417" w:rsidRPr="00F228D9">
        <w:rPr>
          <w:rFonts w:ascii="Tahoma" w:hAnsi="Tahoma" w:cs="Tahoma"/>
          <w:sz w:val="24"/>
          <w:szCs w:val="24"/>
        </w:rPr>
        <w:t>8</w:t>
      </w:r>
      <w:r w:rsidR="00B6727A" w:rsidRPr="00F228D9">
        <w:rPr>
          <w:rFonts w:ascii="Tahoma" w:hAnsi="Tahoma" w:cs="Tahoma"/>
          <w:sz w:val="24"/>
          <w:szCs w:val="24"/>
        </w:rPr>
        <w:t>,</w:t>
      </w:r>
      <w:r w:rsidR="00712417" w:rsidRPr="00F228D9">
        <w:rPr>
          <w:rFonts w:ascii="Tahoma" w:hAnsi="Tahoma" w:cs="Tahoma"/>
          <w:sz w:val="24"/>
          <w:szCs w:val="24"/>
        </w:rPr>
        <w:t>18</w:t>
      </w:r>
      <w:r w:rsidRPr="00F228D9">
        <w:rPr>
          <w:rFonts w:ascii="Tahoma" w:hAnsi="Tahoma" w:cs="Tahoma"/>
          <w:sz w:val="24"/>
          <w:szCs w:val="24"/>
        </w:rPr>
        <w:t xml:space="preserve">% comparativ cu primele </w:t>
      </w:r>
      <w:r w:rsidR="00712417" w:rsidRPr="00F228D9">
        <w:rPr>
          <w:rFonts w:ascii="Tahoma" w:hAnsi="Tahoma" w:cs="Tahoma"/>
          <w:sz w:val="24"/>
          <w:szCs w:val="24"/>
        </w:rPr>
        <w:t>3</w:t>
      </w:r>
      <w:r w:rsidRPr="00F228D9">
        <w:rPr>
          <w:rFonts w:ascii="Tahoma" w:hAnsi="Tahoma" w:cs="Tahoma"/>
          <w:sz w:val="24"/>
          <w:szCs w:val="24"/>
        </w:rPr>
        <w:t xml:space="preserve"> luni ale anului 2019</w:t>
      </w:r>
      <w:r w:rsidR="00B4588B" w:rsidRPr="00F228D9">
        <w:rPr>
          <w:rFonts w:ascii="Tahoma" w:hAnsi="Tahoma" w:cs="Tahoma"/>
          <w:sz w:val="24"/>
          <w:szCs w:val="24"/>
        </w:rPr>
        <w:t xml:space="preserve">, </w:t>
      </w:r>
      <w:r w:rsidR="00FC1C56" w:rsidRPr="00F228D9">
        <w:rPr>
          <w:rFonts w:ascii="Tahoma" w:hAnsi="Tahoma" w:cs="Tahoma"/>
          <w:sz w:val="24"/>
          <w:szCs w:val="24"/>
        </w:rPr>
        <w:t>în principal ca urmare a încasărilor din taxele pentru prelungirea unor licențe a frecvențelor radio (</w:t>
      </w:r>
      <w:r w:rsidR="00B4588B" w:rsidRPr="00F228D9">
        <w:rPr>
          <w:rFonts w:ascii="Tahoma" w:hAnsi="Tahoma" w:cs="Tahoma"/>
          <w:sz w:val="24"/>
          <w:szCs w:val="24"/>
        </w:rPr>
        <w:t>HG nr. 226/2020</w:t>
      </w:r>
      <w:r w:rsidR="00FC1C56" w:rsidRPr="00F228D9">
        <w:rPr>
          <w:rFonts w:ascii="Tahoma" w:hAnsi="Tahoma" w:cs="Tahoma"/>
          <w:sz w:val="24"/>
          <w:szCs w:val="24"/>
        </w:rPr>
        <w:t>)</w:t>
      </w:r>
      <w:r w:rsidR="00B4588B" w:rsidRPr="00F228D9">
        <w:rPr>
          <w:rFonts w:ascii="Tahoma" w:hAnsi="Tahoma" w:cs="Tahoma"/>
          <w:sz w:val="24"/>
          <w:szCs w:val="24"/>
        </w:rPr>
        <w:t xml:space="preserve">. </w:t>
      </w:r>
    </w:p>
    <w:p w:rsidR="00182B0D" w:rsidRPr="00F228D9" w:rsidRDefault="00182B0D" w:rsidP="00182B0D">
      <w:pPr>
        <w:spacing w:before="240" w:after="120" w:line="360" w:lineRule="auto"/>
        <w:jc w:val="both"/>
        <w:rPr>
          <w:rFonts w:ascii="Tahoma" w:hAnsi="Tahoma" w:cs="Tahoma"/>
          <w:color w:val="FF0000"/>
          <w:sz w:val="24"/>
          <w:szCs w:val="24"/>
        </w:rPr>
      </w:pPr>
      <w:r w:rsidRPr="00F228D9">
        <w:rPr>
          <w:rFonts w:ascii="Tahoma" w:hAnsi="Tahoma" w:cs="Tahoma"/>
          <w:sz w:val="24"/>
          <w:szCs w:val="24"/>
        </w:rPr>
        <w:t xml:space="preserve">Veniturile </w:t>
      </w:r>
      <w:r w:rsidRPr="00F228D9">
        <w:rPr>
          <w:rFonts w:ascii="Tahoma" w:hAnsi="Tahoma" w:cs="Tahoma"/>
          <w:b/>
          <w:i/>
          <w:sz w:val="24"/>
          <w:szCs w:val="24"/>
        </w:rPr>
        <w:t>nefiscale</w:t>
      </w:r>
      <w:r w:rsidRPr="00F228D9">
        <w:rPr>
          <w:rFonts w:ascii="Tahoma" w:hAnsi="Tahoma" w:cs="Tahoma"/>
          <w:sz w:val="24"/>
          <w:szCs w:val="24"/>
        </w:rPr>
        <w:t xml:space="preserve"> au </w:t>
      </w:r>
      <w:r w:rsidR="00061787" w:rsidRPr="00F228D9">
        <w:rPr>
          <w:rFonts w:ascii="Tahoma" w:hAnsi="Tahoma" w:cs="Tahoma"/>
          <w:sz w:val="24"/>
          <w:szCs w:val="24"/>
        </w:rPr>
        <w:t xml:space="preserve">înregistrat </w:t>
      </w:r>
      <w:r w:rsidR="00712417" w:rsidRPr="00F228D9">
        <w:rPr>
          <w:rFonts w:ascii="Tahoma" w:hAnsi="Tahoma" w:cs="Tahoma"/>
          <w:sz w:val="24"/>
          <w:szCs w:val="24"/>
        </w:rPr>
        <w:t>5</w:t>
      </w:r>
      <w:r w:rsidR="00DA4DCA" w:rsidRPr="00F228D9">
        <w:rPr>
          <w:rFonts w:ascii="Tahoma" w:hAnsi="Tahoma" w:cs="Tahoma"/>
          <w:sz w:val="24"/>
          <w:szCs w:val="24"/>
        </w:rPr>
        <w:t>,</w:t>
      </w:r>
      <w:r w:rsidR="00712417" w:rsidRPr="00F228D9">
        <w:rPr>
          <w:rFonts w:ascii="Tahoma" w:hAnsi="Tahoma" w:cs="Tahoma"/>
          <w:sz w:val="24"/>
          <w:szCs w:val="24"/>
        </w:rPr>
        <w:t>50</w:t>
      </w:r>
      <w:r w:rsidRPr="00F228D9">
        <w:rPr>
          <w:rFonts w:ascii="Tahoma" w:hAnsi="Tahoma" w:cs="Tahoma"/>
          <w:sz w:val="24"/>
          <w:szCs w:val="24"/>
        </w:rPr>
        <w:t xml:space="preserve"> mld lei în primele </w:t>
      </w:r>
      <w:r w:rsidR="00712417" w:rsidRPr="00F228D9">
        <w:rPr>
          <w:rFonts w:ascii="Tahoma" w:hAnsi="Tahoma" w:cs="Tahoma"/>
          <w:sz w:val="24"/>
          <w:szCs w:val="24"/>
        </w:rPr>
        <w:t>3</w:t>
      </w:r>
      <w:r w:rsidRPr="00F228D9">
        <w:rPr>
          <w:rFonts w:ascii="Tahoma" w:hAnsi="Tahoma" w:cs="Tahoma"/>
          <w:sz w:val="24"/>
          <w:szCs w:val="24"/>
        </w:rPr>
        <w:t xml:space="preserve"> luni ale anului 2020, în creștere cu </w:t>
      </w:r>
      <w:r w:rsidR="00712417" w:rsidRPr="00F228D9">
        <w:rPr>
          <w:rFonts w:ascii="Tahoma" w:hAnsi="Tahoma" w:cs="Tahoma"/>
          <w:sz w:val="24"/>
          <w:szCs w:val="24"/>
        </w:rPr>
        <w:t>12</w:t>
      </w:r>
      <w:r w:rsidRPr="00F228D9">
        <w:rPr>
          <w:rFonts w:ascii="Tahoma" w:hAnsi="Tahoma" w:cs="Tahoma"/>
          <w:sz w:val="24"/>
          <w:szCs w:val="24"/>
        </w:rPr>
        <w:t>,</w:t>
      </w:r>
      <w:r w:rsidR="00712417" w:rsidRPr="00F228D9">
        <w:rPr>
          <w:rFonts w:ascii="Tahoma" w:hAnsi="Tahoma" w:cs="Tahoma"/>
          <w:sz w:val="24"/>
          <w:szCs w:val="24"/>
        </w:rPr>
        <w:t>86</w:t>
      </w:r>
      <w:r w:rsidRPr="00F228D9">
        <w:rPr>
          <w:rFonts w:ascii="Tahoma" w:hAnsi="Tahoma" w:cs="Tahoma"/>
          <w:sz w:val="24"/>
          <w:szCs w:val="24"/>
        </w:rPr>
        <w:t xml:space="preserve">% față de încasările din aceeași perioadă a anului 2019. </w:t>
      </w:r>
      <w:r w:rsidR="00FB03C6" w:rsidRPr="00F228D9">
        <w:rPr>
          <w:rFonts w:ascii="Tahoma" w:hAnsi="Tahoma" w:cs="Tahoma"/>
          <w:sz w:val="24"/>
          <w:szCs w:val="24"/>
        </w:rPr>
        <w:t>Dinamica pozitivă a veniturilor nefiscale a fost atenuată de scăderea încasă</w:t>
      </w:r>
      <w:r w:rsidR="00FC1C56" w:rsidRPr="00F228D9">
        <w:rPr>
          <w:rFonts w:ascii="Tahoma" w:hAnsi="Tahoma" w:cs="Tahoma"/>
          <w:sz w:val="24"/>
          <w:szCs w:val="24"/>
        </w:rPr>
        <w:t xml:space="preserve">rilor din </w:t>
      </w:r>
      <w:r w:rsidR="00374899" w:rsidRPr="00F228D9">
        <w:rPr>
          <w:rFonts w:ascii="Tahoma" w:hAnsi="Tahoma" w:cs="Tahoma"/>
          <w:sz w:val="24"/>
          <w:szCs w:val="24"/>
        </w:rPr>
        <w:t>lun</w:t>
      </w:r>
      <w:r w:rsidR="00FC1C56" w:rsidRPr="00F228D9">
        <w:rPr>
          <w:rFonts w:ascii="Tahoma" w:hAnsi="Tahoma" w:cs="Tahoma"/>
          <w:sz w:val="24"/>
          <w:szCs w:val="24"/>
        </w:rPr>
        <w:t>a</w:t>
      </w:r>
      <w:r w:rsidR="00FB03C6" w:rsidRPr="00F228D9">
        <w:rPr>
          <w:rFonts w:ascii="Tahoma" w:hAnsi="Tahoma" w:cs="Tahoma"/>
          <w:sz w:val="24"/>
          <w:szCs w:val="24"/>
        </w:rPr>
        <w:t xml:space="preserve"> martie.</w:t>
      </w:r>
      <w:r w:rsidR="0063711C" w:rsidRPr="00F228D9">
        <w:rPr>
          <w:rStyle w:val="FootnoteReference"/>
          <w:rFonts w:ascii="Tahoma" w:hAnsi="Tahoma" w:cs="Tahoma"/>
          <w:sz w:val="24"/>
          <w:szCs w:val="24"/>
        </w:rPr>
        <w:footnoteReference w:id="5"/>
      </w:r>
    </w:p>
    <w:p w:rsidR="00C728CC" w:rsidRDefault="00A45C4C" w:rsidP="000C7AF8">
      <w:pPr>
        <w:spacing w:before="240" w:after="120" w:line="360" w:lineRule="auto"/>
        <w:jc w:val="both"/>
        <w:rPr>
          <w:rFonts w:ascii="Tahoma" w:hAnsi="Tahoma" w:cs="Tahoma"/>
          <w:sz w:val="24"/>
          <w:szCs w:val="24"/>
        </w:rPr>
      </w:pPr>
      <w:r w:rsidRPr="00F228D9">
        <w:rPr>
          <w:rFonts w:ascii="Tahoma" w:hAnsi="Tahoma" w:cs="Tahoma"/>
          <w:b/>
          <w:i/>
          <w:sz w:val="24"/>
          <w:szCs w:val="24"/>
        </w:rPr>
        <w:t>Sumele rambursate de Uniunea Europeană în contul plăților efectuate</w:t>
      </w:r>
      <w:r w:rsidRPr="00F228D9">
        <w:rPr>
          <w:rFonts w:ascii="Tahoma" w:hAnsi="Tahoma" w:cs="Tahoma"/>
          <w:sz w:val="24"/>
          <w:szCs w:val="24"/>
        </w:rPr>
        <w:t xml:space="preserve"> și donații au totalizat </w:t>
      </w:r>
      <w:r w:rsidR="00E762E4">
        <w:rPr>
          <w:rFonts w:ascii="Tahoma" w:hAnsi="Tahoma" w:cs="Tahoma"/>
          <w:sz w:val="24"/>
          <w:szCs w:val="24"/>
        </w:rPr>
        <w:t>3,9</w:t>
      </w:r>
      <w:r w:rsidRPr="00F228D9">
        <w:rPr>
          <w:rFonts w:ascii="Tahoma" w:hAnsi="Tahoma" w:cs="Tahoma"/>
          <w:sz w:val="24"/>
          <w:szCs w:val="24"/>
        </w:rPr>
        <w:t xml:space="preserve"> mld lei </w:t>
      </w:r>
      <w:r w:rsidR="009746E7" w:rsidRPr="00F228D9">
        <w:rPr>
          <w:rFonts w:ascii="Tahoma" w:hAnsi="Tahoma" w:cs="Tahoma"/>
          <w:sz w:val="24"/>
          <w:szCs w:val="24"/>
        </w:rPr>
        <w:t>î</w:t>
      </w:r>
      <w:r w:rsidRPr="00F228D9">
        <w:rPr>
          <w:rFonts w:ascii="Tahoma" w:hAnsi="Tahoma" w:cs="Tahoma"/>
          <w:sz w:val="24"/>
          <w:szCs w:val="24"/>
        </w:rPr>
        <w:t xml:space="preserve">n </w:t>
      </w:r>
      <w:r w:rsidR="00061787" w:rsidRPr="00F228D9">
        <w:rPr>
          <w:rFonts w:ascii="Tahoma" w:hAnsi="Tahoma" w:cs="Tahoma"/>
          <w:sz w:val="24"/>
          <w:szCs w:val="24"/>
        </w:rPr>
        <w:t xml:space="preserve">primele </w:t>
      </w:r>
      <w:r w:rsidR="00712417" w:rsidRPr="00F228D9">
        <w:rPr>
          <w:rFonts w:ascii="Tahoma" w:hAnsi="Tahoma" w:cs="Tahoma"/>
          <w:sz w:val="24"/>
          <w:szCs w:val="24"/>
        </w:rPr>
        <w:t>trei</w:t>
      </w:r>
      <w:r w:rsidR="00061787" w:rsidRPr="00F228D9">
        <w:rPr>
          <w:rFonts w:ascii="Tahoma" w:hAnsi="Tahoma" w:cs="Tahoma"/>
          <w:sz w:val="24"/>
          <w:szCs w:val="24"/>
        </w:rPr>
        <w:t xml:space="preserve"> luni ale anului </w:t>
      </w:r>
      <w:r w:rsidRPr="00F228D9">
        <w:rPr>
          <w:rFonts w:ascii="Tahoma" w:hAnsi="Tahoma" w:cs="Tahoma"/>
          <w:sz w:val="24"/>
          <w:szCs w:val="24"/>
        </w:rPr>
        <w:t>20</w:t>
      </w:r>
      <w:r w:rsidR="00C76E83" w:rsidRPr="00F228D9">
        <w:rPr>
          <w:rFonts w:ascii="Tahoma" w:hAnsi="Tahoma" w:cs="Tahoma"/>
          <w:sz w:val="24"/>
          <w:szCs w:val="24"/>
        </w:rPr>
        <w:t>20</w:t>
      </w:r>
      <w:r w:rsidRPr="00F228D9">
        <w:rPr>
          <w:rFonts w:ascii="Tahoma" w:hAnsi="Tahoma" w:cs="Tahoma"/>
          <w:sz w:val="24"/>
          <w:szCs w:val="24"/>
        </w:rPr>
        <w:t xml:space="preserve">, </w:t>
      </w:r>
      <w:r w:rsidR="00061787" w:rsidRPr="00F228D9">
        <w:rPr>
          <w:rFonts w:ascii="Tahoma" w:hAnsi="Tahoma" w:cs="Tahoma"/>
          <w:sz w:val="24"/>
          <w:szCs w:val="24"/>
        </w:rPr>
        <w:t xml:space="preserve">în creștere cu </w:t>
      </w:r>
      <w:r w:rsidR="00E762E4">
        <w:rPr>
          <w:rFonts w:ascii="Tahoma" w:hAnsi="Tahoma" w:cs="Tahoma"/>
          <w:sz w:val="24"/>
          <w:szCs w:val="24"/>
        </w:rPr>
        <w:t>2</w:t>
      </w:r>
      <w:r w:rsidR="00061787" w:rsidRPr="00F228D9">
        <w:rPr>
          <w:rFonts w:ascii="Tahoma" w:hAnsi="Tahoma" w:cs="Tahoma"/>
          <w:sz w:val="24"/>
          <w:szCs w:val="24"/>
        </w:rPr>
        <w:t>,</w:t>
      </w:r>
      <w:r w:rsidR="00E762E4">
        <w:rPr>
          <w:rFonts w:ascii="Tahoma" w:hAnsi="Tahoma" w:cs="Tahoma"/>
          <w:sz w:val="24"/>
          <w:szCs w:val="24"/>
        </w:rPr>
        <w:t>2</w:t>
      </w:r>
      <w:r w:rsidR="00061787" w:rsidRPr="00F228D9">
        <w:rPr>
          <w:rFonts w:ascii="Tahoma" w:hAnsi="Tahoma" w:cs="Tahoma"/>
          <w:sz w:val="24"/>
          <w:szCs w:val="24"/>
        </w:rPr>
        <w:t>% față de perioada similară a anului trecut</w:t>
      </w:r>
      <w:r w:rsidR="00170657" w:rsidRPr="00F228D9">
        <w:rPr>
          <w:rFonts w:ascii="Tahoma" w:hAnsi="Tahoma" w:cs="Tahoma"/>
          <w:sz w:val="24"/>
          <w:szCs w:val="24"/>
        </w:rPr>
        <w:t>.</w:t>
      </w:r>
    </w:p>
    <w:p w:rsidR="00C728CC" w:rsidRDefault="00C728CC">
      <w:pPr>
        <w:rPr>
          <w:rFonts w:ascii="Tahoma" w:hAnsi="Tahoma" w:cs="Tahoma"/>
          <w:sz w:val="24"/>
          <w:szCs w:val="24"/>
        </w:rPr>
      </w:pPr>
      <w:r>
        <w:rPr>
          <w:rFonts w:ascii="Tahoma" w:hAnsi="Tahoma" w:cs="Tahoma"/>
          <w:sz w:val="24"/>
          <w:szCs w:val="24"/>
        </w:rPr>
        <w:br w:type="page"/>
      </w:r>
    </w:p>
    <w:p w:rsidR="00974E99" w:rsidRPr="00F228D9" w:rsidRDefault="00974E99" w:rsidP="000C7AF8">
      <w:pPr>
        <w:spacing w:before="240" w:after="120" w:line="360" w:lineRule="auto"/>
        <w:jc w:val="both"/>
        <w:rPr>
          <w:rFonts w:ascii="Tahoma" w:hAnsi="Tahoma" w:cs="Tahoma"/>
          <w:sz w:val="24"/>
          <w:szCs w:val="24"/>
        </w:rPr>
      </w:pPr>
    </w:p>
    <w:p w:rsidR="007D0985" w:rsidRPr="00F228D9"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F228D9">
        <w:rPr>
          <w:rFonts w:ascii="Tahoma" w:hAnsi="Tahoma" w:cs="Tahoma"/>
          <w:b/>
          <w:caps/>
          <w:color w:val="0070C0"/>
          <w:sz w:val="24"/>
          <w:szCs w:val="24"/>
        </w:rPr>
        <w:t>CHELTUIELILE bugetului general consolidat</w:t>
      </w:r>
    </w:p>
    <w:p w:rsidR="007D0985" w:rsidRPr="00F228D9" w:rsidRDefault="007D0985" w:rsidP="003477B4">
      <w:pPr>
        <w:shd w:val="clear" w:color="auto" w:fill="D9D9D9" w:themeFill="background1" w:themeFillShade="D9"/>
        <w:spacing w:after="120" w:line="360" w:lineRule="auto"/>
        <w:jc w:val="both"/>
        <w:rPr>
          <w:rFonts w:ascii="Tahoma" w:hAnsi="Tahoma" w:cs="Tahoma"/>
          <w:sz w:val="24"/>
          <w:szCs w:val="24"/>
        </w:rPr>
      </w:pPr>
      <w:r w:rsidRPr="003477B4">
        <w:rPr>
          <w:rFonts w:ascii="Tahoma" w:hAnsi="Tahoma" w:cs="Tahoma"/>
          <w:sz w:val="24"/>
          <w:szCs w:val="24"/>
        </w:rPr>
        <w:t xml:space="preserve">Cheltuielile bugetului general consolidat în sumă de 90,30 mld lei (8,3% din PIB), au crescut în termeni nominali </w:t>
      </w:r>
      <w:r w:rsidRPr="006C7DA9">
        <w:rPr>
          <w:rFonts w:ascii="Tahoma" w:hAnsi="Tahoma" w:cs="Tahoma"/>
          <w:sz w:val="24"/>
          <w:szCs w:val="24"/>
        </w:rPr>
        <w:t xml:space="preserve">cu 12,7% </w:t>
      </w:r>
      <w:r w:rsidRPr="003477B4">
        <w:rPr>
          <w:rFonts w:ascii="Tahoma" w:hAnsi="Tahoma" w:cs="Tahoma"/>
          <w:sz w:val="24"/>
          <w:szCs w:val="24"/>
        </w:rPr>
        <w:t xml:space="preserve">față de aceeași lună a anului precedent. Exprimate ca procent din Produsul Intern Brut, cheltuielile au înregistrat o creștere cu </w:t>
      </w:r>
      <w:r w:rsidRPr="006C7DA9">
        <w:rPr>
          <w:rFonts w:ascii="Tahoma" w:hAnsi="Tahoma" w:cs="Tahoma"/>
          <w:sz w:val="24"/>
          <w:szCs w:val="24"/>
        </w:rPr>
        <w:t xml:space="preserve">0,8 </w:t>
      </w:r>
      <w:r w:rsidRPr="003477B4">
        <w:rPr>
          <w:rFonts w:ascii="Tahoma" w:hAnsi="Tahoma" w:cs="Tahoma"/>
          <w:sz w:val="24"/>
          <w:szCs w:val="24"/>
        </w:rPr>
        <w:t>puncte procentuale de la 7,6% din PIB 2019 la 8,3% din PIB în 2020.</w:t>
      </w:r>
    </w:p>
    <w:p w:rsidR="00C728CC" w:rsidRDefault="00C728CC" w:rsidP="007D0985">
      <w:pPr>
        <w:spacing w:line="360" w:lineRule="auto"/>
        <w:ind w:right="-57"/>
        <w:jc w:val="both"/>
        <w:rPr>
          <w:rFonts w:ascii="Tahoma" w:hAnsi="Tahoma" w:cs="Tahoma"/>
          <w:b/>
          <w:i/>
          <w:sz w:val="24"/>
          <w:szCs w:val="28"/>
        </w:rPr>
      </w:pPr>
    </w:p>
    <w:p w:rsidR="007D0985" w:rsidRPr="00F228D9" w:rsidRDefault="007D0985" w:rsidP="00C728CC">
      <w:pPr>
        <w:spacing w:before="240" w:after="120" w:line="360" w:lineRule="auto"/>
        <w:ind w:right="-57"/>
        <w:jc w:val="both"/>
        <w:rPr>
          <w:rFonts w:ascii="Tahoma" w:hAnsi="Tahoma" w:cs="Tahoma"/>
          <w:sz w:val="24"/>
          <w:szCs w:val="28"/>
        </w:rPr>
      </w:pPr>
      <w:r w:rsidRPr="00F228D9">
        <w:rPr>
          <w:rFonts w:ascii="Tahoma" w:hAnsi="Tahoma" w:cs="Tahoma"/>
          <w:b/>
          <w:i/>
          <w:sz w:val="24"/>
          <w:szCs w:val="28"/>
        </w:rPr>
        <w:t>Cheltuielile de personal</w:t>
      </w:r>
      <w:r w:rsidRPr="00F228D9">
        <w:rPr>
          <w:rFonts w:ascii="Tahoma" w:hAnsi="Tahoma" w:cs="Tahoma"/>
          <w:sz w:val="24"/>
          <w:szCs w:val="28"/>
        </w:rPr>
        <w:t xml:space="preserve"> au însumat 26,22 mld lei, în creștere cu 9,4% comparativ cu aceeași perioadă a anului precedent, reflectându-se majorările salariale, îndemnizația de hrană, atât cele aplicate începând cu 1 ianuarie 2019, acordate în temeiul Legii cadru nr. 153/2017 privind salarizarea personalului plătit din fonduri publice, cât și majorările salariale aplicate cu 1 ianuarie 2020. Exprimate ca pondere în PIB, cheltuielile de personal reprezintă un nivel de 2,4% din PIB. </w:t>
      </w:r>
    </w:p>
    <w:p w:rsidR="007D0985" w:rsidRPr="00F228D9" w:rsidRDefault="007D0985" w:rsidP="00C728CC">
      <w:pPr>
        <w:spacing w:before="240" w:after="120" w:line="360" w:lineRule="auto"/>
        <w:jc w:val="both"/>
        <w:rPr>
          <w:rFonts w:ascii="Tahoma" w:hAnsi="Tahoma" w:cs="Tahoma"/>
          <w:sz w:val="24"/>
          <w:szCs w:val="28"/>
        </w:rPr>
      </w:pPr>
      <w:r w:rsidRPr="00F228D9">
        <w:rPr>
          <w:rFonts w:ascii="Tahoma" w:hAnsi="Tahoma" w:cs="Tahoma"/>
          <w:b/>
          <w:i/>
          <w:sz w:val="24"/>
          <w:szCs w:val="28"/>
        </w:rPr>
        <w:t>Cheltuielile cu bunuri și servicii</w:t>
      </w:r>
      <w:r w:rsidRPr="00F228D9">
        <w:rPr>
          <w:rFonts w:ascii="Tahoma" w:hAnsi="Tahoma" w:cs="Tahoma"/>
          <w:sz w:val="24"/>
          <w:szCs w:val="28"/>
        </w:rPr>
        <w:t xml:space="preserve">au fost 12,19 mld lei, în creștere cu 17,4% față de anul precedent. În cadrul bugetului general consolidat, majorările față de medie se înregistrează la nivelul </w:t>
      </w:r>
      <w:r w:rsidR="00A21C68" w:rsidRPr="00F228D9">
        <w:rPr>
          <w:rFonts w:ascii="Tahoma" w:hAnsi="Tahoma" w:cs="Tahoma"/>
          <w:sz w:val="24"/>
          <w:szCs w:val="28"/>
        </w:rPr>
        <w:t xml:space="preserve">administrației locale și </w:t>
      </w:r>
      <w:r w:rsidR="0088400F" w:rsidRPr="00F228D9">
        <w:rPr>
          <w:rFonts w:ascii="Tahoma" w:hAnsi="Tahoma" w:cs="Tahoma"/>
          <w:sz w:val="24"/>
          <w:szCs w:val="28"/>
        </w:rPr>
        <w:t xml:space="preserve">al </w:t>
      </w:r>
      <w:r w:rsidR="00A21C68" w:rsidRPr="00F228D9">
        <w:rPr>
          <w:rFonts w:ascii="Tahoma" w:hAnsi="Tahoma" w:cs="Tahoma"/>
          <w:sz w:val="24"/>
          <w:szCs w:val="28"/>
        </w:rPr>
        <w:t xml:space="preserve">instituțiilor </w:t>
      </w:r>
      <w:r w:rsidR="0088400F" w:rsidRPr="00F228D9">
        <w:rPr>
          <w:rFonts w:ascii="Tahoma" w:hAnsi="Tahoma" w:cs="Tahoma"/>
          <w:sz w:val="24"/>
          <w:szCs w:val="28"/>
        </w:rPr>
        <w:t>publice finanțate integral sau parțial din venituri proprii</w:t>
      </w:r>
      <w:r w:rsidRPr="00F228D9">
        <w:rPr>
          <w:rFonts w:ascii="Tahoma" w:hAnsi="Tahoma" w:cs="Tahoma"/>
          <w:sz w:val="24"/>
          <w:szCs w:val="28"/>
        </w:rPr>
        <w:t xml:space="preserve">, majorări determinate în special de </w:t>
      </w:r>
      <w:r w:rsidR="0088400F" w:rsidRPr="00F228D9">
        <w:rPr>
          <w:rFonts w:ascii="Tahoma" w:hAnsi="Tahoma" w:cs="Tahoma"/>
          <w:sz w:val="24"/>
          <w:szCs w:val="28"/>
        </w:rPr>
        <w:t>plăți</w:t>
      </w:r>
      <w:r w:rsidRPr="00F228D9">
        <w:rPr>
          <w:rFonts w:ascii="Tahoma" w:hAnsi="Tahoma" w:cs="Tahoma"/>
          <w:sz w:val="24"/>
          <w:szCs w:val="28"/>
        </w:rPr>
        <w:t xml:space="preserve"> suplimentare </w:t>
      </w:r>
      <w:r w:rsidR="0088400F" w:rsidRPr="00F228D9">
        <w:rPr>
          <w:rFonts w:ascii="Tahoma" w:hAnsi="Tahoma" w:cs="Tahoma"/>
          <w:sz w:val="24"/>
          <w:szCs w:val="28"/>
        </w:rPr>
        <w:t>realizate</w:t>
      </w:r>
      <w:r w:rsidRPr="00F228D9">
        <w:rPr>
          <w:rFonts w:ascii="Tahoma" w:hAnsi="Tahoma" w:cs="Tahoma"/>
          <w:sz w:val="24"/>
          <w:szCs w:val="28"/>
        </w:rPr>
        <w:t xml:space="preserve"> pentru </w:t>
      </w:r>
      <w:r w:rsidR="009C614B" w:rsidRPr="00F228D9">
        <w:rPr>
          <w:rFonts w:ascii="Tahoma" w:hAnsi="Tahoma" w:cs="Tahoma"/>
          <w:sz w:val="24"/>
          <w:szCs w:val="28"/>
        </w:rPr>
        <w:t xml:space="preserve">prevenirea și </w:t>
      </w:r>
      <w:r w:rsidRPr="00F228D9">
        <w:rPr>
          <w:rFonts w:ascii="Tahoma" w:hAnsi="Tahoma" w:cs="Tahoma"/>
          <w:sz w:val="24"/>
          <w:szCs w:val="28"/>
        </w:rPr>
        <w:t xml:space="preserve">combaterea </w:t>
      </w:r>
      <w:r w:rsidR="00B42F67" w:rsidRPr="00F228D9">
        <w:rPr>
          <w:rFonts w:ascii="Tahoma" w:hAnsi="Tahoma" w:cs="Tahoma"/>
          <w:sz w:val="24"/>
          <w:szCs w:val="28"/>
        </w:rPr>
        <w:t>pandemiei cu coronavirusul SARS-CoV-2</w:t>
      </w:r>
      <w:r w:rsidRPr="00F228D9">
        <w:rPr>
          <w:rFonts w:ascii="Tahoma" w:hAnsi="Tahoma" w:cs="Tahoma"/>
          <w:sz w:val="24"/>
          <w:szCs w:val="28"/>
        </w:rPr>
        <w:t xml:space="preserve">. </w:t>
      </w:r>
    </w:p>
    <w:p w:rsidR="007D0985" w:rsidRPr="00F228D9" w:rsidRDefault="000A2574" w:rsidP="00C728CC">
      <w:pPr>
        <w:spacing w:before="240" w:after="120" w:line="360" w:lineRule="auto"/>
        <w:jc w:val="both"/>
        <w:rPr>
          <w:rFonts w:ascii="Tahoma" w:hAnsi="Tahoma" w:cs="Tahoma"/>
          <w:sz w:val="24"/>
          <w:szCs w:val="28"/>
        </w:rPr>
      </w:pPr>
      <w:r>
        <w:rPr>
          <w:rFonts w:ascii="Tahoma" w:hAnsi="Tahoma" w:cs="Tahoma"/>
          <w:sz w:val="24"/>
          <w:szCs w:val="28"/>
        </w:rPr>
        <w:t>De asemenea, o</w:t>
      </w:r>
      <w:r w:rsidR="007D0985" w:rsidRPr="00F228D9">
        <w:rPr>
          <w:rFonts w:ascii="Tahoma" w:hAnsi="Tahoma" w:cs="Tahoma"/>
          <w:sz w:val="24"/>
          <w:szCs w:val="28"/>
        </w:rPr>
        <w:t xml:space="preserve"> creștere </w:t>
      </w:r>
      <w:r>
        <w:rPr>
          <w:rFonts w:ascii="Tahoma" w:hAnsi="Tahoma" w:cs="Tahoma"/>
          <w:sz w:val="24"/>
          <w:szCs w:val="28"/>
        </w:rPr>
        <w:t xml:space="preserve">se reflectă și la bugetul </w:t>
      </w:r>
      <w:r w:rsidRPr="000A2574">
        <w:rPr>
          <w:rFonts w:ascii="Tahoma" w:hAnsi="Tahoma" w:cs="Tahoma"/>
          <w:sz w:val="24"/>
          <w:szCs w:val="28"/>
        </w:rPr>
        <w:t>Fondul</w:t>
      </w:r>
      <w:r>
        <w:rPr>
          <w:rFonts w:ascii="Tahoma" w:hAnsi="Tahoma" w:cs="Tahoma"/>
          <w:sz w:val="24"/>
          <w:szCs w:val="28"/>
        </w:rPr>
        <w:t>ui</w:t>
      </w:r>
      <w:r w:rsidRPr="000A2574">
        <w:rPr>
          <w:rFonts w:ascii="Tahoma" w:hAnsi="Tahoma" w:cs="Tahoma"/>
          <w:sz w:val="24"/>
          <w:szCs w:val="28"/>
        </w:rPr>
        <w:t xml:space="preserve"> n</w:t>
      </w:r>
      <w:r w:rsidRPr="00AF5A15">
        <w:rPr>
          <w:rFonts w:ascii="Tahoma" w:hAnsi="Tahoma" w:cs="Tahoma"/>
          <w:sz w:val="24"/>
          <w:szCs w:val="28"/>
        </w:rPr>
        <w:t>a</w:t>
      </w:r>
      <w:r w:rsidR="00D37654" w:rsidRPr="00AF5A15">
        <w:rPr>
          <w:rFonts w:ascii="Tahoma" w:hAnsi="Tahoma" w:cs="Tahoma"/>
          <w:sz w:val="24"/>
          <w:szCs w:val="28"/>
        </w:rPr>
        <w:t>ț</w:t>
      </w:r>
      <w:r w:rsidRPr="00AF5A15">
        <w:rPr>
          <w:rFonts w:ascii="Tahoma" w:hAnsi="Tahoma" w:cs="Tahoma"/>
          <w:sz w:val="24"/>
          <w:szCs w:val="28"/>
        </w:rPr>
        <w:t>iona</w:t>
      </w:r>
      <w:r w:rsidRPr="000A2574">
        <w:rPr>
          <w:rFonts w:ascii="Tahoma" w:hAnsi="Tahoma" w:cs="Tahoma"/>
          <w:sz w:val="24"/>
          <w:szCs w:val="28"/>
        </w:rPr>
        <w:t xml:space="preserve">l unic de </w:t>
      </w:r>
      <w:r w:rsidRPr="00AF5A15">
        <w:rPr>
          <w:rFonts w:ascii="Tahoma" w:hAnsi="Tahoma" w:cs="Tahoma"/>
          <w:sz w:val="24"/>
          <w:szCs w:val="28"/>
        </w:rPr>
        <w:t>asigur</w:t>
      </w:r>
      <w:r w:rsidR="00D37654" w:rsidRPr="00AF5A15">
        <w:rPr>
          <w:rFonts w:ascii="Tahoma" w:hAnsi="Tahoma" w:cs="Tahoma"/>
          <w:sz w:val="24"/>
          <w:szCs w:val="28"/>
        </w:rPr>
        <w:t>ă</w:t>
      </w:r>
      <w:r w:rsidRPr="00AF5A15">
        <w:rPr>
          <w:rFonts w:ascii="Tahoma" w:hAnsi="Tahoma" w:cs="Tahoma"/>
          <w:sz w:val="24"/>
          <w:szCs w:val="28"/>
        </w:rPr>
        <w:t>ri s</w:t>
      </w:r>
      <w:r w:rsidRPr="000A2574">
        <w:rPr>
          <w:rFonts w:ascii="Tahoma" w:hAnsi="Tahoma" w:cs="Tahoma"/>
          <w:sz w:val="24"/>
          <w:szCs w:val="28"/>
        </w:rPr>
        <w:t xml:space="preserve">ociale </w:t>
      </w:r>
      <w:r w:rsidRPr="00AF5A15">
        <w:rPr>
          <w:rFonts w:ascii="Tahoma" w:hAnsi="Tahoma" w:cs="Tahoma"/>
          <w:sz w:val="24"/>
          <w:szCs w:val="28"/>
        </w:rPr>
        <w:t>de s</w:t>
      </w:r>
      <w:r w:rsidR="00D37654" w:rsidRPr="00AF5A15">
        <w:rPr>
          <w:rFonts w:ascii="Tahoma" w:hAnsi="Tahoma" w:cs="Tahoma"/>
          <w:sz w:val="24"/>
          <w:szCs w:val="28"/>
        </w:rPr>
        <w:t>ă</w:t>
      </w:r>
      <w:r w:rsidRPr="00AF5A15">
        <w:rPr>
          <w:rFonts w:ascii="Tahoma" w:hAnsi="Tahoma" w:cs="Tahoma"/>
          <w:sz w:val="24"/>
          <w:szCs w:val="28"/>
        </w:rPr>
        <w:t>n</w:t>
      </w:r>
      <w:r w:rsidR="00D37654" w:rsidRPr="00AF5A15">
        <w:rPr>
          <w:rFonts w:ascii="Tahoma" w:hAnsi="Tahoma" w:cs="Tahoma"/>
          <w:sz w:val="24"/>
          <w:szCs w:val="28"/>
        </w:rPr>
        <w:t>ă</w:t>
      </w:r>
      <w:r w:rsidRPr="00AF5A15">
        <w:rPr>
          <w:rFonts w:ascii="Tahoma" w:hAnsi="Tahoma" w:cs="Tahoma"/>
          <w:sz w:val="24"/>
          <w:szCs w:val="28"/>
        </w:rPr>
        <w:t>tate de</w:t>
      </w:r>
      <w:r>
        <w:rPr>
          <w:rFonts w:ascii="Tahoma" w:hAnsi="Tahoma" w:cs="Tahoma"/>
          <w:sz w:val="24"/>
          <w:szCs w:val="28"/>
        </w:rPr>
        <w:t xml:space="preserve"> 14% față de aceeași perioadă a anului anterior </w:t>
      </w:r>
      <w:r w:rsidR="007D0985" w:rsidRPr="00F228D9">
        <w:rPr>
          <w:rFonts w:ascii="Tahoma" w:hAnsi="Tahoma" w:cs="Tahoma"/>
          <w:sz w:val="24"/>
          <w:szCs w:val="28"/>
        </w:rPr>
        <w:t xml:space="preserve">determinată </w:t>
      </w:r>
      <w:r>
        <w:rPr>
          <w:rFonts w:ascii="Tahoma" w:hAnsi="Tahoma" w:cs="Tahoma"/>
          <w:sz w:val="24"/>
          <w:szCs w:val="28"/>
        </w:rPr>
        <w:t>de deconturile mai mari</w:t>
      </w:r>
      <w:r w:rsidR="007D0985" w:rsidRPr="00F228D9">
        <w:rPr>
          <w:rFonts w:ascii="Tahoma" w:hAnsi="Tahoma" w:cs="Tahoma"/>
          <w:sz w:val="24"/>
          <w:szCs w:val="28"/>
        </w:rPr>
        <w:t xml:space="preserve"> pentru plata medicamentelor care fac obiectul contractelor cost-volum rezultat și pentru decontarea serviciilor medicale în ambulatoriu.</w:t>
      </w:r>
    </w:p>
    <w:p w:rsidR="007D0985" w:rsidRPr="00F228D9" w:rsidRDefault="007D0985" w:rsidP="00C728CC">
      <w:pPr>
        <w:spacing w:before="240" w:after="120" w:line="360" w:lineRule="auto"/>
        <w:contextualSpacing/>
        <w:jc w:val="both"/>
        <w:rPr>
          <w:rFonts w:ascii="Tahoma" w:hAnsi="Tahoma" w:cs="Tahoma"/>
          <w:sz w:val="24"/>
          <w:szCs w:val="28"/>
        </w:rPr>
      </w:pPr>
      <w:r w:rsidRPr="00F228D9">
        <w:rPr>
          <w:rFonts w:ascii="Tahoma" w:hAnsi="Tahoma" w:cs="Tahoma"/>
          <w:b/>
          <w:i/>
          <w:sz w:val="24"/>
          <w:szCs w:val="28"/>
        </w:rPr>
        <w:t>Cheltuielile cu asistența socială</w:t>
      </w:r>
      <w:r w:rsidRPr="00F228D9">
        <w:rPr>
          <w:rFonts w:ascii="Tahoma" w:hAnsi="Tahoma" w:cs="Tahoma"/>
          <w:sz w:val="24"/>
          <w:szCs w:val="28"/>
        </w:rPr>
        <w:t xml:space="preserve"> au fost de 32,77 mld lei în creștere cu 17,0% comparativ cu aceeași perioadă a anului precedent. Evoluția cheltuielilor cu asistența socială a fost influențată, în principal, de majorarea punctului de pensie, începând cu 1 septembrie 2019, cu 15%, respectiv de la 1.100 lei la 1.265 lei, a îndemnizației sociale pentru pensionari garantată cu 10%, majorarea alocațiilor de stat pentru copii începând cu 1 mai </w:t>
      </w:r>
      <w:r w:rsidRPr="00F228D9">
        <w:rPr>
          <w:rFonts w:ascii="Tahoma" w:hAnsi="Tahoma" w:cs="Tahoma"/>
          <w:sz w:val="24"/>
          <w:szCs w:val="28"/>
        </w:rPr>
        <w:lastRenderedPageBreak/>
        <w:t xml:space="preserve">2019, precum și indexarea acestora cu rata inflației din anul 2019, începând cu 1 ianuarie 2020. </w:t>
      </w:r>
      <w:r w:rsidR="00B42F67" w:rsidRPr="00F228D9">
        <w:rPr>
          <w:rFonts w:ascii="Tahoma" w:hAnsi="Tahoma" w:cs="Tahoma"/>
          <w:sz w:val="24"/>
          <w:szCs w:val="28"/>
        </w:rPr>
        <w:t>De asem</w:t>
      </w:r>
      <w:r w:rsidR="00FA1E35" w:rsidRPr="00F228D9">
        <w:rPr>
          <w:rFonts w:ascii="Tahoma" w:hAnsi="Tahoma" w:cs="Tahoma"/>
          <w:sz w:val="24"/>
          <w:szCs w:val="28"/>
        </w:rPr>
        <w:t>e</w:t>
      </w:r>
      <w:r w:rsidR="00B42F67" w:rsidRPr="00F228D9">
        <w:rPr>
          <w:rFonts w:ascii="Tahoma" w:hAnsi="Tahoma" w:cs="Tahoma"/>
          <w:sz w:val="24"/>
          <w:szCs w:val="28"/>
        </w:rPr>
        <w:t xml:space="preserve">nea, </w:t>
      </w:r>
      <w:r w:rsidR="00FA1E35" w:rsidRPr="00F228D9">
        <w:rPr>
          <w:rFonts w:ascii="Tahoma" w:hAnsi="Tahoma" w:cs="Tahoma"/>
          <w:sz w:val="24"/>
          <w:szCs w:val="28"/>
        </w:rPr>
        <w:t>decontările</w:t>
      </w:r>
      <w:r w:rsidR="00B42F67" w:rsidRPr="00F228D9">
        <w:rPr>
          <w:rFonts w:ascii="Tahoma" w:hAnsi="Tahoma" w:cs="Tahoma"/>
          <w:sz w:val="24"/>
          <w:szCs w:val="28"/>
        </w:rPr>
        <w:t xml:space="preserve"> indemnizații</w:t>
      </w:r>
      <w:r w:rsidR="00FA1E35" w:rsidRPr="00F228D9">
        <w:rPr>
          <w:rFonts w:ascii="Tahoma" w:hAnsi="Tahoma" w:cs="Tahoma"/>
          <w:sz w:val="24"/>
          <w:szCs w:val="28"/>
        </w:rPr>
        <w:t>lor</w:t>
      </w:r>
      <w:r w:rsidR="00B42F67" w:rsidRPr="00F228D9">
        <w:rPr>
          <w:rFonts w:ascii="Tahoma" w:hAnsi="Tahoma" w:cs="Tahoma"/>
          <w:sz w:val="24"/>
          <w:szCs w:val="28"/>
        </w:rPr>
        <w:t xml:space="preserve"> de asigurări sociale de sănătate pentru concedii medicale </w:t>
      </w:r>
      <w:r w:rsidR="00FA1E35" w:rsidRPr="00F228D9">
        <w:rPr>
          <w:rFonts w:ascii="Tahoma" w:hAnsi="Tahoma" w:cs="Tahoma"/>
          <w:sz w:val="24"/>
          <w:szCs w:val="28"/>
        </w:rPr>
        <w:t xml:space="preserve">pe primul trimestrul al acestui an sunt de doua ori mai mult față de aceeași perioadă a anului trecut, </w:t>
      </w:r>
      <w:r w:rsidR="00B42F67" w:rsidRPr="00F228D9">
        <w:rPr>
          <w:rFonts w:ascii="Tahoma" w:hAnsi="Tahoma" w:cs="Tahoma"/>
          <w:sz w:val="24"/>
          <w:szCs w:val="28"/>
        </w:rPr>
        <w:t xml:space="preserve">în </w:t>
      </w:r>
      <w:r w:rsidR="00FA1E35" w:rsidRPr="00F228D9">
        <w:rPr>
          <w:rFonts w:ascii="Tahoma" w:hAnsi="Tahoma" w:cs="Tahoma"/>
          <w:sz w:val="24"/>
          <w:szCs w:val="28"/>
        </w:rPr>
        <w:t xml:space="preserve">luna martie decontându-se </w:t>
      </w:r>
      <w:r w:rsidR="00F228D9">
        <w:rPr>
          <w:rFonts w:ascii="Tahoma" w:hAnsi="Tahoma" w:cs="Tahoma"/>
          <w:sz w:val="24"/>
          <w:szCs w:val="28"/>
        </w:rPr>
        <w:t xml:space="preserve">în valoare de </w:t>
      </w:r>
      <w:r w:rsidR="00FA1E35" w:rsidRPr="00F228D9">
        <w:rPr>
          <w:rFonts w:ascii="Tahoma" w:hAnsi="Tahoma" w:cs="Tahoma"/>
          <w:sz w:val="24"/>
          <w:szCs w:val="28"/>
        </w:rPr>
        <w:t>401,7 milioane lei.</w:t>
      </w:r>
    </w:p>
    <w:p w:rsidR="007D0985" w:rsidRPr="00F228D9" w:rsidRDefault="007D0985" w:rsidP="00C728CC">
      <w:pPr>
        <w:spacing w:before="240" w:after="120" w:line="360" w:lineRule="auto"/>
        <w:contextualSpacing/>
        <w:jc w:val="both"/>
        <w:rPr>
          <w:rFonts w:ascii="Tahoma" w:hAnsi="Tahoma" w:cs="Tahoma"/>
          <w:sz w:val="24"/>
          <w:szCs w:val="28"/>
        </w:rPr>
      </w:pPr>
      <w:r w:rsidRPr="00F228D9">
        <w:rPr>
          <w:rFonts w:ascii="Tahoma" w:hAnsi="Tahoma" w:cs="Tahoma"/>
          <w:b/>
          <w:i/>
          <w:sz w:val="24"/>
          <w:szCs w:val="28"/>
        </w:rPr>
        <w:t>Cheltuielile cu subvențiile</w:t>
      </w:r>
      <w:r w:rsidRPr="00F228D9">
        <w:rPr>
          <w:rFonts w:ascii="Tahoma" w:hAnsi="Tahoma" w:cs="Tahoma"/>
          <w:sz w:val="24"/>
          <w:szCs w:val="28"/>
        </w:rPr>
        <w:t xml:space="preserve">  au fost de 2.621,2 milioane lei,  de peste 1,6 ori mai mari față de aceeași perioadă a anului precedent, creștere determinată, în principal, de subvențiile din sectorul agricol acordate în lunile anterioare, respectiv de acordarea în avans a ajutoarelor naționale tranzitorii în sectorul vegetal și zootehnic. </w:t>
      </w:r>
    </w:p>
    <w:p w:rsidR="007D0985" w:rsidRPr="00F228D9" w:rsidRDefault="007D0985" w:rsidP="00C728CC">
      <w:pPr>
        <w:spacing w:before="240" w:after="120" w:line="360" w:lineRule="auto"/>
        <w:jc w:val="both"/>
        <w:rPr>
          <w:rFonts w:ascii="Tahoma" w:hAnsi="Tahoma" w:cs="Tahoma"/>
          <w:bCs/>
          <w:sz w:val="24"/>
          <w:szCs w:val="28"/>
        </w:rPr>
      </w:pPr>
      <w:r w:rsidRPr="00F228D9">
        <w:rPr>
          <w:rFonts w:ascii="Tahoma" w:hAnsi="Tahoma" w:cs="Tahoma"/>
          <w:b/>
          <w:bCs/>
          <w:i/>
          <w:sz w:val="24"/>
          <w:szCs w:val="28"/>
        </w:rPr>
        <w:t>Alte cheltuieli</w:t>
      </w:r>
      <w:r w:rsidRPr="00F228D9">
        <w:rPr>
          <w:rFonts w:ascii="Tahoma" w:hAnsi="Tahoma" w:cs="Tahoma"/>
          <w:bCs/>
          <w:sz w:val="24"/>
          <w:szCs w:val="28"/>
        </w:rPr>
        <w:t xml:space="preserve"> reprezentând, în principal, sume aferente titlurilor de plată emise de Autoritatea Națională pentru Restituirea Proprietăților, conform legislației în vigoare, burse pentru elevi și studenți, precum și alte despăgubiri civile, acestea au însumat 1,</w:t>
      </w:r>
      <w:r w:rsidR="00CA52C0">
        <w:rPr>
          <w:rFonts w:ascii="Tahoma" w:hAnsi="Tahoma" w:cs="Tahoma"/>
          <w:bCs/>
          <w:sz w:val="24"/>
          <w:szCs w:val="28"/>
        </w:rPr>
        <w:t>3</w:t>
      </w:r>
      <w:r w:rsidRPr="00F228D9">
        <w:rPr>
          <w:rFonts w:ascii="Tahoma" w:hAnsi="Tahoma" w:cs="Tahoma"/>
          <w:bCs/>
          <w:sz w:val="24"/>
          <w:szCs w:val="28"/>
        </w:rPr>
        <w:t xml:space="preserve">4 mld lei. </w:t>
      </w:r>
    </w:p>
    <w:p w:rsidR="007D0985" w:rsidRPr="00F228D9" w:rsidRDefault="007D0985" w:rsidP="00C728CC">
      <w:pPr>
        <w:spacing w:before="240" w:after="120" w:line="360" w:lineRule="auto"/>
        <w:jc w:val="both"/>
        <w:rPr>
          <w:rFonts w:ascii="Tahoma" w:hAnsi="Tahoma" w:cs="Tahoma"/>
          <w:bCs/>
          <w:sz w:val="24"/>
          <w:szCs w:val="28"/>
        </w:rPr>
      </w:pPr>
      <w:r w:rsidRPr="00F228D9">
        <w:rPr>
          <w:rFonts w:ascii="Tahoma" w:hAnsi="Tahoma" w:cs="Tahoma"/>
          <w:b/>
          <w:bCs/>
          <w:i/>
          <w:sz w:val="24"/>
          <w:szCs w:val="28"/>
        </w:rPr>
        <w:t>Cheltuielile privind proiectele finanțate din fonduri externe nerambursabile</w:t>
      </w:r>
      <w:r w:rsidRPr="00F228D9">
        <w:rPr>
          <w:rFonts w:ascii="Tahoma" w:hAnsi="Tahoma" w:cs="Tahoma"/>
          <w:bCs/>
          <w:sz w:val="24"/>
          <w:szCs w:val="28"/>
        </w:rPr>
        <w:t xml:space="preserve"> (inclusiv subvențiile de la Uniunea Europeană aferente agriculturii) au fost de 4,55 mld lei, cu 8,1% mai mari comparativ cu aceeași perioadă a anului precedent.</w:t>
      </w:r>
    </w:p>
    <w:p w:rsidR="007D0985" w:rsidRPr="0070453D" w:rsidRDefault="007D0985" w:rsidP="00C728CC">
      <w:pPr>
        <w:spacing w:before="240" w:after="120" w:line="360" w:lineRule="auto"/>
        <w:jc w:val="both"/>
        <w:rPr>
          <w:rFonts w:ascii="Tahoma" w:hAnsi="Tahoma" w:cs="Tahoma"/>
          <w:sz w:val="24"/>
          <w:szCs w:val="28"/>
        </w:rPr>
      </w:pPr>
      <w:r w:rsidRPr="00F228D9">
        <w:rPr>
          <w:rFonts w:ascii="Tahoma" w:hAnsi="Tahoma" w:cs="Tahoma"/>
          <w:b/>
          <w:i/>
          <w:sz w:val="24"/>
          <w:szCs w:val="28"/>
        </w:rPr>
        <w:t>Cheltuielile pentru investiții</w:t>
      </w:r>
      <w:r w:rsidRPr="00F228D9">
        <w:rPr>
          <w:rFonts w:ascii="Tahoma" w:hAnsi="Tahoma" w:cs="Tahoma"/>
          <w:sz w:val="24"/>
          <w:szCs w:val="28"/>
        </w:rPr>
        <w:t>, care includ cheltuielile de capital, precum și cele aferente programelor de dezvoltare finanțate din surse interne și ex</w:t>
      </w:r>
      <w:r w:rsidR="00696A35">
        <w:rPr>
          <w:rFonts w:ascii="Tahoma" w:hAnsi="Tahoma" w:cs="Tahoma"/>
          <w:sz w:val="24"/>
          <w:szCs w:val="28"/>
        </w:rPr>
        <w:t>terne, au fost în valoare de 5,85</w:t>
      </w:r>
      <w:r w:rsidRPr="00F228D9">
        <w:rPr>
          <w:rFonts w:ascii="Tahoma" w:hAnsi="Tahoma" w:cs="Tahoma"/>
          <w:sz w:val="24"/>
          <w:szCs w:val="28"/>
        </w:rPr>
        <w:t xml:space="preserve"> mld lei</w:t>
      </w:r>
      <w:r w:rsidR="00696A35">
        <w:rPr>
          <w:rFonts w:ascii="Tahoma" w:hAnsi="Tahoma" w:cs="Tahoma"/>
          <w:sz w:val="24"/>
          <w:szCs w:val="28"/>
        </w:rPr>
        <w:t>, cu 20,4% mai mult decât aceeași perioadă a anului precedent</w:t>
      </w:r>
      <w:r w:rsidRPr="00F228D9">
        <w:rPr>
          <w:rFonts w:ascii="Tahoma" w:hAnsi="Tahoma" w:cs="Tahoma"/>
          <w:sz w:val="24"/>
          <w:szCs w:val="28"/>
        </w:rPr>
        <w:t>. În cadrul bugetului general consolidat, majorările apar la bugetul de stat și la bugetele locale atât din fonduri naționale, cât și aferente proiectelor finanțate din fonduri externe nerambursabile.</w:t>
      </w:r>
      <w:r w:rsidR="003700C3">
        <w:rPr>
          <w:rFonts w:ascii="Tahoma" w:hAnsi="Tahoma" w:cs="Tahoma"/>
          <w:sz w:val="24"/>
          <w:szCs w:val="28"/>
        </w:rPr>
        <w:t xml:space="preserve"> De asemenea</w:t>
      </w:r>
      <w:r w:rsidR="0070453D">
        <w:rPr>
          <w:rFonts w:ascii="Tahoma" w:hAnsi="Tahoma" w:cs="Tahoma"/>
          <w:sz w:val="24"/>
          <w:szCs w:val="28"/>
        </w:rPr>
        <w:t>, în luna martie, din bugetul Ministerului Afacerilor Interne s-au plătit 154,7 milioane lei pentruachiziționarea</w:t>
      </w:r>
      <w:r w:rsidR="003700C3" w:rsidRPr="003700C3">
        <w:rPr>
          <w:rFonts w:ascii="Tahoma" w:hAnsi="Tahoma" w:cs="Tahoma"/>
          <w:sz w:val="24"/>
          <w:szCs w:val="28"/>
        </w:rPr>
        <w:t xml:space="preserve"> de produse </w:t>
      </w:r>
      <w:r w:rsidR="0070453D">
        <w:rPr>
          <w:rFonts w:ascii="Tahoma" w:hAnsi="Tahoma" w:cs="Tahoma"/>
          <w:sz w:val="24"/>
          <w:szCs w:val="28"/>
        </w:rPr>
        <w:t xml:space="preserve">- </w:t>
      </w:r>
      <w:r w:rsidR="003700C3" w:rsidRPr="003700C3">
        <w:rPr>
          <w:rFonts w:ascii="Tahoma" w:hAnsi="Tahoma" w:cs="Tahoma"/>
          <w:sz w:val="24"/>
          <w:szCs w:val="28"/>
        </w:rPr>
        <w:t xml:space="preserve">stocuri de </w:t>
      </w:r>
      <w:r w:rsidR="0070453D" w:rsidRPr="003700C3">
        <w:rPr>
          <w:rFonts w:ascii="Tahoma" w:hAnsi="Tahoma" w:cs="Tahoma"/>
          <w:sz w:val="24"/>
          <w:szCs w:val="28"/>
        </w:rPr>
        <w:t>urgență</w:t>
      </w:r>
      <w:r w:rsidR="0070453D">
        <w:rPr>
          <w:rFonts w:ascii="Tahoma" w:hAnsi="Tahoma" w:cs="Tahoma"/>
          <w:sz w:val="24"/>
          <w:szCs w:val="28"/>
        </w:rPr>
        <w:t>medicală, inclusiv scannere</w:t>
      </w:r>
      <w:r w:rsidR="003700C3" w:rsidRPr="003700C3">
        <w:rPr>
          <w:rFonts w:ascii="Tahoma" w:hAnsi="Tahoma" w:cs="Tahoma"/>
          <w:sz w:val="24"/>
          <w:szCs w:val="28"/>
        </w:rPr>
        <w:t xml:space="preserve"> termice</w:t>
      </w:r>
      <w:r w:rsidR="0070453D" w:rsidRPr="0070453D">
        <w:rPr>
          <w:rFonts w:ascii="Tahoma" w:hAnsi="Tahoma" w:cs="Tahoma"/>
          <w:sz w:val="24"/>
          <w:szCs w:val="28"/>
        </w:rPr>
        <w:t>pentru combaterea răspândirii infecției cu coronavirusul SARS-COV-2</w:t>
      </w:r>
      <w:r w:rsidR="0070453D">
        <w:rPr>
          <w:rFonts w:ascii="Tahoma" w:hAnsi="Tahoma" w:cs="Tahoma"/>
          <w:sz w:val="24"/>
          <w:szCs w:val="28"/>
        </w:rPr>
        <w:t>.</w:t>
      </w:r>
    </w:p>
    <w:p w:rsidR="00C728CC" w:rsidRDefault="00C728CC" w:rsidP="007D0985">
      <w:pPr>
        <w:pStyle w:val="ListParagraph"/>
        <w:spacing w:line="360" w:lineRule="auto"/>
        <w:jc w:val="both"/>
        <w:rPr>
          <w:rFonts w:ascii="Tahoma" w:hAnsi="Tahoma" w:cs="Tahoma"/>
          <w:color w:val="767171" w:themeColor="background2" w:themeShade="80"/>
          <w:sz w:val="20"/>
          <w:szCs w:val="24"/>
        </w:rPr>
      </w:pPr>
    </w:p>
    <w:p w:rsidR="00C728CC" w:rsidRDefault="00C728CC" w:rsidP="007D0985">
      <w:pPr>
        <w:pStyle w:val="ListParagraph"/>
        <w:spacing w:line="360" w:lineRule="auto"/>
        <w:jc w:val="both"/>
        <w:rPr>
          <w:rFonts w:ascii="Tahoma" w:hAnsi="Tahoma" w:cs="Tahoma"/>
          <w:color w:val="767171" w:themeColor="background2" w:themeShade="80"/>
          <w:sz w:val="20"/>
          <w:szCs w:val="24"/>
        </w:rPr>
      </w:pPr>
    </w:p>
    <w:p w:rsidR="00C728CC" w:rsidRDefault="00C728CC" w:rsidP="007D0985">
      <w:pPr>
        <w:pStyle w:val="ListParagraph"/>
        <w:spacing w:line="360" w:lineRule="auto"/>
        <w:jc w:val="both"/>
        <w:rPr>
          <w:rFonts w:ascii="Tahoma" w:hAnsi="Tahoma" w:cs="Tahoma"/>
          <w:color w:val="767171" w:themeColor="background2" w:themeShade="80"/>
          <w:sz w:val="20"/>
          <w:szCs w:val="24"/>
        </w:rPr>
      </w:pPr>
      <w:r>
        <w:rPr>
          <w:noProof/>
          <w:lang w:eastAsia="ro-RO"/>
        </w:rPr>
        <w:lastRenderedPageBreak/>
        <w:drawing>
          <wp:inline distT="0" distB="0" distL="0" distR="0">
            <wp:extent cx="5647765" cy="3574415"/>
            <wp:effectExtent l="114300" t="114300" r="105410" b="1212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0985" w:rsidRPr="00F228D9" w:rsidRDefault="007D0985" w:rsidP="007D0985">
      <w:pPr>
        <w:pStyle w:val="ListParagraph"/>
        <w:spacing w:line="360" w:lineRule="auto"/>
        <w:jc w:val="both"/>
        <w:rPr>
          <w:rFonts w:ascii="Tahoma" w:hAnsi="Tahoma" w:cs="Tahoma"/>
          <w:color w:val="767171" w:themeColor="background2" w:themeShade="80"/>
          <w:sz w:val="20"/>
          <w:szCs w:val="24"/>
        </w:rPr>
      </w:pPr>
      <w:r w:rsidRPr="00F228D9">
        <w:rPr>
          <w:rFonts w:ascii="Tahoma" w:hAnsi="Tahoma" w:cs="Tahoma"/>
          <w:color w:val="767171" w:themeColor="background2" w:themeShade="80"/>
          <w:sz w:val="20"/>
          <w:szCs w:val="24"/>
        </w:rPr>
        <w:t xml:space="preserve">  Sursa: MFP</w:t>
      </w:r>
    </w:p>
    <w:p w:rsidR="007D0985" w:rsidRDefault="007D0985" w:rsidP="00C92DEA">
      <w:pPr>
        <w:pStyle w:val="ListParagraph"/>
        <w:spacing w:line="360" w:lineRule="auto"/>
        <w:ind w:left="0"/>
        <w:jc w:val="center"/>
        <w:rPr>
          <w:rFonts w:ascii="Tahoma" w:hAnsi="Tahoma" w:cs="Tahoma"/>
          <w:b/>
          <w:color w:val="767171" w:themeColor="background2" w:themeShade="80"/>
          <w:szCs w:val="28"/>
        </w:rPr>
      </w:pPr>
      <w:r w:rsidRPr="00F228D9">
        <w:rPr>
          <w:rFonts w:ascii="Tahoma" w:hAnsi="Tahoma" w:cs="Tahoma"/>
          <w:b/>
          <w:color w:val="767171" w:themeColor="background2" w:themeShade="80"/>
          <w:szCs w:val="28"/>
        </w:rPr>
        <w:t>Fig. 5 Structura cheltuielilor de investiții</w:t>
      </w:r>
    </w:p>
    <w:p w:rsidR="002E593E" w:rsidRPr="00F228D9" w:rsidRDefault="002E593E" w:rsidP="00C92DEA">
      <w:pPr>
        <w:pStyle w:val="ListParagraph"/>
        <w:spacing w:line="360" w:lineRule="auto"/>
        <w:ind w:left="0"/>
        <w:rPr>
          <w:rFonts w:ascii="Tahoma" w:hAnsi="Tahoma" w:cs="Tahoma"/>
          <w:b/>
          <w:color w:val="767171" w:themeColor="background2" w:themeShade="80"/>
          <w:szCs w:val="28"/>
        </w:rPr>
      </w:pPr>
    </w:p>
    <w:p w:rsidR="00C77514" w:rsidRPr="00F228D9" w:rsidRDefault="00C77514" w:rsidP="007D0985">
      <w:pPr>
        <w:rPr>
          <w:rFonts w:ascii="Tahoma" w:hAnsi="Tahoma" w:cs="Tahoma"/>
          <w:noProof/>
          <w:sz w:val="24"/>
          <w:szCs w:val="28"/>
        </w:rPr>
        <w:sectPr w:rsidR="00C77514" w:rsidRPr="00F228D9" w:rsidSect="00526E8B">
          <w:footerReference w:type="default" r:id="rId13"/>
          <w:pgSz w:w="12240" w:h="15840"/>
          <w:pgMar w:top="1170" w:right="1260" w:bottom="1440" w:left="1170" w:header="720" w:footer="720" w:gutter="0"/>
          <w:cols w:space="720"/>
          <w:docGrid w:linePitch="360"/>
        </w:sectPr>
      </w:pPr>
    </w:p>
    <w:p w:rsidR="003E621C" w:rsidRDefault="003E621C" w:rsidP="000C7AF8">
      <w:pPr>
        <w:spacing w:before="240" w:after="120" w:line="360" w:lineRule="auto"/>
        <w:jc w:val="both"/>
      </w:pPr>
      <w:r w:rsidRPr="003E621C">
        <w:rPr>
          <w:noProof/>
          <w:lang w:eastAsia="ro-RO"/>
        </w:rPr>
        <w:lastRenderedPageBreak/>
        <w:drawing>
          <wp:inline distT="0" distB="0" distL="0" distR="0">
            <wp:extent cx="8402320" cy="56268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02320" cy="5626832"/>
                    </a:xfrm>
                    <a:prstGeom prst="rect">
                      <a:avLst/>
                    </a:prstGeom>
                    <a:noFill/>
                    <a:ln>
                      <a:noFill/>
                    </a:ln>
                  </pic:spPr>
                </pic:pic>
              </a:graphicData>
            </a:graphic>
          </wp:inline>
        </w:drawing>
      </w:r>
    </w:p>
    <w:p w:rsidR="0043013B" w:rsidRDefault="00426972" w:rsidP="00426972">
      <w:pPr>
        <w:spacing w:before="240" w:after="120" w:line="360" w:lineRule="auto"/>
        <w:jc w:val="both"/>
        <w:rPr>
          <w:rFonts w:ascii="Tahoma" w:hAnsi="Tahoma" w:cs="Tahoma"/>
          <w:sz w:val="24"/>
          <w:szCs w:val="24"/>
        </w:rPr>
        <w:sectPr w:rsidR="0043013B" w:rsidSect="00C77514">
          <w:footerReference w:type="default" r:id="rId15"/>
          <w:pgSz w:w="15840" w:h="12240" w:orient="landscape"/>
          <w:pgMar w:top="1168" w:right="1168" w:bottom="1259" w:left="1440" w:header="720" w:footer="720" w:gutter="0"/>
          <w:cols w:space="720"/>
          <w:docGrid w:linePitch="360"/>
        </w:sectPr>
      </w:pPr>
      <w:r w:rsidRPr="00426972">
        <w:rPr>
          <w:noProof/>
          <w:lang w:eastAsia="ro-RO"/>
        </w:rPr>
        <w:lastRenderedPageBreak/>
        <w:drawing>
          <wp:inline distT="0" distB="0" distL="0" distR="0">
            <wp:extent cx="8402320" cy="3896414"/>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02320" cy="3896414"/>
                    </a:xfrm>
                    <a:prstGeom prst="rect">
                      <a:avLst/>
                    </a:prstGeom>
                    <a:noFill/>
                    <a:ln>
                      <a:noFill/>
                    </a:ln>
                  </pic:spPr>
                </pic:pic>
              </a:graphicData>
            </a:graphic>
          </wp:inline>
        </w:drawing>
      </w:r>
    </w:p>
    <w:p w:rsidR="0043013B" w:rsidRPr="0043013B" w:rsidRDefault="0043013B" w:rsidP="0043013B">
      <w:pPr>
        <w:spacing w:before="240" w:after="120" w:line="360" w:lineRule="auto"/>
        <w:jc w:val="both"/>
        <w:rPr>
          <w:rFonts w:ascii="Tahoma" w:hAnsi="Tahoma" w:cs="Tahoma"/>
          <w:sz w:val="24"/>
          <w:szCs w:val="24"/>
        </w:rPr>
      </w:pPr>
      <w:r w:rsidRPr="00C77514">
        <w:rPr>
          <w:noProof/>
          <w:lang w:eastAsia="ro-RO"/>
        </w:rPr>
        <w:lastRenderedPageBreak/>
        <w:drawing>
          <wp:anchor distT="0" distB="0" distL="114300" distR="114300" simplePos="0" relativeHeight="251658240" behindDoc="0" locked="0" layoutInCell="1" allowOverlap="1">
            <wp:simplePos x="0" y="0"/>
            <wp:positionH relativeFrom="column">
              <wp:posOffset>635</wp:posOffset>
            </wp:positionH>
            <wp:positionV relativeFrom="paragraph">
              <wp:posOffset>74930</wp:posOffset>
            </wp:positionV>
            <wp:extent cx="6227445" cy="6944360"/>
            <wp:effectExtent l="0" t="0" r="1905" b="8890"/>
            <wp:wrapThrough wrapText="bothSides">
              <wp:wrapPolygon edited="0">
                <wp:start x="0" y="0"/>
                <wp:lineTo x="0" y="21568"/>
                <wp:lineTo x="21541" y="21568"/>
                <wp:lineTo x="21541" y="2192"/>
                <wp:lineTo x="20021" y="1896"/>
                <wp:lineTo x="21541" y="1778"/>
                <wp:lineTo x="2154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27445" cy="6944360"/>
                    </a:xfrm>
                    <a:prstGeom prst="rect">
                      <a:avLst/>
                    </a:prstGeom>
                    <a:noFill/>
                    <a:ln>
                      <a:noFill/>
                    </a:ln>
                  </pic:spPr>
                </pic:pic>
              </a:graphicData>
            </a:graphic>
          </wp:anchor>
        </w:drawing>
      </w:r>
    </w:p>
    <w:sectPr w:rsidR="0043013B" w:rsidRPr="0043013B" w:rsidSect="0043013B">
      <w:pgSz w:w="12240" w:h="15840"/>
      <w:pgMar w:top="1166" w:right="1253" w:bottom="1440" w:left="116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2B3" w:rsidRDefault="001D22B3" w:rsidP="006704C5">
      <w:pPr>
        <w:spacing w:after="0" w:line="240" w:lineRule="auto"/>
      </w:pPr>
      <w:r>
        <w:separator/>
      </w:r>
    </w:p>
  </w:endnote>
  <w:endnote w:type="continuationSeparator" w:id="1">
    <w:p w:rsidR="001D22B3" w:rsidRDefault="001D22B3" w:rsidP="00670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5659"/>
      <w:gridCol w:w="4381"/>
    </w:tblGrid>
    <w:tr w:rsidR="007D0985" w:rsidTr="00BA7156">
      <w:trPr>
        <w:trHeight w:hRule="exact" w:val="115"/>
        <w:jc w:val="center"/>
      </w:trPr>
      <w:tc>
        <w:tcPr>
          <w:tcW w:w="5529" w:type="dxa"/>
          <w:shd w:val="clear" w:color="auto" w:fill="5B9BD5" w:themeFill="accent1"/>
          <w:tcMar>
            <w:top w:w="0" w:type="dxa"/>
            <w:bottom w:w="0" w:type="dxa"/>
          </w:tcMar>
        </w:tcPr>
        <w:p w:rsidR="007D0985" w:rsidRDefault="007D0985" w:rsidP="00231361">
          <w:pPr>
            <w:pStyle w:val="Header"/>
            <w:tabs>
              <w:tab w:val="clear" w:pos="4680"/>
              <w:tab w:val="clear" w:pos="9360"/>
            </w:tabs>
            <w:rPr>
              <w:caps/>
              <w:sz w:val="18"/>
            </w:rPr>
          </w:pPr>
        </w:p>
      </w:tc>
      <w:tc>
        <w:tcPr>
          <w:tcW w:w="4281" w:type="dxa"/>
          <w:shd w:val="clear" w:color="auto" w:fill="5B9BD5" w:themeFill="accent1"/>
          <w:tcMar>
            <w:top w:w="0" w:type="dxa"/>
            <w:bottom w:w="0" w:type="dxa"/>
          </w:tcMar>
        </w:tcPr>
        <w:p w:rsidR="007D0985" w:rsidRDefault="007D0985" w:rsidP="00231361">
          <w:pPr>
            <w:pStyle w:val="Header"/>
            <w:tabs>
              <w:tab w:val="clear" w:pos="4680"/>
              <w:tab w:val="clear" w:pos="9360"/>
            </w:tabs>
            <w:jc w:val="right"/>
            <w:rPr>
              <w:caps/>
              <w:sz w:val="18"/>
            </w:rPr>
          </w:pPr>
        </w:p>
      </w:tc>
    </w:tr>
    <w:tr w:rsidR="007D0985" w:rsidTr="00BA7156">
      <w:trPr>
        <w:trHeight w:hRule="exact" w:val="115"/>
        <w:jc w:val="center"/>
      </w:trPr>
      <w:tc>
        <w:tcPr>
          <w:tcW w:w="5529" w:type="dxa"/>
          <w:shd w:val="clear" w:color="auto" w:fill="5B9BD5" w:themeFill="accent1"/>
          <w:tcMar>
            <w:top w:w="0" w:type="dxa"/>
            <w:bottom w:w="0" w:type="dxa"/>
          </w:tcMar>
        </w:tcPr>
        <w:p w:rsidR="007D0985" w:rsidRDefault="007D0985" w:rsidP="00231361">
          <w:pPr>
            <w:pStyle w:val="Header"/>
            <w:tabs>
              <w:tab w:val="clear" w:pos="4680"/>
              <w:tab w:val="clear" w:pos="9360"/>
            </w:tabs>
            <w:rPr>
              <w:caps/>
              <w:sz w:val="18"/>
            </w:rPr>
          </w:pPr>
        </w:p>
      </w:tc>
      <w:tc>
        <w:tcPr>
          <w:tcW w:w="4281" w:type="dxa"/>
          <w:shd w:val="clear" w:color="auto" w:fill="5B9BD5" w:themeFill="accent1"/>
          <w:tcMar>
            <w:top w:w="0" w:type="dxa"/>
            <w:bottom w:w="0" w:type="dxa"/>
          </w:tcMar>
        </w:tcPr>
        <w:p w:rsidR="007D0985" w:rsidRDefault="007D0985" w:rsidP="00231361">
          <w:pPr>
            <w:pStyle w:val="Header"/>
            <w:tabs>
              <w:tab w:val="clear" w:pos="4680"/>
              <w:tab w:val="clear" w:pos="9360"/>
            </w:tabs>
            <w:jc w:val="right"/>
            <w:rPr>
              <w:caps/>
              <w:sz w:val="18"/>
            </w:rPr>
          </w:pPr>
        </w:p>
      </w:tc>
    </w:tr>
    <w:tr w:rsidR="007D0985" w:rsidTr="00BA7156">
      <w:trPr>
        <w:jc w:val="center"/>
      </w:trPr>
      <w:sdt>
        <w:sdtPr>
          <w:rPr>
            <w:rFonts w:ascii="Tahoma" w:hAnsi="Tahoma" w:cs="Tahoma"/>
            <w:caps/>
            <w:color w:val="808080" w:themeColor="background1" w:themeShade="80"/>
            <w:sz w:val="18"/>
            <w:szCs w:val="18"/>
          </w:rPr>
          <w:alias w:val="Author"/>
          <w:tag w:val=""/>
          <w:id w:val="652953093"/>
          <w:placeholder>
            <w:docPart w:val="F8C64A9800D0422085EDA2283C482DCF"/>
          </w:placeholder>
          <w:dataBinding w:prefixMappings="xmlns:ns0='http://purl.org/dc/elements/1.1/' xmlns:ns1='http://schemas.openxmlformats.org/package/2006/metadata/core-properties' " w:xpath="/ns1:coreProperties[1]/ns0:creator[1]" w:storeItemID="{6C3C8BC8-F283-45AE-878A-BAB7291924A1}"/>
          <w:text/>
        </w:sdtPr>
        <w:sdtContent>
          <w:tc>
            <w:tcPr>
              <w:tcW w:w="5529" w:type="dxa"/>
              <w:shd w:val="clear" w:color="auto" w:fill="auto"/>
              <w:vAlign w:val="center"/>
            </w:tcPr>
            <w:p w:rsidR="007D0985" w:rsidRPr="00CA4A92" w:rsidRDefault="000842A5" w:rsidP="005010B5">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ExecuȚ</w:t>
              </w:r>
              <w:r w:rsidR="007D0985">
                <w:rPr>
                  <w:rFonts w:ascii="Tahoma" w:hAnsi="Tahoma" w:cs="Tahoma"/>
                  <w:caps/>
                  <w:color w:val="808080" w:themeColor="background1" w:themeShade="80"/>
                  <w:sz w:val="18"/>
                  <w:szCs w:val="18"/>
                </w:rPr>
                <w:t xml:space="preserve">ie buget general consolidat | </w:t>
              </w:r>
              <w:r w:rsidR="0088400F">
                <w:rPr>
                  <w:rFonts w:ascii="Tahoma" w:hAnsi="Tahoma" w:cs="Tahoma"/>
                  <w:caps/>
                  <w:color w:val="808080" w:themeColor="background1" w:themeShade="80"/>
                  <w:sz w:val="18"/>
                  <w:szCs w:val="18"/>
                </w:rPr>
                <w:t xml:space="preserve">31 </w:t>
              </w:r>
              <w:r w:rsidR="007D0985">
                <w:rPr>
                  <w:rFonts w:ascii="Tahoma" w:hAnsi="Tahoma" w:cs="Tahoma"/>
                  <w:caps/>
                  <w:color w:val="808080" w:themeColor="background1" w:themeShade="80"/>
                  <w:sz w:val="18"/>
                  <w:szCs w:val="18"/>
                </w:rPr>
                <w:t>martie 2020</w:t>
              </w:r>
            </w:p>
          </w:tc>
        </w:sdtContent>
      </w:sdt>
      <w:tc>
        <w:tcPr>
          <w:tcW w:w="4281" w:type="dxa"/>
          <w:shd w:val="clear" w:color="auto" w:fill="auto"/>
          <w:vAlign w:val="center"/>
        </w:tcPr>
        <w:p w:rsidR="007D0985" w:rsidRPr="00CA4A92" w:rsidRDefault="00515DA7" w:rsidP="00231361">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7D0985"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AF0F5C">
            <w:rPr>
              <w:rFonts w:ascii="Tahoma" w:hAnsi="Tahoma" w:cs="Tahoma"/>
              <w:caps/>
              <w:noProof/>
              <w:color w:val="808080" w:themeColor="background1" w:themeShade="80"/>
              <w:sz w:val="18"/>
              <w:szCs w:val="18"/>
            </w:rPr>
            <w:t>3</w:t>
          </w:r>
          <w:r w:rsidRPr="00CA4A92">
            <w:rPr>
              <w:rFonts w:ascii="Tahoma" w:hAnsi="Tahoma" w:cs="Tahoma"/>
              <w:caps/>
              <w:noProof/>
              <w:color w:val="808080" w:themeColor="background1" w:themeShade="80"/>
              <w:sz w:val="18"/>
              <w:szCs w:val="18"/>
            </w:rPr>
            <w:fldChar w:fldCharType="end"/>
          </w:r>
        </w:p>
      </w:tc>
    </w:tr>
  </w:tbl>
  <w:p w:rsidR="007D0985" w:rsidRDefault="007D09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737" w:type="pct"/>
      <w:tblInd w:w="-1166" w:type="dxa"/>
      <w:tblCellMar>
        <w:top w:w="144" w:type="dxa"/>
        <w:left w:w="115" w:type="dxa"/>
        <w:bottom w:w="144" w:type="dxa"/>
        <w:right w:w="115" w:type="dxa"/>
      </w:tblCellMar>
      <w:tblLook w:val="04A0"/>
    </w:tblPr>
    <w:tblGrid>
      <w:gridCol w:w="10224"/>
      <w:gridCol w:w="7915"/>
    </w:tblGrid>
    <w:tr w:rsidR="00231361" w:rsidTr="00E0129F">
      <w:trPr>
        <w:trHeight w:hRule="exact" w:val="115"/>
      </w:trPr>
      <w:tc>
        <w:tcPr>
          <w:tcW w:w="7458" w:type="dxa"/>
          <w:shd w:val="clear" w:color="auto" w:fill="5B9BD5" w:themeFill="accent1"/>
          <w:tcMar>
            <w:top w:w="0" w:type="dxa"/>
            <w:bottom w:w="0" w:type="dxa"/>
          </w:tcMar>
        </w:tcPr>
        <w:p w:rsidR="00231361" w:rsidRDefault="00231361" w:rsidP="00E0129F">
          <w:pPr>
            <w:pStyle w:val="Header"/>
            <w:tabs>
              <w:tab w:val="clear" w:pos="4680"/>
              <w:tab w:val="clear" w:pos="9360"/>
            </w:tabs>
            <w:ind w:left="963"/>
            <w:rPr>
              <w:caps/>
              <w:sz w:val="18"/>
            </w:rPr>
          </w:pPr>
        </w:p>
      </w:tc>
      <w:tc>
        <w:tcPr>
          <w:tcW w:w="5774" w:type="dxa"/>
          <w:shd w:val="clear" w:color="auto" w:fill="5B9BD5" w:themeFill="accent1"/>
          <w:tcMar>
            <w:top w:w="0" w:type="dxa"/>
            <w:bottom w:w="0" w:type="dxa"/>
          </w:tcMar>
        </w:tcPr>
        <w:p w:rsidR="00231361" w:rsidRDefault="00231361" w:rsidP="00231361">
          <w:pPr>
            <w:pStyle w:val="Header"/>
            <w:tabs>
              <w:tab w:val="clear" w:pos="4680"/>
              <w:tab w:val="clear" w:pos="9360"/>
            </w:tabs>
            <w:jc w:val="right"/>
            <w:rPr>
              <w:caps/>
              <w:sz w:val="18"/>
            </w:rPr>
          </w:pPr>
        </w:p>
      </w:tc>
    </w:tr>
    <w:tr w:rsidR="00231361" w:rsidTr="00E0129F">
      <w:trPr>
        <w:trHeight w:hRule="exact" w:val="115"/>
      </w:trPr>
      <w:tc>
        <w:tcPr>
          <w:tcW w:w="7458" w:type="dxa"/>
          <w:shd w:val="clear" w:color="auto" w:fill="5B9BD5" w:themeFill="accent1"/>
          <w:tcMar>
            <w:top w:w="0" w:type="dxa"/>
            <w:bottom w:w="0" w:type="dxa"/>
          </w:tcMar>
        </w:tcPr>
        <w:p w:rsidR="00231361" w:rsidRDefault="00231361" w:rsidP="00231361">
          <w:pPr>
            <w:pStyle w:val="Header"/>
            <w:tabs>
              <w:tab w:val="clear" w:pos="4680"/>
              <w:tab w:val="clear" w:pos="9360"/>
            </w:tabs>
            <w:rPr>
              <w:caps/>
              <w:sz w:val="18"/>
            </w:rPr>
          </w:pPr>
        </w:p>
      </w:tc>
      <w:tc>
        <w:tcPr>
          <w:tcW w:w="5774" w:type="dxa"/>
          <w:shd w:val="clear" w:color="auto" w:fill="5B9BD5" w:themeFill="accent1"/>
          <w:tcMar>
            <w:top w:w="0" w:type="dxa"/>
            <w:bottom w:w="0" w:type="dxa"/>
          </w:tcMar>
        </w:tcPr>
        <w:p w:rsidR="00231361" w:rsidRDefault="00231361" w:rsidP="00231361">
          <w:pPr>
            <w:pStyle w:val="Header"/>
            <w:tabs>
              <w:tab w:val="clear" w:pos="4680"/>
              <w:tab w:val="clear" w:pos="9360"/>
            </w:tabs>
            <w:jc w:val="right"/>
            <w:rPr>
              <w:caps/>
              <w:sz w:val="18"/>
            </w:rPr>
          </w:pPr>
        </w:p>
      </w:tc>
    </w:tr>
    <w:tr w:rsidR="00231361" w:rsidTr="00E0129F">
      <w:sdt>
        <w:sdtPr>
          <w:rPr>
            <w:rFonts w:ascii="Tahoma" w:hAnsi="Tahoma" w:cs="Tahoma"/>
            <w:caps/>
            <w:color w:val="808080" w:themeColor="background1" w:themeShade="80"/>
            <w:sz w:val="18"/>
            <w:szCs w:val="18"/>
          </w:rPr>
          <w:alias w:val="Author"/>
          <w:tag w:val=""/>
          <w:id w:val="745539962"/>
          <w:placeholder>
            <w:docPart w:val="F8C64A9800D0422085EDA2283C482DCF"/>
          </w:placeholder>
          <w:dataBinding w:prefixMappings="xmlns:ns0='http://purl.org/dc/elements/1.1/' xmlns:ns1='http://schemas.openxmlformats.org/package/2006/metadata/core-properties' " w:xpath="/ns1:coreProperties[1]/ns0:creator[1]" w:storeItemID="{6C3C8BC8-F283-45AE-878A-BAB7291924A1}"/>
          <w:text/>
        </w:sdtPr>
        <w:sdtContent>
          <w:tc>
            <w:tcPr>
              <w:tcW w:w="7458" w:type="dxa"/>
              <w:shd w:val="clear" w:color="auto" w:fill="auto"/>
              <w:vAlign w:val="center"/>
            </w:tcPr>
            <w:p w:rsidR="00231361" w:rsidRPr="00CA4A92" w:rsidRDefault="000842A5" w:rsidP="00CC04B4">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ExecuȚie buget general consolidat | 31 martie 2020</w:t>
              </w:r>
            </w:p>
          </w:tc>
        </w:sdtContent>
      </w:sdt>
      <w:tc>
        <w:tcPr>
          <w:tcW w:w="5774" w:type="dxa"/>
          <w:shd w:val="clear" w:color="auto" w:fill="auto"/>
          <w:vAlign w:val="center"/>
        </w:tcPr>
        <w:p w:rsidR="00231361" w:rsidRPr="00CA4A92" w:rsidRDefault="00515DA7" w:rsidP="00231361">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231361"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AF0F5C">
            <w:rPr>
              <w:rFonts w:ascii="Tahoma" w:hAnsi="Tahoma" w:cs="Tahoma"/>
              <w:caps/>
              <w:noProof/>
              <w:color w:val="808080" w:themeColor="background1" w:themeShade="80"/>
              <w:sz w:val="18"/>
              <w:szCs w:val="18"/>
            </w:rPr>
            <w:t>11</w:t>
          </w:r>
          <w:r w:rsidRPr="00CA4A92">
            <w:rPr>
              <w:rFonts w:ascii="Tahoma" w:hAnsi="Tahoma" w:cs="Tahoma"/>
              <w:caps/>
              <w:noProof/>
              <w:color w:val="808080" w:themeColor="background1" w:themeShade="80"/>
              <w:sz w:val="18"/>
              <w:szCs w:val="18"/>
            </w:rPr>
            <w:fldChar w:fldCharType="end"/>
          </w:r>
        </w:p>
      </w:tc>
    </w:tr>
  </w:tbl>
  <w:p w:rsidR="00231361" w:rsidRDefault="00231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2B3" w:rsidRDefault="001D22B3" w:rsidP="006704C5">
      <w:pPr>
        <w:spacing w:after="0" w:line="240" w:lineRule="auto"/>
      </w:pPr>
      <w:r>
        <w:separator/>
      </w:r>
    </w:p>
  </w:footnote>
  <w:footnote w:type="continuationSeparator" w:id="1">
    <w:p w:rsidR="001D22B3" w:rsidRDefault="001D22B3" w:rsidP="006704C5">
      <w:pPr>
        <w:spacing w:after="0" w:line="240" w:lineRule="auto"/>
      </w:pPr>
      <w:r>
        <w:continuationSeparator/>
      </w:r>
    </w:p>
  </w:footnote>
  <w:footnote w:id="2">
    <w:p w:rsidR="00A811A1" w:rsidRDefault="00A811A1" w:rsidP="00AF2145">
      <w:pPr>
        <w:pStyle w:val="FootnoteText"/>
        <w:jc w:val="both"/>
      </w:pPr>
      <w:r>
        <w:rPr>
          <w:rStyle w:val="FootnoteReference"/>
        </w:rPr>
        <w:footnoteRef/>
      </w:r>
      <w:r w:rsidRPr="00AF2145">
        <w:rPr>
          <w:rFonts w:ascii="Tahoma" w:hAnsi="Tahoma" w:cs="Tahoma"/>
          <w:color w:val="000000" w:themeColor="text1"/>
        </w:rPr>
        <w:t xml:space="preserve">facilitate acordată prin OUG </w:t>
      </w:r>
      <w:r w:rsidRPr="00AF2145">
        <w:rPr>
          <w:rFonts w:ascii="Tahoma" w:hAnsi="Tahoma" w:cs="Tahoma"/>
        </w:rPr>
        <w:t>nr.29/2020</w:t>
      </w:r>
      <w:r w:rsidR="00AF2145" w:rsidRPr="00AF2145">
        <w:rPr>
          <w:rFonts w:ascii="Tahoma" w:hAnsi="Tahoma" w:cs="Tahoma"/>
          <w:bCs/>
          <w:noProof/>
          <w:kern w:val="1"/>
          <w:lang w:eastAsia="ro-RO"/>
        </w:rPr>
        <w:t>privind unele masuri economice si fiscal bugetare</w:t>
      </w:r>
      <w:r w:rsidR="00AF2145" w:rsidRPr="00AF2145">
        <w:rPr>
          <w:rFonts w:ascii="Tahoma" w:hAnsi="Tahoma" w:cs="Tahoma"/>
          <w:bCs/>
          <w:noProof/>
          <w:lang w:eastAsia="ro-RO"/>
        </w:rPr>
        <w:t xml:space="preserve">, pentru sprijinirea mediului de afaceri, </w:t>
      </w:r>
      <w:r w:rsidR="00633E45">
        <w:rPr>
          <w:rFonts w:ascii="Tahoma" w:hAnsi="Tahoma" w:cs="Tahoma"/>
          <w:bCs/>
          <w:noProof/>
          <w:lang w:eastAsia="ro-RO"/>
        </w:rPr>
        <w:t xml:space="preserve">prin care </w:t>
      </w:r>
      <w:r w:rsidR="00AF2145" w:rsidRPr="00AF2145">
        <w:rPr>
          <w:rFonts w:ascii="Tahoma" w:hAnsi="Tahoma" w:cs="Tahoma"/>
          <w:bCs/>
          <w:noProof/>
          <w:lang w:eastAsia="ro-RO"/>
        </w:rPr>
        <w:t xml:space="preserve">nu se calculează și nu se datorează dobânzi și penalități de întârziere pentru obligațiile fiscale </w:t>
      </w:r>
      <w:r w:rsidR="00AF2145" w:rsidRPr="00AF5A15">
        <w:rPr>
          <w:rFonts w:ascii="Tahoma" w:hAnsi="Tahoma" w:cs="Tahoma"/>
          <w:bCs/>
          <w:noProof/>
          <w:lang w:eastAsia="ro-RO"/>
        </w:rPr>
        <w:t>scadente</w:t>
      </w:r>
      <w:r w:rsidR="00D37654" w:rsidRPr="00AF5A15">
        <w:rPr>
          <w:rFonts w:ascii="Tahoma" w:hAnsi="Tahoma" w:cs="Tahoma"/>
          <w:bCs/>
          <w:noProof/>
          <w:lang w:eastAsia="ro-RO"/>
        </w:rPr>
        <w:t>î</w:t>
      </w:r>
      <w:r w:rsidR="00AF2145" w:rsidRPr="00AF5A15">
        <w:rPr>
          <w:rFonts w:ascii="Tahoma" w:hAnsi="Tahoma" w:cs="Tahoma"/>
          <w:bCs/>
          <w:noProof/>
          <w:kern w:val="1"/>
          <w:lang w:eastAsia="ro-RO"/>
        </w:rPr>
        <w:t>ncep</w:t>
      </w:r>
      <w:r w:rsidR="00D37654" w:rsidRPr="00AF5A15">
        <w:rPr>
          <w:rFonts w:ascii="Tahoma" w:hAnsi="Tahoma" w:cs="Tahoma"/>
          <w:bCs/>
          <w:noProof/>
          <w:kern w:val="1"/>
          <w:lang w:eastAsia="ro-RO"/>
        </w:rPr>
        <w:t>â</w:t>
      </w:r>
      <w:r w:rsidR="00AF2145" w:rsidRPr="00AF5A15">
        <w:rPr>
          <w:rFonts w:ascii="Tahoma" w:hAnsi="Tahoma" w:cs="Tahoma"/>
          <w:bCs/>
          <w:noProof/>
          <w:kern w:val="1"/>
          <w:lang w:eastAsia="ro-RO"/>
        </w:rPr>
        <w:t>nd</w:t>
      </w:r>
      <w:r w:rsidR="00AF2145" w:rsidRPr="00AF2145">
        <w:rPr>
          <w:rFonts w:ascii="Tahoma" w:hAnsi="Tahoma" w:cs="Tahoma"/>
          <w:bCs/>
          <w:noProof/>
          <w:kern w:val="1"/>
          <w:lang w:eastAsia="ro-RO"/>
        </w:rPr>
        <w:t xml:space="preserve"> cu data de 21 martie </w:t>
      </w:r>
      <w:r w:rsidR="00AF2145" w:rsidRPr="00AF5A15">
        <w:rPr>
          <w:rFonts w:ascii="Tahoma" w:hAnsi="Tahoma" w:cs="Tahoma"/>
          <w:bCs/>
          <w:noProof/>
          <w:kern w:val="1"/>
          <w:lang w:eastAsia="ro-RO"/>
        </w:rPr>
        <w:t xml:space="preserve">2020 </w:t>
      </w:r>
      <w:r w:rsidR="00D37654" w:rsidRPr="00AF5A15">
        <w:rPr>
          <w:rFonts w:ascii="Tahoma" w:hAnsi="Tahoma" w:cs="Tahoma"/>
          <w:bCs/>
          <w:noProof/>
          <w:kern w:val="1"/>
          <w:lang w:eastAsia="ro-RO"/>
        </w:rPr>
        <w:t>ș</w:t>
      </w:r>
      <w:r w:rsidR="00AF2145" w:rsidRPr="00AF5A15">
        <w:rPr>
          <w:rFonts w:ascii="Tahoma" w:hAnsi="Tahoma" w:cs="Tahoma"/>
          <w:bCs/>
          <w:noProof/>
          <w:kern w:val="1"/>
          <w:lang w:eastAsia="ro-RO"/>
        </w:rPr>
        <w:t>i neachitate</w:t>
      </w:r>
      <w:r w:rsidR="00AF2145" w:rsidRPr="00AF2145">
        <w:rPr>
          <w:rFonts w:ascii="Tahoma" w:hAnsi="Tahoma" w:cs="Tahoma"/>
          <w:bCs/>
          <w:noProof/>
          <w:kern w:val="1"/>
          <w:lang w:eastAsia="ro-RO"/>
        </w:rPr>
        <w:t xml:space="preserve"> p</w:t>
      </w:r>
      <w:r w:rsidR="00D37654">
        <w:rPr>
          <w:rFonts w:ascii="Tahoma" w:hAnsi="Tahoma" w:cs="Tahoma"/>
          <w:bCs/>
          <w:noProof/>
          <w:kern w:val="1"/>
          <w:lang w:eastAsia="ro-RO"/>
        </w:rPr>
        <w:t>â</w:t>
      </w:r>
      <w:r w:rsidR="00AF2145" w:rsidRPr="00AF2145">
        <w:rPr>
          <w:rFonts w:ascii="Tahoma" w:hAnsi="Tahoma" w:cs="Tahoma"/>
          <w:bCs/>
          <w:noProof/>
          <w:kern w:val="1"/>
          <w:lang w:eastAsia="ro-RO"/>
        </w:rPr>
        <w:t>n</w:t>
      </w:r>
      <w:r w:rsidR="00D37654">
        <w:rPr>
          <w:rFonts w:ascii="Tahoma" w:hAnsi="Tahoma" w:cs="Tahoma"/>
          <w:bCs/>
          <w:noProof/>
          <w:kern w:val="1"/>
          <w:lang w:eastAsia="ro-RO"/>
        </w:rPr>
        <w:t>ă</w:t>
      </w:r>
      <w:r w:rsidR="00AF2145" w:rsidRPr="00AF2145">
        <w:rPr>
          <w:rFonts w:ascii="Tahoma" w:hAnsi="Tahoma" w:cs="Tahoma"/>
          <w:bCs/>
          <w:noProof/>
          <w:kern w:val="1"/>
          <w:lang w:eastAsia="ro-RO"/>
        </w:rPr>
        <w:t xml:space="preserve"> la </w:t>
      </w:r>
      <w:r w:rsidR="00D37654">
        <w:rPr>
          <w:rFonts w:ascii="Tahoma" w:hAnsi="Tahoma" w:cs="Tahoma"/>
          <w:bCs/>
          <w:noProof/>
          <w:kern w:val="1"/>
          <w:lang w:eastAsia="ro-RO"/>
        </w:rPr>
        <w:t>î</w:t>
      </w:r>
      <w:r w:rsidR="00AF2145" w:rsidRPr="00AF2145">
        <w:rPr>
          <w:rFonts w:ascii="Tahoma" w:hAnsi="Tahoma" w:cs="Tahoma"/>
          <w:bCs/>
          <w:noProof/>
          <w:kern w:val="1"/>
          <w:lang w:eastAsia="ro-RO"/>
        </w:rPr>
        <w:t>ncetarea st</w:t>
      </w:r>
      <w:r w:rsidR="00D37654">
        <w:rPr>
          <w:rFonts w:ascii="Tahoma" w:hAnsi="Tahoma" w:cs="Tahoma"/>
          <w:bCs/>
          <w:noProof/>
          <w:kern w:val="1"/>
          <w:lang w:eastAsia="ro-RO"/>
        </w:rPr>
        <w:t>ă</w:t>
      </w:r>
      <w:r w:rsidR="00AF2145" w:rsidRPr="00AF2145">
        <w:rPr>
          <w:rFonts w:ascii="Tahoma" w:hAnsi="Tahoma" w:cs="Tahoma"/>
          <w:bCs/>
          <w:noProof/>
          <w:kern w:val="1"/>
          <w:lang w:eastAsia="ro-RO"/>
        </w:rPr>
        <w:t>rii de urgen</w:t>
      </w:r>
      <w:r w:rsidR="00D37654">
        <w:rPr>
          <w:rFonts w:ascii="Tahoma" w:hAnsi="Tahoma" w:cs="Tahoma"/>
          <w:bCs/>
          <w:noProof/>
          <w:kern w:val="1"/>
          <w:lang w:eastAsia="ro-RO"/>
        </w:rPr>
        <w:t>ță</w:t>
      </w:r>
      <w:r w:rsidR="00AF2145">
        <w:rPr>
          <w:rFonts w:ascii="Tahoma" w:hAnsi="Tahoma" w:cs="Tahoma"/>
          <w:bCs/>
          <w:noProof/>
          <w:kern w:val="1"/>
          <w:lang w:eastAsia="ro-RO"/>
        </w:rPr>
        <w:t>.</w:t>
      </w:r>
    </w:p>
  </w:footnote>
  <w:footnote w:id="3">
    <w:p w:rsidR="00F2551A" w:rsidRDefault="00F2551A">
      <w:pPr>
        <w:pStyle w:val="FootnoteText"/>
      </w:pPr>
      <w:r>
        <w:rPr>
          <w:rStyle w:val="FootnoteReference"/>
        </w:rPr>
        <w:footnoteRef/>
      </w:r>
      <w:r w:rsidRPr="00F2551A">
        <w:rPr>
          <w:rFonts w:ascii="Tahoma" w:hAnsi="Tahoma" w:cs="Tahoma"/>
        </w:rPr>
        <w:t>OUG nr.29/2020 şi prorogarea termenului de plată a declarației unice privind impozitul pe venit și contribuțiile sociale datorate de persoanele fizice de la 15 martie 2020 la 25 mai 2020.</w:t>
      </w:r>
    </w:p>
  </w:footnote>
  <w:footnote w:id="4">
    <w:p w:rsidR="00020D5F" w:rsidRDefault="00020D5F" w:rsidP="00020D5F">
      <w:pPr>
        <w:pStyle w:val="FootnoteText"/>
        <w:jc w:val="both"/>
      </w:pPr>
      <w:r>
        <w:rPr>
          <w:rStyle w:val="FootnoteReference"/>
        </w:rPr>
        <w:footnoteRef/>
      </w:r>
      <w:r w:rsidRPr="00CC1F6A">
        <w:rPr>
          <w:rFonts w:ascii="Tahoma" w:hAnsi="Tahoma" w:cs="Tahoma"/>
        </w:rPr>
        <w:t xml:space="preserve">În luna martie 2020 restituirile de TVA au crescut la 3,94 mld lei </w:t>
      </w:r>
      <w:r w:rsidRPr="00CC1F6A">
        <w:rPr>
          <w:rFonts w:ascii="Tahoma" w:hAnsi="Tahoma" w:cs="Tahoma"/>
          <w:color w:val="000000" w:themeColor="text1"/>
        </w:rPr>
        <w:t>(7,15mld lei în primul trimestru din 2020 comparativ cu 3,98 mld lei în perioada corespunzătoare a anului trecut)</w:t>
      </w:r>
      <w:r w:rsidRPr="00CC1F6A">
        <w:rPr>
          <w:rFonts w:ascii="Tahoma" w:hAnsi="Tahoma" w:cs="Tahoma"/>
        </w:rPr>
        <w:t xml:space="preserve">pentru a asigura un nivel de lichiditate </w:t>
      </w:r>
      <w:r>
        <w:rPr>
          <w:rFonts w:ascii="Tahoma" w:hAnsi="Tahoma" w:cs="Tahoma"/>
        </w:rPr>
        <w:t>suplimentar pentru companii pe perioada stării de urgență</w:t>
      </w:r>
      <w:r w:rsidRPr="00CC1F6A">
        <w:rPr>
          <w:rFonts w:ascii="Tahoma" w:hAnsi="Tahoma" w:cs="Tahoma"/>
        </w:rPr>
        <w:t xml:space="preserve">. </w:t>
      </w:r>
    </w:p>
  </w:footnote>
  <w:footnote w:id="5">
    <w:p w:rsidR="0063711C" w:rsidRDefault="0063711C" w:rsidP="0063711C">
      <w:pPr>
        <w:pStyle w:val="FootnoteText"/>
        <w:jc w:val="both"/>
      </w:pPr>
      <w:r>
        <w:rPr>
          <w:rStyle w:val="FootnoteReference"/>
        </w:rPr>
        <w:footnoteRef/>
      </w:r>
      <w:r w:rsidRPr="0063711C">
        <w:rPr>
          <w:rFonts w:ascii="Tahoma" w:hAnsi="Tahoma" w:cs="Tahoma"/>
        </w:rPr>
        <w:t>OUG nr. 34/2020 prevede menținerea valabilității documentelor eliberate de instituțiile și autoritățile publice pe perioada stării de urgență, această măsură legislativă generând reduceri pentru o serie de venituri, precum cele din prestări de servicii, din taxe administrative și din eliberări premise.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910F23"/>
    <w:rsid w:val="00001E8C"/>
    <w:rsid w:val="00005729"/>
    <w:rsid w:val="00011138"/>
    <w:rsid w:val="00012C3B"/>
    <w:rsid w:val="000141BF"/>
    <w:rsid w:val="00016F63"/>
    <w:rsid w:val="00017361"/>
    <w:rsid w:val="00020D5F"/>
    <w:rsid w:val="00021A38"/>
    <w:rsid w:val="000248D3"/>
    <w:rsid w:val="00026DEC"/>
    <w:rsid w:val="00032A05"/>
    <w:rsid w:val="00041D0D"/>
    <w:rsid w:val="000434BF"/>
    <w:rsid w:val="00052351"/>
    <w:rsid w:val="000557D4"/>
    <w:rsid w:val="00056BE3"/>
    <w:rsid w:val="000573AD"/>
    <w:rsid w:val="0005779D"/>
    <w:rsid w:val="00061787"/>
    <w:rsid w:val="00062A56"/>
    <w:rsid w:val="0008264F"/>
    <w:rsid w:val="000842A5"/>
    <w:rsid w:val="0008642C"/>
    <w:rsid w:val="000916B5"/>
    <w:rsid w:val="000923D7"/>
    <w:rsid w:val="000942F8"/>
    <w:rsid w:val="000951A2"/>
    <w:rsid w:val="00095242"/>
    <w:rsid w:val="000A2574"/>
    <w:rsid w:val="000A25FA"/>
    <w:rsid w:val="000A3B0F"/>
    <w:rsid w:val="000A4203"/>
    <w:rsid w:val="000A62E1"/>
    <w:rsid w:val="000A7436"/>
    <w:rsid w:val="000B579B"/>
    <w:rsid w:val="000C30DF"/>
    <w:rsid w:val="000C5478"/>
    <w:rsid w:val="000C7AF8"/>
    <w:rsid w:val="000D2B64"/>
    <w:rsid w:val="000D5417"/>
    <w:rsid w:val="000D653B"/>
    <w:rsid w:val="000D6F9B"/>
    <w:rsid w:val="000D7561"/>
    <w:rsid w:val="000F0A63"/>
    <w:rsid w:val="000F10A9"/>
    <w:rsid w:val="000F1E3F"/>
    <w:rsid w:val="000F48B4"/>
    <w:rsid w:val="000F62DB"/>
    <w:rsid w:val="001005D0"/>
    <w:rsid w:val="00107875"/>
    <w:rsid w:val="00122DF5"/>
    <w:rsid w:val="001236DE"/>
    <w:rsid w:val="00125818"/>
    <w:rsid w:val="00141717"/>
    <w:rsid w:val="00142FC5"/>
    <w:rsid w:val="001506F4"/>
    <w:rsid w:val="00153418"/>
    <w:rsid w:val="001535C1"/>
    <w:rsid w:val="00155AFB"/>
    <w:rsid w:val="00156388"/>
    <w:rsid w:val="00163874"/>
    <w:rsid w:val="001648BC"/>
    <w:rsid w:val="00170657"/>
    <w:rsid w:val="001707DC"/>
    <w:rsid w:val="00175AD6"/>
    <w:rsid w:val="0017667A"/>
    <w:rsid w:val="0018055E"/>
    <w:rsid w:val="00180AC2"/>
    <w:rsid w:val="00182B0D"/>
    <w:rsid w:val="001915F6"/>
    <w:rsid w:val="00191CC0"/>
    <w:rsid w:val="001A2254"/>
    <w:rsid w:val="001B1E6F"/>
    <w:rsid w:val="001B20A6"/>
    <w:rsid w:val="001B60DA"/>
    <w:rsid w:val="001B70D2"/>
    <w:rsid w:val="001C52B3"/>
    <w:rsid w:val="001D03AF"/>
    <w:rsid w:val="001D06A7"/>
    <w:rsid w:val="001D22B3"/>
    <w:rsid w:val="001D29DC"/>
    <w:rsid w:val="001D44C7"/>
    <w:rsid w:val="001D65FC"/>
    <w:rsid w:val="001D6927"/>
    <w:rsid w:val="001E4EAE"/>
    <w:rsid w:val="001E6762"/>
    <w:rsid w:val="001F1E8A"/>
    <w:rsid w:val="001F36DD"/>
    <w:rsid w:val="00202269"/>
    <w:rsid w:val="00206989"/>
    <w:rsid w:val="00207E04"/>
    <w:rsid w:val="00210FCE"/>
    <w:rsid w:val="00212F98"/>
    <w:rsid w:val="00214764"/>
    <w:rsid w:val="00217F5C"/>
    <w:rsid w:val="002200B1"/>
    <w:rsid w:val="00220A5A"/>
    <w:rsid w:val="00223065"/>
    <w:rsid w:val="00225829"/>
    <w:rsid w:val="0022634D"/>
    <w:rsid w:val="00231361"/>
    <w:rsid w:val="00231AE5"/>
    <w:rsid w:val="00232E16"/>
    <w:rsid w:val="0023449A"/>
    <w:rsid w:val="00237850"/>
    <w:rsid w:val="00241CAA"/>
    <w:rsid w:val="00244ACB"/>
    <w:rsid w:val="0025301D"/>
    <w:rsid w:val="00253FAE"/>
    <w:rsid w:val="00256949"/>
    <w:rsid w:val="00267D26"/>
    <w:rsid w:val="00272B9B"/>
    <w:rsid w:val="00273697"/>
    <w:rsid w:val="00274B69"/>
    <w:rsid w:val="00274F7D"/>
    <w:rsid w:val="002914A1"/>
    <w:rsid w:val="002915B1"/>
    <w:rsid w:val="0029776C"/>
    <w:rsid w:val="002A7F1B"/>
    <w:rsid w:val="002B01DC"/>
    <w:rsid w:val="002B0F64"/>
    <w:rsid w:val="002B3CC9"/>
    <w:rsid w:val="002B64BB"/>
    <w:rsid w:val="002C1755"/>
    <w:rsid w:val="002C17E1"/>
    <w:rsid w:val="002C50FD"/>
    <w:rsid w:val="002C7C10"/>
    <w:rsid w:val="002D304B"/>
    <w:rsid w:val="002D4811"/>
    <w:rsid w:val="002E36A6"/>
    <w:rsid w:val="002E593E"/>
    <w:rsid w:val="002E7628"/>
    <w:rsid w:val="002F44EA"/>
    <w:rsid w:val="002F4790"/>
    <w:rsid w:val="00302BA3"/>
    <w:rsid w:val="00311431"/>
    <w:rsid w:val="00313230"/>
    <w:rsid w:val="00322A56"/>
    <w:rsid w:val="00335354"/>
    <w:rsid w:val="0033573F"/>
    <w:rsid w:val="00344677"/>
    <w:rsid w:val="003477B4"/>
    <w:rsid w:val="00353276"/>
    <w:rsid w:val="003565E1"/>
    <w:rsid w:val="00356F6A"/>
    <w:rsid w:val="00360906"/>
    <w:rsid w:val="003700C3"/>
    <w:rsid w:val="0037130B"/>
    <w:rsid w:val="00374899"/>
    <w:rsid w:val="003773F4"/>
    <w:rsid w:val="003836BC"/>
    <w:rsid w:val="00391CC2"/>
    <w:rsid w:val="00392457"/>
    <w:rsid w:val="00392E3D"/>
    <w:rsid w:val="0039710E"/>
    <w:rsid w:val="003A18B2"/>
    <w:rsid w:val="003A6D4C"/>
    <w:rsid w:val="003B44A7"/>
    <w:rsid w:val="003C25D1"/>
    <w:rsid w:val="003C28B1"/>
    <w:rsid w:val="003C663D"/>
    <w:rsid w:val="003E621C"/>
    <w:rsid w:val="003F0AE0"/>
    <w:rsid w:val="003F37F1"/>
    <w:rsid w:val="003F4337"/>
    <w:rsid w:val="003F4E84"/>
    <w:rsid w:val="00400409"/>
    <w:rsid w:val="004071E1"/>
    <w:rsid w:val="00407EFE"/>
    <w:rsid w:val="00410E69"/>
    <w:rsid w:val="00414D79"/>
    <w:rsid w:val="00423CAE"/>
    <w:rsid w:val="004246D1"/>
    <w:rsid w:val="00426972"/>
    <w:rsid w:val="0043013B"/>
    <w:rsid w:val="004320A1"/>
    <w:rsid w:val="00432FF1"/>
    <w:rsid w:val="00434C82"/>
    <w:rsid w:val="00452843"/>
    <w:rsid w:val="00452ACC"/>
    <w:rsid w:val="004546CE"/>
    <w:rsid w:val="0048352B"/>
    <w:rsid w:val="00484DB4"/>
    <w:rsid w:val="0048518E"/>
    <w:rsid w:val="004901E4"/>
    <w:rsid w:val="004A1E84"/>
    <w:rsid w:val="004A31C5"/>
    <w:rsid w:val="004B7A33"/>
    <w:rsid w:val="004C373B"/>
    <w:rsid w:val="004C3A0E"/>
    <w:rsid w:val="004C6D1D"/>
    <w:rsid w:val="004D1156"/>
    <w:rsid w:val="004D5422"/>
    <w:rsid w:val="004D6936"/>
    <w:rsid w:val="004E0E38"/>
    <w:rsid w:val="004E0EDE"/>
    <w:rsid w:val="004E126B"/>
    <w:rsid w:val="004E13C1"/>
    <w:rsid w:val="004E2A7B"/>
    <w:rsid w:val="004E3BAE"/>
    <w:rsid w:val="004F2959"/>
    <w:rsid w:val="00503F46"/>
    <w:rsid w:val="0050613A"/>
    <w:rsid w:val="00506D31"/>
    <w:rsid w:val="00506ECF"/>
    <w:rsid w:val="005072F2"/>
    <w:rsid w:val="00511104"/>
    <w:rsid w:val="00515DA7"/>
    <w:rsid w:val="005233AC"/>
    <w:rsid w:val="00526E8B"/>
    <w:rsid w:val="00527A5F"/>
    <w:rsid w:val="005316E8"/>
    <w:rsid w:val="005458DC"/>
    <w:rsid w:val="00547F5F"/>
    <w:rsid w:val="005623F6"/>
    <w:rsid w:val="005656AD"/>
    <w:rsid w:val="00565CBB"/>
    <w:rsid w:val="00571D08"/>
    <w:rsid w:val="00573953"/>
    <w:rsid w:val="00581AF2"/>
    <w:rsid w:val="005842BD"/>
    <w:rsid w:val="0058551F"/>
    <w:rsid w:val="005879EE"/>
    <w:rsid w:val="005922C0"/>
    <w:rsid w:val="005927B9"/>
    <w:rsid w:val="005964AB"/>
    <w:rsid w:val="005A2C17"/>
    <w:rsid w:val="005A37CF"/>
    <w:rsid w:val="005A4448"/>
    <w:rsid w:val="005C04F8"/>
    <w:rsid w:val="005C1DD0"/>
    <w:rsid w:val="005C32C7"/>
    <w:rsid w:val="005D07BD"/>
    <w:rsid w:val="005D3A4C"/>
    <w:rsid w:val="005E58C4"/>
    <w:rsid w:val="005E5AB8"/>
    <w:rsid w:val="005F3004"/>
    <w:rsid w:val="006165B6"/>
    <w:rsid w:val="00622AC2"/>
    <w:rsid w:val="00622B86"/>
    <w:rsid w:val="00622EAC"/>
    <w:rsid w:val="00623A5E"/>
    <w:rsid w:val="00625493"/>
    <w:rsid w:val="006254C8"/>
    <w:rsid w:val="006306E1"/>
    <w:rsid w:val="006326E1"/>
    <w:rsid w:val="00633E45"/>
    <w:rsid w:val="0063711C"/>
    <w:rsid w:val="006477A6"/>
    <w:rsid w:val="00647AE3"/>
    <w:rsid w:val="00660290"/>
    <w:rsid w:val="00661A38"/>
    <w:rsid w:val="00661C32"/>
    <w:rsid w:val="00666D81"/>
    <w:rsid w:val="00667C1C"/>
    <w:rsid w:val="006704C5"/>
    <w:rsid w:val="00671CB8"/>
    <w:rsid w:val="00672393"/>
    <w:rsid w:val="006730CA"/>
    <w:rsid w:val="00675166"/>
    <w:rsid w:val="00675E23"/>
    <w:rsid w:val="006815B0"/>
    <w:rsid w:val="00682712"/>
    <w:rsid w:val="00682DEE"/>
    <w:rsid w:val="0069273C"/>
    <w:rsid w:val="00692AF8"/>
    <w:rsid w:val="00692B95"/>
    <w:rsid w:val="00692CE7"/>
    <w:rsid w:val="00694A9A"/>
    <w:rsid w:val="00696A35"/>
    <w:rsid w:val="00696BE5"/>
    <w:rsid w:val="006A012D"/>
    <w:rsid w:val="006A0560"/>
    <w:rsid w:val="006A3329"/>
    <w:rsid w:val="006B3457"/>
    <w:rsid w:val="006B50AB"/>
    <w:rsid w:val="006C0750"/>
    <w:rsid w:val="006C31A6"/>
    <w:rsid w:val="006C76FA"/>
    <w:rsid w:val="006C7DA9"/>
    <w:rsid w:val="006E2931"/>
    <w:rsid w:val="006E331D"/>
    <w:rsid w:val="006E734C"/>
    <w:rsid w:val="006F3F63"/>
    <w:rsid w:val="006F6BF2"/>
    <w:rsid w:val="00703ACE"/>
    <w:rsid w:val="0070453D"/>
    <w:rsid w:val="007108BD"/>
    <w:rsid w:val="007121BE"/>
    <w:rsid w:val="00712417"/>
    <w:rsid w:val="00717788"/>
    <w:rsid w:val="00721CAF"/>
    <w:rsid w:val="0072241B"/>
    <w:rsid w:val="00731902"/>
    <w:rsid w:val="00734D13"/>
    <w:rsid w:val="0073637C"/>
    <w:rsid w:val="0073781B"/>
    <w:rsid w:val="00740BCB"/>
    <w:rsid w:val="00740FA8"/>
    <w:rsid w:val="00741961"/>
    <w:rsid w:val="00742502"/>
    <w:rsid w:val="00742F88"/>
    <w:rsid w:val="00744377"/>
    <w:rsid w:val="00744E04"/>
    <w:rsid w:val="00746D5E"/>
    <w:rsid w:val="007507EE"/>
    <w:rsid w:val="00751BF9"/>
    <w:rsid w:val="007536F7"/>
    <w:rsid w:val="00754831"/>
    <w:rsid w:val="00771F9D"/>
    <w:rsid w:val="00782EB2"/>
    <w:rsid w:val="00790ED9"/>
    <w:rsid w:val="00791FEB"/>
    <w:rsid w:val="007A0DDC"/>
    <w:rsid w:val="007A23F1"/>
    <w:rsid w:val="007B4E71"/>
    <w:rsid w:val="007B5527"/>
    <w:rsid w:val="007D0985"/>
    <w:rsid w:val="007D381A"/>
    <w:rsid w:val="007D76CC"/>
    <w:rsid w:val="007D782E"/>
    <w:rsid w:val="007E2111"/>
    <w:rsid w:val="007E48B7"/>
    <w:rsid w:val="007E6BCA"/>
    <w:rsid w:val="007F440C"/>
    <w:rsid w:val="007F4FE7"/>
    <w:rsid w:val="00800AC8"/>
    <w:rsid w:val="00804263"/>
    <w:rsid w:val="008045BB"/>
    <w:rsid w:val="00807885"/>
    <w:rsid w:val="00811D17"/>
    <w:rsid w:val="00812166"/>
    <w:rsid w:val="008154B0"/>
    <w:rsid w:val="008160DE"/>
    <w:rsid w:val="0082174B"/>
    <w:rsid w:val="0082791D"/>
    <w:rsid w:val="0083203F"/>
    <w:rsid w:val="008343FE"/>
    <w:rsid w:val="008365AB"/>
    <w:rsid w:val="00845E89"/>
    <w:rsid w:val="00854A05"/>
    <w:rsid w:val="00856530"/>
    <w:rsid w:val="0086613A"/>
    <w:rsid w:val="00877230"/>
    <w:rsid w:val="00883977"/>
    <w:rsid w:val="0088400F"/>
    <w:rsid w:val="008841E4"/>
    <w:rsid w:val="00886DFA"/>
    <w:rsid w:val="00896686"/>
    <w:rsid w:val="008A2ED1"/>
    <w:rsid w:val="008A34D2"/>
    <w:rsid w:val="008A3F97"/>
    <w:rsid w:val="008A6AFE"/>
    <w:rsid w:val="008B1FD4"/>
    <w:rsid w:val="008B44CC"/>
    <w:rsid w:val="008D4EFA"/>
    <w:rsid w:val="008D5E65"/>
    <w:rsid w:val="008E2FC1"/>
    <w:rsid w:val="008E39D6"/>
    <w:rsid w:val="008F1328"/>
    <w:rsid w:val="008F6106"/>
    <w:rsid w:val="008F636D"/>
    <w:rsid w:val="008F735B"/>
    <w:rsid w:val="009008DE"/>
    <w:rsid w:val="0090243B"/>
    <w:rsid w:val="00907645"/>
    <w:rsid w:val="00910F23"/>
    <w:rsid w:val="0092174A"/>
    <w:rsid w:val="009300C7"/>
    <w:rsid w:val="0093341F"/>
    <w:rsid w:val="00933946"/>
    <w:rsid w:val="00934745"/>
    <w:rsid w:val="00934D73"/>
    <w:rsid w:val="0093611B"/>
    <w:rsid w:val="00936318"/>
    <w:rsid w:val="00936B61"/>
    <w:rsid w:val="00943365"/>
    <w:rsid w:val="00943E38"/>
    <w:rsid w:val="00944C2A"/>
    <w:rsid w:val="00964866"/>
    <w:rsid w:val="00964CBD"/>
    <w:rsid w:val="009714B3"/>
    <w:rsid w:val="009723DE"/>
    <w:rsid w:val="00973651"/>
    <w:rsid w:val="009746E7"/>
    <w:rsid w:val="00974E99"/>
    <w:rsid w:val="00975E6F"/>
    <w:rsid w:val="009775C3"/>
    <w:rsid w:val="009833EE"/>
    <w:rsid w:val="00993264"/>
    <w:rsid w:val="009A25BD"/>
    <w:rsid w:val="009A2E62"/>
    <w:rsid w:val="009A3E60"/>
    <w:rsid w:val="009A4D06"/>
    <w:rsid w:val="009A5714"/>
    <w:rsid w:val="009A5F48"/>
    <w:rsid w:val="009A7463"/>
    <w:rsid w:val="009B5876"/>
    <w:rsid w:val="009B7E76"/>
    <w:rsid w:val="009C2214"/>
    <w:rsid w:val="009C3388"/>
    <w:rsid w:val="009C3BE1"/>
    <w:rsid w:val="009C614B"/>
    <w:rsid w:val="009C6F20"/>
    <w:rsid w:val="009C72B0"/>
    <w:rsid w:val="009D71C3"/>
    <w:rsid w:val="009D729F"/>
    <w:rsid w:val="009E35E8"/>
    <w:rsid w:val="009E4B9C"/>
    <w:rsid w:val="00A02EF0"/>
    <w:rsid w:val="00A13FDB"/>
    <w:rsid w:val="00A15402"/>
    <w:rsid w:val="00A21C68"/>
    <w:rsid w:val="00A263BF"/>
    <w:rsid w:val="00A44D76"/>
    <w:rsid w:val="00A45580"/>
    <w:rsid w:val="00A45C4C"/>
    <w:rsid w:val="00A46A47"/>
    <w:rsid w:val="00A5347B"/>
    <w:rsid w:val="00A725CE"/>
    <w:rsid w:val="00A73F57"/>
    <w:rsid w:val="00A811A1"/>
    <w:rsid w:val="00A819BB"/>
    <w:rsid w:val="00A86B38"/>
    <w:rsid w:val="00AA6EE5"/>
    <w:rsid w:val="00AB7B38"/>
    <w:rsid w:val="00AC33D2"/>
    <w:rsid w:val="00AC4064"/>
    <w:rsid w:val="00AC5273"/>
    <w:rsid w:val="00AD433F"/>
    <w:rsid w:val="00AD74AC"/>
    <w:rsid w:val="00AE5117"/>
    <w:rsid w:val="00AE54C4"/>
    <w:rsid w:val="00AE619D"/>
    <w:rsid w:val="00AF077A"/>
    <w:rsid w:val="00AF0F5C"/>
    <w:rsid w:val="00AF2145"/>
    <w:rsid w:val="00AF3117"/>
    <w:rsid w:val="00AF475F"/>
    <w:rsid w:val="00AF5A15"/>
    <w:rsid w:val="00AF7AEA"/>
    <w:rsid w:val="00B0181F"/>
    <w:rsid w:val="00B03261"/>
    <w:rsid w:val="00B06151"/>
    <w:rsid w:val="00B06A32"/>
    <w:rsid w:val="00B14A5D"/>
    <w:rsid w:val="00B16FC7"/>
    <w:rsid w:val="00B17760"/>
    <w:rsid w:val="00B25F58"/>
    <w:rsid w:val="00B339DC"/>
    <w:rsid w:val="00B42D64"/>
    <w:rsid w:val="00B42F67"/>
    <w:rsid w:val="00B43EF4"/>
    <w:rsid w:val="00B44140"/>
    <w:rsid w:val="00B4588B"/>
    <w:rsid w:val="00B50A7D"/>
    <w:rsid w:val="00B519D8"/>
    <w:rsid w:val="00B55707"/>
    <w:rsid w:val="00B561AA"/>
    <w:rsid w:val="00B60435"/>
    <w:rsid w:val="00B6727A"/>
    <w:rsid w:val="00B67AE1"/>
    <w:rsid w:val="00B67E3C"/>
    <w:rsid w:val="00B734CD"/>
    <w:rsid w:val="00B87BDE"/>
    <w:rsid w:val="00B921B0"/>
    <w:rsid w:val="00B92EB8"/>
    <w:rsid w:val="00BA152F"/>
    <w:rsid w:val="00BA17B1"/>
    <w:rsid w:val="00BA47F5"/>
    <w:rsid w:val="00BA63CD"/>
    <w:rsid w:val="00BA66BF"/>
    <w:rsid w:val="00BA7231"/>
    <w:rsid w:val="00BB1057"/>
    <w:rsid w:val="00BD4CA5"/>
    <w:rsid w:val="00BE168E"/>
    <w:rsid w:val="00BE3856"/>
    <w:rsid w:val="00BE4BB6"/>
    <w:rsid w:val="00BE4FC7"/>
    <w:rsid w:val="00BE5D00"/>
    <w:rsid w:val="00BE6357"/>
    <w:rsid w:val="00BE7B9B"/>
    <w:rsid w:val="00BF0246"/>
    <w:rsid w:val="00C067B1"/>
    <w:rsid w:val="00C1370B"/>
    <w:rsid w:val="00C16D94"/>
    <w:rsid w:val="00C1718B"/>
    <w:rsid w:val="00C24803"/>
    <w:rsid w:val="00C267BD"/>
    <w:rsid w:val="00C361BA"/>
    <w:rsid w:val="00C447E9"/>
    <w:rsid w:val="00C50AC2"/>
    <w:rsid w:val="00C51147"/>
    <w:rsid w:val="00C56676"/>
    <w:rsid w:val="00C6120B"/>
    <w:rsid w:val="00C624BA"/>
    <w:rsid w:val="00C7035B"/>
    <w:rsid w:val="00C7250A"/>
    <w:rsid w:val="00C728CC"/>
    <w:rsid w:val="00C76E83"/>
    <w:rsid w:val="00C77514"/>
    <w:rsid w:val="00C80231"/>
    <w:rsid w:val="00C83108"/>
    <w:rsid w:val="00C865DA"/>
    <w:rsid w:val="00C86C65"/>
    <w:rsid w:val="00C87154"/>
    <w:rsid w:val="00C8723C"/>
    <w:rsid w:val="00C87486"/>
    <w:rsid w:val="00C877EE"/>
    <w:rsid w:val="00C90455"/>
    <w:rsid w:val="00C92DEA"/>
    <w:rsid w:val="00C9325A"/>
    <w:rsid w:val="00C96474"/>
    <w:rsid w:val="00CA2A40"/>
    <w:rsid w:val="00CA3901"/>
    <w:rsid w:val="00CA4A92"/>
    <w:rsid w:val="00CA50CD"/>
    <w:rsid w:val="00CA52C0"/>
    <w:rsid w:val="00CA79E1"/>
    <w:rsid w:val="00CB5101"/>
    <w:rsid w:val="00CB72EB"/>
    <w:rsid w:val="00CC03AF"/>
    <w:rsid w:val="00CC04B4"/>
    <w:rsid w:val="00CC1F6A"/>
    <w:rsid w:val="00CC402A"/>
    <w:rsid w:val="00CC4F2C"/>
    <w:rsid w:val="00CD33CA"/>
    <w:rsid w:val="00CD37CA"/>
    <w:rsid w:val="00CD3EBC"/>
    <w:rsid w:val="00CD578B"/>
    <w:rsid w:val="00CD7C03"/>
    <w:rsid w:val="00CE2B39"/>
    <w:rsid w:val="00CE54D7"/>
    <w:rsid w:val="00CE6770"/>
    <w:rsid w:val="00CE721E"/>
    <w:rsid w:val="00CF1ED7"/>
    <w:rsid w:val="00D05158"/>
    <w:rsid w:val="00D1037B"/>
    <w:rsid w:val="00D109D6"/>
    <w:rsid w:val="00D13094"/>
    <w:rsid w:val="00D2421D"/>
    <w:rsid w:val="00D342AA"/>
    <w:rsid w:val="00D36298"/>
    <w:rsid w:val="00D374AE"/>
    <w:rsid w:val="00D37654"/>
    <w:rsid w:val="00D40303"/>
    <w:rsid w:val="00D506AC"/>
    <w:rsid w:val="00D60BC0"/>
    <w:rsid w:val="00D61C8C"/>
    <w:rsid w:val="00D630AC"/>
    <w:rsid w:val="00D716F8"/>
    <w:rsid w:val="00D96816"/>
    <w:rsid w:val="00DA35E4"/>
    <w:rsid w:val="00DA4DCA"/>
    <w:rsid w:val="00DB67BD"/>
    <w:rsid w:val="00DC09CB"/>
    <w:rsid w:val="00DD1C70"/>
    <w:rsid w:val="00DD3FBA"/>
    <w:rsid w:val="00DD5C43"/>
    <w:rsid w:val="00DE2EB1"/>
    <w:rsid w:val="00DE5601"/>
    <w:rsid w:val="00DF01F7"/>
    <w:rsid w:val="00DF4F15"/>
    <w:rsid w:val="00DF5205"/>
    <w:rsid w:val="00DF6426"/>
    <w:rsid w:val="00DF707F"/>
    <w:rsid w:val="00E0129F"/>
    <w:rsid w:val="00E01455"/>
    <w:rsid w:val="00E16164"/>
    <w:rsid w:val="00E21979"/>
    <w:rsid w:val="00E23BE8"/>
    <w:rsid w:val="00E25FC5"/>
    <w:rsid w:val="00E261B4"/>
    <w:rsid w:val="00E27A1E"/>
    <w:rsid w:val="00E42080"/>
    <w:rsid w:val="00E42AAB"/>
    <w:rsid w:val="00E42BEC"/>
    <w:rsid w:val="00E511C3"/>
    <w:rsid w:val="00E56254"/>
    <w:rsid w:val="00E74759"/>
    <w:rsid w:val="00E74A8C"/>
    <w:rsid w:val="00E75196"/>
    <w:rsid w:val="00E762E4"/>
    <w:rsid w:val="00E812EF"/>
    <w:rsid w:val="00E82CC6"/>
    <w:rsid w:val="00E87431"/>
    <w:rsid w:val="00E92C88"/>
    <w:rsid w:val="00E94D84"/>
    <w:rsid w:val="00EB0ECB"/>
    <w:rsid w:val="00EB6BD9"/>
    <w:rsid w:val="00EB7155"/>
    <w:rsid w:val="00EC0E42"/>
    <w:rsid w:val="00EC3F79"/>
    <w:rsid w:val="00EC7BB5"/>
    <w:rsid w:val="00ED10AC"/>
    <w:rsid w:val="00ED2E0A"/>
    <w:rsid w:val="00ED2E85"/>
    <w:rsid w:val="00ED3C31"/>
    <w:rsid w:val="00ED6201"/>
    <w:rsid w:val="00EE3559"/>
    <w:rsid w:val="00EE4334"/>
    <w:rsid w:val="00EE7641"/>
    <w:rsid w:val="00EF2503"/>
    <w:rsid w:val="00EF6134"/>
    <w:rsid w:val="00EF74C2"/>
    <w:rsid w:val="00F072D2"/>
    <w:rsid w:val="00F07738"/>
    <w:rsid w:val="00F13D2C"/>
    <w:rsid w:val="00F14666"/>
    <w:rsid w:val="00F155D7"/>
    <w:rsid w:val="00F156D5"/>
    <w:rsid w:val="00F160D8"/>
    <w:rsid w:val="00F170F2"/>
    <w:rsid w:val="00F228D9"/>
    <w:rsid w:val="00F22F81"/>
    <w:rsid w:val="00F2551A"/>
    <w:rsid w:val="00F263F6"/>
    <w:rsid w:val="00F27AD3"/>
    <w:rsid w:val="00F30899"/>
    <w:rsid w:val="00F34109"/>
    <w:rsid w:val="00F34894"/>
    <w:rsid w:val="00F405DB"/>
    <w:rsid w:val="00F42E28"/>
    <w:rsid w:val="00F46295"/>
    <w:rsid w:val="00F46722"/>
    <w:rsid w:val="00F51834"/>
    <w:rsid w:val="00F53291"/>
    <w:rsid w:val="00F5546F"/>
    <w:rsid w:val="00F578E9"/>
    <w:rsid w:val="00F7321C"/>
    <w:rsid w:val="00F7443E"/>
    <w:rsid w:val="00F8178B"/>
    <w:rsid w:val="00F83B9B"/>
    <w:rsid w:val="00F859E9"/>
    <w:rsid w:val="00F859F4"/>
    <w:rsid w:val="00F90F76"/>
    <w:rsid w:val="00F94C90"/>
    <w:rsid w:val="00F96070"/>
    <w:rsid w:val="00F972DC"/>
    <w:rsid w:val="00FA10B7"/>
    <w:rsid w:val="00FA11D3"/>
    <w:rsid w:val="00FA1E35"/>
    <w:rsid w:val="00FA2524"/>
    <w:rsid w:val="00FB03C6"/>
    <w:rsid w:val="00FB6A82"/>
    <w:rsid w:val="00FC0E54"/>
    <w:rsid w:val="00FC1C56"/>
    <w:rsid w:val="00FD1E06"/>
    <w:rsid w:val="00FD1F6D"/>
    <w:rsid w:val="00FE00AD"/>
    <w:rsid w:val="00FE1EA0"/>
    <w:rsid w:val="00FE57E7"/>
    <w:rsid w:val="00FF06B4"/>
    <w:rsid w:val="00FF15AC"/>
    <w:rsid w:val="00FF29DD"/>
    <w:rsid w:val="00FF60CF"/>
    <w:rsid w:val="00FF695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
    <w:basedOn w:val="DefaultParagraphFont"/>
    <w:link w:val="SUPERSChar1"/>
    <w:unhideWhenUsed/>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DB67BD"/>
    <w:rPr>
      <w:rFonts w:eastAsia="Calibri"/>
      <w:lang w:val="en-GB"/>
    </w:rPr>
  </w:style>
  <w:style w:type="character" w:customStyle="1" w:styleId="ListParagraphChar">
    <w:name w:val="List Paragraph Char"/>
    <w:link w:val="ListParagraph"/>
    <w:uiPriority w:val="99"/>
    <w:locked/>
    <w:rsid w:val="00DB67BD"/>
    <w:rPr>
      <w:lang w:val="ro-RO"/>
    </w:rPr>
  </w:style>
  <w:style w:type="paragraph" w:customStyle="1" w:styleId="SUPERSChar1">
    <w:name w:val="SUPERS Char1"/>
    <w:basedOn w:val="Normal"/>
    <w:next w:val="Normal"/>
    <w:link w:val="FootnoteReference"/>
    <w:rsid w:val="00DB67BD"/>
    <w:pPr>
      <w:suppressAutoHyphens/>
      <w:spacing w:line="240" w:lineRule="exact"/>
    </w:pPr>
    <w:rPr>
      <w:vertAlign w:val="superscript"/>
      <w:lang w:val="en-US"/>
    </w:rPr>
  </w:style>
</w:styles>
</file>

<file path=word/webSettings.xml><?xml version="1.0" encoding="utf-8"?>
<w:webSettings xmlns:r="http://schemas.openxmlformats.org/officeDocument/2006/relationships" xmlns:w="http://schemas.openxmlformats.org/wordprocessingml/2006/main">
  <w:divs>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lang="en-US" sz="1400" b="1">
                <a:solidFill>
                  <a:schemeClr val="tx1">
                    <a:lumMod val="75000"/>
                    <a:lumOff val="25000"/>
                  </a:schemeClr>
                </a:solidFill>
              </a:defRPr>
            </a:pPr>
            <a:r>
              <a:rPr lang="ro-RO" sz="1400" b="1">
                <a:solidFill>
                  <a:schemeClr val="tx1">
                    <a:lumMod val="75000"/>
                    <a:lumOff val="25000"/>
                  </a:schemeClr>
                </a:solidFill>
              </a:rPr>
              <a:t>STRUCTURA CHELTUIELILOR</a:t>
            </a:r>
            <a:r>
              <a:rPr lang="ro-RO" sz="1400" b="1" baseline="0">
                <a:solidFill>
                  <a:schemeClr val="tx1">
                    <a:lumMod val="75000"/>
                    <a:lumOff val="25000"/>
                  </a:schemeClr>
                </a:solidFill>
              </a:rPr>
              <a:t> DE INVESTIȚII </a:t>
            </a:r>
          </a:p>
          <a:p>
            <a:pPr>
              <a:defRPr lang="en-US" sz="1400" b="1">
                <a:solidFill>
                  <a:schemeClr val="tx1">
                    <a:lumMod val="75000"/>
                    <a:lumOff val="25000"/>
                  </a:schemeClr>
                </a:solidFill>
              </a:defRPr>
            </a:pPr>
            <a:r>
              <a:rPr lang="ro-RO" sz="1000" b="1" baseline="0">
                <a:solidFill>
                  <a:schemeClr val="tx1">
                    <a:lumMod val="75000"/>
                    <a:lumOff val="25000"/>
                  </a:schemeClr>
                </a:solidFill>
              </a:rPr>
              <a:t>- milioane lei-</a:t>
            </a:r>
            <a:endParaRPr lang="en-US" sz="1000" b="1" baseline="0">
              <a:solidFill>
                <a:schemeClr val="tx1">
                  <a:lumMod val="75000"/>
                  <a:lumOff val="25000"/>
                </a:schemeClr>
              </a:solidFill>
            </a:endParaRPr>
          </a:p>
        </c:rich>
      </c:tx>
      <c:layout>
        <c:manualLayout>
          <c:xMode val="edge"/>
          <c:yMode val="edge"/>
          <c:x val="0.18350218165404489"/>
          <c:y val="3.3078419825342049E-2"/>
        </c:manualLayout>
      </c:layout>
      <c:spPr>
        <a:solidFill>
          <a:schemeClr val="bg1">
            <a:lumMod val="85000"/>
          </a:schemeClr>
        </a:solidFill>
      </c:spPr>
    </c:title>
    <c:plotArea>
      <c:layout>
        <c:manualLayout>
          <c:layoutTarget val="inner"/>
          <c:xMode val="edge"/>
          <c:yMode val="edge"/>
          <c:x val="9.9139040740926554E-2"/>
          <c:y val="0.14531916411496712"/>
          <c:w val="0.83610695955999148"/>
          <c:h val="0.66940740852690939"/>
        </c:manualLayout>
      </c:layout>
      <c:barChart>
        <c:barDir val="col"/>
        <c:grouping val="stacked"/>
        <c:ser>
          <c:idx val="1"/>
          <c:order val="0"/>
          <c:tx>
            <c:strRef>
              <c:f>'g7 investitii valori'!$D$4</c:f>
              <c:strCache>
                <c:ptCount val="1"/>
                <c:pt idx="0">
                  <c:v>Proiecte cu finantare din fonduri externe nerambursabile postaderare</c:v>
                </c:pt>
              </c:strCache>
            </c:strRef>
          </c:tx>
          <c:spPr>
            <a:solidFill>
              <a:srgbClr val="002060"/>
            </a:solidFill>
            <a:ln w="25400">
              <a:noFill/>
            </a:ln>
          </c:spPr>
          <c:dLbls>
            <c:spPr>
              <a:noFill/>
              <a:ln w="25400">
                <a:noFill/>
              </a:ln>
            </c:spPr>
            <c:txPr>
              <a:bodyPr/>
              <a:lstStyle/>
              <a:p>
                <a:pPr>
                  <a:defRPr lang="en-US" b="1">
                    <a:solidFill>
                      <a:schemeClr val="bg1"/>
                    </a:solidFill>
                  </a:defRPr>
                </a:pPr>
                <a:endParaRPr lang="ro-RO"/>
              </a:p>
            </c:txPr>
            <c:showVal val="1"/>
            <c:extLst xmlns:c16r2="http://schemas.microsoft.com/office/drawing/2015/06/chart">
              <c:ext xmlns:c15="http://schemas.microsoft.com/office/drawing/2012/chart" uri="{CE6537A1-D6FC-4f65-9D91-7224C49458BB}">
                <c15:showLeaderLines val="0"/>
              </c:ext>
            </c:extLst>
          </c:dLbls>
          <c:cat>
            <c:strRef>
              <c:f>'g7 investitii valori'!$E$2:$F$2</c:f>
              <c:strCache>
                <c:ptCount val="2"/>
                <c:pt idx="0">
                  <c:v>Execuție investiții 1.01.- 31.03.2019</c:v>
                </c:pt>
                <c:pt idx="1">
                  <c:v>Execuție investiții 1.01.31.03.2020</c:v>
                </c:pt>
              </c:strCache>
            </c:strRef>
          </c:cat>
          <c:val>
            <c:numRef>
              <c:f>'g7 investitii valori'!$E$4:$F$4</c:f>
              <c:numCache>
                <c:formatCode>#,##0.0_);\(#,##0.0\)</c:formatCode>
                <c:ptCount val="2"/>
                <c:pt idx="0">
                  <c:v>1557.6782990000002</c:v>
                </c:pt>
                <c:pt idx="1">
                  <c:v>2375.7462062300006</c:v>
                </c:pt>
              </c:numCache>
            </c:numRef>
          </c:val>
          <c:extLst xmlns:c16r2="http://schemas.microsoft.com/office/drawing/2015/06/chart">
            <c:ext xmlns:c16="http://schemas.microsoft.com/office/drawing/2014/chart" uri="{C3380CC4-5D6E-409C-BE32-E72D297353CC}">
              <c16:uniqueId val="{00000000-B65E-4F24-80D8-9B53C411218E}"/>
            </c:ext>
          </c:extLst>
        </c:ser>
        <c:ser>
          <c:idx val="2"/>
          <c:order val="1"/>
          <c:tx>
            <c:strRef>
              <c:f>'g7 investitii valori'!$D$5</c:f>
              <c:strCache>
                <c:ptCount val="1"/>
                <c:pt idx="0">
                  <c:v>Investiții finanțate din fonduri naționale</c:v>
                </c:pt>
              </c:strCache>
            </c:strRef>
          </c:tx>
          <c:spPr>
            <a:solidFill>
              <a:schemeClr val="bg1">
                <a:lumMod val="75000"/>
              </a:schemeClr>
            </a:solidFill>
            <a:ln w="25400">
              <a:noFill/>
            </a:ln>
          </c:spPr>
          <c:dLbls>
            <c:spPr>
              <a:noFill/>
              <a:ln w="25400">
                <a:noFill/>
              </a:ln>
            </c:spPr>
            <c:txPr>
              <a:bodyPr/>
              <a:lstStyle/>
              <a:p>
                <a:pPr>
                  <a:defRPr lang="en-US" b="1"/>
                </a:pPr>
                <a:endParaRPr lang="ro-RO"/>
              </a:p>
            </c:txPr>
            <c:showVal val="1"/>
            <c:extLst xmlns:c16r2="http://schemas.microsoft.com/office/drawing/2015/06/chart">
              <c:ext xmlns:c15="http://schemas.microsoft.com/office/drawing/2012/chart" uri="{CE6537A1-D6FC-4f65-9D91-7224C49458BB}">
                <c15:showLeaderLines val="0"/>
              </c:ext>
            </c:extLst>
          </c:dLbls>
          <c:cat>
            <c:strRef>
              <c:f>'g7 investitii valori'!$E$2:$F$2</c:f>
              <c:strCache>
                <c:ptCount val="2"/>
                <c:pt idx="0">
                  <c:v>Execuție investiții 1.01.- 31.03.2019</c:v>
                </c:pt>
                <c:pt idx="1">
                  <c:v>Execuție investiții 1.01.31.03.2020</c:v>
                </c:pt>
              </c:strCache>
            </c:strRef>
          </c:cat>
          <c:val>
            <c:numRef>
              <c:f>'g7 investitii valori'!$E$5:$F$5</c:f>
              <c:numCache>
                <c:formatCode>#,##0.0</c:formatCode>
                <c:ptCount val="2"/>
                <c:pt idx="0">
                  <c:v>3304.9177010000003</c:v>
                </c:pt>
                <c:pt idx="1">
                  <c:v>3478.9777937699996</c:v>
                </c:pt>
              </c:numCache>
            </c:numRef>
          </c:val>
          <c:extLst xmlns:c16r2="http://schemas.microsoft.com/office/drawing/2015/06/chart">
            <c:ext xmlns:c16="http://schemas.microsoft.com/office/drawing/2014/chart" uri="{C3380CC4-5D6E-409C-BE32-E72D297353CC}">
              <c16:uniqueId val="{00000001-B65E-4F24-80D8-9B53C411218E}"/>
            </c:ext>
          </c:extLst>
        </c:ser>
        <c:overlap val="100"/>
        <c:axId val="85437440"/>
        <c:axId val="85448576"/>
      </c:barChart>
      <c:catAx>
        <c:axId val="854374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vert="horz"/>
          <a:lstStyle/>
          <a:p>
            <a:pPr>
              <a:defRPr lang="en-US"/>
            </a:pPr>
            <a:endParaRPr lang="ro-RO"/>
          </a:p>
        </c:txPr>
        <c:crossAx val="85448576"/>
        <c:crosses val="autoZero"/>
        <c:auto val="1"/>
        <c:lblAlgn val="ctr"/>
        <c:lblOffset val="100"/>
      </c:catAx>
      <c:valAx>
        <c:axId val="85448576"/>
        <c:scaling>
          <c:orientation val="minMax"/>
        </c:scaling>
        <c:axPos val="l"/>
        <c:majorGridlines>
          <c:spPr>
            <a:ln w="9525" cap="flat" cmpd="sng" algn="ctr">
              <a:solidFill>
                <a:schemeClr val="bg1">
                  <a:lumMod val="85000"/>
                  <a:alpha val="27000"/>
                </a:schemeClr>
              </a:solidFill>
              <a:round/>
            </a:ln>
            <a:effectLst/>
          </c:spPr>
        </c:majorGridlines>
        <c:numFmt formatCode="#,##0\ _l_e_i;\-#,##0\ _l_e_i" sourceLinked="0"/>
        <c:majorTickMark val="none"/>
        <c:tickLblPos val="nextTo"/>
        <c:spPr>
          <a:ln w="6350">
            <a:noFill/>
          </a:ln>
        </c:spPr>
        <c:txPr>
          <a:bodyPr rot="0" vert="horz"/>
          <a:lstStyle/>
          <a:p>
            <a:pPr>
              <a:defRPr lang="en-US"/>
            </a:pPr>
            <a:endParaRPr lang="ro-RO"/>
          </a:p>
        </c:txPr>
        <c:crossAx val="85437440"/>
        <c:crosses val="autoZero"/>
        <c:crossBetween val="between"/>
      </c:valAx>
      <c:spPr>
        <a:noFill/>
        <a:ln w="25400">
          <a:noFill/>
        </a:ln>
      </c:spPr>
    </c:plotArea>
    <c:legend>
      <c:legendPos val="b"/>
      <c:layout>
        <c:manualLayout>
          <c:xMode val="edge"/>
          <c:yMode val="edge"/>
          <c:x val="0"/>
          <c:y val="0.88416510114242441"/>
          <c:w val="0.98025579794328987"/>
          <c:h val="8.8057206563871351E-2"/>
        </c:manualLayout>
      </c:layout>
      <c:spPr>
        <a:noFill/>
        <a:ln w="25400">
          <a:noFill/>
        </a:ln>
      </c:spPr>
      <c:txPr>
        <a:bodyPr/>
        <a:lstStyle/>
        <a:p>
          <a:pPr>
            <a:defRPr lang="en-US"/>
          </a:pPr>
          <a:endParaRPr lang="ro-RO"/>
        </a:p>
      </c:txPr>
    </c:legend>
    <c:plotVisOnly val="1"/>
    <c:dispBlanksAs val="gap"/>
  </c:chart>
  <c:spPr>
    <a:solidFill>
      <a:schemeClr val="bg1"/>
    </a:solidFill>
    <a:ln w="9525" cap="flat" cmpd="sng" algn="ctr">
      <a:noFill/>
      <a:round/>
    </a:ln>
    <a:effectLst>
      <a:outerShdw blurRad="63500" sx="102000" sy="102000" algn="ctr" rotWithShape="0">
        <a:prstClr val="black">
          <a:alpha val="40000"/>
        </a:prstClr>
      </a:outerShdw>
    </a:effectLst>
  </c:spPr>
  <c:txPr>
    <a:bodyPr/>
    <a:lstStyle/>
    <a:p>
      <a:pPr>
        <a:defRPr sz="1000" b="0" i="0" u="none" strike="noStrike" baseline="0">
          <a:solidFill>
            <a:srgbClr val="000000"/>
          </a:solidFill>
          <a:latin typeface="Tahoma" panose="020B0604030504040204" pitchFamily="34" charset="0"/>
          <a:ea typeface="Tahoma" panose="020B0604030504040204" pitchFamily="34" charset="0"/>
          <a:cs typeface="Tahoma" panose="020B0604030504040204" pitchFamily="34" charset="0"/>
        </a:defRPr>
      </a:pPr>
      <a:endParaRPr lang="ro-RO"/>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C64A9800D0422085EDA2283C482DCF"/>
        <w:category>
          <w:name w:val="General"/>
          <w:gallery w:val="placeholder"/>
        </w:category>
        <w:types>
          <w:type w:val="bbPlcHdr"/>
        </w:types>
        <w:behaviors>
          <w:behavior w:val="content"/>
        </w:behaviors>
        <w:guid w:val="{54C42E5A-7593-4588-9399-7632FED47B3E}"/>
      </w:docPartPr>
      <w:docPartBody>
        <w:p w:rsidR="00DF7914" w:rsidRDefault="00EC30AA" w:rsidP="00EC30AA">
          <w:pPr>
            <w:pStyle w:val="F8C64A9800D0422085EDA2283C482DCF"/>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EC30AA"/>
    <w:rsid w:val="00100501"/>
    <w:rsid w:val="00380767"/>
    <w:rsid w:val="003C565D"/>
    <w:rsid w:val="004C41A1"/>
    <w:rsid w:val="004D7935"/>
    <w:rsid w:val="00521A6A"/>
    <w:rsid w:val="005F5A98"/>
    <w:rsid w:val="006569BF"/>
    <w:rsid w:val="007260C7"/>
    <w:rsid w:val="007E2DAF"/>
    <w:rsid w:val="00AA72C7"/>
    <w:rsid w:val="00DF7914"/>
    <w:rsid w:val="00EC30AA"/>
    <w:rsid w:val="00F876A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0AA"/>
    <w:rPr>
      <w:color w:val="808080"/>
    </w:rPr>
  </w:style>
  <w:style w:type="paragraph" w:customStyle="1" w:styleId="F8C64A9800D0422085EDA2283C482DCF">
    <w:name w:val="F8C64A9800D0422085EDA2283C482DCF"/>
    <w:rsid w:val="00EC30A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C2C63-F513-42D4-966E-0AF42EE5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1549</Words>
  <Characters>8985</Characters>
  <Application>Microsoft Office Word</Application>
  <DocSecurity>0</DocSecurity>
  <Lines>74</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ExecuȚie buget general consolidat | 31 martie 2020</dc:creator>
  <cp:lastModifiedBy>74608387</cp:lastModifiedBy>
  <cp:revision>9</cp:revision>
  <cp:lastPrinted>2020-04-27T14:12:00Z</cp:lastPrinted>
  <dcterms:created xsi:type="dcterms:W3CDTF">2020-04-27T12:45:00Z</dcterms:created>
  <dcterms:modified xsi:type="dcterms:W3CDTF">2020-04-27T14:12:00Z</dcterms:modified>
</cp:coreProperties>
</file>