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48A0" w14:textId="77777777" w:rsidR="00527C1A" w:rsidRPr="000304A7" w:rsidRDefault="00527C1A" w:rsidP="00527C1A">
      <w:pPr>
        <w:pBdr>
          <w:top w:val="single" w:sz="4" w:space="1" w:color="auto"/>
          <w:bottom w:val="single" w:sz="4" w:space="1" w:color="auto"/>
        </w:pBdr>
        <w:spacing w:after="120" w:line="240" w:lineRule="auto"/>
        <w:jc w:val="right"/>
        <w:rPr>
          <w:rFonts w:ascii="Tahoma" w:hAnsi="Tahoma" w:cs="Tahoma"/>
          <w:b/>
          <w:caps/>
          <w:color w:val="0070C0"/>
          <w:sz w:val="24"/>
          <w:szCs w:val="24"/>
          <w:lang w:val="en-GB"/>
        </w:rPr>
      </w:pPr>
      <w:bookmarkStart w:id="0" w:name="_GoBack"/>
      <w:bookmarkEnd w:id="0"/>
      <w:r w:rsidRPr="000304A7">
        <w:rPr>
          <w:rFonts w:ascii="Tahoma" w:hAnsi="Tahoma" w:cs="Tahoma"/>
          <w:b/>
          <w:caps/>
          <w:color w:val="0070C0"/>
          <w:sz w:val="24"/>
          <w:szCs w:val="24"/>
          <w:lang w:val="en-GB"/>
        </w:rPr>
        <w:t>Report on general government budget</w:t>
      </w:r>
    </w:p>
    <w:p w14:paraId="352B101F" w14:textId="77777777" w:rsidR="004B7A33" w:rsidRPr="000304A7" w:rsidRDefault="00527C1A" w:rsidP="003F4E84">
      <w:pPr>
        <w:spacing w:after="120" w:line="240" w:lineRule="auto"/>
        <w:jc w:val="right"/>
        <w:rPr>
          <w:rFonts w:ascii="Tahoma" w:hAnsi="Tahoma" w:cs="Tahoma"/>
          <w:b/>
          <w:color w:val="FF0000"/>
          <w:sz w:val="24"/>
          <w:szCs w:val="24"/>
          <w:lang w:val="en-GB"/>
        </w:rPr>
      </w:pPr>
      <w:r w:rsidRPr="000304A7">
        <w:rPr>
          <w:rFonts w:ascii="Tahoma" w:hAnsi="Tahoma" w:cs="Tahoma"/>
          <w:b/>
          <w:caps/>
          <w:color w:val="0070C0"/>
          <w:sz w:val="24"/>
          <w:szCs w:val="24"/>
          <w:lang w:val="en-GB"/>
        </w:rPr>
        <w:t>March 2020</w:t>
      </w:r>
      <w:r w:rsidR="00526E8B" w:rsidRPr="000304A7">
        <w:rPr>
          <w:rFonts w:ascii="Tahoma" w:hAnsi="Tahoma" w:cs="Tahoma"/>
          <w:b/>
          <w:caps/>
          <w:color w:val="0070C0"/>
          <w:sz w:val="24"/>
          <w:szCs w:val="24"/>
          <w:lang w:val="en-GB"/>
        </w:rPr>
        <w:br/>
      </w:r>
    </w:p>
    <w:p w14:paraId="5016419D" w14:textId="77777777" w:rsidR="003F4E84" w:rsidRPr="000304A7" w:rsidRDefault="003F4E84" w:rsidP="003F4E84">
      <w:pPr>
        <w:spacing w:after="120" w:line="240" w:lineRule="auto"/>
        <w:jc w:val="right"/>
        <w:rPr>
          <w:rFonts w:ascii="Tahoma" w:hAnsi="Tahoma" w:cs="Tahoma"/>
          <w:b/>
          <w:color w:val="FF0000"/>
          <w:sz w:val="24"/>
          <w:szCs w:val="24"/>
          <w:lang w:val="en-GB"/>
        </w:rPr>
      </w:pPr>
    </w:p>
    <w:p w14:paraId="00E00166" w14:textId="77777777" w:rsidR="00527C1A" w:rsidRPr="000304A7" w:rsidRDefault="00527C1A" w:rsidP="002B3CC9">
      <w:pPr>
        <w:shd w:val="clear" w:color="auto" w:fill="DEEAF6" w:themeFill="accent1" w:themeFillTint="33"/>
        <w:spacing w:after="120" w:line="360" w:lineRule="auto"/>
        <w:jc w:val="both"/>
        <w:rPr>
          <w:rFonts w:ascii="Tahoma" w:hAnsi="Tahoma" w:cs="Tahoma"/>
          <w:sz w:val="24"/>
          <w:szCs w:val="24"/>
          <w:lang w:val="en-GB"/>
        </w:rPr>
      </w:pPr>
      <w:r w:rsidRPr="000304A7">
        <w:rPr>
          <w:rFonts w:ascii="Tahoma" w:hAnsi="Tahoma" w:cs="Tahoma"/>
          <w:sz w:val="24"/>
          <w:szCs w:val="24"/>
          <w:lang w:val="en-GB"/>
        </w:rPr>
        <w:t xml:space="preserve">General government budget recorded a </w:t>
      </w:r>
      <w:r w:rsidRPr="000304A7">
        <w:rPr>
          <w:rFonts w:ascii="Tahoma" w:hAnsi="Tahoma" w:cs="Tahoma"/>
          <w:b/>
          <w:sz w:val="24"/>
          <w:szCs w:val="24"/>
          <w:lang w:val="en-GB"/>
        </w:rPr>
        <w:t>deficit of RON 18.06 billion (1.67% of GDP) in 2020</w:t>
      </w:r>
      <w:r w:rsidR="000304A7" w:rsidRPr="000304A7">
        <w:rPr>
          <w:rFonts w:ascii="Tahoma" w:hAnsi="Tahoma" w:cs="Tahoma"/>
          <w:b/>
          <w:sz w:val="24"/>
          <w:szCs w:val="24"/>
          <w:lang w:val="en-GB"/>
        </w:rPr>
        <w:t xml:space="preserve"> Q1</w:t>
      </w:r>
      <w:r w:rsidRPr="000304A7">
        <w:rPr>
          <w:rFonts w:ascii="Tahoma" w:hAnsi="Tahoma" w:cs="Tahoma"/>
          <w:sz w:val="24"/>
          <w:szCs w:val="24"/>
          <w:lang w:val="en-GB"/>
        </w:rPr>
        <w:t xml:space="preserve"> (Annexes 1 and 2).</w:t>
      </w:r>
    </w:p>
    <w:p w14:paraId="2CA265F8" w14:textId="23BD86BC" w:rsidR="00527C1A" w:rsidRPr="000304A7" w:rsidRDefault="00DD2F8C" w:rsidP="002B3CC9">
      <w:pPr>
        <w:shd w:val="clear" w:color="auto" w:fill="DEEAF6" w:themeFill="accent1" w:themeFillTint="33"/>
        <w:spacing w:after="120" w:line="360" w:lineRule="auto"/>
        <w:jc w:val="both"/>
        <w:rPr>
          <w:rFonts w:ascii="Tahoma" w:hAnsi="Tahoma" w:cs="Tahoma"/>
          <w:sz w:val="24"/>
          <w:szCs w:val="24"/>
          <w:lang w:val="en-GB"/>
        </w:rPr>
      </w:pPr>
      <w:r>
        <w:rPr>
          <w:rFonts w:ascii="Tahoma" w:hAnsi="Tahoma" w:cs="Tahoma"/>
          <w:sz w:val="24"/>
          <w:szCs w:val="24"/>
          <w:lang w:val="en-GB"/>
        </w:rPr>
        <w:t>A</w:t>
      </w:r>
      <w:r w:rsidR="002D5D75" w:rsidRPr="006F7665">
        <w:rPr>
          <w:rFonts w:ascii="Tahoma" w:hAnsi="Tahoma" w:cs="Tahoma"/>
          <w:sz w:val="24"/>
          <w:szCs w:val="24"/>
          <w:lang w:val="en-GB"/>
        </w:rPr>
        <w:t xml:space="preserve"> </w:t>
      </w:r>
      <w:r w:rsidR="006F7665" w:rsidRPr="006F7665">
        <w:rPr>
          <w:rFonts w:ascii="Tahoma" w:hAnsi="Tahoma" w:cs="Tahoma"/>
          <w:sz w:val="24"/>
          <w:szCs w:val="24"/>
          <w:lang w:val="en-GB"/>
        </w:rPr>
        <w:t>larger</w:t>
      </w:r>
      <w:r w:rsidR="006F7665">
        <w:rPr>
          <w:rFonts w:ascii="Tahoma" w:hAnsi="Tahoma" w:cs="Tahoma"/>
          <w:sz w:val="24"/>
          <w:szCs w:val="24"/>
          <w:lang w:val="en-GB"/>
        </w:rPr>
        <w:t xml:space="preserve"> deficit</w:t>
      </w:r>
      <w:r w:rsidR="00527C1A" w:rsidRPr="000304A7">
        <w:rPr>
          <w:rFonts w:ascii="Tahoma" w:hAnsi="Tahoma" w:cs="Tahoma"/>
          <w:sz w:val="24"/>
          <w:szCs w:val="24"/>
          <w:lang w:val="en-GB"/>
        </w:rPr>
        <w:t xml:space="preserve"> compared to </w:t>
      </w:r>
      <w:r w:rsidR="002D5D75" w:rsidRPr="000304A7">
        <w:rPr>
          <w:rFonts w:ascii="Tahoma" w:hAnsi="Tahoma" w:cs="Tahoma"/>
          <w:sz w:val="24"/>
          <w:szCs w:val="24"/>
          <w:lang w:val="en-GB"/>
        </w:rPr>
        <w:t>2019</w:t>
      </w:r>
      <w:r w:rsidR="000304A7" w:rsidRPr="000304A7">
        <w:rPr>
          <w:rFonts w:ascii="Tahoma" w:hAnsi="Tahoma" w:cs="Tahoma"/>
          <w:sz w:val="24"/>
          <w:szCs w:val="24"/>
          <w:lang w:val="en-GB"/>
        </w:rPr>
        <w:t xml:space="preserve"> Q1</w:t>
      </w:r>
      <w:r w:rsidR="00527C1A" w:rsidRPr="000304A7">
        <w:rPr>
          <w:rFonts w:ascii="Tahoma" w:hAnsi="Tahoma" w:cs="Tahoma"/>
          <w:sz w:val="24"/>
          <w:szCs w:val="24"/>
          <w:lang w:val="en-GB"/>
        </w:rPr>
        <w:t xml:space="preserve"> </w:t>
      </w:r>
      <w:r w:rsidR="002D5D75" w:rsidRPr="000304A7">
        <w:rPr>
          <w:rFonts w:ascii="Tahoma" w:hAnsi="Tahoma" w:cs="Tahoma"/>
          <w:sz w:val="24"/>
          <w:szCs w:val="24"/>
          <w:lang w:val="en-GB"/>
        </w:rPr>
        <w:t>mainly reflects</w:t>
      </w:r>
      <w:r w:rsidR="00527C1A" w:rsidRPr="000304A7">
        <w:rPr>
          <w:rFonts w:ascii="Tahoma" w:hAnsi="Tahoma" w:cs="Tahoma"/>
          <w:sz w:val="24"/>
          <w:szCs w:val="24"/>
          <w:lang w:val="en-GB"/>
        </w:rPr>
        <w:t xml:space="preserve"> the unfavourable evolution of revenues in March due to </w:t>
      </w:r>
      <w:r w:rsidR="002D5D75" w:rsidRPr="000304A7">
        <w:rPr>
          <w:rFonts w:ascii="Tahoma" w:hAnsi="Tahoma" w:cs="Tahoma"/>
          <w:sz w:val="24"/>
          <w:szCs w:val="24"/>
          <w:lang w:val="en-GB"/>
        </w:rPr>
        <w:t>deferred payment of taxes</w:t>
      </w:r>
      <w:r w:rsidR="00527C1A" w:rsidRPr="000304A7">
        <w:rPr>
          <w:rFonts w:ascii="Tahoma" w:hAnsi="Tahoma" w:cs="Tahoma"/>
          <w:sz w:val="24"/>
          <w:szCs w:val="24"/>
          <w:lang w:val="en-GB"/>
        </w:rPr>
        <w:t xml:space="preserve"> during the state of emergency (RON 7.7 billion)</w:t>
      </w:r>
      <w:r w:rsidR="00092E29">
        <w:rPr>
          <w:rStyle w:val="FootnoteReference"/>
          <w:rFonts w:ascii="Tahoma" w:hAnsi="Tahoma" w:cs="Tahoma"/>
          <w:sz w:val="24"/>
          <w:szCs w:val="24"/>
          <w:lang w:val="en-GB"/>
        </w:rPr>
        <w:footnoteReference w:id="1"/>
      </w:r>
      <w:r w:rsidR="00527C1A" w:rsidRPr="000304A7">
        <w:rPr>
          <w:rFonts w:ascii="Tahoma" w:hAnsi="Tahoma" w:cs="Tahoma"/>
          <w:sz w:val="24"/>
          <w:szCs w:val="24"/>
          <w:lang w:val="en-GB"/>
        </w:rPr>
        <w:t xml:space="preserve"> and higher VAT reimbursement by RON 3</w:t>
      </w:r>
      <w:r w:rsidR="00FE36F8">
        <w:rPr>
          <w:rFonts w:ascii="Tahoma" w:hAnsi="Tahoma" w:cs="Tahoma"/>
          <w:sz w:val="24"/>
          <w:szCs w:val="24"/>
          <w:lang w:val="en-GB"/>
        </w:rPr>
        <w:t>.</w:t>
      </w:r>
      <w:r w:rsidR="00527C1A" w:rsidRPr="000304A7">
        <w:rPr>
          <w:rFonts w:ascii="Tahoma" w:hAnsi="Tahoma" w:cs="Tahoma"/>
          <w:sz w:val="24"/>
          <w:szCs w:val="24"/>
          <w:lang w:val="en-GB"/>
        </w:rPr>
        <w:t xml:space="preserve">17 billion in order to support private </w:t>
      </w:r>
      <w:r w:rsidR="002D5D75" w:rsidRPr="000304A7">
        <w:rPr>
          <w:rFonts w:ascii="Tahoma" w:hAnsi="Tahoma" w:cs="Tahoma"/>
          <w:sz w:val="24"/>
          <w:szCs w:val="24"/>
          <w:lang w:val="en-GB"/>
        </w:rPr>
        <w:t>companies’ liquidity</w:t>
      </w:r>
      <w:r w:rsidR="00527C1A" w:rsidRPr="000304A7">
        <w:rPr>
          <w:rFonts w:ascii="Tahoma" w:hAnsi="Tahoma" w:cs="Tahoma"/>
          <w:sz w:val="24"/>
          <w:szCs w:val="24"/>
          <w:lang w:val="en-GB"/>
        </w:rPr>
        <w:t xml:space="preserve">. Furthermore, on the expenditure side, </w:t>
      </w:r>
      <w:r w:rsidR="002D5D75" w:rsidRPr="000304A7">
        <w:rPr>
          <w:rFonts w:ascii="Tahoma" w:hAnsi="Tahoma" w:cs="Tahoma"/>
          <w:sz w:val="24"/>
          <w:szCs w:val="24"/>
          <w:lang w:val="en-GB"/>
        </w:rPr>
        <w:t>higher</w:t>
      </w:r>
      <w:r w:rsidR="00527C1A" w:rsidRPr="000304A7">
        <w:rPr>
          <w:rFonts w:ascii="Tahoma" w:hAnsi="Tahoma" w:cs="Tahoma"/>
          <w:sz w:val="24"/>
          <w:szCs w:val="24"/>
          <w:lang w:val="en-GB"/>
        </w:rPr>
        <w:t xml:space="preserve"> investment by RON </w:t>
      </w:r>
      <w:r w:rsidR="003B617D" w:rsidRPr="000304A7">
        <w:rPr>
          <w:rFonts w:ascii="Tahoma" w:hAnsi="Tahoma" w:cs="Tahoma"/>
          <w:sz w:val="24"/>
          <w:szCs w:val="24"/>
          <w:lang w:val="en-GB"/>
        </w:rPr>
        <w:sym w:font="Symbol" w:char="F07E"/>
      </w:r>
      <w:r w:rsidR="00527C1A" w:rsidRPr="000304A7">
        <w:rPr>
          <w:rFonts w:ascii="Tahoma" w:hAnsi="Tahoma" w:cs="Tahoma"/>
          <w:sz w:val="24"/>
          <w:szCs w:val="24"/>
          <w:lang w:val="en-GB"/>
        </w:rPr>
        <w:t>1.0 billion compared 2019</w:t>
      </w:r>
      <w:r w:rsidR="000304A7" w:rsidRPr="000304A7">
        <w:rPr>
          <w:rFonts w:ascii="Tahoma" w:hAnsi="Tahoma" w:cs="Tahoma"/>
          <w:sz w:val="24"/>
          <w:szCs w:val="24"/>
          <w:lang w:val="en-GB"/>
        </w:rPr>
        <w:t xml:space="preserve"> </w:t>
      </w:r>
      <w:r w:rsidR="00527C1A" w:rsidRPr="000304A7">
        <w:rPr>
          <w:rFonts w:ascii="Tahoma" w:hAnsi="Tahoma" w:cs="Tahoma"/>
          <w:sz w:val="24"/>
          <w:szCs w:val="24"/>
          <w:lang w:val="en-GB"/>
        </w:rPr>
        <w:t xml:space="preserve">Q1, as well as RON </w:t>
      </w:r>
      <w:r w:rsidR="003B617D" w:rsidRPr="000304A7">
        <w:rPr>
          <w:rFonts w:ascii="Tahoma" w:hAnsi="Tahoma" w:cs="Tahoma"/>
          <w:sz w:val="24"/>
          <w:szCs w:val="24"/>
          <w:lang w:val="en-GB"/>
        </w:rPr>
        <w:sym w:font="Symbol" w:char="F07E"/>
      </w:r>
      <w:r w:rsidR="00527C1A" w:rsidRPr="000304A7">
        <w:rPr>
          <w:rFonts w:ascii="Tahoma" w:hAnsi="Tahoma" w:cs="Tahoma"/>
          <w:sz w:val="24"/>
          <w:szCs w:val="24"/>
          <w:lang w:val="en-GB"/>
        </w:rPr>
        <w:t>1 billion payments in advance for the transitional national aid in the vegetal and zootechnic</w:t>
      </w:r>
      <w:r w:rsidR="003C1227">
        <w:rPr>
          <w:rFonts w:ascii="Tahoma" w:hAnsi="Tahoma" w:cs="Tahoma"/>
          <w:sz w:val="24"/>
          <w:szCs w:val="24"/>
          <w:lang w:val="en-GB"/>
        </w:rPr>
        <w:t>al</w:t>
      </w:r>
      <w:r w:rsidR="00527C1A" w:rsidRPr="000304A7">
        <w:rPr>
          <w:rFonts w:ascii="Tahoma" w:hAnsi="Tahoma" w:cs="Tahoma"/>
          <w:sz w:val="24"/>
          <w:szCs w:val="24"/>
          <w:lang w:val="en-GB"/>
        </w:rPr>
        <w:t xml:space="preserve"> sector contributed to the increase of the deficit.</w:t>
      </w:r>
    </w:p>
    <w:p w14:paraId="6D2EB29C" w14:textId="77777777" w:rsidR="00016F63" w:rsidRPr="000304A7" w:rsidRDefault="00016F63" w:rsidP="000141BF">
      <w:pPr>
        <w:pStyle w:val="ListParagraph"/>
        <w:spacing w:line="360" w:lineRule="auto"/>
        <w:jc w:val="both"/>
        <w:rPr>
          <w:rFonts w:ascii="Tahoma" w:hAnsi="Tahoma" w:cs="Tahoma"/>
          <w:b/>
          <w:color w:val="FF0000"/>
          <w:sz w:val="24"/>
          <w:szCs w:val="24"/>
          <w:lang w:val="en-GB"/>
        </w:rPr>
      </w:pPr>
    </w:p>
    <w:p w14:paraId="3386F602" w14:textId="77777777" w:rsidR="00503750" w:rsidRPr="000304A7" w:rsidRDefault="00503750" w:rsidP="000141BF">
      <w:pPr>
        <w:pStyle w:val="ListParagraph"/>
        <w:spacing w:line="360" w:lineRule="auto"/>
        <w:jc w:val="both"/>
        <w:rPr>
          <w:rFonts w:ascii="Tahoma" w:hAnsi="Tahoma" w:cs="Tahoma"/>
          <w:b/>
          <w:color w:val="FF0000"/>
          <w:sz w:val="24"/>
          <w:szCs w:val="24"/>
          <w:lang w:val="en-GB"/>
        </w:rPr>
      </w:pPr>
    </w:p>
    <w:p w14:paraId="5B98792D" w14:textId="77777777" w:rsidR="00527C1A" w:rsidRPr="000304A7" w:rsidRDefault="00527C1A" w:rsidP="00527C1A">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4"/>
          <w:szCs w:val="24"/>
          <w:lang w:val="en-GB"/>
        </w:rPr>
      </w:pPr>
      <w:r w:rsidRPr="000304A7">
        <w:rPr>
          <w:rFonts w:ascii="Tahoma" w:hAnsi="Tahoma" w:cs="Tahoma"/>
          <w:b/>
          <w:caps/>
          <w:color w:val="0070C0"/>
          <w:sz w:val="24"/>
          <w:szCs w:val="24"/>
          <w:lang w:val="en-GB"/>
        </w:rPr>
        <w:t>general government revenue</w:t>
      </w:r>
    </w:p>
    <w:p w14:paraId="036D9402" w14:textId="77777777" w:rsidR="000F1E3F" w:rsidRPr="000304A7" w:rsidRDefault="000F1E3F" w:rsidP="000F1E3F">
      <w:pPr>
        <w:spacing w:after="120" w:line="240" w:lineRule="auto"/>
        <w:rPr>
          <w:rFonts w:ascii="Tahoma" w:hAnsi="Tahoma" w:cs="Tahoma"/>
          <w:b/>
          <w:color w:val="FF0000"/>
          <w:sz w:val="24"/>
          <w:szCs w:val="24"/>
          <w:lang w:val="en-GB"/>
        </w:rPr>
      </w:pPr>
    </w:p>
    <w:p w14:paraId="1DD3D058" w14:textId="1C6E3698" w:rsidR="00527C1A" w:rsidRPr="000304A7" w:rsidRDefault="00527C1A" w:rsidP="001648BC">
      <w:pPr>
        <w:shd w:val="clear" w:color="auto" w:fill="D9D9D9" w:themeFill="background1" w:themeFillShade="D9"/>
        <w:spacing w:after="120" w:line="360" w:lineRule="auto"/>
        <w:jc w:val="both"/>
        <w:rPr>
          <w:rFonts w:ascii="Tahoma" w:hAnsi="Tahoma" w:cs="Tahoma"/>
          <w:color w:val="000000" w:themeColor="text1"/>
          <w:sz w:val="24"/>
          <w:szCs w:val="24"/>
          <w:lang w:val="en-GB"/>
        </w:rPr>
      </w:pPr>
      <w:r w:rsidRPr="000304A7">
        <w:rPr>
          <w:rFonts w:ascii="Tahoma" w:hAnsi="Tahoma" w:cs="Tahoma"/>
          <w:color w:val="000000" w:themeColor="text1"/>
          <w:sz w:val="24"/>
          <w:szCs w:val="24"/>
          <w:lang w:val="en-GB"/>
        </w:rPr>
        <w:t>Total revenue amounted to RON 72.23 billion in 2020</w:t>
      </w:r>
      <w:r w:rsidR="000304A7">
        <w:rPr>
          <w:rFonts w:ascii="Tahoma" w:hAnsi="Tahoma" w:cs="Tahoma"/>
          <w:color w:val="000000" w:themeColor="text1"/>
          <w:sz w:val="24"/>
          <w:szCs w:val="24"/>
          <w:lang w:val="en-GB"/>
        </w:rPr>
        <w:t xml:space="preserve"> Q1</w:t>
      </w:r>
      <w:r w:rsidRPr="000304A7">
        <w:rPr>
          <w:rFonts w:ascii="Tahoma" w:hAnsi="Tahoma" w:cs="Tahoma"/>
          <w:color w:val="000000" w:themeColor="text1"/>
          <w:sz w:val="24"/>
          <w:szCs w:val="24"/>
          <w:lang w:val="en-GB"/>
        </w:rPr>
        <w:t>, down by 3.3% compared to 2019</w:t>
      </w:r>
      <w:r w:rsidR="000304A7">
        <w:rPr>
          <w:rFonts w:ascii="Tahoma" w:hAnsi="Tahoma" w:cs="Tahoma"/>
          <w:color w:val="000000" w:themeColor="text1"/>
          <w:sz w:val="24"/>
          <w:szCs w:val="24"/>
          <w:lang w:val="en-GB"/>
        </w:rPr>
        <w:t xml:space="preserve"> Q1</w:t>
      </w:r>
      <w:r w:rsidRPr="000304A7">
        <w:rPr>
          <w:rFonts w:ascii="Tahoma" w:hAnsi="Tahoma" w:cs="Tahoma"/>
          <w:color w:val="000000" w:themeColor="text1"/>
          <w:sz w:val="24"/>
          <w:szCs w:val="24"/>
          <w:lang w:val="en-GB"/>
        </w:rPr>
        <w:t xml:space="preserve">, mainly reflecting a contraction </w:t>
      </w:r>
      <w:r w:rsidR="000304A7">
        <w:rPr>
          <w:rFonts w:ascii="Tahoma" w:hAnsi="Tahoma" w:cs="Tahoma"/>
          <w:color w:val="000000" w:themeColor="text1"/>
          <w:sz w:val="24"/>
          <w:szCs w:val="24"/>
          <w:lang w:val="en-GB"/>
        </w:rPr>
        <w:t>in</w:t>
      </w:r>
      <w:r w:rsidRPr="000304A7">
        <w:rPr>
          <w:rFonts w:ascii="Tahoma" w:hAnsi="Tahoma" w:cs="Tahoma"/>
          <w:color w:val="000000" w:themeColor="text1"/>
          <w:sz w:val="24"/>
          <w:szCs w:val="24"/>
          <w:lang w:val="en-GB"/>
        </w:rPr>
        <w:t xml:space="preserve"> revenues in March (-25.1% </w:t>
      </w:r>
      <w:proofErr w:type="spellStart"/>
      <w:r w:rsidRPr="000304A7">
        <w:rPr>
          <w:rFonts w:ascii="Tahoma" w:hAnsi="Tahoma" w:cs="Tahoma"/>
          <w:color w:val="000000" w:themeColor="text1"/>
          <w:sz w:val="24"/>
          <w:szCs w:val="24"/>
          <w:lang w:val="en-GB"/>
        </w:rPr>
        <w:t>yoy</w:t>
      </w:r>
      <w:proofErr w:type="spellEnd"/>
      <w:r w:rsidRPr="000304A7">
        <w:rPr>
          <w:rFonts w:ascii="Tahoma" w:hAnsi="Tahoma" w:cs="Tahoma"/>
          <w:color w:val="000000" w:themeColor="text1"/>
          <w:sz w:val="24"/>
          <w:szCs w:val="24"/>
          <w:lang w:val="en-GB"/>
        </w:rPr>
        <w:t xml:space="preserve">) as a result of fiscal facilities </w:t>
      </w:r>
      <w:r w:rsidR="00FE36F8">
        <w:rPr>
          <w:rFonts w:ascii="Tahoma" w:hAnsi="Tahoma" w:cs="Tahoma"/>
          <w:color w:val="000000" w:themeColor="text1"/>
          <w:sz w:val="24"/>
          <w:szCs w:val="24"/>
          <w:lang w:val="en-GB"/>
        </w:rPr>
        <w:t>implemented</w:t>
      </w:r>
      <w:r w:rsidRPr="000304A7">
        <w:rPr>
          <w:rFonts w:ascii="Tahoma" w:hAnsi="Tahoma" w:cs="Tahoma"/>
          <w:color w:val="000000" w:themeColor="text1"/>
          <w:sz w:val="24"/>
          <w:szCs w:val="24"/>
          <w:lang w:val="en-GB"/>
        </w:rPr>
        <w:t xml:space="preserve"> to support the econom</w:t>
      </w:r>
      <w:r w:rsidR="00FE36F8">
        <w:rPr>
          <w:rFonts w:ascii="Tahoma" w:hAnsi="Tahoma" w:cs="Tahoma"/>
          <w:color w:val="000000" w:themeColor="text1"/>
          <w:sz w:val="24"/>
          <w:szCs w:val="24"/>
          <w:lang w:val="en-GB"/>
        </w:rPr>
        <w:t>ic activity</w:t>
      </w:r>
      <w:r w:rsidRPr="000304A7">
        <w:rPr>
          <w:rFonts w:ascii="Tahoma" w:hAnsi="Tahoma" w:cs="Tahoma"/>
          <w:color w:val="000000" w:themeColor="text1"/>
          <w:sz w:val="24"/>
          <w:szCs w:val="24"/>
          <w:lang w:val="en-GB"/>
        </w:rPr>
        <w:t xml:space="preserve"> </w:t>
      </w:r>
      <w:r w:rsidR="003B617D">
        <w:rPr>
          <w:rFonts w:ascii="Tahoma" w:hAnsi="Tahoma" w:cs="Tahoma"/>
          <w:color w:val="000000" w:themeColor="text1"/>
          <w:sz w:val="24"/>
          <w:szCs w:val="24"/>
          <w:lang w:val="en-GB"/>
        </w:rPr>
        <w:t>during</w:t>
      </w:r>
      <w:r w:rsidRPr="000304A7">
        <w:rPr>
          <w:rFonts w:ascii="Tahoma" w:hAnsi="Tahoma" w:cs="Tahoma"/>
          <w:color w:val="000000" w:themeColor="text1"/>
          <w:sz w:val="24"/>
          <w:szCs w:val="24"/>
          <w:lang w:val="en-GB"/>
        </w:rPr>
        <w:t xml:space="preserve"> the state of emergency. </w:t>
      </w:r>
      <w:r w:rsidR="007D6184" w:rsidRPr="000304A7">
        <w:rPr>
          <w:rFonts w:ascii="Tahoma" w:hAnsi="Tahoma" w:cs="Tahoma"/>
          <w:color w:val="000000" w:themeColor="text1"/>
          <w:sz w:val="24"/>
          <w:szCs w:val="24"/>
          <w:lang w:val="en-GB"/>
        </w:rPr>
        <w:t>However,</w:t>
      </w:r>
      <w:r w:rsidR="000304A7">
        <w:rPr>
          <w:rFonts w:ascii="Tahoma" w:hAnsi="Tahoma" w:cs="Tahoma"/>
          <w:color w:val="000000" w:themeColor="text1"/>
          <w:sz w:val="24"/>
          <w:szCs w:val="24"/>
          <w:lang w:val="en-GB"/>
        </w:rPr>
        <w:t xml:space="preserve"> in March,</w:t>
      </w:r>
      <w:r w:rsidR="007D6184" w:rsidRPr="000304A7">
        <w:rPr>
          <w:rFonts w:ascii="Tahoma" w:hAnsi="Tahoma" w:cs="Tahoma"/>
          <w:color w:val="000000" w:themeColor="text1"/>
          <w:sz w:val="24"/>
          <w:szCs w:val="24"/>
          <w:lang w:val="en-GB"/>
        </w:rPr>
        <w:t xml:space="preserve"> t</w:t>
      </w:r>
      <w:r w:rsidRPr="000304A7">
        <w:rPr>
          <w:rFonts w:ascii="Tahoma" w:hAnsi="Tahoma" w:cs="Tahoma"/>
          <w:color w:val="000000" w:themeColor="text1"/>
          <w:sz w:val="24"/>
          <w:szCs w:val="24"/>
          <w:lang w:val="en-GB"/>
        </w:rPr>
        <w:t xml:space="preserve">he total </w:t>
      </w:r>
      <w:r w:rsidR="003B617D">
        <w:rPr>
          <w:rFonts w:ascii="Tahoma" w:hAnsi="Tahoma" w:cs="Tahoma"/>
          <w:color w:val="000000" w:themeColor="text1"/>
          <w:sz w:val="24"/>
          <w:szCs w:val="24"/>
          <w:lang w:val="en-GB"/>
        </w:rPr>
        <w:t>amount</w:t>
      </w:r>
      <w:r w:rsidRPr="000304A7">
        <w:rPr>
          <w:rFonts w:ascii="Tahoma" w:hAnsi="Tahoma" w:cs="Tahoma"/>
          <w:color w:val="000000" w:themeColor="text1"/>
          <w:sz w:val="24"/>
          <w:szCs w:val="24"/>
          <w:lang w:val="en-GB"/>
        </w:rPr>
        <w:t xml:space="preserve"> of fiscal obligations </w:t>
      </w:r>
      <w:r w:rsidR="007D6184" w:rsidRPr="000304A7">
        <w:rPr>
          <w:rFonts w:ascii="Tahoma" w:hAnsi="Tahoma" w:cs="Tahoma"/>
          <w:color w:val="000000" w:themeColor="text1"/>
          <w:sz w:val="24"/>
          <w:szCs w:val="24"/>
          <w:lang w:val="en-GB"/>
        </w:rPr>
        <w:t xml:space="preserve">declared to </w:t>
      </w:r>
      <w:r w:rsidR="000304A7">
        <w:rPr>
          <w:rFonts w:ascii="Tahoma" w:hAnsi="Tahoma" w:cs="Tahoma"/>
          <w:color w:val="000000" w:themeColor="text1"/>
          <w:sz w:val="24"/>
          <w:szCs w:val="24"/>
          <w:lang w:val="en-GB"/>
        </w:rPr>
        <w:t xml:space="preserve">the </w:t>
      </w:r>
      <w:r w:rsidR="007D6184" w:rsidRPr="000304A7">
        <w:rPr>
          <w:rFonts w:ascii="Tahoma" w:hAnsi="Tahoma" w:cs="Tahoma"/>
          <w:color w:val="000000" w:themeColor="text1"/>
          <w:sz w:val="24"/>
          <w:szCs w:val="24"/>
          <w:lang w:val="en-GB"/>
        </w:rPr>
        <w:t xml:space="preserve">National Agency for Fiscal Administration was RON 24.63 billion (+8,5% </w:t>
      </w:r>
      <w:proofErr w:type="spellStart"/>
      <w:r w:rsidR="007D6184" w:rsidRPr="000304A7">
        <w:rPr>
          <w:rFonts w:ascii="Tahoma" w:hAnsi="Tahoma" w:cs="Tahoma"/>
          <w:color w:val="000000" w:themeColor="text1"/>
          <w:sz w:val="24"/>
          <w:szCs w:val="24"/>
          <w:lang w:val="en-GB"/>
        </w:rPr>
        <w:t>yoy</w:t>
      </w:r>
      <w:proofErr w:type="spellEnd"/>
      <w:r w:rsidR="007D6184" w:rsidRPr="000304A7">
        <w:rPr>
          <w:rFonts w:ascii="Tahoma" w:hAnsi="Tahoma" w:cs="Tahoma"/>
          <w:color w:val="000000" w:themeColor="text1"/>
          <w:sz w:val="24"/>
          <w:szCs w:val="24"/>
          <w:lang w:val="en-GB"/>
        </w:rPr>
        <w:t>), but revenue</w:t>
      </w:r>
      <w:r w:rsidR="00FE36F8">
        <w:rPr>
          <w:rFonts w:ascii="Tahoma" w:hAnsi="Tahoma" w:cs="Tahoma"/>
          <w:color w:val="000000" w:themeColor="text1"/>
          <w:sz w:val="24"/>
          <w:szCs w:val="24"/>
          <w:lang w:val="en-GB"/>
        </w:rPr>
        <w:t>s</w:t>
      </w:r>
      <w:r w:rsidR="007D6184" w:rsidRPr="000304A7">
        <w:rPr>
          <w:rFonts w:ascii="Tahoma" w:hAnsi="Tahoma" w:cs="Tahoma"/>
          <w:color w:val="000000" w:themeColor="text1"/>
          <w:sz w:val="24"/>
          <w:szCs w:val="24"/>
          <w:lang w:val="en-GB"/>
        </w:rPr>
        <w:t xml:space="preserve"> collected </w:t>
      </w:r>
      <w:r w:rsidR="00FE36F8">
        <w:rPr>
          <w:rFonts w:ascii="Tahoma" w:hAnsi="Tahoma" w:cs="Tahoma"/>
          <w:color w:val="000000" w:themeColor="text1"/>
          <w:sz w:val="24"/>
          <w:szCs w:val="24"/>
          <w:lang w:val="en-GB"/>
        </w:rPr>
        <w:t>were</w:t>
      </w:r>
      <w:r w:rsidR="007D6184" w:rsidRPr="000304A7">
        <w:rPr>
          <w:rFonts w:ascii="Tahoma" w:hAnsi="Tahoma" w:cs="Tahoma"/>
          <w:color w:val="000000" w:themeColor="text1"/>
          <w:sz w:val="24"/>
          <w:szCs w:val="24"/>
          <w:lang w:val="en-GB"/>
        </w:rPr>
        <w:t xml:space="preserve"> RON 16.95 billion</w:t>
      </w:r>
      <w:r w:rsidR="000304A7">
        <w:rPr>
          <w:rFonts w:ascii="Tahoma" w:hAnsi="Tahoma" w:cs="Tahoma"/>
          <w:color w:val="000000" w:themeColor="text1"/>
          <w:sz w:val="24"/>
          <w:szCs w:val="24"/>
          <w:lang w:val="en-GB"/>
        </w:rPr>
        <w:t xml:space="preserve"> due to deferral of tax payments. </w:t>
      </w:r>
    </w:p>
    <w:p w14:paraId="61EC7B9C" w14:textId="77777777" w:rsidR="000434BF" w:rsidRPr="000304A7" w:rsidRDefault="000434BF" w:rsidP="00CF1ED7">
      <w:pPr>
        <w:spacing w:after="120" w:line="360" w:lineRule="auto"/>
        <w:jc w:val="both"/>
        <w:rPr>
          <w:rFonts w:ascii="Tahoma" w:hAnsi="Tahoma" w:cs="Tahoma"/>
          <w:color w:val="FF0000"/>
          <w:sz w:val="24"/>
          <w:szCs w:val="24"/>
          <w:lang w:val="en-GB"/>
        </w:rPr>
      </w:pPr>
    </w:p>
    <w:p w14:paraId="484EFFFD" w14:textId="77777777" w:rsidR="00034BC4" w:rsidRPr="000304A7" w:rsidRDefault="008760F7" w:rsidP="00CF1ED7">
      <w:pPr>
        <w:spacing w:after="120" w:line="360" w:lineRule="auto"/>
        <w:jc w:val="both"/>
        <w:rPr>
          <w:rFonts w:ascii="Tahoma" w:hAnsi="Tahoma" w:cs="Tahoma"/>
          <w:color w:val="000000" w:themeColor="text1"/>
          <w:sz w:val="24"/>
          <w:szCs w:val="24"/>
          <w:lang w:val="en-GB"/>
        </w:rPr>
      </w:pPr>
      <w:r w:rsidRPr="000304A7">
        <w:rPr>
          <w:rFonts w:ascii="Tahoma" w:hAnsi="Tahoma" w:cs="Tahoma"/>
          <w:b/>
          <w:i/>
          <w:color w:val="000000" w:themeColor="text1"/>
          <w:sz w:val="24"/>
          <w:szCs w:val="24"/>
          <w:lang w:val="en-GB"/>
        </w:rPr>
        <w:t>Personal income tax</w:t>
      </w:r>
      <w:r w:rsidRPr="000304A7">
        <w:rPr>
          <w:rFonts w:ascii="Tahoma" w:hAnsi="Tahoma" w:cs="Tahoma"/>
          <w:color w:val="000000" w:themeColor="text1"/>
          <w:sz w:val="24"/>
          <w:szCs w:val="24"/>
          <w:lang w:val="en-GB"/>
        </w:rPr>
        <w:t xml:space="preserve"> receipts amounted to RON 6.0 billion in 2020</w:t>
      </w:r>
      <w:r w:rsidR="000304A7">
        <w:rPr>
          <w:rFonts w:ascii="Tahoma" w:hAnsi="Tahoma" w:cs="Tahoma"/>
          <w:color w:val="000000" w:themeColor="text1"/>
          <w:sz w:val="24"/>
          <w:szCs w:val="24"/>
          <w:lang w:val="en-GB"/>
        </w:rPr>
        <w:t xml:space="preserve"> Q1</w:t>
      </w:r>
      <w:r w:rsidRPr="000304A7">
        <w:rPr>
          <w:rFonts w:ascii="Tahoma" w:hAnsi="Tahoma" w:cs="Tahoma"/>
          <w:color w:val="000000" w:themeColor="text1"/>
          <w:sz w:val="24"/>
          <w:szCs w:val="24"/>
          <w:lang w:val="en-GB"/>
        </w:rPr>
        <w:t xml:space="preserve">, up by 8.5% </w:t>
      </w:r>
      <w:proofErr w:type="spellStart"/>
      <w:r w:rsidRPr="000304A7">
        <w:rPr>
          <w:rFonts w:ascii="Tahoma" w:hAnsi="Tahoma" w:cs="Tahoma"/>
          <w:color w:val="000000" w:themeColor="text1"/>
          <w:sz w:val="24"/>
          <w:szCs w:val="24"/>
          <w:lang w:val="en-GB"/>
        </w:rPr>
        <w:t>yoy</w:t>
      </w:r>
      <w:proofErr w:type="spellEnd"/>
      <w:r w:rsidR="00034BC4" w:rsidRPr="000304A7">
        <w:rPr>
          <w:rFonts w:ascii="Tahoma" w:hAnsi="Tahoma" w:cs="Tahoma"/>
          <w:color w:val="000000" w:themeColor="text1"/>
          <w:sz w:val="24"/>
          <w:szCs w:val="24"/>
          <w:lang w:val="en-GB"/>
        </w:rPr>
        <w:t xml:space="preserve">. This dynamics was </w:t>
      </w:r>
      <w:r w:rsidR="00F33CB1" w:rsidRPr="000304A7">
        <w:rPr>
          <w:rFonts w:ascii="Tahoma" w:hAnsi="Tahoma" w:cs="Tahoma"/>
          <w:color w:val="000000" w:themeColor="text1"/>
          <w:sz w:val="24"/>
          <w:szCs w:val="24"/>
          <w:lang w:val="en-GB"/>
        </w:rPr>
        <w:t>backed</w:t>
      </w:r>
      <w:r w:rsidR="00034BC4" w:rsidRPr="000304A7">
        <w:rPr>
          <w:rFonts w:ascii="Tahoma" w:hAnsi="Tahoma" w:cs="Tahoma"/>
          <w:color w:val="000000" w:themeColor="text1"/>
          <w:sz w:val="24"/>
          <w:szCs w:val="24"/>
          <w:lang w:val="en-GB"/>
        </w:rPr>
        <w:t xml:space="preserve"> by</w:t>
      </w:r>
      <w:r w:rsidR="00C17A01">
        <w:rPr>
          <w:rFonts w:ascii="Tahoma" w:hAnsi="Tahoma" w:cs="Tahoma"/>
          <w:color w:val="000000" w:themeColor="text1"/>
          <w:sz w:val="24"/>
          <w:szCs w:val="24"/>
          <w:lang w:val="en-GB"/>
        </w:rPr>
        <w:t>:</w:t>
      </w:r>
      <w:r w:rsidR="00034BC4" w:rsidRPr="000304A7">
        <w:rPr>
          <w:rFonts w:ascii="Tahoma" w:hAnsi="Tahoma" w:cs="Tahoma"/>
          <w:color w:val="000000" w:themeColor="text1"/>
          <w:sz w:val="24"/>
          <w:szCs w:val="24"/>
          <w:lang w:val="en-GB"/>
        </w:rPr>
        <w:t xml:space="preserve"> </w:t>
      </w:r>
      <w:r w:rsidR="00C17A01">
        <w:rPr>
          <w:rFonts w:ascii="Tahoma" w:hAnsi="Tahoma" w:cs="Tahoma"/>
          <w:color w:val="000000" w:themeColor="text1"/>
          <w:sz w:val="24"/>
          <w:szCs w:val="24"/>
          <w:lang w:val="en-GB"/>
        </w:rPr>
        <w:t>(</w:t>
      </w:r>
      <w:proofErr w:type="spellStart"/>
      <w:r w:rsidR="00C17A01">
        <w:rPr>
          <w:rFonts w:ascii="Tahoma" w:hAnsi="Tahoma" w:cs="Tahoma"/>
          <w:color w:val="000000" w:themeColor="text1"/>
          <w:sz w:val="24"/>
          <w:szCs w:val="24"/>
          <w:lang w:val="en-GB"/>
        </w:rPr>
        <w:t>i</w:t>
      </w:r>
      <w:proofErr w:type="spellEnd"/>
      <w:r w:rsidR="00C17A01">
        <w:rPr>
          <w:rFonts w:ascii="Tahoma" w:hAnsi="Tahoma" w:cs="Tahoma"/>
          <w:color w:val="000000" w:themeColor="text1"/>
          <w:sz w:val="24"/>
          <w:szCs w:val="24"/>
          <w:lang w:val="en-GB"/>
        </w:rPr>
        <w:t xml:space="preserve">) an increase of 0.7% of the </w:t>
      </w:r>
      <w:r w:rsidR="00B66E5B">
        <w:rPr>
          <w:rFonts w:ascii="Tahoma" w:hAnsi="Tahoma" w:cs="Tahoma"/>
          <w:color w:val="000000" w:themeColor="text1"/>
          <w:sz w:val="24"/>
          <w:szCs w:val="24"/>
          <w:lang w:val="en-GB"/>
        </w:rPr>
        <w:t xml:space="preserve">total </w:t>
      </w:r>
      <w:r w:rsidR="00C17A01">
        <w:rPr>
          <w:rFonts w:ascii="Tahoma" w:hAnsi="Tahoma" w:cs="Tahoma"/>
          <w:color w:val="000000" w:themeColor="text1"/>
          <w:sz w:val="24"/>
          <w:szCs w:val="24"/>
          <w:lang w:val="en-GB"/>
        </w:rPr>
        <w:t xml:space="preserve">number of employees and </w:t>
      </w:r>
      <w:r w:rsidR="00C17A01">
        <w:rPr>
          <w:rFonts w:ascii="Tahoma" w:hAnsi="Tahoma" w:cs="Tahoma"/>
          <w:color w:val="000000" w:themeColor="text1"/>
          <w:sz w:val="24"/>
          <w:szCs w:val="24"/>
          <w:lang w:val="en-GB"/>
        </w:rPr>
        <w:lastRenderedPageBreak/>
        <w:t xml:space="preserve">9.2% of gross wages </w:t>
      </w:r>
      <w:r w:rsidR="00034BC4" w:rsidRPr="000304A7">
        <w:rPr>
          <w:rFonts w:ascii="Tahoma" w:hAnsi="Tahoma" w:cs="Tahoma"/>
          <w:color w:val="000000" w:themeColor="text1"/>
          <w:sz w:val="24"/>
          <w:szCs w:val="24"/>
          <w:lang w:val="en-GB"/>
        </w:rPr>
        <w:t xml:space="preserve">during Dec </w:t>
      </w:r>
      <w:r w:rsidR="00034BC4" w:rsidRPr="000304A7">
        <w:rPr>
          <w:rFonts w:ascii="Tahoma" w:hAnsi="Tahoma" w:cs="Tahoma"/>
          <w:color w:val="000000" w:themeColor="text1"/>
          <w:sz w:val="24"/>
          <w:szCs w:val="24"/>
          <w:lang w:val="en-GB"/>
        </w:rPr>
        <w:sym w:font="Symbol" w:char="F0A2"/>
      </w:r>
      <w:r w:rsidR="00034BC4" w:rsidRPr="000304A7">
        <w:rPr>
          <w:rFonts w:ascii="Tahoma" w:hAnsi="Tahoma" w:cs="Tahoma"/>
          <w:color w:val="000000" w:themeColor="text1"/>
          <w:sz w:val="24"/>
          <w:szCs w:val="24"/>
          <w:lang w:val="en-GB"/>
        </w:rPr>
        <w:t xml:space="preserve">19-Feb </w:t>
      </w:r>
      <w:r w:rsidR="00034BC4" w:rsidRPr="000304A7">
        <w:rPr>
          <w:rFonts w:ascii="Tahoma" w:hAnsi="Tahoma" w:cs="Tahoma"/>
          <w:color w:val="000000" w:themeColor="text1"/>
          <w:sz w:val="24"/>
          <w:szCs w:val="24"/>
          <w:lang w:val="en-GB"/>
        </w:rPr>
        <w:sym w:font="Symbol" w:char="F0A2"/>
      </w:r>
      <w:r w:rsidR="00034BC4" w:rsidRPr="000304A7">
        <w:rPr>
          <w:rFonts w:ascii="Tahoma" w:hAnsi="Tahoma" w:cs="Tahoma"/>
          <w:color w:val="000000" w:themeColor="text1"/>
          <w:sz w:val="24"/>
          <w:szCs w:val="24"/>
          <w:lang w:val="en-GB"/>
        </w:rPr>
        <w:t xml:space="preserve">20 compared to the </w:t>
      </w:r>
      <w:r w:rsidR="00C17A01">
        <w:rPr>
          <w:rFonts w:ascii="Tahoma" w:hAnsi="Tahoma" w:cs="Tahoma"/>
          <w:color w:val="000000" w:themeColor="text1"/>
          <w:sz w:val="24"/>
          <w:szCs w:val="24"/>
          <w:lang w:val="en-GB"/>
        </w:rPr>
        <w:t>same</w:t>
      </w:r>
      <w:r w:rsidR="00034BC4" w:rsidRPr="000304A7">
        <w:rPr>
          <w:rFonts w:ascii="Tahoma" w:hAnsi="Tahoma" w:cs="Tahoma"/>
          <w:color w:val="000000" w:themeColor="text1"/>
          <w:sz w:val="24"/>
          <w:szCs w:val="24"/>
          <w:lang w:val="en-GB"/>
        </w:rPr>
        <w:t xml:space="preserve"> period </w:t>
      </w:r>
      <w:r w:rsidR="00C17A01">
        <w:rPr>
          <w:rFonts w:ascii="Tahoma" w:hAnsi="Tahoma" w:cs="Tahoma"/>
          <w:color w:val="000000" w:themeColor="text1"/>
          <w:sz w:val="24"/>
          <w:szCs w:val="24"/>
          <w:lang w:val="en-GB"/>
        </w:rPr>
        <w:t>a</w:t>
      </w:r>
      <w:r w:rsidR="00034BC4" w:rsidRPr="000304A7">
        <w:rPr>
          <w:rFonts w:ascii="Tahoma" w:hAnsi="Tahoma" w:cs="Tahoma"/>
          <w:color w:val="000000" w:themeColor="text1"/>
          <w:sz w:val="24"/>
          <w:szCs w:val="24"/>
          <w:lang w:val="en-GB"/>
        </w:rPr>
        <w:t xml:space="preserve"> year </w:t>
      </w:r>
      <w:r w:rsidR="00C17A01">
        <w:rPr>
          <w:rFonts w:ascii="Tahoma" w:hAnsi="Tahoma" w:cs="Tahoma"/>
          <w:color w:val="000000" w:themeColor="text1"/>
          <w:sz w:val="24"/>
          <w:szCs w:val="24"/>
          <w:lang w:val="en-GB"/>
        </w:rPr>
        <w:t xml:space="preserve">ago </w:t>
      </w:r>
      <w:r w:rsidR="00034BC4" w:rsidRPr="000304A7">
        <w:rPr>
          <w:rFonts w:ascii="Tahoma" w:hAnsi="Tahoma" w:cs="Tahoma"/>
          <w:color w:val="000000" w:themeColor="text1"/>
          <w:sz w:val="24"/>
          <w:szCs w:val="24"/>
          <w:lang w:val="en-GB"/>
        </w:rPr>
        <w:t xml:space="preserve">and </w:t>
      </w:r>
      <w:r w:rsidR="00C17A01">
        <w:rPr>
          <w:rFonts w:ascii="Tahoma" w:hAnsi="Tahoma" w:cs="Tahoma"/>
          <w:color w:val="000000" w:themeColor="text1"/>
          <w:sz w:val="24"/>
          <w:szCs w:val="24"/>
          <w:lang w:val="en-GB"/>
        </w:rPr>
        <w:t xml:space="preserve">(ii) </w:t>
      </w:r>
      <w:r w:rsidR="00034BC4" w:rsidRPr="000304A7">
        <w:rPr>
          <w:rFonts w:ascii="Tahoma" w:hAnsi="Tahoma" w:cs="Tahoma"/>
          <w:color w:val="000000" w:themeColor="text1"/>
          <w:sz w:val="24"/>
          <w:szCs w:val="24"/>
          <w:lang w:val="en-GB"/>
        </w:rPr>
        <w:t xml:space="preserve">the increase of minimum wage from RON 2,080 to RON 2,230. </w:t>
      </w:r>
    </w:p>
    <w:p w14:paraId="19BF7177" w14:textId="77759AD2" w:rsidR="00F33CB1" w:rsidRPr="000304A7" w:rsidRDefault="00C17A01" w:rsidP="00CF1ED7">
      <w:pPr>
        <w:spacing w:after="120" w:line="360" w:lineRule="auto"/>
        <w:jc w:val="both"/>
        <w:rPr>
          <w:rFonts w:ascii="Tahoma" w:hAnsi="Tahoma" w:cs="Tahoma"/>
          <w:color w:val="000000" w:themeColor="text1"/>
          <w:sz w:val="24"/>
          <w:szCs w:val="24"/>
          <w:lang w:val="en-GB"/>
        </w:rPr>
      </w:pPr>
      <w:r>
        <w:rPr>
          <w:rFonts w:ascii="Tahoma" w:hAnsi="Tahoma" w:cs="Tahoma"/>
          <w:color w:val="000000" w:themeColor="text1"/>
          <w:sz w:val="24"/>
          <w:szCs w:val="24"/>
          <w:lang w:val="en-GB"/>
        </w:rPr>
        <w:t>I</w:t>
      </w:r>
      <w:r w:rsidR="00F33CB1" w:rsidRPr="000304A7">
        <w:rPr>
          <w:rFonts w:ascii="Tahoma" w:hAnsi="Tahoma" w:cs="Tahoma"/>
          <w:color w:val="000000" w:themeColor="text1"/>
          <w:sz w:val="24"/>
          <w:szCs w:val="24"/>
          <w:lang w:val="en-GB"/>
        </w:rPr>
        <w:t>ncome tax receipts increased by 10% (</w:t>
      </w:r>
      <w:proofErr w:type="spellStart"/>
      <w:r w:rsidR="00F33CB1" w:rsidRPr="000304A7">
        <w:rPr>
          <w:rFonts w:ascii="Tahoma" w:hAnsi="Tahoma" w:cs="Tahoma"/>
          <w:color w:val="000000" w:themeColor="text1"/>
          <w:sz w:val="24"/>
          <w:szCs w:val="24"/>
          <w:lang w:val="en-GB"/>
        </w:rPr>
        <w:t>yoy</w:t>
      </w:r>
      <w:proofErr w:type="spellEnd"/>
      <w:r w:rsidR="00F33CB1" w:rsidRPr="000304A7">
        <w:rPr>
          <w:rFonts w:ascii="Tahoma" w:hAnsi="Tahoma" w:cs="Tahoma"/>
          <w:color w:val="000000" w:themeColor="text1"/>
          <w:sz w:val="24"/>
          <w:szCs w:val="24"/>
          <w:lang w:val="en-GB"/>
        </w:rPr>
        <w:t xml:space="preserve">) </w:t>
      </w:r>
      <w:r>
        <w:rPr>
          <w:rFonts w:ascii="Tahoma" w:hAnsi="Tahoma" w:cs="Tahoma"/>
          <w:color w:val="000000" w:themeColor="text1"/>
          <w:sz w:val="24"/>
          <w:szCs w:val="24"/>
          <w:lang w:val="en-GB"/>
        </w:rPr>
        <w:t>i</w:t>
      </w:r>
      <w:r w:rsidRPr="000304A7">
        <w:rPr>
          <w:rFonts w:ascii="Tahoma" w:hAnsi="Tahoma" w:cs="Tahoma"/>
          <w:color w:val="000000" w:themeColor="text1"/>
          <w:sz w:val="24"/>
          <w:szCs w:val="24"/>
          <w:lang w:val="en-GB"/>
        </w:rPr>
        <w:t xml:space="preserve">n </w:t>
      </w:r>
      <w:r w:rsidR="00A372FE">
        <w:rPr>
          <w:rFonts w:ascii="Tahoma" w:hAnsi="Tahoma" w:cs="Tahoma"/>
          <w:color w:val="000000" w:themeColor="text1"/>
          <w:sz w:val="24"/>
          <w:szCs w:val="24"/>
          <w:lang w:val="en-GB"/>
        </w:rPr>
        <w:t>J</w:t>
      </w:r>
      <w:r w:rsidRPr="000304A7">
        <w:rPr>
          <w:rFonts w:ascii="Tahoma" w:hAnsi="Tahoma" w:cs="Tahoma"/>
          <w:color w:val="000000" w:themeColor="text1"/>
          <w:sz w:val="24"/>
          <w:szCs w:val="24"/>
          <w:lang w:val="en-GB"/>
        </w:rPr>
        <w:t>an – Feb 2020</w:t>
      </w:r>
      <w:r>
        <w:rPr>
          <w:rFonts w:ascii="Tahoma" w:hAnsi="Tahoma" w:cs="Tahoma"/>
          <w:color w:val="000000" w:themeColor="text1"/>
          <w:sz w:val="24"/>
          <w:szCs w:val="24"/>
          <w:lang w:val="en-GB"/>
        </w:rPr>
        <w:t xml:space="preserve"> amid</w:t>
      </w:r>
      <w:r w:rsidR="00F33CB1" w:rsidRPr="000304A7">
        <w:rPr>
          <w:rFonts w:ascii="Tahoma" w:hAnsi="Tahoma" w:cs="Tahoma"/>
          <w:color w:val="000000" w:themeColor="text1"/>
          <w:sz w:val="24"/>
          <w:szCs w:val="24"/>
          <w:lang w:val="en-GB"/>
        </w:rPr>
        <w:t xml:space="preserve"> accelerating wage bill by 9.4% in </w:t>
      </w:r>
      <w:r w:rsidR="00FE36F8">
        <w:rPr>
          <w:rFonts w:ascii="Tahoma" w:hAnsi="Tahoma" w:cs="Tahoma"/>
          <w:color w:val="000000" w:themeColor="text1"/>
          <w:sz w:val="24"/>
          <w:szCs w:val="24"/>
          <w:lang w:val="en-GB"/>
        </w:rPr>
        <w:t>February</w:t>
      </w:r>
      <w:r w:rsidR="00F33CB1" w:rsidRPr="000304A7">
        <w:rPr>
          <w:rFonts w:ascii="Tahoma" w:hAnsi="Tahoma" w:cs="Tahoma"/>
          <w:color w:val="000000" w:themeColor="text1"/>
          <w:sz w:val="24"/>
          <w:szCs w:val="24"/>
          <w:lang w:val="en-GB"/>
        </w:rPr>
        <w:t xml:space="preserve"> (</w:t>
      </w:r>
      <w:proofErr w:type="spellStart"/>
      <w:r w:rsidR="00F33CB1" w:rsidRPr="000304A7">
        <w:rPr>
          <w:rFonts w:ascii="Tahoma" w:hAnsi="Tahoma" w:cs="Tahoma"/>
          <w:color w:val="000000" w:themeColor="text1"/>
          <w:sz w:val="24"/>
          <w:szCs w:val="24"/>
          <w:lang w:val="en-GB"/>
        </w:rPr>
        <w:t>yoy</w:t>
      </w:r>
      <w:proofErr w:type="spellEnd"/>
      <w:r w:rsidR="00F33CB1" w:rsidRPr="000304A7">
        <w:rPr>
          <w:rFonts w:ascii="Tahoma" w:hAnsi="Tahoma" w:cs="Tahoma"/>
          <w:color w:val="000000" w:themeColor="text1"/>
          <w:sz w:val="24"/>
          <w:szCs w:val="24"/>
          <w:lang w:val="en-GB"/>
        </w:rPr>
        <w:t>)</w:t>
      </w:r>
      <w:r>
        <w:rPr>
          <w:rFonts w:ascii="Tahoma" w:hAnsi="Tahoma" w:cs="Tahoma"/>
          <w:color w:val="000000" w:themeColor="text1"/>
          <w:sz w:val="24"/>
          <w:szCs w:val="24"/>
          <w:lang w:val="en-GB"/>
        </w:rPr>
        <w:t>,</w:t>
      </w:r>
      <w:r w:rsidR="00F33CB1" w:rsidRPr="000304A7">
        <w:rPr>
          <w:rFonts w:ascii="Tahoma" w:hAnsi="Tahoma" w:cs="Tahoma"/>
          <w:color w:val="000000" w:themeColor="text1"/>
          <w:sz w:val="24"/>
          <w:szCs w:val="24"/>
          <w:lang w:val="en-GB"/>
        </w:rPr>
        <w:t xml:space="preserve"> but </w:t>
      </w:r>
      <w:r w:rsidR="00B76D22">
        <w:rPr>
          <w:rFonts w:ascii="Tahoma" w:hAnsi="Tahoma" w:cs="Tahoma"/>
          <w:color w:val="000000" w:themeColor="text1"/>
          <w:sz w:val="24"/>
          <w:szCs w:val="24"/>
          <w:lang w:val="en-GB"/>
        </w:rPr>
        <w:t>then revenues</w:t>
      </w:r>
      <w:r w:rsidR="00F33CB1" w:rsidRPr="000304A7">
        <w:rPr>
          <w:rFonts w:ascii="Tahoma" w:hAnsi="Tahoma" w:cs="Tahoma"/>
          <w:color w:val="000000" w:themeColor="text1"/>
          <w:sz w:val="24"/>
          <w:szCs w:val="24"/>
          <w:lang w:val="en-GB"/>
        </w:rPr>
        <w:t xml:space="preserve"> decreased in March by 9% </w:t>
      </w:r>
      <w:r w:rsidR="00B76D22">
        <w:rPr>
          <w:rFonts w:ascii="Tahoma" w:hAnsi="Tahoma" w:cs="Tahoma"/>
          <w:color w:val="000000" w:themeColor="text1"/>
          <w:sz w:val="24"/>
          <w:szCs w:val="24"/>
          <w:lang w:val="en-GB"/>
        </w:rPr>
        <w:t>(</w:t>
      </w:r>
      <w:proofErr w:type="spellStart"/>
      <w:r w:rsidR="00F33CB1" w:rsidRPr="000304A7">
        <w:rPr>
          <w:rFonts w:ascii="Tahoma" w:hAnsi="Tahoma" w:cs="Tahoma"/>
          <w:color w:val="000000" w:themeColor="text1"/>
          <w:sz w:val="24"/>
          <w:szCs w:val="24"/>
          <w:lang w:val="en-GB"/>
        </w:rPr>
        <w:t>yoy</w:t>
      </w:r>
      <w:proofErr w:type="spellEnd"/>
      <w:r w:rsidR="00B76D22">
        <w:rPr>
          <w:rFonts w:ascii="Tahoma" w:hAnsi="Tahoma" w:cs="Tahoma"/>
          <w:color w:val="000000" w:themeColor="text1"/>
          <w:sz w:val="24"/>
          <w:szCs w:val="24"/>
          <w:lang w:val="en-GB"/>
        </w:rPr>
        <w:t>)</w:t>
      </w:r>
      <w:r w:rsidR="00F33CB1" w:rsidRPr="000304A7">
        <w:rPr>
          <w:rFonts w:ascii="Tahoma" w:hAnsi="Tahoma" w:cs="Tahoma"/>
          <w:color w:val="000000" w:themeColor="text1"/>
          <w:sz w:val="24"/>
          <w:szCs w:val="24"/>
          <w:lang w:val="en-GB"/>
        </w:rPr>
        <w:t xml:space="preserve"> </w:t>
      </w:r>
      <w:r w:rsidR="003B617D">
        <w:rPr>
          <w:rFonts w:ascii="Tahoma" w:hAnsi="Tahoma" w:cs="Tahoma"/>
          <w:color w:val="000000" w:themeColor="text1"/>
          <w:sz w:val="24"/>
          <w:szCs w:val="24"/>
          <w:lang w:val="en-GB"/>
        </w:rPr>
        <w:t xml:space="preserve">as a consequence of </w:t>
      </w:r>
      <w:r w:rsidR="00F33CB1" w:rsidRPr="000304A7">
        <w:rPr>
          <w:rFonts w:ascii="Tahoma" w:hAnsi="Tahoma" w:cs="Tahoma"/>
          <w:color w:val="000000" w:themeColor="text1"/>
          <w:sz w:val="24"/>
          <w:szCs w:val="24"/>
          <w:lang w:val="en-GB"/>
        </w:rPr>
        <w:t xml:space="preserve">the fiscal measures adopted in the context of </w:t>
      </w:r>
      <w:r w:rsidR="00092E29">
        <w:rPr>
          <w:rFonts w:ascii="Tahoma" w:hAnsi="Tahoma" w:cs="Tahoma"/>
          <w:color w:val="000000" w:themeColor="text1"/>
          <w:sz w:val="24"/>
          <w:szCs w:val="24"/>
          <w:lang w:val="en-GB"/>
        </w:rPr>
        <w:t xml:space="preserve">the </w:t>
      </w:r>
      <w:r w:rsidR="00F33CB1" w:rsidRPr="000304A7">
        <w:rPr>
          <w:rFonts w:ascii="Tahoma" w:hAnsi="Tahoma" w:cs="Tahoma"/>
          <w:color w:val="000000" w:themeColor="text1"/>
          <w:sz w:val="24"/>
          <w:szCs w:val="24"/>
          <w:lang w:val="en-GB"/>
        </w:rPr>
        <w:t>state of emergency</w:t>
      </w:r>
      <w:r w:rsidR="00013D6D">
        <w:rPr>
          <w:rStyle w:val="FootnoteReference"/>
          <w:rFonts w:ascii="Tahoma" w:hAnsi="Tahoma" w:cs="Tahoma"/>
          <w:color w:val="000000" w:themeColor="text1"/>
          <w:sz w:val="24"/>
          <w:szCs w:val="24"/>
          <w:lang w:val="en-GB"/>
        </w:rPr>
        <w:footnoteReference w:id="2"/>
      </w:r>
      <w:r w:rsidR="00F33CB1" w:rsidRPr="000304A7">
        <w:rPr>
          <w:rFonts w:ascii="Tahoma" w:hAnsi="Tahoma" w:cs="Tahoma"/>
          <w:color w:val="000000" w:themeColor="text1"/>
          <w:sz w:val="24"/>
          <w:szCs w:val="24"/>
          <w:lang w:val="en-GB"/>
        </w:rPr>
        <w:t xml:space="preserve">. </w:t>
      </w:r>
    </w:p>
    <w:p w14:paraId="6070B2ED" w14:textId="1F08C008" w:rsidR="00CF1ED7" w:rsidRDefault="00CF1ED7" w:rsidP="0073781B">
      <w:pPr>
        <w:spacing w:after="0" w:line="240" w:lineRule="auto"/>
        <w:contextualSpacing/>
        <w:jc w:val="center"/>
        <w:rPr>
          <w:rFonts w:ascii="Tahoma" w:hAnsi="Tahoma" w:cs="Tahoma"/>
          <w:color w:val="FF0000"/>
          <w:sz w:val="24"/>
          <w:szCs w:val="24"/>
          <w:lang w:val="en-GB"/>
        </w:rPr>
      </w:pPr>
    </w:p>
    <w:p w14:paraId="0DC136E1" w14:textId="3104FE4A" w:rsidR="009F336B" w:rsidRPr="000304A7" w:rsidRDefault="009F336B" w:rsidP="0073781B">
      <w:pPr>
        <w:spacing w:after="0" w:line="240" w:lineRule="auto"/>
        <w:contextualSpacing/>
        <w:jc w:val="center"/>
        <w:rPr>
          <w:rFonts w:ascii="Tahoma" w:hAnsi="Tahoma" w:cs="Tahoma"/>
          <w:color w:val="FF0000"/>
          <w:sz w:val="24"/>
          <w:szCs w:val="24"/>
          <w:lang w:val="en-GB"/>
        </w:rPr>
      </w:pPr>
      <w:r>
        <w:rPr>
          <w:rFonts w:ascii="Tahoma" w:hAnsi="Tahoma" w:cs="Tahoma"/>
          <w:noProof/>
          <w:color w:val="FF0000"/>
          <w:sz w:val="24"/>
          <w:szCs w:val="24"/>
          <w:lang w:val="en-US"/>
        </w:rPr>
        <w:drawing>
          <wp:inline distT="0" distB="0" distL="0" distR="0" wp14:anchorId="6E8233A3" wp14:editId="5E05C94F">
            <wp:extent cx="6161452" cy="2578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3493" cy="2583775"/>
                    </a:xfrm>
                    <a:prstGeom prst="rect">
                      <a:avLst/>
                    </a:prstGeom>
                    <a:noFill/>
                  </pic:spPr>
                </pic:pic>
              </a:graphicData>
            </a:graphic>
          </wp:inline>
        </w:drawing>
      </w:r>
    </w:p>
    <w:p w14:paraId="5E8D1FFD" w14:textId="77777777" w:rsidR="00013D6D" w:rsidRPr="00526852" w:rsidRDefault="00013D6D" w:rsidP="00013D6D">
      <w:pPr>
        <w:pStyle w:val="ListParagraph"/>
        <w:spacing w:line="360" w:lineRule="auto"/>
        <w:jc w:val="both"/>
        <w:rPr>
          <w:rFonts w:ascii="Tahoma" w:hAnsi="Tahoma" w:cs="Tahoma"/>
          <w:color w:val="767171" w:themeColor="background2" w:themeShade="80"/>
          <w:sz w:val="20"/>
          <w:szCs w:val="24"/>
          <w:lang w:val="en-GB"/>
        </w:rPr>
      </w:pPr>
      <w:r w:rsidRPr="00526852">
        <w:rPr>
          <w:rFonts w:ascii="Tahoma" w:hAnsi="Tahoma" w:cs="Tahoma"/>
          <w:color w:val="767171" w:themeColor="background2" w:themeShade="80"/>
          <w:sz w:val="20"/>
          <w:szCs w:val="24"/>
          <w:lang w:val="en-GB"/>
        </w:rPr>
        <w:t xml:space="preserve">Source: </w:t>
      </w:r>
      <w:proofErr w:type="spellStart"/>
      <w:r w:rsidRPr="00526852">
        <w:rPr>
          <w:rFonts w:ascii="Tahoma" w:hAnsi="Tahoma" w:cs="Tahoma"/>
          <w:color w:val="767171" w:themeColor="background2" w:themeShade="80"/>
          <w:sz w:val="20"/>
          <w:szCs w:val="24"/>
          <w:lang w:val="en-GB"/>
        </w:rPr>
        <w:t>MoPF</w:t>
      </w:r>
      <w:proofErr w:type="spellEnd"/>
      <w:r w:rsidRPr="00526852">
        <w:rPr>
          <w:rFonts w:ascii="Tahoma" w:hAnsi="Tahoma" w:cs="Tahoma"/>
          <w:color w:val="767171" w:themeColor="background2" w:themeShade="80"/>
          <w:sz w:val="20"/>
          <w:szCs w:val="24"/>
          <w:lang w:val="en-GB"/>
        </w:rPr>
        <w:t>, NIS, own calculations</w:t>
      </w:r>
    </w:p>
    <w:p w14:paraId="67110A58" w14:textId="77777777" w:rsidR="00CF1ED7" w:rsidRPr="00013D6D" w:rsidRDefault="00CF1ED7" w:rsidP="00F30899">
      <w:pPr>
        <w:pStyle w:val="ListParagraph"/>
        <w:spacing w:before="240" w:line="360" w:lineRule="auto"/>
        <w:jc w:val="center"/>
        <w:rPr>
          <w:rFonts w:ascii="Tahoma" w:hAnsi="Tahoma" w:cs="Tahoma"/>
          <w:b/>
          <w:color w:val="767171" w:themeColor="background2" w:themeShade="80"/>
          <w:szCs w:val="24"/>
        </w:rPr>
      </w:pPr>
      <w:r w:rsidRPr="00013D6D">
        <w:rPr>
          <w:rFonts w:ascii="Tahoma" w:hAnsi="Tahoma" w:cs="Tahoma"/>
          <w:b/>
          <w:color w:val="767171" w:themeColor="background2" w:themeShade="80"/>
          <w:szCs w:val="24"/>
        </w:rPr>
        <w:t>Fig.</w:t>
      </w:r>
      <w:r w:rsidR="000D2B64" w:rsidRPr="00013D6D">
        <w:rPr>
          <w:rFonts w:ascii="Tahoma" w:hAnsi="Tahoma" w:cs="Tahoma"/>
          <w:b/>
          <w:color w:val="767171" w:themeColor="background2" w:themeShade="80"/>
          <w:szCs w:val="24"/>
        </w:rPr>
        <w:t>1</w:t>
      </w:r>
      <w:r w:rsidR="00013D6D" w:rsidRPr="00013D6D">
        <w:rPr>
          <w:rFonts w:ascii="Tahoma" w:hAnsi="Tahoma" w:cs="Tahoma"/>
          <w:b/>
          <w:color w:val="767171" w:themeColor="background2" w:themeShade="80"/>
          <w:szCs w:val="24"/>
        </w:rPr>
        <w:t xml:space="preserve"> </w:t>
      </w:r>
      <w:r w:rsidR="00013D6D">
        <w:rPr>
          <w:rFonts w:ascii="Tahoma" w:hAnsi="Tahoma" w:cs="Tahoma"/>
          <w:b/>
          <w:color w:val="767171" w:themeColor="background2" w:themeShade="80"/>
          <w:szCs w:val="24"/>
        </w:rPr>
        <w:t>Personal Income Tax</w:t>
      </w:r>
      <w:r w:rsidR="00013D6D" w:rsidRPr="00811D17">
        <w:rPr>
          <w:rFonts w:ascii="Tahoma" w:hAnsi="Tahoma" w:cs="Tahoma"/>
          <w:b/>
          <w:color w:val="767171" w:themeColor="background2" w:themeShade="80"/>
          <w:szCs w:val="24"/>
        </w:rPr>
        <w:t xml:space="preserve"> </w:t>
      </w:r>
      <w:r w:rsidR="00013D6D">
        <w:rPr>
          <w:rFonts w:ascii="Tahoma" w:hAnsi="Tahoma" w:cs="Tahoma"/>
          <w:b/>
          <w:color w:val="767171" w:themeColor="background2" w:themeShade="80"/>
          <w:szCs w:val="24"/>
        </w:rPr>
        <w:t>Revenue</w:t>
      </w:r>
    </w:p>
    <w:p w14:paraId="13C6BF38" w14:textId="77777777" w:rsidR="00EE1A9C" w:rsidRDefault="00EE1A9C" w:rsidP="00016F63">
      <w:pPr>
        <w:spacing w:after="120" w:line="360" w:lineRule="auto"/>
        <w:jc w:val="both"/>
        <w:rPr>
          <w:rFonts w:ascii="Tahoma" w:hAnsi="Tahoma" w:cs="Tahoma"/>
          <w:b/>
          <w:i/>
          <w:color w:val="000000" w:themeColor="text1"/>
          <w:sz w:val="24"/>
          <w:szCs w:val="24"/>
          <w:lang w:val="en-GB"/>
        </w:rPr>
      </w:pPr>
    </w:p>
    <w:p w14:paraId="4AA27460" w14:textId="644CB94B" w:rsidR="00093703" w:rsidRPr="000304A7" w:rsidRDefault="00F33CB1" w:rsidP="00016F63">
      <w:pPr>
        <w:spacing w:after="120" w:line="360" w:lineRule="auto"/>
        <w:jc w:val="both"/>
        <w:rPr>
          <w:rFonts w:ascii="Tahoma" w:hAnsi="Tahoma" w:cs="Tahoma"/>
          <w:sz w:val="24"/>
          <w:szCs w:val="24"/>
          <w:lang w:val="en-GB"/>
        </w:rPr>
      </w:pPr>
      <w:r w:rsidRPr="000304A7">
        <w:rPr>
          <w:rFonts w:ascii="Tahoma" w:hAnsi="Tahoma" w:cs="Tahoma"/>
          <w:b/>
          <w:i/>
          <w:color w:val="000000" w:themeColor="text1"/>
          <w:sz w:val="24"/>
          <w:szCs w:val="24"/>
          <w:lang w:val="en-GB"/>
        </w:rPr>
        <w:t xml:space="preserve">Social contribution revenue </w:t>
      </w:r>
      <w:r w:rsidRPr="000304A7">
        <w:rPr>
          <w:rFonts w:ascii="Tahoma" w:hAnsi="Tahoma" w:cs="Tahoma"/>
          <w:color w:val="000000" w:themeColor="text1"/>
          <w:sz w:val="24"/>
          <w:szCs w:val="24"/>
          <w:lang w:val="en-GB"/>
        </w:rPr>
        <w:t>totalled</w:t>
      </w:r>
      <w:r w:rsidRPr="000304A7">
        <w:rPr>
          <w:rFonts w:ascii="Tahoma" w:hAnsi="Tahoma" w:cs="Tahoma"/>
          <w:i/>
          <w:color w:val="000000" w:themeColor="text1"/>
          <w:sz w:val="24"/>
          <w:szCs w:val="24"/>
          <w:lang w:val="en-GB"/>
        </w:rPr>
        <w:t xml:space="preserve"> </w:t>
      </w:r>
      <w:r w:rsidRPr="000304A7">
        <w:rPr>
          <w:rFonts w:ascii="Tahoma" w:hAnsi="Tahoma" w:cs="Tahoma"/>
          <w:color w:val="000000" w:themeColor="text1"/>
          <w:sz w:val="24"/>
          <w:szCs w:val="24"/>
          <w:lang w:val="en-GB"/>
        </w:rPr>
        <w:t>RON 27.31 billion in 2020</w:t>
      </w:r>
      <w:r w:rsidR="00C62043">
        <w:rPr>
          <w:rFonts w:ascii="Tahoma" w:hAnsi="Tahoma" w:cs="Tahoma"/>
          <w:color w:val="000000" w:themeColor="text1"/>
          <w:sz w:val="24"/>
          <w:szCs w:val="24"/>
          <w:lang w:val="en-GB"/>
        </w:rPr>
        <w:t xml:space="preserve"> </w:t>
      </w:r>
      <w:r w:rsidR="00C62043" w:rsidRPr="000304A7">
        <w:rPr>
          <w:rFonts w:ascii="Tahoma" w:hAnsi="Tahoma" w:cs="Tahoma"/>
          <w:color w:val="000000" w:themeColor="text1"/>
          <w:sz w:val="24"/>
          <w:szCs w:val="24"/>
          <w:lang w:val="en-GB"/>
        </w:rPr>
        <w:t>Q1</w:t>
      </w:r>
      <w:r w:rsidRPr="000304A7">
        <w:rPr>
          <w:rFonts w:ascii="Tahoma" w:hAnsi="Tahoma" w:cs="Tahoma"/>
          <w:color w:val="000000" w:themeColor="text1"/>
          <w:sz w:val="24"/>
          <w:szCs w:val="24"/>
          <w:lang w:val="en-GB"/>
        </w:rPr>
        <w:t xml:space="preserve">, up by 2% </w:t>
      </w:r>
      <w:proofErr w:type="spellStart"/>
      <w:r w:rsidRPr="000304A7">
        <w:rPr>
          <w:rFonts w:ascii="Tahoma" w:hAnsi="Tahoma" w:cs="Tahoma"/>
          <w:color w:val="000000" w:themeColor="text1"/>
          <w:sz w:val="24"/>
          <w:szCs w:val="24"/>
          <w:lang w:val="en-GB"/>
        </w:rPr>
        <w:t>yoy</w:t>
      </w:r>
      <w:proofErr w:type="spellEnd"/>
      <w:r w:rsidR="00C62043">
        <w:rPr>
          <w:rFonts w:ascii="Tahoma" w:hAnsi="Tahoma" w:cs="Tahoma"/>
          <w:color w:val="000000" w:themeColor="text1"/>
          <w:sz w:val="24"/>
          <w:szCs w:val="24"/>
          <w:lang w:val="en-GB"/>
        </w:rPr>
        <w:t xml:space="preserve">, mainly reflecting the </w:t>
      </w:r>
      <w:r w:rsidR="00093703" w:rsidRPr="000304A7">
        <w:rPr>
          <w:rFonts w:ascii="Tahoma" w:hAnsi="Tahoma" w:cs="Tahoma"/>
          <w:sz w:val="24"/>
          <w:szCs w:val="24"/>
          <w:lang w:val="en-GB"/>
        </w:rPr>
        <w:t xml:space="preserve">increase of minimum wage and the </w:t>
      </w:r>
      <w:r w:rsidR="00C62043">
        <w:rPr>
          <w:rFonts w:ascii="Tahoma" w:hAnsi="Tahoma" w:cs="Tahoma"/>
          <w:sz w:val="24"/>
          <w:szCs w:val="24"/>
          <w:lang w:val="en-GB"/>
        </w:rPr>
        <w:t xml:space="preserve">positive dynamics of the </w:t>
      </w:r>
      <w:r w:rsidR="00093703" w:rsidRPr="000304A7">
        <w:rPr>
          <w:rFonts w:ascii="Tahoma" w:hAnsi="Tahoma" w:cs="Tahoma"/>
          <w:sz w:val="24"/>
          <w:szCs w:val="24"/>
          <w:lang w:val="en-GB"/>
        </w:rPr>
        <w:t xml:space="preserve">same relevant macroeconomic indicators </w:t>
      </w:r>
      <w:r w:rsidR="00C62043">
        <w:rPr>
          <w:rFonts w:ascii="Tahoma" w:hAnsi="Tahoma" w:cs="Tahoma"/>
          <w:sz w:val="24"/>
          <w:szCs w:val="24"/>
          <w:lang w:val="en-GB"/>
        </w:rPr>
        <w:t>considered for</w:t>
      </w:r>
      <w:r w:rsidR="00093703" w:rsidRPr="000304A7">
        <w:rPr>
          <w:rFonts w:ascii="Tahoma" w:hAnsi="Tahoma" w:cs="Tahoma"/>
          <w:sz w:val="24"/>
          <w:szCs w:val="24"/>
          <w:lang w:val="en-GB"/>
        </w:rPr>
        <w:t xml:space="preserve"> </w:t>
      </w:r>
      <w:r w:rsidR="00C62043">
        <w:rPr>
          <w:rFonts w:ascii="Tahoma" w:hAnsi="Tahoma" w:cs="Tahoma"/>
          <w:sz w:val="24"/>
          <w:szCs w:val="24"/>
          <w:lang w:val="en-GB"/>
        </w:rPr>
        <w:t>PIT revenues</w:t>
      </w:r>
      <w:r w:rsidR="00093703" w:rsidRPr="000304A7">
        <w:rPr>
          <w:rFonts w:ascii="Tahoma" w:hAnsi="Tahoma" w:cs="Tahoma"/>
          <w:sz w:val="24"/>
          <w:szCs w:val="24"/>
          <w:lang w:val="en-GB"/>
        </w:rPr>
        <w:t>.</w:t>
      </w:r>
      <w:r w:rsidR="00FE36F8">
        <w:rPr>
          <w:rFonts w:ascii="Tahoma" w:hAnsi="Tahoma" w:cs="Tahoma"/>
          <w:sz w:val="24"/>
          <w:szCs w:val="24"/>
          <w:lang w:val="en-GB"/>
        </w:rPr>
        <w:t xml:space="preserve"> I</w:t>
      </w:r>
      <w:r w:rsidR="00C62043" w:rsidRPr="000304A7">
        <w:rPr>
          <w:rFonts w:ascii="Tahoma" w:hAnsi="Tahoma" w:cs="Tahoma"/>
          <w:sz w:val="24"/>
          <w:szCs w:val="24"/>
          <w:lang w:val="en-GB"/>
        </w:rPr>
        <w:t>n March</w:t>
      </w:r>
      <w:r w:rsidR="00C62043">
        <w:rPr>
          <w:rFonts w:ascii="Tahoma" w:hAnsi="Tahoma" w:cs="Tahoma"/>
          <w:sz w:val="24"/>
          <w:szCs w:val="24"/>
          <w:lang w:val="en-GB"/>
        </w:rPr>
        <w:t>,</w:t>
      </w:r>
      <w:r w:rsidR="00C62043" w:rsidRPr="000304A7">
        <w:rPr>
          <w:rFonts w:ascii="Tahoma" w:hAnsi="Tahoma" w:cs="Tahoma"/>
          <w:sz w:val="24"/>
          <w:szCs w:val="24"/>
          <w:lang w:val="en-GB"/>
        </w:rPr>
        <w:t xml:space="preserve"> </w:t>
      </w:r>
      <w:r w:rsidR="00FE36F8">
        <w:rPr>
          <w:rFonts w:ascii="Tahoma" w:hAnsi="Tahoma" w:cs="Tahoma"/>
          <w:sz w:val="24"/>
          <w:szCs w:val="24"/>
          <w:lang w:val="en-GB"/>
        </w:rPr>
        <w:t xml:space="preserve">the </w:t>
      </w:r>
      <w:r w:rsidR="00093703" w:rsidRPr="000304A7">
        <w:rPr>
          <w:rFonts w:ascii="Tahoma" w:hAnsi="Tahoma" w:cs="Tahoma"/>
          <w:sz w:val="24"/>
          <w:szCs w:val="24"/>
          <w:lang w:val="en-GB"/>
        </w:rPr>
        <w:t xml:space="preserve">receipts from social contributions were RON 1.7 billion lower than the fiscal obligations declared by taxpayers. </w:t>
      </w:r>
    </w:p>
    <w:p w14:paraId="55576715" w14:textId="7BE09375" w:rsidR="00C62043" w:rsidRPr="000304A7" w:rsidRDefault="00093703" w:rsidP="00016F63">
      <w:pPr>
        <w:spacing w:after="120" w:line="360" w:lineRule="auto"/>
        <w:jc w:val="both"/>
        <w:rPr>
          <w:rFonts w:ascii="Tahoma" w:hAnsi="Tahoma" w:cs="Tahoma"/>
          <w:sz w:val="24"/>
          <w:szCs w:val="24"/>
          <w:lang w:val="en-GB"/>
        </w:rPr>
      </w:pPr>
      <w:r w:rsidRPr="000304A7">
        <w:rPr>
          <w:rFonts w:ascii="Tahoma" w:hAnsi="Tahoma" w:cs="Tahoma"/>
          <w:sz w:val="24"/>
          <w:szCs w:val="24"/>
          <w:lang w:val="en-GB"/>
        </w:rPr>
        <w:t xml:space="preserve">Also, compared to the same period of </w:t>
      </w:r>
      <w:r w:rsidRPr="00EE1A9C">
        <w:rPr>
          <w:rFonts w:ascii="Tahoma" w:hAnsi="Tahoma" w:cs="Tahoma"/>
          <w:sz w:val="24"/>
          <w:szCs w:val="24"/>
          <w:lang w:val="en-GB"/>
        </w:rPr>
        <w:t xml:space="preserve">last year, social contributions revenues were adversely affected by the change in the calculation basis of social security contribution (CAS) and health insurance contribution (CASS) due by part-time employees and the extension </w:t>
      </w:r>
      <w:r w:rsidR="00FE36F8" w:rsidRPr="00EE1A9C">
        <w:rPr>
          <w:rFonts w:ascii="Tahoma" w:hAnsi="Tahoma" w:cs="Tahoma"/>
          <w:sz w:val="24"/>
          <w:szCs w:val="24"/>
          <w:lang w:val="en-GB"/>
        </w:rPr>
        <w:t>from March 15</w:t>
      </w:r>
      <w:r w:rsidR="00FE36F8" w:rsidRPr="00EE1A9C">
        <w:rPr>
          <w:rFonts w:ascii="Tahoma" w:hAnsi="Tahoma" w:cs="Tahoma"/>
          <w:sz w:val="24"/>
          <w:szCs w:val="24"/>
          <w:vertAlign w:val="superscript"/>
          <w:lang w:val="en-GB"/>
        </w:rPr>
        <w:t>th</w:t>
      </w:r>
      <w:r w:rsidR="00FE36F8" w:rsidRPr="00EE1A9C">
        <w:rPr>
          <w:rFonts w:ascii="Tahoma" w:hAnsi="Tahoma" w:cs="Tahoma"/>
          <w:sz w:val="24"/>
          <w:szCs w:val="24"/>
          <w:lang w:val="en-GB"/>
        </w:rPr>
        <w:t xml:space="preserve"> </w:t>
      </w:r>
      <w:r w:rsidR="00FE36F8" w:rsidRPr="00EE1A9C">
        <w:rPr>
          <w:rFonts w:ascii="Tahoma" w:hAnsi="Tahoma" w:cs="Tahoma"/>
          <w:sz w:val="24"/>
          <w:szCs w:val="24"/>
          <w:lang w:val="en-GB"/>
        </w:rPr>
        <w:lastRenderedPageBreak/>
        <w:t xml:space="preserve">to May </w:t>
      </w:r>
      <w:r w:rsidR="00FE36F8">
        <w:rPr>
          <w:rFonts w:ascii="Tahoma" w:hAnsi="Tahoma" w:cs="Tahoma"/>
          <w:sz w:val="24"/>
          <w:szCs w:val="24"/>
          <w:lang w:val="en-GB"/>
        </w:rPr>
        <w:t>2</w:t>
      </w:r>
      <w:r w:rsidR="00FE36F8" w:rsidRPr="00EE1A9C">
        <w:rPr>
          <w:rFonts w:ascii="Tahoma" w:hAnsi="Tahoma" w:cs="Tahoma"/>
          <w:sz w:val="24"/>
          <w:szCs w:val="24"/>
          <w:lang w:val="en-GB"/>
        </w:rPr>
        <w:t>5</w:t>
      </w:r>
      <w:r w:rsidR="00FE36F8" w:rsidRPr="00EE1A9C">
        <w:rPr>
          <w:rFonts w:ascii="Tahoma" w:hAnsi="Tahoma" w:cs="Tahoma"/>
          <w:sz w:val="24"/>
          <w:szCs w:val="24"/>
          <w:vertAlign w:val="superscript"/>
          <w:lang w:val="en-GB"/>
        </w:rPr>
        <w:t>th</w:t>
      </w:r>
      <w:r w:rsidR="00FE36F8" w:rsidRPr="00EE1A9C">
        <w:rPr>
          <w:rFonts w:ascii="Tahoma" w:hAnsi="Tahoma" w:cs="Tahoma"/>
          <w:sz w:val="24"/>
          <w:szCs w:val="24"/>
          <w:lang w:val="en-GB"/>
        </w:rPr>
        <w:t xml:space="preserve"> </w:t>
      </w:r>
      <w:r w:rsidRPr="00EE1A9C">
        <w:rPr>
          <w:rFonts w:ascii="Tahoma" w:hAnsi="Tahoma" w:cs="Tahoma"/>
          <w:sz w:val="24"/>
          <w:szCs w:val="24"/>
          <w:lang w:val="en-GB"/>
        </w:rPr>
        <w:t>of</w:t>
      </w:r>
      <w:r w:rsidR="00EE1A9C">
        <w:rPr>
          <w:rFonts w:ascii="Tahoma" w:hAnsi="Tahoma" w:cs="Tahoma"/>
          <w:sz w:val="24"/>
          <w:szCs w:val="24"/>
          <w:lang w:val="en-GB"/>
        </w:rPr>
        <w:t xml:space="preserve"> the</w:t>
      </w:r>
      <w:r w:rsidRPr="00EE1A9C">
        <w:rPr>
          <w:rFonts w:ascii="Tahoma" w:hAnsi="Tahoma" w:cs="Tahoma"/>
          <w:sz w:val="24"/>
          <w:szCs w:val="24"/>
          <w:lang w:val="en-GB"/>
        </w:rPr>
        <w:t xml:space="preserve"> </w:t>
      </w:r>
      <w:r w:rsidR="00EE1A9C" w:rsidRPr="00EE1A9C">
        <w:rPr>
          <w:rFonts w:ascii="Tahoma" w:hAnsi="Tahoma" w:cs="Tahoma"/>
          <w:sz w:val="24"/>
          <w:szCs w:val="24"/>
          <w:lang w:val="en-GB"/>
        </w:rPr>
        <w:t xml:space="preserve">submission </w:t>
      </w:r>
      <w:r w:rsidRPr="00EE1A9C">
        <w:rPr>
          <w:rFonts w:ascii="Tahoma" w:hAnsi="Tahoma" w:cs="Tahoma"/>
          <w:sz w:val="24"/>
          <w:szCs w:val="24"/>
          <w:lang w:val="en-GB"/>
        </w:rPr>
        <w:t xml:space="preserve">deadline </w:t>
      </w:r>
      <w:r w:rsidR="00C62043" w:rsidRPr="00EE1A9C">
        <w:rPr>
          <w:rFonts w:ascii="Tahoma" w:hAnsi="Tahoma" w:cs="Tahoma"/>
          <w:sz w:val="24"/>
          <w:szCs w:val="24"/>
          <w:lang w:val="en-GB"/>
        </w:rPr>
        <w:t xml:space="preserve">of the Single </w:t>
      </w:r>
      <w:r w:rsidR="00EE1A9C">
        <w:rPr>
          <w:rFonts w:ascii="Tahoma" w:hAnsi="Tahoma" w:cs="Tahoma"/>
          <w:sz w:val="24"/>
          <w:szCs w:val="24"/>
          <w:lang w:val="en-GB"/>
        </w:rPr>
        <w:t>Fiscal form for individuals with independent activities</w:t>
      </w:r>
      <w:r w:rsidR="00EE1A9C" w:rsidRPr="00EE1A9C">
        <w:rPr>
          <w:rFonts w:ascii="Tahoma" w:hAnsi="Tahoma" w:cs="Tahoma"/>
          <w:sz w:val="24"/>
          <w:szCs w:val="24"/>
          <w:lang w:val="en-GB"/>
        </w:rPr>
        <w:t>.</w:t>
      </w:r>
      <w:r w:rsidR="00C62043">
        <w:rPr>
          <w:rFonts w:ascii="Tahoma" w:hAnsi="Tahoma" w:cs="Tahoma"/>
          <w:sz w:val="24"/>
          <w:szCs w:val="24"/>
          <w:lang w:val="en-GB"/>
        </w:rPr>
        <w:t xml:space="preserve"> </w:t>
      </w:r>
    </w:p>
    <w:p w14:paraId="151A732A" w14:textId="4E2EB212" w:rsidR="00CF1ED7" w:rsidRDefault="00CF1ED7" w:rsidP="0073781B">
      <w:pPr>
        <w:spacing w:after="0" w:line="240" w:lineRule="auto"/>
        <w:jc w:val="center"/>
        <w:rPr>
          <w:rFonts w:ascii="Tahoma" w:hAnsi="Tahoma" w:cs="Tahoma"/>
          <w:color w:val="FF0000"/>
          <w:sz w:val="24"/>
          <w:szCs w:val="24"/>
          <w:lang w:val="en-GB"/>
        </w:rPr>
      </w:pPr>
    </w:p>
    <w:p w14:paraId="2DBBAEB3" w14:textId="41D43E23" w:rsidR="009F336B" w:rsidRPr="000304A7" w:rsidRDefault="00A52491" w:rsidP="0073781B">
      <w:pPr>
        <w:spacing w:after="0" w:line="240" w:lineRule="auto"/>
        <w:jc w:val="center"/>
        <w:rPr>
          <w:rFonts w:ascii="Tahoma" w:hAnsi="Tahoma" w:cs="Tahoma"/>
          <w:color w:val="FF0000"/>
          <w:sz w:val="24"/>
          <w:szCs w:val="24"/>
          <w:lang w:val="en-GB"/>
        </w:rPr>
      </w:pPr>
      <w:r>
        <w:rPr>
          <w:rFonts w:ascii="Tahoma" w:hAnsi="Tahoma" w:cs="Tahoma"/>
          <w:noProof/>
          <w:color w:val="FF0000"/>
          <w:sz w:val="24"/>
          <w:szCs w:val="24"/>
          <w:lang w:val="en-US"/>
        </w:rPr>
        <w:drawing>
          <wp:inline distT="0" distB="0" distL="0" distR="0" wp14:anchorId="7F6B9770" wp14:editId="489DD208">
            <wp:extent cx="6288405" cy="287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8873" cy="2876764"/>
                    </a:xfrm>
                    <a:prstGeom prst="rect">
                      <a:avLst/>
                    </a:prstGeom>
                    <a:noFill/>
                  </pic:spPr>
                </pic:pic>
              </a:graphicData>
            </a:graphic>
          </wp:inline>
        </w:drawing>
      </w:r>
    </w:p>
    <w:p w14:paraId="32C0C044" w14:textId="77777777" w:rsidR="00821DAF" w:rsidRPr="00526852" w:rsidRDefault="00821DAF" w:rsidP="00821DAF">
      <w:pPr>
        <w:pStyle w:val="ListParagraph"/>
        <w:spacing w:line="360" w:lineRule="auto"/>
        <w:jc w:val="both"/>
        <w:rPr>
          <w:rFonts w:ascii="Tahoma" w:hAnsi="Tahoma" w:cs="Tahoma"/>
          <w:color w:val="767171" w:themeColor="background2" w:themeShade="80"/>
          <w:sz w:val="20"/>
          <w:szCs w:val="24"/>
          <w:lang w:val="en-GB"/>
        </w:rPr>
      </w:pPr>
      <w:r w:rsidRPr="00526852">
        <w:rPr>
          <w:rFonts w:ascii="Tahoma" w:hAnsi="Tahoma" w:cs="Tahoma"/>
          <w:color w:val="767171" w:themeColor="background2" w:themeShade="80"/>
          <w:sz w:val="20"/>
          <w:szCs w:val="24"/>
          <w:lang w:val="en-GB"/>
        </w:rPr>
        <w:t xml:space="preserve">Source: </w:t>
      </w:r>
      <w:proofErr w:type="spellStart"/>
      <w:r w:rsidRPr="00526852">
        <w:rPr>
          <w:rFonts w:ascii="Tahoma" w:hAnsi="Tahoma" w:cs="Tahoma"/>
          <w:color w:val="767171" w:themeColor="background2" w:themeShade="80"/>
          <w:sz w:val="20"/>
          <w:szCs w:val="24"/>
          <w:lang w:val="en-GB"/>
        </w:rPr>
        <w:t>MoPF</w:t>
      </w:r>
      <w:proofErr w:type="spellEnd"/>
      <w:r w:rsidRPr="00526852">
        <w:rPr>
          <w:rFonts w:ascii="Tahoma" w:hAnsi="Tahoma" w:cs="Tahoma"/>
          <w:color w:val="767171" w:themeColor="background2" w:themeShade="80"/>
          <w:sz w:val="20"/>
          <w:szCs w:val="24"/>
          <w:lang w:val="en-GB"/>
        </w:rPr>
        <w:t>, NIS, own calculations</w:t>
      </w:r>
    </w:p>
    <w:p w14:paraId="279CB869" w14:textId="77777777" w:rsidR="00821DAF" w:rsidRPr="00283621" w:rsidRDefault="00821DAF" w:rsidP="00821DAF">
      <w:pPr>
        <w:pStyle w:val="ListParagraph"/>
        <w:spacing w:line="360" w:lineRule="auto"/>
        <w:jc w:val="center"/>
        <w:rPr>
          <w:lang w:val="en-GB"/>
        </w:rPr>
      </w:pPr>
      <w:r w:rsidRPr="00235FEC">
        <w:rPr>
          <w:rFonts w:ascii="Tahoma" w:hAnsi="Tahoma" w:cs="Tahoma"/>
          <w:b/>
          <w:color w:val="767171" w:themeColor="background2" w:themeShade="80"/>
          <w:szCs w:val="24"/>
          <w:lang w:val="en-GB"/>
        </w:rPr>
        <w:t xml:space="preserve">Fig.2 </w:t>
      </w:r>
      <w:r w:rsidRPr="0066150C">
        <w:rPr>
          <w:rFonts w:ascii="Tahoma" w:hAnsi="Tahoma" w:cs="Tahoma"/>
          <w:b/>
          <w:color w:val="767171" w:themeColor="background2" w:themeShade="80"/>
          <w:sz w:val="24"/>
          <w:szCs w:val="24"/>
          <w:lang w:val="en-GB"/>
        </w:rPr>
        <w:t>Social contribution revenue</w:t>
      </w:r>
    </w:p>
    <w:p w14:paraId="3A1E680A" w14:textId="5FE178A8" w:rsidR="00D71E0F" w:rsidRDefault="00D26878" w:rsidP="005E5AB8">
      <w:pPr>
        <w:spacing w:before="240" w:after="120" w:line="360" w:lineRule="auto"/>
        <w:jc w:val="both"/>
        <w:rPr>
          <w:rFonts w:ascii="Tahoma" w:hAnsi="Tahoma" w:cs="Tahoma"/>
          <w:color w:val="000000" w:themeColor="text1"/>
          <w:sz w:val="24"/>
          <w:szCs w:val="28"/>
          <w:lang w:val="en-GB"/>
        </w:rPr>
      </w:pPr>
      <w:r w:rsidRPr="000304A7">
        <w:rPr>
          <w:rFonts w:ascii="Tahoma" w:hAnsi="Tahoma" w:cs="Tahoma"/>
          <w:b/>
          <w:i/>
          <w:color w:val="000000" w:themeColor="text1"/>
          <w:sz w:val="24"/>
          <w:szCs w:val="28"/>
          <w:lang w:val="en-GB"/>
        </w:rPr>
        <w:t>Corporate income tax</w:t>
      </w:r>
      <w:r w:rsidRPr="000304A7">
        <w:rPr>
          <w:rFonts w:ascii="Tahoma" w:hAnsi="Tahoma" w:cs="Tahoma"/>
          <w:color w:val="000000" w:themeColor="text1"/>
          <w:sz w:val="24"/>
          <w:szCs w:val="28"/>
          <w:lang w:val="en-GB"/>
        </w:rPr>
        <w:t xml:space="preserve"> revenues amounted to RON 2.86 billion in 2020</w:t>
      </w:r>
      <w:r w:rsidR="009932C4">
        <w:rPr>
          <w:rFonts w:ascii="Tahoma" w:hAnsi="Tahoma" w:cs="Tahoma"/>
          <w:color w:val="000000" w:themeColor="text1"/>
          <w:sz w:val="24"/>
          <w:szCs w:val="28"/>
          <w:lang w:val="en-GB"/>
        </w:rPr>
        <w:t xml:space="preserve"> </w:t>
      </w:r>
      <w:r w:rsidR="009932C4" w:rsidRPr="000304A7">
        <w:rPr>
          <w:rFonts w:ascii="Tahoma" w:hAnsi="Tahoma" w:cs="Tahoma"/>
          <w:color w:val="000000" w:themeColor="text1"/>
          <w:sz w:val="24"/>
          <w:szCs w:val="28"/>
          <w:lang w:val="en-GB"/>
        </w:rPr>
        <w:t>Q1</w:t>
      </w:r>
      <w:r w:rsidRPr="000304A7">
        <w:rPr>
          <w:rFonts w:ascii="Tahoma" w:hAnsi="Tahoma" w:cs="Tahoma"/>
          <w:color w:val="000000" w:themeColor="text1"/>
          <w:sz w:val="24"/>
          <w:szCs w:val="28"/>
          <w:lang w:val="en-GB"/>
        </w:rPr>
        <w:t xml:space="preserve">, down by 32% (RON </w:t>
      </w:r>
      <w:r w:rsidR="00092E29">
        <w:rPr>
          <w:rFonts w:ascii="Tahoma" w:hAnsi="Tahoma" w:cs="Tahoma"/>
          <w:color w:val="000000" w:themeColor="text1"/>
          <w:sz w:val="24"/>
          <w:szCs w:val="28"/>
          <w:lang w:val="en-GB"/>
        </w:rPr>
        <w:t>-</w:t>
      </w:r>
      <w:r w:rsidRPr="000304A7">
        <w:rPr>
          <w:rFonts w:ascii="Tahoma" w:hAnsi="Tahoma" w:cs="Tahoma"/>
          <w:color w:val="000000" w:themeColor="text1"/>
          <w:sz w:val="24"/>
          <w:szCs w:val="28"/>
          <w:lang w:val="en-GB"/>
        </w:rPr>
        <w:t>1.35 billion) compared to 2019</w:t>
      </w:r>
      <w:r w:rsidR="009932C4">
        <w:rPr>
          <w:rFonts w:ascii="Tahoma" w:hAnsi="Tahoma" w:cs="Tahoma"/>
          <w:color w:val="000000" w:themeColor="text1"/>
          <w:sz w:val="24"/>
          <w:szCs w:val="28"/>
          <w:lang w:val="en-GB"/>
        </w:rPr>
        <w:t xml:space="preserve"> </w:t>
      </w:r>
      <w:r w:rsidR="009932C4" w:rsidRPr="000304A7">
        <w:rPr>
          <w:rFonts w:ascii="Tahoma" w:hAnsi="Tahoma" w:cs="Tahoma"/>
          <w:color w:val="000000" w:themeColor="text1"/>
          <w:sz w:val="24"/>
          <w:szCs w:val="28"/>
          <w:lang w:val="en-GB"/>
        </w:rPr>
        <w:t>Q1</w:t>
      </w:r>
      <w:r w:rsidRPr="000304A7">
        <w:rPr>
          <w:rFonts w:ascii="Tahoma" w:hAnsi="Tahoma" w:cs="Tahoma"/>
          <w:color w:val="000000" w:themeColor="text1"/>
          <w:sz w:val="24"/>
          <w:szCs w:val="28"/>
          <w:lang w:val="en-GB"/>
        </w:rPr>
        <w:t>, mainly due to tax deferral (GEO no. 29/2020). The structure of CIT</w:t>
      </w:r>
      <w:r w:rsidR="00857C0D">
        <w:rPr>
          <w:rFonts w:ascii="Tahoma" w:hAnsi="Tahoma" w:cs="Tahoma"/>
          <w:color w:val="000000" w:themeColor="text1"/>
          <w:sz w:val="24"/>
          <w:szCs w:val="28"/>
          <w:lang w:val="en-GB"/>
        </w:rPr>
        <w:t xml:space="preserve"> revenues</w:t>
      </w:r>
      <w:r w:rsidRPr="000304A7">
        <w:rPr>
          <w:rFonts w:ascii="Tahoma" w:hAnsi="Tahoma" w:cs="Tahoma"/>
          <w:color w:val="000000" w:themeColor="text1"/>
          <w:sz w:val="24"/>
          <w:szCs w:val="28"/>
          <w:lang w:val="en-GB"/>
        </w:rPr>
        <w:t xml:space="preserve"> underlines a </w:t>
      </w:r>
      <w:r w:rsidR="00D71E0F" w:rsidRPr="000304A7">
        <w:rPr>
          <w:rFonts w:ascii="Tahoma" w:hAnsi="Tahoma" w:cs="Tahoma"/>
          <w:color w:val="000000" w:themeColor="text1"/>
          <w:sz w:val="24"/>
          <w:szCs w:val="28"/>
          <w:lang w:val="en-GB"/>
        </w:rPr>
        <w:t>26.9%</w:t>
      </w:r>
      <w:r w:rsidR="00D71E0F">
        <w:rPr>
          <w:rFonts w:ascii="Tahoma" w:hAnsi="Tahoma" w:cs="Tahoma"/>
          <w:color w:val="000000" w:themeColor="text1"/>
          <w:sz w:val="24"/>
          <w:szCs w:val="28"/>
          <w:lang w:val="en-GB"/>
        </w:rPr>
        <w:t xml:space="preserve"> reduction </w:t>
      </w:r>
      <w:r w:rsidR="005B5267">
        <w:rPr>
          <w:rFonts w:ascii="Tahoma" w:hAnsi="Tahoma" w:cs="Tahoma"/>
          <w:color w:val="000000" w:themeColor="text1"/>
          <w:sz w:val="24"/>
          <w:szCs w:val="28"/>
          <w:lang w:val="en-GB"/>
        </w:rPr>
        <w:t>of</w:t>
      </w:r>
      <w:r w:rsidR="00D71E0F">
        <w:rPr>
          <w:rFonts w:ascii="Tahoma" w:hAnsi="Tahoma" w:cs="Tahoma"/>
          <w:color w:val="000000" w:themeColor="text1"/>
          <w:sz w:val="24"/>
          <w:szCs w:val="28"/>
          <w:lang w:val="en-GB"/>
        </w:rPr>
        <w:t xml:space="preserve"> CIT </w:t>
      </w:r>
      <w:r w:rsidR="00B74365">
        <w:rPr>
          <w:rFonts w:ascii="Tahoma" w:hAnsi="Tahoma" w:cs="Tahoma"/>
          <w:color w:val="000000" w:themeColor="text1"/>
          <w:sz w:val="24"/>
          <w:szCs w:val="28"/>
          <w:lang w:val="en-GB"/>
        </w:rPr>
        <w:t>due</w:t>
      </w:r>
      <w:r w:rsidR="00D71E0F">
        <w:rPr>
          <w:rFonts w:ascii="Tahoma" w:hAnsi="Tahoma" w:cs="Tahoma"/>
          <w:color w:val="000000" w:themeColor="text1"/>
          <w:sz w:val="24"/>
          <w:szCs w:val="28"/>
          <w:lang w:val="en-GB"/>
        </w:rPr>
        <w:t xml:space="preserve"> by companies and a </w:t>
      </w:r>
      <w:r w:rsidR="00D71E0F" w:rsidRPr="000304A7">
        <w:rPr>
          <w:rFonts w:ascii="Tahoma" w:hAnsi="Tahoma" w:cs="Tahoma"/>
          <w:color w:val="000000" w:themeColor="text1"/>
          <w:sz w:val="24"/>
          <w:szCs w:val="28"/>
          <w:lang w:val="en-GB"/>
        </w:rPr>
        <w:t xml:space="preserve">76.2% </w:t>
      </w:r>
      <w:r w:rsidR="00D71E0F">
        <w:rPr>
          <w:rFonts w:ascii="Tahoma" w:hAnsi="Tahoma" w:cs="Tahoma"/>
          <w:color w:val="000000" w:themeColor="text1"/>
          <w:sz w:val="24"/>
          <w:szCs w:val="28"/>
          <w:lang w:val="en-GB"/>
        </w:rPr>
        <w:t xml:space="preserve">reduction of </w:t>
      </w:r>
      <w:r w:rsidR="005B5267">
        <w:rPr>
          <w:rFonts w:ascii="Tahoma" w:hAnsi="Tahoma" w:cs="Tahoma"/>
          <w:color w:val="000000" w:themeColor="text1"/>
          <w:sz w:val="24"/>
          <w:szCs w:val="28"/>
          <w:lang w:val="en-GB"/>
        </w:rPr>
        <w:t>C</w:t>
      </w:r>
      <w:r w:rsidR="00D71E0F">
        <w:rPr>
          <w:rFonts w:ascii="Tahoma" w:hAnsi="Tahoma" w:cs="Tahoma"/>
          <w:color w:val="000000" w:themeColor="text1"/>
          <w:sz w:val="24"/>
          <w:szCs w:val="28"/>
          <w:lang w:val="en-GB"/>
        </w:rPr>
        <w:t xml:space="preserve">IT </w:t>
      </w:r>
      <w:r w:rsidR="00B74365">
        <w:rPr>
          <w:rFonts w:ascii="Tahoma" w:hAnsi="Tahoma" w:cs="Tahoma"/>
          <w:color w:val="000000" w:themeColor="text1"/>
          <w:sz w:val="24"/>
          <w:szCs w:val="28"/>
          <w:lang w:val="en-GB"/>
        </w:rPr>
        <w:t>due</w:t>
      </w:r>
      <w:r w:rsidR="00D71E0F">
        <w:rPr>
          <w:rFonts w:ascii="Tahoma" w:hAnsi="Tahoma" w:cs="Tahoma"/>
          <w:color w:val="000000" w:themeColor="text1"/>
          <w:sz w:val="24"/>
          <w:szCs w:val="28"/>
          <w:lang w:val="en-GB"/>
        </w:rPr>
        <w:t xml:space="preserve"> by </w:t>
      </w:r>
      <w:r w:rsidR="00092E29">
        <w:rPr>
          <w:rFonts w:ascii="Tahoma" w:hAnsi="Tahoma" w:cs="Tahoma"/>
          <w:color w:val="000000" w:themeColor="text1"/>
          <w:sz w:val="24"/>
          <w:szCs w:val="28"/>
          <w:lang w:val="en-GB"/>
        </w:rPr>
        <w:t xml:space="preserve">commercial </w:t>
      </w:r>
      <w:r w:rsidR="00D71E0F">
        <w:rPr>
          <w:rFonts w:ascii="Tahoma" w:hAnsi="Tahoma" w:cs="Tahoma"/>
          <w:color w:val="000000" w:themeColor="text1"/>
          <w:sz w:val="24"/>
          <w:szCs w:val="28"/>
          <w:lang w:val="en-GB"/>
        </w:rPr>
        <w:t xml:space="preserve">banks.  </w:t>
      </w:r>
    </w:p>
    <w:p w14:paraId="479D1978" w14:textId="2B4E31E3" w:rsidR="00D26878" w:rsidRPr="000304A7" w:rsidRDefault="00D26878" w:rsidP="005D07BD">
      <w:pPr>
        <w:spacing w:before="240" w:after="120" w:line="360" w:lineRule="auto"/>
        <w:jc w:val="both"/>
        <w:rPr>
          <w:rFonts w:ascii="Tahoma" w:hAnsi="Tahoma" w:cs="Tahoma"/>
          <w:color w:val="000000" w:themeColor="text1"/>
          <w:sz w:val="24"/>
          <w:szCs w:val="24"/>
          <w:lang w:val="en-GB"/>
        </w:rPr>
      </w:pPr>
      <w:r w:rsidRPr="000304A7">
        <w:rPr>
          <w:rFonts w:ascii="Tahoma" w:hAnsi="Tahoma" w:cs="Tahoma"/>
          <w:b/>
          <w:i/>
          <w:color w:val="000000" w:themeColor="text1"/>
          <w:sz w:val="24"/>
          <w:szCs w:val="24"/>
          <w:lang w:val="en-GB"/>
        </w:rPr>
        <w:t>VAT</w:t>
      </w:r>
      <w:r w:rsidRPr="000304A7">
        <w:rPr>
          <w:rFonts w:ascii="Tahoma" w:hAnsi="Tahoma" w:cs="Tahoma"/>
          <w:color w:val="000000" w:themeColor="text1"/>
          <w:sz w:val="24"/>
          <w:szCs w:val="24"/>
          <w:lang w:val="en-GB"/>
        </w:rPr>
        <w:t xml:space="preserve"> receipts totalled RON 12.29 billion in 2020</w:t>
      </w:r>
      <w:r w:rsidR="00CB4455">
        <w:rPr>
          <w:rFonts w:ascii="Tahoma" w:hAnsi="Tahoma" w:cs="Tahoma"/>
          <w:color w:val="000000" w:themeColor="text1"/>
          <w:sz w:val="24"/>
          <w:szCs w:val="24"/>
          <w:lang w:val="en-GB"/>
        </w:rPr>
        <w:t xml:space="preserve"> </w:t>
      </w:r>
      <w:r w:rsidR="00CB4455" w:rsidRPr="000304A7">
        <w:rPr>
          <w:rFonts w:ascii="Tahoma" w:hAnsi="Tahoma" w:cs="Tahoma"/>
          <w:color w:val="000000" w:themeColor="text1"/>
          <w:sz w:val="24"/>
          <w:szCs w:val="24"/>
          <w:lang w:val="en-GB"/>
        </w:rPr>
        <w:t>Q1</w:t>
      </w:r>
      <w:r w:rsidRPr="000304A7">
        <w:rPr>
          <w:rFonts w:ascii="Tahoma" w:hAnsi="Tahoma" w:cs="Tahoma"/>
          <w:color w:val="000000" w:themeColor="text1"/>
          <w:sz w:val="24"/>
          <w:szCs w:val="24"/>
          <w:lang w:val="en-GB"/>
        </w:rPr>
        <w:t>, down by 19.4% compared to 2019</w:t>
      </w:r>
      <w:r w:rsidR="00CB4455">
        <w:rPr>
          <w:rFonts w:ascii="Tahoma" w:hAnsi="Tahoma" w:cs="Tahoma"/>
          <w:color w:val="000000" w:themeColor="text1"/>
          <w:sz w:val="24"/>
          <w:szCs w:val="24"/>
          <w:lang w:val="en-GB"/>
        </w:rPr>
        <w:t xml:space="preserve"> </w:t>
      </w:r>
      <w:r w:rsidR="00CB4455" w:rsidRPr="000304A7">
        <w:rPr>
          <w:rFonts w:ascii="Tahoma" w:hAnsi="Tahoma" w:cs="Tahoma"/>
          <w:color w:val="000000" w:themeColor="text1"/>
          <w:sz w:val="24"/>
          <w:szCs w:val="24"/>
          <w:lang w:val="en-GB"/>
        </w:rPr>
        <w:t>Q1</w:t>
      </w:r>
      <w:r w:rsidRPr="000304A7">
        <w:rPr>
          <w:rFonts w:ascii="Tahoma" w:hAnsi="Tahoma" w:cs="Tahoma"/>
          <w:color w:val="000000" w:themeColor="text1"/>
          <w:sz w:val="24"/>
          <w:szCs w:val="24"/>
          <w:lang w:val="en-GB"/>
        </w:rPr>
        <w:t>, mainly due to</w:t>
      </w:r>
      <w:r w:rsidR="00CB4455">
        <w:rPr>
          <w:rFonts w:ascii="Tahoma" w:hAnsi="Tahoma" w:cs="Tahoma"/>
          <w:color w:val="000000" w:themeColor="text1"/>
          <w:sz w:val="24"/>
          <w:szCs w:val="24"/>
          <w:lang w:val="en-GB"/>
        </w:rPr>
        <w:t xml:space="preserve"> significantly</w:t>
      </w:r>
      <w:r w:rsidRPr="000304A7">
        <w:rPr>
          <w:rFonts w:ascii="Tahoma" w:hAnsi="Tahoma" w:cs="Tahoma"/>
          <w:color w:val="000000" w:themeColor="text1"/>
          <w:sz w:val="24"/>
          <w:szCs w:val="24"/>
          <w:lang w:val="en-GB"/>
        </w:rPr>
        <w:t xml:space="preserve"> lower VAT revenues in March (-82.5%). Although the dynamics of the relevant macroeconomic base (</w:t>
      </w:r>
      <w:r w:rsidRPr="000304A7">
        <w:rPr>
          <w:rFonts w:ascii="Tahoma" w:hAnsi="Tahoma" w:cs="Tahoma"/>
          <w:sz w:val="24"/>
          <w:szCs w:val="24"/>
          <w:lang w:val="en-GB"/>
        </w:rPr>
        <w:t>the turnover in trade, services and industry) grew by 12.2%</w:t>
      </w:r>
      <w:r w:rsidR="00F9110D" w:rsidRPr="000304A7">
        <w:rPr>
          <w:rFonts w:ascii="Tahoma" w:hAnsi="Tahoma" w:cs="Tahoma"/>
          <w:sz w:val="24"/>
          <w:szCs w:val="24"/>
          <w:lang w:val="en-GB"/>
        </w:rPr>
        <w:t xml:space="preserve">, the net VAT receipts (gross receipts minus reimbursement) have been influenced by higher VAT reimbursement (RON </w:t>
      </w:r>
      <w:r w:rsidR="003B617D">
        <w:rPr>
          <w:rFonts w:ascii="Tahoma" w:hAnsi="Tahoma" w:cs="Tahoma"/>
          <w:sz w:val="24"/>
          <w:szCs w:val="24"/>
          <w:lang w:val="en-GB"/>
        </w:rPr>
        <w:t>+</w:t>
      </w:r>
      <w:r w:rsidR="00F9110D" w:rsidRPr="000304A7">
        <w:rPr>
          <w:rFonts w:ascii="Tahoma" w:hAnsi="Tahoma" w:cs="Tahoma"/>
          <w:sz w:val="24"/>
          <w:szCs w:val="24"/>
          <w:lang w:val="en-GB"/>
        </w:rPr>
        <w:t xml:space="preserve">3.2 billion </w:t>
      </w:r>
      <w:r w:rsidR="00CB4455" w:rsidRPr="000304A7">
        <w:rPr>
          <w:rFonts w:ascii="Tahoma" w:hAnsi="Tahoma" w:cs="Tahoma"/>
          <w:sz w:val="24"/>
          <w:szCs w:val="24"/>
          <w:lang w:val="en-GB"/>
        </w:rPr>
        <w:t>compared</w:t>
      </w:r>
      <w:r w:rsidR="00F9110D" w:rsidRPr="000304A7">
        <w:rPr>
          <w:rFonts w:ascii="Tahoma" w:hAnsi="Tahoma" w:cs="Tahoma"/>
          <w:sz w:val="24"/>
          <w:szCs w:val="24"/>
          <w:lang w:val="en-GB"/>
        </w:rPr>
        <w:t xml:space="preserve"> to 2019</w:t>
      </w:r>
      <w:r w:rsidR="00CB4455" w:rsidRPr="00CB4455">
        <w:rPr>
          <w:rFonts w:ascii="Tahoma" w:hAnsi="Tahoma" w:cs="Tahoma"/>
          <w:sz w:val="24"/>
          <w:szCs w:val="24"/>
          <w:lang w:val="en-GB"/>
        </w:rPr>
        <w:t xml:space="preserve"> </w:t>
      </w:r>
      <w:r w:rsidR="00CB4455" w:rsidRPr="000304A7">
        <w:rPr>
          <w:rFonts w:ascii="Tahoma" w:hAnsi="Tahoma" w:cs="Tahoma"/>
          <w:sz w:val="24"/>
          <w:szCs w:val="24"/>
          <w:lang w:val="en-GB"/>
        </w:rPr>
        <w:t>Q1</w:t>
      </w:r>
      <w:r w:rsidR="00F9110D" w:rsidRPr="000304A7">
        <w:rPr>
          <w:rFonts w:ascii="Tahoma" w:hAnsi="Tahoma" w:cs="Tahoma"/>
          <w:sz w:val="24"/>
          <w:szCs w:val="24"/>
          <w:lang w:val="en-GB"/>
        </w:rPr>
        <w:t>)</w:t>
      </w:r>
      <w:r w:rsidR="00CB4455">
        <w:rPr>
          <w:rStyle w:val="FootnoteReference"/>
          <w:rFonts w:ascii="Tahoma" w:hAnsi="Tahoma" w:cs="Tahoma"/>
          <w:sz w:val="24"/>
          <w:szCs w:val="24"/>
          <w:lang w:val="en-GB"/>
        </w:rPr>
        <w:footnoteReference w:id="3"/>
      </w:r>
      <w:r w:rsidR="00F9110D" w:rsidRPr="000304A7">
        <w:rPr>
          <w:rFonts w:ascii="Tahoma" w:hAnsi="Tahoma" w:cs="Tahoma"/>
          <w:sz w:val="24"/>
          <w:szCs w:val="24"/>
          <w:lang w:val="en-GB"/>
        </w:rPr>
        <w:t xml:space="preserve"> and by </w:t>
      </w:r>
      <w:r w:rsidR="00401345">
        <w:rPr>
          <w:rFonts w:ascii="Tahoma" w:hAnsi="Tahoma" w:cs="Tahoma"/>
          <w:sz w:val="24"/>
          <w:szCs w:val="24"/>
          <w:lang w:val="en-GB"/>
        </w:rPr>
        <w:t xml:space="preserve">the </w:t>
      </w:r>
      <w:r w:rsidR="00F9110D" w:rsidRPr="000304A7">
        <w:rPr>
          <w:rFonts w:ascii="Tahoma" w:hAnsi="Tahoma" w:cs="Tahoma"/>
          <w:sz w:val="24"/>
          <w:szCs w:val="24"/>
          <w:lang w:val="en-GB"/>
        </w:rPr>
        <w:t xml:space="preserve">fiscal measures adopted as a consequence of the state of emergency. </w:t>
      </w:r>
    </w:p>
    <w:p w14:paraId="70E6F73E" w14:textId="3219CFCF" w:rsidR="00AB7B38" w:rsidRDefault="00AB7B38" w:rsidP="00AB7B38">
      <w:pPr>
        <w:spacing w:after="0" w:line="240" w:lineRule="auto"/>
        <w:jc w:val="center"/>
        <w:rPr>
          <w:rFonts w:ascii="Tahoma" w:hAnsi="Tahoma" w:cs="Tahoma"/>
          <w:color w:val="FF0000"/>
          <w:sz w:val="24"/>
          <w:szCs w:val="24"/>
          <w:lang w:val="en-GB"/>
        </w:rPr>
      </w:pPr>
    </w:p>
    <w:p w14:paraId="707232B4" w14:textId="77777777" w:rsidR="00506C58" w:rsidRDefault="00506C58" w:rsidP="00AB7B38">
      <w:pPr>
        <w:spacing w:after="0" w:line="240" w:lineRule="auto"/>
        <w:jc w:val="center"/>
        <w:rPr>
          <w:rFonts w:ascii="Tahoma" w:hAnsi="Tahoma" w:cs="Tahoma"/>
          <w:color w:val="FF0000"/>
          <w:sz w:val="24"/>
          <w:szCs w:val="24"/>
          <w:lang w:val="en-GB"/>
        </w:rPr>
      </w:pPr>
    </w:p>
    <w:p w14:paraId="7F3E996D" w14:textId="2EEF02A7" w:rsidR="00506C58" w:rsidRPr="000304A7" w:rsidRDefault="00506C58" w:rsidP="00AB7B38">
      <w:pPr>
        <w:spacing w:after="0" w:line="240" w:lineRule="auto"/>
        <w:jc w:val="center"/>
        <w:rPr>
          <w:rFonts w:ascii="Tahoma" w:hAnsi="Tahoma" w:cs="Tahoma"/>
          <w:color w:val="FF0000"/>
          <w:sz w:val="24"/>
          <w:szCs w:val="24"/>
          <w:lang w:val="en-GB"/>
        </w:rPr>
      </w:pPr>
      <w:r>
        <w:rPr>
          <w:rFonts w:ascii="Tahoma" w:hAnsi="Tahoma" w:cs="Tahoma"/>
          <w:noProof/>
          <w:color w:val="FF0000"/>
          <w:sz w:val="24"/>
          <w:szCs w:val="24"/>
          <w:lang w:val="en-US"/>
        </w:rPr>
        <w:lastRenderedPageBreak/>
        <w:drawing>
          <wp:inline distT="0" distB="0" distL="0" distR="0" wp14:anchorId="7E90C441" wp14:editId="06487AE7">
            <wp:extent cx="6257925" cy="2762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3954" cy="2764911"/>
                    </a:xfrm>
                    <a:prstGeom prst="rect">
                      <a:avLst/>
                    </a:prstGeom>
                    <a:noFill/>
                  </pic:spPr>
                </pic:pic>
              </a:graphicData>
            </a:graphic>
          </wp:inline>
        </w:drawing>
      </w:r>
    </w:p>
    <w:p w14:paraId="67A7FFE1" w14:textId="77777777" w:rsidR="00821DAF" w:rsidRPr="00526852" w:rsidRDefault="00821DAF" w:rsidP="00821DAF">
      <w:pPr>
        <w:pStyle w:val="ListParagraph"/>
        <w:spacing w:line="360" w:lineRule="auto"/>
        <w:jc w:val="both"/>
        <w:rPr>
          <w:rFonts w:ascii="Tahoma" w:hAnsi="Tahoma" w:cs="Tahoma"/>
          <w:color w:val="767171" w:themeColor="background2" w:themeShade="80"/>
          <w:sz w:val="20"/>
          <w:szCs w:val="24"/>
          <w:lang w:val="en-GB"/>
        </w:rPr>
      </w:pPr>
      <w:r w:rsidRPr="00526852">
        <w:rPr>
          <w:rFonts w:ascii="Tahoma" w:hAnsi="Tahoma" w:cs="Tahoma"/>
          <w:color w:val="767171" w:themeColor="background2" w:themeShade="80"/>
          <w:sz w:val="20"/>
          <w:szCs w:val="24"/>
          <w:lang w:val="en-GB"/>
        </w:rPr>
        <w:t xml:space="preserve">Source: </w:t>
      </w:r>
      <w:proofErr w:type="spellStart"/>
      <w:r w:rsidRPr="00526852">
        <w:rPr>
          <w:rFonts w:ascii="Tahoma" w:hAnsi="Tahoma" w:cs="Tahoma"/>
          <w:color w:val="767171" w:themeColor="background2" w:themeShade="80"/>
          <w:sz w:val="20"/>
          <w:szCs w:val="24"/>
          <w:lang w:val="en-GB"/>
        </w:rPr>
        <w:t>MoPF</w:t>
      </w:r>
      <w:proofErr w:type="spellEnd"/>
      <w:r w:rsidRPr="00526852">
        <w:rPr>
          <w:rFonts w:ascii="Tahoma" w:hAnsi="Tahoma" w:cs="Tahoma"/>
          <w:color w:val="767171" w:themeColor="background2" w:themeShade="80"/>
          <w:sz w:val="20"/>
          <w:szCs w:val="24"/>
          <w:lang w:val="en-GB"/>
        </w:rPr>
        <w:t>, NIS, own calculations</w:t>
      </w:r>
    </w:p>
    <w:p w14:paraId="33104C68" w14:textId="77777777" w:rsidR="00821DAF" w:rsidRPr="00C62043" w:rsidRDefault="00821DAF" w:rsidP="00821DAF">
      <w:pPr>
        <w:pStyle w:val="ListParagraph"/>
        <w:spacing w:before="240" w:line="360" w:lineRule="auto"/>
        <w:jc w:val="center"/>
        <w:rPr>
          <w:rFonts w:ascii="Tahoma" w:hAnsi="Tahoma" w:cs="Tahoma"/>
          <w:b/>
          <w:color w:val="767171" w:themeColor="background2" w:themeShade="80"/>
          <w:szCs w:val="24"/>
          <w:lang w:val="en-GB"/>
        </w:rPr>
      </w:pPr>
      <w:r w:rsidRPr="00C62043">
        <w:rPr>
          <w:rFonts w:ascii="Tahoma" w:hAnsi="Tahoma" w:cs="Tahoma"/>
          <w:b/>
          <w:color w:val="767171" w:themeColor="background2" w:themeShade="80"/>
          <w:szCs w:val="24"/>
          <w:lang w:val="en-GB"/>
        </w:rPr>
        <w:t>Fig.3 VAT revenue</w:t>
      </w:r>
    </w:p>
    <w:p w14:paraId="134FFA51" w14:textId="77777777" w:rsidR="00F9110D" w:rsidRPr="000304A7" w:rsidRDefault="00F9110D" w:rsidP="00CF1ED7">
      <w:pPr>
        <w:spacing w:after="120" w:line="360" w:lineRule="auto"/>
        <w:jc w:val="both"/>
        <w:rPr>
          <w:rFonts w:ascii="Tahoma" w:hAnsi="Tahoma" w:cs="Tahoma"/>
          <w:color w:val="FF0000"/>
          <w:sz w:val="24"/>
          <w:szCs w:val="24"/>
          <w:lang w:val="en-GB"/>
        </w:rPr>
      </w:pPr>
    </w:p>
    <w:p w14:paraId="7E42A24E" w14:textId="77777777" w:rsidR="00F9110D" w:rsidRPr="000304A7" w:rsidRDefault="00F9110D" w:rsidP="00CF1ED7">
      <w:pPr>
        <w:spacing w:after="120" w:line="360" w:lineRule="auto"/>
        <w:jc w:val="both"/>
        <w:rPr>
          <w:rFonts w:ascii="Tahoma" w:hAnsi="Tahoma" w:cs="Tahoma"/>
          <w:color w:val="000000" w:themeColor="text1"/>
          <w:sz w:val="24"/>
          <w:szCs w:val="24"/>
          <w:lang w:val="en-GB"/>
        </w:rPr>
      </w:pPr>
      <w:r w:rsidRPr="000304A7">
        <w:rPr>
          <w:rFonts w:ascii="Tahoma" w:hAnsi="Tahoma" w:cs="Tahoma"/>
          <w:b/>
          <w:i/>
          <w:color w:val="000000" w:themeColor="text1"/>
          <w:sz w:val="24"/>
          <w:szCs w:val="24"/>
          <w:lang w:val="en-GB"/>
        </w:rPr>
        <w:t>Excise duties</w:t>
      </w:r>
      <w:r w:rsidRPr="000304A7">
        <w:rPr>
          <w:rFonts w:ascii="Tahoma" w:hAnsi="Tahoma" w:cs="Tahoma"/>
          <w:color w:val="000000" w:themeColor="text1"/>
          <w:sz w:val="24"/>
          <w:szCs w:val="24"/>
          <w:lang w:val="en-GB"/>
        </w:rPr>
        <w:t xml:space="preserve"> receipts amounted to RON 7.42 billion in 20</w:t>
      </w:r>
      <w:r w:rsidR="00CB4455">
        <w:rPr>
          <w:rFonts w:ascii="Tahoma" w:hAnsi="Tahoma" w:cs="Tahoma"/>
          <w:color w:val="000000" w:themeColor="text1"/>
          <w:sz w:val="24"/>
          <w:szCs w:val="24"/>
          <w:lang w:val="en-GB"/>
        </w:rPr>
        <w:t>2</w:t>
      </w:r>
      <w:r w:rsidRPr="000304A7">
        <w:rPr>
          <w:rFonts w:ascii="Tahoma" w:hAnsi="Tahoma" w:cs="Tahoma"/>
          <w:color w:val="000000" w:themeColor="text1"/>
          <w:sz w:val="24"/>
          <w:szCs w:val="24"/>
          <w:lang w:val="en-GB"/>
        </w:rPr>
        <w:t>0</w:t>
      </w:r>
      <w:r w:rsidR="00CB4455">
        <w:rPr>
          <w:rFonts w:ascii="Tahoma" w:hAnsi="Tahoma" w:cs="Tahoma"/>
          <w:color w:val="000000" w:themeColor="text1"/>
          <w:sz w:val="24"/>
          <w:szCs w:val="24"/>
          <w:lang w:val="en-GB"/>
        </w:rPr>
        <w:t xml:space="preserve"> Q1</w:t>
      </w:r>
      <w:r w:rsidRPr="000304A7">
        <w:rPr>
          <w:rFonts w:ascii="Tahoma" w:hAnsi="Tahoma" w:cs="Tahoma"/>
          <w:color w:val="000000" w:themeColor="text1"/>
          <w:sz w:val="24"/>
          <w:szCs w:val="24"/>
          <w:lang w:val="en-GB"/>
        </w:rPr>
        <w:t>, up by 8.67% compared to 2019</w:t>
      </w:r>
      <w:r w:rsidR="00CB4455">
        <w:rPr>
          <w:rFonts w:ascii="Tahoma" w:hAnsi="Tahoma" w:cs="Tahoma"/>
          <w:color w:val="000000" w:themeColor="text1"/>
          <w:sz w:val="24"/>
          <w:szCs w:val="24"/>
          <w:lang w:val="en-GB"/>
        </w:rPr>
        <w:t xml:space="preserve"> </w:t>
      </w:r>
      <w:r w:rsidR="00CB4455" w:rsidRPr="000304A7">
        <w:rPr>
          <w:rFonts w:ascii="Tahoma" w:hAnsi="Tahoma" w:cs="Tahoma"/>
          <w:color w:val="000000" w:themeColor="text1"/>
          <w:sz w:val="24"/>
          <w:szCs w:val="24"/>
          <w:lang w:val="en-GB"/>
        </w:rPr>
        <w:t>Q1</w:t>
      </w:r>
      <w:r w:rsidRPr="000304A7">
        <w:rPr>
          <w:rFonts w:ascii="Tahoma" w:hAnsi="Tahoma" w:cs="Tahoma"/>
          <w:color w:val="000000" w:themeColor="text1"/>
          <w:sz w:val="24"/>
          <w:szCs w:val="24"/>
          <w:lang w:val="en-GB"/>
        </w:rPr>
        <w:t xml:space="preserve">. </w:t>
      </w:r>
    </w:p>
    <w:p w14:paraId="5D5982F8" w14:textId="055D7352" w:rsidR="00F9110D" w:rsidRPr="000304A7" w:rsidRDefault="00F9110D" w:rsidP="00CF1ED7">
      <w:pPr>
        <w:spacing w:after="120" w:line="360" w:lineRule="auto"/>
        <w:jc w:val="both"/>
        <w:rPr>
          <w:rFonts w:ascii="Tahoma" w:hAnsi="Tahoma" w:cs="Tahoma"/>
          <w:color w:val="FF0000"/>
          <w:sz w:val="24"/>
          <w:szCs w:val="24"/>
          <w:lang w:val="en-GB"/>
        </w:rPr>
      </w:pPr>
      <w:r w:rsidRPr="000304A7">
        <w:rPr>
          <w:rFonts w:ascii="Tahoma" w:hAnsi="Tahoma" w:cs="Tahoma"/>
          <w:sz w:val="24"/>
          <w:szCs w:val="24"/>
          <w:lang w:val="en-GB"/>
        </w:rPr>
        <w:t xml:space="preserve">Excise revenue from energy products expanded by 2.2% </w:t>
      </w:r>
      <w:r w:rsidR="00FE36F8" w:rsidRPr="000304A7">
        <w:rPr>
          <w:rFonts w:ascii="Tahoma" w:hAnsi="Tahoma" w:cs="Tahoma"/>
          <w:sz w:val="24"/>
          <w:szCs w:val="24"/>
          <w:lang w:val="en-GB"/>
        </w:rPr>
        <w:t xml:space="preserve">in </w:t>
      </w:r>
      <w:r w:rsidR="00FE36F8">
        <w:rPr>
          <w:rFonts w:ascii="Tahoma" w:hAnsi="Tahoma" w:cs="Tahoma"/>
          <w:sz w:val="24"/>
          <w:szCs w:val="24"/>
          <w:lang w:val="en-GB"/>
        </w:rPr>
        <w:t xml:space="preserve">2020 </w:t>
      </w:r>
      <w:r w:rsidR="00FE36F8" w:rsidRPr="000304A7">
        <w:rPr>
          <w:rFonts w:ascii="Tahoma" w:hAnsi="Tahoma" w:cs="Tahoma"/>
          <w:sz w:val="24"/>
          <w:szCs w:val="24"/>
          <w:lang w:val="en-GB"/>
        </w:rPr>
        <w:t xml:space="preserve">Q1 </w:t>
      </w:r>
      <w:r w:rsidRPr="000304A7">
        <w:rPr>
          <w:rFonts w:ascii="Tahoma" w:hAnsi="Tahoma" w:cs="Tahoma"/>
          <w:sz w:val="24"/>
          <w:szCs w:val="24"/>
          <w:lang w:val="en-GB"/>
        </w:rPr>
        <w:t xml:space="preserve">despite the reduction in excise level on fuel </w:t>
      </w:r>
      <w:r w:rsidR="00092E29">
        <w:rPr>
          <w:rFonts w:ascii="Tahoma" w:hAnsi="Tahoma" w:cs="Tahoma"/>
          <w:sz w:val="24"/>
          <w:szCs w:val="24"/>
          <w:lang w:val="en-GB"/>
        </w:rPr>
        <w:t>applied since</w:t>
      </w:r>
      <w:r w:rsidRPr="000304A7">
        <w:rPr>
          <w:rFonts w:ascii="Tahoma" w:hAnsi="Tahoma" w:cs="Tahoma"/>
          <w:sz w:val="24"/>
          <w:szCs w:val="24"/>
          <w:lang w:val="en-GB"/>
        </w:rPr>
        <w:t xml:space="preserve"> the beginning of the year (by 13% for gasoline and 14.3% for diesel). Excise revenue from tobacco products grew by 15.3% (</w:t>
      </w:r>
      <w:proofErr w:type="spellStart"/>
      <w:r w:rsidRPr="000304A7">
        <w:rPr>
          <w:rFonts w:ascii="Tahoma" w:hAnsi="Tahoma" w:cs="Tahoma"/>
          <w:sz w:val="24"/>
          <w:szCs w:val="24"/>
          <w:lang w:val="en-GB"/>
        </w:rPr>
        <w:t>yoy</w:t>
      </w:r>
      <w:proofErr w:type="spellEnd"/>
      <w:r w:rsidRPr="000304A7">
        <w:rPr>
          <w:rFonts w:ascii="Tahoma" w:hAnsi="Tahoma" w:cs="Tahoma"/>
          <w:sz w:val="24"/>
          <w:szCs w:val="24"/>
          <w:lang w:val="en-GB"/>
        </w:rPr>
        <w:t>), supported by a 4.2% hike in the excise level for cigarettes</w:t>
      </w:r>
      <w:r w:rsidRPr="000304A7">
        <w:rPr>
          <w:rFonts w:ascii="Tahoma" w:hAnsi="Tahoma" w:cs="Tahoma"/>
          <w:color w:val="000000" w:themeColor="text1"/>
          <w:sz w:val="24"/>
          <w:szCs w:val="24"/>
          <w:lang w:val="en-GB"/>
        </w:rPr>
        <w:t xml:space="preserve">. As expected in the context of the state of emergency, in March, one notes a decline of excise revenue from energy products (-10.9% </w:t>
      </w:r>
      <w:proofErr w:type="spellStart"/>
      <w:r w:rsidRPr="000304A7">
        <w:rPr>
          <w:rFonts w:ascii="Tahoma" w:hAnsi="Tahoma" w:cs="Tahoma"/>
          <w:color w:val="000000" w:themeColor="text1"/>
          <w:sz w:val="24"/>
          <w:szCs w:val="24"/>
          <w:lang w:val="en-GB"/>
        </w:rPr>
        <w:t>yoy</w:t>
      </w:r>
      <w:proofErr w:type="spellEnd"/>
      <w:r w:rsidRPr="000304A7">
        <w:rPr>
          <w:rFonts w:ascii="Tahoma" w:hAnsi="Tahoma" w:cs="Tahoma"/>
          <w:color w:val="000000" w:themeColor="text1"/>
          <w:sz w:val="24"/>
          <w:szCs w:val="24"/>
          <w:lang w:val="en-GB"/>
        </w:rPr>
        <w:t xml:space="preserve">). </w:t>
      </w:r>
      <w:r w:rsidR="001D4687">
        <w:rPr>
          <w:rFonts w:ascii="Tahoma" w:hAnsi="Tahoma" w:cs="Tahoma"/>
          <w:color w:val="000000" w:themeColor="text1"/>
          <w:sz w:val="24"/>
          <w:szCs w:val="24"/>
          <w:lang w:val="en-GB"/>
        </w:rPr>
        <w:t>Contrariwise</w:t>
      </w:r>
      <w:r w:rsidRPr="000304A7">
        <w:rPr>
          <w:rFonts w:ascii="Tahoma" w:hAnsi="Tahoma" w:cs="Tahoma"/>
          <w:color w:val="000000" w:themeColor="text1"/>
          <w:sz w:val="24"/>
          <w:szCs w:val="24"/>
          <w:lang w:val="en-GB"/>
        </w:rPr>
        <w:t xml:space="preserve">, revenues from tobacco products expanded significantly </w:t>
      </w:r>
      <w:r w:rsidR="00FE36F8" w:rsidRPr="000304A7">
        <w:rPr>
          <w:rFonts w:ascii="Tahoma" w:hAnsi="Tahoma" w:cs="Tahoma"/>
          <w:color w:val="000000" w:themeColor="text1"/>
          <w:sz w:val="24"/>
          <w:szCs w:val="24"/>
          <w:lang w:val="en-GB"/>
        </w:rPr>
        <w:t xml:space="preserve">in March </w:t>
      </w:r>
      <w:r w:rsidRPr="000304A7">
        <w:rPr>
          <w:rFonts w:ascii="Tahoma" w:hAnsi="Tahoma" w:cs="Tahoma"/>
          <w:color w:val="000000" w:themeColor="text1"/>
          <w:sz w:val="24"/>
          <w:szCs w:val="24"/>
          <w:lang w:val="en-GB"/>
        </w:rPr>
        <w:t>(</w:t>
      </w:r>
      <w:r w:rsidR="00092E29">
        <w:rPr>
          <w:rFonts w:ascii="Tahoma" w:hAnsi="Tahoma" w:cs="Tahoma"/>
          <w:color w:val="000000" w:themeColor="text1"/>
          <w:sz w:val="24"/>
          <w:szCs w:val="24"/>
          <w:lang w:val="en-GB"/>
        </w:rPr>
        <w:t>+</w:t>
      </w:r>
      <w:r w:rsidRPr="000304A7">
        <w:rPr>
          <w:rFonts w:ascii="Tahoma" w:hAnsi="Tahoma" w:cs="Tahoma"/>
          <w:color w:val="000000" w:themeColor="text1"/>
          <w:sz w:val="24"/>
          <w:szCs w:val="24"/>
          <w:lang w:val="en-GB"/>
        </w:rPr>
        <w:t>25.2%</w:t>
      </w:r>
      <w:r w:rsidR="00B76D22">
        <w:rPr>
          <w:rFonts w:ascii="Tahoma" w:hAnsi="Tahoma" w:cs="Tahoma"/>
          <w:color w:val="000000" w:themeColor="text1"/>
          <w:sz w:val="24"/>
          <w:szCs w:val="24"/>
          <w:lang w:val="en-GB"/>
        </w:rPr>
        <w:t xml:space="preserve">, </w:t>
      </w:r>
      <w:proofErr w:type="spellStart"/>
      <w:r w:rsidR="00B76D22">
        <w:rPr>
          <w:rFonts w:ascii="Tahoma" w:hAnsi="Tahoma" w:cs="Tahoma"/>
          <w:color w:val="000000" w:themeColor="text1"/>
          <w:sz w:val="24"/>
          <w:szCs w:val="24"/>
          <w:lang w:val="en-GB"/>
        </w:rPr>
        <w:t>yoy</w:t>
      </w:r>
      <w:proofErr w:type="spellEnd"/>
      <w:r w:rsidRPr="000304A7">
        <w:rPr>
          <w:rFonts w:ascii="Tahoma" w:hAnsi="Tahoma" w:cs="Tahoma"/>
          <w:color w:val="000000" w:themeColor="text1"/>
          <w:sz w:val="24"/>
          <w:szCs w:val="24"/>
          <w:lang w:val="en-GB"/>
        </w:rPr>
        <w:t xml:space="preserve">).  </w:t>
      </w:r>
    </w:p>
    <w:p w14:paraId="4E024F04" w14:textId="7C1C951C" w:rsidR="00CF1ED7" w:rsidRDefault="00CF1ED7" w:rsidP="0073781B">
      <w:pPr>
        <w:spacing w:after="0" w:line="240" w:lineRule="auto"/>
        <w:jc w:val="center"/>
        <w:rPr>
          <w:rFonts w:ascii="Tahoma" w:hAnsi="Tahoma" w:cs="Tahoma"/>
          <w:color w:val="FF0000"/>
          <w:sz w:val="24"/>
          <w:szCs w:val="24"/>
          <w:lang w:val="en-GB"/>
        </w:rPr>
      </w:pPr>
    </w:p>
    <w:p w14:paraId="259FB0E2" w14:textId="77777777" w:rsidR="00506C58" w:rsidRDefault="00506C58" w:rsidP="0073781B">
      <w:pPr>
        <w:spacing w:after="0" w:line="240" w:lineRule="auto"/>
        <w:jc w:val="center"/>
        <w:rPr>
          <w:rFonts w:ascii="Tahoma" w:hAnsi="Tahoma" w:cs="Tahoma"/>
          <w:color w:val="FF0000"/>
          <w:sz w:val="24"/>
          <w:szCs w:val="24"/>
          <w:lang w:val="en-GB"/>
        </w:rPr>
      </w:pPr>
    </w:p>
    <w:p w14:paraId="52A0A572" w14:textId="439143BC" w:rsidR="00506C58" w:rsidRPr="000304A7" w:rsidRDefault="00506C58" w:rsidP="0073781B">
      <w:pPr>
        <w:spacing w:after="0" w:line="240" w:lineRule="auto"/>
        <w:jc w:val="center"/>
        <w:rPr>
          <w:rFonts w:ascii="Tahoma" w:hAnsi="Tahoma" w:cs="Tahoma"/>
          <w:color w:val="FF0000"/>
          <w:sz w:val="24"/>
          <w:szCs w:val="24"/>
          <w:lang w:val="en-GB"/>
        </w:rPr>
      </w:pPr>
      <w:r>
        <w:rPr>
          <w:rFonts w:ascii="Tahoma" w:hAnsi="Tahoma" w:cs="Tahoma"/>
          <w:noProof/>
          <w:color w:val="FF0000"/>
          <w:sz w:val="24"/>
          <w:szCs w:val="24"/>
          <w:lang w:val="en-US"/>
        </w:rPr>
        <w:lastRenderedPageBreak/>
        <w:drawing>
          <wp:inline distT="0" distB="0" distL="0" distR="0" wp14:anchorId="699BA919" wp14:editId="22E31154">
            <wp:extent cx="6184946" cy="305426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5253" cy="3059350"/>
                    </a:xfrm>
                    <a:prstGeom prst="rect">
                      <a:avLst/>
                    </a:prstGeom>
                    <a:noFill/>
                  </pic:spPr>
                </pic:pic>
              </a:graphicData>
            </a:graphic>
          </wp:inline>
        </w:drawing>
      </w:r>
    </w:p>
    <w:p w14:paraId="499E2E02" w14:textId="77777777" w:rsidR="00821DAF" w:rsidRPr="00526852" w:rsidRDefault="00821DAF" w:rsidP="00821DAF">
      <w:pPr>
        <w:pStyle w:val="ListParagraph"/>
        <w:spacing w:line="360" w:lineRule="auto"/>
        <w:jc w:val="both"/>
        <w:rPr>
          <w:rFonts w:ascii="Tahoma" w:hAnsi="Tahoma" w:cs="Tahoma"/>
          <w:color w:val="767171" w:themeColor="background2" w:themeShade="80"/>
          <w:sz w:val="20"/>
          <w:szCs w:val="24"/>
          <w:lang w:val="en-GB"/>
        </w:rPr>
      </w:pPr>
      <w:r w:rsidRPr="00526852">
        <w:rPr>
          <w:rFonts w:ascii="Tahoma" w:hAnsi="Tahoma" w:cs="Tahoma"/>
          <w:color w:val="767171" w:themeColor="background2" w:themeShade="80"/>
          <w:sz w:val="20"/>
          <w:szCs w:val="24"/>
          <w:lang w:val="en-GB"/>
        </w:rPr>
        <w:t xml:space="preserve">Source: </w:t>
      </w:r>
      <w:proofErr w:type="spellStart"/>
      <w:r w:rsidRPr="00526852">
        <w:rPr>
          <w:rFonts w:ascii="Tahoma" w:hAnsi="Tahoma" w:cs="Tahoma"/>
          <w:color w:val="767171" w:themeColor="background2" w:themeShade="80"/>
          <w:sz w:val="20"/>
          <w:szCs w:val="24"/>
          <w:lang w:val="en-GB"/>
        </w:rPr>
        <w:t>MoPF</w:t>
      </w:r>
      <w:proofErr w:type="spellEnd"/>
      <w:r w:rsidRPr="00526852">
        <w:rPr>
          <w:rFonts w:ascii="Tahoma" w:hAnsi="Tahoma" w:cs="Tahoma"/>
          <w:color w:val="767171" w:themeColor="background2" w:themeShade="80"/>
          <w:sz w:val="20"/>
          <w:szCs w:val="24"/>
          <w:lang w:val="en-GB"/>
        </w:rPr>
        <w:t>, NIS, own calculations</w:t>
      </w:r>
    </w:p>
    <w:p w14:paraId="5457EF99" w14:textId="77777777" w:rsidR="00C62043" w:rsidRPr="00C62043" w:rsidRDefault="00C62043" w:rsidP="00C62043">
      <w:pPr>
        <w:pStyle w:val="ListParagraph"/>
        <w:spacing w:before="240" w:line="360" w:lineRule="auto"/>
        <w:jc w:val="center"/>
        <w:rPr>
          <w:rFonts w:ascii="Tahoma" w:hAnsi="Tahoma" w:cs="Tahoma"/>
          <w:b/>
          <w:color w:val="767171" w:themeColor="background2" w:themeShade="80"/>
          <w:szCs w:val="24"/>
          <w:lang w:val="en-GB"/>
        </w:rPr>
      </w:pPr>
      <w:r w:rsidRPr="00C62043">
        <w:rPr>
          <w:rFonts w:ascii="Tahoma" w:hAnsi="Tahoma" w:cs="Tahoma"/>
          <w:b/>
          <w:color w:val="767171" w:themeColor="background2" w:themeShade="80"/>
          <w:szCs w:val="24"/>
          <w:lang w:val="en-GB"/>
        </w:rPr>
        <w:t>Fig.4 Excise duties revenue</w:t>
      </w:r>
    </w:p>
    <w:p w14:paraId="4C8F9780" w14:textId="77777777" w:rsidR="00080A1D" w:rsidRPr="000304A7" w:rsidRDefault="00080A1D" w:rsidP="00182B0D">
      <w:pPr>
        <w:spacing w:before="240" w:after="120" w:line="360" w:lineRule="auto"/>
        <w:jc w:val="both"/>
        <w:rPr>
          <w:rFonts w:ascii="Tahoma" w:hAnsi="Tahoma" w:cs="Tahoma"/>
          <w:sz w:val="24"/>
          <w:szCs w:val="24"/>
          <w:lang w:val="en-GB"/>
        </w:rPr>
      </w:pPr>
      <w:r w:rsidRPr="000304A7">
        <w:rPr>
          <w:rFonts w:ascii="Tahoma" w:hAnsi="Tahoma" w:cs="Tahoma"/>
          <w:sz w:val="24"/>
          <w:szCs w:val="24"/>
          <w:lang w:val="en-GB"/>
        </w:rPr>
        <w:t xml:space="preserve">Revenue from </w:t>
      </w:r>
      <w:r w:rsidRPr="000304A7">
        <w:rPr>
          <w:rFonts w:ascii="Tahoma" w:hAnsi="Tahoma" w:cs="Tahoma"/>
          <w:b/>
          <w:i/>
          <w:sz w:val="24"/>
          <w:szCs w:val="24"/>
          <w:lang w:val="en-GB"/>
        </w:rPr>
        <w:t>taxes on use of goods</w:t>
      </w:r>
      <w:r w:rsidRPr="000304A7">
        <w:rPr>
          <w:rFonts w:ascii="Tahoma" w:hAnsi="Tahoma" w:cs="Tahoma"/>
          <w:sz w:val="24"/>
          <w:szCs w:val="24"/>
          <w:lang w:val="en-GB"/>
        </w:rPr>
        <w:t xml:space="preserve"> totalled RON 1.68 billion in 2020</w:t>
      </w:r>
      <w:r w:rsidR="001D4687">
        <w:rPr>
          <w:rFonts w:ascii="Tahoma" w:hAnsi="Tahoma" w:cs="Tahoma"/>
          <w:sz w:val="24"/>
          <w:szCs w:val="24"/>
          <w:lang w:val="en-GB"/>
        </w:rPr>
        <w:t xml:space="preserve"> </w:t>
      </w:r>
      <w:r w:rsidR="001D4687" w:rsidRPr="000304A7">
        <w:rPr>
          <w:rFonts w:ascii="Tahoma" w:hAnsi="Tahoma" w:cs="Tahoma"/>
          <w:sz w:val="24"/>
          <w:szCs w:val="24"/>
          <w:lang w:val="en-GB"/>
        </w:rPr>
        <w:t>Q1</w:t>
      </w:r>
      <w:r w:rsidR="001D4687">
        <w:rPr>
          <w:rFonts w:ascii="Tahoma" w:hAnsi="Tahoma" w:cs="Tahoma"/>
          <w:sz w:val="24"/>
          <w:szCs w:val="24"/>
          <w:lang w:val="en-GB"/>
        </w:rPr>
        <w:t xml:space="preserve"> (+</w:t>
      </w:r>
      <w:r w:rsidRPr="000304A7">
        <w:rPr>
          <w:rFonts w:ascii="Tahoma" w:hAnsi="Tahoma" w:cs="Tahoma"/>
          <w:sz w:val="24"/>
          <w:szCs w:val="24"/>
          <w:lang w:val="en-GB"/>
        </w:rPr>
        <w:t>28,18%</w:t>
      </w:r>
      <w:r w:rsidR="001D4687">
        <w:rPr>
          <w:rFonts w:ascii="Tahoma" w:hAnsi="Tahoma" w:cs="Tahoma"/>
          <w:sz w:val="24"/>
          <w:szCs w:val="24"/>
          <w:lang w:val="en-GB"/>
        </w:rPr>
        <w:t xml:space="preserve"> </w:t>
      </w:r>
      <w:proofErr w:type="spellStart"/>
      <w:r w:rsidR="001D4687">
        <w:rPr>
          <w:rFonts w:ascii="Tahoma" w:hAnsi="Tahoma" w:cs="Tahoma"/>
          <w:sz w:val="24"/>
          <w:szCs w:val="24"/>
          <w:lang w:val="en-GB"/>
        </w:rPr>
        <w:t>yoy</w:t>
      </w:r>
      <w:proofErr w:type="spellEnd"/>
      <w:r w:rsidR="001D4687">
        <w:rPr>
          <w:rFonts w:ascii="Tahoma" w:hAnsi="Tahoma" w:cs="Tahoma"/>
          <w:sz w:val="24"/>
          <w:szCs w:val="24"/>
          <w:lang w:val="en-GB"/>
        </w:rPr>
        <w:t>)</w:t>
      </w:r>
      <w:r w:rsidRPr="000304A7">
        <w:rPr>
          <w:rFonts w:ascii="Tahoma" w:hAnsi="Tahoma" w:cs="Tahoma"/>
          <w:sz w:val="24"/>
          <w:szCs w:val="24"/>
          <w:lang w:val="en-GB"/>
        </w:rPr>
        <w:t xml:space="preserve">, mainly as a result of </w:t>
      </w:r>
      <w:r w:rsidR="0088571A" w:rsidRPr="000304A7">
        <w:rPr>
          <w:rFonts w:ascii="Tahoma" w:hAnsi="Tahoma" w:cs="Tahoma"/>
          <w:sz w:val="24"/>
          <w:szCs w:val="24"/>
          <w:lang w:val="en-GB"/>
        </w:rPr>
        <w:t>revenue collected from</w:t>
      </w:r>
      <w:r w:rsidR="001A742B" w:rsidRPr="000304A7">
        <w:rPr>
          <w:rFonts w:ascii="Tahoma" w:hAnsi="Tahoma" w:cs="Tahoma"/>
          <w:sz w:val="24"/>
          <w:szCs w:val="24"/>
          <w:lang w:val="en-GB"/>
        </w:rPr>
        <w:t xml:space="preserve"> broadcast licenses renewal</w:t>
      </w:r>
      <w:r w:rsidR="0088571A" w:rsidRPr="000304A7">
        <w:rPr>
          <w:rFonts w:ascii="Tahoma" w:hAnsi="Tahoma" w:cs="Tahoma"/>
          <w:sz w:val="24"/>
          <w:szCs w:val="24"/>
          <w:lang w:val="en-GB"/>
        </w:rPr>
        <w:t xml:space="preserve"> </w:t>
      </w:r>
      <w:r w:rsidRPr="000304A7">
        <w:rPr>
          <w:rFonts w:ascii="Tahoma" w:hAnsi="Tahoma" w:cs="Tahoma"/>
          <w:sz w:val="24"/>
          <w:szCs w:val="24"/>
          <w:lang w:val="en-GB"/>
        </w:rPr>
        <w:t>(</w:t>
      </w:r>
      <w:r w:rsidR="0088571A" w:rsidRPr="000304A7">
        <w:rPr>
          <w:rFonts w:ascii="Tahoma" w:hAnsi="Tahoma" w:cs="Tahoma"/>
          <w:sz w:val="24"/>
          <w:szCs w:val="24"/>
          <w:lang w:val="en-GB"/>
        </w:rPr>
        <w:t>GD</w:t>
      </w:r>
      <w:r w:rsidRPr="000304A7">
        <w:rPr>
          <w:rFonts w:ascii="Tahoma" w:hAnsi="Tahoma" w:cs="Tahoma"/>
          <w:sz w:val="24"/>
          <w:szCs w:val="24"/>
          <w:lang w:val="en-GB"/>
        </w:rPr>
        <w:t xml:space="preserve"> no. 226/2020). </w:t>
      </w:r>
    </w:p>
    <w:p w14:paraId="3BB3D7F3" w14:textId="155B7A29" w:rsidR="001A742B" w:rsidRPr="000304A7" w:rsidRDefault="001A742B" w:rsidP="00182B0D">
      <w:pPr>
        <w:spacing w:before="240" w:after="120" w:line="360" w:lineRule="auto"/>
        <w:jc w:val="both"/>
        <w:rPr>
          <w:rFonts w:ascii="Tahoma" w:hAnsi="Tahoma" w:cs="Tahoma"/>
          <w:color w:val="FF0000"/>
          <w:sz w:val="24"/>
          <w:szCs w:val="24"/>
          <w:lang w:val="en-GB"/>
        </w:rPr>
      </w:pPr>
      <w:r w:rsidRPr="000304A7">
        <w:rPr>
          <w:rFonts w:ascii="Tahoma" w:hAnsi="Tahoma" w:cs="Tahoma"/>
          <w:b/>
          <w:i/>
          <w:sz w:val="24"/>
          <w:szCs w:val="24"/>
          <w:lang w:val="en-GB"/>
        </w:rPr>
        <w:t>Non-tax revenue</w:t>
      </w:r>
      <w:r w:rsidRPr="000304A7">
        <w:rPr>
          <w:rFonts w:ascii="Tahoma" w:hAnsi="Tahoma" w:cs="Tahoma"/>
          <w:sz w:val="24"/>
          <w:szCs w:val="24"/>
          <w:lang w:val="en-GB"/>
        </w:rPr>
        <w:t xml:space="preserve"> amounted to RON 5.50 billion in 2020</w:t>
      </w:r>
      <w:r w:rsidR="00EB1581">
        <w:rPr>
          <w:rFonts w:ascii="Tahoma" w:hAnsi="Tahoma" w:cs="Tahoma"/>
          <w:sz w:val="24"/>
          <w:szCs w:val="24"/>
          <w:lang w:val="en-GB"/>
        </w:rPr>
        <w:t xml:space="preserve"> </w:t>
      </w:r>
      <w:r w:rsidR="00EB1581" w:rsidRPr="000304A7">
        <w:rPr>
          <w:rFonts w:ascii="Tahoma" w:hAnsi="Tahoma" w:cs="Tahoma"/>
          <w:sz w:val="24"/>
          <w:szCs w:val="24"/>
          <w:lang w:val="en-GB"/>
        </w:rPr>
        <w:t>Q1</w:t>
      </w:r>
      <w:r w:rsidRPr="000304A7">
        <w:rPr>
          <w:rFonts w:ascii="Tahoma" w:hAnsi="Tahoma" w:cs="Tahoma"/>
          <w:sz w:val="24"/>
          <w:szCs w:val="24"/>
          <w:lang w:val="en-GB"/>
        </w:rPr>
        <w:t xml:space="preserve">, up by 12,86% compared to the corresponding quarter of 2019. </w:t>
      </w:r>
      <w:r w:rsidR="003403C4">
        <w:rPr>
          <w:rFonts w:ascii="Tahoma" w:hAnsi="Tahoma" w:cs="Tahoma"/>
          <w:sz w:val="24"/>
          <w:szCs w:val="24"/>
          <w:lang w:val="en-GB"/>
        </w:rPr>
        <w:t>Nevertheless</w:t>
      </w:r>
      <w:r w:rsidRPr="000304A7">
        <w:rPr>
          <w:rFonts w:ascii="Tahoma" w:hAnsi="Tahoma" w:cs="Tahoma"/>
          <w:sz w:val="24"/>
          <w:szCs w:val="24"/>
          <w:lang w:val="en-GB"/>
        </w:rPr>
        <w:t xml:space="preserve">, the positive dynamics of non-tax revenues </w:t>
      </w:r>
      <w:r w:rsidRPr="00DF3DD1">
        <w:rPr>
          <w:rFonts w:ascii="Tahoma" w:hAnsi="Tahoma" w:cs="Tahoma"/>
          <w:sz w:val="24"/>
          <w:szCs w:val="24"/>
          <w:lang w:val="en-GB"/>
        </w:rPr>
        <w:t xml:space="preserve">was </w:t>
      </w:r>
      <w:r w:rsidR="00DF3DD1">
        <w:rPr>
          <w:rFonts w:ascii="Tahoma" w:hAnsi="Tahoma" w:cs="Tahoma"/>
          <w:sz w:val="24"/>
          <w:szCs w:val="24"/>
          <w:lang w:val="en-GB"/>
        </w:rPr>
        <w:t>tamed</w:t>
      </w:r>
      <w:r w:rsidRPr="000304A7">
        <w:rPr>
          <w:rFonts w:ascii="Tahoma" w:hAnsi="Tahoma" w:cs="Tahoma"/>
          <w:sz w:val="24"/>
          <w:szCs w:val="24"/>
          <w:lang w:val="en-GB"/>
        </w:rPr>
        <w:t xml:space="preserve"> by lower revenues in March</w:t>
      </w:r>
      <w:r w:rsidR="00BD0B13">
        <w:rPr>
          <w:rFonts w:ascii="Tahoma" w:hAnsi="Tahoma" w:cs="Tahoma"/>
          <w:sz w:val="24"/>
          <w:szCs w:val="24"/>
          <w:lang w:val="en-GB"/>
        </w:rPr>
        <w:t xml:space="preserve"> for certain categories</w:t>
      </w:r>
      <w:r w:rsidR="003403C4">
        <w:rPr>
          <w:rStyle w:val="FootnoteReference"/>
          <w:rFonts w:ascii="Tahoma" w:hAnsi="Tahoma" w:cs="Tahoma"/>
          <w:sz w:val="24"/>
          <w:szCs w:val="24"/>
          <w:lang w:val="en-GB"/>
        </w:rPr>
        <w:footnoteReference w:id="4"/>
      </w:r>
      <w:r w:rsidRPr="000304A7">
        <w:rPr>
          <w:rFonts w:ascii="Tahoma" w:hAnsi="Tahoma" w:cs="Tahoma"/>
          <w:sz w:val="24"/>
          <w:szCs w:val="24"/>
          <w:lang w:val="en-GB"/>
        </w:rPr>
        <w:t xml:space="preserve">. </w:t>
      </w:r>
    </w:p>
    <w:p w14:paraId="7D7065EE" w14:textId="77777777" w:rsidR="001A742B" w:rsidRPr="000304A7" w:rsidRDefault="001A742B" w:rsidP="000C7AF8">
      <w:pPr>
        <w:spacing w:before="240" w:after="120" w:line="360" w:lineRule="auto"/>
        <w:jc w:val="both"/>
        <w:rPr>
          <w:rFonts w:ascii="Tahoma" w:hAnsi="Tahoma" w:cs="Tahoma"/>
          <w:b/>
          <w:i/>
          <w:color w:val="FF0000"/>
          <w:sz w:val="24"/>
          <w:szCs w:val="24"/>
          <w:lang w:val="en-GB"/>
        </w:rPr>
      </w:pPr>
      <w:r w:rsidRPr="000304A7">
        <w:rPr>
          <w:rFonts w:ascii="Tahoma" w:hAnsi="Tahoma" w:cs="Tahoma"/>
          <w:b/>
          <w:i/>
          <w:sz w:val="24"/>
          <w:szCs w:val="24"/>
          <w:lang w:val="en-GB"/>
        </w:rPr>
        <w:t>EU Refunds and donations</w:t>
      </w:r>
      <w:r w:rsidRPr="000304A7">
        <w:rPr>
          <w:rFonts w:ascii="Tahoma" w:hAnsi="Tahoma" w:cs="Tahoma"/>
          <w:sz w:val="24"/>
          <w:szCs w:val="24"/>
          <w:lang w:val="en-GB"/>
        </w:rPr>
        <w:t xml:space="preserve"> totalled RON 3.9 billion in 2020</w:t>
      </w:r>
      <w:r w:rsidR="00642652">
        <w:rPr>
          <w:rFonts w:ascii="Tahoma" w:hAnsi="Tahoma" w:cs="Tahoma"/>
          <w:sz w:val="24"/>
          <w:szCs w:val="24"/>
          <w:lang w:val="en-GB"/>
        </w:rPr>
        <w:t xml:space="preserve"> </w:t>
      </w:r>
      <w:r w:rsidR="00642652" w:rsidRPr="000304A7">
        <w:rPr>
          <w:rFonts w:ascii="Tahoma" w:hAnsi="Tahoma" w:cs="Tahoma"/>
          <w:sz w:val="24"/>
          <w:szCs w:val="24"/>
          <w:lang w:val="en-GB"/>
        </w:rPr>
        <w:t>Q1</w:t>
      </w:r>
      <w:r w:rsidRPr="000304A7">
        <w:rPr>
          <w:rFonts w:ascii="Tahoma" w:hAnsi="Tahoma" w:cs="Tahoma"/>
          <w:sz w:val="24"/>
          <w:szCs w:val="24"/>
          <w:lang w:val="en-GB"/>
        </w:rPr>
        <w:t xml:space="preserve">, up by 2.2% compared to </w:t>
      </w:r>
      <w:r w:rsidR="00642652">
        <w:rPr>
          <w:rFonts w:ascii="Tahoma" w:hAnsi="Tahoma" w:cs="Tahoma"/>
          <w:sz w:val="24"/>
          <w:szCs w:val="24"/>
          <w:lang w:val="en-GB"/>
        </w:rPr>
        <w:t xml:space="preserve">the first quarter of last year. </w:t>
      </w:r>
    </w:p>
    <w:p w14:paraId="5C0367CD" w14:textId="77777777" w:rsidR="00C728CC" w:rsidRPr="000304A7" w:rsidRDefault="00C728CC">
      <w:pPr>
        <w:rPr>
          <w:rFonts w:ascii="Tahoma" w:hAnsi="Tahoma" w:cs="Tahoma"/>
          <w:color w:val="FF0000"/>
          <w:sz w:val="24"/>
          <w:szCs w:val="24"/>
          <w:lang w:val="en-GB"/>
        </w:rPr>
      </w:pPr>
      <w:r w:rsidRPr="000304A7">
        <w:rPr>
          <w:rFonts w:ascii="Tahoma" w:hAnsi="Tahoma" w:cs="Tahoma"/>
          <w:color w:val="FF0000"/>
          <w:sz w:val="24"/>
          <w:szCs w:val="24"/>
          <w:lang w:val="en-GB"/>
        </w:rPr>
        <w:br w:type="page"/>
      </w:r>
    </w:p>
    <w:p w14:paraId="0D8BE983" w14:textId="77777777" w:rsidR="00503750" w:rsidRPr="000304A7" w:rsidRDefault="00503750" w:rsidP="00503750">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4"/>
          <w:szCs w:val="24"/>
          <w:lang w:val="en-GB"/>
        </w:rPr>
      </w:pPr>
      <w:r w:rsidRPr="000304A7">
        <w:rPr>
          <w:rFonts w:ascii="Tahoma" w:hAnsi="Tahoma" w:cs="Tahoma"/>
          <w:b/>
          <w:caps/>
          <w:color w:val="0070C0"/>
          <w:sz w:val="24"/>
          <w:szCs w:val="24"/>
          <w:lang w:val="en-GB"/>
        </w:rPr>
        <w:lastRenderedPageBreak/>
        <w:t xml:space="preserve">GENERAL GOVERNMENT EXPENDITURE </w:t>
      </w:r>
    </w:p>
    <w:p w14:paraId="4B8A00A9" w14:textId="77777777" w:rsidR="00C728CC" w:rsidRPr="00A27DA2" w:rsidRDefault="00EA429A" w:rsidP="00A27DA2">
      <w:pPr>
        <w:shd w:val="clear" w:color="auto" w:fill="D9D9D9" w:themeFill="background1" w:themeFillShade="D9"/>
        <w:spacing w:after="120" w:line="360" w:lineRule="auto"/>
        <w:jc w:val="both"/>
        <w:rPr>
          <w:rFonts w:ascii="Tahoma" w:hAnsi="Tahoma" w:cs="Tahoma"/>
          <w:color w:val="FF0000"/>
          <w:sz w:val="24"/>
          <w:szCs w:val="24"/>
          <w:lang w:val="en-GB"/>
        </w:rPr>
      </w:pPr>
      <w:r w:rsidRPr="000304A7">
        <w:rPr>
          <w:rFonts w:ascii="Tahoma" w:hAnsi="Tahoma" w:cs="Tahoma"/>
          <w:sz w:val="24"/>
          <w:szCs w:val="24"/>
          <w:lang w:val="en-GB"/>
        </w:rPr>
        <w:t>General government expenditure totalled RON 90.30 billion (8.3% of GDP)</w:t>
      </w:r>
      <w:r w:rsidR="00503750" w:rsidRPr="000304A7">
        <w:rPr>
          <w:rFonts w:ascii="Tahoma" w:hAnsi="Tahoma" w:cs="Tahoma"/>
          <w:sz w:val="24"/>
          <w:szCs w:val="24"/>
          <w:lang w:val="en-GB"/>
        </w:rPr>
        <w:t xml:space="preserve"> in 2020</w:t>
      </w:r>
      <w:r w:rsidR="00642652">
        <w:rPr>
          <w:rFonts w:ascii="Tahoma" w:hAnsi="Tahoma" w:cs="Tahoma"/>
          <w:sz w:val="24"/>
          <w:szCs w:val="24"/>
          <w:lang w:val="en-GB"/>
        </w:rPr>
        <w:t xml:space="preserve"> </w:t>
      </w:r>
      <w:r w:rsidR="00642652" w:rsidRPr="000304A7">
        <w:rPr>
          <w:rFonts w:ascii="Tahoma" w:hAnsi="Tahoma" w:cs="Tahoma"/>
          <w:sz w:val="24"/>
          <w:szCs w:val="24"/>
          <w:lang w:val="en-GB"/>
        </w:rPr>
        <w:t>Q1</w:t>
      </w:r>
      <w:r w:rsidRPr="000304A7">
        <w:rPr>
          <w:rFonts w:ascii="Tahoma" w:hAnsi="Tahoma" w:cs="Tahoma"/>
          <w:sz w:val="24"/>
          <w:szCs w:val="24"/>
          <w:lang w:val="en-GB"/>
        </w:rPr>
        <w:t xml:space="preserve">, </w:t>
      </w:r>
      <w:r w:rsidR="00503750" w:rsidRPr="000304A7">
        <w:rPr>
          <w:rFonts w:ascii="Tahoma" w:hAnsi="Tahoma" w:cs="Tahoma"/>
          <w:sz w:val="24"/>
          <w:szCs w:val="24"/>
          <w:lang w:val="en-GB"/>
        </w:rPr>
        <w:t>advancing by 12.7% compared to 2019</w:t>
      </w:r>
      <w:r w:rsidR="00642652">
        <w:rPr>
          <w:rFonts w:ascii="Tahoma" w:hAnsi="Tahoma" w:cs="Tahoma"/>
          <w:sz w:val="24"/>
          <w:szCs w:val="24"/>
          <w:lang w:val="en-GB"/>
        </w:rPr>
        <w:t xml:space="preserve"> </w:t>
      </w:r>
      <w:r w:rsidR="00642652" w:rsidRPr="000304A7">
        <w:rPr>
          <w:rFonts w:ascii="Tahoma" w:hAnsi="Tahoma" w:cs="Tahoma"/>
          <w:sz w:val="24"/>
          <w:szCs w:val="24"/>
          <w:lang w:val="en-GB"/>
        </w:rPr>
        <w:t>Q1</w:t>
      </w:r>
      <w:r w:rsidR="00503750" w:rsidRPr="000304A7">
        <w:rPr>
          <w:rFonts w:ascii="Tahoma" w:hAnsi="Tahoma" w:cs="Tahoma"/>
          <w:sz w:val="24"/>
          <w:szCs w:val="24"/>
          <w:lang w:val="en-GB"/>
        </w:rPr>
        <w:t>.</w:t>
      </w:r>
      <w:r w:rsidR="00F36E8D">
        <w:rPr>
          <w:rFonts w:ascii="Tahoma" w:hAnsi="Tahoma" w:cs="Tahoma"/>
          <w:sz w:val="24"/>
          <w:szCs w:val="24"/>
          <w:lang w:val="en-GB"/>
        </w:rPr>
        <w:t xml:space="preserve"> </w:t>
      </w:r>
      <w:r w:rsidR="00642652">
        <w:rPr>
          <w:rFonts w:ascii="Tahoma" w:hAnsi="Tahoma" w:cs="Tahoma"/>
          <w:sz w:val="24"/>
          <w:szCs w:val="24"/>
          <w:lang w:val="en-GB"/>
        </w:rPr>
        <w:t>As a percentage of GDP,</w:t>
      </w:r>
      <w:r w:rsidR="00503750" w:rsidRPr="000304A7">
        <w:rPr>
          <w:rFonts w:ascii="Tahoma" w:hAnsi="Tahoma" w:cs="Tahoma"/>
          <w:sz w:val="24"/>
          <w:szCs w:val="24"/>
          <w:lang w:val="en-GB"/>
        </w:rPr>
        <w:t xml:space="preserve"> </w:t>
      </w:r>
      <w:r w:rsidR="00642652">
        <w:rPr>
          <w:rFonts w:ascii="Tahoma" w:hAnsi="Tahoma" w:cs="Tahoma"/>
          <w:sz w:val="24"/>
          <w:szCs w:val="24"/>
          <w:lang w:val="en-GB"/>
        </w:rPr>
        <w:t>t</w:t>
      </w:r>
      <w:r w:rsidR="00503750" w:rsidRPr="000304A7">
        <w:rPr>
          <w:rFonts w:ascii="Tahoma" w:hAnsi="Tahoma" w:cs="Tahoma"/>
          <w:sz w:val="24"/>
          <w:szCs w:val="24"/>
          <w:lang w:val="en-GB"/>
        </w:rPr>
        <w:t>otal expenditure increased by 0.8 pp, from 7.6% to 8.3%</w:t>
      </w:r>
      <w:r w:rsidR="00642652">
        <w:rPr>
          <w:rFonts w:ascii="Tahoma" w:hAnsi="Tahoma" w:cs="Tahoma"/>
          <w:sz w:val="24"/>
          <w:szCs w:val="24"/>
          <w:lang w:val="en-GB"/>
        </w:rPr>
        <w:t xml:space="preserve">. </w:t>
      </w:r>
    </w:p>
    <w:p w14:paraId="08482478" w14:textId="3062929A" w:rsidR="00503750" w:rsidRPr="000304A7" w:rsidRDefault="00503750" w:rsidP="00C728CC">
      <w:pPr>
        <w:spacing w:before="240" w:after="120" w:line="360" w:lineRule="auto"/>
        <w:ind w:right="-57"/>
        <w:jc w:val="both"/>
        <w:rPr>
          <w:rFonts w:ascii="Tahoma" w:hAnsi="Tahoma" w:cs="Tahoma"/>
          <w:sz w:val="24"/>
          <w:szCs w:val="24"/>
          <w:lang w:val="en-GB"/>
        </w:rPr>
      </w:pPr>
      <w:r w:rsidRPr="000304A7">
        <w:rPr>
          <w:rFonts w:ascii="Tahoma" w:hAnsi="Tahoma" w:cs="Tahoma"/>
          <w:b/>
          <w:i/>
          <w:sz w:val="24"/>
          <w:szCs w:val="24"/>
          <w:lang w:val="en-GB"/>
        </w:rPr>
        <w:t xml:space="preserve">Compensation of employees </w:t>
      </w:r>
      <w:r w:rsidRPr="000304A7">
        <w:rPr>
          <w:rFonts w:ascii="Tahoma" w:hAnsi="Tahoma" w:cs="Tahoma"/>
          <w:sz w:val="24"/>
          <w:szCs w:val="24"/>
          <w:lang w:val="en-GB"/>
        </w:rPr>
        <w:t>amounted to</w:t>
      </w:r>
      <w:r w:rsidRPr="000304A7">
        <w:rPr>
          <w:rFonts w:ascii="Tahoma" w:hAnsi="Tahoma" w:cs="Tahoma"/>
          <w:b/>
          <w:i/>
          <w:sz w:val="24"/>
          <w:szCs w:val="24"/>
          <w:lang w:val="en-GB"/>
        </w:rPr>
        <w:t xml:space="preserve"> </w:t>
      </w:r>
      <w:r w:rsidRPr="000304A7">
        <w:rPr>
          <w:rFonts w:ascii="Tahoma" w:hAnsi="Tahoma" w:cs="Tahoma"/>
          <w:sz w:val="24"/>
          <w:szCs w:val="24"/>
          <w:lang w:val="en-GB"/>
        </w:rPr>
        <w:t>RON 26.22 billion in 2020</w:t>
      </w:r>
      <w:r w:rsidR="00A27DA2">
        <w:rPr>
          <w:rFonts w:ascii="Tahoma" w:hAnsi="Tahoma" w:cs="Tahoma"/>
          <w:sz w:val="24"/>
          <w:szCs w:val="24"/>
          <w:lang w:val="en-GB"/>
        </w:rPr>
        <w:t xml:space="preserve"> </w:t>
      </w:r>
      <w:r w:rsidR="00A27DA2" w:rsidRPr="000304A7">
        <w:rPr>
          <w:rFonts w:ascii="Tahoma" w:hAnsi="Tahoma" w:cs="Tahoma"/>
          <w:sz w:val="24"/>
          <w:szCs w:val="24"/>
          <w:lang w:val="en-GB"/>
        </w:rPr>
        <w:t>Q1</w:t>
      </w:r>
      <w:r w:rsidRPr="000304A7">
        <w:rPr>
          <w:rFonts w:ascii="Tahoma" w:hAnsi="Tahoma" w:cs="Tahoma"/>
          <w:sz w:val="24"/>
          <w:szCs w:val="24"/>
          <w:lang w:val="en-GB"/>
        </w:rPr>
        <w:t xml:space="preserve">, up by 9.4% compared to the similar quarter of last year, </w:t>
      </w:r>
      <w:r w:rsidR="00A27DA2" w:rsidRPr="000304A7">
        <w:rPr>
          <w:rFonts w:ascii="Tahoma" w:hAnsi="Tahoma" w:cs="Tahoma"/>
          <w:sz w:val="24"/>
          <w:szCs w:val="24"/>
          <w:lang w:val="en-GB"/>
        </w:rPr>
        <w:t xml:space="preserve">mainly </w:t>
      </w:r>
      <w:r w:rsidR="00FD437D">
        <w:rPr>
          <w:rFonts w:ascii="Tahoma" w:hAnsi="Tahoma" w:cs="Tahoma"/>
          <w:sz w:val="24"/>
          <w:szCs w:val="24"/>
          <w:lang w:val="en-GB"/>
        </w:rPr>
        <w:t>due to</w:t>
      </w:r>
      <w:r w:rsidRPr="000304A7">
        <w:rPr>
          <w:rFonts w:ascii="Tahoma" w:hAnsi="Tahoma" w:cs="Tahoma"/>
          <w:sz w:val="24"/>
          <w:szCs w:val="24"/>
          <w:lang w:val="en-GB"/>
        </w:rPr>
        <w:t xml:space="preserve"> public wage hikes</w:t>
      </w:r>
      <w:r w:rsidR="00C00BED" w:rsidRPr="000304A7">
        <w:rPr>
          <w:rFonts w:ascii="Tahoma" w:hAnsi="Tahoma" w:cs="Tahoma"/>
          <w:sz w:val="24"/>
          <w:szCs w:val="24"/>
          <w:lang w:val="en-GB"/>
        </w:rPr>
        <w:t xml:space="preserve"> (as of Jan</w:t>
      </w:r>
      <w:r w:rsidR="00037F63">
        <w:rPr>
          <w:rFonts w:ascii="Tahoma" w:hAnsi="Tahoma" w:cs="Tahoma"/>
          <w:sz w:val="24"/>
          <w:szCs w:val="24"/>
          <w:lang w:val="en-GB"/>
        </w:rPr>
        <w:t xml:space="preserve"> </w:t>
      </w:r>
      <w:r w:rsidR="00037F63" w:rsidRPr="000304A7">
        <w:rPr>
          <w:rFonts w:ascii="Tahoma" w:hAnsi="Tahoma" w:cs="Tahoma"/>
          <w:sz w:val="24"/>
          <w:szCs w:val="24"/>
          <w:lang w:val="en-GB"/>
        </w:rPr>
        <w:t>1</w:t>
      </w:r>
      <w:proofErr w:type="gramStart"/>
      <w:r w:rsidR="00037F63" w:rsidRPr="000304A7">
        <w:rPr>
          <w:rFonts w:ascii="Tahoma" w:hAnsi="Tahoma" w:cs="Tahoma"/>
          <w:sz w:val="24"/>
          <w:szCs w:val="24"/>
          <w:vertAlign w:val="superscript"/>
          <w:lang w:val="en-GB"/>
        </w:rPr>
        <w:t>st</w:t>
      </w:r>
      <w:r w:rsidR="00C00BED" w:rsidRPr="000304A7">
        <w:rPr>
          <w:rFonts w:ascii="Tahoma" w:hAnsi="Tahoma" w:cs="Tahoma"/>
          <w:sz w:val="24"/>
          <w:szCs w:val="24"/>
          <w:lang w:val="en-GB"/>
        </w:rPr>
        <w:t xml:space="preserve"> </w:t>
      </w:r>
      <w:r w:rsidR="00037F63">
        <w:rPr>
          <w:rFonts w:ascii="Tahoma" w:hAnsi="Tahoma" w:cs="Tahoma"/>
          <w:sz w:val="24"/>
          <w:szCs w:val="24"/>
          <w:lang w:val="en-GB"/>
        </w:rPr>
        <w:t>,</w:t>
      </w:r>
      <w:proofErr w:type="gramEnd"/>
      <w:r w:rsidR="00037F63">
        <w:rPr>
          <w:rFonts w:ascii="Tahoma" w:hAnsi="Tahoma" w:cs="Tahoma"/>
          <w:sz w:val="24"/>
          <w:szCs w:val="24"/>
          <w:lang w:val="en-GB"/>
        </w:rPr>
        <w:t xml:space="preserve"> 20</w:t>
      </w:r>
      <w:r w:rsidR="00C00BED" w:rsidRPr="000304A7">
        <w:rPr>
          <w:rFonts w:ascii="Tahoma" w:hAnsi="Tahoma" w:cs="Tahoma"/>
          <w:sz w:val="24"/>
          <w:szCs w:val="24"/>
          <w:lang w:val="en-GB"/>
        </w:rPr>
        <w:t>19 and Jan</w:t>
      </w:r>
      <w:r w:rsidR="00037F63">
        <w:rPr>
          <w:rFonts w:ascii="Tahoma" w:hAnsi="Tahoma" w:cs="Tahoma"/>
          <w:sz w:val="24"/>
          <w:szCs w:val="24"/>
          <w:lang w:val="en-GB"/>
        </w:rPr>
        <w:t xml:space="preserve"> </w:t>
      </w:r>
      <w:r w:rsidR="00037F63" w:rsidRPr="000304A7">
        <w:rPr>
          <w:rFonts w:ascii="Tahoma" w:hAnsi="Tahoma" w:cs="Tahoma"/>
          <w:sz w:val="24"/>
          <w:szCs w:val="24"/>
          <w:lang w:val="en-GB"/>
        </w:rPr>
        <w:t>1</w:t>
      </w:r>
      <w:r w:rsidR="00037F63" w:rsidRPr="000304A7">
        <w:rPr>
          <w:rFonts w:ascii="Tahoma" w:hAnsi="Tahoma" w:cs="Tahoma"/>
          <w:sz w:val="24"/>
          <w:szCs w:val="24"/>
          <w:vertAlign w:val="superscript"/>
          <w:lang w:val="en-GB"/>
        </w:rPr>
        <w:t>st</w:t>
      </w:r>
      <w:r w:rsidR="00037F63" w:rsidRPr="000304A7">
        <w:rPr>
          <w:rFonts w:ascii="Tahoma" w:hAnsi="Tahoma" w:cs="Tahoma"/>
          <w:sz w:val="24"/>
          <w:szCs w:val="24"/>
          <w:lang w:val="en-GB"/>
        </w:rPr>
        <w:t xml:space="preserve"> </w:t>
      </w:r>
      <w:r w:rsidR="00037F63">
        <w:rPr>
          <w:rFonts w:ascii="Tahoma" w:hAnsi="Tahoma" w:cs="Tahoma"/>
          <w:sz w:val="24"/>
          <w:szCs w:val="24"/>
          <w:lang w:val="en-GB"/>
        </w:rPr>
        <w:t>,</w:t>
      </w:r>
      <w:r w:rsidR="00C00BED" w:rsidRPr="000304A7">
        <w:rPr>
          <w:rFonts w:ascii="Tahoma" w:hAnsi="Tahoma" w:cs="Tahoma"/>
          <w:sz w:val="24"/>
          <w:szCs w:val="24"/>
          <w:lang w:val="en-GB"/>
        </w:rPr>
        <w:t xml:space="preserve"> </w:t>
      </w:r>
      <w:r w:rsidR="00037F63">
        <w:rPr>
          <w:rFonts w:ascii="Tahoma" w:hAnsi="Tahoma" w:cs="Tahoma"/>
          <w:sz w:val="24"/>
          <w:szCs w:val="24"/>
          <w:lang w:val="en-GB"/>
        </w:rPr>
        <w:t>20</w:t>
      </w:r>
      <w:r w:rsidR="00C00BED" w:rsidRPr="000304A7">
        <w:rPr>
          <w:rFonts w:ascii="Tahoma" w:hAnsi="Tahoma" w:cs="Tahoma"/>
          <w:sz w:val="24"/>
          <w:szCs w:val="24"/>
          <w:lang w:val="en-GB"/>
        </w:rPr>
        <w:t>20) and</w:t>
      </w:r>
      <w:r w:rsidRPr="000304A7">
        <w:rPr>
          <w:rFonts w:ascii="Tahoma" w:hAnsi="Tahoma" w:cs="Tahoma"/>
          <w:sz w:val="24"/>
          <w:szCs w:val="24"/>
          <w:lang w:val="en-GB"/>
        </w:rPr>
        <w:t xml:space="preserve"> introduction </w:t>
      </w:r>
      <w:r w:rsidR="00C00BED" w:rsidRPr="000304A7">
        <w:rPr>
          <w:rFonts w:ascii="Tahoma" w:hAnsi="Tahoma" w:cs="Tahoma"/>
          <w:sz w:val="24"/>
          <w:szCs w:val="24"/>
          <w:lang w:val="en-GB"/>
        </w:rPr>
        <w:t xml:space="preserve">of meal allowance to all public sector employees (Law no. 153/2017). As a percentage of GDP, compensation of employees reached 2.4%, </w:t>
      </w:r>
      <w:r w:rsidR="00C00BED" w:rsidRPr="00FD437D">
        <w:rPr>
          <w:rFonts w:ascii="Tahoma" w:hAnsi="Tahoma" w:cs="Tahoma"/>
          <w:sz w:val="24"/>
          <w:szCs w:val="24"/>
          <w:lang w:val="en-GB"/>
        </w:rPr>
        <w:t>reflecting</w:t>
      </w:r>
      <w:r w:rsidR="00C00BED" w:rsidRPr="000304A7">
        <w:rPr>
          <w:rFonts w:ascii="Tahoma" w:hAnsi="Tahoma" w:cs="Tahoma"/>
          <w:sz w:val="24"/>
          <w:szCs w:val="24"/>
          <w:lang w:val="en-GB"/>
        </w:rPr>
        <w:t xml:space="preserve"> a marginal increase (+0.1 pp). </w:t>
      </w:r>
    </w:p>
    <w:p w14:paraId="52ABD799" w14:textId="6E18779B" w:rsidR="00C00BED" w:rsidRPr="000304A7" w:rsidRDefault="00C00BED" w:rsidP="00C728CC">
      <w:pPr>
        <w:spacing w:before="240" w:after="120" w:line="360" w:lineRule="auto"/>
        <w:ind w:right="-57"/>
        <w:jc w:val="both"/>
        <w:rPr>
          <w:rFonts w:ascii="Tahoma" w:hAnsi="Tahoma" w:cs="Tahoma"/>
          <w:sz w:val="24"/>
          <w:szCs w:val="24"/>
          <w:lang w:val="en-GB"/>
        </w:rPr>
      </w:pPr>
      <w:r w:rsidRPr="000304A7">
        <w:rPr>
          <w:rFonts w:ascii="Tahoma" w:hAnsi="Tahoma" w:cs="Tahoma"/>
          <w:b/>
          <w:i/>
          <w:sz w:val="24"/>
          <w:szCs w:val="24"/>
          <w:lang w:val="en-GB"/>
        </w:rPr>
        <w:t>Goods and services expenditure</w:t>
      </w:r>
      <w:r w:rsidRPr="000304A7">
        <w:rPr>
          <w:rFonts w:ascii="Tahoma" w:hAnsi="Tahoma" w:cs="Tahoma"/>
          <w:sz w:val="24"/>
          <w:szCs w:val="24"/>
          <w:lang w:val="en-GB"/>
        </w:rPr>
        <w:t xml:space="preserve"> totalled RON 12.19 billion, advancing by 17.4% compared to the first quarter of 2019. A larger increase was recorded at </w:t>
      </w:r>
      <w:r w:rsidR="00FD437D">
        <w:rPr>
          <w:rFonts w:ascii="Tahoma" w:hAnsi="Tahoma" w:cs="Tahoma"/>
          <w:sz w:val="24"/>
          <w:szCs w:val="24"/>
          <w:lang w:val="en-GB"/>
        </w:rPr>
        <w:t xml:space="preserve">the </w:t>
      </w:r>
      <w:r w:rsidRPr="000304A7">
        <w:rPr>
          <w:rFonts w:ascii="Tahoma" w:hAnsi="Tahoma" w:cs="Tahoma"/>
          <w:sz w:val="24"/>
          <w:szCs w:val="24"/>
          <w:lang w:val="en-GB"/>
        </w:rPr>
        <w:t>local level, as well as</w:t>
      </w:r>
      <w:r w:rsidR="00A3032D" w:rsidRPr="000304A7">
        <w:rPr>
          <w:rFonts w:ascii="Tahoma" w:hAnsi="Tahoma" w:cs="Tahoma"/>
          <w:sz w:val="24"/>
          <w:szCs w:val="24"/>
          <w:lang w:val="en-GB"/>
        </w:rPr>
        <w:t xml:space="preserve"> </w:t>
      </w:r>
      <w:r w:rsidR="00FD437D">
        <w:rPr>
          <w:rFonts w:ascii="Tahoma" w:hAnsi="Tahoma" w:cs="Tahoma"/>
          <w:sz w:val="24"/>
          <w:szCs w:val="24"/>
          <w:lang w:val="en-GB"/>
        </w:rPr>
        <w:t xml:space="preserve">for some </w:t>
      </w:r>
      <w:r w:rsidR="00FE36F8" w:rsidRPr="000304A7">
        <w:rPr>
          <w:rFonts w:ascii="Tahoma" w:hAnsi="Tahoma" w:cs="Tahoma"/>
          <w:sz w:val="24"/>
          <w:szCs w:val="24"/>
          <w:lang w:val="en-GB"/>
        </w:rPr>
        <w:t xml:space="preserve">public institutions </w:t>
      </w:r>
      <w:r w:rsidR="00FD437D" w:rsidRPr="000304A7">
        <w:rPr>
          <w:rFonts w:ascii="Tahoma" w:hAnsi="Tahoma" w:cs="Tahoma"/>
          <w:sz w:val="24"/>
          <w:szCs w:val="24"/>
          <w:lang w:val="en-GB"/>
        </w:rPr>
        <w:t xml:space="preserve">entirely or partially </w:t>
      </w:r>
      <w:r w:rsidR="00FD437D">
        <w:rPr>
          <w:rFonts w:ascii="Tahoma" w:hAnsi="Tahoma" w:cs="Tahoma"/>
          <w:sz w:val="24"/>
          <w:szCs w:val="24"/>
          <w:lang w:val="en-GB"/>
        </w:rPr>
        <w:t>self-</w:t>
      </w:r>
      <w:r w:rsidR="00FD437D" w:rsidRPr="000304A7">
        <w:rPr>
          <w:rFonts w:ascii="Tahoma" w:hAnsi="Tahoma" w:cs="Tahoma"/>
          <w:sz w:val="24"/>
          <w:szCs w:val="24"/>
          <w:lang w:val="en-GB"/>
        </w:rPr>
        <w:t>financed</w:t>
      </w:r>
      <w:r w:rsidRPr="000304A7">
        <w:rPr>
          <w:rFonts w:ascii="Tahoma" w:hAnsi="Tahoma" w:cs="Tahoma"/>
          <w:sz w:val="24"/>
          <w:szCs w:val="24"/>
          <w:lang w:val="en-GB"/>
        </w:rPr>
        <w:t xml:space="preserve">, mainly </w:t>
      </w:r>
      <w:r w:rsidR="00FD437D">
        <w:rPr>
          <w:rFonts w:ascii="Tahoma" w:hAnsi="Tahoma" w:cs="Tahoma"/>
          <w:sz w:val="24"/>
          <w:szCs w:val="24"/>
          <w:lang w:val="en-GB"/>
        </w:rPr>
        <w:t>due to</w:t>
      </w:r>
      <w:r w:rsidRPr="000304A7">
        <w:rPr>
          <w:rFonts w:ascii="Tahoma" w:hAnsi="Tahoma" w:cs="Tahoma"/>
          <w:sz w:val="24"/>
          <w:szCs w:val="24"/>
          <w:lang w:val="en-GB"/>
        </w:rPr>
        <w:t xml:space="preserve"> additional payment</w:t>
      </w:r>
      <w:r w:rsidR="00FD437D">
        <w:rPr>
          <w:rFonts w:ascii="Tahoma" w:hAnsi="Tahoma" w:cs="Tahoma"/>
          <w:sz w:val="24"/>
          <w:szCs w:val="24"/>
          <w:lang w:val="en-GB"/>
        </w:rPr>
        <w:t>s</w:t>
      </w:r>
      <w:r w:rsidRPr="000304A7">
        <w:rPr>
          <w:rFonts w:ascii="Tahoma" w:hAnsi="Tahoma" w:cs="Tahoma"/>
          <w:sz w:val="24"/>
          <w:szCs w:val="24"/>
          <w:lang w:val="en-GB"/>
        </w:rPr>
        <w:t xml:space="preserve"> </w:t>
      </w:r>
      <w:r w:rsidR="00FE36F8">
        <w:rPr>
          <w:rFonts w:ascii="Tahoma" w:hAnsi="Tahoma" w:cs="Tahoma"/>
          <w:sz w:val="24"/>
          <w:szCs w:val="24"/>
          <w:lang w:val="en-GB"/>
        </w:rPr>
        <w:t xml:space="preserve">needed </w:t>
      </w:r>
      <w:r w:rsidRPr="000304A7">
        <w:rPr>
          <w:rFonts w:ascii="Tahoma" w:hAnsi="Tahoma" w:cs="Tahoma"/>
          <w:sz w:val="24"/>
          <w:szCs w:val="24"/>
          <w:lang w:val="en-GB"/>
        </w:rPr>
        <w:t xml:space="preserve">to </w:t>
      </w:r>
      <w:r w:rsidR="00A1645A">
        <w:rPr>
          <w:rFonts w:ascii="Tahoma" w:hAnsi="Tahoma" w:cs="Tahoma"/>
          <w:sz w:val="24"/>
          <w:szCs w:val="24"/>
          <w:lang w:val="en-GB"/>
        </w:rPr>
        <w:t>limit</w:t>
      </w:r>
      <w:r w:rsidR="00A3032D" w:rsidRPr="000304A7">
        <w:rPr>
          <w:rFonts w:ascii="Tahoma" w:hAnsi="Tahoma" w:cs="Tahoma"/>
          <w:sz w:val="24"/>
          <w:szCs w:val="24"/>
          <w:lang w:val="en-GB"/>
        </w:rPr>
        <w:t xml:space="preserve"> the spread of the Covid-19. </w:t>
      </w:r>
    </w:p>
    <w:p w14:paraId="257AF7C7" w14:textId="15369D95" w:rsidR="00A3032D" w:rsidRPr="000304A7" w:rsidRDefault="00A3032D" w:rsidP="00C728CC">
      <w:pPr>
        <w:spacing w:before="240" w:after="120" w:line="360" w:lineRule="auto"/>
        <w:ind w:right="-57"/>
        <w:jc w:val="both"/>
        <w:rPr>
          <w:rFonts w:ascii="Tahoma" w:hAnsi="Tahoma" w:cs="Tahoma"/>
          <w:sz w:val="24"/>
          <w:szCs w:val="24"/>
          <w:lang w:val="en-GB"/>
        </w:rPr>
      </w:pPr>
      <w:r w:rsidRPr="000304A7">
        <w:rPr>
          <w:rFonts w:ascii="Tahoma" w:hAnsi="Tahoma" w:cs="Tahoma"/>
          <w:sz w:val="24"/>
          <w:szCs w:val="24"/>
          <w:lang w:val="en-GB"/>
        </w:rPr>
        <w:t xml:space="preserve">Furthermore, </w:t>
      </w:r>
      <w:r w:rsidR="008716D0">
        <w:rPr>
          <w:rFonts w:ascii="Tahoma" w:hAnsi="Tahoma" w:cs="Tahoma"/>
          <w:sz w:val="24"/>
          <w:szCs w:val="24"/>
          <w:lang w:val="en-GB"/>
        </w:rPr>
        <w:t xml:space="preserve">compared to the similar period of last year, </w:t>
      </w:r>
      <w:r w:rsidR="00FD437D">
        <w:rPr>
          <w:rFonts w:ascii="Tahoma" w:hAnsi="Tahoma" w:cs="Tahoma"/>
          <w:sz w:val="24"/>
          <w:szCs w:val="24"/>
          <w:lang w:val="en-GB"/>
        </w:rPr>
        <w:t xml:space="preserve">a 14% increase was recorded at the level of the </w:t>
      </w:r>
      <w:r w:rsidRPr="000304A7">
        <w:rPr>
          <w:rFonts w:ascii="Tahoma" w:hAnsi="Tahoma" w:cs="Tahoma"/>
          <w:sz w:val="24"/>
          <w:szCs w:val="24"/>
          <w:lang w:val="en-GB"/>
        </w:rPr>
        <w:t>Unique National Fund of Health Insurances</w:t>
      </w:r>
      <w:r w:rsidR="008716D0">
        <w:rPr>
          <w:rFonts w:ascii="Tahoma" w:hAnsi="Tahoma" w:cs="Tahoma"/>
          <w:sz w:val="24"/>
          <w:szCs w:val="24"/>
          <w:lang w:val="en-GB"/>
        </w:rPr>
        <w:t xml:space="preserve"> due to higher </w:t>
      </w:r>
      <w:r w:rsidR="00092E29">
        <w:rPr>
          <w:rFonts w:ascii="Tahoma" w:hAnsi="Tahoma" w:cs="Tahoma"/>
          <w:sz w:val="24"/>
          <w:szCs w:val="24"/>
          <w:lang w:val="en-GB"/>
        </w:rPr>
        <w:t xml:space="preserve">payment for </w:t>
      </w:r>
      <w:r w:rsidR="008716D0">
        <w:rPr>
          <w:rFonts w:ascii="Tahoma" w:hAnsi="Tahoma" w:cs="Tahoma"/>
          <w:sz w:val="24"/>
          <w:szCs w:val="24"/>
          <w:lang w:val="en-GB"/>
        </w:rPr>
        <w:t xml:space="preserve">drugs and outpatient medical services reimbursements. </w:t>
      </w:r>
    </w:p>
    <w:p w14:paraId="6D7151A5" w14:textId="3127B062" w:rsidR="00A3032D" w:rsidRPr="000304A7" w:rsidRDefault="00A3032D" w:rsidP="005A08FE">
      <w:pPr>
        <w:spacing w:after="120" w:line="360" w:lineRule="auto"/>
        <w:jc w:val="both"/>
        <w:rPr>
          <w:rFonts w:ascii="Tahoma" w:hAnsi="Tahoma" w:cs="Tahoma"/>
          <w:sz w:val="24"/>
          <w:szCs w:val="24"/>
          <w:lang w:val="en-GB"/>
        </w:rPr>
      </w:pPr>
      <w:r w:rsidRPr="000304A7">
        <w:rPr>
          <w:rFonts w:ascii="Tahoma" w:hAnsi="Tahoma" w:cs="Tahoma"/>
          <w:b/>
          <w:i/>
          <w:sz w:val="24"/>
          <w:szCs w:val="24"/>
          <w:lang w:val="en-GB"/>
        </w:rPr>
        <w:t>Social assistance expenditure</w:t>
      </w:r>
      <w:r w:rsidRPr="000304A7">
        <w:rPr>
          <w:rFonts w:ascii="Tahoma" w:hAnsi="Tahoma" w:cs="Tahoma"/>
          <w:sz w:val="24"/>
          <w:szCs w:val="24"/>
          <w:lang w:val="en-GB"/>
        </w:rPr>
        <w:t xml:space="preserve"> reached RON 32.77 billion</w:t>
      </w:r>
      <w:r w:rsidR="005A08FE" w:rsidRPr="000304A7">
        <w:rPr>
          <w:rFonts w:ascii="Tahoma" w:hAnsi="Tahoma" w:cs="Tahoma"/>
          <w:sz w:val="24"/>
          <w:szCs w:val="24"/>
          <w:lang w:val="en-GB"/>
        </w:rPr>
        <w:t xml:space="preserve"> in 2020</w:t>
      </w:r>
      <w:r w:rsidR="0015247B">
        <w:rPr>
          <w:rFonts w:ascii="Tahoma" w:hAnsi="Tahoma" w:cs="Tahoma"/>
          <w:sz w:val="24"/>
          <w:szCs w:val="24"/>
          <w:lang w:val="en-GB"/>
        </w:rPr>
        <w:t xml:space="preserve"> </w:t>
      </w:r>
      <w:r w:rsidR="0015247B" w:rsidRPr="000304A7">
        <w:rPr>
          <w:rFonts w:ascii="Tahoma" w:hAnsi="Tahoma" w:cs="Tahoma"/>
          <w:sz w:val="24"/>
          <w:szCs w:val="24"/>
          <w:lang w:val="en-GB"/>
        </w:rPr>
        <w:t>Q1</w:t>
      </w:r>
      <w:r w:rsidRPr="000304A7">
        <w:rPr>
          <w:rFonts w:ascii="Tahoma" w:hAnsi="Tahoma" w:cs="Tahoma"/>
          <w:sz w:val="24"/>
          <w:szCs w:val="24"/>
          <w:lang w:val="en-GB"/>
        </w:rPr>
        <w:t xml:space="preserve">, </w:t>
      </w:r>
      <w:r w:rsidR="005A08FE" w:rsidRPr="000304A7">
        <w:rPr>
          <w:rFonts w:ascii="Tahoma" w:hAnsi="Tahoma" w:cs="Tahoma"/>
          <w:sz w:val="24"/>
          <w:szCs w:val="24"/>
          <w:lang w:val="en-GB"/>
        </w:rPr>
        <w:t>advancing by 17.0% compared to 2019</w:t>
      </w:r>
      <w:r w:rsidR="008716D0">
        <w:rPr>
          <w:rFonts w:ascii="Tahoma" w:hAnsi="Tahoma" w:cs="Tahoma"/>
          <w:sz w:val="24"/>
          <w:szCs w:val="24"/>
          <w:lang w:val="en-GB"/>
        </w:rPr>
        <w:t xml:space="preserve"> </w:t>
      </w:r>
      <w:r w:rsidR="008716D0" w:rsidRPr="000304A7">
        <w:rPr>
          <w:rFonts w:ascii="Tahoma" w:hAnsi="Tahoma" w:cs="Tahoma"/>
          <w:sz w:val="24"/>
          <w:szCs w:val="24"/>
          <w:lang w:val="en-GB"/>
        </w:rPr>
        <w:t>Q1</w:t>
      </w:r>
      <w:r w:rsidR="005A08FE" w:rsidRPr="000304A7">
        <w:rPr>
          <w:rFonts w:ascii="Tahoma" w:hAnsi="Tahoma" w:cs="Tahoma"/>
          <w:sz w:val="24"/>
          <w:szCs w:val="24"/>
          <w:lang w:val="en-GB"/>
        </w:rPr>
        <w:t xml:space="preserve">. </w:t>
      </w:r>
      <w:proofErr w:type="gramStart"/>
      <w:r w:rsidR="005A08FE" w:rsidRPr="000304A7">
        <w:rPr>
          <w:rFonts w:ascii="Tahoma" w:hAnsi="Tahoma" w:cs="Tahoma"/>
          <w:sz w:val="24"/>
          <w:szCs w:val="24"/>
          <w:lang w:val="en-GB"/>
        </w:rPr>
        <w:t>This dynamic</w:t>
      </w:r>
      <w:r w:rsidR="0015247B">
        <w:rPr>
          <w:rFonts w:ascii="Tahoma" w:hAnsi="Tahoma" w:cs="Tahoma"/>
          <w:sz w:val="24"/>
          <w:szCs w:val="24"/>
          <w:lang w:val="en-GB"/>
        </w:rPr>
        <w:t>s</w:t>
      </w:r>
      <w:proofErr w:type="gramEnd"/>
      <w:r w:rsidR="005A08FE" w:rsidRPr="000304A7">
        <w:rPr>
          <w:rFonts w:ascii="Tahoma" w:hAnsi="Tahoma" w:cs="Tahoma"/>
          <w:sz w:val="24"/>
          <w:szCs w:val="24"/>
          <w:lang w:val="en-GB"/>
        </w:rPr>
        <w:t xml:space="preserve"> is mainly explained by the increase of the pension point by 15% as of September 1</w:t>
      </w:r>
      <w:r w:rsidR="005A08FE" w:rsidRPr="000304A7">
        <w:rPr>
          <w:rFonts w:ascii="Tahoma" w:hAnsi="Tahoma" w:cs="Tahoma"/>
          <w:sz w:val="24"/>
          <w:szCs w:val="24"/>
          <w:vertAlign w:val="superscript"/>
          <w:lang w:val="en-GB"/>
        </w:rPr>
        <w:t>st</w:t>
      </w:r>
      <w:r w:rsidR="005A08FE" w:rsidRPr="000304A7">
        <w:rPr>
          <w:rFonts w:ascii="Tahoma" w:hAnsi="Tahoma" w:cs="Tahoma"/>
          <w:sz w:val="24"/>
          <w:szCs w:val="24"/>
          <w:lang w:val="en-GB"/>
        </w:rPr>
        <w:t>, 2019 (from RON 1,100 to RON 1,265); the increase of the social allowance for pensioners by 10%; of child allowance as of May 1</w:t>
      </w:r>
      <w:r w:rsidR="005A08FE" w:rsidRPr="000304A7">
        <w:rPr>
          <w:rFonts w:ascii="Tahoma" w:hAnsi="Tahoma" w:cs="Tahoma"/>
          <w:sz w:val="24"/>
          <w:szCs w:val="24"/>
          <w:vertAlign w:val="superscript"/>
          <w:lang w:val="en-GB"/>
        </w:rPr>
        <w:t>st</w:t>
      </w:r>
      <w:r w:rsidR="005A08FE" w:rsidRPr="000304A7">
        <w:rPr>
          <w:rFonts w:ascii="Tahoma" w:hAnsi="Tahoma" w:cs="Tahoma"/>
          <w:sz w:val="24"/>
          <w:szCs w:val="24"/>
          <w:lang w:val="en-GB"/>
        </w:rPr>
        <w:t xml:space="preserve">, 2019, as well as indexing child allowance with the </w:t>
      </w:r>
      <w:r w:rsidR="0015247B" w:rsidRPr="000304A7">
        <w:rPr>
          <w:rFonts w:ascii="Tahoma" w:hAnsi="Tahoma" w:cs="Tahoma"/>
          <w:sz w:val="24"/>
          <w:szCs w:val="24"/>
          <w:lang w:val="en-GB"/>
        </w:rPr>
        <w:t>2019</w:t>
      </w:r>
      <w:r w:rsidR="0015247B">
        <w:rPr>
          <w:rFonts w:ascii="Tahoma" w:hAnsi="Tahoma" w:cs="Tahoma"/>
          <w:sz w:val="24"/>
          <w:szCs w:val="24"/>
          <w:lang w:val="en-GB"/>
        </w:rPr>
        <w:t xml:space="preserve"> </w:t>
      </w:r>
      <w:r w:rsidR="005A08FE" w:rsidRPr="000304A7">
        <w:rPr>
          <w:rFonts w:ascii="Tahoma" w:hAnsi="Tahoma" w:cs="Tahoma"/>
          <w:sz w:val="24"/>
          <w:szCs w:val="24"/>
          <w:lang w:val="en-GB"/>
        </w:rPr>
        <w:t>inflation rate, as of January 1</w:t>
      </w:r>
      <w:r w:rsidR="005A08FE" w:rsidRPr="000304A7">
        <w:rPr>
          <w:rFonts w:ascii="Tahoma" w:hAnsi="Tahoma" w:cs="Tahoma"/>
          <w:sz w:val="24"/>
          <w:szCs w:val="24"/>
          <w:vertAlign w:val="superscript"/>
          <w:lang w:val="en-GB"/>
        </w:rPr>
        <w:t>st</w:t>
      </w:r>
      <w:r w:rsidR="005A08FE" w:rsidRPr="000304A7">
        <w:rPr>
          <w:rFonts w:ascii="Tahoma" w:hAnsi="Tahoma" w:cs="Tahoma"/>
          <w:sz w:val="24"/>
          <w:szCs w:val="24"/>
          <w:lang w:val="en-GB"/>
        </w:rPr>
        <w:t xml:space="preserve">, 2020. </w:t>
      </w:r>
      <w:r w:rsidR="0015247B">
        <w:rPr>
          <w:rFonts w:ascii="Tahoma" w:hAnsi="Tahoma" w:cs="Tahoma"/>
          <w:sz w:val="24"/>
          <w:szCs w:val="24"/>
          <w:lang w:val="en-GB"/>
        </w:rPr>
        <w:t>Furthermore</w:t>
      </w:r>
      <w:r w:rsidR="005A08FE" w:rsidRPr="000304A7">
        <w:rPr>
          <w:rFonts w:ascii="Tahoma" w:hAnsi="Tahoma" w:cs="Tahoma"/>
          <w:sz w:val="24"/>
          <w:szCs w:val="24"/>
          <w:lang w:val="en-GB"/>
        </w:rPr>
        <w:t xml:space="preserve">, </w:t>
      </w:r>
      <w:r w:rsidR="0015247B">
        <w:rPr>
          <w:rFonts w:ascii="Tahoma" w:hAnsi="Tahoma" w:cs="Tahoma"/>
          <w:sz w:val="24"/>
          <w:szCs w:val="24"/>
          <w:lang w:val="en-GB"/>
        </w:rPr>
        <w:t xml:space="preserve">sick leave reimbursements were </w:t>
      </w:r>
      <w:r w:rsidR="00A1645A">
        <w:rPr>
          <w:rFonts w:ascii="Tahoma" w:hAnsi="Tahoma" w:cs="Tahoma"/>
          <w:sz w:val="24"/>
          <w:szCs w:val="24"/>
          <w:lang w:val="en-GB"/>
        </w:rPr>
        <w:t>double compared to</w:t>
      </w:r>
      <w:r w:rsidR="0015247B">
        <w:rPr>
          <w:rFonts w:ascii="Tahoma" w:hAnsi="Tahoma" w:cs="Tahoma"/>
          <w:sz w:val="24"/>
          <w:szCs w:val="24"/>
          <w:lang w:val="en-GB"/>
        </w:rPr>
        <w:t xml:space="preserve"> 2019 Q1 (RON 401.7 million in March). </w:t>
      </w:r>
    </w:p>
    <w:p w14:paraId="16343342" w14:textId="77777777" w:rsidR="005A08FE" w:rsidRPr="000304A7" w:rsidRDefault="005A08FE" w:rsidP="00C728CC">
      <w:pPr>
        <w:spacing w:before="240" w:after="120" w:line="360" w:lineRule="auto"/>
        <w:contextualSpacing/>
        <w:jc w:val="both"/>
        <w:rPr>
          <w:rFonts w:ascii="Tahoma" w:hAnsi="Tahoma" w:cs="Tahoma"/>
          <w:color w:val="FF0000"/>
          <w:sz w:val="24"/>
          <w:szCs w:val="28"/>
          <w:lang w:val="en-GB"/>
        </w:rPr>
      </w:pPr>
    </w:p>
    <w:p w14:paraId="6B9F30F5" w14:textId="77777777" w:rsidR="005A08FE" w:rsidRPr="000304A7" w:rsidRDefault="005A08FE" w:rsidP="00C728CC">
      <w:pPr>
        <w:spacing w:before="240" w:after="120" w:line="360" w:lineRule="auto"/>
        <w:contextualSpacing/>
        <w:jc w:val="both"/>
        <w:rPr>
          <w:rFonts w:ascii="Tahoma" w:hAnsi="Tahoma" w:cs="Tahoma"/>
          <w:color w:val="FF0000"/>
          <w:sz w:val="24"/>
          <w:szCs w:val="28"/>
          <w:lang w:val="en-GB"/>
        </w:rPr>
      </w:pPr>
    </w:p>
    <w:p w14:paraId="552619DE" w14:textId="77777777" w:rsidR="005A08FE" w:rsidRPr="000304A7" w:rsidRDefault="005A08FE" w:rsidP="00C728CC">
      <w:pPr>
        <w:spacing w:before="240" w:after="120" w:line="360" w:lineRule="auto"/>
        <w:contextualSpacing/>
        <w:jc w:val="both"/>
        <w:rPr>
          <w:rFonts w:ascii="Tahoma" w:hAnsi="Tahoma" w:cs="Tahoma"/>
          <w:color w:val="FF0000"/>
          <w:sz w:val="24"/>
          <w:szCs w:val="28"/>
          <w:lang w:val="en-GB"/>
        </w:rPr>
      </w:pPr>
    </w:p>
    <w:p w14:paraId="31BB4506" w14:textId="549F9633" w:rsidR="005A08FE" w:rsidRPr="000304A7" w:rsidRDefault="005A08FE" w:rsidP="005A08FE">
      <w:pPr>
        <w:spacing w:after="120" w:line="360" w:lineRule="auto"/>
        <w:jc w:val="both"/>
        <w:rPr>
          <w:rFonts w:ascii="Tahoma" w:hAnsi="Tahoma" w:cs="Tahoma"/>
          <w:sz w:val="24"/>
          <w:szCs w:val="24"/>
          <w:lang w:val="en-GB"/>
        </w:rPr>
      </w:pPr>
      <w:r w:rsidRPr="000304A7">
        <w:rPr>
          <w:rFonts w:ascii="Tahoma" w:hAnsi="Tahoma" w:cs="Tahoma"/>
          <w:b/>
          <w:i/>
          <w:sz w:val="24"/>
          <w:szCs w:val="24"/>
          <w:lang w:val="en-GB"/>
        </w:rPr>
        <w:lastRenderedPageBreak/>
        <w:t>Subsidies</w:t>
      </w:r>
      <w:r w:rsidRPr="000304A7">
        <w:rPr>
          <w:rFonts w:ascii="Tahoma" w:hAnsi="Tahoma" w:cs="Tahoma"/>
          <w:sz w:val="24"/>
          <w:szCs w:val="24"/>
          <w:lang w:val="en-GB"/>
        </w:rPr>
        <w:t xml:space="preserve"> reached RON 2.62 billion in 2020</w:t>
      </w:r>
      <w:r w:rsidR="00FD437D">
        <w:rPr>
          <w:rFonts w:ascii="Tahoma" w:hAnsi="Tahoma" w:cs="Tahoma"/>
          <w:sz w:val="24"/>
          <w:szCs w:val="24"/>
          <w:lang w:val="en-GB"/>
        </w:rPr>
        <w:t xml:space="preserve"> </w:t>
      </w:r>
      <w:r w:rsidR="00FD437D" w:rsidRPr="000304A7">
        <w:rPr>
          <w:rFonts w:ascii="Tahoma" w:hAnsi="Tahoma" w:cs="Tahoma"/>
          <w:sz w:val="24"/>
          <w:szCs w:val="24"/>
          <w:lang w:val="en-GB"/>
        </w:rPr>
        <w:t>Q1</w:t>
      </w:r>
      <w:r w:rsidRPr="000304A7">
        <w:rPr>
          <w:rFonts w:ascii="Tahoma" w:hAnsi="Tahoma" w:cs="Tahoma"/>
          <w:sz w:val="24"/>
          <w:szCs w:val="24"/>
          <w:lang w:val="en-GB"/>
        </w:rPr>
        <w:t>, more than 1.6 times higher than in 2019</w:t>
      </w:r>
      <w:r w:rsidR="00FD437D">
        <w:rPr>
          <w:rFonts w:ascii="Tahoma" w:hAnsi="Tahoma" w:cs="Tahoma"/>
          <w:sz w:val="24"/>
          <w:szCs w:val="24"/>
          <w:lang w:val="en-GB"/>
        </w:rPr>
        <w:t xml:space="preserve"> </w:t>
      </w:r>
      <w:r w:rsidR="00FD437D" w:rsidRPr="000304A7">
        <w:rPr>
          <w:rFonts w:ascii="Tahoma" w:hAnsi="Tahoma" w:cs="Tahoma"/>
          <w:sz w:val="24"/>
          <w:szCs w:val="24"/>
          <w:lang w:val="en-GB"/>
        </w:rPr>
        <w:t>Q1</w:t>
      </w:r>
      <w:r w:rsidRPr="000304A7">
        <w:rPr>
          <w:rFonts w:ascii="Tahoma" w:hAnsi="Tahoma" w:cs="Tahoma"/>
          <w:sz w:val="24"/>
          <w:szCs w:val="24"/>
          <w:lang w:val="en-GB"/>
        </w:rPr>
        <w:t xml:space="preserve">, </w:t>
      </w:r>
      <w:r w:rsidR="00DA6E24">
        <w:rPr>
          <w:rFonts w:ascii="Tahoma" w:hAnsi="Tahoma" w:cs="Tahoma"/>
          <w:sz w:val="24"/>
          <w:szCs w:val="24"/>
          <w:lang w:val="en-GB"/>
        </w:rPr>
        <w:t>largely</w:t>
      </w:r>
      <w:r w:rsidRPr="000304A7">
        <w:rPr>
          <w:rFonts w:ascii="Tahoma" w:hAnsi="Tahoma" w:cs="Tahoma"/>
          <w:sz w:val="24"/>
          <w:szCs w:val="24"/>
          <w:lang w:val="en-GB"/>
        </w:rPr>
        <w:t xml:space="preserve"> reflecting subsidies in the agricultural sector during Jan and Feb and payments in advance for the transitional national aid in the vegetal and zootechnic sector.</w:t>
      </w:r>
    </w:p>
    <w:p w14:paraId="0BC448A9" w14:textId="3D8C2D28" w:rsidR="00FD437D" w:rsidRPr="000304A7" w:rsidRDefault="005A08FE" w:rsidP="004459C0">
      <w:pPr>
        <w:spacing w:after="120" w:line="360" w:lineRule="auto"/>
        <w:jc w:val="both"/>
        <w:rPr>
          <w:rFonts w:ascii="Tahoma" w:hAnsi="Tahoma" w:cs="Tahoma"/>
          <w:sz w:val="24"/>
          <w:szCs w:val="24"/>
          <w:lang w:val="en-GB"/>
        </w:rPr>
      </w:pPr>
      <w:r w:rsidRPr="000304A7">
        <w:rPr>
          <w:rFonts w:ascii="Tahoma" w:hAnsi="Tahoma" w:cs="Tahoma"/>
          <w:b/>
          <w:i/>
          <w:sz w:val="24"/>
          <w:szCs w:val="24"/>
          <w:lang w:val="en-GB"/>
        </w:rPr>
        <w:t xml:space="preserve">Other expenditure </w:t>
      </w:r>
      <w:r w:rsidRPr="000304A7">
        <w:rPr>
          <w:rFonts w:ascii="Tahoma" w:hAnsi="Tahoma" w:cs="Tahoma"/>
          <w:sz w:val="24"/>
          <w:szCs w:val="24"/>
          <w:lang w:val="en-GB"/>
        </w:rPr>
        <w:t xml:space="preserve">amounted to RON 1.34 billion (this category includes mainly payment titles issued by the National Authority for Properties Restitution, scholarships for students and payments related to court decisions). </w:t>
      </w:r>
    </w:p>
    <w:p w14:paraId="01085EF8" w14:textId="71531843" w:rsidR="004459C0" w:rsidRPr="000304A7" w:rsidRDefault="004459C0" w:rsidP="00C728CC">
      <w:pPr>
        <w:spacing w:before="240" w:after="120" w:line="360" w:lineRule="auto"/>
        <w:jc w:val="both"/>
        <w:rPr>
          <w:rFonts w:ascii="Tahoma" w:hAnsi="Tahoma" w:cs="Tahoma"/>
          <w:b/>
          <w:bCs/>
          <w:i/>
          <w:color w:val="FF0000"/>
          <w:sz w:val="24"/>
          <w:szCs w:val="28"/>
          <w:lang w:val="en-GB"/>
        </w:rPr>
      </w:pPr>
      <w:r w:rsidRPr="000304A7">
        <w:rPr>
          <w:rFonts w:ascii="Tahoma" w:hAnsi="Tahoma" w:cs="Tahoma"/>
          <w:b/>
          <w:i/>
          <w:sz w:val="24"/>
          <w:szCs w:val="24"/>
          <w:lang w:val="en-GB"/>
        </w:rPr>
        <w:t>Expenditure for projects financed from non-reimbursable external funds</w:t>
      </w:r>
      <w:r w:rsidRPr="000304A7">
        <w:rPr>
          <w:rFonts w:ascii="Tahoma" w:hAnsi="Tahoma" w:cs="Tahoma"/>
          <w:sz w:val="24"/>
          <w:szCs w:val="24"/>
          <w:lang w:val="en-GB"/>
        </w:rPr>
        <w:t xml:space="preserve"> (including EU subsidies for agriculture) reached RON 4.55 billion, 8.1% above the level recorded in 2019</w:t>
      </w:r>
      <w:r w:rsidR="009A1084">
        <w:rPr>
          <w:rFonts w:ascii="Tahoma" w:hAnsi="Tahoma" w:cs="Tahoma"/>
          <w:sz w:val="24"/>
          <w:szCs w:val="24"/>
          <w:lang w:val="en-GB"/>
        </w:rPr>
        <w:t xml:space="preserve"> </w:t>
      </w:r>
      <w:r w:rsidR="009A1084" w:rsidRPr="000304A7">
        <w:rPr>
          <w:rFonts w:ascii="Tahoma" w:hAnsi="Tahoma" w:cs="Tahoma"/>
          <w:sz w:val="24"/>
          <w:szCs w:val="24"/>
          <w:lang w:val="en-GB"/>
        </w:rPr>
        <w:t>Q1</w:t>
      </w:r>
      <w:r w:rsidRPr="000304A7">
        <w:rPr>
          <w:rFonts w:ascii="Tahoma" w:hAnsi="Tahoma" w:cs="Tahoma"/>
          <w:sz w:val="24"/>
          <w:szCs w:val="24"/>
          <w:lang w:val="en-GB"/>
        </w:rPr>
        <w:t xml:space="preserve">. </w:t>
      </w:r>
    </w:p>
    <w:p w14:paraId="704AACE2" w14:textId="78C739B3" w:rsidR="00C728CC" w:rsidRDefault="00947FAD" w:rsidP="00FD437D">
      <w:pPr>
        <w:spacing w:before="240" w:after="120" w:line="360" w:lineRule="auto"/>
        <w:jc w:val="both"/>
        <w:rPr>
          <w:rFonts w:ascii="Tahoma" w:hAnsi="Tahoma" w:cs="Tahoma"/>
          <w:sz w:val="24"/>
          <w:szCs w:val="24"/>
          <w:lang w:val="en-GB"/>
        </w:rPr>
      </w:pPr>
      <w:r w:rsidRPr="000304A7">
        <w:rPr>
          <w:rFonts w:ascii="Tahoma" w:hAnsi="Tahoma" w:cs="Tahoma"/>
          <w:b/>
          <w:i/>
          <w:sz w:val="24"/>
          <w:szCs w:val="24"/>
          <w:lang w:val="en-GB"/>
        </w:rPr>
        <w:t>Investment</w:t>
      </w:r>
      <w:r w:rsidRPr="000304A7">
        <w:rPr>
          <w:rFonts w:ascii="Tahoma" w:hAnsi="Tahoma" w:cs="Tahoma"/>
          <w:sz w:val="24"/>
          <w:szCs w:val="24"/>
          <w:lang w:val="en-GB"/>
        </w:rPr>
        <w:t>, which includes capital expenditure and spending related to development programs financed from domestic and external sources, totalled RON 5.85 billion, 20.4% higher than in 2019</w:t>
      </w:r>
      <w:r w:rsidR="00FD437D">
        <w:rPr>
          <w:rFonts w:ascii="Tahoma" w:hAnsi="Tahoma" w:cs="Tahoma"/>
          <w:sz w:val="24"/>
          <w:szCs w:val="24"/>
          <w:lang w:val="en-GB"/>
        </w:rPr>
        <w:t xml:space="preserve"> </w:t>
      </w:r>
      <w:r w:rsidR="00FD437D" w:rsidRPr="000304A7">
        <w:rPr>
          <w:rFonts w:ascii="Tahoma" w:hAnsi="Tahoma" w:cs="Tahoma"/>
          <w:sz w:val="24"/>
          <w:szCs w:val="24"/>
          <w:lang w:val="en-GB"/>
        </w:rPr>
        <w:t>Q1</w:t>
      </w:r>
      <w:r w:rsidRPr="000304A7">
        <w:rPr>
          <w:rFonts w:ascii="Tahoma" w:hAnsi="Tahoma" w:cs="Tahoma"/>
          <w:sz w:val="24"/>
          <w:szCs w:val="24"/>
          <w:lang w:val="en-GB"/>
        </w:rPr>
        <w:t xml:space="preserve">, reflecting increases at both central and local level, financed from both domestic and non-reimbursable external funds. Additionally, in March, RON 154.7 </w:t>
      </w:r>
      <w:r w:rsidR="00CA408F">
        <w:rPr>
          <w:rFonts w:ascii="Tahoma" w:hAnsi="Tahoma" w:cs="Tahoma"/>
          <w:sz w:val="24"/>
          <w:szCs w:val="24"/>
          <w:lang w:val="en-GB"/>
        </w:rPr>
        <w:t>million</w:t>
      </w:r>
      <w:r w:rsidR="00EC5570" w:rsidRPr="000304A7">
        <w:rPr>
          <w:rFonts w:ascii="Tahoma" w:hAnsi="Tahoma" w:cs="Tahoma"/>
          <w:sz w:val="24"/>
          <w:szCs w:val="24"/>
          <w:lang w:val="en-GB"/>
        </w:rPr>
        <w:t xml:space="preserve"> </w:t>
      </w:r>
      <w:r w:rsidRPr="000304A7">
        <w:rPr>
          <w:rFonts w:ascii="Tahoma" w:hAnsi="Tahoma" w:cs="Tahoma"/>
          <w:sz w:val="24"/>
          <w:szCs w:val="24"/>
          <w:lang w:val="en-GB"/>
        </w:rPr>
        <w:t xml:space="preserve">were paid from the budget of the Ministry of Internal Affairs for emergency medical products (including thermal scanners) to </w:t>
      </w:r>
      <w:r w:rsidR="005B13F0">
        <w:rPr>
          <w:rFonts w:ascii="Tahoma" w:hAnsi="Tahoma" w:cs="Tahoma"/>
          <w:sz w:val="24"/>
          <w:szCs w:val="24"/>
          <w:lang w:val="en-GB"/>
        </w:rPr>
        <w:t>limit</w:t>
      </w:r>
      <w:r w:rsidRPr="000304A7">
        <w:rPr>
          <w:rFonts w:ascii="Tahoma" w:hAnsi="Tahoma" w:cs="Tahoma"/>
          <w:sz w:val="24"/>
          <w:szCs w:val="24"/>
          <w:lang w:val="en-GB"/>
        </w:rPr>
        <w:t xml:space="preserve"> the spread of the Coronavirus.</w:t>
      </w:r>
    </w:p>
    <w:p w14:paraId="3E14B69E" w14:textId="67107D3C" w:rsidR="008B6B64" w:rsidRPr="00FD437D" w:rsidRDefault="0083214E" w:rsidP="008B6B64">
      <w:pPr>
        <w:spacing w:before="240" w:after="120" w:line="360" w:lineRule="auto"/>
        <w:jc w:val="center"/>
        <w:rPr>
          <w:rFonts w:ascii="Tahoma" w:hAnsi="Tahoma" w:cs="Tahoma"/>
          <w:sz w:val="24"/>
          <w:szCs w:val="24"/>
          <w:lang w:val="en-GB"/>
        </w:rPr>
      </w:pPr>
      <w:r>
        <w:rPr>
          <w:rFonts w:ascii="Tahoma" w:hAnsi="Tahoma" w:cs="Tahoma"/>
          <w:noProof/>
          <w:sz w:val="24"/>
          <w:szCs w:val="24"/>
          <w:lang w:val="en-US"/>
        </w:rPr>
        <w:drawing>
          <wp:inline distT="0" distB="0" distL="0" distR="0" wp14:anchorId="7ECD6AF5" wp14:editId="0C95BA15">
            <wp:extent cx="4572635"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070B551" w14:textId="77777777" w:rsidR="00821DAF" w:rsidRPr="00526852" w:rsidRDefault="00821DAF" w:rsidP="00821DAF">
      <w:pPr>
        <w:pStyle w:val="ListParagraph"/>
        <w:spacing w:line="360" w:lineRule="auto"/>
        <w:jc w:val="both"/>
        <w:rPr>
          <w:rFonts w:ascii="Tahoma" w:hAnsi="Tahoma" w:cs="Tahoma"/>
          <w:color w:val="767171" w:themeColor="background2" w:themeShade="80"/>
          <w:sz w:val="20"/>
          <w:szCs w:val="24"/>
          <w:lang w:val="en-GB"/>
        </w:rPr>
      </w:pPr>
      <w:r w:rsidRPr="00526852">
        <w:rPr>
          <w:rFonts w:ascii="Tahoma" w:hAnsi="Tahoma" w:cs="Tahoma"/>
          <w:color w:val="767171" w:themeColor="background2" w:themeShade="80"/>
          <w:sz w:val="20"/>
          <w:szCs w:val="24"/>
          <w:lang w:val="en-GB"/>
        </w:rPr>
        <w:t xml:space="preserve">Source: </w:t>
      </w:r>
      <w:proofErr w:type="spellStart"/>
      <w:r w:rsidRPr="00526852">
        <w:rPr>
          <w:rFonts w:ascii="Tahoma" w:hAnsi="Tahoma" w:cs="Tahoma"/>
          <w:color w:val="767171" w:themeColor="background2" w:themeShade="80"/>
          <w:sz w:val="20"/>
          <w:szCs w:val="24"/>
          <w:lang w:val="en-GB"/>
        </w:rPr>
        <w:t>MoPF</w:t>
      </w:r>
      <w:proofErr w:type="spellEnd"/>
    </w:p>
    <w:p w14:paraId="0E2CD1A2" w14:textId="3EF6824C" w:rsidR="0043013B" w:rsidRDefault="00C62043" w:rsidP="008B6B64">
      <w:pPr>
        <w:pStyle w:val="ListParagraph"/>
        <w:spacing w:before="240" w:line="360" w:lineRule="auto"/>
        <w:jc w:val="center"/>
        <w:rPr>
          <w:rFonts w:ascii="Tahoma" w:hAnsi="Tahoma" w:cs="Tahoma"/>
          <w:b/>
          <w:color w:val="767171" w:themeColor="background2" w:themeShade="80"/>
          <w:szCs w:val="24"/>
          <w:lang w:val="en-GB"/>
        </w:rPr>
      </w:pPr>
      <w:r w:rsidRPr="00C62043">
        <w:rPr>
          <w:rFonts w:ascii="Tahoma" w:hAnsi="Tahoma" w:cs="Tahoma"/>
          <w:b/>
          <w:color w:val="767171" w:themeColor="background2" w:themeShade="80"/>
          <w:szCs w:val="24"/>
          <w:lang w:val="en-GB"/>
        </w:rPr>
        <w:t>Fi</w:t>
      </w:r>
      <w:r w:rsidR="008B6B64">
        <w:rPr>
          <w:rFonts w:ascii="Tahoma" w:hAnsi="Tahoma" w:cs="Tahoma"/>
          <w:b/>
          <w:color w:val="767171" w:themeColor="background2" w:themeShade="80"/>
          <w:szCs w:val="24"/>
          <w:lang w:val="en-GB"/>
        </w:rPr>
        <w:t>g. 5 Public investment structure</w:t>
      </w:r>
    </w:p>
    <w:p w14:paraId="38AEECB3" w14:textId="31172610" w:rsidR="0051450C" w:rsidRDefault="0051450C" w:rsidP="008B6B64">
      <w:pPr>
        <w:pStyle w:val="ListParagraph"/>
        <w:spacing w:before="240" w:line="360" w:lineRule="auto"/>
        <w:jc w:val="center"/>
        <w:rPr>
          <w:rFonts w:ascii="Tahoma" w:hAnsi="Tahoma" w:cs="Tahoma"/>
          <w:color w:val="FF0000"/>
          <w:sz w:val="24"/>
          <w:szCs w:val="24"/>
          <w:lang w:val="en-GB"/>
        </w:rPr>
      </w:pPr>
      <w:r w:rsidRPr="0051450C">
        <w:lastRenderedPageBreak/>
        <w:drawing>
          <wp:inline distT="0" distB="0" distL="0" distR="0" wp14:anchorId="601C0ED9" wp14:editId="260157CD">
            <wp:extent cx="6235700" cy="510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7335" cy="5106739"/>
                    </a:xfrm>
                    <a:prstGeom prst="rect">
                      <a:avLst/>
                    </a:prstGeom>
                    <a:noFill/>
                    <a:ln>
                      <a:noFill/>
                    </a:ln>
                  </pic:spPr>
                </pic:pic>
              </a:graphicData>
            </a:graphic>
          </wp:inline>
        </w:drawing>
      </w:r>
    </w:p>
    <w:p w14:paraId="4CF99622" w14:textId="77777777" w:rsidR="0051450C" w:rsidRDefault="0051450C" w:rsidP="008B6B64">
      <w:pPr>
        <w:pStyle w:val="ListParagraph"/>
        <w:spacing w:before="240" w:line="360" w:lineRule="auto"/>
        <w:jc w:val="center"/>
      </w:pPr>
    </w:p>
    <w:p w14:paraId="7D113363" w14:textId="77777777" w:rsidR="0051450C" w:rsidRDefault="0051450C" w:rsidP="008B6B64">
      <w:pPr>
        <w:pStyle w:val="ListParagraph"/>
        <w:spacing w:before="240" w:line="360" w:lineRule="auto"/>
        <w:jc w:val="center"/>
      </w:pPr>
    </w:p>
    <w:p w14:paraId="11F161F2" w14:textId="7D151358" w:rsidR="0051450C" w:rsidRDefault="0051450C" w:rsidP="008B6B64">
      <w:pPr>
        <w:pStyle w:val="ListParagraph"/>
        <w:spacing w:before="240" w:line="360" w:lineRule="auto"/>
        <w:jc w:val="center"/>
        <w:rPr>
          <w:rFonts w:ascii="Tahoma" w:hAnsi="Tahoma" w:cs="Tahoma"/>
          <w:color w:val="FF0000"/>
          <w:sz w:val="24"/>
          <w:szCs w:val="24"/>
          <w:lang w:val="en-GB"/>
        </w:rPr>
      </w:pPr>
      <w:r w:rsidRPr="0051450C">
        <w:lastRenderedPageBreak/>
        <w:drawing>
          <wp:inline distT="0" distB="0" distL="0" distR="0" wp14:anchorId="4CF41525" wp14:editId="6E37A126">
            <wp:extent cx="6235490" cy="301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2710" cy="3016564"/>
                    </a:xfrm>
                    <a:prstGeom prst="rect">
                      <a:avLst/>
                    </a:prstGeom>
                    <a:noFill/>
                    <a:ln>
                      <a:noFill/>
                    </a:ln>
                  </pic:spPr>
                </pic:pic>
              </a:graphicData>
            </a:graphic>
          </wp:inline>
        </w:drawing>
      </w:r>
    </w:p>
    <w:p w14:paraId="2C940052" w14:textId="653E58A8" w:rsidR="00090071" w:rsidRDefault="00090071" w:rsidP="008B6B64">
      <w:pPr>
        <w:pStyle w:val="ListParagraph"/>
        <w:spacing w:before="240" w:line="360" w:lineRule="auto"/>
        <w:jc w:val="center"/>
        <w:rPr>
          <w:rFonts w:ascii="Tahoma" w:hAnsi="Tahoma" w:cs="Tahoma"/>
          <w:color w:val="FF0000"/>
          <w:sz w:val="24"/>
          <w:szCs w:val="24"/>
          <w:lang w:val="en-GB"/>
        </w:rPr>
      </w:pPr>
    </w:p>
    <w:p w14:paraId="23DC0F0F" w14:textId="5327B640" w:rsidR="00090071" w:rsidRDefault="00090071" w:rsidP="008B6B64">
      <w:pPr>
        <w:pStyle w:val="ListParagraph"/>
        <w:spacing w:before="240" w:line="360" w:lineRule="auto"/>
        <w:jc w:val="center"/>
        <w:rPr>
          <w:rFonts w:ascii="Tahoma" w:hAnsi="Tahoma" w:cs="Tahoma"/>
          <w:color w:val="FF0000"/>
          <w:sz w:val="24"/>
          <w:szCs w:val="24"/>
          <w:lang w:val="en-GB"/>
        </w:rPr>
      </w:pPr>
    </w:p>
    <w:p w14:paraId="35879AA1" w14:textId="2DCBACB3" w:rsidR="00090071" w:rsidRPr="000304A7" w:rsidRDefault="00090071" w:rsidP="00090071">
      <w:pPr>
        <w:pStyle w:val="ListParagraph"/>
        <w:spacing w:before="240" w:line="360" w:lineRule="auto"/>
        <w:jc w:val="center"/>
        <w:rPr>
          <w:rFonts w:ascii="Tahoma" w:hAnsi="Tahoma" w:cs="Tahoma"/>
          <w:color w:val="FF0000"/>
          <w:sz w:val="24"/>
          <w:szCs w:val="24"/>
          <w:lang w:val="en-GB"/>
        </w:rPr>
      </w:pPr>
      <w:r w:rsidRPr="00090071">
        <w:lastRenderedPageBreak/>
        <w:drawing>
          <wp:inline distT="0" distB="0" distL="0" distR="0" wp14:anchorId="561BD2CC" wp14:editId="6B3B3F35">
            <wp:extent cx="6235700" cy="7929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8759" cy="7933452"/>
                    </a:xfrm>
                    <a:prstGeom prst="rect">
                      <a:avLst/>
                    </a:prstGeom>
                    <a:noFill/>
                    <a:ln>
                      <a:noFill/>
                    </a:ln>
                  </pic:spPr>
                </pic:pic>
              </a:graphicData>
            </a:graphic>
          </wp:inline>
        </w:drawing>
      </w:r>
    </w:p>
    <w:sectPr w:rsidR="00090071" w:rsidRPr="000304A7" w:rsidSect="0043013B">
      <w:footerReference w:type="default" r:id="rId16"/>
      <w:pgSz w:w="12240" w:h="15840"/>
      <w:pgMar w:top="1166" w:right="1253"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5B74" w14:textId="77777777" w:rsidR="001748D4" w:rsidRDefault="001748D4" w:rsidP="006704C5">
      <w:pPr>
        <w:spacing w:after="0" w:line="240" w:lineRule="auto"/>
      </w:pPr>
      <w:r>
        <w:separator/>
      </w:r>
    </w:p>
  </w:endnote>
  <w:endnote w:type="continuationSeparator" w:id="0">
    <w:p w14:paraId="4AA4223E" w14:textId="77777777" w:rsidR="001748D4" w:rsidRDefault="001748D4"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37" w:type="pct"/>
      <w:tblInd w:w="-1166" w:type="dxa"/>
      <w:tblCellMar>
        <w:top w:w="144" w:type="dxa"/>
        <w:left w:w="115" w:type="dxa"/>
        <w:bottom w:w="144" w:type="dxa"/>
        <w:right w:w="115" w:type="dxa"/>
      </w:tblCellMar>
      <w:tblLook w:val="04A0" w:firstRow="1" w:lastRow="0" w:firstColumn="1" w:lastColumn="0" w:noHBand="0" w:noVBand="1"/>
    </w:tblPr>
    <w:tblGrid>
      <w:gridCol w:w="7459"/>
      <w:gridCol w:w="5774"/>
    </w:tblGrid>
    <w:tr w:rsidR="00231361" w14:paraId="6813FB66" w14:textId="77777777" w:rsidTr="00E0129F">
      <w:trPr>
        <w:trHeight w:hRule="exact" w:val="115"/>
      </w:trPr>
      <w:tc>
        <w:tcPr>
          <w:tcW w:w="7458" w:type="dxa"/>
          <w:shd w:val="clear" w:color="auto" w:fill="5B9BD5" w:themeFill="accent1"/>
          <w:tcMar>
            <w:top w:w="0" w:type="dxa"/>
            <w:bottom w:w="0" w:type="dxa"/>
          </w:tcMar>
        </w:tcPr>
        <w:p w14:paraId="24A4775E" w14:textId="77777777" w:rsidR="00231361" w:rsidRDefault="00231361" w:rsidP="00E0129F">
          <w:pPr>
            <w:pStyle w:val="Header"/>
            <w:tabs>
              <w:tab w:val="clear" w:pos="4680"/>
              <w:tab w:val="clear" w:pos="9360"/>
            </w:tabs>
            <w:ind w:left="963"/>
            <w:rPr>
              <w:caps/>
              <w:sz w:val="18"/>
            </w:rPr>
          </w:pPr>
        </w:p>
      </w:tc>
      <w:tc>
        <w:tcPr>
          <w:tcW w:w="5774" w:type="dxa"/>
          <w:shd w:val="clear" w:color="auto" w:fill="5B9BD5" w:themeFill="accent1"/>
          <w:tcMar>
            <w:top w:w="0" w:type="dxa"/>
            <w:bottom w:w="0" w:type="dxa"/>
          </w:tcMar>
        </w:tcPr>
        <w:p w14:paraId="5484072C" w14:textId="77777777" w:rsidR="00231361" w:rsidRDefault="00231361" w:rsidP="00231361">
          <w:pPr>
            <w:pStyle w:val="Header"/>
            <w:tabs>
              <w:tab w:val="clear" w:pos="4680"/>
              <w:tab w:val="clear" w:pos="9360"/>
            </w:tabs>
            <w:jc w:val="right"/>
            <w:rPr>
              <w:caps/>
              <w:sz w:val="18"/>
            </w:rPr>
          </w:pPr>
        </w:p>
      </w:tc>
    </w:tr>
    <w:tr w:rsidR="00231361" w14:paraId="03550FDF" w14:textId="77777777" w:rsidTr="00E0129F">
      <w:trPr>
        <w:trHeight w:hRule="exact" w:val="115"/>
      </w:trPr>
      <w:tc>
        <w:tcPr>
          <w:tcW w:w="7458" w:type="dxa"/>
          <w:shd w:val="clear" w:color="auto" w:fill="5B9BD5" w:themeFill="accent1"/>
          <w:tcMar>
            <w:top w:w="0" w:type="dxa"/>
            <w:bottom w:w="0" w:type="dxa"/>
          </w:tcMar>
        </w:tcPr>
        <w:p w14:paraId="61A05EC8" w14:textId="77777777" w:rsidR="00231361" w:rsidRDefault="00231361" w:rsidP="00231361">
          <w:pPr>
            <w:pStyle w:val="Header"/>
            <w:tabs>
              <w:tab w:val="clear" w:pos="4680"/>
              <w:tab w:val="clear" w:pos="9360"/>
            </w:tabs>
            <w:rPr>
              <w:caps/>
              <w:sz w:val="18"/>
            </w:rPr>
          </w:pPr>
        </w:p>
      </w:tc>
      <w:tc>
        <w:tcPr>
          <w:tcW w:w="5774" w:type="dxa"/>
          <w:shd w:val="clear" w:color="auto" w:fill="5B9BD5" w:themeFill="accent1"/>
          <w:tcMar>
            <w:top w:w="0" w:type="dxa"/>
            <w:bottom w:w="0" w:type="dxa"/>
          </w:tcMar>
        </w:tcPr>
        <w:p w14:paraId="6060F99E" w14:textId="77777777" w:rsidR="00231361" w:rsidRDefault="00231361" w:rsidP="00231361">
          <w:pPr>
            <w:pStyle w:val="Header"/>
            <w:tabs>
              <w:tab w:val="clear" w:pos="4680"/>
              <w:tab w:val="clear" w:pos="9360"/>
            </w:tabs>
            <w:jc w:val="right"/>
            <w:rPr>
              <w:caps/>
              <w:sz w:val="18"/>
            </w:rPr>
          </w:pPr>
        </w:p>
      </w:tc>
    </w:tr>
    <w:tr w:rsidR="00231361" w14:paraId="6E46FCEB" w14:textId="77777777" w:rsidTr="00E0129F">
      <w:sdt>
        <w:sdtPr>
          <w:rPr>
            <w:rFonts w:ascii="Tahoma" w:hAnsi="Tahoma" w:cs="Tahoma"/>
            <w:caps/>
            <w:color w:val="808080" w:themeColor="background1" w:themeShade="80"/>
            <w:sz w:val="18"/>
            <w:szCs w:val="18"/>
          </w:rPr>
          <w:alias w:val="Author"/>
          <w:tag w:val=""/>
          <w:id w:val="745539962"/>
          <w:placeholder>
            <w:docPart w:val="F8C64A9800D0422085EDA2283C482DCF"/>
          </w:placeholder>
          <w:dataBinding w:prefixMappings="xmlns:ns0='http://purl.org/dc/elements/1.1/' xmlns:ns1='http://schemas.openxmlformats.org/package/2006/metadata/core-properties' " w:xpath="/ns1:coreProperties[1]/ns0:creator[1]" w:storeItemID="{6C3C8BC8-F283-45AE-878A-BAB7291924A1}"/>
          <w:text/>
        </w:sdtPr>
        <w:sdtEndPr/>
        <w:sdtContent>
          <w:tc>
            <w:tcPr>
              <w:tcW w:w="7458" w:type="dxa"/>
              <w:shd w:val="clear" w:color="auto" w:fill="auto"/>
              <w:vAlign w:val="center"/>
            </w:tcPr>
            <w:p w14:paraId="714E9FF2" w14:textId="77777777" w:rsidR="00231361" w:rsidRPr="00CA4A92" w:rsidRDefault="00EE1A9C" w:rsidP="00CC04B4">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EXECUTION OF THE GENERAL GOVERNMENT BUDGET | March 2020</w:t>
              </w:r>
            </w:p>
          </w:tc>
        </w:sdtContent>
      </w:sdt>
      <w:tc>
        <w:tcPr>
          <w:tcW w:w="5774" w:type="dxa"/>
          <w:shd w:val="clear" w:color="auto" w:fill="auto"/>
          <w:vAlign w:val="center"/>
        </w:tcPr>
        <w:p w14:paraId="705B011F" w14:textId="5442D143" w:rsidR="00231361" w:rsidRPr="00CA4A92" w:rsidRDefault="00515DA7"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231361"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090071">
            <w:rPr>
              <w:rFonts w:ascii="Tahoma" w:hAnsi="Tahoma" w:cs="Tahoma"/>
              <w:caps/>
              <w:noProof/>
              <w:color w:val="808080" w:themeColor="background1" w:themeShade="80"/>
              <w:sz w:val="18"/>
              <w:szCs w:val="18"/>
            </w:rPr>
            <w:t>1</w:t>
          </w:r>
          <w:r w:rsidRPr="00CA4A92">
            <w:rPr>
              <w:rFonts w:ascii="Tahoma" w:hAnsi="Tahoma" w:cs="Tahoma"/>
              <w:caps/>
              <w:noProof/>
              <w:color w:val="808080" w:themeColor="background1" w:themeShade="80"/>
              <w:sz w:val="18"/>
              <w:szCs w:val="18"/>
            </w:rPr>
            <w:fldChar w:fldCharType="end"/>
          </w:r>
        </w:p>
      </w:tc>
    </w:tr>
  </w:tbl>
  <w:p w14:paraId="3461AA8C" w14:textId="77777777" w:rsidR="00231361" w:rsidRDefault="002313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7033" w14:textId="77777777" w:rsidR="001748D4" w:rsidRDefault="001748D4" w:rsidP="006704C5">
      <w:pPr>
        <w:spacing w:after="0" w:line="240" w:lineRule="auto"/>
      </w:pPr>
      <w:r>
        <w:separator/>
      </w:r>
    </w:p>
  </w:footnote>
  <w:footnote w:type="continuationSeparator" w:id="0">
    <w:p w14:paraId="270E2BBC" w14:textId="77777777" w:rsidR="001748D4" w:rsidRDefault="001748D4" w:rsidP="006704C5">
      <w:pPr>
        <w:spacing w:after="0" w:line="240" w:lineRule="auto"/>
      </w:pPr>
      <w:r>
        <w:continuationSeparator/>
      </w:r>
    </w:p>
  </w:footnote>
  <w:footnote w:id="1">
    <w:p w14:paraId="01AF25C8" w14:textId="632EF8D4" w:rsidR="003618F9" w:rsidRPr="003B617D" w:rsidRDefault="00092E29" w:rsidP="003618F9">
      <w:pPr>
        <w:pStyle w:val="FootnoteText"/>
        <w:jc w:val="both"/>
        <w:rPr>
          <w:lang w:val="en-GB"/>
        </w:rPr>
      </w:pPr>
      <w:r w:rsidRPr="003B617D">
        <w:rPr>
          <w:rStyle w:val="FootnoteReference"/>
          <w:lang w:val="en-GB"/>
        </w:rPr>
        <w:footnoteRef/>
      </w:r>
      <w:r w:rsidR="003618F9" w:rsidRPr="003B617D">
        <w:rPr>
          <w:lang w:val="en-GB"/>
        </w:rPr>
        <w:t xml:space="preserve">Fiscal facility granted through GEO no. 29/2020 regarding </w:t>
      </w:r>
      <w:r w:rsidR="003B617D" w:rsidRPr="003B617D">
        <w:rPr>
          <w:lang w:val="en-GB"/>
        </w:rPr>
        <w:t>certain</w:t>
      </w:r>
      <w:r w:rsidR="003618F9" w:rsidRPr="003B617D">
        <w:rPr>
          <w:lang w:val="en-GB"/>
        </w:rPr>
        <w:t xml:space="preserve"> economic and fiscal measures to support private companies. According to GEO no. 29/2020, </w:t>
      </w:r>
      <w:r w:rsidR="00E36E50" w:rsidRPr="003B617D">
        <w:rPr>
          <w:lang w:val="en-GB"/>
        </w:rPr>
        <w:t xml:space="preserve">no late payment interest and penalties shall be owed for the </w:t>
      </w:r>
      <w:r w:rsidR="003618F9" w:rsidRPr="003B617D">
        <w:rPr>
          <w:lang w:val="en-GB"/>
        </w:rPr>
        <w:t>tax liabilities outstanding as of the date of entry into force of GEO no. 29/2020 and not paid within 30 days as of the termina</w:t>
      </w:r>
      <w:r w:rsidR="00E36E50" w:rsidRPr="003B617D">
        <w:rPr>
          <w:lang w:val="en-GB"/>
        </w:rPr>
        <w:t xml:space="preserve">tion of the state of emergency. </w:t>
      </w:r>
    </w:p>
    <w:p w14:paraId="4EB5A776" w14:textId="1D9DF363" w:rsidR="00092E29" w:rsidRPr="003B617D" w:rsidRDefault="00092E29" w:rsidP="00092E29">
      <w:pPr>
        <w:pStyle w:val="FootnoteText"/>
        <w:jc w:val="both"/>
        <w:rPr>
          <w:lang w:val="en-GB"/>
        </w:rPr>
      </w:pPr>
    </w:p>
  </w:footnote>
  <w:footnote w:id="2">
    <w:p w14:paraId="73BFABA3" w14:textId="3EB6E379" w:rsidR="00013D6D" w:rsidRPr="003B617D" w:rsidRDefault="00013D6D" w:rsidP="00013D6D">
      <w:pPr>
        <w:pStyle w:val="FootnoteText"/>
        <w:jc w:val="both"/>
        <w:rPr>
          <w:lang w:val="en-GB"/>
        </w:rPr>
      </w:pPr>
      <w:r w:rsidRPr="003B617D">
        <w:rPr>
          <w:rStyle w:val="FootnoteReference"/>
          <w:lang w:val="en-GB"/>
        </w:rPr>
        <w:footnoteRef/>
      </w:r>
      <w:r w:rsidRPr="003B617D">
        <w:rPr>
          <w:lang w:val="en-GB"/>
        </w:rPr>
        <w:t xml:space="preserve"> GEO no. 29/2020 and </w:t>
      </w:r>
      <w:r w:rsidR="00C62043" w:rsidRPr="003B617D">
        <w:rPr>
          <w:lang w:val="en-GB"/>
        </w:rPr>
        <w:t xml:space="preserve">the extension of the deadline for submission of the Single </w:t>
      </w:r>
      <w:r w:rsidR="009932C4" w:rsidRPr="003B617D">
        <w:rPr>
          <w:lang w:val="en-GB"/>
        </w:rPr>
        <w:t>Fiscal form</w:t>
      </w:r>
      <w:r w:rsidR="00C62043" w:rsidRPr="003B617D">
        <w:rPr>
          <w:lang w:val="en-GB"/>
        </w:rPr>
        <w:t xml:space="preserve"> </w:t>
      </w:r>
      <w:r w:rsidR="009932C4" w:rsidRPr="003B617D">
        <w:rPr>
          <w:lang w:val="en-GB"/>
        </w:rPr>
        <w:t xml:space="preserve">for individuals with independent activities </w:t>
      </w:r>
      <w:r w:rsidR="00C62043" w:rsidRPr="003B617D">
        <w:rPr>
          <w:lang w:val="en-GB"/>
        </w:rPr>
        <w:t>from March 15</w:t>
      </w:r>
      <w:r w:rsidR="00EE1A9C" w:rsidRPr="003B617D">
        <w:rPr>
          <w:lang w:val="en-GB"/>
        </w:rPr>
        <w:t>th</w:t>
      </w:r>
      <w:r w:rsidR="00C62043" w:rsidRPr="003B617D">
        <w:rPr>
          <w:lang w:val="en-GB"/>
        </w:rPr>
        <w:t xml:space="preserve"> to May </w:t>
      </w:r>
      <w:r w:rsidR="009932C4" w:rsidRPr="003B617D">
        <w:rPr>
          <w:lang w:val="en-GB"/>
        </w:rPr>
        <w:t>2</w:t>
      </w:r>
      <w:r w:rsidR="00C62043" w:rsidRPr="003B617D">
        <w:rPr>
          <w:lang w:val="en-GB"/>
        </w:rPr>
        <w:t>5</w:t>
      </w:r>
      <w:r w:rsidR="00EE1A9C" w:rsidRPr="003B617D">
        <w:rPr>
          <w:lang w:val="en-GB"/>
        </w:rPr>
        <w:t>th</w:t>
      </w:r>
      <w:r w:rsidR="00C62043" w:rsidRPr="003B617D">
        <w:rPr>
          <w:lang w:val="en-GB"/>
        </w:rPr>
        <w:t xml:space="preserve"> (income tax and compulsory social contributions</w:t>
      </w:r>
      <w:r w:rsidR="00EE1A9C" w:rsidRPr="003B617D">
        <w:rPr>
          <w:lang w:val="en-GB"/>
        </w:rPr>
        <w:t>)</w:t>
      </w:r>
      <w:r w:rsidR="003B617D">
        <w:rPr>
          <w:lang w:val="en-GB"/>
        </w:rPr>
        <w:t>.</w:t>
      </w:r>
    </w:p>
  </w:footnote>
  <w:footnote w:id="3">
    <w:p w14:paraId="1B2871AC" w14:textId="35100BB5" w:rsidR="00CB4455" w:rsidRPr="003B617D" w:rsidRDefault="00CB4455" w:rsidP="00CB4455">
      <w:pPr>
        <w:pStyle w:val="FootnoteText"/>
        <w:jc w:val="both"/>
        <w:rPr>
          <w:lang w:val="en-GB"/>
        </w:rPr>
      </w:pPr>
      <w:r w:rsidRPr="003B617D">
        <w:rPr>
          <w:rStyle w:val="FootnoteReference"/>
          <w:lang w:val="en-GB"/>
        </w:rPr>
        <w:footnoteRef/>
      </w:r>
      <w:r w:rsidRPr="003B617D">
        <w:rPr>
          <w:lang w:val="en-GB"/>
        </w:rPr>
        <w:t xml:space="preserve"> </w:t>
      </w:r>
      <w:r w:rsidRPr="003B617D">
        <w:rPr>
          <w:rFonts w:ascii="Tahoma" w:hAnsi="Tahoma"/>
          <w:lang w:val="en-GB"/>
        </w:rPr>
        <w:t>In March, VAT reimbursement amounted to RON 3.94 billion (RON 7</w:t>
      </w:r>
      <w:r w:rsidR="003B617D">
        <w:rPr>
          <w:rFonts w:ascii="Tahoma" w:hAnsi="Tahoma"/>
          <w:lang w:val="en-GB"/>
        </w:rPr>
        <w:t>.</w:t>
      </w:r>
      <w:r w:rsidRPr="003B617D">
        <w:rPr>
          <w:rFonts w:ascii="Tahoma" w:hAnsi="Tahoma"/>
          <w:lang w:val="en-GB"/>
        </w:rPr>
        <w:t>15 billion in 2020 Q1 compared to RON 3.98 billion in 2019 Q1) with the aim to support the liquidity of private companies during the state of emergency.</w:t>
      </w:r>
      <w:r w:rsidRPr="003B617D">
        <w:rPr>
          <w:lang w:val="en-GB"/>
        </w:rPr>
        <w:t xml:space="preserve"> </w:t>
      </w:r>
    </w:p>
  </w:footnote>
  <w:footnote w:id="4">
    <w:p w14:paraId="799D84DC" w14:textId="281D0227" w:rsidR="003403C4" w:rsidRPr="003B617D" w:rsidRDefault="003403C4" w:rsidP="00642652">
      <w:pPr>
        <w:jc w:val="both"/>
        <w:rPr>
          <w:lang w:val="en-GB"/>
        </w:rPr>
      </w:pPr>
      <w:r w:rsidRPr="003B617D">
        <w:rPr>
          <w:rStyle w:val="FootnoteReference"/>
          <w:lang w:val="en-GB"/>
        </w:rPr>
        <w:footnoteRef/>
      </w:r>
      <w:r w:rsidRPr="003B617D">
        <w:rPr>
          <w:lang w:val="en-GB"/>
        </w:rPr>
        <w:t xml:space="preserve"> </w:t>
      </w:r>
      <w:r w:rsidRPr="0001453C">
        <w:rPr>
          <w:rFonts w:ascii="Tahoma" w:hAnsi="Tahoma"/>
          <w:sz w:val="21"/>
          <w:lang w:val="en-GB"/>
        </w:rPr>
        <w:t>GEO no. 34/2020 states that the validity of documents issue</w:t>
      </w:r>
      <w:r w:rsidR="00642652" w:rsidRPr="0001453C">
        <w:rPr>
          <w:rFonts w:ascii="Tahoma" w:hAnsi="Tahoma"/>
          <w:sz w:val="21"/>
          <w:lang w:val="en-GB"/>
        </w:rPr>
        <w:t>d</w:t>
      </w:r>
      <w:r w:rsidRPr="0001453C">
        <w:rPr>
          <w:rFonts w:ascii="Tahoma" w:hAnsi="Tahoma"/>
          <w:sz w:val="21"/>
          <w:lang w:val="en-GB"/>
        </w:rPr>
        <w:t xml:space="preserve"> by public authorities which expire during the state of emergency is maintained</w:t>
      </w:r>
      <w:r w:rsidR="00642652" w:rsidRPr="0001453C">
        <w:rPr>
          <w:rFonts w:ascii="Tahoma" w:hAnsi="Tahoma"/>
          <w:sz w:val="21"/>
          <w:lang w:val="en-GB"/>
        </w:rPr>
        <w:t xml:space="preserve">. This measure generates </w:t>
      </w:r>
      <w:r w:rsidR="00DF3DD1">
        <w:rPr>
          <w:rFonts w:ascii="Tahoma" w:hAnsi="Tahoma"/>
          <w:sz w:val="21"/>
          <w:lang w:val="en-GB"/>
        </w:rPr>
        <w:t xml:space="preserve">a </w:t>
      </w:r>
      <w:r w:rsidR="00642652" w:rsidRPr="0001453C">
        <w:rPr>
          <w:rFonts w:ascii="Tahoma" w:hAnsi="Tahoma"/>
          <w:sz w:val="21"/>
          <w:lang w:val="en-GB"/>
        </w:rPr>
        <w:t>reduction for a range of revenues from different public services, fees for issuing documents, etc.</w:t>
      </w:r>
      <w:r w:rsidR="00642652" w:rsidRPr="0001453C">
        <w:rPr>
          <w:sz w:val="21"/>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11138"/>
    <w:rsid w:val="00012C3B"/>
    <w:rsid w:val="00013D6D"/>
    <w:rsid w:val="000141BF"/>
    <w:rsid w:val="0001453C"/>
    <w:rsid w:val="00016F63"/>
    <w:rsid w:val="00017361"/>
    <w:rsid w:val="00020D5F"/>
    <w:rsid w:val="00021A38"/>
    <w:rsid w:val="000248D3"/>
    <w:rsid w:val="00026DEC"/>
    <w:rsid w:val="000304A7"/>
    <w:rsid w:val="00032A05"/>
    <w:rsid w:val="00034BC4"/>
    <w:rsid w:val="00037F63"/>
    <w:rsid w:val="00041D0D"/>
    <w:rsid w:val="000434BF"/>
    <w:rsid w:val="00052351"/>
    <w:rsid w:val="000557D4"/>
    <w:rsid w:val="00056BE3"/>
    <w:rsid w:val="000573AD"/>
    <w:rsid w:val="0005779D"/>
    <w:rsid w:val="00061787"/>
    <w:rsid w:val="00062A56"/>
    <w:rsid w:val="0006413D"/>
    <w:rsid w:val="00080A1D"/>
    <w:rsid w:val="0008264F"/>
    <w:rsid w:val="000842A5"/>
    <w:rsid w:val="0008642C"/>
    <w:rsid w:val="00090071"/>
    <w:rsid w:val="000916B5"/>
    <w:rsid w:val="000923D7"/>
    <w:rsid w:val="00092E29"/>
    <w:rsid w:val="00093703"/>
    <w:rsid w:val="000942F8"/>
    <w:rsid w:val="000951A2"/>
    <w:rsid w:val="00095242"/>
    <w:rsid w:val="000A2574"/>
    <w:rsid w:val="000A25FA"/>
    <w:rsid w:val="000A3B0F"/>
    <w:rsid w:val="000A4203"/>
    <w:rsid w:val="000A62E1"/>
    <w:rsid w:val="000A7436"/>
    <w:rsid w:val="000B579B"/>
    <w:rsid w:val="000C30DF"/>
    <w:rsid w:val="000C5478"/>
    <w:rsid w:val="000C7AF8"/>
    <w:rsid w:val="000D2B64"/>
    <w:rsid w:val="000D5417"/>
    <w:rsid w:val="000D653B"/>
    <w:rsid w:val="000D6DBA"/>
    <w:rsid w:val="000D6F9B"/>
    <w:rsid w:val="000D7561"/>
    <w:rsid w:val="000F0A63"/>
    <w:rsid w:val="000F10A9"/>
    <w:rsid w:val="000F1E3F"/>
    <w:rsid w:val="000F48B4"/>
    <w:rsid w:val="000F62DB"/>
    <w:rsid w:val="001005D0"/>
    <w:rsid w:val="00107875"/>
    <w:rsid w:val="00122DF5"/>
    <w:rsid w:val="001236DE"/>
    <w:rsid w:val="00125818"/>
    <w:rsid w:val="00141717"/>
    <w:rsid w:val="00142FC5"/>
    <w:rsid w:val="001506F4"/>
    <w:rsid w:val="0015247B"/>
    <w:rsid w:val="00153418"/>
    <w:rsid w:val="001535C1"/>
    <w:rsid w:val="00155AFB"/>
    <w:rsid w:val="00156388"/>
    <w:rsid w:val="00163874"/>
    <w:rsid w:val="001648BC"/>
    <w:rsid w:val="00170657"/>
    <w:rsid w:val="001707DC"/>
    <w:rsid w:val="001748D4"/>
    <w:rsid w:val="00175AD6"/>
    <w:rsid w:val="0017667A"/>
    <w:rsid w:val="0018055E"/>
    <w:rsid w:val="00180AC2"/>
    <w:rsid w:val="00182B0D"/>
    <w:rsid w:val="001915F6"/>
    <w:rsid w:val="00191CC0"/>
    <w:rsid w:val="001A2254"/>
    <w:rsid w:val="001A742B"/>
    <w:rsid w:val="001B1E6F"/>
    <w:rsid w:val="001B20A6"/>
    <w:rsid w:val="001B60DA"/>
    <w:rsid w:val="001B70D2"/>
    <w:rsid w:val="001C52B3"/>
    <w:rsid w:val="001D03AF"/>
    <w:rsid w:val="001D06A7"/>
    <w:rsid w:val="001D22B3"/>
    <w:rsid w:val="001D29DC"/>
    <w:rsid w:val="001D44C7"/>
    <w:rsid w:val="001D4687"/>
    <w:rsid w:val="001D65FC"/>
    <w:rsid w:val="001D6927"/>
    <w:rsid w:val="001E4EAE"/>
    <w:rsid w:val="001E6762"/>
    <w:rsid w:val="001F1514"/>
    <w:rsid w:val="001F1E8A"/>
    <w:rsid w:val="001F36DD"/>
    <w:rsid w:val="0020060B"/>
    <w:rsid w:val="00202269"/>
    <w:rsid w:val="00206989"/>
    <w:rsid w:val="00207E04"/>
    <w:rsid w:val="00210FCE"/>
    <w:rsid w:val="00212F98"/>
    <w:rsid w:val="00214764"/>
    <w:rsid w:val="0021478F"/>
    <w:rsid w:val="00215E31"/>
    <w:rsid w:val="00217F5C"/>
    <w:rsid w:val="002200B1"/>
    <w:rsid w:val="00220A5A"/>
    <w:rsid w:val="00223065"/>
    <w:rsid w:val="00225829"/>
    <w:rsid w:val="0022634D"/>
    <w:rsid w:val="00231361"/>
    <w:rsid w:val="00231AE5"/>
    <w:rsid w:val="00232E16"/>
    <w:rsid w:val="0023449A"/>
    <w:rsid w:val="00237850"/>
    <w:rsid w:val="00241CAA"/>
    <w:rsid w:val="00244ACB"/>
    <w:rsid w:val="0025301D"/>
    <w:rsid w:val="00253FAE"/>
    <w:rsid w:val="00256949"/>
    <w:rsid w:val="00267D26"/>
    <w:rsid w:val="00272B9B"/>
    <w:rsid w:val="00273697"/>
    <w:rsid w:val="00274B69"/>
    <w:rsid w:val="00274F7D"/>
    <w:rsid w:val="002914A1"/>
    <w:rsid w:val="002915B1"/>
    <w:rsid w:val="0029776C"/>
    <w:rsid w:val="002A7F1B"/>
    <w:rsid w:val="002B01DC"/>
    <w:rsid w:val="002B0F64"/>
    <w:rsid w:val="002B3CC9"/>
    <w:rsid w:val="002B64BB"/>
    <w:rsid w:val="002C1755"/>
    <w:rsid w:val="002C17E1"/>
    <w:rsid w:val="002C50FD"/>
    <w:rsid w:val="002C7C10"/>
    <w:rsid w:val="002D304B"/>
    <w:rsid w:val="002D4811"/>
    <w:rsid w:val="002D5D75"/>
    <w:rsid w:val="002E36A6"/>
    <w:rsid w:val="002E593E"/>
    <w:rsid w:val="002E7628"/>
    <w:rsid w:val="002F44EA"/>
    <w:rsid w:val="002F4790"/>
    <w:rsid w:val="00302BA3"/>
    <w:rsid w:val="00311431"/>
    <w:rsid w:val="00312236"/>
    <w:rsid w:val="00313230"/>
    <w:rsid w:val="00322A56"/>
    <w:rsid w:val="00335354"/>
    <w:rsid w:val="0033573F"/>
    <w:rsid w:val="003403C4"/>
    <w:rsid w:val="00344677"/>
    <w:rsid w:val="003477B4"/>
    <w:rsid w:val="00353276"/>
    <w:rsid w:val="003565E1"/>
    <w:rsid w:val="00356F6A"/>
    <w:rsid w:val="00360906"/>
    <w:rsid w:val="003618F9"/>
    <w:rsid w:val="003700C3"/>
    <w:rsid w:val="0037130B"/>
    <w:rsid w:val="00374899"/>
    <w:rsid w:val="003773F4"/>
    <w:rsid w:val="003836BC"/>
    <w:rsid w:val="00387C84"/>
    <w:rsid w:val="00391CC2"/>
    <w:rsid w:val="00392457"/>
    <w:rsid w:val="00392E3D"/>
    <w:rsid w:val="0039710E"/>
    <w:rsid w:val="003A18B2"/>
    <w:rsid w:val="003A6D4C"/>
    <w:rsid w:val="003B44A7"/>
    <w:rsid w:val="003B617D"/>
    <w:rsid w:val="003C1227"/>
    <w:rsid w:val="003C25D1"/>
    <w:rsid w:val="003C28B1"/>
    <w:rsid w:val="003C663D"/>
    <w:rsid w:val="003E621C"/>
    <w:rsid w:val="003F0AC9"/>
    <w:rsid w:val="003F0AE0"/>
    <w:rsid w:val="003F37F1"/>
    <w:rsid w:val="003F4337"/>
    <w:rsid w:val="003F4E84"/>
    <w:rsid w:val="00400409"/>
    <w:rsid w:val="00401345"/>
    <w:rsid w:val="0040636B"/>
    <w:rsid w:val="004071E1"/>
    <w:rsid w:val="00407EFE"/>
    <w:rsid w:val="00410E69"/>
    <w:rsid w:val="00414D79"/>
    <w:rsid w:val="00423CAE"/>
    <w:rsid w:val="004246D1"/>
    <w:rsid w:val="00426972"/>
    <w:rsid w:val="0043013B"/>
    <w:rsid w:val="004320A1"/>
    <w:rsid w:val="00432FF1"/>
    <w:rsid w:val="00434C82"/>
    <w:rsid w:val="00442AEE"/>
    <w:rsid w:val="004459C0"/>
    <w:rsid w:val="00452843"/>
    <w:rsid w:val="00452ACC"/>
    <w:rsid w:val="004546CE"/>
    <w:rsid w:val="0048352B"/>
    <w:rsid w:val="00484DB4"/>
    <w:rsid w:val="0048518E"/>
    <w:rsid w:val="004901E4"/>
    <w:rsid w:val="004A1E84"/>
    <w:rsid w:val="004A31C5"/>
    <w:rsid w:val="004B7A33"/>
    <w:rsid w:val="004C373B"/>
    <w:rsid w:val="004C3A0E"/>
    <w:rsid w:val="004C6D1D"/>
    <w:rsid w:val="004D1156"/>
    <w:rsid w:val="004D5422"/>
    <w:rsid w:val="004D6936"/>
    <w:rsid w:val="004E0E38"/>
    <w:rsid w:val="004E0EDE"/>
    <w:rsid w:val="004E126B"/>
    <w:rsid w:val="004E13C1"/>
    <w:rsid w:val="004E2A7B"/>
    <w:rsid w:val="004E3BAE"/>
    <w:rsid w:val="004F2959"/>
    <w:rsid w:val="00503750"/>
    <w:rsid w:val="00503F46"/>
    <w:rsid w:val="0050613A"/>
    <w:rsid w:val="00506C58"/>
    <w:rsid w:val="00506D31"/>
    <w:rsid w:val="00506ECF"/>
    <w:rsid w:val="005072F2"/>
    <w:rsid w:val="00511104"/>
    <w:rsid w:val="0051450C"/>
    <w:rsid w:val="00515DA7"/>
    <w:rsid w:val="005233AC"/>
    <w:rsid w:val="00526E8B"/>
    <w:rsid w:val="00527A5F"/>
    <w:rsid w:val="00527C1A"/>
    <w:rsid w:val="005316E8"/>
    <w:rsid w:val="005458DC"/>
    <w:rsid w:val="00547F5F"/>
    <w:rsid w:val="00550070"/>
    <w:rsid w:val="005623F6"/>
    <w:rsid w:val="005656AD"/>
    <w:rsid w:val="00565CBB"/>
    <w:rsid w:val="00571D08"/>
    <w:rsid w:val="00573953"/>
    <w:rsid w:val="005758C6"/>
    <w:rsid w:val="00581AF2"/>
    <w:rsid w:val="005842BD"/>
    <w:rsid w:val="0058551F"/>
    <w:rsid w:val="005879EE"/>
    <w:rsid w:val="005922C0"/>
    <w:rsid w:val="005927B9"/>
    <w:rsid w:val="005964AB"/>
    <w:rsid w:val="005A08FE"/>
    <w:rsid w:val="005A2C17"/>
    <w:rsid w:val="005A37CF"/>
    <w:rsid w:val="005A4448"/>
    <w:rsid w:val="005B13F0"/>
    <w:rsid w:val="005B5267"/>
    <w:rsid w:val="005C04F8"/>
    <w:rsid w:val="005C1DD0"/>
    <w:rsid w:val="005C32C7"/>
    <w:rsid w:val="005D07BD"/>
    <w:rsid w:val="005D3A4C"/>
    <w:rsid w:val="005E58C4"/>
    <w:rsid w:val="005E5AB8"/>
    <w:rsid w:val="005F3004"/>
    <w:rsid w:val="006165B6"/>
    <w:rsid w:val="00622AC2"/>
    <w:rsid w:val="00622B86"/>
    <w:rsid w:val="00622EAC"/>
    <w:rsid w:val="00623A5E"/>
    <w:rsid w:val="00625493"/>
    <w:rsid w:val="006254C8"/>
    <w:rsid w:val="006306E1"/>
    <w:rsid w:val="006326E1"/>
    <w:rsid w:val="00633E45"/>
    <w:rsid w:val="0063711C"/>
    <w:rsid w:val="00637725"/>
    <w:rsid w:val="00642652"/>
    <w:rsid w:val="006477A6"/>
    <w:rsid w:val="00647AE3"/>
    <w:rsid w:val="00660290"/>
    <w:rsid w:val="00660563"/>
    <w:rsid w:val="00660CFF"/>
    <w:rsid w:val="00661A38"/>
    <w:rsid w:val="00661C32"/>
    <w:rsid w:val="00666D81"/>
    <w:rsid w:val="00667C1C"/>
    <w:rsid w:val="006704C5"/>
    <w:rsid w:val="00671CB8"/>
    <w:rsid w:val="00672393"/>
    <w:rsid w:val="006730CA"/>
    <w:rsid w:val="00675166"/>
    <w:rsid w:val="00675E23"/>
    <w:rsid w:val="006815B0"/>
    <w:rsid w:val="00682712"/>
    <w:rsid w:val="00682DEE"/>
    <w:rsid w:val="0069273C"/>
    <w:rsid w:val="00692AF8"/>
    <w:rsid w:val="00692B95"/>
    <w:rsid w:val="00692CE7"/>
    <w:rsid w:val="00694A9A"/>
    <w:rsid w:val="00696A35"/>
    <w:rsid w:val="00696BE5"/>
    <w:rsid w:val="006A012D"/>
    <w:rsid w:val="006A0560"/>
    <w:rsid w:val="006A3329"/>
    <w:rsid w:val="006B3457"/>
    <w:rsid w:val="006B50AB"/>
    <w:rsid w:val="006C0750"/>
    <w:rsid w:val="006C31A6"/>
    <w:rsid w:val="006C76FA"/>
    <w:rsid w:val="006C7DA9"/>
    <w:rsid w:val="006E2931"/>
    <w:rsid w:val="006E331D"/>
    <w:rsid w:val="006E734C"/>
    <w:rsid w:val="006F3F63"/>
    <w:rsid w:val="006F6BF2"/>
    <w:rsid w:val="006F7665"/>
    <w:rsid w:val="00703ACE"/>
    <w:rsid w:val="0070453D"/>
    <w:rsid w:val="007108BD"/>
    <w:rsid w:val="007121BE"/>
    <w:rsid w:val="00712417"/>
    <w:rsid w:val="00717788"/>
    <w:rsid w:val="00721CAF"/>
    <w:rsid w:val="0072241B"/>
    <w:rsid w:val="00731902"/>
    <w:rsid w:val="00734D13"/>
    <w:rsid w:val="0073637C"/>
    <w:rsid w:val="0073781B"/>
    <w:rsid w:val="00740BCB"/>
    <w:rsid w:val="00740FA8"/>
    <w:rsid w:val="00741961"/>
    <w:rsid w:val="00742502"/>
    <w:rsid w:val="00742F88"/>
    <w:rsid w:val="00744377"/>
    <w:rsid w:val="00744E04"/>
    <w:rsid w:val="00746D5E"/>
    <w:rsid w:val="007507EE"/>
    <w:rsid w:val="00751BF9"/>
    <w:rsid w:val="007536F7"/>
    <w:rsid w:val="00754831"/>
    <w:rsid w:val="00771F9D"/>
    <w:rsid w:val="00774935"/>
    <w:rsid w:val="00782EB2"/>
    <w:rsid w:val="00790ED9"/>
    <w:rsid w:val="00791FEB"/>
    <w:rsid w:val="007A0DDC"/>
    <w:rsid w:val="007A23F1"/>
    <w:rsid w:val="007B4E71"/>
    <w:rsid w:val="007B5527"/>
    <w:rsid w:val="007D0985"/>
    <w:rsid w:val="007D381A"/>
    <w:rsid w:val="007D6184"/>
    <w:rsid w:val="007D76CC"/>
    <w:rsid w:val="007D782E"/>
    <w:rsid w:val="007E2111"/>
    <w:rsid w:val="007E48B7"/>
    <w:rsid w:val="007E6BCA"/>
    <w:rsid w:val="007F440C"/>
    <w:rsid w:val="007F4FE7"/>
    <w:rsid w:val="00800AC8"/>
    <w:rsid w:val="00804263"/>
    <w:rsid w:val="008045BB"/>
    <w:rsid w:val="00807885"/>
    <w:rsid w:val="00811D17"/>
    <w:rsid w:val="00812166"/>
    <w:rsid w:val="008154B0"/>
    <w:rsid w:val="008160DE"/>
    <w:rsid w:val="0082174B"/>
    <w:rsid w:val="00821DAF"/>
    <w:rsid w:val="0082791D"/>
    <w:rsid w:val="0083203F"/>
    <w:rsid w:val="0083214E"/>
    <w:rsid w:val="008343FE"/>
    <w:rsid w:val="008365AB"/>
    <w:rsid w:val="00845E89"/>
    <w:rsid w:val="00854A05"/>
    <w:rsid w:val="00856530"/>
    <w:rsid w:val="00857C0D"/>
    <w:rsid w:val="0086613A"/>
    <w:rsid w:val="008716D0"/>
    <w:rsid w:val="008760F7"/>
    <w:rsid w:val="00877230"/>
    <w:rsid w:val="00883977"/>
    <w:rsid w:val="0088400F"/>
    <w:rsid w:val="008841E4"/>
    <w:rsid w:val="0088571A"/>
    <w:rsid w:val="00886DFA"/>
    <w:rsid w:val="00896686"/>
    <w:rsid w:val="008A2ED1"/>
    <w:rsid w:val="008A34D2"/>
    <w:rsid w:val="008A3F97"/>
    <w:rsid w:val="008A6AFE"/>
    <w:rsid w:val="008B1FD4"/>
    <w:rsid w:val="008B44CC"/>
    <w:rsid w:val="008B6B64"/>
    <w:rsid w:val="008C01B3"/>
    <w:rsid w:val="008D4EFA"/>
    <w:rsid w:val="008D5E65"/>
    <w:rsid w:val="008E2FC1"/>
    <w:rsid w:val="008E39D6"/>
    <w:rsid w:val="008F1328"/>
    <w:rsid w:val="008F52C4"/>
    <w:rsid w:val="008F6106"/>
    <w:rsid w:val="008F636D"/>
    <w:rsid w:val="008F735B"/>
    <w:rsid w:val="009008DE"/>
    <w:rsid w:val="0090243B"/>
    <w:rsid w:val="00907645"/>
    <w:rsid w:val="00910F23"/>
    <w:rsid w:val="0092174A"/>
    <w:rsid w:val="009300C7"/>
    <w:rsid w:val="00931E52"/>
    <w:rsid w:val="0093341F"/>
    <w:rsid w:val="00933946"/>
    <w:rsid w:val="00934745"/>
    <w:rsid w:val="00934D73"/>
    <w:rsid w:val="0093611B"/>
    <w:rsid w:val="00936318"/>
    <w:rsid w:val="00936B61"/>
    <w:rsid w:val="00943365"/>
    <w:rsid w:val="00943E38"/>
    <w:rsid w:val="00944C2A"/>
    <w:rsid w:val="00947FAD"/>
    <w:rsid w:val="00964866"/>
    <w:rsid w:val="00964CBD"/>
    <w:rsid w:val="009714B3"/>
    <w:rsid w:val="009723DE"/>
    <w:rsid w:val="00973651"/>
    <w:rsid w:val="009746E7"/>
    <w:rsid w:val="00974E99"/>
    <w:rsid w:val="00975E6F"/>
    <w:rsid w:val="00976F20"/>
    <w:rsid w:val="009775C3"/>
    <w:rsid w:val="009833EE"/>
    <w:rsid w:val="00993264"/>
    <w:rsid w:val="009932C4"/>
    <w:rsid w:val="009A1084"/>
    <w:rsid w:val="009A25BD"/>
    <w:rsid w:val="009A2E62"/>
    <w:rsid w:val="009A3E60"/>
    <w:rsid w:val="009A4D06"/>
    <w:rsid w:val="009A5714"/>
    <w:rsid w:val="009A5F48"/>
    <w:rsid w:val="009A7463"/>
    <w:rsid w:val="009B5876"/>
    <w:rsid w:val="009B7E76"/>
    <w:rsid w:val="009C2214"/>
    <w:rsid w:val="009C3388"/>
    <w:rsid w:val="009C3BE1"/>
    <w:rsid w:val="009C614B"/>
    <w:rsid w:val="009C6F20"/>
    <w:rsid w:val="009C72B0"/>
    <w:rsid w:val="009D71C3"/>
    <w:rsid w:val="009D729F"/>
    <w:rsid w:val="009E35E8"/>
    <w:rsid w:val="009E4B9C"/>
    <w:rsid w:val="009F336B"/>
    <w:rsid w:val="00A02EF0"/>
    <w:rsid w:val="00A13FDB"/>
    <w:rsid w:val="00A15402"/>
    <w:rsid w:val="00A1645A"/>
    <w:rsid w:val="00A21C68"/>
    <w:rsid w:val="00A263BF"/>
    <w:rsid w:val="00A27DA2"/>
    <w:rsid w:val="00A3032D"/>
    <w:rsid w:val="00A372FE"/>
    <w:rsid w:val="00A44D76"/>
    <w:rsid w:val="00A45580"/>
    <w:rsid w:val="00A45C4C"/>
    <w:rsid w:val="00A46A47"/>
    <w:rsid w:val="00A52491"/>
    <w:rsid w:val="00A5347B"/>
    <w:rsid w:val="00A725CE"/>
    <w:rsid w:val="00A73F57"/>
    <w:rsid w:val="00A811A1"/>
    <w:rsid w:val="00A819BB"/>
    <w:rsid w:val="00A86B38"/>
    <w:rsid w:val="00AA6EE5"/>
    <w:rsid w:val="00AB7B38"/>
    <w:rsid w:val="00AC33D2"/>
    <w:rsid w:val="00AC4064"/>
    <w:rsid w:val="00AC5273"/>
    <w:rsid w:val="00AD433F"/>
    <w:rsid w:val="00AD74AC"/>
    <w:rsid w:val="00AE3C7A"/>
    <w:rsid w:val="00AE5117"/>
    <w:rsid w:val="00AE54C4"/>
    <w:rsid w:val="00AE619D"/>
    <w:rsid w:val="00AF077A"/>
    <w:rsid w:val="00AF0F5C"/>
    <w:rsid w:val="00AF2145"/>
    <w:rsid w:val="00AF3117"/>
    <w:rsid w:val="00AF475F"/>
    <w:rsid w:val="00AF5A15"/>
    <w:rsid w:val="00AF7AEA"/>
    <w:rsid w:val="00B0181F"/>
    <w:rsid w:val="00B03261"/>
    <w:rsid w:val="00B06151"/>
    <w:rsid w:val="00B06A32"/>
    <w:rsid w:val="00B14A5D"/>
    <w:rsid w:val="00B16FC7"/>
    <w:rsid w:val="00B17760"/>
    <w:rsid w:val="00B25F58"/>
    <w:rsid w:val="00B339DC"/>
    <w:rsid w:val="00B42D64"/>
    <w:rsid w:val="00B42F67"/>
    <w:rsid w:val="00B43EF4"/>
    <w:rsid w:val="00B44140"/>
    <w:rsid w:val="00B4588B"/>
    <w:rsid w:val="00B50A7D"/>
    <w:rsid w:val="00B519D8"/>
    <w:rsid w:val="00B55707"/>
    <w:rsid w:val="00B561AA"/>
    <w:rsid w:val="00B60435"/>
    <w:rsid w:val="00B66E5B"/>
    <w:rsid w:val="00B6727A"/>
    <w:rsid w:val="00B67AE1"/>
    <w:rsid w:val="00B67E3C"/>
    <w:rsid w:val="00B734CD"/>
    <w:rsid w:val="00B74365"/>
    <w:rsid w:val="00B76D22"/>
    <w:rsid w:val="00B87BDE"/>
    <w:rsid w:val="00B921B0"/>
    <w:rsid w:val="00B92EB8"/>
    <w:rsid w:val="00BA152F"/>
    <w:rsid w:val="00BA17B1"/>
    <w:rsid w:val="00BA1ED7"/>
    <w:rsid w:val="00BA47F5"/>
    <w:rsid w:val="00BA63CD"/>
    <w:rsid w:val="00BA66BF"/>
    <w:rsid w:val="00BA7231"/>
    <w:rsid w:val="00BB1057"/>
    <w:rsid w:val="00BD0B13"/>
    <w:rsid w:val="00BD4CA5"/>
    <w:rsid w:val="00BE168E"/>
    <w:rsid w:val="00BE3856"/>
    <w:rsid w:val="00BE4BB6"/>
    <w:rsid w:val="00BE4FC7"/>
    <w:rsid w:val="00BE5D00"/>
    <w:rsid w:val="00BE6357"/>
    <w:rsid w:val="00BE7B9B"/>
    <w:rsid w:val="00BF0246"/>
    <w:rsid w:val="00C00BED"/>
    <w:rsid w:val="00C067B1"/>
    <w:rsid w:val="00C1370B"/>
    <w:rsid w:val="00C16D94"/>
    <w:rsid w:val="00C1718B"/>
    <w:rsid w:val="00C17A01"/>
    <w:rsid w:val="00C24803"/>
    <w:rsid w:val="00C267BD"/>
    <w:rsid w:val="00C361BA"/>
    <w:rsid w:val="00C447E9"/>
    <w:rsid w:val="00C50AC2"/>
    <w:rsid w:val="00C51147"/>
    <w:rsid w:val="00C56676"/>
    <w:rsid w:val="00C6120B"/>
    <w:rsid w:val="00C62043"/>
    <w:rsid w:val="00C624BA"/>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A2A40"/>
    <w:rsid w:val="00CA3901"/>
    <w:rsid w:val="00CA408F"/>
    <w:rsid w:val="00CA4A92"/>
    <w:rsid w:val="00CA50CD"/>
    <w:rsid w:val="00CA52C0"/>
    <w:rsid w:val="00CA79E1"/>
    <w:rsid w:val="00CB4455"/>
    <w:rsid w:val="00CB4A68"/>
    <w:rsid w:val="00CB5101"/>
    <w:rsid w:val="00CB72EB"/>
    <w:rsid w:val="00CC03AF"/>
    <w:rsid w:val="00CC04B4"/>
    <w:rsid w:val="00CC1F6A"/>
    <w:rsid w:val="00CC402A"/>
    <w:rsid w:val="00CC4F2C"/>
    <w:rsid w:val="00CD33CA"/>
    <w:rsid w:val="00CD37CA"/>
    <w:rsid w:val="00CD3EBC"/>
    <w:rsid w:val="00CD578B"/>
    <w:rsid w:val="00CD7C03"/>
    <w:rsid w:val="00CE2B39"/>
    <w:rsid w:val="00CE54D7"/>
    <w:rsid w:val="00CE6770"/>
    <w:rsid w:val="00CE721E"/>
    <w:rsid w:val="00CF1ED7"/>
    <w:rsid w:val="00D05158"/>
    <w:rsid w:val="00D1037B"/>
    <w:rsid w:val="00D109D6"/>
    <w:rsid w:val="00D13094"/>
    <w:rsid w:val="00D2421D"/>
    <w:rsid w:val="00D26878"/>
    <w:rsid w:val="00D342AA"/>
    <w:rsid w:val="00D36298"/>
    <w:rsid w:val="00D374AE"/>
    <w:rsid w:val="00D37654"/>
    <w:rsid w:val="00D40303"/>
    <w:rsid w:val="00D506AC"/>
    <w:rsid w:val="00D60BC0"/>
    <w:rsid w:val="00D61C8C"/>
    <w:rsid w:val="00D630AC"/>
    <w:rsid w:val="00D716F8"/>
    <w:rsid w:val="00D71E0F"/>
    <w:rsid w:val="00D96816"/>
    <w:rsid w:val="00DA35E4"/>
    <w:rsid w:val="00DA4DCA"/>
    <w:rsid w:val="00DA6E24"/>
    <w:rsid w:val="00DB67BD"/>
    <w:rsid w:val="00DC09CB"/>
    <w:rsid w:val="00DD1C70"/>
    <w:rsid w:val="00DD2F8C"/>
    <w:rsid w:val="00DD3FBA"/>
    <w:rsid w:val="00DD5C43"/>
    <w:rsid w:val="00DE2EB1"/>
    <w:rsid w:val="00DE5601"/>
    <w:rsid w:val="00DF01F7"/>
    <w:rsid w:val="00DF3DD1"/>
    <w:rsid w:val="00DF4F15"/>
    <w:rsid w:val="00DF5205"/>
    <w:rsid w:val="00DF6426"/>
    <w:rsid w:val="00DF707F"/>
    <w:rsid w:val="00E0129F"/>
    <w:rsid w:val="00E01455"/>
    <w:rsid w:val="00E16164"/>
    <w:rsid w:val="00E21979"/>
    <w:rsid w:val="00E23BE8"/>
    <w:rsid w:val="00E25FC5"/>
    <w:rsid w:val="00E261B4"/>
    <w:rsid w:val="00E27A1E"/>
    <w:rsid w:val="00E30807"/>
    <w:rsid w:val="00E36E50"/>
    <w:rsid w:val="00E42080"/>
    <w:rsid w:val="00E42AAB"/>
    <w:rsid w:val="00E42BEC"/>
    <w:rsid w:val="00E511C3"/>
    <w:rsid w:val="00E56254"/>
    <w:rsid w:val="00E74759"/>
    <w:rsid w:val="00E74A8C"/>
    <w:rsid w:val="00E75196"/>
    <w:rsid w:val="00E762E4"/>
    <w:rsid w:val="00E812EF"/>
    <w:rsid w:val="00E82CC6"/>
    <w:rsid w:val="00E87431"/>
    <w:rsid w:val="00E92C88"/>
    <w:rsid w:val="00E94D84"/>
    <w:rsid w:val="00EA429A"/>
    <w:rsid w:val="00EB0ECB"/>
    <w:rsid w:val="00EB1581"/>
    <w:rsid w:val="00EB6BD9"/>
    <w:rsid w:val="00EB7155"/>
    <w:rsid w:val="00EC0E42"/>
    <w:rsid w:val="00EC3F79"/>
    <w:rsid w:val="00EC5570"/>
    <w:rsid w:val="00EC7BB5"/>
    <w:rsid w:val="00ED10AC"/>
    <w:rsid w:val="00ED2E0A"/>
    <w:rsid w:val="00ED2E85"/>
    <w:rsid w:val="00ED3C31"/>
    <w:rsid w:val="00ED6201"/>
    <w:rsid w:val="00EE1A9C"/>
    <w:rsid w:val="00EE3559"/>
    <w:rsid w:val="00EE4334"/>
    <w:rsid w:val="00EE7641"/>
    <w:rsid w:val="00EF2503"/>
    <w:rsid w:val="00EF6134"/>
    <w:rsid w:val="00EF74C2"/>
    <w:rsid w:val="00F072D2"/>
    <w:rsid w:val="00F07738"/>
    <w:rsid w:val="00F13D2C"/>
    <w:rsid w:val="00F14666"/>
    <w:rsid w:val="00F155D7"/>
    <w:rsid w:val="00F156D5"/>
    <w:rsid w:val="00F160D8"/>
    <w:rsid w:val="00F170F2"/>
    <w:rsid w:val="00F228D9"/>
    <w:rsid w:val="00F22F81"/>
    <w:rsid w:val="00F2551A"/>
    <w:rsid w:val="00F263F6"/>
    <w:rsid w:val="00F27AD3"/>
    <w:rsid w:val="00F30899"/>
    <w:rsid w:val="00F33CB1"/>
    <w:rsid w:val="00F34109"/>
    <w:rsid w:val="00F34894"/>
    <w:rsid w:val="00F36E8D"/>
    <w:rsid w:val="00F405DB"/>
    <w:rsid w:val="00F42E28"/>
    <w:rsid w:val="00F46295"/>
    <w:rsid w:val="00F46722"/>
    <w:rsid w:val="00F51834"/>
    <w:rsid w:val="00F53291"/>
    <w:rsid w:val="00F5546F"/>
    <w:rsid w:val="00F578E9"/>
    <w:rsid w:val="00F7321C"/>
    <w:rsid w:val="00F7443E"/>
    <w:rsid w:val="00F8178B"/>
    <w:rsid w:val="00F83B9B"/>
    <w:rsid w:val="00F859E9"/>
    <w:rsid w:val="00F859F4"/>
    <w:rsid w:val="00F90F76"/>
    <w:rsid w:val="00F9110D"/>
    <w:rsid w:val="00F94C90"/>
    <w:rsid w:val="00F96070"/>
    <w:rsid w:val="00F972DC"/>
    <w:rsid w:val="00FA10B7"/>
    <w:rsid w:val="00FA11D3"/>
    <w:rsid w:val="00FA1E35"/>
    <w:rsid w:val="00FA2524"/>
    <w:rsid w:val="00FB03C6"/>
    <w:rsid w:val="00FB6A82"/>
    <w:rsid w:val="00FC0E54"/>
    <w:rsid w:val="00FC1C56"/>
    <w:rsid w:val="00FD1E06"/>
    <w:rsid w:val="00FD1F6D"/>
    <w:rsid w:val="00FD437D"/>
    <w:rsid w:val="00FE00AD"/>
    <w:rsid w:val="00FE1EA0"/>
    <w:rsid w:val="00FE36F8"/>
    <w:rsid w:val="00FE57E7"/>
    <w:rsid w:val="00FF06B4"/>
    <w:rsid w:val="00FF15AC"/>
    <w:rsid w:val="00FF29DD"/>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29160"/>
  <w15:docId w15:val="{E7F123F5-2625-B243-BEBF-D1413DD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
    <w:basedOn w:val="DefaultParagraphFont"/>
    <w:link w:val="SUPERSChar1"/>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character" w:styleId="Strong">
    <w:name w:val="Strong"/>
    <w:basedOn w:val="DefaultParagraphFont"/>
    <w:uiPriority w:val="22"/>
    <w:qFormat/>
    <w:rsid w:val="003403C4"/>
    <w:rPr>
      <w:b/>
      <w:bCs/>
    </w:rPr>
  </w:style>
  <w:style w:type="character" w:customStyle="1" w:styleId="apple-converted-space">
    <w:name w:val="apple-converted-space"/>
    <w:basedOn w:val="DefaultParagraphFont"/>
    <w:rsid w:val="0034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9146">
      <w:bodyDiv w:val="1"/>
      <w:marLeft w:val="0"/>
      <w:marRight w:val="0"/>
      <w:marTop w:val="0"/>
      <w:marBottom w:val="0"/>
      <w:divBdr>
        <w:top w:val="none" w:sz="0" w:space="0" w:color="auto"/>
        <w:left w:val="none" w:sz="0" w:space="0" w:color="auto"/>
        <w:bottom w:val="none" w:sz="0" w:space="0" w:color="auto"/>
        <w:right w:val="none" w:sz="0" w:space="0" w:color="auto"/>
      </w:divBdr>
    </w:div>
    <w:div w:id="419525144">
      <w:bodyDiv w:val="1"/>
      <w:marLeft w:val="0"/>
      <w:marRight w:val="0"/>
      <w:marTop w:val="0"/>
      <w:marBottom w:val="0"/>
      <w:divBdr>
        <w:top w:val="none" w:sz="0" w:space="0" w:color="auto"/>
        <w:left w:val="none" w:sz="0" w:space="0" w:color="auto"/>
        <w:bottom w:val="none" w:sz="0" w:space="0" w:color="auto"/>
        <w:right w:val="none" w:sz="0" w:space="0" w:color="auto"/>
      </w:divBdr>
    </w:div>
    <w:div w:id="50367199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803959800">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64A9800D0422085EDA2283C482DCF"/>
        <w:category>
          <w:name w:val="General"/>
          <w:gallery w:val="placeholder"/>
        </w:category>
        <w:types>
          <w:type w:val="bbPlcHdr"/>
        </w:types>
        <w:behaviors>
          <w:behavior w:val="content"/>
        </w:behaviors>
        <w:guid w:val="{54C42E5A-7593-4588-9399-7632FED47B3E}"/>
      </w:docPartPr>
      <w:docPartBody>
        <w:p w:rsidR="00DF7914" w:rsidRDefault="00EC30AA" w:rsidP="00EC30AA">
          <w:pPr>
            <w:pStyle w:val="F8C64A9800D0422085EDA2283C482D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EC30AA"/>
    <w:rsid w:val="000955D5"/>
    <w:rsid w:val="00100501"/>
    <w:rsid w:val="00380767"/>
    <w:rsid w:val="00382390"/>
    <w:rsid w:val="00387C97"/>
    <w:rsid w:val="003C565D"/>
    <w:rsid w:val="004C41A1"/>
    <w:rsid w:val="004D7935"/>
    <w:rsid w:val="00521A6A"/>
    <w:rsid w:val="005F5A98"/>
    <w:rsid w:val="006569BF"/>
    <w:rsid w:val="007260C7"/>
    <w:rsid w:val="007E2DAF"/>
    <w:rsid w:val="00987008"/>
    <w:rsid w:val="00AA72C7"/>
    <w:rsid w:val="00B662ED"/>
    <w:rsid w:val="00DF7914"/>
    <w:rsid w:val="00EC30AA"/>
    <w:rsid w:val="00F876A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C97"/>
    <w:rPr>
      <w:color w:val="808080"/>
    </w:rPr>
  </w:style>
  <w:style w:type="paragraph" w:customStyle="1" w:styleId="F8C64A9800D0422085EDA2283C482DCF">
    <w:name w:val="F8C64A9800D0422085EDA2283C482DCF"/>
    <w:rsid w:val="00EC30AA"/>
  </w:style>
  <w:style w:type="paragraph" w:customStyle="1" w:styleId="3D5D16EDDEF0454DA5E8BF035ECAEEC2">
    <w:name w:val="3D5D16EDDEF0454DA5E8BF035ECAEEC2"/>
    <w:rsid w:val="00387C97"/>
    <w:pPr>
      <w:spacing w:after="0" w:line="240" w:lineRule="auto"/>
    </w:pPr>
    <w:rPr>
      <w:sz w:val="24"/>
      <w:szCs w:val="24"/>
      <w:lang w:val="ro-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9B2C-CE22-4A11-A831-9D44B1C6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1161</Words>
  <Characters>6621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EXECUTION OF THE GENERAL GOVERNMENT BUDGET | March 2020</dc:creator>
  <cp:lastModifiedBy>ALINA-MIRELA RĂDUŢĂ</cp:lastModifiedBy>
  <cp:revision>3</cp:revision>
  <cp:lastPrinted>2020-04-27T14:12:00Z</cp:lastPrinted>
  <dcterms:created xsi:type="dcterms:W3CDTF">2020-07-06T06:52:00Z</dcterms:created>
  <dcterms:modified xsi:type="dcterms:W3CDTF">2020-07-06T07:47:00Z</dcterms:modified>
</cp:coreProperties>
</file>