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2E" w:rsidRDefault="00B21680">
      <w:r w:rsidRPr="00B21680">
        <w:drawing>
          <wp:inline distT="0" distB="0" distL="0" distR="0" wp14:anchorId="05F8C7FA" wp14:editId="341C7645">
            <wp:extent cx="6645808" cy="4529396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2935" cy="453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1680">
        <w:t>*) gradul de lichiditate este calculat ca raport intre volumul total al tranzactiilor lunare si volumul total al titlurilor de stat active și nu include operatiunile repo</w:t>
      </w:r>
    </w:p>
    <w:p w:rsidR="00B21680" w:rsidRDefault="00EC26BD">
      <w:bookmarkStart w:id="0" w:name="_GoBack"/>
      <w:r>
        <w:rPr>
          <w:noProof/>
          <w:lang w:eastAsia="ro-RO"/>
        </w:rPr>
        <w:drawing>
          <wp:inline distT="0" distB="0" distL="0" distR="0" wp14:anchorId="581E3B5B" wp14:editId="1AD7F052">
            <wp:extent cx="6645910" cy="4699591"/>
            <wp:effectExtent l="0" t="0" r="254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21680" w:rsidSect="00D23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07"/>
    <w:rsid w:val="0001282E"/>
    <w:rsid w:val="004A5D07"/>
    <w:rsid w:val="00B21680"/>
    <w:rsid w:val="00D236A2"/>
    <w:rsid w:val="00E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D11CE-FE6D-454A-8408-2F205E83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7661091\Desktop\Raport%20privind%20datoria%20publica%20Septembrie%20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Arial"/>
                <a:ea typeface="Arial"/>
                <a:cs typeface="Arial"/>
              </a:defRPr>
            </a:pPr>
            <a:r>
              <a:rPr lang="ro-RO" sz="1200" b="0" i="0" u="none" strike="noStrike" baseline="0">
                <a:solidFill>
                  <a:sysClr val="windowText" lastClr="000000"/>
                </a:solidFill>
                <a:latin typeface="Arial"/>
                <a:cs typeface="Arial"/>
              </a:rPr>
              <a:t>Cele mai tranzactionate titluri de stat in luna</a:t>
            </a:r>
          </a:p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Arial"/>
                <a:ea typeface="Arial"/>
                <a:cs typeface="Arial"/>
              </a:defRPr>
            </a:pPr>
            <a:r>
              <a:rPr lang="ro-RO" sz="1200" b="0" i="0" u="none" strike="noStrike" baseline="0">
                <a:solidFill>
                  <a:sysClr val="windowText" lastClr="000000"/>
                </a:solidFill>
                <a:latin typeface="Arial"/>
                <a:cs typeface="Arial"/>
              </a:rPr>
              <a:t> septembrie 2016</a:t>
            </a:r>
          </a:p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Arial"/>
                <a:ea typeface="Arial"/>
                <a:cs typeface="Arial"/>
              </a:defRPr>
            </a:pPr>
            <a:endParaRPr lang="ro-RO" sz="1200" b="0" i="0" u="none" strike="noStrike" baseline="0">
              <a:solidFill>
                <a:sysClr val="windowText" lastClr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Arial"/>
                <a:ea typeface="Arial"/>
                <a:cs typeface="Arial"/>
              </a:defRPr>
            </a:pPr>
            <a:endParaRPr lang="ro-RO" sz="1200" b="0" i="0" u="none" strike="noStrike" baseline="0">
              <a:solidFill>
                <a:sysClr val="windowText" lastClr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Arial"/>
                <a:ea typeface="Arial"/>
                <a:cs typeface="Arial"/>
              </a:defRPr>
            </a:pPr>
            <a:endParaRPr lang="ro-RO" sz="1200" b="0" i="0" u="none" strike="noStrike" baseline="0">
              <a:solidFill>
                <a:sysClr val="windowText" lastClr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Arial"/>
                <a:ea typeface="Arial"/>
                <a:cs typeface="Arial"/>
              </a:defRPr>
            </a:pPr>
            <a:endParaRPr lang="ro-RO" sz="1200" b="0" i="0" u="none" strike="noStrike" baseline="0">
              <a:solidFill>
                <a:sysClr val="windowText" lastClr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34186054329415722"/>
          <c:y val="7.339948642237027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259392132196494"/>
          <c:y val="0.1722490751326384"/>
          <c:w val="0.82880242636190282"/>
          <c:h val="0.50478535236094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'[Raport privind datoria publica Septembrie 2016.xls]secondary market'!$C$70</c:f>
              <c:strCache>
                <c:ptCount val="1"/>
                <c:pt idx="0">
                  <c:v>RON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'[Raport privind datoria publica Septembrie 2016.xls]secondary market'!$B$71:$B$80</c:f>
              <c:strCache>
                <c:ptCount val="10"/>
                <c:pt idx="0">
                  <c:v>RO1425DBN029</c:v>
                </c:pt>
                <c:pt idx="1">
                  <c:v>RO1227DBN011</c:v>
                </c:pt>
                <c:pt idx="2">
                  <c:v>RO1323DBN018</c:v>
                </c:pt>
                <c:pt idx="3">
                  <c:v>RO1519DBN037</c:v>
                </c:pt>
                <c:pt idx="4">
                  <c:v>RO1318DBN034</c:v>
                </c:pt>
                <c:pt idx="5">
                  <c:v>RO1419DBN014</c:v>
                </c:pt>
                <c:pt idx="6">
                  <c:v>RO1418DBN040</c:v>
                </c:pt>
                <c:pt idx="7">
                  <c:v>RO1620DBN017</c:v>
                </c:pt>
                <c:pt idx="8">
                  <c:v>RO1521DBN041</c:v>
                </c:pt>
                <c:pt idx="9">
                  <c:v>RO1522DBN056</c:v>
                </c:pt>
              </c:strCache>
            </c:strRef>
          </c:cat>
          <c:val>
            <c:numRef>
              <c:f>'[Raport privind datoria publica Septembrie 2016.xls]secondary market'!$C$71:$C$80</c:f>
              <c:numCache>
                <c:formatCode>#,##0.0</c:formatCode>
                <c:ptCount val="10"/>
                <c:pt idx="0">
                  <c:v>2505.0230000000001</c:v>
                </c:pt>
                <c:pt idx="1">
                  <c:v>2944.47</c:v>
                </c:pt>
                <c:pt idx="2">
                  <c:v>1997.76</c:v>
                </c:pt>
                <c:pt idx="3">
                  <c:v>2850.59</c:v>
                </c:pt>
                <c:pt idx="4">
                  <c:v>2643.5880000000002</c:v>
                </c:pt>
                <c:pt idx="5">
                  <c:v>2638.68</c:v>
                </c:pt>
                <c:pt idx="6">
                  <c:v>2463.1660000000002</c:v>
                </c:pt>
                <c:pt idx="7">
                  <c:v>1844.41</c:v>
                </c:pt>
                <c:pt idx="8">
                  <c:v>1606.165</c:v>
                </c:pt>
                <c:pt idx="9">
                  <c:v>1704.75</c:v>
                </c:pt>
              </c:numCache>
            </c:numRef>
          </c:val>
        </c:ser>
        <c:ser>
          <c:idx val="1"/>
          <c:order val="1"/>
          <c:tx>
            <c:strRef>
              <c:f>'[Raport privind datoria publica Septembrie 2016.xls]secondary market'!$D$70</c:f>
              <c:strCache>
                <c:ptCount val="1"/>
                <c:pt idx="0">
                  <c:v>EUR 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strRef>
              <c:f>'[Raport privind datoria publica Septembrie 2016.xls]secondary market'!$B$71:$B$80</c:f>
              <c:strCache>
                <c:ptCount val="10"/>
                <c:pt idx="0">
                  <c:v>RO1425DBN029</c:v>
                </c:pt>
                <c:pt idx="1">
                  <c:v>RO1227DBN011</c:v>
                </c:pt>
                <c:pt idx="2">
                  <c:v>RO1323DBN018</c:v>
                </c:pt>
                <c:pt idx="3">
                  <c:v>RO1519DBN037</c:v>
                </c:pt>
                <c:pt idx="4">
                  <c:v>RO1318DBN034</c:v>
                </c:pt>
                <c:pt idx="5">
                  <c:v>RO1419DBN014</c:v>
                </c:pt>
                <c:pt idx="6">
                  <c:v>RO1418DBN040</c:v>
                </c:pt>
                <c:pt idx="7">
                  <c:v>RO1620DBN017</c:v>
                </c:pt>
                <c:pt idx="8">
                  <c:v>RO1521DBN041</c:v>
                </c:pt>
                <c:pt idx="9">
                  <c:v>RO1522DBN056</c:v>
                </c:pt>
              </c:strCache>
            </c:strRef>
          </c:cat>
          <c:val>
            <c:numRef>
              <c:f>'[Raport privind datoria publica Septembrie 2016.xls]secondary market'!$D$71:$D$80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533312"/>
        <c:axId val="217533872"/>
      </c:barChart>
      <c:catAx>
        <c:axId val="21753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7533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75338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mln  valute</a:t>
                </a:r>
              </a:p>
            </c:rich>
          </c:tx>
          <c:layout>
            <c:manualLayout>
              <c:xMode val="edge"/>
              <c:yMode val="edge"/>
              <c:x val="7.0493774485085921E-3"/>
              <c:y val="0.3660291111447607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7533312"/>
        <c:crossesAt val="1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15463096153553077"/>
          <c:y val="0.14729163958504451"/>
          <c:w val="0.27377284993175943"/>
          <c:h val="0.1085306817995064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FFFFFF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TEJU</dc:creator>
  <cp:keywords/>
  <dc:description/>
  <cp:lastModifiedBy>BOGDAN TEJU</cp:lastModifiedBy>
  <cp:revision>4</cp:revision>
  <dcterms:created xsi:type="dcterms:W3CDTF">2016-11-29T12:29:00Z</dcterms:created>
  <dcterms:modified xsi:type="dcterms:W3CDTF">2016-11-29T12:33:00Z</dcterms:modified>
</cp:coreProperties>
</file>