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ahoma" w:eastAsiaTheme="minorHAnsi" w:hAnsi="Tahoma" w:cs="Tahoma"/>
          <w:b/>
          <w:noProof/>
          <w:color w:val="auto"/>
          <w:sz w:val="24"/>
          <w:szCs w:val="24"/>
          <w:lang w:val="ro-RO"/>
        </w:rPr>
        <w:id w:val="-413402210"/>
        <w:docPartObj>
          <w:docPartGallery w:val="Table of Contents"/>
          <w:docPartUnique/>
        </w:docPartObj>
      </w:sdtPr>
      <w:sdtEndPr/>
      <w:sdtContent>
        <w:p w:rsidR="00C43AD2" w:rsidRPr="007403CD" w:rsidRDefault="00C43AD2" w:rsidP="00956888">
          <w:pPr>
            <w:pStyle w:val="TOCHeading"/>
            <w:shd w:val="clear" w:color="auto" w:fill="D5DCE4" w:themeFill="text2" w:themeFillTint="33"/>
            <w:spacing w:before="1320" w:after="480" w:line="276" w:lineRule="auto"/>
            <w:ind w:firstLine="0"/>
            <w:rPr>
              <w:rFonts w:ascii="Tahoma" w:hAnsi="Tahoma" w:cs="Tahoma"/>
              <w:b/>
              <w:color w:val="auto"/>
              <w:sz w:val="28"/>
              <w:szCs w:val="28"/>
              <w:lang w:val="ro-RO"/>
            </w:rPr>
          </w:pPr>
          <w:r w:rsidRPr="007403CD">
            <w:rPr>
              <w:rFonts w:ascii="Tahoma" w:hAnsi="Tahoma" w:cs="Tahoma"/>
              <w:b/>
              <w:color w:val="auto"/>
              <w:sz w:val="28"/>
              <w:szCs w:val="28"/>
              <w:lang w:val="ro-RO"/>
            </w:rPr>
            <w:t>Cuprins</w:t>
          </w:r>
        </w:p>
        <w:p w:rsidR="00AF4190" w:rsidRPr="00427A26" w:rsidRDefault="001D24F5" w:rsidP="00427A26">
          <w:pPr>
            <w:pStyle w:val="TOC1"/>
            <w:rPr>
              <w:rFonts w:eastAsiaTheme="minorEastAsia"/>
              <w:lang w:val="en-US"/>
            </w:rPr>
          </w:pPr>
          <w:r w:rsidRPr="007403CD">
            <w:rPr>
              <w:sz w:val="28"/>
              <w:szCs w:val="28"/>
            </w:rPr>
            <w:fldChar w:fldCharType="begin"/>
          </w:r>
          <w:r w:rsidR="00C43AD2" w:rsidRPr="007403CD">
            <w:rPr>
              <w:sz w:val="28"/>
              <w:szCs w:val="28"/>
            </w:rPr>
            <w:instrText xml:space="preserve"> TOC \o "1-3" \h \z \u </w:instrText>
          </w:r>
          <w:r w:rsidRPr="007403CD">
            <w:rPr>
              <w:sz w:val="28"/>
              <w:szCs w:val="28"/>
            </w:rPr>
            <w:fldChar w:fldCharType="separate"/>
          </w:r>
          <w:hyperlink w:anchor="_Toc140151605" w:history="1">
            <w:r w:rsidR="00AF4190" w:rsidRPr="00427A26">
              <w:rPr>
                <w:rStyle w:val="Hyperlink"/>
              </w:rPr>
              <w:t>I.</w:t>
            </w:r>
            <w:r w:rsidR="00AF4190" w:rsidRPr="00427A26">
              <w:rPr>
                <w:rFonts w:eastAsiaTheme="minorEastAsia"/>
                <w:lang w:val="en-US"/>
              </w:rPr>
              <w:tab/>
            </w:r>
            <w:r w:rsidR="00AF4190" w:rsidRPr="00427A26">
              <w:rPr>
                <w:rStyle w:val="Hyperlink"/>
              </w:rPr>
              <w:t>Evoluții macroeconomice recente ale economiei românești</w:t>
            </w:r>
            <w:r w:rsidR="00AF4190" w:rsidRPr="00427A26">
              <w:rPr>
                <w:webHidden/>
              </w:rPr>
              <w:tab/>
            </w:r>
            <w:r w:rsidR="00AF4190" w:rsidRPr="00427A26">
              <w:rPr>
                <w:webHidden/>
              </w:rPr>
              <w:fldChar w:fldCharType="begin"/>
            </w:r>
            <w:r w:rsidR="00AF4190" w:rsidRPr="00427A26">
              <w:rPr>
                <w:webHidden/>
              </w:rPr>
              <w:instrText xml:space="preserve"> PAGEREF _Toc140151605 \h </w:instrText>
            </w:r>
            <w:r w:rsidR="00AF4190" w:rsidRPr="00427A26">
              <w:rPr>
                <w:webHidden/>
              </w:rPr>
            </w:r>
            <w:r w:rsidR="00AF4190" w:rsidRPr="00427A26">
              <w:rPr>
                <w:webHidden/>
              </w:rPr>
              <w:fldChar w:fldCharType="separate"/>
            </w:r>
            <w:r w:rsidR="007C5D43">
              <w:rPr>
                <w:webHidden/>
              </w:rPr>
              <w:t>1</w:t>
            </w:r>
            <w:r w:rsidR="00AF4190" w:rsidRPr="00427A26">
              <w:rPr>
                <w:webHidden/>
              </w:rPr>
              <w:fldChar w:fldCharType="end"/>
            </w:r>
          </w:hyperlink>
        </w:p>
        <w:p w:rsidR="00AF4190" w:rsidRDefault="00045D55" w:rsidP="00427A26">
          <w:pPr>
            <w:pStyle w:val="TOC1"/>
            <w:rPr>
              <w:rFonts w:asciiTheme="minorHAnsi" w:eastAsiaTheme="minorEastAsia" w:hAnsiTheme="minorHAnsi" w:cstheme="minorBidi"/>
              <w:sz w:val="22"/>
              <w:szCs w:val="22"/>
              <w:lang w:val="en-US"/>
            </w:rPr>
          </w:pPr>
          <w:hyperlink w:anchor="_Toc140151606" w:history="1">
            <w:r w:rsidR="00AF4190" w:rsidRPr="008711E5">
              <w:rPr>
                <w:rStyle w:val="Hyperlink"/>
              </w:rPr>
              <w:t>II.</w:t>
            </w:r>
            <w:r w:rsidR="00AF4190">
              <w:rPr>
                <w:rFonts w:asciiTheme="minorHAnsi" w:eastAsiaTheme="minorEastAsia" w:hAnsiTheme="minorHAnsi" w:cstheme="minorBidi"/>
                <w:sz w:val="22"/>
                <w:szCs w:val="22"/>
                <w:lang w:val="en-US"/>
              </w:rPr>
              <w:tab/>
            </w:r>
            <w:r w:rsidR="00AF4190" w:rsidRPr="008711E5">
              <w:rPr>
                <w:rStyle w:val="Hyperlink"/>
              </w:rPr>
              <w:t>Politica fiscal-bugetară aferentă anului 2023</w:t>
            </w:r>
            <w:r w:rsidR="00AF4190">
              <w:rPr>
                <w:webHidden/>
              </w:rPr>
              <w:tab/>
            </w:r>
            <w:r w:rsidR="00AF4190">
              <w:rPr>
                <w:webHidden/>
              </w:rPr>
              <w:fldChar w:fldCharType="begin"/>
            </w:r>
            <w:r w:rsidR="00AF4190">
              <w:rPr>
                <w:webHidden/>
              </w:rPr>
              <w:instrText xml:space="preserve"> PAGEREF _Toc140151606 \h </w:instrText>
            </w:r>
            <w:r w:rsidR="00AF4190">
              <w:rPr>
                <w:webHidden/>
              </w:rPr>
            </w:r>
            <w:r w:rsidR="00AF4190">
              <w:rPr>
                <w:webHidden/>
              </w:rPr>
              <w:fldChar w:fldCharType="separate"/>
            </w:r>
            <w:r w:rsidR="007C5D43">
              <w:rPr>
                <w:webHidden/>
              </w:rPr>
              <w:t>11</w:t>
            </w:r>
            <w:r w:rsidR="00AF4190">
              <w:rPr>
                <w:webHidden/>
              </w:rPr>
              <w:fldChar w:fldCharType="end"/>
            </w:r>
          </w:hyperlink>
        </w:p>
        <w:p w:rsidR="00AF4190" w:rsidRDefault="00045D55" w:rsidP="00427A26">
          <w:pPr>
            <w:pStyle w:val="TOC1"/>
            <w:rPr>
              <w:rFonts w:asciiTheme="minorHAnsi" w:eastAsiaTheme="minorEastAsia" w:hAnsiTheme="minorHAnsi" w:cstheme="minorBidi"/>
              <w:sz w:val="22"/>
              <w:szCs w:val="22"/>
              <w:lang w:val="en-US"/>
            </w:rPr>
          </w:pPr>
          <w:hyperlink w:anchor="_Toc140151608" w:history="1">
            <w:r w:rsidR="00AF4190" w:rsidRPr="008711E5">
              <w:rPr>
                <w:rStyle w:val="Hyperlink"/>
              </w:rPr>
              <w:t>III.</w:t>
            </w:r>
            <w:r w:rsidR="00AF4190">
              <w:rPr>
                <w:rFonts w:asciiTheme="minorHAnsi" w:eastAsiaTheme="minorEastAsia" w:hAnsiTheme="minorHAnsi" w:cstheme="minorBidi"/>
                <w:sz w:val="22"/>
                <w:szCs w:val="22"/>
                <w:lang w:val="en-US"/>
              </w:rPr>
              <w:tab/>
            </w:r>
            <w:r w:rsidR="00AF4190" w:rsidRPr="008711E5">
              <w:rPr>
                <w:rStyle w:val="Hyperlink"/>
              </w:rPr>
              <w:t>Execuția bu</w:t>
            </w:r>
            <w:r w:rsidR="00AF4190" w:rsidRPr="008711E5">
              <w:rPr>
                <w:rStyle w:val="Hyperlink"/>
              </w:rPr>
              <w:t>g</w:t>
            </w:r>
            <w:r w:rsidR="00AF4190" w:rsidRPr="008711E5">
              <w:rPr>
                <w:rStyle w:val="Hyperlink"/>
              </w:rPr>
              <w:t>etară pe primul semestru al anului 2023</w:t>
            </w:r>
            <w:r w:rsidR="00AF4190">
              <w:rPr>
                <w:webHidden/>
              </w:rPr>
              <w:tab/>
            </w:r>
            <w:r w:rsidR="00AF4190">
              <w:rPr>
                <w:webHidden/>
              </w:rPr>
              <w:fldChar w:fldCharType="begin"/>
            </w:r>
            <w:r w:rsidR="00AF4190">
              <w:rPr>
                <w:webHidden/>
              </w:rPr>
              <w:instrText xml:space="preserve"> PAGEREF _Toc140151608 \h </w:instrText>
            </w:r>
            <w:r w:rsidR="00AF4190">
              <w:rPr>
                <w:webHidden/>
              </w:rPr>
            </w:r>
            <w:r w:rsidR="00AF4190">
              <w:rPr>
                <w:webHidden/>
              </w:rPr>
              <w:fldChar w:fldCharType="separate"/>
            </w:r>
            <w:r w:rsidR="007C5D43">
              <w:rPr>
                <w:webHidden/>
              </w:rPr>
              <w:t>22</w:t>
            </w:r>
            <w:r w:rsidR="00AF4190">
              <w:rPr>
                <w:webHidden/>
              </w:rPr>
              <w:fldChar w:fldCharType="end"/>
            </w:r>
          </w:hyperlink>
        </w:p>
        <w:p w:rsidR="00AF4190" w:rsidRDefault="00045D55" w:rsidP="00427A26">
          <w:pPr>
            <w:pStyle w:val="TOC1"/>
            <w:rPr>
              <w:rFonts w:asciiTheme="minorHAnsi" w:eastAsiaTheme="minorEastAsia" w:hAnsiTheme="minorHAnsi" w:cstheme="minorBidi"/>
              <w:sz w:val="22"/>
              <w:szCs w:val="22"/>
              <w:lang w:val="en-US"/>
            </w:rPr>
          </w:pPr>
          <w:hyperlink w:anchor="_Toc140151609" w:history="1">
            <w:r w:rsidR="00AF4190" w:rsidRPr="008711E5">
              <w:rPr>
                <w:rStyle w:val="Hyperlink"/>
              </w:rPr>
              <w:t>IV. Finanțarea deficitului bugetar și datoria publică</w:t>
            </w:r>
            <w:r w:rsidR="00AF4190">
              <w:rPr>
                <w:webHidden/>
              </w:rPr>
              <w:tab/>
            </w:r>
            <w:r w:rsidR="00AF4190">
              <w:rPr>
                <w:webHidden/>
              </w:rPr>
              <w:fldChar w:fldCharType="begin"/>
            </w:r>
            <w:r w:rsidR="00AF4190">
              <w:rPr>
                <w:webHidden/>
              </w:rPr>
              <w:instrText xml:space="preserve"> PAGEREF _Toc140151609 \h </w:instrText>
            </w:r>
            <w:r w:rsidR="00AF4190">
              <w:rPr>
                <w:webHidden/>
              </w:rPr>
            </w:r>
            <w:r w:rsidR="00AF4190">
              <w:rPr>
                <w:webHidden/>
              </w:rPr>
              <w:fldChar w:fldCharType="separate"/>
            </w:r>
            <w:r w:rsidR="007C5D43">
              <w:rPr>
                <w:webHidden/>
              </w:rPr>
              <w:t>34</w:t>
            </w:r>
            <w:r w:rsidR="00AF4190">
              <w:rPr>
                <w:webHidden/>
              </w:rPr>
              <w:fldChar w:fldCharType="end"/>
            </w:r>
          </w:hyperlink>
        </w:p>
        <w:p w:rsidR="00AF4190" w:rsidRDefault="00045D55" w:rsidP="00427A26">
          <w:pPr>
            <w:pStyle w:val="TOC1"/>
            <w:rPr>
              <w:rFonts w:asciiTheme="minorHAnsi" w:eastAsiaTheme="minorEastAsia" w:hAnsiTheme="minorHAnsi" w:cstheme="minorBidi"/>
              <w:sz w:val="22"/>
              <w:szCs w:val="22"/>
              <w:lang w:val="en-US"/>
            </w:rPr>
          </w:pPr>
          <w:hyperlink w:anchor="_Toc140151610" w:history="1">
            <w:r w:rsidR="00AF4190" w:rsidRPr="008711E5">
              <w:rPr>
                <w:rStyle w:val="Hyperlink"/>
                <w:rFonts w:eastAsia="MS Mincho"/>
                <w:lang w:eastAsia="ja-JP"/>
              </w:rPr>
              <w:t>V. Absorbția fondurilor externe nerambursabile</w:t>
            </w:r>
            <w:r w:rsidR="00AF4190">
              <w:rPr>
                <w:webHidden/>
              </w:rPr>
              <w:tab/>
            </w:r>
            <w:r w:rsidR="00AF4190">
              <w:rPr>
                <w:webHidden/>
              </w:rPr>
              <w:fldChar w:fldCharType="begin"/>
            </w:r>
            <w:r w:rsidR="00AF4190">
              <w:rPr>
                <w:webHidden/>
              </w:rPr>
              <w:instrText xml:space="preserve"> PAGEREF _Toc140151610 \h </w:instrText>
            </w:r>
            <w:r w:rsidR="00AF4190">
              <w:rPr>
                <w:webHidden/>
              </w:rPr>
            </w:r>
            <w:r w:rsidR="00AF4190">
              <w:rPr>
                <w:webHidden/>
              </w:rPr>
              <w:fldChar w:fldCharType="separate"/>
            </w:r>
            <w:r w:rsidR="007C5D43">
              <w:rPr>
                <w:webHidden/>
              </w:rPr>
              <w:t>37</w:t>
            </w:r>
            <w:r w:rsidR="00AF4190">
              <w:rPr>
                <w:webHidden/>
              </w:rPr>
              <w:fldChar w:fldCharType="end"/>
            </w:r>
          </w:hyperlink>
        </w:p>
        <w:p w:rsidR="00C43AD2" w:rsidRPr="007403CD" w:rsidRDefault="00045D55" w:rsidP="00427A26">
          <w:pPr>
            <w:pStyle w:val="TOC1"/>
          </w:pPr>
          <w:hyperlink w:anchor="_Toc140151611" w:history="1">
            <w:r w:rsidR="00AF4190" w:rsidRPr="008711E5">
              <w:rPr>
                <w:rStyle w:val="Hyperlink"/>
              </w:rPr>
              <w:t>Concluzii</w:t>
            </w:r>
            <w:r w:rsidR="00AF4190">
              <w:rPr>
                <w:webHidden/>
              </w:rPr>
              <w:tab/>
            </w:r>
            <w:r w:rsidR="00AF4190">
              <w:rPr>
                <w:webHidden/>
              </w:rPr>
              <w:fldChar w:fldCharType="begin"/>
            </w:r>
            <w:r w:rsidR="00AF4190">
              <w:rPr>
                <w:webHidden/>
              </w:rPr>
              <w:instrText xml:space="preserve"> PAGEREF _Toc140151611 \h </w:instrText>
            </w:r>
            <w:r w:rsidR="00AF4190">
              <w:rPr>
                <w:webHidden/>
              </w:rPr>
            </w:r>
            <w:r w:rsidR="00AF4190">
              <w:rPr>
                <w:webHidden/>
              </w:rPr>
              <w:fldChar w:fldCharType="separate"/>
            </w:r>
            <w:r w:rsidR="007C5D43">
              <w:rPr>
                <w:webHidden/>
              </w:rPr>
              <w:t>39</w:t>
            </w:r>
            <w:r w:rsidR="00AF4190">
              <w:rPr>
                <w:webHidden/>
              </w:rPr>
              <w:fldChar w:fldCharType="end"/>
            </w:r>
          </w:hyperlink>
          <w:r w:rsidR="001D24F5" w:rsidRPr="007403CD">
            <w:rPr>
              <w:sz w:val="28"/>
              <w:szCs w:val="28"/>
            </w:rPr>
            <w:fldChar w:fldCharType="end"/>
          </w:r>
        </w:p>
      </w:sdtContent>
    </w:sdt>
    <w:p w:rsidR="001E5189" w:rsidRPr="007403CD" w:rsidRDefault="001E5189" w:rsidP="002A6579">
      <w:pPr>
        <w:spacing w:line="276" w:lineRule="auto"/>
        <w:rPr>
          <w:rFonts w:ascii="Tahoma" w:hAnsi="Tahoma" w:cs="Tahoma"/>
          <w:sz w:val="24"/>
          <w:szCs w:val="24"/>
        </w:rPr>
      </w:pPr>
    </w:p>
    <w:p w:rsidR="00FB0FC8" w:rsidRPr="007403CD" w:rsidRDefault="00FB0FC8" w:rsidP="002A6579">
      <w:pPr>
        <w:keepNext/>
        <w:keepLines/>
        <w:spacing w:line="276" w:lineRule="auto"/>
        <w:rPr>
          <w:rFonts w:ascii="Tahoma" w:hAnsi="Tahoma" w:cs="Tahoma"/>
          <w:b/>
          <w:sz w:val="24"/>
          <w:szCs w:val="24"/>
        </w:rPr>
      </w:pPr>
    </w:p>
    <w:p w:rsidR="00FB0FC8" w:rsidRPr="007403CD" w:rsidRDefault="00FB0FC8" w:rsidP="002A6579">
      <w:pPr>
        <w:keepNext/>
        <w:keepLines/>
        <w:spacing w:line="276" w:lineRule="auto"/>
        <w:rPr>
          <w:rFonts w:ascii="Tahoma" w:hAnsi="Tahoma" w:cs="Tahoma"/>
          <w:b/>
          <w:sz w:val="24"/>
          <w:szCs w:val="24"/>
        </w:rPr>
      </w:pPr>
    </w:p>
    <w:p w:rsidR="007C4F03" w:rsidRPr="007403CD" w:rsidRDefault="007C4F03" w:rsidP="002A6579">
      <w:pPr>
        <w:keepNext/>
        <w:keepLines/>
        <w:spacing w:line="276" w:lineRule="auto"/>
        <w:rPr>
          <w:rFonts w:ascii="Tahoma" w:hAnsi="Tahoma" w:cs="Tahoma"/>
          <w:sz w:val="24"/>
          <w:szCs w:val="24"/>
        </w:rPr>
      </w:pPr>
    </w:p>
    <w:p w:rsidR="007C4F03" w:rsidRPr="007403CD" w:rsidRDefault="007C4F03" w:rsidP="002A6579">
      <w:pPr>
        <w:keepNext/>
        <w:keepLines/>
        <w:spacing w:line="276" w:lineRule="auto"/>
        <w:rPr>
          <w:rFonts w:ascii="Tahoma" w:hAnsi="Tahoma" w:cs="Tahoma"/>
          <w:sz w:val="24"/>
          <w:szCs w:val="24"/>
        </w:rPr>
      </w:pPr>
    </w:p>
    <w:p w:rsidR="006407D7" w:rsidRPr="007403CD" w:rsidRDefault="006407D7" w:rsidP="002A6579">
      <w:pPr>
        <w:keepNext/>
        <w:keepLines/>
        <w:spacing w:line="276" w:lineRule="auto"/>
        <w:rPr>
          <w:rFonts w:ascii="Tahoma" w:hAnsi="Tahoma" w:cs="Tahoma"/>
          <w:sz w:val="24"/>
          <w:szCs w:val="24"/>
        </w:rPr>
      </w:pPr>
    </w:p>
    <w:p w:rsidR="007C4F03" w:rsidRPr="007403CD" w:rsidRDefault="007C4F03" w:rsidP="002A6579">
      <w:pPr>
        <w:keepNext/>
        <w:keepLines/>
        <w:spacing w:line="276" w:lineRule="auto"/>
        <w:rPr>
          <w:rFonts w:ascii="Tahoma" w:hAnsi="Tahoma" w:cs="Tahoma"/>
          <w:sz w:val="24"/>
          <w:szCs w:val="24"/>
        </w:rPr>
      </w:pPr>
    </w:p>
    <w:p w:rsidR="00F51EDE" w:rsidRPr="007403CD" w:rsidRDefault="00F51EDE" w:rsidP="002A6579">
      <w:pPr>
        <w:keepNext/>
        <w:keepLines/>
        <w:spacing w:line="276" w:lineRule="auto"/>
        <w:rPr>
          <w:rFonts w:ascii="Tahoma" w:hAnsi="Tahoma" w:cs="Tahoma"/>
          <w:sz w:val="24"/>
          <w:szCs w:val="24"/>
        </w:rPr>
      </w:pPr>
    </w:p>
    <w:p w:rsidR="00F51EDE" w:rsidRPr="007403CD" w:rsidRDefault="00F51EDE" w:rsidP="002A6579">
      <w:pPr>
        <w:keepNext/>
        <w:keepLines/>
        <w:spacing w:line="276" w:lineRule="auto"/>
        <w:rPr>
          <w:rFonts w:ascii="Tahoma" w:hAnsi="Tahoma" w:cs="Tahoma"/>
          <w:sz w:val="24"/>
          <w:szCs w:val="24"/>
        </w:rPr>
      </w:pPr>
    </w:p>
    <w:p w:rsidR="00F51EDE" w:rsidRPr="007403CD" w:rsidRDefault="00F51EDE" w:rsidP="002A6579">
      <w:pPr>
        <w:keepNext/>
        <w:keepLines/>
        <w:spacing w:line="276" w:lineRule="auto"/>
        <w:rPr>
          <w:rFonts w:ascii="Tahoma" w:hAnsi="Tahoma" w:cs="Tahoma"/>
          <w:sz w:val="24"/>
          <w:szCs w:val="24"/>
        </w:rPr>
      </w:pPr>
    </w:p>
    <w:p w:rsidR="00F51EDE" w:rsidRPr="007403CD" w:rsidRDefault="00F51EDE" w:rsidP="002A6579">
      <w:pPr>
        <w:keepNext/>
        <w:keepLines/>
        <w:spacing w:line="276" w:lineRule="auto"/>
        <w:rPr>
          <w:rFonts w:ascii="Tahoma" w:hAnsi="Tahoma" w:cs="Tahoma"/>
          <w:sz w:val="24"/>
          <w:szCs w:val="24"/>
        </w:rPr>
      </w:pPr>
    </w:p>
    <w:p w:rsidR="00F51EDE" w:rsidRPr="007403CD" w:rsidRDefault="00F51EDE" w:rsidP="002A6579">
      <w:pPr>
        <w:keepNext/>
        <w:keepLines/>
        <w:spacing w:line="276" w:lineRule="auto"/>
        <w:rPr>
          <w:rFonts w:ascii="Tahoma" w:hAnsi="Tahoma" w:cs="Tahoma"/>
          <w:sz w:val="24"/>
          <w:szCs w:val="24"/>
        </w:rPr>
      </w:pPr>
    </w:p>
    <w:p w:rsidR="00F96228" w:rsidRPr="007403CD" w:rsidRDefault="00F96228" w:rsidP="002A6579">
      <w:pPr>
        <w:keepNext/>
        <w:keepLines/>
        <w:spacing w:line="276" w:lineRule="auto"/>
        <w:rPr>
          <w:rFonts w:ascii="Tahoma" w:hAnsi="Tahoma" w:cs="Tahoma"/>
          <w:sz w:val="24"/>
          <w:szCs w:val="24"/>
        </w:rPr>
      </w:pPr>
      <w:r w:rsidRPr="007403CD">
        <w:rPr>
          <w:rFonts w:ascii="Tahoma" w:hAnsi="Tahoma" w:cs="Tahoma"/>
          <w:sz w:val="24"/>
          <w:szCs w:val="24"/>
        </w:rPr>
        <w:br w:type="page"/>
      </w:r>
    </w:p>
    <w:p w:rsidR="007C4F03" w:rsidRPr="007403CD" w:rsidRDefault="00EE2635" w:rsidP="00444C93">
      <w:pPr>
        <w:pStyle w:val="ListParagraph"/>
        <w:keepNext/>
        <w:keepLines/>
        <w:numPr>
          <w:ilvl w:val="0"/>
          <w:numId w:val="1"/>
        </w:numPr>
        <w:spacing w:after="240" w:line="276" w:lineRule="auto"/>
        <w:ind w:left="0" w:firstLine="629"/>
        <w:contextualSpacing w:val="0"/>
        <w:outlineLvl w:val="0"/>
        <w:rPr>
          <w:rFonts w:ascii="Tahoma" w:hAnsi="Tahoma" w:cs="Tahoma"/>
          <w:b/>
          <w:sz w:val="24"/>
          <w:szCs w:val="24"/>
        </w:rPr>
      </w:pPr>
      <w:bookmarkStart w:id="0" w:name="_Toc299543078"/>
      <w:bookmarkStart w:id="1" w:name="_Toc425320856"/>
      <w:bookmarkStart w:id="2" w:name="_Toc456256932"/>
      <w:bookmarkStart w:id="3" w:name="_Toc456257456"/>
      <w:bookmarkStart w:id="4" w:name="_Toc456258314"/>
      <w:bookmarkStart w:id="5" w:name="_Toc456258418"/>
      <w:bookmarkStart w:id="6" w:name="_Toc140151605"/>
      <w:r w:rsidRPr="007403CD">
        <w:rPr>
          <w:rFonts w:ascii="Tahoma" w:hAnsi="Tahoma" w:cs="Tahoma"/>
          <w:b/>
          <w:sz w:val="24"/>
          <w:szCs w:val="24"/>
        </w:rPr>
        <w:lastRenderedPageBreak/>
        <w:t>Evoluții</w:t>
      </w:r>
      <w:r w:rsidR="007C4F03" w:rsidRPr="007403CD">
        <w:rPr>
          <w:rFonts w:ascii="Tahoma" w:hAnsi="Tahoma" w:cs="Tahoma"/>
          <w:b/>
          <w:sz w:val="24"/>
          <w:szCs w:val="24"/>
        </w:rPr>
        <w:t xml:space="preserve"> macroeconomice recente ale economiei </w:t>
      </w:r>
      <w:bookmarkEnd w:id="0"/>
      <w:bookmarkEnd w:id="1"/>
      <w:bookmarkEnd w:id="2"/>
      <w:bookmarkEnd w:id="3"/>
      <w:bookmarkEnd w:id="4"/>
      <w:bookmarkEnd w:id="5"/>
      <w:r w:rsidRPr="007403CD">
        <w:rPr>
          <w:rFonts w:ascii="Tahoma" w:hAnsi="Tahoma" w:cs="Tahoma"/>
          <w:b/>
          <w:sz w:val="24"/>
          <w:szCs w:val="24"/>
        </w:rPr>
        <w:t>românești</w:t>
      </w:r>
      <w:bookmarkEnd w:id="6"/>
    </w:p>
    <w:p w:rsidR="00E07AC2" w:rsidRPr="00E07AC2" w:rsidRDefault="00E07AC2" w:rsidP="001F1E5D">
      <w:pPr>
        <w:keepLines/>
        <w:spacing w:after="120" w:line="276" w:lineRule="auto"/>
        <w:ind w:firstLine="0"/>
        <w:rPr>
          <w:rFonts w:ascii="Tahoma" w:hAnsi="Tahoma" w:cs="Tahoma"/>
          <w:sz w:val="24"/>
          <w:szCs w:val="24"/>
        </w:rPr>
      </w:pPr>
      <w:r w:rsidRPr="00E07AC2">
        <w:rPr>
          <w:rFonts w:ascii="Tahoma" w:hAnsi="Tahoma" w:cs="Tahoma"/>
          <w:b/>
          <w:sz w:val="24"/>
          <w:szCs w:val="24"/>
        </w:rPr>
        <w:t xml:space="preserve">Primele trei luni ale anului 2023 </w:t>
      </w:r>
      <w:r w:rsidRPr="00E07AC2">
        <w:rPr>
          <w:rFonts w:ascii="Tahoma" w:hAnsi="Tahoma" w:cs="Tahoma"/>
          <w:sz w:val="24"/>
          <w:szCs w:val="24"/>
        </w:rPr>
        <w:t xml:space="preserve">s-au caracterizat prin </w:t>
      </w:r>
      <w:proofErr w:type="spellStart"/>
      <w:r w:rsidRPr="00E07AC2">
        <w:rPr>
          <w:rFonts w:ascii="Tahoma" w:hAnsi="Tahoma" w:cs="Tahoma"/>
          <w:sz w:val="24"/>
          <w:szCs w:val="24"/>
        </w:rPr>
        <w:t>menţinerea</w:t>
      </w:r>
      <w:proofErr w:type="spellEnd"/>
      <w:r w:rsidRPr="00E07AC2">
        <w:rPr>
          <w:rFonts w:ascii="Tahoma" w:hAnsi="Tahoma" w:cs="Tahoma"/>
          <w:sz w:val="24"/>
          <w:szCs w:val="24"/>
        </w:rPr>
        <w:t xml:space="preserve"> stării de incertitudine privind </w:t>
      </w:r>
      <w:proofErr w:type="spellStart"/>
      <w:r w:rsidRPr="00E07AC2">
        <w:rPr>
          <w:rFonts w:ascii="Tahoma" w:hAnsi="Tahoma" w:cs="Tahoma"/>
          <w:sz w:val="24"/>
          <w:szCs w:val="24"/>
        </w:rPr>
        <w:t>evoluţia</w:t>
      </w:r>
      <w:proofErr w:type="spellEnd"/>
      <w:r w:rsidRPr="00E07AC2">
        <w:rPr>
          <w:rFonts w:ascii="Tahoma" w:hAnsi="Tahoma" w:cs="Tahoma"/>
          <w:sz w:val="24"/>
          <w:szCs w:val="24"/>
        </w:rPr>
        <w:t xml:space="preserve"> conflictului ruso-ucrainean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implicaţiile</w:t>
      </w:r>
      <w:proofErr w:type="spellEnd"/>
      <w:r w:rsidRPr="00E07AC2">
        <w:rPr>
          <w:rFonts w:ascii="Tahoma" w:hAnsi="Tahoma" w:cs="Tahoma"/>
          <w:sz w:val="24"/>
          <w:szCs w:val="24"/>
        </w:rPr>
        <w:t xml:space="preserve"> pe care acesta le are asupra economiei europene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mondiale. De asemenea, în ceea ce </w:t>
      </w:r>
      <w:proofErr w:type="spellStart"/>
      <w:r w:rsidRPr="00E07AC2">
        <w:rPr>
          <w:rFonts w:ascii="Tahoma" w:hAnsi="Tahoma" w:cs="Tahoma"/>
          <w:sz w:val="24"/>
          <w:szCs w:val="24"/>
        </w:rPr>
        <w:t>priveşte</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evoluţia</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preţurilor</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deşi</w:t>
      </w:r>
      <w:proofErr w:type="spellEnd"/>
      <w:r w:rsidRPr="00E07AC2">
        <w:rPr>
          <w:rFonts w:ascii="Tahoma" w:hAnsi="Tahoma" w:cs="Tahoma"/>
          <w:sz w:val="24"/>
          <w:szCs w:val="24"/>
        </w:rPr>
        <w:t xml:space="preserve"> s-a înscris pe un trend descendent, acestea au continuat să se </w:t>
      </w:r>
      <w:proofErr w:type="spellStart"/>
      <w:r w:rsidRPr="00E07AC2">
        <w:rPr>
          <w:rFonts w:ascii="Tahoma" w:hAnsi="Tahoma" w:cs="Tahoma"/>
          <w:sz w:val="24"/>
          <w:szCs w:val="24"/>
        </w:rPr>
        <w:t>menţină</w:t>
      </w:r>
      <w:proofErr w:type="spellEnd"/>
      <w:r w:rsidRPr="00E07AC2">
        <w:rPr>
          <w:rFonts w:ascii="Tahoma" w:hAnsi="Tahoma" w:cs="Tahoma"/>
          <w:sz w:val="24"/>
          <w:szCs w:val="24"/>
        </w:rPr>
        <w:t xml:space="preserve"> la un nivel ridicat, </w:t>
      </w:r>
      <w:proofErr w:type="spellStart"/>
      <w:r w:rsidRPr="00E07AC2">
        <w:rPr>
          <w:rFonts w:ascii="Tahoma" w:hAnsi="Tahoma" w:cs="Tahoma"/>
          <w:sz w:val="24"/>
          <w:szCs w:val="24"/>
        </w:rPr>
        <w:t>influenţând</w:t>
      </w:r>
      <w:proofErr w:type="spellEnd"/>
      <w:r w:rsidRPr="00E07AC2">
        <w:rPr>
          <w:rFonts w:ascii="Tahoma" w:hAnsi="Tahoma" w:cs="Tahoma"/>
          <w:sz w:val="24"/>
          <w:szCs w:val="24"/>
        </w:rPr>
        <w:t xml:space="preserve"> la rândul lor dinamica </w:t>
      </w:r>
      <w:proofErr w:type="spellStart"/>
      <w:r w:rsidRPr="00E07AC2">
        <w:rPr>
          <w:rFonts w:ascii="Tahoma" w:hAnsi="Tahoma" w:cs="Tahoma"/>
          <w:sz w:val="24"/>
          <w:szCs w:val="24"/>
        </w:rPr>
        <w:t>activităţilor</w:t>
      </w:r>
      <w:proofErr w:type="spellEnd"/>
      <w:r w:rsidRPr="00E07AC2">
        <w:rPr>
          <w:rFonts w:ascii="Tahoma" w:hAnsi="Tahoma" w:cs="Tahoma"/>
          <w:sz w:val="24"/>
          <w:szCs w:val="24"/>
        </w:rPr>
        <w:t xml:space="preserve"> economice precum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comportamentul </w:t>
      </w:r>
      <w:proofErr w:type="spellStart"/>
      <w:r w:rsidRPr="00E07AC2">
        <w:rPr>
          <w:rFonts w:ascii="Tahoma" w:hAnsi="Tahoma" w:cs="Tahoma"/>
          <w:sz w:val="24"/>
          <w:szCs w:val="24"/>
        </w:rPr>
        <w:t>populaţiei</w:t>
      </w:r>
      <w:proofErr w:type="spellEnd"/>
      <w:r w:rsidRPr="00E07AC2">
        <w:rPr>
          <w:rFonts w:ascii="Tahoma" w:hAnsi="Tahoma" w:cs="Tahoma"/>
          <w:sz w:val="24"/>
          <w:szCs w:val="24"/>
        </w:rPr>
        <w:t xml:space="preserve"> privind consumul.</w:t>
      </w:r>
    </w:p>
    <w:p w:rsidR="00E07AC2" w:rsidRPr="00E07AC2" w:rsidRDefault="00E07AC2" w:rsidP="00666157">
      <w:pPr>
        <w:keepLines/>
        <w:spacing w:after="240" w:line="276" w:lineRule="auto"/>
        <w:ind w:firstLine="0"/>
        <w:rPr>
          <w:rFonts w:ascii="Tahoma" w:hAnsi="Tahoma" w:cs="Tahoma"/>
          <w:sz w:val="24"/>
          <w:szCs w:val="24"/>
        </w:rPr>
      </w:pPr>
      <w:r w:rsidRPr="00E07AC2">
        <w:rPr>
          <w:rFonts w:ascii="Tahoma" w:hAnsi="Tahoma" w:cs="Tahoma"/>
          <w:sz w:val="24"/>
          <w:szCs w:val="24"/>
        </w:rPr>
        <w:t xml:space="preserve">În aceste </w:t>
      </w:r>
      <w:proofErr w:type="spellStart"/>
      <w:r w:rsidRPr="00E07AC2">
        <w:rPr>
          <w:rFonts w:ascii="Tahoma" w:hAnsi="Tahoma" w:cs="Tahoma"/>
          <w:sz w:val="24"/>
          <w:szCs w:val="24"/>
        </w:rPr>
        <w:t>condiţii</w:t>
      </w:r>
      <w:proofErr w:type="spellEnd"/>
      <w:r w:rsidRPr="00E07AC2">
        <w:rPr>
          <w:rFonts w:ascii="Tahoma" w:hAnsi="Tahoma" w:cs="Tahoma"/>
          <w:sz w:val="24"/>
          <w:szCs w:val="24"/>
        </w:rPr>
        <w:t xml:space="preserve">, în primul trimestru al anului 2023 produsul intern brut s-a majorat, în termeni reali, comparativ cu perioada similară din 2022 cu 2,4% pe serie brută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cu 2,9% pe serie ajustată sezonier. </w:t>
      </w:r>
      <w:proofErr w:type="spellStart"/>
      <w:r w:rsidRPr="00E07AC2">
        <w:rPr>
          <w:rFonts w:ascii="Tahoma" w:hAnsi="Tahoma" w:cs="Tahoma"/>
          <w:sz w:val="24"/>
          <w:szCs w:val="24"/>
        </w:rPr>
        <w:t>Deşi</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evoluţia</w:t>
      </w:r>
      <w:proofErr w:type="spellEnd"/>
      <w:r w:rsidRPr="00E07AC2">
        <w:rPr>
          <w:rFonts w:ascii="Tahoma" w:hAnsi="Tahoma" w:cs="Tahoma"/>
          <w:sz w:val="24"/>
          <w:szCs w:val="24"/>
        </w:rPr>
        <w:t xml:space="preserve"> economiei </w:t>
      </w:r>
      <w:proofErr w:type="spellStart"/>
      <w:r w:rsidRPr="00E07AC2">
        <w:rPr>
          <w:rFonts w:ascii="Tahoma" w:hAnsi="Tahoma" w:cs="Tahoma"/>
          <w:sz w:val="24"/>
          <w:szCs w:val="24"/>
        </w:rPr>
        <w:t>româneşti</w:t>
      </w:r>
      <w:proofErr w:type="spellEnd"/>
      <w:r w:rsidRPr="00E07AC2">
        <w:rPr>
          <w:rFonts w:ascii="Tahoma" w:hAnsi="Tahoma" w:cs="Tahoma"/>
          <w:sz w:val="24"/>
          <w:szCs w:val="24"/>
        </w:rPr>
        <w:t xml:space="preserve"> s-a </w:t>
      </w:r>
      <w:proofErr w:type="spellStart"/>
      <w:r w:rsidRPr="00E07AC2">
        <w:rPr>
          <w:rFonts w:ascii="Tahoma" w:hAnsi="Tahoma" w:cs="Tahoma"/>
          <w:sz w:val="24"/>
          <w:szCs w:val="24"/>
        </w:rPr>
        <w:t>menţinut</w:t>
      </w:r>
      <w:proofErr w:type="spellEnd"/>
      <w:r w:rsidRPr="00E07AC2">
        <w:rPr>
          <w:rFonts w:ascii="Tahoma" w:hAnsi="Tahoma" w:cs="Tahoma"/>
          <w:sz w:val="24"/>
          <w:szCs w:val="24"/>
        </w:rPr>
        <w:t xml:space="preserve"> în teritoriul pozitiv, se manifestă </w:t>
      </w:r>
      <w:proofErr w:type="spellStart"/>
      <w:r w:rsidRPr="00E07AC2">
        <w:rPr>
          <w:rFonts w:ascii="Tahoma" w:hAnsi="Tahoma" w:cs="Tahoma"/>
          <w:sz w:val="24"/>
          <w:szCs w:val="24"/>
        </w:rPr>
        <w:t>totuşi</w:t>
      </w:r>
      <w:proofErr w:type="spellEnd"/>
      <w:r w:rsidRPr="00E07AC2">
        <w:rPr>
          <w:rFonts w:ascii="Tahoma" w:hAnsi="Tahoma" w:cs="Tahoma"/>
          <w:sz w:val="24"/>
          <w:szCs w:val="24"/>
        </w:rPr>
        <w:t xml:space="preserve"> o </w:t>
      </w:r>
      <w:proofErr w:type="spellStart"/>
      <w:r w:rsidRPr="00E07AC2">
        <w:rPr>
          <w:rFonts w:ascii="Tahoma" w:hAnsi="Tahoma" w:cs="Tahoma"/>
          <w:sz w:val="24"/>
          <w:szCs w:val="24"/>
        </w:rPr>
        <w:t>tendinţă</w:t>
      </w:r>
      <w:proofErr w:type="spellEnd"/>
      <w:r w:rsidRPr="00E07AC2">
        <w:rPr>
          <w:rFonts w:ascii="Tahoma" w:hAnsi="Tahoma" w:cs="Tahoma"/>
          <w:sz w:val="24"/>
          <w:szCs w:val="24"/>
        </w:rPr>
        <w:t xml:space="preserve"> de decelerare comparativ cu ultimul trimestru din 2022 (4,5% pe serie brută). Raportat la trimestrul IV 2022 </w:t>
      </w:r>
      <w:proofErr w:type="spellStart"/>
      <w:r w:rsidRPr="00E07AC2">
        <w:rPr>
          <w:rFonts w:ascii="Tahoma" w:hAnsi="Tahoma" w:cs="Tahoma"/>
          <w:sz w:val="24"/>
          <w:szCs w:val="24"/>
        </w:rPr>
        <w:t>creşterea</w:t>
      </w:r>
      <w:proofErr w:type="spellEnd"/>
      <w:r w:rsidRPr="00E07AC2">
        <w:rPr>
          <w:rFonts w:ascii="Tahoma" w:hAnsi="Tahoma" w:cs="Tahoma"/>
          <w:sz w:val="24"/>
          <w:szCs w:val="24"/>
        </w:rPr>
        <w:t>, în termeni reali, a fost de numai 0,2%.</w:t>
      </w:r>
    </w:p>
    <w:p w:rsidR="00444C93" w:rsidRPr="007403CD" w:rsidRDefault="00444C93" w:rsidP="001F1E5D">
      <w:pPr>
        <w:pStyle w:val="ListParagraph"/>
        <w:keepLines/>
        <w:spacing w:after="120" w:line="276" w:lineRule="auto"/>
        <w:ind w:left="0" w:firstLine="0"/>
        <w:contextualSpacing w:val="0"/>
        <w:jc w:val="center"/>
        <w:rPr>
          <w:rFonts w:ascii="Arial" w:hAnsi="Arial" w:cs="Arial"/>
          <w:b/>
          <w:bCs/>
          <w:sz w:val="24"/>
          <w:szCs w:val="24"/>
        </w:rPr>
      </w:pPr>
      <w:r w:rsidRPr="007403CD">
        <w:rPr>
          <w:rFonts w:ascii="Arial" w:hAnsi="Arial" w:cs="Arial"/>
          <w:b/>
          <w:bCs/>
          <w:sz w:val="24"/>
          <w:szCs w:val="24"/>
        </w:rPr>
        <w:t>Contribuția la creșterea reală a PIB a elementelor de cheltuieli</w:t>
      </w:r>
    </w:p>
    <w:p w:rsidR="00444C93" w:rsidRPr="007403CD" w:rsidRDefault="00585151" w:rsidP="00444C93">
      <w:pPr>
        <w:keepNext/>
        <w:keepLines/>
        <w:widowControl w:val="0"/>
        <w:spacing w:before="120" w:after="120"/>
        <w:ind w:firstLine="0"/>
        <w:jc w:val="center"/>
        <w:rPr>
          <w:rFonts w:ascii="Arial" w:hAnsi="Arial" w:cs="Arial"/>
          <w:b/>
          <w:bCs/>
          <w:color w:val="2E74B5" w:themeColor="accent1" w:themeShade="BF"/>
          <w:sz w:val="24"/>
          <w:szCs w:val="24"/>
        </w:rPr>
      </w:pPr>
      <w:r>
        <w:rPr>
          <w:rFonts w:ascii="Arial" w:hAnsi="Arial" w:cs="Arial"/>
          <w:b/>
          <w:bCs/>
          <w:color w:val="2E74B5" w:themeColor="accent1" w:themeShade="BF"/>
          <w:sz w:val="24"/>
          <w:szCs w:val="24"/>
        </w:rPr>
        <w:object w:dxaOrig="7028" w:dyaOrig="5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95pt;height:228.2pt" o:ole="">
            <v:imagedata r:id="rId8" o:title=""/>
          </v:shape>
          <o:OLEObject Type="Embed" ProgID="Excel.Sheet.12" ShapeID="_x0000_i1025" DrawAspect="Content" ObjectID="_1762159607" r:id="rId9"/>
        </w:object>
      </w:r>
    </w:p>
    <w:p w:rsidR="00E07AC2" w:rsidRPr="00E07AC2" w:rsidRDefault="00E07AC2" w:rsidP="00E07AC2">
      <w:pPr>
        <w:keepNext/>
        <w:keepLines/>
        <w:widowControl w:val="0"/>
        <w:spacing w:before="120" w:after="120" w:line="276" w:lineRule="auto"/>
        <w:ind w:firstLine="0"/>
        <w:rPr>
          <w:rFonts w:ascii="Tahoma" w:hAnsi="Tahoma" w:cs="Tahoma"/>
          <w:sz w:val="24"/>
          <w:szCs w:val="24"/>
        </w:rPr>
      </w:pPr>
      <w:r w:rsidRPr="00E07AC2">
        <w:rPr>
          <w:rFonts w:ascii="Tahoma" w:hAnsi="Tahoma" w:cs="Tahoma"/>
          <w:b/>
          <w:sz w:val="24"/>
          <w:szCs w:val="24"/>
        </w:rPr>
        <w:t>Din punct de vedere al elementelor de utilizare</w:t>
      </w:r>
      <w:r w:rsidRPr="00E07AC2">
        <w:rPr>
          <w:rFonts w:ascii="Tahoma" w:hAnsi="Tahoma" w:cs="Tahoma"/>
          <w:sz w:val="24"/>
          <w:szCs w:val="24"/>
        </w:rPr>
        <w:t xml:space="preserve">, </w:t>
      </w:r>
      <w:proofErr w:type="spellStart"/>
      <w:r w:rsidRPr="00E07AC2">
        <w:rPr>
          <w:rFonts w:ascii="Tahoma" w:hAnsi="Tahoma" w:cs="Tahoma"/>
          <w:sz w:val="24"/>
          <w:szCs w:val="24"/>
        </w:rPr>
        <w:t>creşterea</w:t>
      </w:r>
      <w:proofErr w:type="spellEnd"/>
      <w:r w:rsidRPr="00E07AC2">
        <w:rPr>
          <w:rFonts w:ascii="Tahoma" w:hAnsi="Tahoma" w:cs="Tahoma"/>
          <w:sz w:val="24"/>
          <w:szCs w:val="24"/>
        </w:rPr>
        <w:t xml:space="preserve"> economică a fost </w:t>
      </w:r>
      <w:proofErr w:type="spellStart"/>
      <w:r w:rsidRPr="00E07AC2">
        <w:rPr>
          <w:rFonts w:ascii="Tahoma" w:hAnsi="Tahoma" w:cs="Tahoma"/>
          <w:sz w:val="24"/>
          <w:szCs w:val="24"/>
        </w:rPr>
        <w:t>susţinută</w:t>
      </w:r>
      <w:proofErr w:type="spellEnd"/>
      <w:r w:rsidRPr="00E07AC2">
        <w:rPr>
          <w:rFonts w:ascii="Tahoma" w:hAnsi="Tahoma" w:cs="Tahoma"/>
          <w:sz w:val="24"/>
          <w:szCs w:val="24"/>
        </w:rPr>
        <w:t xml:space="preserve"> atât de cererea internă, respectiv consum privat, consum guvernamental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investiţii</w:t>
      </w:r>
      <w:proofErr w:type="spellEnd"/>
      <w:r w:rsidRPr="00E07AC2">
        <w:rPr>
          <w:rFonts w:ascii="Tahoma" w:hAnsi="Tahoma" w:cs="Tahoma"/>
          <w:sz w:val="24"/>
          <w:szCs w:val="24"/>
        </w:rPr>
        <w:t xml:space="preserve"> brute, cât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de cea externă. In ceea ce </w:t>
      </w:r>
      <w:proofErr w:type="spellStart"/>
      <w:r w:rsidRPr="00E07AC2">
        <w:rPr>
          <w:rFonts w:ascii="Tahoma" w:hAnsi="Tahoma" w:cs="Tahoma"/>
          <w:sz w:val="24"/>
          <w:szCs w:val="24"/>
        </w:rPr>
        <w:t>priveşte</w:t>
      </w:r>
      <w:proofErr w:type="spellEnd"/>
      <w:r w:rsidRPr="00E07AC2">
        <w:rPr>
          <w:rFonts w:ascii="Tahoma" w:hAnsi="Tahoma" w:cs="Tahoma"/>
          <w:sz w:val="24"/>
          <w:szCs w:val="24"/>
        </w:rPr>
        <w:t xml:space="preserve"> </w:t>
      </w:r>
      <w:r w:rsidRPr="00E07AC2">
        <w:rPr>
          <w:rFonts w:ascii="Tahoma" w:hAnsi="Tahoma" w:cs="Tahoma"/>
          <w:b/>
          <w:sz w:val="24"/>
          <w:szCs w:val="24"/>
        </w:rPr>
        <w:t>cererea internă</w:t>
      </w:r>
      <w:r w:rsidRPr="00E07AC2">
        <w:rPr>
          <w:rFonts w:ascii="Tahoma" w:hAnsi="Tahoma" w:cs="Tahoma"/>
          <w:sz w:val="24"/>
          <w:szCs w:val="24"/>
        </w:rPr>
        <w:t xml:space="preserve">, </w:t>
      </w:r>
      <w:proofErr w:type="spellStart"/>
      <w:r w:rsidRPr="00E07AC2">
        <w:rPr>
          <w:rFonts w:ascii="Tahoma" w:hAnsi="Tahoma" w:cs="Tahoma"/>
          <w:sz w:val="24"/>
          <w:szCs w:val="24"/>
        </w:rPr>
        <w:t>evoluţia</w:t>
      </w:r>
      <w:proofErr w:type="spellEnd"/>
      <w:r w:rsidRPr="00E07AC2">
        <w:rPr>
          <w:rFonts w:ascii="Tahoma" w:hAnsi="Tahoma" w:cs="Tahoma"/>
          <w:sz w:val="24"/>
          <w:szCs w:val="24"/>
        </w:rPr>
        <w:t xml:space="preserve"> pozitivă a componentelor sale nu s-a regăsit integral în dinamica produsului intern brut, aportul negativ al </w:t>
      </w:r>
      <w:proofErr w:type="spellStart"/>
      <w:r w:rsidRPr="00E07AC2">
        <w:rPr>
          <w:rFonts w:ascii="Tahoma" w:hAnsi="Tahoma" w:cs="Tahoma"/>
          <w:sz w:val="24"/>
          <w:szCs w:val="24"/>
        </w:rPr>
        <w:t>variaţiei</w:t>
      </w:r>
      <w:proofErr w:type="spellEnd"/>
      <w:r w:rsidRPr="00E07AC2">
        <w:rPr>
          <w:rFonts w:ascii="Tahoma" w:hAnsi="Tahoma" w:cs="Tahoma"/>
          <w:sz w:val="24"/>
          <w:szCs w:val="24"/>
        </w:rPr>
        <w:t xml:space="preserve"> stocurilor (-6,0 puncte procentuale) diminuând puternic rata reală de </w:t>
      </w:r>
      <w:proofErr w:type="spellStart"/>
      <w:r w:rsidRPr="00E07AC2">
        <w:rPr>
          <w:rFonts w:ascii="Tahoma" w:hAnsi="Tahoma" w:cs="Tahoma"/>
          <w:sz w:val="24"/>
          <w:szCs w:val="24"/>
        </w:rPr>
        <w:t>creştere</w:t>
      </w:r>
      <w:proofErr w:type="spellEnd"/>
      <w:r w:rsidRPr="00E07AC2">
        <w:rPr>
          <w:rFonts w:ascii="Tahoma" w:hAnsi="Tahoma" w:cs="Tahoma"/>
          <w:sz w:val="24"/>
          <w:szCs w:val="24"/>
        </w:rPr>
        <w:t xml:space="preserve"> economică (2,4%).</w:t>
      </w:r>
    </w:p>
    <w:p w:rsidR="00E07AC2" w:rsidRPr="00E07AC2" w:rsidRDefault="00E07AC2" w:rsidP="00E07AC2">
      <w:pPr>
        <w:pStyle w:val="ListParagraph"/>
        <w:spacing w:after="120" w:line="276" w:lineRule="auto"/>
        <w:ind w:left="0" w:firstLine="0"/>
        <w:contextualSpacing w:val="0"/>
        <w:rPr>
          <w:rFonts w:ascii="Tahoma" w:hAnsi="Tahoma" w:cs="Tahoma"/>
          <w:sz w:val="24"/>
          <w:szCs w:val="24"/>
        </w:rPr>
      </w:pPr>
      <w:r w:rsidRPr="00E07AC2">
        <w:rPr>
          <w:rFonts w:ascii="Tahoma" w:hAnsi="Tahoma" w:cs="Tahoma"/>
          <w:sz w:val="24"/>
          <w:szCs w:val="24"/>
        </w:rPr>
        <w:t xml:space="preserve">Referitor la </w:t>
      </w:r>
      <w:r w:rsidRPr="00E07AC2">
        <w:rPr>
          <w:rFonts w:ascii="Tahoma" w:hAnsi="Tahoma" w:cs="Tahoma"/>
          <w:b/>
          <w:sz w:val="24"/>
          <w:szCs w:val="24"/>
        </w:rPr>
        <w:t>consumul privat</w:t>
      </w:r>
      <w:r w:rsidRPr="00E07AC2">
        <w:rPr>
          <w:rFonts w:ascii="Tahoma" w:hAnsi="Tahoma" w:cs="Tahoma"/>
          <w:sz w:val="24"/>
          <w:szCs w:val="24"/>
        </w:rPr>
        <w:t xml:space="preserve">, se constată o redinamizare semnificativă a acestuia (comparativ cu ultimul trimestru din 2022), majorarea cu 6,4% fiind favorizată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de revenirea </w:t>
      </w:r>
      <w:proofErr w:type="spellStart"/>
      <w:r w:rsidRPr="00E07AC2">
        <w:rPr>
          <w:rFonts w:ascii="Tahoma" w:hAnsi="Tahoma" w:cs="Tahoma"/>
          <w:sz w:val="24"/>
          <w:szCs w:val="24"/>
        </w:rPr>
        <w:t>câştigului</w:t>
      </w:r>
      <w:proofErr w:type="spellEnd"/>
      <w:r w:rsidRPr="00E07AC2">
        <w:rPr>
          <w:rFonts w:ascii="Tahoma" w:hAnsi="Tahoma" w:cs="Tahoma"/>
          <w:sz w:val="24"/>
          <w:szCs w:val="24"/>
        </w:rPr>
        <w:t xml:space="preserve"> salarial real în teritoriul pozitiv în </w:t>
      </w:r>
      <w:proofErr w:type="spellStart"/>
      <w:r w:rsidRPr="00E07AC2">
        <w:rPr>
          <w:rFonts w:ascii="Tahoma" w:hAnsi="Tahoma" w:cs="Tahoma"/>
          <w:sz w:val="24"/>
          <w:szCs w:val="24"/>
        </w:rPr>
        <w:t>condiţiile</w:t>
      </w:r>
      <w:proofErr w:type="spellEnd"/>
      <w:r w:rsidRPr="00E07AC2">
        <w:rPr>
          <w:rFonts w:ascii="Tahoma" w:hAnsi="Tahoma" w:cs="Tahoma"/>
          <w:sz w:val="24"/>
          <w:szCs w:val="24"/>
        </w:rPr>
        <w:t xml:space="preserve"> unei rate a </w:t>
      </w:r>
      <w:proofErr w:type="spellStart"/>
      <w:r w:rsidRPr="00E07AC2">
        <w:rPr>
          <w:rFonts w:ascii="Tahoma" w:hAnsi="Tahoma" w:cs="Tahoma"/>
          <w:sz w:val="24"/>
          <w:szCs w:val="24"/>
        </w:rPr>
        <w:t>inflaţiei</w:t>
      </w:r>
      <w:proofErr w:type="spellEnd"/>
      <w:r w:rsidRPr="00E07AC2">
        <w:rPr>
          <w:rFonts w:ascii="Tahoma" w:hAnsi="Tahoma" w:cs="Tahoma"/>
          <w:sz w:val="24"/>
          <w:szCs w:val="24"/>
        </w:rPr>
        <w:t xml:space="preserve"> aflată pe o pantă descendentă, concretizată într-o </w:t>
      </w:r>
      <w:proofErr w:type="spellStart"/>
      <w:r w:rsidRPr="00E07AC2">
        <w:rPr>
          <w:rFonts w:ascii="Tahoma" w:hAnsi="Tahoma" w:cs="Tahoma"/>
          <w:sz w:val="24"/>
          <w:szCs w:val="24"/>
        </w:rPr>
        <w:t>îmbunătăţire</w:t>
      </w:r>
      <w:proofErr w:type="spellEnd"/>
      <w:r w:rsidRPr="00E07AC2">
        <w:rPr>
          <w:rFonts w:ascii="Tahoma" w:hAnsi="Tahoma" w:cs="Tahoma"/>
          <w:sz w:val="24"/>
          <w:szCs w:val="24"/>
        </w:rPr>
        <w:t xml:space="preserve"> marginală a puterii de cumpărare a </w:t>
      </w:r>
      <w:proofErr w:type="spellStart"/>
      <w:r w:rsidRPr="00E07AC2">
        <w:rPr>
          <w:rFonts w:ascii="Tahoma" w:hAnsi="Tahoma" w:cs="Tahoma"/>
          <w:sz w:val="24"/>
          <w:szCs w:val="24"/>
        </w:rPr>
        <w:t>populaţiei</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Contribuţia</w:t>
      </w:r>
      <w:proofErr w:type="spellEnd"/>
      <w:r w:rsidRPr="00E07AC2">
        <w:rPr>
          <w:rFonts w:ascii="Tahoma" w:hAnsi="Tahoma" w:cs="Tahoma"/>
          <w:sz w:val="24"/>
          <w:szCs w:val="24"/>
        </w:rPr>
        <w:t xml:space="preserve"> la </w:t>
      </w:r>
      <w:proofErr w:type="spellStart"/>
      <w:r w:rsidRPr="00E07AC2">
        <w:rPr>
          <w:rFonts w:ascii="Tahoma" w:hAnsi="Tahoma" w:cs="Tahoma"/>
          <w:sz w:val="24"/>
          <w:szCs w:val="24"/>
        </w:rPr>
        <w:t>creşterea</w:t>
      </w:r>
      <w:proofErr w:type="spellEnd"/>
      <w:r w:rsidRPr="00E07AC2">
        <w:rPr>
          <w:rFonts w:ascii="Tahoma" w:hAnsi="Tahoma" w:cs="Tahoma"/>
          <w:sz w:val="24"/>
          <w:szCs w:val="24"/>
        </w:rPr>
        <w:t xml:space="preserve"> produsului intern brut de 4,2 puncte </w:t>
      </w:r>
      <w:r w:rsidRPr="00E07AC2">
        <w:rPr>
          <w:rFonts w:ascii="Tahoma" w:hAnsi="Tahoma" w:cs="Tahoma"/>
          <w:sz w:val="24"/>
          <w:szCs w:val="24"/>
        </w:rPr>
        <w:lastRenderedPageBreak/>
        <w:t xml:space="preserve">procentuale arată rolul determinant pe care îl are consumul privat la avansul economiei. </w:t>
      </w:r>
    </w:p>
    <w:p w:rsidR="00E07AC2" w:rsidRPr="00E07AC2" w:rsidRDefault="00E07AC2" w:rsidP="00E07AC2">
      <w:pPr>
        <w:pStyle w:val="ListParagraph"/>
        <w:spacing w:after="120" w:line="276" w:lineRule="auto"/>
        <w:ind w:left="0" w:firstLine="0"/>
        <w:contextualSpacing w:val="0"/>
        <w:rPr>
          <w:rFonts w:ascii="Tahoma" w:hAnsi="Tahoma" w:cs="Tahoma"/>
          <w:sz w:val="24"/>
          <w:szCs w:val="24"/>
        </w:rPr>
      </w:pPr>
      <w:r w:rsidRPr="00E07AC2">
        <w:rPr>
          <w:rFonts w:ascii="Tahoma" w:hAnsi="Tahoma" w:cs="Tahoma"/>
          <w:sz w:val="24"/>
          <w:szCs w:val="24"/>
        </w:rPr>
        <w:t xml:space="preserve">În contextul continuării aplicării unor măsuri de sprijin pentru a atenua impactul creșterii prețurilor asupra </w:t>
      </w:r>
      <w:proofErr w:type="spellStart"/>
      <w:r w:rsidRPr="00E07AC2">
        <w:rPr>
          <w:rFonts w:ascii="Tahoma" w:hAnsi="Tahoma" w:cs="Tahoma"/>
          <w:sz w:val="24"/>
          <w:szCs w:val="24"/>
        </w:rPr>
        <w:t>populaţiei</w:t>
      </w:r>
      <w:proofErr w:type="spellEnd"/>
      <w:r w:rsidRPr="00E07AC2">
        <w:rPr>
          <w:rFonts w:ascii="Tahoma" w:hAnsi="Tahoma" w:cs="Tahoma"/>
          <w:sz w:val="24"/>
          <w:szCs w:val="24"/>
        </w:rPr>
        <w:t xml:space="preserve"> vulnerabile atât la energie, cât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la bunurile de uz curent, </w:t>
      </w:r>
      <w:r w:rsidRPr="00E07AC2">
        <w:rPr>
          <w:rFonts w:ascii="Tahoma" w:hAnsi="Tahoma" w:cs="Tahoma"/>
          <w:b/>
          <w:sz w:val="24"/>
          <w:szCs w:val="24"/>
        </w:rPr>
        <w:t>consumul guvernamental</w:t>
      </w:r>
      <w:r w:rsidRPr="00E07AC2">
        <w:rPr>
          <w:rFonts w:ascii="Tahoma" w:hAnsi="Tahoma" w:cs="Tahoma"/>
          <w:sz w:val="24"/>
          <w:szCs w:val="24"/>
        </w:rPr>
        <w:t xml:space="preserve"> a înregistrat o </w:t>
      </w:r>
      <w:proofErr w:type="spellStart"/>
      <w:r w:rsidRPr="00E07AC2">
        <w:rPr>
          <w:rFonts w:ascii="Tahoma" w:hAnsi="Tahoma" w:cs="Tahoma"/>
          <w:sz w:val="24"/>
          <w:szCs w:val="24"/>
        </w:rPr>
        <w:t>creştere</w:t>
      </w:r>
      <w:proofErr w:type="spellEnd"/>
      <w:r w:rsidRPr="00E07AC2">
        <w:rPr>
          <w:rFonts w:ascii="Tahoma" w:hAnsi="Tahoma" w:cs="Tahoma"/>
          <w:sz w:val="24"/>
          <w:szCs w:val="24"/>
        </w:rPr>
        <w:t xml:space="preserve"> notabilă (+8,7%), aducând un aport de 1,6 puncte procentuale la </w:t>
      </w:r>
      <w:proofErr w:type="spellStart"/>
      <w:r w:rsidRPr="00E07AC2">
        <w:rPr>
          <w:rFonts w:ascii="Tahoma" w:hAnsi="Tahoma" w:cs="Tahoma"/>
          <w:sz w:val="24"/>
          <w:szCs w:val="24"/>
        </w:rPr>
        <w:t>creşterea</w:t>
      </w:r>
      <w:proofErr w:type="spellEnd"/>
      <w:r w:rsidRPr="00E07AC2">
        <w:rPr>
          <w:rFonts w:ascii="Tahoma" w:hAnsi="Tahoma" w:cs="Tahoma"/>
          <w:sz w:val="24"/>
          <w:szCs w:val="24"/>
        </w:rPr>
        <w:t xml:space="preserve"> economică.</w:t>
      </w:r>
    </w:p>
    <w:p w:rsidR="00E07AC2" w:rsidRPr="00E07AC2" w:rsidRDefault="00E07AC2" w:rsidP="00E07AC2">
      <w:pPr>
        <w:pStyle w:val="ListParagraph"/>
        <w:spacing w:after="120" w:line="276" w:lineRule="auto"/>
        <w:ind w:left="0" w:firstLine="0"/>
        <w:contextualSpacing w:val="0"/>
        <w:rPr>
          <w:rFonts w:ascii="Tahoma" w:hAnsi="Tahoma" w:cs="Tahoma"/>
          <w:sz w:val="24"/>
          <w:szCs w:val="24"/>
        </w:rPr>
      </w:pPr>
      <w:r w:rsidRPr="00E07AC2">
        <w:rPr>
          <w:rFonts w:ascii="Tahoma" w:hAnsi="Tahoma" w:cs="Tahoma"/>
          <w:sz w:val="24"/>
          <w:szCs w:val="24"/>
        </w:rPr>
        <w:t xml:space="preserve">Realizările sectorului </w:t>
      </w:r>
      <w:proofErr w:type="spellStart"/>
      <w:r w:rsidRPr="00E07AC2">
        <w:rPr>
          <w:rFonts w:ascii="Tahoma" w:hAnsi="Tahoma" w:cs="Tahoma"/>
          <w:sz w:val="24"/>
          <w:szCs w:val="24"/>
        </w:rPr>
        <w:t>construcţii</w:t>
      </w:r>
      <w:proofErr w:type="spellEnd"/>
      <w:r w:rsidRPr="00E07AC2">
        <w:rPr>
          <w:rFonts w:ascii="Tahoma" w:hAnsi="Tahoma" w:cs="Tahoma"/>
          <w:sz w:val="24"/>
          <w:szCs w:val="24"/>
        </w:rPr>
        <w:t xml:space="preserve"> s-au reflectat în mod corespunzător în dinamica </w:t>
      </w:r>
      <w:r w:rsidRPr="00E07AC2">
        <w:rPr>
          <w:rFonts w:ascii="Tahoma" w:hAnsi="Tahoma" w:cs="Tahoma"/>
          <w:b/>
          <w:sz w:val="24"/>
          <w:szCs w:val="24"/>
        </w:rPr>
        <w:t>formării brute de capital fix</w:t>
      </w:r>
      <w:r w:rsidRPr="00E07AC2">
        <w:rPr>
          <w:rFonts w:ascii="Tahoma" w:hAnsi="Tahoma" w:cs="Tahoma"/>
          <w:sz w:val="24"/>
          <w:szCs w:val="24"/>
        </w:rPr>
        <w:t xml:space="preserve">, care a avansat cu 10,4% ca urmare a </w:t>
      </w:r>
      <w:proofErr w:type="spellStart"/>
      <w:r w:rsidRPr="00E07AC2">
        <w:rPr>
          <w:rFonts w:ascii="Tahoma" w:hAnsi="Tahoma" w:cs="Tahoma"/>
          <w:sz w:val="24"/>
          <w:szCs w:val="24"/>
        </w:rPr>
        <w:t>evoluţiei</w:t>
      </w:r>
      <w:proofErr w:type="spellEnd"/>
      <w:r w:rsidRPr="00E07AC2">
        <w:rPr>
          <w:rFonts w:ascii="Tahoma" w:hAnsi="Tahoma" w:cs="Tahoma"/>
          <w:sz w:val="24"/>
          <w:szCs w:val="24"/>
        </w:rPr>
        <w:t xml:space="preserve"> favorabile a lucrărilor de infrastructură realizate atât din fonduri UE (PNRR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Cadrul financiar multianual 2021-2027), cât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din fonduri publice. </w:t>
      </w:r>
    </w:p>
    <w:p w:rsidR="00E07AC2" w:rsidRPr="00E07AC2" w:rsidRDefault="00E07AC2" w:rsidP="00E07AC2">
      <w:pPr>
        <w:pStyle w:val="ListParagraph"/>
        <w:spacing w:after="120" w:line="276" w:lineRule="auto"/>
        <w:ind w:left="0" w:firstLine="0"/>
        <w:contextualSpacing w:val="0"/>
        <w:rPr>
          <w:rFonts w:ascii="Tahoma" w:hAnsi="Tahoma" w:cs="Tahoma"/>
          <w:sz w:val="24"/>
          <w:szCs w:val="24"/>
        </w:rPr>
      </w:pPr>
      <w:r w:rsidRPr="00E07AC2">
        <w:rPr>
          <w:rFonts w:ascii="Tahoma" w:hAnsi="Tahoma" w:cs="Tahoma"/>
          <w:sz w:val="24"/>
          <w:szCs w:val="24"/>
        </w:rPr>
        <w:t xml:space="preserve">Satisfacerea cererii ridicate pentru </w:t>
      </w:r>
      <w:proofErr w:type="spellStart"/>
      <w:r w:rsidRPr="00E07AC2">
        <w:rPr>
          <w:rFonts w:ascii="Tahoma" w:hAnsi="Tahoma" w:cs="Tahoma"/>
          <w:sz w:val="24"/>
          <w:szCs w:val="24"/>
        </w:rPr>
        <w:t>investiţii</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consum, în </w:t>
      </w:r>
      <w:proofErr w:type="spellStart"/>
      <w:r w:rsidRPr="00E07AC2">
        <w:rPr>
          <w:rFonts w:ascii="Tahoma" w:hAnsi="Tahoma" w:cs="Tahoma"/>
          <w:sz w:val="24"/>
          <w:szCs w:val="24"/>
        </w:rPr>
        <w:t>condiţiile</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contracţiei</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producţiei</w:t>
      </w:r>
      <w:proofErr w:type="spellEnd"/>
      <w:r w:rsidRPr="00E07AC2">
        <w:rPr>
          <w:rFonts w:ascii="Tahoma" w:hAnsi="Tahoma" w:cs="Tahoma"/>
          <w:sz w:val="24"/>
          <w:szCs w:val="24"/>
        </w:rPr>
        <w:t xml:space="preserve"> industriale, dar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al unui nivel redus al importurilor de bunuri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servicii, a necesitat apelarea la stocuri. În aceste </w:t>
      </w:r>
      <w:proofErr w:type="spellStart"/>
      <w:r w:rsidRPr="00E07AC2">
        <w:rPr>
          <w:rFonts w:ascii="Tahoma" w:hAnsi="Tahoma" w:cs="Tahoma"/>
          <w:sz w:val="24"/>
          <w:szCs w:val="24"/>
        </w:rPr>
        <w:t>condiţii</w:t>
      </w:r>
      <w:proofErr w:type="spellEnd"/>
      <w:r w:rsidRPr="00E07AC2">
        <w:rPr>
          <w:rFonts w:ascii="Tahoma" w:hAnsi="Tahoma" w:cs="Tahoma"/>
          <w:sz w:val="24"/>
          <w:szCs w:val="24"/>
        </w:rPr>
        <w:t xml:space="preserve">, </w:t>
      </w:r>
      <w:proofErr w:type="spellStart"/>
      <w:r w:rsidRPr="00E07AC2">
        <w:rPr>
          <w:rFonts w:ascii="Tahoma" w:hAnsi="Tahoma" w:cs="Tahoma"/>
          <w:b/>
          <w:sz w:val="24"/>
          <w:szCs w:val="24"/>
        </w:rPr>
        <w:t>variaţia</w:t>
      </w:r>
      <w:proofErr w:type="spellEnd"/>
      <w:r w:rsidRPr="00E07AC2">
        <w:rPr>
          <w:rFonts w:ascii="Tahoma" w:hAnsi="Tahoma" w:cs="Tahoma"/>
          <w:b/>
          <w:sz w:val="24"/>
          <w:szCs w:val="24"/>
        </w:rPr>
        <w:t xml:space="preserve"> stocurilor</w:t>
      </w:r>
      <w:r w:rsidRPr="00E07AC2">
        <w:rPr>
          <w:rFonts w:ascii="Tahoma" w:hAnsi="Tahoma" w:cs="Tahoma"/>
          <w:sz w:val="24"/>
          <w:szCs w:val="24"/>
        </w:rPr>
        <w:t xml:space="preserve"> a redus avansul produsului intern brut cu 6,0 puncte procentuale, având ca rezultat o reducere a acumulării brute cu 18,1% comparativ cu trimestrul corespunzător din anul anterior.</w:t>
      </w:r>
    </w:p>
    <w:p w:rsidR="00E07AC2" w:rsidRPr="00E07AC2" w:rsidRDefault="00E07AC2" w:rsidP="00E07AC2">
      <w:pPr>
        <w:pStyle w:val="ListParagraph"/>
        <w:spacing w:after="120" w:line="276" w:lineRule="auto"/>
        <w:ind w:left="0" w:firstLine="0"/>
        <w:contextualSpacing w:val="0"/>
        <w:rPr>
          <w:rFonts w:ascii="Tahoma" w:hAnsi="Tahoma" w:cs="Tahoma"/>
          <w:sz w:val="24"/>
          <w:szCs w:val="24"/>
        </w:rPr>
      </w:pPr>
      <w:r w:rsidRPr="00E07AC2">
        <w:rPr>
          <w:rFonts w:ascii="Tahoma" w:hAnsi="Tahoma" w:cs="Tahoma"/>
          <w:sz w:val="24"/>
          <w:szCs w:val="24"/>
        </w:rPr>
        <w:t xml:space="preserve">Pe latura externă, exportul de bunuri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servicii a înregistrat, în termeni reali, o dinamică de 1,7%, </w:t>
      </w:r>
      <w:proofErr w:type="spellStart"/>
      <w:r w:rsidRPr="00E07AC2">
        <w:rPr>
          <w:rFonts w:ascii="Tahoma" w:hAnsi="Tahoma" w:cs="Tahoma"/>
          <w:sz w:val="24"/>
          <w:szCs w:val="24"/>
        </w:rPr>
        <w:t>depăşind</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creşterea</w:t>
      </w:r>
      <w:proofErr w:type="spellEnd"/>
      <w:r w:rsidRPr="00E07AC2">
        <w:rPr>
          <w:rFonts w:ascii="Tahoma" w:hAnsi="Tahoma" w:cs="Tahoma"/>
          <w:sz w:val="24"/>
          <w:szCs w:val="24"/>
        </w:rPr>
        <w:t xml:space="preserve"> modestă a importului de bunuri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servicii (0,2%). Astfel, aportului adus de cererea internă la </w:t>
      </w:r>
      <w:proofErr w:type="spellStart"/>
      <w:r w:rsidRPr="00E07AC2">
        <w:rPr>
          <w:rFonts w:ascii="Tahoma" w:hAnsi="Tahoma" w:cs="Tahoma"/>
          <w:sz w:val="24"/>
          <w:szCs w:val="24"/>
        </w:rPr>
        <w:t>creşterea</w:t>
      </w:r>
      <w:proofErr w:type="spellEnd"/>
      <w:r w:rsidRPr="00E07AC2">
        <w:rPr>
          <w:rFonts w:ascii="Tahoma" w:hAnsi="Tahoma" w:cs="Tahoma"/>
          <w:sz w:val="24"/>
          <w:szCs w:val="24"/>
        </w:rPr>
        <w:t xml:space="preserve"> economică (+1,7 puncte procentuale) i s-a adăugat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contribuţia</w:t>
      </w:r>
      <w:proofErr w:type="spellEnd"/>
      <w:r w:rsidRPr="00E07AC2">
        <w:rPr>
          <w:rFonts w:ascii="Tahoma" w:hAnsi="Tahoma" w:cs="Tahoma"/>
          <w:sz w:val="24"/>
          <w:szCs w:val="24"/>
        </w:rPr>
        <w:t xml:space="preserve"> pozitivă a </w:t>
      </w:r>
      <w:r w:rsidRPr="00E07AC2">
        <w:rPr>
          <w:rFonts w:ascii="Tahoma" w:hAnsi="Tahoma" w:cs="Tahoma"/>
          <w:b/>
          <w:sz w:val="24"/>
          <w:szCs w:val="24"/>
        </w:rPr>
        <w:t>exportului net</w:t>
      </w:r>
      <w:r w:rsidRPr="00E07AC2">
        <w:rPr>
          <w:rFonts w:ascii="Tahoma" w:hAnsi="Tahoma" w:cs="Tahoma"/>
          <w:sz w:val="24"/>
          <w:szCs w:val="24"/>
        </w:rPr>
        <w:t xml:space="preserve"> (+0,7 puncte procentuale).</w:t>
      </w:r>
    </w:p>
    <w:p w:rsidR="00311D8B" w:rsidRDefault="00E07AC2" w:rsidP="00311D8B">
      <w:pPr>
        <w:spacing w:after="240" w:line="276" w:lineRule="auto"/>
        <w:ind w:firstLine="0"/>
        <w:rPr>
          <w:rFonts w:ascii="Tahoma" w:hAnsi="Tahoma" w:cs="Tahoma"/>
          <w:sz w:val="24"/>
          <w:szCs w:val="24"/>
        </w:rPr>
      </w:pPr>
      <w:r w:rsidRPr="00E07AC2">
        <w:rPr>
          <w:rFonts w:ascii="Tahoma" w:hAnsi="Tahoma" w:cs="Tahoma"/>
          <w:b/>
          <w:sz w:val="24"/>
          <w:szCs w:val="24"/>
        </w:rPr>
        <w:t>Pe partea ofertei</w:t>
      </w:r>
      <w:r w:rsidRPr="00E07AC2">
        <w:rPr>
          <w:rFonts w:ascii="Tahoma" w:hAnsi="Tahoma" w:cs="Tahoma"/>
          <w:sz w:val="24"/>
          <w:szCs w:val="24"/>
        </w:rPr>
        <w:t xml:space="preserve"> </w:t>
      </w:r>
      <w:proofErr w:type="spellStart"/>
      <w:r w:rsidRPr="00E07AC2">
        <w:rPr>
          <w:rFonts w:ascii="Tahoma" w:hAnsi="Tahoma" w:cs="Tahoma"/>
          <w:sz w:val="24"/>
          <w:szCs w:val="24"/>
        </w:rPr>
        <w:t>creşterea</w:t>
      </w:r>
      <w:proofErr w:type="spellEnd"/>
      <w:r w:rsidRPr="00E07AC2">
        <w:rPr>
          <w:rFonts w:ascii="Tahoma" w:hAnsi="Tahoma" w:cs="Tahoma"/>
          <w:sz w:val="24"/>
          <w:szCs w:val="24"/>
        </w:rPr>
        <w:t xml:space="preserve"> s-a bazat pe aportul </w:t>
      </w:r>
      <w:r w:rsidRPr="00E07AC2">
        <w:rPr>
          <w:rFonts w:ascii="Tahoma" w:hAnsi="Tahoma" w:cs="Tahoma"/>
          <w:b/>
          <w:sz w:val="24"/>
          <w:szCs w:val="24"/>
        </w:rPr>
        <w:t xml:space="preserve">serviciilor </w:t>
      </w:r>
      <w:r w:rsidRPr="00E07AC2">
        <w:rPr>
          <w:rFonts w:ascii="Tahoma" w:hAnsi="Tahoma" w:cs="Tahoma"/>
          <w:sz w:val="24"/>
          <w:szCs w:val="24"/>
        </w:rPr>
        <w:t xml:space="preserve">care cu un ritm de 3,4%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o participare de 2,2 puncte procentuale la majorarea în termeni reali a produsului intern brut, ceea ce a reprezentat peste 90% din avansul total al economiei. </w:t>
      </w:r>
    </w:p>
    <w:p w:rsidR="00E07AC2" w:rsidRPr="00E07AC2" w:rsidRDefault="00444C93" w:rsidP="00311D8B">
      <w:pPr>
        <w:spacing w:after="120" w:line="276" w:lineRule="auto"/>
        <w:ind w:firstLine="0"/>
        <w:jc w:val="center"/>
        <w:rPr>
          <w:rFonts w:ascii="Arial" w:hAnsi="Arial" w:cs="Arial"/>
          <w:sz w:val="24"/>
          <w:szCs w:val="24"/>
        </w:rPr>
      </w:pPr>
      <w:r w:rsidRPr="00E07AC2">
        <w:rPr>
          <w:rFonts w:ascii="Arial" w:hAnsi="Arial" w:cs="Arial"/>
          <w:b/>
          <w:bCs/>
          <w:sz w:val="24"/>
          <w:szCs w:val="24"/>
        </w:rPr>
        <w:t>Contribuția la creșterea reală a PIB a elementelor de creare</w:t>
      </w:r>
      <w:r w:rsidR="00666157" w:rsidRPr="00E07AC2">
        <w:rPr>
          <w:rFonts w:ascii="Arial" w:hAnsi="Arial" w:cs="Arial"/>
          <w:b/>
          <w:bCs/>
          <w:sz w:val="24"/>
          <w:szCs w:val="24"/>
        </w:rPr>
        <w:object w:dxaOrig="8493" w:dyaOrig="4672">
          <v:shape id="_x0000_i1026" type="#_x0000_t75" style="width:462pt;height:251.35pt" o:ole="">
            <v:imagedata r:id="rId10" o:title=""/>
          </v:shape>
          <o:OLEObject Type="Embed" ProgID="Excel.Sheet.12" ShapeID="_x0000_i1026" DrawAspect="Content" ObjectID="_1762159608" r:id="rId11"/>
        </w:object>
      </w:r>
    </w:p>
    <w:p w:rsidR="00E07AC2" w:rsidRPr="00E07AC2" w:rsidRDefault="00E07AC2" w:rsidP="00E07AC2">
      <w:pPr>
        <w:spacing w:after="120" w:line="276" w:lineRule="auto"/>
        <w:ind w:firstLine="0"/>
        <w:rPr>
          <w:rFonts w:ascii="Tahoma" w:hAnsi="Tahoma" w:cs="Tahoma"/>
          <w:sz w:val="24"/>
          <w:szCs w:val="24"/>
        </w:rPr>
      </w:pPr>
      <w:r w:rsidRPr="00E07AC2">
        <w:rPr>
          <w:rFonts w:ascii="Tahoma" w:hAnsi="Tahoma" w:cs="Tahoma"/>
          <w:sz w:val="24"/>
          <w:szCs w:val="24"/>
        </w:rPr>
        <w:lastRenderedPageBreak/>
        <w:t xml:space="preserve">În cadrul serviciilor se </w:t>
      </w:r>
      <w:proofErr w:type="spellStart"/>
      <w:r w:rsidRPr="00E07AC2">
        <w:rPr>
          <w:rFonts w:ascii="Tahoma" w:hAnsi="Tahoma" w:cs="Tahoma"/>
          <w:sz w:val="24"/>
          <w:szCs w:val="24"/>
        </w:rPr>
        <w:t>detaşează</w:t>
      </w:r>
      <w:proofErr w:type="spellEnd"/>
      <w:r w:rsidRPr="00E07AC2">
        <w:rPr>
          <w:rFonts w:ascii="Tahoma" w:hAnsi="Tahoma" w:cs="Tahoma"/>
          <w:sz w:val="24"/>
          <w:szCs w:val="24"/>
        </w:rPr>
        <w:t xml:space="preserve"> dinamica de 10,1% a ramurii „</w:t>
      </w:r>
      <w:proofErr w:type="spellStart"/>
      <w:r w:rsidRPr="00E07AC2">
        <w:rPr>
          <w:rFonts w:ascii="Tahoma" w:hAnsi="Tahoma" w:cs="Tahoma"/>
          <w:sz w:val="24"/>
          <w:szCs w:val="24"/>
        </w:rPr>
        <w:t>activităţi</w:t>
      </w:r>
      <w:proofErr w:type="spellEnd"/>
      <w:r w:rsidRPr="00E07AC2">
        <w:rPr>
          <w:rFonts w:ascii="Tahoma" w:hAnsi="Tahoma" w:cs="Tahoma"/>
          <w:sz w:val="24"/>
          <w:szCs w:val="24"/>
        </w:rPr>
        <w:t xml:space="preserve"> profesionale, științifice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tehnice; </w:t>
      </w:r>
      <w:proofErr w:type="spellStart"/>
      <w:r w:rsidRPr="00E07AC2">
        <w:rPr>
          <w:rFonts w:ascii="Tahoma" w:hAnsi="Tahoma" w:cs="Tahoma"/>
          <w:sz w:val="24"/>
          <w:szCs w:val="24"/>
        </w:rPr>
        <w:t>activităţi</w:t>
      </w:r>
      <w:proofErr w:type="spellEnd"/>
      <w:r w:rsidRPr="00E07AC2">
        <w:rPr>
          <w:rFonts w:ascii="Tahoma" w:hAnsi="Tahoma" w:cs="Tahoma"/>
          <w:sz w:val="24"/>
          <w:szCs w:val="24"/>
        </w:rPr>
        <w:t xml:space="preserve"> de servicii administrative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activităţi</w:t>
      </w:r>
      <w:proofErr w:type="spellEnd"/>
      <w:r w:rsidRPr="00E07AC2">
        <w:rPr>
          <w:rFonts w:ascii="Tahoma" w:hAnsi="Tahoma" w:cs="Tahoma"/>
          <w:sz w:val="24"/>
          <w:szCs w:val="24"/>
        </w:rPr>
        <w:t xml:space="preserve"> de servicii suport” ceea ce s-a concretizat într-o </w:t>
      </w:r>
      <w:proofErr w:type="spellStart"/>
      <w:r w:rsidRPr="00E07AC2">
        <w:rPr>
          <w:rFonts w:ascii="Tahoma" w:hAnsi="Tahoma" w:cs="Tahoma"/>
          <w:sz w:val="24"/>
          <w:szCs w:val="24"/>
        </w:rPr>
        <w:t>susţinere</w:t>
      </w:r>
      <w:proofErr w:type="spellEnd"/>
      <w:r w:rsidRPr="00E07AC2">
        <w:rPr>
          <w:rFonts w:ascii="Tahoma" w:hAnsi="Tahoma" w:cs="Tahoma"/>
          <w:sz w:val="24"/>
          <w:szCs w:val="24"/>
        </w:rPr>
        <w:t xml:space="preserve"> cu 0,5 puncte procentuale a </w:t>
      </w:r>
      <w:proofErr w:type="spellStart"/>
      <w:r w:rsidRPr="00E07AC2">
        <w:rPr>
          <w:rFonts w:ascii="Tahoma" w:hAnsi="Tahoma" w:cs="Tahoma"/>
          <w:sz w:val="24"/>
          <w:szCs w:val="24"/>
        </w:rPr>
        <w:t>creşterii</w:t>
      </w:r>
      <w:proofErr w:type="spellEnd"/>
      <w:r w:rsidRPr="00E07AC2">
        <w:rPr>
          <w:rFonts w:ascii="Tahoma" w:hAnsi="Tahoma" w:cs="Tahoma"/>
          <w:sz w:val="24"/>
          <w:szCs w:val="24"/>
        </w:rPr>
        <w:t xml:space="preserve"> PIB. O altă ramură cu aport important (0,8 puncte procentuale) este cea care include </w:t>
      </w:r>
      <w:proofErr w:type="spellStart"/>
      <w:r w:rsidRPr="00E07AC2">
        <w:rPr>
          <w:rFonts w:ascii="Tahoma" w:hAnsi="Tahoma" w:cs="Tahoma"/>
          <w:sz w:val="24"/>
          <w:szCs w:val="24"/>
        </w:rPr>
        <w:t>activităţile</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comerţ</w:t>
      </w:r>
      <w:proofErr w:type="spellEnd"/>
      <w:r w:rsidRPr="00E07AC2">
        <w:rPr>
          <w:rFonts w:ascii="Tahoma" w:hAnsi="Tahoma" w:cs="Tahoma"/>
          <w:sz w:val="24"/>
          <w:szCs w:val="24"/>
        </w:rPr>
        <w:t xml:space="preserve">, transport, hoteluri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restaurante” cu un salt de 3,8%, </w:t>
      </w:r>
      <w:proofErr w:type="spellStart"/>
      <w:r w:rsidRPr="00E07AC2">
        <w:rPr>
          <w:rFonts w:ascii="Tahoma" w:hAnsi="Tahoma" w:cs="Tahoma"/>
          <w:sz w:val="24"/>
          <w:szCs w:val="24"/>
        </w:rPr>
        <w:t>susţinut</w:t>
      </w:r>
      <w:proofErr w:type="spellEnd"/>
      <w:r w:rsidRPr="00E07AC2">
        <w:rPr>
          <w:rFonts w:ascii="Tahoma" w:hAnsi="Tahoma" w:cs="Tahoma"/>
          <w:sz w:val="24"/>
          <w:szCs w:val="24"/>
        </w:rPr>
        <w:t xml:space="preserve">, în principal, de </w:t>
      </w:r>
      <w:proofErr w:type="spellStart"/>
      <w:r w:rsidRPr="00E07AC2">
        <w:rPr>
          <w:rFonts w:ascii="Tahoma" w:hAnsi="Tahoma" w:cs="Tahoma"/>
          <w:sz w:val="24"/>
          <w:szCs w:val="24"/>
        </w:rPr>
        <w:t>înclinaţia</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populaţiei</w:t>
      </w:r>
      <w:proofErr w:type="spellEnd"/>
      <w:r w:rsidRPr="00E07AC2">
        <w:rPr>
          <w:rFonts w:ascii="Tahoma" w:hAnsi="Tahoma" w:cs="Tahoma"/>
          <w:sz w:val="24"/>
          <w:szCs w:val="24"/>
        </w:rPr>
        <w:t xml:space="preserve"> spre consum. De asemenea, serviciile moderne din domeniul „</w:t>
      </w:r>
      <w:proofErr w:type="spellStart"/>
      <w:r w:rsidRPr="00E07AC2">
        <w:rPr>
          <w:rFonts w:ascii="Tahoma" w:hAnsi="Tahoma" w:cs="Tahoma"/>
          <w:sz w:val="24"/>
          <w:szCs w:val="24"/>
        </w:rPr>
        <w:t>informaţii</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comunicaţii</w:t>
      </w:r>
      <w:proofErr w:type="spellEnd"/>
      <w:r w:rsidRPr="00E07AC2">
        <w:rPr>
          <w:rFonts w:ascii="Tahoma" w:hAnsi="Tahoma" w:cs="Tahoma"/>
          <w:sz w:val="24"/>
          <w:szCs w:val="24"/>
        </w:rPr>
        <w:t xml:space="preserve">” au înregistrat o dinamică de 5,8%, având o </w:t>
      </w:r>
      <w:proofErr w:type="spellStart"/>
      <w:r w:rsidRPr="00E07AC2">
        <w:rPr>
          <w:rFonts w:ascii="Tahoma" w:hAnsi="Tahoma" w:cs="Tahoma"/>
          <w:sz w:val="24"/>
          <w:szCs w:val="24"/>
        </w:rPr>
        <w:t>contribuţie</w:t>
      </w:r>
      <w:proofErr w:type="spellEnd"/>
      <w:r w:rsidRPr="00E07AC2">
        <w:rPr>
          <w:rFonts w:ascii="Tahoma" w:hAnsi="Tahoma" w:cs="Tahoma"/>
          <w:sz w:val="24"/>
          <w:szCs w:val="24"/>
        </w:rPr>
        <w:t xml:space="preserve"> de 0,5 puncte procentuale la rata reală a PIB.</w:t>
      </w:r>
    </w:p>
    <w:p w:rsidR="00E07AC2" w:rsidRPr="00E07AC2" w:rsidRDefault="00E07AC2" w:rsidP="00E07AC2">
      <w:pPr>
        <w:spacing w:after="120" w:line="276" w:lineRule="auto"/>
        <w:ind w:firstLine="0"/>
        <w:rPr>
          <w:rFonts w:ascii="Tahoma" w:hAnsi="Tahoma" w:cs="Tahoma"/>
          <w:sz w:val="24"/>
          <w:szCs w:val="24"/>
        </w:rPr>
      </w:pPr>
      <w:r w:rsidRPr="00E07AC2">
        <w:rPr>
          <w:rFonts w:ascii="Tahoma" w:hAnsi="Tahoma" w:cs="Tahoma"/>
          <w:sz w:val="24"/>
          <w:szCs w:val="24"/>
        </w:rPr>
        <w:t xml:space="preserve">Un alt sector pe care s-a bazat avansul economiei a fost cel al </w:t>
      </w:r>
      <w:proofErr w:type="spellStart"/>
      <w:r w:rsidRPr="00E07AC2">
        <w:rPr>
          <w:rFonts w:ascii="Tahoma" w:hAnsi="Tahoma" w:cs="Tahoma"/>
          <w:b/>
          <w:sz w:val="24"/>
          <w:szCs w:val="24"/>
        </w:rPr>
        <w:t>construcţiilor</w:t>
      </w:r>
      <w:proofErr w:type="spellEnd"/>
      <w:r w:rsidRPr="00E07AC2">
        <w:rPr>
          <w:rFonts w:ascii="Tahoma" w:hAnsi="Tahoma" w:cs="Tahoma"/>
          <w:sz w:val="24"/>
          <w:szCs w:val="24"/>
        </w:rPr>
        <w:t xml:space="preserve">, cu o dinamică de 8,8%, fiind determinată de derularea lucrărilor de </w:t>
      </w:r>
      <w:proofErr w:type="spellStart"/>
      <w:r w:rsidRPr="00E07AC2">
        <w:rPr>
          <w:rFonts w:ascii="Tahoma" w:hAnsi="Tahoma" w:cs="Tahoma"/>
          <w:sz w:val="24"/>
          <w:szCs w:val="24"/>
        </w:rPr>
        <w:t>investiţii</w:t>
      </w:r>
      <w:proofErr w:type="spellEnd"/>
      <w:r w:rsidRPr="00E07AC2">
        <w:rPr>
          <w:rFonts w:ascii="Tahoma" w:hAnsi="Tahoma" w:cs="Tahoma"/>
          <w:sz w:val="24"/>
          <w:szCs w:val="24"/>
        </w:rPr>
        <w:t xml:space="preserve">. În ceea ce </w:t>
      </w:r>
      <w:proofErr w:type="spellStart"/>
      <w:r w:rsidRPr="00E07AC2">
        <w:rPr>
          <w:rFonts w:ascii="Tahoma" w:hAnsi="Tahoma" w:cs="Tahoma"/>
          <w:sz w:val="24"/>
          <w:szCs w:val="24"/>
        </w:rPr>
        <w:t>priveşte</w:t>
      </w:r>
      <w:proofErr w:type="spellEnd"/>
      <w:r w:rsidRPr="00E07AC2">
        <w:rPr>
          <w:rFonts w:ascii="Tahoma" w:hAnsi="Tahoma" w:cs="Tahoma"/>
          <w:sz w:val="24"/>
          <w:szCs w:val="24"/>
        </w:rPr>
        <w:t xml:space="preserve"> </w:t>
      </w:r>
      <w:r w:rsidRPr="00E07AC2">
        <w:rPr>
          <w:rFonts w:ascii="Tahoma" w:hAnsi="Tahoma" w:cs="Tahoma"/>
          <w:b/>
          <w:sz w:val="24"/>
          <w:szCs w:val="24"/>
        </w:rPr>
        <w:t>industria</w:t>
      </w:r>
      <w:r w:rsidRPr="00E07AC2">
        <w:rPr>
          <w:rFonts w:ascii="Tahoma" w:hAnsi="Tahoma" w:cs="Tahoma"/>
          <w:sz w:val="24"/>
          <w:szCs w:val="24"/>
        </w:rPr>
        <w:t xml:space="preserve">, activitatea a continuat să se reducă pe fondul </w:t>
      </w:r>
      <w:proofErr w:type="spellStart"/>
      <w:r w:rsidRPr="00E07AC2">
        <w:rPr>
          <w:rFonts w:ascii="Tahoma" w:hAnsi="Tahoma" w:cs="Tahoma"/>
          <w:sz w:val="24"/>
          <w:szCs w:val="24"/>
        </w:rPr>
        <w:t>influenţelor</w:t>
      </w:r>
      <w:proofErr w:type="spellEnd"/>
      <w:r w:rsidRPr="00E07AC2">
        <w:rPr>
          <w:rFonts w:ascii="Tahoma" w:hAnsi="Tahoma" w:cs="Tahoma"/>
          <w:sz w:val="24"/>
          <w:szCs w:val="24"/>
        </w:rPr>
        <w:t xml:space="preserve"> nefavorabile ale </w:t>
      </w:r>
      <w:proofErr w:type="spellStart"/>
      <w:r w:rsidRPr="00E07AC2">
        <w:rPr>
          <w:rFonts w:ascii="Tahoma" w:hAnsi="Tahoma" w:cs="Tahoma"/>
          <w:sz w:val="24"/>
          <w:szCs w:val="24"/>
        </w:rPr>
        <w:t>menţinerii</w:t>
      </w:r>
      <w:proofErr w:type="spellEnd"/>
      <w:r w:rsidRPr="00E07AC2">
        <w:rPr>
          <w:rFonts w:ascii="Tahoma" w:hAnsi="Tahoma" w:cs="Tahoma"/>
          <w:sz w:val="24"/>
          <w:szCs w:val="24"/>
        </w:rPr>
        <w:t xml:space="preserve"> crizelor energetică, </w:t>
      </w:r>
      <w:proofErr w:type="spellStart"/>
      <w:r w:rsidRPr="00E07AC2">
        <w:rPr>
          <w:rFonts w:ascii="Tahoma" w:hAnsi="Tahoma" w:cs="Tahoma"/>
          <w:sz w:val="24"/>
          <w:szCs w:val="24"/>
        </w:rPr>
        <w:t>inflaţionistă</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a </w:t>
      </w:r>
      <w:proofErr w:type="spellStart"/>
      <w:r w:rsidRPr="00E07AC2">
        <w:rPr>
          <w:rFonts w:ascii="Tahoma" w:hAnsi="Tahoma" w:cs="Tahoma"/>
          <w:sz w:val="24"/>
          <w:szCs w:val="24"/>
        </w:rPr>
        <w:t>lanţurilor</w:t>
      </w:r>
      <w:proofErr w:type="spellEnd"/>
      <w:r w:rsidRPr="00E07AC2">
        <w:rPr>
          <w:rFonts w:ascii="Tahoma" w:hAnsi="Tahoma" w:cs="Tahoma"/>
          <w:sz w:val="24"/>
          <w:szCs w:val="24"/>
        </w:rPr>
        <w:t xml:space="preserve"> de aprovizionare, astfel că valoarea adăugată brută s-a redus cu 2,3%, diminuând </w:t>
      </w:r>
      <w:proofErr w:type="spellStart"/>
      <w:r w:rsidRPr="00E07AC2">
        <w:rPr>
          <w:rFonts w:ascii="Tahoma" w:hAnsi="Tahoma" w:cs="Tahoma"/>
          <w:sz w:val="24"/>
          <w:szCs w:val="24"/>
        </w:rPr>
        <w:t>creşterea</w:t>
      </w:r>
      <w:proofErr w:type="spellEnd"/>
      <w:r w:rsidRPr="00E07AC2">
        <w:rPr>
          <w:rFonts w:ascii="Tahoma" w:hAnsi="Tahoma" w:cs="Tahoma"/>
          <w:sz w:val="24"/>
          <w:szCs w:val="24"/>
        </w:rPr>
        <w:t xml:space="preserve"> economică cu 0,5 puncte procentuale.</w:t>
      </w:r>
    </w:p>
    <w:p w:rsidR="00E07AC2" w:rsidRPr="00E07AC2" w:rsidRDefault="00E07AC2" w:rsidP="00E07AC2">
      <w:pPr>
        <w:spacing w:after="120" w:line="276" w:lineRule="auto"/>
        <w:ind w:firstLine="0"/>
        <w:rPr>
          <w:rFonts w:ascii="Tahoma" w:hAnsi="Tahoma" w:cs="Tahoma"/>
          <w:sz w:val="24"/>
          <w:szCs w:val="24"/>
        </w:rPr>
      </w:pPr>
      <w:r w:rsidRPr="00E07AC2">
        <w:rPr>
          <w:rFonts w:ascii="Tahoma" w:hAnsi="Tahoma" w:cs="Tahoma"/>
          <w:sz w:val="24"/>
          <w:szCs w:val="24"/>
        </w:rPr>
        <w:t xml:space="preserve">Valoarea de 318,6 miliarde lei a produsului intern brut, realizată în trimestrul I 2023, a fost rezultatul unei creșteri cu 2,4%, în termeni reali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a unui </w:t>
      </w:r>
      <w:proofErr w:type="spellStart"/>
      <w:r w:rsidRPr="00E07AC2">
        <w:rPr>
          <w:rFonts w:ascii="Tahoma" w:hAnsi="Tahoma" w:cs="Tahoma"/>
          <w:sz w:val="24"/>
          <w:szCs w:val="24"/>
        </w:rPr>
        <w:t>deflator</w:t>
      </w:r>
      <w:proofErr w:type="spellEnd"/>
      <w:r w:rsidRPr="00E07AC2">
        <w:rPr>
          <w:rFonts w:ascii="Tahoma" w:hAnsi="Tahoma" w:cs="Tahoma"/>
          <w:sz w:val="24"/>
          <w:szCs w:val="24"/>
        </w:rPr>
        <w:t xml:space="preserve"> de 15,2%, ceea ce a condus la o creștere nominală de 18,0%.</w:t>
      </w:r>
    </w:p>
    <w:p w:rsidR="00E07AC2" w:rsidRPr="00E07AC2" w:rsidRDefault="00E07AC2" w:rsidP="00E07AC2">
      <w:pPr>
        <w:spacing w:after="120" w:line="276" w:lineRule="auto"/>
        <w:ind w:firstLine="0"/>
        <w:rPr>
          <w:rFonts w:ascii="Tahoma" w:hAnsi="Tahoma" w:cs="Tahoma"/>
          <w:sz w:val="24"/>
          <w:szCs w:val="24"/>
        </w:rPr>
      </w:pPr>
      <w:r w:rsidRPr="00E07AC2">
        <w:rPr>
          <w:rFonts w:ascii="Tahoma" w:hAnsi="Tahoma" w:cs="Tahoma"/>
          <w:b/>
          <w:sz w:val="24"/>
          <w:szCs w:val="24"/>
        </w:rPr>
        <w:t>V</w:t>
      </w:r>
      <w:r w:rsidRPr="00E07AC2">
        <w:rPr>
          <w:rFonts w:ascii="Tahoma" w:hAnsi="Tahoma" w:cs="Tahoma"/>
          <w:b/>
          <w:bCs/>
          <w:sz w:val="24"/>
          <w:szCs w:val="24"/>
        </w:rPr>
        <w:t>olumul producției industriale</w:t>
      </w:r>
      <w:r w:rsidRPr="00E07AC2">
        <w:rPr>
          <w:rFonts w:ascii="Tahoma" w:hAnsi="Tahoma" w:cs="Tahoma"/>
          <w:sz w:val="24"/>
          <w:szCs w:val="24"/>
        </w:rPr>
        <w:t xml:space="preserve"> s-a contractat cu 4,6% în primele patru luni ale anului 2023, față de aceeași perioadă a anului anterior, pe fondul diminuării cu 11,4% a producției și furnizării de energie electrică și termică, gaze, apă caldă și aer condiționat și cu 3,7% a industria prelucrătoare, în timp ce industria extractivă a înregistrat un avans ușor de 1,4%, atenuând scăderea pe total. </w:t>
      </w:r>
    </w:p>
    <w:p w:rsidR="00E07AC2" w:rsidRPr="00E07AC2" w:rsidRDefault="00E07AC2" w:rsidP="00E07AC2">
      <w:pPr>
        <w:spacing w:after="120" w:line="276" w:lineRule="auto"/>
        <w:ind w:firstLine="0"/>
        <w:rPr>
          <w:rFonts w:ascii="Tahoma" w:hAnsi="Tahoma" w:cs="Tahoma"/>
          <w:sz w:val="24"/>
          <w:szCs w:val="24"/>
        </w:rPr>
      </w:pPr>
      <w:r w:rsidRPr="00E07AC2">
        <w:rPr>
          <w:rFonts w:ascii="Tahoma" w:hAnsi="Tahoma" w:cs="Tahoma"/>
          <w:sz w:val="24"/>
          <w:szCs w:val="24"/>
        </w:rPr>
        <w:t xml:space="preserve">Volumul </w:t>
      </w:r>
      <w:proofErr w:type="spellStart"/>
      <w:r w:rsidRPr="00E07AC2">
        <w:rPr>
          <w:rFonts w:ascii="Tahoma" w:hAnsi="Tahoma" w:cs="Tahoma"/>
          <w:sz w:val="24"/>
          <w:szCs w:val="24"/>
        </w:rPr>
        <w:t>producţiei</w:t>
      </w:r>
      <w:proofErr w:type="spellEnd"/>
      <w:r w:rsidRPr="00E07AC2">
        <w:rPr>
          <w:rFonts w:ascii="Tahoma" w:hAnsi="Tahoma" w:cs="Tahoma"/>
          <w:sz w:val="24"/>
          <w:szCs w:val="24"/>
        </w:rPr>
        <w:t xml:space="preserve"> din ramura chimiei s-a diminuat cu 15,9% în perioada analizată </w:t>
      </w:r>
      <w:proofErr w:type="spellStart"/>
      <w:r w:rsidRPr="00E07AC2">
        <w:rPr>
          <w:rFonts w:ascii="Tahoma" w:hAnsi="Tahoma" w:cs="Tahoma"/>
          <w:sz w:val="24"/>
          <w:szCs w:val="24"/>
        </w:rPr>
        <w:t>deşi</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preţurile</w:t>
      </w:r>
      <w:proofErr w:type="spellEnd"/>
      <w:r w:rsidRPr="00E07AC2">
        <w:rPr>
          <w:rFonts w:ascii="Tahoma" w:hAnsi="Tahoma" w:cs="Tahoma"/>
          <w:sz w:val="24"/>
          <w:szCs w:val="24"/>
        </w:rPr>
        <w:t xml:space="preserve"> la gazele naturale se încadrează pe un trend descrescător, unii producători amânând momentul reluării </w:t>
      </w:r>
      <w:proofErr w:type="spellStart"/>
      <w:r w:rsidRPr="00E07AC2">
        <w:rPr>
          <w:rFonts w:ascii="Tahoma" w:hAnsi="Tahoma" w:cs="Tahoma"/>
          <w:sz w:val="24"/>
          <w:szCs w:val="24"/>
        </w:rPr>
        <w:t>activităţii</w:t>
      </w:r>
      <w:proofErr w:type="spellEnd"/>
      <w:r w:rsidRPr="00E07AC2">
        <w:rPr>
          <w:rFonts w:ascii="Tahoma" w:hAnsi="Tahoma" w:cs="Tahoma"/>
          <w:sz w:val="24"/>
          <w:szCs w:val="24"/>
        </w:rPr>
        <w:t xml:space="preserve">. Efectele nefavorabile ale </w:t>
      </w:r>
      <w:proofErr w:type="spellStart"/>
      <w:r w:rsidRPr="00E07AC2">
        <w:rPr>
          <w:rFonts w:ascii="Tahoma" w:hAnsi="Tahoma" w:cs="Tahoma"/>
          <w:sz w:val="24"/>
          <w:szCs w:val="24"/>
        </w:rPr>
        <w:t>creşterii</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preţurilor</w:t>
      </w:r>
      <w:proofErr w:type="spellEnd"/>
      <w:r w:rsidRPr="00E07AC2">
        <w:rPr>
          <w:rFonts w:ascii="Tahoma" w:hAnsi="Tahoma" w:cs="Tahoma"/>
          <w:sz w:val="24"/>
          <w:szCs w:val="24"/>
        </w:rPr>
        <w:t xml:space="preserve"> la energie electrică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gaze naturale au afectat în </w:t>
      </w:r>
      <w:proofErr w:type="spellStart"/>
      <w:r w:rsidRPr="00E07AC2">
        <w:rPr>
          <w:rFonts w:ascii="Tahoma" w:hAnsi="Tahoma" w:cs="Tahoma"/>
          <w:sz w:val="24"/>
          <w:szCs w:val="24"/>
        </w:rPr>
        <w:t>aceeaşi</w:t>
      </w:r>
      <w:proofErr w:type="spellEnd"/>
      <w:r w:rsidRPr="00E07AC2">
        <w:rPr>
          <w:rFonts w:ascii="Tahoma" w:hAnsi="Tahoma" w:cs="Tahoma"/>
          <w:sz w:val="24"/>
          <w:szCs w:val="24"/>
        </w:rPr>
        <w:t xml:space="preserve"> măsură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sectorul metalurgic, care s-a menținut în teritoriu negativ începând din luna martie 2022. Astfel, în perioada ianuarie - aprilie 2023 </w:t>
      </w:r>
      <w:proofErr w:type="spellStart"/>
      <w:r w:rsidRPr="00E07AC2">
        <w:rPr>
          <w:rFonts w:ascii="Tahoma" w:hAnsi="Tahoma" w:cs="Tahoma"/>
          <w:sz w:val="24"/>
          <w:szCs w:val="24"/>
        </w:rPr>
        <w:t>producţia</w:t>
      </w:r>
      <w:proofErr w:type="spellEnd"/>
      <w:r w:rsidRPr="00E07AC2">
        <w:rPr>
          <w:rFonts w:ascii="Tahoma" w:hAnsi="Tahoma" w:cs="Tahoma"/>
          <w:sz w:val="24"/>
          <w:szCs w:val="24"/>
        </w:rPr>
        <w:t xml:space="preserve"> a scăzut cu 28,9%, într-un ritm similar cu cel înregistrat în ultimul trimestru din 2022. De asemenea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în ramura de prelucrare a lemnului (-24,3%) s-a continuat </w:t>
      </w:r>
      <w:proofErr w:type="spellStart"/>
      <w:r w:rsidRPr="00E07AC2">
        <w:rPr>
          <w:rFonts w:ascii="Tahoma" w:hAnsi="Tahoma" w:cs="Tahoma"/>
          <w:sz w:val="24"/>
          <w:szCs w:val="24"/>
        </w:rPr>
        <w:t>tendinţa</w:t>
      </w:r>
      <w:proofErr w:type="spellEnd"/>
      <w:r w:rsidRPr="00E07AC2">
        <w:rPr>
          <w:rFonts w:ascii="Tahoma" w:hAnsi="Tahoma" w:cs="Tahoma"/>
          <w:sz w:val="24"/>
          <w:szCs w:val="24"/>
        </w:rPr>
        <w:t xml:space="preserve"> descendentă manifestată pe parcursul anului 2022. </w:t>
      </w:r>
    </w:p>
    <w:p w:rsidR="00E07AC2" w:rsidRPr="00E07AC2" w:rsidRDefault="00E07AC2" w:rsidP="00E07AC2">
      <w:pPr>
        <w:spacing w:after="120" w:line="276" w:lineRule="auto"/>
        <w:ind w:firstLine="0"/>
        <w:rPr>
          <w:rFonts w:ascii="Tahoma" w:hAnsi="Tahoma" w:cs="Tahoma"/>
          <w:sz w:val="24"/>
          <w:szCs w:val="24"/>
        </w:rPr>
      </w:pPr>
      <w:r w:rsidRPr="00E07AC2">
        <w:rPr>
          <w:rFonts w:ascii="Tahoma" w:hAnsi="Tahoma" w:cs="Tahoma"/>
          <w:sz w:val="24"/>
          <w:szCs w:val="24"/>
        </w:rPr>
        <w:t xml:space="preserve">În această perioadă s-a remarcat o îmbunătățire a activității în cazul fabricării autovehiculelor de transport rutier până la o creștere consistentă de 9,7%, continuând trendul crescător din trimestrul IV (9%), dar manifestată și pe fondul unui efect de bază (-13,8% în ianuarie - aprilie 2022). </w:t>
      </w:r>
      <w:proofErr w:type="spellStart"/>
      <w:r w:rsidRPr="00E07AC2">
        <w:rPr>
          <w:rFonts w:ascii="Tahoma" w:hAnsi="Tahoma" w:cs="Tahoma"/>
          <w:sz w:val="24"/>
          <w:szCs w:val="24"/>
        </w:rPr>
        <w:t>Creşteri</w:t>
      </w:r>
      <w:proofErr w:type="spellEnd"/>
      <w:r w:rsidRPr="00E07AC2">
        <w:rPr>
          <w:rFonts w:ascii="Tahoma" w:hAnsi="Tahoma" w:cs="Tahoma"/>
          <w:sz w:val="24"/>
          <w:szCs w:val="24"/>
        </w:rPr>
        <w:t xml:space="preserve"> de </w:t>
      </w:r>
      <w:proofErr w:type="spellStart"/>
      <w:r w:rsidRPr="00E07AC2">
        <w:rPr>
          <w:rFonts w:ascii="Tahoma" w:hAnsi="Tahoma" w:cs="Tahoma"/>
          <w:sz w:val="24"/>
          <w:szCs w:val="24"/>
        </w:rPr>
        <w:t>producţie</w:t>
      </w:r>
      <w:proofErr w:type="spellEnd"/>
      <w:r w:rsidRPr="00E07AC2">
        <w:rPr>
          <w:rFonts w:ascii="Tahoma" w:hAnsi="Tahoma" w:cs="Tahoma"/>
          <w:sz w:val="24"/>
          <w:szCs w:val="24"/>
        </w:rPr>
        <w:t xml:space="preserve"> s-au mai înregistrat în ramuri precum fabricarea calculatoarelor și a produselor electronice (13,1%), fabricarea produselor de cocserie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a produselor </w:t>
      </w:r>
      <w:proofErr w:type="spellStart"/>
      <w:r w:rsidRPr="00E07AC2">
        <w:rPr>
          <w:rFonts w:ascii="Tahoma" w:hAnsi="Tahoma" w:cs="Tahoma"/>
          <w:sz w:val="24"/>
          <w:szCs w:val="24"/>
        </w:rPr>
        <w:t>obţinute</w:t>
      </w:r>
      <w:proofErr w:type="spellEnd"/>
      <w:r w:rsidRPr="00E07AC2">
        <w:rPr>
          <w:rFonts w:ascii="Tahoma" w:hAnsi="Tahoma" w:cs="Tahoma"/>
          <w:sz w:val="24"/>
          <w:szCs w:val="24"/>
        </w:rPr>
        <w:t xml:space="preserve"> din prelucrarea </w:t>
      </w:r>
      <w:proofErr w:type="spellStart"/>
      <w:r w:rsidRPr="00E07AC2">
        <w:rPr>
          <w:rFonts w:ascii="Tahoma" w:hAnsi="Tahoma" w:cs="Tahoma"/>
          <w:sz w:val="24"/>
          <w:szCs w:val="24"/>
        </w:rPr>
        <w:t>ţiţeiului</w:t>
      </w:r>
      <w:proofErr w:type="spellEnd"/>
      <w:r w:rsidRPr="00E07AC2">
        <w:rPr>
          <w:rFonts w:ascii="Tahoma" w:hAnsi="Tahoma" w:cs="Tahoma"/>
          <w:sz w:val="24"/>
          <w:szCs w:val="24"/>
        </w:rPr>
        <w:t xml:space="preserve"> (13,6%), fabricarea de mașini (10,6%) sau fabricarea produselor farmaceutice (9,8%).</w:t>
      </w:r>
    </w:p>
    <w:p w:rsidR="00E07AC2" w:rsidRPr="00E07AC2" w:rsidRDefault="00E07AC2" w:rsidP="00E07AC2">
      <w:pPr>
        <w:widowControl w:val="0"/>
        <w:suppressAutoHyphens/>
        <w:spacing w:after="120" w:line="276" w:lineRule="auto"/>
        <w:ind w:firstLine="0"/>
        <w:rPr>
          <w:rFonts w:ascii="Tahoma" w:eastAsia="Times New Roman" w:hAnsi="Tahoma" w:cs="Tahoma"/>
          <w:sz w:val="24"/>
          <w:szCs w:val="24"/>
        </w:rPr>
      </w:pPr>
      <w:r w:rsidRPr="00E07AC2">
        <w:rPr>
          <w:rFonts w:ascii="Tahoma" w:eastAsia="Times New Roman" w:hAnsi="Tahoma" w:cs="Tahoma"/>
          <w:sz w:val="24"/>
          <w:szCs w:val="24"/>
        </w:rPr>
        <w:t xml:space="preserve">Dintre grupele industriale mari bunurile de capital au fost singurele ce au înregistrat o </w:t>
      </w:r>
      <w:r w:rsidRPr="00E07AC2">
        <w:rPr>
          <w:rFonts w:ascii="Tahoma" w:eastAsia="Times New Roman" w:hAnsi="Tahoma" w:cs="Tahoma"/>
          <w:sz w:val="24"/>
          <w:szCs w:val="24"/>
        </w:rPr>
        <w:lastRenderedPageBreak/>
        <w:t xml:space="preserve">majorare de 7,3%, în primele 4 luni din 2023, comparativ cu aceeași perioadă a anului anterior. In restul grupelor producția s-a redus, cel mai </w:t>
      </w:r>
      <w:proofErr w:type="spellStart"/>
      <w:r w:rsidRPr="00E07AC2">
        <w:rPr>
          <w:rFonts w:ascii="Tahoma" w:eastAsia="Times New Roman" w:hAnsi="Tahoma" w:cs="Tahoma"/>
          <w:sz w:val="24"/>
          <w:szCs w:val="24"/>
        </w:rPr>
        <w:t>pronunţat</w:t>
      </w:r>
      <w:proofErr w:type="spellEnd"/>
      <w:r w:rsidRPr="00E07AC2">
        <w:rPr>
          <w:rFonts w:ascii="Tahoma" w:eastAsia="Times New Roman" w:hAnsi="Tahoma" w:cs="Tahoma"/>
          <w:sz w:val="24"/>
          <w:szCs w:val="24"/>
        </w:rPr>
        <w:t xml:space="preserve"> declin înregistrându-se în industria bunurilor de </w:t>
      </w:r>
      <w:proofErr w:type="spellStart"/>
      <w:r w:rsidRPr="00E07AC2">
        <w:rPr>
          <w:rFonts w:ascii="Tahoma" w:eastAsia="Times New Roman" w:hAnsi="Tahoma" w:cs="Tahoma"/>
          <w:sz w:val="24"/>
          <w:szCs w:val="24"/>
        </w:rPr>
        <w:t>folosinţă</w:t>
      </w:r>
      <w:proofErr w:type="spellEnd"/>
      <w:r w:rsidRPr="00E07AC2">
        <w:rPr>
          <w:rFonts w:ascii="Tahoma" w:eastAsia="Times New Roman" w:hAnsi="Tahoma" w:cs="Tahoma"/>
          <w:sz w:val="24"/>
          <w:szCs w:val="24"/>
        </w:rPr>
        <w:t xml:space="preserve"> îndelungată (-19,7%).</w:t>
      </w:r>
    </w:p>
    <w:p w:rsidR="00E07AC2" w:rsidRPr="00E07AC2" w:rsidRDefault="00E07AC2" w:rsidP="00E07AC2">
      <w:pPr>
        <w:widowControl w:val="0"/>
        <w:suppressAutoHyphens/>
        <w:spacing w:after="120" w:line="276" w:lineRule="auto"/>
        <w:ind w:firstLine="0"/>
        <w:rPr>
          <w:rFonts w:ascii="Tahoma" w:eastAsia="Times New Roman" w:hAnsi="Tahoma" w:cs="Tahoma"/>
          <w:sz w:val="24"/>
          <w:szCs w:val="24"/>
        </w:rPr>
      </w:pPr>
      <w:r w:rsidRPr="00E07AC2">
        <w:rPr>
          <w:rFonts w:ascii="Tahoma" w:eastAsia="Times New Roman" w:hAnsi="Tahoma" w:cs="Tahoma"/>
          <w:sz w:val="24"/>
          <w:szCs w:val="24"/>
        </w:rPr>
        <w:t xml:space="preserve">În primul trimestru din 2023, </w:t>
      </w:r>
      <w:r w:rsidRPr="00E07AC2">
        <w:rPr>
          <w:rFonts w:ascii="Tahoma" w:eastAsia="Times New Roman" w:hAnsi="Tahoma" w:cs="Tahoma"/>
          <w:b/>
          <w:sz w:val="24"/>
          <w:szCs w:val="24"/>
        </w:rPr>
        <w:t>investițiile nete</w:t>
      </w:r>
      <w:r w:rsidRPr="00E07AC2">
        <w:rPr>
          <w:rFonts w:ascii="Tahoma" w:eastAsia="Times New Roman" w:hAnsi="Tahoma" w:cs="Tahoma"/>
          <w:sz w:val="24"/>
          <w:szCs w:val="24"/>
        </w:rPr>
        <w:t xml:space="preserve"> au crescut în termeni reali cu 13,6% comparativ cu trimestrul I 2022 fiind susținute în special de lucrările de construcții noi (16,7%), ramura predominantă în structura investițiilor (60,9% din total). Investițiile nete în celelalte componente s-au majorat cu ritmuri ce nu au </w:t>
      </w:r>
      <w:proofErr w:type="spellStart"/>
      <w:r w:rsidRPr="00E07AC2">
        <w:rPr>
          <w:rFonts w:ascii="Tahoma" w:eastAsia="Times New Roman" w:hAnsi="Tahoma" w:cs="Tahoma"/>
          <w:sz w:val="24"/>
          <w:szCs w:val="24"/>
        </w:rPr>
        <w:t>depăşit</w:t>
      </w:r>
      <w:proofErr w:type="spellEnd"/>
      <w:r w:rsidRPr="00E07AC2">
        <w:rPr>
          <w:rFonts w:ascii="Tahoma" w:eastAsia="Times New Roman" w:hAnsi="Tahoma" w:cs="Tahoma"/>
          <w:sz w:val="24"/>
          <w:szCs w:val="24"/>
        </w:rPr>
        <w:t xml:space="preserve"> pragul de 10%, respectiv 9,4% în cazul utilajelor </w:t>
      </w:r>
      <w:proofErr w:type="spellStart"/>
      <w:r w:rsidRPr="00E07AC2">
        <w:rPr>
          <w:rFonts w:ascii="Tahoma" w:eastAsia="Times New Roman" w:hAnsi="Tahoma" w:cs="Tahoma"/>
          <w:sz w:val="24"/>
          <w:szCs w:val="24"/>
        </w:rPr>
        <w:t>şi</w:t>
      </w:r>
      <w:proofErr w:type="spellEnd"/>
      <w:r w:rsidRPr="00E07AC2">
        <w:rPr>
          <w:rFonts w:ascii="Tahoma" w:eastAsia="Times New Roman" w:hAnsi="Tahoma" w:cs="Tahoma"/>
          <w:sz w:val="24"/>
          <w:szCs w:val="24"/>
        </w:rPr>
        <w:t xml:space="preserve"> a echipamentelor pentru transport </w:t>
      </w:r>
      <w:proofErr w:type="spellStart"/>
      <w:r w:rsidRPr="00E07AC2">
        <w:rPr>
          <w:rFonts w:ascii="Tahoma" w:eastAsia="Times New Roman" w:hAnsi="Tahoma" w:cs="Tahoma"/>
          <w:sz w:val="24"/>
          <w:szCs w:val="24"/>
        </w:rPr>
        <w:t>şi</w:t>
      </w:r>
      <w:proofErr w:type="spellEnd"/>
      <w:r w:rsidRPr="00E07AC2">
        <w:rPr>
          <w:rFonts w:ascii="Tahoma" w:eastAsia="Times New Roman" w:hAnsi="Tahoma" w:cs="Tahoma"/>
          <w:sz w:val="24"/>
          <w:szCs w:val="24"/>
        </w:rPr>
        <w:t xml:space="preserve"> 8,5% alte cheltuieli. </w:t>
      </w:r>
    </w:p>
    <w:p w:rsidR="00E07AC2" w:rsidRPr="00E07AC2" w:rsidRDefault="00E07AC2" w:rsidP="00E07AC2">
      <w:pPr>
        <w:widowControl w:val="0"/>
        <w:suppressAutoHyphens/>
        <w:spacing w:after="120" w:line="276" w:lineRule="auto"/>
        <w:ind w:firstLine="0"/>
        <w:rPr>
          <w:rFonts w:ascii="Tahoma" w:hAnsi="Tahoma" w:cs="Tahoma"/>
          <w:sz w:val="24"/>
          <w:szCs w:val="24"/>
        </w:rPr>
      </w:pPr>
      <w:r w:rsidRPr="00E07AC2">
        <w:rPr>
          <w:rFonts w:ascii="Tahoma" w:hAnsi="Tahoma" w:cs="Tahoma"/>
          <w:sz w:val="24"/>
          <w:szCs w:val="24"/>
        </w:rPr>
        <w:t xml:space="preserve">În primele patru luni din acest an, </w:t>
      </w:r>
      <w:r w:rsidRPr="00E07AC2">
        <w:rPr>
          <w:rFonts w:ascii="Tahoma" w:hAnsi="Tahoma" w:cs="Tahoma"/>
          <w:b/>
          <w:sz w:val="24"/>
          <w:szCs w:val="24"/>
        </w:rPr>
        <w:t xml:space="preserve">volumul lucrărilor de </w:t>
      </w:r>
      <w:proofErr w:type="spellStart"/>
      <w:r w:rsidRPr="00E07AC2">
        <w:rPr>
          <w:rFonts w:ascii="Tahoma" w:hAnsi="Tahoma" w:cs="Tahoma"/>
          <w:b/>
          <w:sz w:val="24"/>
          <w:szCs w:val="24"/>
        </w:rPr>
        <w:t>construcţii</w:t>
      </w:r>
      <w:proofErr w:type="spellEnd"/>
      <w:r w:rsidRPr="00E07AC2">
        <w:rPr>
          <w:rFonts w:ascii="Tahoma" w:hAnsi="Tahoma" w:cs="Tahoma"/>
          <w:sz w:val="24"/>
          <w:szCs w:val="24"/>
        </w:rPr>
        <w:t xml:space="preserve"> a avansat cu 12,1% </w:t>
      </w:r>
      <w:proofErr w:type="spellStart"/>
      <w:r w:rsidRPr="00E07AC2">
        <w:rPr>
          <w:rFonts w:ascii="Tahoma" w:hAnsi="Tahoma" w:cs="Tahoma"/>
          <w:sz w:val="24"/>
          <w:szCs w:val="24"/>
        </w:rPr>
        <w:t>faţă</w:t>
      </w:r>
      <w:proofErr w:type="spellEnd"/>
      <w:r w:rsidRPr="00E07AC2">
        <w:rPr>
          <w:rFonts w:ascii="Tahoma" w:hAnsi="Tahoma" w:cs="Tahoma"/>
          <w:sz w:val="24"/>
          <w:szCs w:val="24"/>
        </w:rPr>
        <w:t xml:space="preserve"> de perioada corespunzătoare din 2022. Pe elementele de structură </w:t>
      </w:r>
      <w:proofErr w:type="spellStart"/>
      <w:r w:rsidRPr="00E07AC2">
        <w:rPr>
          <w:rFonts w:ascii="Tahoma" w:hAnsi="Tahoma" w:cs="Tahoma"/>
          <w:sz w:val="24"/>
          <w:szCs w:val="24"/>
        </w:rPr>
        <w:t>creşterea</w:t>
      </w:r>
      <w:proofErr w:type="spellEnd"/>
      <w:r w:rsidRPr="00E07AC2">
        <w:rPr>
          <w:rFonts w:ascii="Tahoma" w:hAnsi="Tahoma" w:cs="Tahoma"/>
          <w:sz w:val="24"/>
          <w:szCs w:val="24"/>
        </w:rPr>
        <w:t xml:space="preserve"> pe componenta de </w:t>
      </w:r>
      <w:proofErr w:type="spellStart"/>
      <w:r w:rsidRPr="00E07AC2">
        <w:rPr>
          <w:rFonts w:ascii="Tahoma" w:hAnsi="Tahoma" w:cs="Tahoma"/>
          <w:sz w:val="24"/>
          <w:szCs w:val="24"/>
        </w:rPr>
        <w:t>reparaţii</w:t>
      </w:r>
      <w:proofErr w:type="spellEnd"/>
      <w:r w:rsidRPr="00E07AC2">
        <w:rPr>
          <w:rFonts w:ascii="Tahoma" w:hAnsi="Tahoma" w:cs="Tahoma"/>
          <w:sz w:val="24"/>
          <w:szCs w:val="24"/>
        </w:rPr>
        <w:t xml:space="preserve"> capitale a </w:t>
      </w:r>
      <w:proofErr w:type="spellStart"/>
      <w:r w:rsidRPr="00E07AC2">
        <w:rPr>
          <w:rFonts w:ascii="Tahoma" w:hAnsi="Tahoma" w:cs="Tahoma"/>
          <w:sz w:val="24"/>
          <w:szCs w:val="24"/>
        </w:rPr>
        <w:t>depăşit</w:t>
      </w:r>
      <w:proofErr w:type="spellEnd"/>
      <w:r w:rsidRPr="00E07AC2">
        <w:rPr>
          <w:rFonts w:ascii="Tahoma" w:hAnsi="Tahoma" w:cs="Tahoma"/>
          <w:sz w:val="24"/>
          <w:szCs w:val="24"/>
        </w:rPr>
        <w:t xml:space="preserve"> pragul de 30% comparativ cu primele 4 luni din 2022. In cazul </w:t>
      </w:r>
      <w:proofErr w:type="spellStart"/>
      <w:r w:rsidRPr="00E07AC2">
        <w:rPr>
          <w:rFonts w:ascii="Tahoma" w:hAnsi="Tahoma" w:cs="Tahoma"/>
          <w:sz w:val="24"/>
          <w:szCs w:val="24"/>
        </w:rPr>
        <w:t>construcţiilor</w:t>
      </w:r>
      <w:proofErr w:type="spellEnd"/>
      <w:r w:rsidRPr="00E07AC2">
        <w:rPr>
          <w:rFonts w:ascii="Tahoma" w:hAnsi="Tahoma" w:cs="Tahoma"/>
          <w:sz w:val="24"/>
          <w:szCs w:val="24"/>
        </w:rPr>
        <w:t xml:space="preserve"> noi dinamica din luna aprilie s-a </w:t>
      </w:r>
      <w:proofErr w:type="spellStart"/>
      <w:r w:rsidRPr="00E07AC2">
        <w:rPr>
          <w:rFonts w:ascii="Tahoma" w:hAnsi="Tahoma" w:cs="Tahoma"/>
          <w:sz w:val="24"/>
          <w:szCs w:val="24"/>
        </w:rPr>
        <w:t>înjumătăţit</w:t>
      </w:r>
      <w:proofErr w:type="spellEnd"/>
      <w:r w:rsidRPr="00E07AC2">
        <w:rPr>
          <w:rFonts w:ascii="Tahoma" w:hAnsi="Tahoma" w:cs="Tahoma"/>
          <w:sz w:val="24"/>
          <w:szCs w:val="24"/>
        </w:rPr>
        <w:t xml:space="preserve"> comparativ cu avansul din primul trimestru, până la 8,1%, astfel că în perioada ianuarie-aprilie 2023 majorarea a fost de 13,2%. După avansul modest de 0,4% din primul trimestru a </w:t>
      </w:r>
      <w:proofErr w:type="spellStart"/>
      <w:r w:rsidRPr="00E07AC2">
        <w:rPr>
          <w:rFonts w:ascii="Tahoma" w:hAnsi="Tahoma" w:cs="Tahoma"/>
          <w:sz w:val="24"/>
          <w:szCs w:val="24"/>
        </w:rPr>
        <w:t>activităţii</w:t>
      </w:r>
      <w:proofErr w:type="spellEnd"/>
      <w:r w:rsidRPr="00E07AC2">
        <w:rPr>
          <w:rFonts w:ascii="Tahoma" w:hAnsi="Tahoma" w:cs="Tahoma"/>
          <w:sz w:val="24"/>
          <w:szCs w:val="24"/>
        </w:rPr>
        <w:t xml:space="preserve"> lucrărilor de </w:t>
      </w:r>
      <w:proofErr w:type="spellStart"/>
      <w:r w:rsidRPr="00E07AC2">
        <w:rPr>
          <w:rFonts w:ascii="Tahoma" w:hAnsi="Tahoma" w:cs="Tahoma"/>
          <w:sz w:val="24"/>
          <w:szCs w:val="24"/>
        </w:rPr>
        <w:t>întreţinere</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reparaţii</w:t>
      </w:r>
      <w:proofErr w:type="spellEnd"/>
      <w:r w:rsidRPr="00E07AC2">
        <w:rPr>
          <w:rFonts w:ascii="Tahoma" w:hAnsi="Tahoma" w:cs="Tahoma"/>
          <w:sz w:val="24"/>
          <w:szCs w:val="24"/>
        </w:rPr>
        <w:t xml:space="preserve"> curente, în luna aprilie s-a înregistrat o majorare de 8,4%, ceea ce a condus la o </w:t>
      </w:r>
      <w:proofErr w:type="spellStart"/>
      <w:r w:rsidRPr="00E07AC2">
        <w:rPr>
          <w:rFonts w:ascii="Tahoma" w:hAnsi="Tahoma" w:cs="Tahoma"/>
          <w:sz w:val="24"/>
          <w:szCs w:val="24"/>
        </w:rPr>
        <w:t>creştere</w:t>
      </w:r>
      <w:proofErr w:type="spellEnd"/>
      <w:r w:rsidRPr="00E07AC2">
        <w:rPr>
          <w:rFonts w:ascii="Tahoma" w:hAnsi="Tahoma" w:cs="Tahoma"/>
          <w:sz w:val="24"/>
          <w:szCs w:val="24"/>
        </w:rPr>
        <w:t xml:space="preserve"> de 2,8% pe această componentă în perioada ianuarie – aprilie 2023 </w:t>
      </w:r>
      <w:proofErr w:type="spellStart"/>
      <w:r w:rsidRPr="00E07AC2">
        <w:rPr>
          <w:rFonts w:ascii="Tahoma" w:hAnsi="Tahoma" w:cs="Tahoma"/>
          <w:sz w:val="24"/>
          <w:szCs w:val="24"/>
        </w:rPr>
        <w:t>faţă</w:t>
      </w:r>
      <w:proofErr w:type="spellEnd"/>
      <w:r w:rsidRPr="00E07AC2">
        <w:rPr>
          <w:rFonts w:ascii="Tahoma" w:hAnsi="Tahoma" w:cs="Tahoma"/>
          <w:sz w:val="24"/>
          <w:szCs w:val="24"/>
        </w:rPr>
        <w:t xml:space="preserve"> de perioada corespunzătoare din 2022. Analiza pe obiecte de </w:t>
      </w:r>
      <w:proofErr w:type="spellStart"/>
      <w:r w:rsidRPr="00E07AC2">
        <w:rPr>
          <w:rFonts w:ascii="Tahoma" w:hAnsi="Tahoma" w:cs="Tahoma"/>
          <w:sz w:val="24"/>
          <w:szCs w:val="24"/>
        </w:rPr>
        <w:t>construcţii</w:t>
      </w:r>
      <w:proofErr w:type="spellEnd"/>
      <w:r w:rsidRPr="00E07AC2">
        <w:rPr>
          <w:rFonts w:ascii="Tahoma" w:hAnsi="Tahoma" w:cs="Tahoma"/>
          <w:sz w:val="24"/>
          <w:szCs w:val="24"/>
        </w:rPr>
        <w:t xml:space="preserve"> relevă o activitate </w:t>
      </w:r>
      <w:proofErr w:type="spellStart"/>
      <w:r w:rsidRPr="00E07AC2">
        <w:rPr>
          <w:rFonts w:ascii="Tahoma" w:hAnsi="Tahoma" w:cs="Tahoma"/>
          <w:sz w:val="24"/>
          <w:szCs w:val="24"/>
        </w:rPr>
        <w:t>susţinută</w:t>
      </w:r>
      <w:proofErr w:type="spellEnd"/>
      <w:r w:rsidRPr="00E07AC2">
        <w:rPr>
          <w:rFonts w:ascii="Tahoma" w:hAnsi="Tahoma" w:cs="Tahoma"/>
          <w:sz w:val="24"/>
          <w:szCs w:val="24"/>
        </w:rPr>
        <w:t xml:space="preserve"> în cazul </w:t>
      </w:r>
      <w:proofErr w:type="spellStart"/>
      <w:r w:rsidRPr="00E07AC2">
        <w:rPr>
          <w:rFonts w:ascii="Tahoma" w:hAnsi="Tahoma" w:cs="Tahoma"/>
          <w:b/>
          <w:sz w:val="24"/>
          <w:szCs w:val="24"/>
        </w:rPr>
        <w:t>construcţiilor</w:t>
      </w:r>
      <w:proofErr w:type="spellEnd"/>
      <w:r w:rsidRPr="00E07AC2">
        <w:rPr>
          <w:rFonts w:ascii="Tahoma" w:hAnsi="Tahoma" w:cs="Tahoma"/>
          <w:b/>
          <w:sz w:val="24"/>
          <w:szCs w:val="24"/>
        </w:rPr>
        <w:t xml:space="preserve"> </w:t>
      </w:r>
      <w:proofErr w:type="spellStart"/>
      <w:r w:rsidRPr="00E07AC2">
        <w:rPr>
          <w:rFonts w:ascii="Tahoma" w:hAnsi="Tahoma" w:cs="Tahoma"/>
          <w:b/>
          <w:sz w:val="24"/>
          <w:szCs w:val="24"/>
        </w:rPr>
        <w:t>inginereşti</w:t>
      </w:r>
      <w:proofErr w:type="spellEnd"/>
      <w:r w:rsidRPr="00E07AC2">
        <w:rPr>
          <w:rFonts w:ascii="Tahoma" w:hAnsi="Tahoma" w:cs="Tahoma"/>
          <w:sz w:val="24"/>
          <w:szCs w:val="24"/>
        </w:rPr>
        <w:t xml:space="preserve"> (39,2%), manifestată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pe seama unui </w:t>
      </w:r>
      <w:proofErr w:type="spellStart"/>
      <w:r w:rsidRPr="00E07AC2">
        <w:rPr>
          <w:rFonts w:ascii="Tahoma" w:hAnsi="Tahoma" w:cs="Tahoma"/>
          <w:sz w:val="24"/>
          <w:szCs w:val="24"/>
        </w:rPr>
        <w:t>pronunţat</w:t>
      </w:r>
      <w:proofErr w:type="spellEnd"/>
      <w:r w:rsidRPr="00E07AC2">
        <w:rPr>
          <w:rFonts w:ascii="Tahoma" w:hAnsi="Tahoma" w:cs="Tahoma"/>
          <w:sz w:val="24"/>
          <w:szCs w:val="24"/>
        </w:rPr>
        <w:t xml:space="preserve"> efect de bază, continuând astfel parcursul de </w:t>
      </w:r>
      <w:proofErr w:type="spellStart"/>
      <w:r w:rsidRPr="00E07AC2">
        <w:rPr>
          <w:rFonts w:ascii="Tahoma" w:hAnsi="Tahoma" w:cs="Tahoma"/>
          <w:sz w:val="24"/>
          <w:szCs w:val="24"/>
        </w:rPr>
        <w:t>menţinere</w:t>
      </w:r>
      <w:proofErr w:type="spellEnd"/>
      <w:r w:rsidRPr="00E07AC2">
        <w:rPr>
          <w:rFonts w:ascii="Tahoma" w:hAnsi="Tahoma" w:cs="Tahoma"/>
          <w:sz w:val="24"/>
          <w:szCs w:val="24"/>
        </w:rPr>
        <w:t xml:space="preserve"> în palierul de </w:t>
      </w:r>
      <w:proofErr w:type="spellStart"/>
      <w:r w:rsidRPr="00E07AC2">
        <w:rPr>
          <w:rFonts w:ascii="Tahoma" w:hAnsi="Tahoma" w:cs="Tahoma"/>
          <w:sz w:val="24"/>
          <w:szCs w:val="24"/>
        </w:rPr>
        <w:t>creştere</w:t>
      </w:r>
      <w:proofErr w:type="spellEnd"/>
      <w:r w:rsidRPr="00E07AC2">
        <w:rPr>
          <w:rFonts w:ascii="Tahoma" w:hAnsi="Tahoma" w:cs="Tahoma"/>
          <w:sz w:val="24"/>
          <w:szCs w:val="24"/>
        </w:rPr>
        <w:t xml:space="preserve"> de două cifre. </w:t>
      </w:r>
      <w:proofErr w:type="spellStart"/>
      <w:r w:rsidRPr="00E07AC2">
        <w:rPr>
          <w:rFonts w:ascii="Tahoma" w:hAnsi="Tahoma" w:cs="Tahoma"/>
          <w:sz w:val="24"/>
          <w:szCs w:val="24"/>
        </w:rPr>
        <w:t>Creşterea</w:t>
      </w:r>
      <w:proofErr w:type="spellEnd"/>
      <w:r w:rsidRPr="00E07AC2">
        <w:rPr>
          <w:rFonts w:ascii="Tahoma" w:hAnsi="Tahoma" w:cs="Tahoma"/>
          <w:sz w:val="24"/>
          <w:szCs w:val="24"/>
        </w:rPr>
        <w:t xml:space="preserve"> cumulată din primele 4 luni ale acestui an a ajuns la 29,6%, după ce în perioada corespunzătoare din 2022 activitatea din această componentă se diminua cu 9,5%. In cazul clădirilor </w:t>
      </w:r>
      <w:proofErr w:type="spellStart"/>
      <w:r w:rsidRPr="00E07AC2">
        <w:rPr>
          <w:rFonts w:ascii="Tahoma" w:hAnsi="Tahoma" w:cs="Tahoma"/>
          <w:sz w:val="24"/>
          <w:szCs w:val="24"/>
        </w:rPr>
        <w:t>rezidenţiale</w:t>
      </w:r>
      <w:proofErr w:type="spellEnd"/>
      <w:r w:rsidRPr="00E07AC2">
        <w:rPr>
          <w:rFonts w:ascii="Tahoma" w:hAnsi="Tahoma" w:cs="Tahoma"/>
          <w:sz w:val="24"/>
          <w:szCs w:val="24"/>
        </w:rPr>
        <w:t xml:space="preserve"> se constată o încetinire de ritm, ceea ce a condus la o majorare de doar 1,8% a </w:t>
      </w:r>
      <w:proofErr w:type="spellStart"/>
      <w:r w:rsidRPr="00E07AC2">
        <w:rPr>
          <w:rFonts w:ascii="Tahoma" w:hAnsi="Tahoma" w:cs="Tahoma"/>
          <w:sz w:val="24"/>
          <w:szCs w:val="24"/>
        </w:rPr>
        <w:t>activităţii</w:t>
      </w:r>
      <w:proofErr w:type="spellEnd"/>
      <w:r w:rsidRPr="00E07AC2">
        <w:rPr>
          <w:rFonts w:ascii="Tahoma" w:hAnsi="Tahoma" w:cs="Tahoma"/>
          <w:sz w:val="24"/>
          <w:szCs w:val="24"/>
        </w:rPr>
        <w:t xml:space="preserve"> pe această componentă. În ceea ce </w:t>
      </w:r>
      <w:proofErr w:type="spellStart"/>
      <w:r w:rsidRPr="00E07AC2">
        <w:rPr>
          <w:rFonts w:ascii="Tahoma" w:hAnsi="Tahoma" w:cs="Tahoma"/>
          <w:sz w:val="24"/>
          <w:szCs w:val="24"/>
        </w:rPr>
        <w:t>priveşte</w:t>
      </w:r>
      <w:proofErr w:type="spellEnd"/>
      <w:r w:rsidRPr="00E07AC2">
        <w:rPr>
          <w:rFonts w:ascii="Tahoma" w:hAnsi="Tahoma" w:cs="Tahoma"/>
          <w:sz w:val="24"/>
          <w:szCs w:val="24"/>
        </w:rPr>
        <w:t xml:space="preserve"> clădirile </w:t>
      </w:r>
      <w:proofErr w:type="spellStart"/>
      <w:r w:rsidRPr="00E07AC2">
        <w:rPr>
          <w:rFonts w:ascii="Tahoma" w:hAnsi="Tahoma" w:cs="Tahoma"/>
          <w:sz w:val="24"/>
          <w:szCs w:val="24"/>
        </w:rPr>
        <w:t>nerezidenţiale</w:t>
      </w:r>
      <w:proofErr w:type="spellEnd"/>
      <w:r w:rsidRPr="00E07AC2">
        <w:rPr>
          <w:rFonts w:ascii="Tahoma" w:hAnsi="Tahoma" w:cs="Tahoma"/>
          <w:sz w:val="24"/>
          <w:szCs w:val="24"/>
        </w:rPr>
        <w:t xml:space="preserve">, scăderea de 6,2% din luna aprilie a </w:t>
      </w:r>
      <w:proofErr w:type="spellStart"/>
      <w:r w:rsidRPr="00E07AC2">
        <w:rPr>
          <w:rFonts w:ascii="Tahoma" w:hAnsi="Tahoma" w:cs="Tahoma"/>
          <w:sz w:val="24"/>
          <w:szCs w:val="24"/>
        </w:rPr>
        <w:t>influenţat</w:t>
      </w:r>
      <w:proofErr w:type="spellEnd"/>
      <w:r w:rsidRPr="00E07AC2">
        <w:rPr>
          <w:rFonts w:ascii="Tahoma" w:hAnsi="Tahoma" w:cs="Tahoma"/>
          <w:sz w:val="24"/>
          <w:szCs w:val="24"/>
        </w:rPr>
        <w:t xml:space="preserve"> trecerea către palierul negativ, astfel că după primele 4 luni  s-a înregistrat o reducere de 0,8% </w:t>
      </w:r>
      <w:proofErr w:type="spellStart"/>
      <w:r w:rsidRPr="00E07AC2">
        <w:rPr>
          <w:rFonts w:ascii="Tahoma" w:hAnsi="Tahoma" w:cs="Tahoma"/>
          <w:sz w:val="24"/>
          <w:szCs w:val="24"/>
        </w:rPr>
        <w:t>faţă</w:t>
      </w:r>
      <w:proofErr w:type="spellEnd"/>
      <w:r w:rsidRPr="00E07AC2">
        <w:rPr>
          <w:rFonts w:ascii="Tahoma" w:hAnsi="Tahoma" w:cs="Tahoma"/>
          <w:sz w:val="24"/>
          <w:szCs w:val="24"/>
        </w:rPr>
        <w:t xml:space="preserve"> de perioada corespunzătoare din 2022.</w:t>
      </w:r>
    </w:p>
    <w:p w:rsidR="00E07AC2" w:rsidRPr="00E07AC2" w:rsidRDefault="00E07AC2" w:rsidP="00E07AC2">
      <w:pPr>
        <w:widowControl w:val="0"/>
        <w:suppressAutoHyphens/>
        <w:spacing w:after="120" w:line="276" w:lineRule="auto"/>
        <w:ind w:firstLine="0"/>
        <w:rPr>
          <w:rFonts w:ascii="Tahoma" w:hAnsi="Tahoma" w:cs="Tahoma"/>
          <w:sz w:val="24"/>
          <w:szCs w:val="24"/>
        </w:rPr>
      </w:pPr>
      <w:r w:rsidRPr="00E07AC2">
        <w:rPr>
          <w:rFonts w:ascii="Tahoma" w:hAnsi="Tahoma" w:cs="Tahoma"/>
          <w:sz w:val="24"/>
          <w:szCs w:val="24"/>
        </w:rPr>
        <w:t xml:space="preserve">În primele cinci luni ale anului 2023 </w:t>
      </w:r>
      <w:r w:rsidRPr="00E07AC2">
        <w:rPr>
          <w:rFonts w:ascii="Tahoma" w:hAnsi="Tahoma" w:cs="Tahoma"/>
          <w:b/>
          <w:sz w:val="24"/>
          <w:szCs w:val="24"/>
        </w:rPr>
        <w:t xml:space="preserve">volumul total al cifrei de afaceri din </w:t>
      </w:r>
      <w:proofErr w:type="spellStart"/>
      <w:r w:rsidRPr="00E07AC2">
        <w:rPr>
          <w:rFonts w:ascii="Tahoma" w:hAnsi="Tahoma" w:cs="Tahoma"/>
          <w:b/>
          <w:sz w:val="24"/>
          <w:szCs w:val="24"/>
        </w:rPr>
        <w:t>comerţul</w:t>
      </w:r>
      <w:proofErr w:type="spellEnd"/>
      <w:r w:rsidRPr="00E07AC2">
        <w:rPr>
          <w:rFonts w:ascii="Tahoma" w:hAnsi="Tahoma" w:cs="Tahoma"/>
          <w:b/>
          <w:sz w:val="24"/>
          <w:szCs w:val="24"/>
        </w:rPr>
        <w:t xml:space="preserve"> cu amănuntul </w:t>
      </w:r>
      <w:r w:rsidRPr="00E07AC2">
        <w:rPr>
          <w:rFonts w:ascii="Tahoma" w:hAnsi="Tahoma" w:cs="Tahoma"/>
          <w:sz w:val="24"/>
          <w:szCs w:val="24"/>
          <w:shd w:val="clear" w:color="auto" w:fill="FFFFFF"/>
        </w:rPr>
        <w:t xml:space="preserve">(cu excepția comerțului cu autovehicule </w:t>
      </w:r>
      <w:proofErr w:type="spellStart"/>
      <w:r w:rsidRPr="00E07AC2">
        <w:rPr>
          <w:rFonts w:ascii="Tahoma" w:hAnsi="Tahoma" w:cs="Tahoma"/>
          <w:sz w:val="24"/>
          <w:szCs w:val="24"/>
          <w:shd w:val="clear" w:color="auto" w:fill="FFFFFF"/>
        </w:rPr>
        <w:t>şi</w:t>
      </w:r>
      <w:proofErr w:type="spellEnd"/>
      <w:r w:rsidRPr="00E07AC2">
        <w:rPr>
          <w:rFonts w:ascii="Tahoma" w:hAnsi="Tahoma" w:cs="Tahoma"/>
          <w:sz w:val="24"/>
          <w:szCs w:val="24"/>
          <w:shd w:val="clear" w:color="auto" w:fill="FFFFFF"/>
        </w:rPr>
        <w:t xml:space="preserve"> motociclete)</w:t>
      </w:r>
      <w:r w:rsidRPr="00E07AC2">
        <w:rPr>
          <w:rFonts w:ascii="Tahoma" w:hAnsi="Tahoma" w:cs="Tahoma"/>
          <w:sz w:val="24"/>
          <w:szCs w:val="24"/>
        </w:rPr>
        <w:t xml:space="preserve"> a avansat cu 3,3%, cu circa 2 puncte procentuale. mai </w:t>
      </w:r>
      <w:proofErr w:type="spellStart"/>
      <w:r w:rsidRPr="00E07AC2">
        <w:rPr>
          <w:rFonts w:ascii="Tahoma" w:hAnsi="Tahoma" w:cs="Tahoma"/>
          <w:sz w:val="24"/>
          <w:szCs w:val="24"/>
        </w:rPr>
        <w:t>puţin</w:t>
      </w:r>
      <w:proofErr w:type="spellEnd"/>
      <w:r w:rsidRPr="00E07AC2">
        <w:rPr>
          <w:rFonts w:ascii="Tahoma" w:hAnsi="Tahoma" w:cs="Tahoma"/>
          <w:sz w:val="24"/>
          <w:szCs w:val="24"/>
        </w:rPr>
        <w:t xml:space="preserve"> decât în primul trimestru al anului 2023. Vânzările de produse alimentare au continuat să înregistreze </w:t>
      </w:r>
      <w:proofErr w:type="spellStart"/>
      <w:r w:rsidRPr="00E07AC2">
        <w:rPr>
          <w:rFonts w:ascii="Tahoma" w:hAnsi="Tahoma" w:cs="Tahoma"/>
          <w:sz w:val="24"/>
          <w:szCs w:val="24"/>
        </w:rPr>
        <w:t>creşteri</w:t>
      </w:r>
      <w:proofErr w:type="spellEnd"/>
      <w:r w:rsidRPr="00E07AC2">
        <w:rPr>
          <w:rFonts w:ascii="Tahoma" w:hAnsi="Tahoma" w:cs="Tahoma"/>
          <w:sz w:val="24"/>
          <w:szCs w:val="24"/>
        </w:rPr>
        <w:t xml:space="preserve"> în perioada </w:t>
      </w:r>
      <w:proofErr w:type="spellStart"/>
      <w:r w:rsidRPr="00E07AC2">
        <w:rPr>
          <w:rFonts w:ascii="Tahoma" w:hAnsi="Tahoma" w:cs="Tahoma"/>
          <w:sz w:val="24"/>
          <w:szCs w:val="24"/>
        </w:rPr>
        <w:t>menţionată</w:t>
      </w:r>
      <w:proofErr w:type="spellEnd"/>
      <w:r w:rsidRPr="00E07AC2">
        <w:rPr>
          <w:rFonts w:ascii="Tahoma" w:hAnsi="Tahoma" w:cs="Tahoma"/>
          <w:sz w:val="24"/>
          <w:szCs w:val="24"/>
        </w:rPr>
        <w:t xml:space="preserve"> (5,1%), dar într-un ritm încetinit comparativ cu primul trimestru</w:t>
      </w:r>
      <w:r w:rsidRPr="00E07AC2">
        <w:rPr>
          <w:rFonts w:ascii="Tahoma" w:hAnsi="Tahoma" w:cs="Tahoma"/>
          <w:sz w:val="24"/>
          <w:szCs w:val="24"/>
          <w:shd w:val="clear" w:color="auto" w:fill="FFFFFF"/>
        </w:rPr>
        <w:t>.</w:t>
      </w:r>
      <w:r w:rsidRPr="00E07AC2">
        <w:rPr>
          <w:rFonts w:ascii="Tahoma" w:hAnsi="Tahoma" w:cs="Tahoma"/>
          <w:sz w:val="24"/>
          <w:szCs w:val="24"/>
        </w:rPr>
        <w:t xml:space="preserve"> </w:t>
      </w:r>
      <w:proofErr w:type="spellStart"/>
      <w:r w:rsidRPr="00E07AC2">
        <w:rPr>
          <w:rFonts w:ascii="Tahoma" w:hAnsi="Tahoma" w:cs="Tahoma"/>
          <w:sz w:val="24"/>
          <w:szCs w:val="24"/>
        </w:rPr>
        <w:t>Achiziţiile</w:t>
      </w:r>
      <w:proofErr w:type="spellEnd"/>
      <w:r w:rsidRPr="00E07AC2">
        <w:rPr>
          <w:rFonts w:ascii="Tahoma" w:hAnsi="Tahoma" w:cs="Tahoma"/>
          <w:sz w:val="24"/>
          <w:szCs w:val="24"/>
        </w:rPr>
        <w:t xml:space="preserve"> de produse nealimentare au crescut cu 4,0%, singura componentă ce a înregistrat o accelerare la nivelul primelor 5 luni comparativ cu primul trimestru fiind cea de produse farmaceutice. In schimb, vânzările de </w:t>
      </w:r>
      <w:proofErr w:type="spellStart"/>
      <w:r w:rsidRPr="00E07AC2">
        <w:rPr>
          <w:rFonts w:ascii="Tahoma" w:hAnsi="Tahoma" w:cs="Tahoma"/>
          <w:sz w:val="24"/>
          <w:szCs w:val="24"/>
        </w:rPr>
        <w:t>carburanţi</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deşi</w:t>
      </w:r>
      <w:proofErr w:type="spellEnd"/>
      <w:r w:rsidRPr="00E07AC2">
        <w:rPr>
          <w:rFonts w:ascii="Tahoma" w:hAnsi="Tahoma" w:cs="Tahoma"/>
          <w:sz w:val="24"/>
          <w:szCs w:val="24"/>
        </w:rPr>
        <w:t xml:space="preserve"> au înregistrat în luna mai un avans important comparativ cu luna aprilie (20,7%), au rămas în teritoriul negativ (-1,0%) la finalul primelor cinci luni ale anului.</w:t>
      </w:r>
    </w:p>
    <w:p w:rsidR="00E07AC2" w:rsidRPr="00E07AC2" w:rsidRDefault="00E07AC2" w:rsidP="00E07AC2">
      <w:pPr>
        <w:widowControl w:val="0"/>
        <w:suppressAutoHyphens/>
        <w:spacing w:after="120" w:line="276" w:lineRule="auto"/>
        <w:ind w:firstLine="0"/>
        <w:rPr>
          <w:rFonts w:ascii="Tahoma" w:hAnsi="Tahoma" w:cs="Tahoma"/>
          <w:sz w:val="24"/>
          <w:szCs w:val="24"/>
        </w:rPr>
      </w:pPr>
      <w:r w:rsidRPr="00E07AC2">
        <w:rPr>
          <w:rFonts w:ascii="Tahoma" w:hAnsi="Tahoma" w:cs="Tahoma"/>
          <w:b/>
          <w:sz w:val="24"/>
          <w:szCs w:val="24"/>
        </w:rPr>
        <w:t xml:space="preserve">Volumul total al cifrei de afaceri din serviciile prestate </w:t>
      </w:r>
      <w:proofErr w:type="spellStart"/>
      <w:r w:rsidRPr="00E07AC2">
        <w:rPr>
          <w:rFonts w:ascii="Tahoma" w:hAnsi="Tahoma" w:cs="Tahoma"/>
          <w:b/>
          <w:sz w:val="24"/>
          <w:szCs w:val="24"/>
        </w:rPr>
        <w:t>populaţiei</w:t>
      </w:r>
      <w:proofErr w:type="spellEnd"/>
      <w:r w:rsidRPr="00E07AC2">
        <w:rPr>
          <w:rFonts w:ascii="Tahoma" w:hAnsi="Tahoma" w:cs="Tahoma"/>
          <w:sz w:val="24"/>
          <w:szCs w:val="24"/>
        </w:rPr>
        <w:t xml:space="preserve"> s-a majorat cu 16,1% la finalul primelor patru luni din acest an, </w:t>
      </w:r>
      <w:proofErr w:type="spellStart"/>
      <w:r w:rsidRPr="00E07AC2">
        <w:rPr>
          <w:rFonts w:ascii="Tahoma" w:hAnsi="Tahoma" w:cs="Tahoma"/>
          <w:sz w:val="24"/>
          <w:szCs w:val="24"/>
        </w:rPr>
        <w:t>decelerând</w:t>
      </w:r>
      <w:proofErr w:type="spellEnd"/>
      <w:r w:rsidRPr="00E07AC2">
        <w:rPr>
          <w:rFonts w:ascii="Tahoma" w:hAnsi="Tahoma" w:cs="Tahoma"/>
          <w:sz w:val="24"/>
          <w:szCs w:val="24"/>
        </w:rPr>
        <w:t xml:space="preserve"> cu 2,6 puncte </w:t>
      </w:r>
      <w:r w:rsidRPr="00E07AC2">
        <w:rPr>
          <w:rFonts w:ascii="Tahoma" w:hAnsi="Tahoma" w:cs="Tahoma"/>
          <w:sz w:val="24"/>
          <w:szCs w:val="24"/>
        </w:rPr>
        <w:lastRenderedPageBreak/>
        <w:t xml:space="preserve">procentuale comparativ cu primul trimestru al anului curent. În </w:t>
      </w:r>
      <w:proofErr w:type="spellStart"/>
      <w:r w:rsidRPr="00E07AC2">
        <w:rPr>
          <w:rFonts w:ascii="Tahoma" w:hAnsi="Tahoma" w:cs="Tahoma"/>
          <w:sz w:val="24"/>
          <w:szCs w:val="24"/>
        </w:rPr>
        <w:t>aceeaşi</w:t>
      </w:r>
      <w:proofErr w:type="spellEnd"/>
      <w:r w:rsidRPr="00E07AC2">
        <w:rPr>
          <w:rFonts w:ascii="Tahoma" w:hAnsi="Tahoma" w:cs="Tahoma"/>
          <w:sz w:val="24"/>
          <w:szCs w:val="24"/>
        </w:rPr>
        <w:t xml:space="preserve"> perioadă </w:t>
      </w:r>
      <w:proofErr w:type="spellStart"/>
      <w:r w:rsidRPr="00E07AC2">
        <w:rPr>
          <w:rFonts w:ascii="Tahoma" w:hAnsi="Tahoma" w:cs="Tahoma"/>
          <w:sz w:val="24"/>
          <w:szCs w:val="24"/>
        </w:rPr>
        <w:t>activităţile</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agenţiilor</w:t>
      </w:r>
      <w:proofErr w:type="spellEnd"/>
      <w:r w:rsidRPr="00E07AC2">
        <w:rPr>
          <w:rFonts w:ascii="Tahoma" w:hAnsi="Tahoma" w:cs="Tahoma"/>
          <w:sz w:val="24"/>
          <w:szCs w:val="24"/>
        </w:rPr>
        <w:t xml:space="preserve"> de turism s-au majorat cu 15,2%, iar cele din hoteluri și restaurante au înregistrat o dinamică de 20,0%. Serviciile de spălare a articolelor textile s-au intensificat, cifra de afaceri majorându-se cu 58,6%, consemnând astfel cea mai mare </w:t>
      </w:r>
      <w:proofErr w:type="spellStart"/>
      <w:r w:rsidRPr="00E07AC2">
        <w:rPr>
          <w:rFonts w:ascii="Tahoma" w:hAnsi="Tahoma" w:cs="Tahoma"/>
          <w:sz w:val="24"/>
          <w:szCs w:val="24"/>
        </w:rPr>
        <w:t>creştere</w:t>
      </w:r>
      <w:proofErr w:type="spellEnd"/>
      <w:r w:rsidRPr="00E07AC2">
        <w:rPr>
          <w:rFonts w:ascii="Tahoma" w:hAnsi="Tahoma" w:cs="Tahoma"/>
          <w:sz w:val="24"/>
          <w:szCs w:val="24"/>
        </w:rPr>
        <w:t xml:space="preserve"> a primelor patru luni din ultimii 10 ani. In schimb, activitățile de jocuri de noroc au avut o </w:t>
      </w:r>
      <w:proofErr w:type="spellStart"/>
      <w:r w:rsidRPr="00E07AC2">
        <w:rPr>
          <w:rFonts w:ascii="Tahoma" w:hAnsi="Tahoma" w:cs="Tahoma"/>
          <w:sz w:val="24"/>
          <w:szCs w:val="24"/>
        </w:rPr>
        <w:t>evoluţie</w:t>
      </w:r>
      <w:proofErr w:type="spellEnd"/>
      <w:r w:rsidRPr="00E07AC2">
        <w:rPr>
          <w:rFonts w:ascii="Tahoma" w:hAnsi="Tahoma" w:cs="Tahoma"/>
          <w:sz w:val="24"/>
          <w:szCs w:val="24"/>
        </w:rPr>
        <w:t xml:space="preserve"> mai modestă, astfel că la finalul primelor patru activitatea din acest domeniu a avut un nivel mai ridicat cu 4,7%.</w:t>
      </w:r>
    </w:p>
    <w:p w:rsidR="00E07AC2" w:rsidRPr="00E07AC2" w:rsidRDefault="00E07AC2" w:rsidP="00E07AC2">
      <w:pPr>
        <w:widowControl w:val="0"/>
        <w:suppressAutoHyphens/>
        <w:spacing w:after="120" w:line="276" w:lineRule="auto"/>
        <w:ind w:firstLine="0"/>
        <w:rPr>
          <w:rFonts w:ascii="Tahoma" w:hAnsi="Tahoma" w:cs="Tahoma"/>
          <w:sz w:val="24"/>
          <w:szCs w:val="24"/>
        </w:rPr>
      </w:pPr>
      <w:r w:rsidRPr="00E07AC2">
        <w:rPr>
          <w:rFonts w:ascii="Tahoma" w:hAnsi="Tahoma" w:cs="Tahoma"/>
          <w:b/>
          <w:sz w:val="24"/>
          <w:szCs w:val="24"/>
        </w:rPr>
        <w:t>Valoarea cifrei de afaceri a serviciilor prestate întreprinderilor</w:t>
      </w:r>
      <w:r w:rsidRPr="00E07AC2">
        <w:rPr>
          <w:rFonts w:ascii="Tahoma" w:hAnsi="Tahoma" w:cs="Tahoma"/>
          <w:sz w:val="24"/>
          <w:szCs w:val="24"/>
        </w:rPr>
        <w:t xml:space="preserve"> s-a majorat cu 17,5% în perioada ianuarie-aprilie 2023. Avansul primelor patru luni a fost </w:t>
      </w:r>
      <w:proofErr w:type="spellStart"/>
      <w:r w:rsidRPr="00E07AC2">
        <w:rPr>
          <w:rFonts w:ascii="Tahoma" w:hAnsi="Tahoma" w:cs="Tahoma"/>
          <w:sz w:val="24"/>
          <w:szCs w:val="24"/>
        </w:rPr>
        <w:t>susţinut</w:t>
      </w:r>
      <w:proofErr w:type="spellEnd"/>
      <w:r w:rsidRPr="00E07AC2">
        <w:rPr>
          <w:rFonts w:ascii="Tahoma" w:hAnsi="Tahoma" w:cs="Tahoma"/>
          <w:sz w:val="24"/>
          <w:szCs w:val="24"/>
        </w:rPr>
        <w:t xml:space="preserve">, în principal de sectorul alte servicii (21,5%), dar și de cel de </w:t>
      </w:r>
      <w:proofErr w:type="spellStart"/>
      <w:r w:rsidRPr="00E07AC2">
        <w:rPr>
          <w:rFonts w:ascii="Tahoma" w:hAnsi="Tahoma" w:cs="Tahoma"/>
          <w:sz w:val="24"/>
          <w:szCs w:val="24"/>
        </w:rPr>
        <w:t>activităţi</w:t>
      </w:r>
      <w:proofErr w:type="spellEnd"/>
      <w:r w:rsidRPr="00E07AC2">
        <w:rPr>
          <w:rFonts w:ascii="Tahoma" w:hAnsi="Tahoma" w:cs="Tahoma"/>
          <w:sz w:val="24"/>
          <w:szCs w:val="24"/>
        </w:rPr>
        <w:t xml:space="preserve"> de servicii informatice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în tehnologia </w:t>
      </w:r>
      <w:proofErr w:type="spellStart"/>
      <w:r w:rsidRPr="00E07AC2">
        <w:rPr>
          <w:rFonts w:ascii="Tahoma" w:hAnsi="Tahoma" w:cs="Tahoma"/>
          <w:sz w:val="24"/>
          <w:szCs w:val="24"/>
        </w:rPr>
        <w:t>informaţiei</w:t>
      </w:r>
      <w:proofErr w:type="spellEnd"/>
      <w:r w:rsidRPr="00E07AC2">
        <w:rPr>
          <w:rFonts w:ascii="Tahoma" w:hAnsi="Tahoma" w:cs="Tahoma"/>
          <w:sz w:val="24"/>
          <w:szCs w:val="24"/>
        </w:rPr>
        <w:t xml:space="preserve"> (18,4%). </w:t>
      </w:r>
      <w:proofErr w:type="spellStart"/>
      <w:r w:rsidRPr="00E07AC2">
        <w:rPr>
          <w:rFonts w:ascii="Tahoma" w:hAnsi="Tahoma" w:cs="Tahoma"/>
          <w:sz w:val="24"/>
          <w:szCs w:val="24"/>
        </w:rPr>
        <w:t>Evoluţia</w:t>
      </w:r>
      <w:proofErr w:type="spellEnd"/>
      <w:r w:rsidRPr="00E07AC2">
        <w:rPr>
          <w:rFonts w:ascii="Tahoma" w:hAnsi="Tahoma" w:cs="Tahoma"/>
          <w:sz w:val="24"/>
          <w:szCs w:val="24"/>
        </w:rPr>
        <w:t xml:space="preserve"> prețurilor locuințelor precum și creditarea mai scumpă au condus la o diminuare a avansului serviciilor de tranzacții imobiliare până la 13,1%. Chiar dacă în perioada martie-aprilie activitățile de închiriere și leasing s-au temperat, acestea s-au </w:t>
      </w:r>
      <w:proofErr w:type="spellStart"/>
      <w:r w:rsidRPr="00E07AC2">
        <w:rPr>
          <w:rFonts w:ascii="Tahoma" w:hAnsi="Tahoma" w:cs="Tahoma"/>
          <w:sz w:val="24"/>
          <w:szCs w:val="24"/>
        </w:rPr>
        <w:t>menţinut</w:t>
      </w:r>
      <w:proofErr w:type="spellEnd"/>
      <w:r w:rsidRPr="00E07AC2">
        <w:rPr>
          <w:rFonts w:ascii="Tahoma" w:hAnsi="Tahoma" w:cs="Tahoma"/>
          <w:sz w:val="24"/>
          <w:szCs w:val="24"/>
        </w:rPr>
        <w:t xml:space="preserve"> în palierul pozitiv astfel că la finalul primelor 4 luni </w:t>
      </w:r>
      <w:proofErr w:type="spellStart"/>
      <w:r w:rsidRPr="00E07AC2">
        <w:rPr>
          <w:rFonts w:ascii="Tahoma" w:hAnsi="Tahoma" w:cs="Tahoma"/>
          <w:sz w:val="24"/>
          <w:szCs w:val="24"/>
        </w:rPr>
        <w:t>creşterea</w:t>
      </w:r>
      <w:proofErr w:type="spellEnd"/>
      <w:r w:rsidRPr="00E07AC2">
        <w:rPr>
          <w:rFonts w:ascii="Tahoma" w:hAnsi="Tahoma" w:cs="Tahoma"/>
          <w:sz w:val="24"/>
          <w:szCs w:val="24"/>
        </w:rPr>
        <w:t xml:space="preserve"> a fost de circa 30%. </w:t>
      </w:r>
      <w:proofErr w:type="spellStart"/>
      <w:r w:rsidRPr="00E07AC2">
        <w:rPr>
          <w:rFonts w:ascii="Tahoma" w:hAnsi="Tahoma" w:cs="Tahoma"/>
          <w:sz w:val="24"/>
          <w:szCs w:val="24"/>
        </w:rPr>
        <w:t>Creşteri</w:t>
      </w:r>
      <w:proofErr w:type="spellEnd"/>
      <w:r w:rsidRPr="00E07AC2">
        <w:rPr>
          <w:rFonts w:ascii="Tahoma" w:hAnsi="Tahoma" w:cs="Tahoma"/>
          <w:sz w:val="24"/>
          <w:szCs w:val="24"/>
        </w:rPr>
        <w:t xml:space="preserve"> de peste 40% a serviciilor prestate întreprinderilor s-au mai înregistrat în ramuri precum transporturi pe apă (59,8%)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publicitate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activităţi</w:t>
      </w:r>
      <w:proofErr w:type="spellEnd"/>
      <w:r w:rsidRPr="00E07AC2">
        <w:rPr>
          <w:rFonts w:ascii="Tahoma" w:hAnsi="Tahoma" w:cs="Tahoma"/>
          <w:sz w:val="24"/>
          <w:szCs w:val="24"/>
        </w:rPr>
        <w:t xml:space="preserve"> de studiere a </w:t>
      </w:r>
      <w:proofErr w:type="spellStart"/>
      <w:r w:rsidRPr="00E07AC2">
        <w:rPr>
          <w:rFonts w:ascii="Tahoma" w:hAnsi="Tahoma" w:cs="Tahoma"/>
          <w:sz w:val="24"/>
          <w:szCs w:val="24"/>
        </w:rPr>
        <w:t>pieţei</w:t>
      </w:r>
      <w:proofErr w:type="spellEnd"/>
      <w:r w:rsidRPr="00E07AC2">
        <w:rPr>
          <w:rFonts w:ascii="Tahoma" w:hAnsi="Tahoma" w:cs="Tahoma"/>
          <w:sz w:val="24"/>
          <w:szCs w:val="24"/>
        </w:rPr>
        <w:t xml:space="preserve"> (43,2%).</w:t>
      </w:r>
    </w:p>
    <w:p w:rsidR="00E07AC2" w:rsidRPr="00E07AC2" w:rsidRDefault="00E07AC2" w:rsidP="00E07AC2">
      <w:pPr>
        <w:widowControl w:val="0"/>
        <w:suppressAutoHyphens/>
        <w:spacing w:after="120" w:line="276" w:lineRule="auto"/>
        <w:ind w:firstLine="0"/>
        <w:rPr>
          <w:rFonts w:ascii="Tahoma" w:hAnsi="Tahoma" w:cs="Tahoma"/>
          <w:sz w:val="24"/>
          <w:szCs w:val="24"/>
        </w:rPr>
      </w:pPr>
      <w:r w:rsidRPr="00E07AC2">
        <w:rPr>
          <w:rFonts w:ascii="Tahoma" w:hAnsi="Tahoma" w:cs="Tahoma"/>
          <w:b/>
          <w:sz w:val="24"/>
          <w:szCs w:val="24"/>
        </w:rPr>
        <w:t>Exporturile de bunuri</w:t>
      </w:r>
      <w:r w:rsidRPr="00E07AC2">
        <w:rPr>
          <w:rFonts w:ascii="Tahoma" w:hAnsi="Tahoma" w:cs="Tahoma"/>
          <w:sz w:val="24"/>
          <w:szCs w:val="24"/>
        </w:rPr>
        <w:t xml:space="preserve"> au totalizat, în primele 5 luni ale anului 2023, valoarea de 39,7 miliarde euro, înregistrând o dinamică pozitivă de 7,5% față de perioada similară a anului precedent (+2,8 miliarde euro), </w:t>
      </w:r>
      <w:proofErr w:type="spellStart"/>
      <w:r w:rsidRPr="00E07AC2">
        <w:rPr>
          <w:rFonts w:ascii="Tahoma" w:hAnsi="Tahoma" w:cs="Tahoma"/>
          <w:sz w:val="24"/>
          <w:szCs w:val="24"/>
        </w:rPr>
        <w:t>creşterile</w:t>
      </w:r>
      <w:proofErr w:type="spellEnd"/>
      <w:r w:rsidRPr="00E07AC2">
        <w:rPr>
          <w:rFonts w:ascii="Tahoma" w:hAnsi="Tahoma" w:cs="Tahoma"/>
          <w:sz w:val="24"/>
          <w:szCs w:val="24"/>
        </w:rPr>
        <w:t xml:space="preserve"> valorilor exprimate în euro având încă o componentă importantă de </w:t>
      </w:r>
      <w:proofErr w:type="spellStart"/>
      <w:r w:rsidRPr="00E07AC2">
        <w:rPr>
          <w:rFonts w:ascii="Tahoma" w:hAnsi="Tahoma" w:cs="Tahoma"/>
          <w:sz w:val="24"/>
          <w:szCs w:val="24"/>
        </w:rPr>
        <w:t>preţuri</w:t>
      </w:r>
      <w:proofErr w:type="spellEnd"/>
      <w:r w:rsidRPr="00E07AC2">
        <w:rPr>
          <w:rFonts w:ascii="Tahoma" w:hAnsi="Tahoma" w:cs="Tahoma"/>
          <w:sz w:val="24"/>
          <w:szCs w:val="24"/>
        </w:rPr>
        <w:t xml:space="preserve">. Expedierile intra-comunitare au reprezentat 72,9% din total, iar exporturile destinate statelor extra UE au pierdut din dinamica anului precedent (+9,0% </w:t>
      </w:r>
      <w:proofErr w:type="spellStart"/>
      <w:r w:rsidRPr="00E07AC2">
        <w:rPr>
          <w:rFonts w:ascii="Tahoma" w:hAnsi="Tahoma" w:cs="Tahoma"/>
          <w:sz w:val="24"/>
          <w:szCs w:val="24"/>
        </w:rPr>
        <w:t>faţă</w:t>
      </w:r>
      <w:proofErr w:type="spellEnd"/>
      <w:r w:rsidRPr="00E07AC2">
        <w:rPr>
          <w:rFonts w:ascii="Tahoma" w:hAnsi="Tahoma" w:cs="Tahoma"/>
          <w:sz w:val="24"/>
          <w:szCs w:val="24"/>
        </w:rPr>
        <w:t xml:space="preserve"> +28,0% în ianuarie-mai 2022), acestea fiind </w:t>
      </w:r>
      <w:proofErr w:type="spellStart"/>
      <w:r w:rsidRPr="00E07AC2">
        <w:rPr>
          <w:rFonts w:ascii="Tahoma" w:hAnsi="Tahoma" w:cs="Tahoma"/>
          <w:sz w:val="24"/>
          <w:szCs w:val="24"/>
        </w:rPr>
        <w:t>susţinute</w:t>
      </w:r>
      <w:proofErr w:type="spellEnd"/>
      <w:r w:rsidRPr="00E07AC2">
        <w:rPr>
          <w:rFonts w:ascii="Tahoma" w:hAnsi="Tahoma" w:cs="Tahoma"/>
          <w:sz w:val="24"/>
          <w:szCs w:val="24"/>
        </w:rPr>
        <w:t xml:space="preserve"> de livrările de produse agroalimentare, cu peste 15 procente.</w:t>
      </w:r>
    </w:p>
    <w:p w:rsidR="000C5203" w:rsidRDefault="00E07AC2" w:rsidP="000C5203">
      <w:pPr>
        <w:widowControl w:val="0"/>
        <w:suppressAutoHyphens/>
        <w:spacing w:after="120" w:line="276" w:lineRule="auto"/>
        <w:ind w:firstLine="0"/>
        <w:rPr>
          <w:rFonts w:ascii="Tahoma" w:hAnsi="Tahoma" w:cs="Tahoma"/>
          <w:sz w:val="24"/>
          <w:szCs w:val="24"/>
        </w:rPr>
      </w:pPr>
      <w:r w:rsidRPr="00E07AC2">
        <w:rPr>
          <w:rFonts w:ascii="Tahoma" w:hAnsi="Tahoma" w:cs="Tahoma"/>
          <w:sz w:val="24"/>
          <w:szCs w:val="24"/>
        </w:rPr>
        <w:t xml:space="preserve">Exporturile au fost </w:t>
      </w:r>
      <w:proofErr w:type="spellStart"/>
      <w:r w:rsidRPr="00E07AC2">
        <w:rPr>
          <w:rFonts w:ascii="Tahoma" w:hAnsi="Tahoma" w:cs="Tahoma"/>
          <w:sz w:val="24"/>
          <w:szCs w:val="24"/>
        </w:rPr>
        <w:t>susţinute</w:t>
      </w:r>
      <w:proofErr w:type="spellEnd"/>
      <w:r w:rsidRPr="00E07AC2">
        <w:rPr>
          <w:rFonts w:ascii="Tahoma" w:hAnsi="Tahoma" w:cs="Tahoma"/>
          <w:sz w:val="24"/>
          <w:szCs w:val="24"/>
        </w:rPr>
        <w:t xml:space="preserve"> în proporție de circa 45% din </w:t>
      </w:r>
      <w:proofErr w:type="spellStart"/>
      <w:r w:rsidRPr="00E07AC2">
        <w:rPr>
          <w:rFonts w:ascii="Tahoma" w:hAnsi="Tahoma" w:cs="Tahoma"/>
          <w:sz w:val="24"/>
          <w:szCs w:val="24"/>
        </w:rPr>
        <w:t>maşini</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echipamente pentru transport, care au înregistrat o </w:t>
      </w:r>
      <w:proofErr w:type="spellStart"/>
      <w:r w:rsidRPr="00E07AC2">
        <w:rPr>
          <w:rFonts w:ascii="Tahoma" w:hAnsi="Tahoma" w:cs="Tahoma"/>
          <w:sz w:val="24"/>
          <w:szCs w:val="24"/>
        </w:rPr>
        <w:t>creştere</w:t>
      </w:r>
      <w:proofErr w:type="spellEnd"/>
      <w:r w:rsidRPr="00E07AC2">
        <w:rPr>
          <w:rFonts w:ascii="Tahoma" w:hAnsi="Tahoma" w:cs="Tahoma"/>
          <w:sz w:val="24"/>
          <w:szCs w:val="24"/>
        </w:rPr>
        <w:t xml:space="preserve"> cu 12,5% </w:t>
      </w:r>
      <w:proofErr w:type="spellStart"/>
      <w:r w:rsidRPr="00E07AC2">
        <w:rPr>
          <w:rFonts w:ascii="Tahoma" w:hAnsi="Tahoma" w:cs="Tahoma"/>
          <w:sz w:val="24"/>
          <w:szCs w:val="24"/>
        </w:rPr>
        <w:t>faţă</w:t>
      </w:r>
      <w:proofErr w:type="spellEnd"/>
      <w:r w:rsidRPr="00E07AC2">
        <w:rPr>
          <w:rFonts w:ascii="Tahoma" w:hAnsi="Tahoma" w:cs="Tahoma"/>
          <w:sz w:val="24"/>
          <w:szCs w:val="24"/>
        </w:rPr>
        <w:t xml:space="preserve"> de primele 5 luni ale anului 2022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de industria manufacturieră (fier, </w:t>
      </w:r>
      <w:proofErr w:type="spellStart"/>
      <w:r w:rsidRPr="00E07AC2">
        <w:rPr>
          <w:rFonts w:ascii="Tahoma" w:hAnsi="Tahoma" w:cs="Tahoma"/>
          <w:sz w:val="24"/>
          <w:szCs w:val="24"/>
        </w:rPr>
        <w:t>oţel</w:t>
      </w:r>
      <w:proofErr w:type="spellEnd"/>
      <w:r w:rsidRPr="00E07AC2">
        <w:rPr>
          <w:rFonts w:ascii="Tahoma" w:hAnsi="Tahoma" w:cs="Tahoma"/>
          <w:sz w:val="24"/>
          <w:szCs w:val="24"/>
        </w:rPr>
        <w:t xml:space="preserve">, cauciuc, metal, lemn-exclusiv mobilă, articole de îmbrăcăminte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accesorii, </w:t>
      </w:r>
      <w:proofErr w:type="spellStart"/>
      <w:r w:rsidRPr="00E07AC2">
        <w:rPr>
          <w:rFonts w:ascii="Tahoma" w:hAnsi="Tahoma" w:cs="Tahoma"/>
          <w:sz w:val="24"/>
          <w:szCs w:val="24"/>
        </w:rPr>
        <w:t>încălţăminte</w:t>
      </w:r>
      <w:proofErr w:type="spellEnd"/>
      <w:r w:rsidRPr="00E07AC2">
        <w:rPr>
          <w:rFonts w:ascii="Tahoma" w:hAnsi="Tahoma" w:cs="Tahoma"/>
          <w:sz w:val="24"/>
          <w:szCs w:val="24"/>
        </w:rPr>
        <w:t xml:space="preserve">, mobilă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părțile ei, aparatură de măsură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control etc.) care, cu o valoare de 12,0 miliarde euro, a reprezentat peste 30% din total.</w:t>
      </w:r>
    </w:p>
    <w:p w:rsidR="00E07AC2" w:rsidRPr="00E07AC2" w:rsidRDefault="00E07AC2" w:rsidP="000C5203">
      <w:pPr>
        <w:widowControl w:val="0"/>
        <w:suppressAutoHyphens/>
        <w:spacing w:after="120" w:line="276" w:lineRule="auto"/>
        <w:ind w:firstLine="0"/>
        <w:rPr>
          <w:rFonts w:ascii="Tahoma" w:hAnsi="Tahoma" w:cs="Tahoma"/>
          <w:sz w:val="24"/>
          <w:szCs w:val="24"/>
        </w:rPr>
      </w:pPr>
      <w:r w:rsidRPr="00E07AC2">
        <w:rPr>
          <w:rFonts w:ascii="Tahoma" w:hAnsi="Tahoma" w:cs="Tahoma"/>
          <w:b/>
          <w:sz w:val="24"/>
          <w:szCs w:val="24"/>
        </w:rPr>
        <w:t>Importurile de bunuri</w:t>
      </w:r>
      <w:r w:rsidRPr="00E07AC2">
        <w:rPr>
          <w:rFonts w:ascii="Tahoma" w:hAnsi="Tahoma" w:cs="Tahoma"/>
          <w:sz w:val="24"/>
          <w:szCs w:val="24"/>
        </w:rPr>
        <w:t xml:space="preserve"> s-au majorat în primele 5 luni ale anului 2023 cu 2,1%, până la 50,7 miliarde euro, valoarea </w:t>
      </w:r>
      <w:proofErr w:type="spellStart"/>
      <w:r w:rsidRPr="00E07AC2">
        <w:rPr>
          <w:rFonts w:ascii="Tahoma" w:hAnsi="Tahoma" w:cs="Tahoma"/>
          <w:sz w:val="24"/>
          <w:szCs w:val="24"/>
        </w:rPr>
        <w:t>achiziţiilor</w:t>
      </w:r>
      <w:proofErr w:type="spellEnd"/>
      <w:r w:rsidRPr="00E07AC2">
        <w:rPr>
          <w:rFonts w:ascii="Tahoma" w:hAnsi="Tahoma" w:cs="Tahoma"/>
          <w:sz w:val="24"/>
          <w:szCs w:val="24"/>
        </w:rPr>
        <w:t xml:space="preserve"> de pe piețele externe având o traiectorie descendentă încă din prima lună a anului. Pe zona intra UE de </w:t>
      </w:r>
      <w:proofErr w:type="spellStart"/>
      <w:r w:rsidRPr="00E07AC2">
        <w:rPr>
          <w:rFonts w:ascii="Tahoma" w:hAnsi="Tahoma" w:cs="Tahoma"/>
          <w:sz w:val="24"/>
          <w:szCs w:val="24"/>
        </w:rPr>
        <w:t>provenien</w:t>
      </w:r>
      <w:bookmarkStart w:id="7" w:name="_Hlk58488073"/>
      <w:r w:rsidRPr="00E07AC2">
        <w:rPr>
          <w:rFonts w:ascii="Tahoma" w:hAnsi="Tahoma" w:cs="Tahoma"/>
          <w:sz w:val="24"/>
          <w:szCs w:val="24"/>
        </w:rPr>
        <w:t>ţă</w:t>
      </w:r>
      <w:bookmarkEnd w:id="7"/>
      <w:proofErr w:type="spellEnd"/>
      <w:r w:rsidRPr="00E07AC2">
        <w:rPr>
          <w:rFonts w:ascii="Tahoma" w:hAnsi="Tahoma" w:cs="Tahoma"/>
          <w:sz w:val="24"/>
          <w:szCs w:val="24"/>
        </w:rPr>
        <w:t xml:space="preserve">, valoarea majorată cu 5,1% a introducerilor de bunuri a reprezentat 73,1% din totalul </w:t>
      </w:r>
      <w:proofErr w:type="spellStart"/>
      <w:r w:rsidRPr="00E07AC2">
        <w:rPr>
          <w:rFonts w:ascii="Tahoma" w:hAnsi="Tahoma" w:cs="Tahoma"/>
          <w:sz w:val="24"/>
          <w:szCs w:val="24"/>
        </w:rPr>
        <w:t>achiziţiilor</w:t>
      </w:r>
      <w:proofErr w:type="spellEnd"/>
      <w:r w:rsidRPr="00E07AC2">
        <w:rPr>
          <w:rFonts w:ascii="Tahoma" w:hAnsi="Tahoma" w:cs="Tahoma"/>
          <w:sz w:val="24"/>
          <w:szCs w:val="24"/>
        </w:rPr>
        <w:t xml:space="preserve">. În </w:t>
      </w:r>
      <w:proofErr w:type="spellStart"/>
      <w:r w:rsidRPr="00E07AC2">
        <w:rPr>
          <w:rFonts w:ascii="Tahoma" w:hAnsi="Tahoma" w:cs="Tahoma"/>
          <w:sz w:val="24"/>
          <w:szCs w:val="24"/>
        </w:rPr>
        <w:t>acelaşi</w:t>
      </w:r>
      <w:proofErr w:type="spellEnd"/>
      <w:r w:rsidRPr="00E07AC2">
        <w:rPr>
          <w:rFonts w:ascii="Tahoma" w:hAnsi="Tahoma" w:cs="Tahoma"/>
          <w:sz w:val="24"/>
          <w:szCs w:val="24"/>
        </w:rPr>
        <w:t xml:space="preserve"> timp, importurile provenite din afara </w:t>
      </w:r>
      <w:proofErr w:type="spellStart"/>
      <w:r w:rsidRPr="00E07AC2">
        <w:rPr>
          <w:rFonts w:ascii="Tahoma" w:hAnsi="Tahoma" w:cs="Tahoma"/>
          <w:sz w:val="24"/>
          <w:szCs w:val="24"/>
        </w:rPr>
        <w:t>spaţiului</w:t>
      </w:r>
      <w:proofErr w:type="spellEnd"/>
      <w:r w:rsidRPr="00E07AC2">
        <w:rPr>
          <w:rFonts w:ascii="Tahoma" w:hAnsi="Tahoma" w:cs="Tahoma"/>
          <w:sz w:val="24"/>
          <w:szCs w:val="24"/>
        </w:rPr>
        <w:t xml:space="preserve"> UE au fost cu 5,2% mai mici decât în primele 5 luni ale anului 2022, pe fondul reducerii cu 11,4% a importurilor de combustibili minerali, lubrifianți și materiale derivate de </w:t>
      </w:r>
      <w:proofErr w:type="spellStart"/>
      <w:r w:rsidRPr="00E07AC2">
        <w:rPr>
          <w:rFonts w:ascii="Tahoma" w:hAnsi="Tahoma" w:cs="Tahoma"/>
          <w:sz w:val="24"/>
          <w:szCs w:val="24"/>
        </w:rPr>
        <w:t>provenienţă</w:t>
      </w:r>
      <w:proofErr w:type="spellEnd"/>
      <w:r w:rsidRPr="00E07AC2">
        <w:rPr>
          <w:rFonts w:ascii="Tahoma" w:hAnsi="Tahoma" w:cs="Tahoma"/>
          <w:sz w:val="24"/>
          <w:szCs w:val="24"/>
        </w:rPr>
        <w:t xml:space="preserve"> extra-comunitară, acestea reprezentând 68,0% din </w:t>
      </w:r>
      <w:proofErr w:type="spellStart"/>
      <w:r w:rsidRPr="00E07AC2">
        <w:rPr>
          <w:rFonts w:ascii="Tahoma" w:hAnsi="Tahoma" w:cs="Tahoma"/>
          <w:sz w:val="24"/>
          <w:szCs w:val="24"/>
        </w:rPr>
        <w:t>achiziţiile</w:t>
      </w:r>
      <w:proofErr w:type="spellEnd"/>
      <w:r w:rsidRPr="00E07AC2">
        <w:rPr>
          <w:rFonts w:ascii="Tahoma" w:hAnsi="Tahoma" w:cs="Tahoma"/>
          <w:sz w:val="24"/>
          <w:szCs w:val="24"/>
        </w:rPr>
        <w:t xml:space="preserve"> externe de produse energetice.</w:t>
      </w:r>
    </w:p>
    <w:p w:rsidR="00444C93" w:rsidRPr="00E07AC2" w:rsidRDefault="00E07AC2" w:rsidP="00E07AC2">
      <w:pPr>
        <w:widowControl w:val="0"/>
        <w:suppressAutoHyphens/>
        <w:spacing w:before="120" w:after="120" w:line="276" w:lineRule="auto"/>
        <w:ind w:firstLine="0"/>
        <w:rPr>
          <w:rFonts w:ascii="Tahoma" w:eastAsia="Times New Roman" w:hAnsi="Tahoma" w:cs="Tahoma"/>
          <w:b/>
          <w:bCs/>
          <w:sz w:val="24"/>
          <w:szCs w:val="24"/>
        </w:rPr>
      </w:pPr>
      <w:r w:rsidRPr="00E07AC2">
        <w:rPr>
          <w:rFonts w:ascii="Tahoma" w:hAnsi="Tahoma" w:cs="Tahoma"/>
          <w:sz w:val="24"/>
          <w:szCs w:val="24"/>
        </w:rPr>
        <w:t xml:space="preserve">Structura importurilor de bunuri a fost dominată, ca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în cazul exporturilor, de grupele de produse </w:t>
      </w:r>
      <w:proofErr w:type="spellStart"/>
      <w:r w:rsidRPr="00E07AC2">
        <w:rPr>
          <w:rFonts w:ascii="Tahoma" w:hAnsi="Tahoma" w:cs="Tahoma"/>
          <w:sz w:val="24"/>
          <w:szCs w:val="24"/>
        </w:rPr>
        <w:t>maşini</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echipamente pentru transport (35,8% din total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o </w:t>
      </w:r>
      <w:proofErr w:type="spellStart"/>
      <w:r w:rsidRPr="00E07AC2">
        <w:rPr>
          <w:rFonts w:ascii="Tahoma" w:hAnsi="Tahoma" w:cs="Tahoma"/>
          <w:sz w:val="24"/>
          <w:szCs w:val="24"/>
        </w:rPr>
        <w:t>creştere</w:t>
      </w:r>
      <w:proofErr w:type="spellEnd"/>
      <w:r w:rsidRPr="00E07AC2">
        <w:rPr>
          <w:rFonts w:ascii="Tahoma" w:hAnsi="Tahoma" w:cs="Tahoma"/>
          <w:sz w:val="24"/>
          <w:szCs w:val="24"/>
        </w:rPr>
        <w:t xml:space="preserve"> cu </w:t>
      </w:r>
      <w:r w:rsidRPr="00E07AC2">
        <w:rPr>
          <w:rFonts w:ascii="Tahoma" w:hAnsi="Tahoma" w:cs="Tahoma"/>
          <w:sz w:val="24"/>
          <w:szCs w:val="24"/>
        </w:rPr>
        <w:lastRenderedPageBreak/>
        <w:t xml:space="preserve">12,5%)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mărfuri manufacturate, clasificate în principal după materia primă (17,9% din total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o reducere cu 6,1%). De menționat faptul că în această perioadă grupa combustibililor minerali, lubrifianți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materiale conexe, constituită din: petrol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produse petroliere; gaz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produse industriale din gaz; energie electrică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cărbune, cocs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brichete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-a redus semnificativ valoarea achizițiilor față de perioada similară a anului 2022 (-19,4%), pe fondul reducerii </w:t>
      </w:r>
      <w:proofErr w:type="spellStart"/>
      <w:r w:rsidRPr="00E07AC2">
        <w:rPr>
          <w:rFonts w:ascii="Tahoma" w:hAnsi="Tahoma" w:cs="Tahoma"/>
          <w:sz w:val="24"/>
          <w:szCs w:val="24"/>
        </w:rPr>
        <w:t>preţurilor</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internaţionale</w:t>
      </w:r>
      <w:proofErr w:type="spellEnd"/>
      <w:r w:rsidRPr="00E07AC2">
        <w:rPr>
          <w:rFonts w:ascii="Tahoma" w:hAnsi="Tahoma" w:cs="Tahoma"/>
          <w:sz w:val="24"/>
          <w:szCs w:val="24"/>
        </w:rPr>
        <w:t>.</w:t>
      </w:r>
    </w:p>
    <w:p w:rsidR="00EB02F2" w:rsidRPr="00E07AC2" w:rsidRDefault="00EB02F2" w:rsidP="00444C93">
      <w:pPr>
        <w:widowControl w:val="0"/>
        <w:suppressAutoHyphens/>
        <w:spacing w:before="120" w:after="120" w:line="276" w:lineRule="auto"/>
        <w:ind w:firstLine="0"/>
        <w:jc w:val="center"/>
        <w:rPr>
          <w:rFonts w:ascii="Arial" w:eastAsia="Times New Roman" w:hAnsi="Arial" w:cs="Arial"/>
          <w:b/>
          <w:bCs/>
          <w:sz w:val="24"/>
          <w:szCs w:val="24"/>
        </w:rPr>
      </w:pPr>
    </w:p>
    <w:p w:rsidR="00444C93" w:rsidRPr="00E07AC2" w:rsidRDefault="00444C93" w:rsidP="00444C93">
      <w:pPr>
        <w:widowControl w:val="0"/>
        <w:suppressAutoHyphens/>
        <w:spacing w:before="120" w:after="120" w:line="276" w:lineRule="auto"/>
        <w:ind w:firstLine="0"/>
        <w:jc w:val="center"/>
        <w:rPr>
          <w:rFonts w:ascii="Arial" w:eastAsia="Times New Roman" w:hAnsi="Arial" w:cs="Arial"/>
          <w:b/>
          <w:bCs/>
          <w:sz w:val="24"/>
          <w:szCs w:val="24"/>
        </w:rPr>
      </w:pPr>
      <w:r w:rsidRPr="00E07AC2">
        <w:rPr>
          <w:rFonts w:ascii="Arial" w:eastAsia="Times New Roman" w:hAnsi="Arial" w:cs="Arial"/>
          <w:b/>
          <w:bCs/>
          <w:sz w:val="24"/>
          <w:szCs w:val="24"/>
        </w:rPr>
        <w:t>Evoluția Comerțului Exterior ianuarie - mai 202</w:t>
      </w:r>
      <w:r w:rsidR="00E07AC2" w:rsidRPr="00E07AC2">
        <w:rPr>
          <w:rFonts w:ascii="Arial" w:eastAsia="Times New Roman" w:hAnsi="Arial" w:cs="Arial"/>
          <w:b/>
          <w:bCs/>
          <w:sz w:val="24"/>
          <w:szCs w:val="24"/>
        </w:rPr>
        <w:t>3</w:t>
      </w:r>
    </w:p>
    <w:p w:rsidR="00E07AC2" w:rsidRPr="00E07AC2" w:rsidRDefault="00E07AC2" w:rsidP="00444C93">
      <w:pPr>
        <w:widowControl w:val="0"/>
        <w:suppressAutoHyphens/>
        <w:spacing w:before="120" w:after="120" w:line="276" w:lineRule="auto"/>
        <w:ind w:firstLine="0"/>
        <w:jc w:val="center"/>
        <w:rPr>
          <w:rFonts w:ascii="Arial" w:eastAsia="Times New Roman" w:hAnsi="Arial" w:cs="Arial"/>
          <w:b/>
          <w:bCs/>
          <w:sz w:val="24"/>
          <w:szCs w:val="24"/>
        </w:rPr>
      </w:pPr>
      <w:r w:rsidRPr="00E07AC2">
        <w:rPr>
          <w:noProof/>
          <w:lang w:val="en-US"/>
        </w:rPr>
        <w:drawing>
          <wp:inline distT="0" distB="0" distL="0" distR="0" wp14:anchorId="512ECD14" wp14:editId="0B7E4E96">
            <wp:extent cx="5650302" cy="2702560"/>
            <wp:effectExtent l="57150" t="0" r="64770" b="116840"/>
            <wp:docPr id="1" name="Chart 1">
              <a:extLst xmlns:a="http://schemas.openxmlformats.org/drawingml/2006/main">
                <a:ext uri="{FF2B5EF4-FFF2-40B4-BE49-F238E27FC236}">
                  <a16:creationId xmlns:a16="http://schemas.microsoft.com/office/drawing/2014/main" id="{EDF500F3-B1CC-4A38-9AC6-FA7FE8B8D6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4C93" w:rsidRPr="00E07AC2" w:rsidRDefault="00444C93" w:rsidP="00444C93">
      <w:pPr>
        <w:widowControl w:val="0"/>
        <w:suppressAutoHyphens/>
        <w:spacing w:before="120" w:after="120" w:line="276" w:lineRule="auto"/>
        <w:ind w:firstLine="0"/>
        <w:rPr>
          <w:rFonts w:ascii="Tahoma" w:eastAsia="Times New Roman" w:hAnsi="Tahoma" w:cs="Tahoma"/>
          <w:b/>
          <w:bCs/>
          <w:sz w:val="24"/>
          <w:szCs w:val="24"/>
        </w:rPr>
      </w:pPr>
    </w:p>
    <w:p w:rsidR="00E07AC2" w:rsidRPr="00E07AC2" w:rsidRDefault="00E07AC2" w:rsidP="00E07AC2">
      <w:pPr>
        <w:tabs>
          <w:tab w:val="left" w:pos="4820"/>
        </w:tabs>
        <w:spacing w:after="120" w:line="276" w:lineRule="auto"/>
        <w:ind w:firstLine="0"/>
        <w:rPr>
          <w:rFonts w:ascii="Tahoma" w:hAnsi="Tahoma" w:cs="Tahoma"/>
          <w:sz w:val="24"/>
          <w:szCs w:val="24"/>
        </w:rPr>
      </w:pPr>
      <w:r w:rsidRPr="00E07AC2">
        <w:rPr>
          <w:rFonts w:ascii="Tahoma" w:hAnsi="Tahoma" w:cs="Tahoma"/>
          <w:b/>
          <w:sz w:val="24"/>
          <w:szCs w:val="24"/>
        </w:rPr>
        <w:t>Deficitul comercial FOB-CIF</w:t>
      </w:r>
      <w:r w:rsidRPr="00E07AC2">
        <w:rPr>
          <w:rFonts w:ascii="Tahoma" w:hAnsi="Tahoma" w:cs="Tahoma"/>
          <w:sz w:val="24"/>
          <w:szCs w:val="24"/>
        </w:rPr>
        <w:t xml:space="preserve">, în primele 5 luni ale anului 2023, a atins o valoare de 11,1 mld. euro, fiind cu 1,7 mld. euro mai mic decât în intervalul de </w:t>
      </w:r>
      <w:proofErr w:type="spellStart"/>
      <w:r w:rsidRPr="00E07AC2">
        <w:rPr>
          <w:rFonts w:ascii="Tahoma" w:hAnsi="Tahoma" w:cs="Tahoma"/>
          <w:sz w:val="24"/>
          <w:szCs w:val="24"/>
        </w:rPr>
        <w:t>comparaţie</w:t>
      </w:r>
      <w:proofErr w:type="spellEnd"/>
      <w:r w:rsidRPr="00E07AC2">
        <w:rPr>
          <w:rFonts w:ascii="Tahoma" w:hAnsi="Tahoma" w:cs="Tahoma"/>
          <w:sz w:val="24"/>
          <w:szCs w:val="24"/>
        </w:rPr>
        <w:t xml:space="preserve"> din 2022, recuperarea fiind atribuită în proporție de 95,2% schimburilor extra-comunitare.</w:t>
      </w:r>
    </w:p>
    <w:p w:rsidR="00E07AC2" w:rsidRPr="00E07AC2" w:rsidRDefault="00E07AC2" w:rsidP="00E07AC2">
      <w:pPr>
        <w:tabs>
          <w:tab w:val="left" w:pos="4820"/>
        </w:tabs>
        <w:spacing w:after="120" w:line="276" w:lineRule="auto"/>
        <w:ind w:firstLine="0"/>
        <w:rPr>
          <w:rFonts w:ascii="Tahoma" w:hAnsi="Tahoma" w:cs="Tahoma"/>
          <w:sz w:val="16"/>
          <w:szCs w:val="16"/>
        </w:rPr>
      </w:pPr>
      <w:r w:rsidRPr="00E07AC2">
        <w:rPr>
          <w:rFonts w:ascii="Tahoma" w:hAnsi="Tahoma" w:cs="Tahoma"/>
          <w:sz w:val="24"/>
          <w:szCs w:val="24"/>
        </w:rPr>
        <w:t xml:space="preserve">Zona de petrochimie (produse farmaceutice, </w:t>
      </w:r>
      <w:proofErr w:type="spellStart"/>
      <w:r w:rsidRPr="00E07AC2">
        <w:rPr>
          <w:rFonts w:ascii="Tahoma" w:hAnsi="Tahoma" w:cs="Tahoma"/>
          <w:sz w:val="24"/>
          <w:szCs w:val="24"/>
        </w:rPr>
        <w:t>îngrăşăminte</w:t>
      </w:r>
      <w:proofErr w:type="spellEnd"/>
      <w:r w:rsidRPr="00E07AC2">
        <w:rPr>
          <w:rFonts w:ascii="Tahoma" w:hAnsi="Tahoma" w:cs="Tahoma"/>
          <w:sz w:val="24"/>
          <w:szCs w:val="24"/>
        </w:rPr>
        <w:t xml:space="preserve">, materiale plastice etc.) a generat peste 47% din nivelul deficitului extern, cu o pierdere de 5,2 mld. euro, însă, pe parcursul ultimelor </w:t>
      </w:r>
      <w:proofErr w:type="spellStart"/>
      <w:r w:rsidRPr="00E07AC2">
        <w:rPr>
          <w:rFonts w:ascii="Tahoma" w:hAnsi="Tahoma" w:cs="Tahoma"/>
          <w:sz w:val="24"/>
          <w:szCs w:val="24"/>
        </w:rPr>
        <w:t>şase</w:t>
      </w:r>
      <w:proofErr w:type="spellEnd"/>
      <w:r w:rsidRPr="00E07AC2">
        <w:rPr>
          <w:rFonts w:ascii="Tahoma" w:hAnsi="Tahoma" w:cs="Tahoma"/>
          <w:sz w:val="24"/>
          <w:szCs w:val="24"/>
        </w:rPr>
        <w:t xml:space="preserve"> luni, </w:t>
      </w:r>
      <w:proofErr w:type="spellStart"/>
      <w:r w:rsidRPr="00E07AC2">
        <w:rPr>
          <w:rFonts w:ascii="Tahoma" w:hAnsi="Tahoma" w:cs="Tahoma"/>
          <w:sz w:val="24"/>
          <w:szCs w:val="24"/>
        </w:rPr>
        <w:t>evoluţia</w:t>
      </w:r>
      <w:proofErr w:type="spellEnd"/>
      <w:r w:rsidRPr="00E07AC2">
        <w:rPr>
          <w:rFonts w:ascii="Tahoma" w:hAnsi="Tahoma" w:cs="Tahoma"/>
          <w:sz w:val="24"/>
          <w:szCs w:val="24"/>
        </w:rPr>
        <w:t xml:space="preserve"> a fost una pozitivă, în sensul în care importurile au înregistrat scăderi încă din decembrie 2022.</w:t>
      </w:r>
    </w:p>
    <w:p w:rsidR="00E07AC2" w:rsidRPr="00E07AC2" w:rsidRDefault="00E07AC2" w:rsidP="00E07AC2">
      <w:pPr>
        <w:tabs>
          <w:tab w:val="left" w:pos="4820"/>
        </w:tabs>
        <w:spacing w:after="120" w:line="276" w:lineRule="auto"/>
        <w:ind w:firstLine="0"/>
        <w:rPr>
          <w:rFonts w:ascii="Tahoma" w:hAnsi="Tahoma" w:cs="Tahoma"/>
          <w:sz w:val="24"/>
          <w:szCs w:val="24"/>
        </w:rPr>
      </w:pPr>
      <w:r w:rsidRPr="00E07AC2">
        <w:rPr>
          <w:rFonts w:ascii="Tahoma" w:hAnsi="Tahoma" w:cs="Tahoma"/>
          <w:sz w:val="24"/>
          <w:szCs w:val="24"/>
        </w:rPr>
        <w:t xml:space="preserve">Valoarea de 2,5 mld. euro înregistrată la categoria mărfurilor manufacturate clasificate în principal după materia primă a reprezentat al doilea mare deficit comercial al primelor cinci luni ale anului 2023, în timp ce pierderea înregistrată în schimburile comerciale cu combustibili și lubrifianți a fost de 1,9 mld. euro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a constituit 16,8% din nivelul total al deficitului. </w:t>
      </w:r>
      <w:proofErr w:type="spellStart"/>
      <w:r w:rsidRPr="00E07AC2">
        <w:rPr>
          <w:rFonts w:ascii="Tahoma" w:hAnsi="Tahoma" w:cs="Tahoma"/>
          <w:sz w:val="24"/>
          <w:szCs w:val="24"/>
        </w:rPr>
        <w:t>Deşi</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achiziţiile</w:t>
      </w:r>
      <w:proofErr w:type="spellEnd"/>
      <w:r w:rsidRPr="00E07AC2">
        <w:rPr>
          <w:rFonts w:ascii="Tahoma" w:hAnsi="Tahoma" w:cs="Tahoma"/>
          <w:sz w:val="24"/>
          <w:szCs w:val="24"/>
        </w:rPr>
        <w:t xml:space="preserve"> de astfel de bunuri au avut o dinamică negativă, fiind </w:t>
      </w:r>
      <w:proofErr w:type="spellStart"/>
      <w:r w:rsidRPr="00E07AC2">
        <w:rPr>
          <w:rFonts w:ascii="Tahoma" w:hAnsi="Tahoma" w:cs="Tahoma"/>
          <w:sz w:val="24"/>
          <w:szCs w:val="24"/>
        </w:rPr>
        <w:t>influenţate</w:t>
      </w:r>
      <w:proofErr w:type="spellEnd"/>
      <w:r w:rsidRPr="00E07AC2">
        <w:rPr>
          <w:rFonts w:ascii="Tahoma" w:hAnsi="Tahoma" w:cs="Tahoma"/>
          <w:sz w:val="24"/>
          <w:szCs w:val="24"/>
        </w:rPr>
        <w:t xml:space="preserve"> de temperarea </w:t>
      </w:r>
      <w:proofErr w:type="spellStart"/>
      <w:r w:rsidRPr="00E07AC2">
        <w:rPr>
          <w:rFonts w:ascii="Tahoma" w:hAnsi="Tahoma" w:cs="Tahoma"/>
          <w:sz w:val="24"/>
          <w:szCs w:val="24"/>
        </w:rPr>
        <w:t>preţurilor</w:t>
      </w:r>
      <w:proofErr w:type="spellEnd"/>
      <w:r w:rsidRPr="00E07AC2">
        <w:rPr>
          <w:rFonts w:ascii="Tahoma" w:hAnsi="Tahoma" w:cs="Tahoma"/>
          <w:sz w:val="24"/>
          <w:szCs w:val="24"/>
        </w:rPr>
        <w:t xml:space="preserve"> pe </w:t>
      </w:r>
      <w:proofErr w:type="spellStart"/>
      <w:r w:rsidRPr="00E07AC2">
        <w:rPr>
          <w:rFonts w:ascii="Tahoma" w:hAnsi="Tahoma" w:cs="Tahoma"/>
          <w:sz w:val="24"/>
          <w:szCs w:val="24"/>
        </w:rPr>
        <w:t>pieţele</w:t>
      </w:r>
      <w:proofErr w:type="spellEnd"/>
      <w:r w:rsidRPr="00E07AC2">
        <w:rPr>
          <w:rFonts w:ascii="Tahoma" w:hAnsi="Tahoma" w:cs="Tahoma"/>
          <w:sz w:val="24"/>
          <w:szCs w:val="24"/>
        </w:rPr>
        <w:t xml:space="preserve"> externe, ele continuă să fie deficitare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să pună presiune pe soldul </w:t>
      </w:r>
      <w:proofErr w:type="spellStart"/>
      <w:r w:rsidRPr="00E07AC2">
        <w:rPr>
          <w:rFonts w:ascii="Tahoma" w:hAnsi="Tahoma" w:cs="Tahoma"/>
          <w:sz w:val="24"/>
          <w:szCs w:val="24"/>
        </w:rPr>
        <w:t>balanţei</w:t>
      </w:r>
      <w:proofErr w:type="spellEnd"/>
      <w:r w:rsidRPr="00E07AC2">
        <w:rPr>
          <w:rFonts w:ascii="Tahoma" w:hAnsi="Tahoma" w:cs="Tahoma"/>
          <w:sz w:val="24"/>
          <w:szCs w:val="24"/>
        </w:rPr>
        <w:t xml:space="preserve"> comerciale. </w:t>
      </w:r>
    </w:p>
    <w:p w:rsidR="00E07AC2" w:rsidRPr="00E07AC2" w:rsidRDefault="00E07AC2" w:rsidP="00E07AC2">
      <w:pPr>
        <w:tabs>
          <w:tab w:val="left" w:pos="4820"/>
        </w:tabs>
        <w:spacing w:after="120" w:line="276" w:lineRule="auto"/>
        <w:ind w:firstLine="0"/>
        <w:rPr>
          <w:rFonts w:ascii="Tahoma" w:hAnsi="Tahoma" w:cs="Tahoma"/>
          <w:sz w:val="24"/>
          <w:szCs w:val="24"/>
        </w:rPr>
      </w:pPr>
      <w:r w:rsidRPr="00E07AC2">
        <w:rPr>
          <w:rFonts w:ascii="Tahoma" w:hAnsi="Tahoma" w:cs="Tahoma"/>
          <w:sz w:val="24"/>
          <w:szCs w:val="24"/>
        </w:rPr>
        <w:t xml:space="preserve">Deficitul de alimente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animale vii, înregistrat în ianuarie-mai 2023, a fost de 1,7 mld. euro, situându-se cu aproape 1 mld. euro peste nivelul perioadei similare a anului 2022 </w:t>
      </w:r>
      <w:proofErr w:type="spellStart"/>
      <w:r w:rsidRPr="00E07AC2">
        <w:rPr>
          <w:rFonts w:ascii="Tahoma" w:hAnsi="Tahoma" w:cs="Tahoma"/>
          <w:sz w:val="24"/>
          <w:szCs w:val="24"/>
        </w:rPr>
        <w:lastRenderedPageBreak/>
        <w:t>şi</w:t>
      </w:r>
      <w:proofErr w:type="spellEnd"/>
      <w:r w:rsidRPr="00E07AC2">
        <w:rPr>
          <w:rFonts w:ascii="Tahoma" w:hAnsi="Tahoma" w:cs="Tahoma"/>
          <w:sz w:val="24"/>
          <w:szCs w:val="24"/>
        </w:rPr>
        <w:t xml:space="preserve"> a rezultat în totalitate din schimburile intra-comunitare. </w:t>
      </w:r>
      <w:proofErr w:type="spellStart"/>
      <w:r w:rsidRPr="00E07AC2">
        <w:rPr>
          <w:rFonts w:ascii="Tahoma" w:hAnsi="Tahoma" w:cs="Tahoma"/>
          <w:sz w:val="24"/>
          <w:szCs w:val="24"/>
        </w:rPr>
        <w:t>Comerţul</w:t>
      </w:r>
      <w:proofErr w:type="spellEnd"/>
      <w:r w:rsidRPr="00E07AC2">
        <w:rPr>
          <w:rFonts w:ascii="Tahoma" w:hAnsi="Tahoma" w:cs="Tahoma"/>
          <w:sz w:val="24"/>
          <w:szCs w:val="24"/>
        </w:rPr>
        <w:t xml:space="preserve"> cu mașini și echipamente pentru transport a realizat un parcurs favorabil, </w:t>
      </w:r>
      <w:proofErr w:type="spellStart"/>
      <w:r w:rsidRPr="00E07AC2">
        <w:rPr>
          <w:rFonts w:ascii="Tahoma" w:hAnsi="Tahoma" w:cs="Tahoma"/>
          <w:sz w:val="24"/>
          <w:szCs w:val="24"/>
        </w:rPr>
        <w:t>creşterea</w:t>
      </w:r>
      <w:proofErr w:type="spellEnd"/>
      <w:r w:rsidRPr="00E07AC2">
        <w:rPr>
          <w:rFonts w:ascii="Tahoma" w:hAnsi="Tahoma" w:cs="Tahoma"/>
          <w:sz w:val="24"/>
          <w:szCs w:val="24"/>
        </w:rPr>
        <w:t xml:space="preserve"> exporturilor </w:t>
      </w:r>
      <w:proofErr w:type="spellStart"/>
      <w:r w:rsidRPr="00E07AC2">
        <w:rPr>
          <w:rFonts w:ascii="Tahoma" w:hAnsi="Tahoma" w:cs="Tahoma"/>
          <w:sz w:val="24"/>
          <w:szCs w:val="24"/>
        </w:rPr>
        <w:t>reuşind</w:t>
      </w:r>
      <w:proofErr w:type="spellEnd"/>
      <w:r w:rsidRPr="00E07AC2">
        <w:rPr>
          <w:rFonts w:ascii="Tahoma" w:hAnsi="Tahoma" w:cs="Tahoma"/>
          <w:sz w:val="24"/>
          <w:szCs w:val="24"/>
        </w:rPr>
        <w:t xml:space="preserve"> să se situeze </w:t>
      </w:r>
      <w:proofErr w:type="spellStart"/>
      <w:r w:rsidRPr="00E07AC2">
        <w:rPr>
          <w:rFonts w:ascii="Tahoma" w:hAnsi="Tahoma" w:cs="Tahoma"/>
          <w:sz w:val="24"/>
          <w:szCs w:val="24"/>
        </w:rPr>
        <w:t>uşor</w:t>
      </w:r>
      <w:proofErr w:type="spellEnd"/>
      <w:r w:rsidRPr="00E07AC2">
        <w:rPr>
          <w:rFonts w:ascii="Tahoma" w:hAnsi="Tahoma" w:cs="Tahoma"/>
          <w:sz w:val="24"/>
          <w:szCs w:val="24"/>
        </w:rPr>
        <w:t xml:space="preserve"> peste cea a importurilor (12,5% la exporturi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11,8% la importuri)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au fost recuperate peste 50 mil. euro </w:t>
      </w:r>
      <w:proofErr w:type="spellStart"/>
      <w:r w:rsidRPr="00E07AC2">
        <w:rPr>
          <w:rFonts w:ascii="Tahoma" w:hAnsi="Tahoma" w:cs="Tahoma"/>
          <w:sz w:val="24"/>
          <w:szCs w:val="24"/>
        </w:rPr>
        <w:t>faţă</w:t>
      </w:r>
      <w:proofErr w:type="spellEnd"/>
      <w:r w:rsidRPr="00E07AC2">
        <w:rPr>
          <w:rFonts w:ascii="Tahoma" w:hAnsi="Tahoma" w:cs="Tahoma"/>
          <w:sz w:val="24"/>
          <w:szCs w:val="24"/>
        </w:rPr>
        <w:t xml:space="preserve"> de deficitul perioadei de </w:t>
      </w:r>
      <w:proofErr w:type="spellStart"/>
      <w:r w:rsidRPr="00E07AC2">
        <w:rPr>
          <w:rFonts w:ascii="Tahoma" w:hAnsi="Tahoma" w:cs="Tahoma"/>
          <w:sz w:val="24"/>
          <w:szCs w:val="24"/>
        </w:rPr>
        <w:t>comparaţie</w:t>
      </w:r>
      <w:proofErr w:type="spellEnd"/>
      <w:r w:rsidRPr="00E07AC2">
        <w:rPr>
          <w:rFonts w:ascii="Tahoma" w:hAnsi="Tahoma" w:cs="Tahoma"/>
          <w:sz w:val="24"/>
          <w:szCs w:val="24"/>
        </w:rPr>
        <w:t xml:space="preserve"> din anul 2022 (-385,3 mil. euro </w:t>
      </w:r>
      <w:proofErr w:type="spellStart"/>
      <w:r w:rsidRPr="00E07AC2">
        <w:rPr>
          <w:rFonts w:ascii="Tahoma" w:hAnsi="Tahoma" w:cs="Tahoma"/>
          <w:sz w:val="24"/>
          <w:szCs w:val="24"/>
        </w:rPr>
        <w:t>faţă</w:t>
      </w:r>
      <w:proofErr w:type="spellEnd"/>
      <w:r w:rsidRPr="00E07AC2">
        <w:rPr>
          <w:rFonts w:ascii="Tahoma" w:hAnsi="Tahoma" w:cs="Tahoma"/>
          <w:sz w:val="24"/>
          <w:szCs w:val="24"/>
        </w:rPr>
        <w:t xml:space="preserve"> de -437,3 mil. euro)</w:t>
      </w:r>
    </w:p>
    <w:p w:rsidR="00E07AC2" w:rsidRPr="00E07AC2" w:rsidRDefault="00E07AC2" w:rsidP="00E07AC2">
      <w:pPr>
        <w:keepNext/>
        <w:keepLines/>
        <w:suppressAutoHyphens/>
        <w:spacing w:after="120" w:line="276" w:lineRule="auto"/>
        <w:ind w:firstLine="0"/>
        <w:rPr>
          <w:rFonts w:ascii="Tahoma" w:eastAsia="Times New Roman" w:hAnsi="Tahoma" w:cs="Tahoma"/>
          <w:sz w:val="24"/>
          <w:szCs w:val="24"/>
        </w:rPr>
      </w:pPr>
      <w:r w:rsidRPr="00E07AC2">
        <w:rPr>
          <w:rFonts w:ascii="Tahoma" w:eastAsia="Times New Roman" w:hAnsi="Tahoma" w:cs="Tahoma"/>
          <w:b/>
          <w:sz w:val="24"/>
          <w:szCs w:val="24"/>
        </w:rPr>
        <w:t>Contul curent al balanței de plăți</w:t>
      </w:r>
      <w:r w:rsidRPr="00E07AC2">
        <w:rPr>
          <w:rFonts w:ascii="Tahoma" w:eastAsia="Times New Roman" w:hAnsi="Tahoma" w:cs="Tahoma"/>
          <w:sz w:val="24"/>
          <w:szCs w:val="24"/>
        </w:rPr>
        <w:t xml:space="preserve"> a înregistrat, în primele patru luni ale anului 2023, un deficit de 5,47 mld. euro, </w:t>
      </w:r>
      <w:r w:rsidRPr="00E07AC2">
        <w:rPr>
          <w:rFonts w:ascii="Tahoma" w:hAnsi="Tahoma" w:cs="Tahoma"/>
          <w:sz w:val="24"/>
          <w:szCs w:val="24"/>
        </w:rPr>
        <w:t>cu 29,2% mai puțin față de perioada similară a anului precedent, când valoarea deficitul contului curent a fost de 7,72 mld. euro.</w:t>
      </w:r>
      <w:r w:rsidRPr="00E07AC2">
        <w:rPr>
          <w:rFonts w:ascii="Tahoma" w:eastAsia="Times New Roman" w:hAnsi="Tahoma" w:cs="Tahoma"/>
          <w:sz w:val="24"/>
          <w:szCs w:val="24"/>
        </w:rPr>
        <w:t xml:space="preserve"> Recuperarea înregistrata în această perioadă a avut loc pe fondul reducerii deficitului comercial cu 8,0% (de la -9,30 mld. euro, la -8,56 mld. euro), concomitent cu majorarea cu 51,5% a excedentului înregistrat de </w:t>
      </w:r>
      <w:proofErr w:type="spellStart"/>
      <w:r w:rsidRPr="00E07AC2">
        <w:rPr>
          <w:rFonts w:ascii="Tahoma" w:eastAsia="Times New Roman" w:hAnsi="Tahoma" w:cs="Tahoma"/>
          <w:sz w:val="24"/>
          <w:szCs w:val="24"/>
        </w:rPr>
        <w:t>balanţa</w:t>
      </w:r>
      <w:proofErr w:type="spellEnd"/>
      <w:r w:rsidRPr="00E07AC2">
        <w:rPr>
          <w:rFonts w:ascii="Tahoma" w:eastAsia="Times New Roman" w:hAnsi="Tahoma" w:cs="Tahoma"/>
          <w:sz w:val="24"/>
          <w:szCs w:val="24"/>
        </w:rPr>
        <w:t xml:space="preserve"> serviciilor.</w:t>
      </w:r>
    </w:p>
    <w:p w:rsidR="00E07AC2" w:rsidRPr="00E07AC2" w:rsidRDefault="00E07AC2" w:rsidP="00E07AC2">
      <w:pPr>
        <w:keepNext/>
        <w:keepLines/>
        <w:suppressAutoHyphens/>
        <w:spacing w:after="120" w:line="276" w:lineRule="auto"/>
        <w:ind w:firstLine="0"/>
        <w:rPr>
          <w:rFonts w:ascii="Tahoma" w:eastAsia="Times New Roman" w:hAnsi="Tahoma" w:cs="Tahoma"/>
          <w:sz w:val="24"/>
          <w:szCs w:val="24"/>
        </w:rPr>
      </w:pPr>
      <w:r w:rsidRPr="00E07AC2">
        <w:rPr>
          <w:rFonts w:ascii="Tahoma" w:eastAsia="Times New Roman" w:hAnsi="Tahoma" w:cs="Tahoma"/>
          <w:sz w:val="24"/>
          <w:szCs w:val="24"/>
        </w:rPr>
        <w:t xml:space="preserve">Soldul negativ înregistrat de </w:t>
      </w:r>
      <w:proofErr w:type="spellStart"/>
      <w:r w:rsidRPr="00E07AC2">
        <w:rPr>
          <w:rFonts w:ascii="Tahoma" w:eastAsia="Times New Roman" w:hAnsi="Tahoma" w:cs="Tahoma"/>
          <w:sz w:val="24"/>
          <w:szCs w:val="24"/>
        </w:rPr>
        <w:t>balanţa</w:t>
      </w:r>
      <w:proofErr w:type="spellEnd"/>
      <w:r w:rsidRPr="00E07AC2">
        <w:rPr>
          <w:rFonts w:ascii="Tahoma" w:eastAsia="Times New Roman" w:hAnsi="Tahoma" w:cs="Tahoma"/>
          <w:sz w:val="24"/>
          <w:szCs w:val="24"/>
        </w:rPr>
        <w:t xml:space="preserve"> comercială s-a redus cu 743 mil. euro față de valoarea consemnată în primele patru luni din 2022, în condițiile în care dinamica exporturilor s-a situat cu 4,0 puncte procentuale peste cea a importurilor de bunuri (7,7% creșterea exporturilor față de creșterea de 3,7% a importurilor). </w:t>
      </w:r>
      <w:proofErr w:type="spellStart"/>
      <w:r w:rsidRPr="00E07AC2">
        <w:rPr>
          <w:rFonts w:ascii="Tahoma" w:eastAsia="Times New Roman" w:hAnsi="Tahoma" w:cs="Tahoma"/>
          <w:sz w:val="24"/>
          <w:szCs w:val="24"/>
        </w:rPr>
        <w:t>Tendinţa</w:t>
      </w:r>
      <w:proofErr w:type="spellEnd"/>
      <w:r w:rsidRPr="00E07AC2">
        <w:rPr>
          <w:rFonts w:ascii="Tahoma" w:eastAsia="Times New Roman" w:hAnsi="Tahoma" w:cs="Tahoma"/>
          <w:sz w:val="24"/>
          <w:szCs w:val="24"/>
        </w:rPr>
        <w:t xml:space="preserve"> de redresare a schimburilor comerciale reflectă comportamentul sectorului de export/import, în </w:t>
      </w:r>
      <w:proofErr w:type="spellStart"/>
      <w:r w:rsidRPr="00E07AC2">
        <w:rPr>
          <w:rFonts w:ascii="Tahoma" w:eastAsia="Times New Roman" w:hAnsi="Tahoma" w:cs="Tahoma"/>
          <w:sz w:val="24"/>
          <w:szCs w:val="24"/>
        </w:rPr>
        <w:t>condiţiile</w:t>
      </w:r>
      <w:proofErr w:type="spellEnd"/>
      <w:r w:rsidRPr="00E07AC2">
        <w:rPr>
          <w:rFonts w:ascii="Tahoma" w:eastAsia="Times New Roman" w:hAnsi="Tahoma" w:cs="Tahoma"/>
          <w:sz w:val="24"/>
          <w:szCs w:val="24"/>
        </w:rPr>
        <w:t xml:space="preserve"> atenuării </w:t>
      </w:r>
      <w:proofErr w:type="spellStart"/>
      <w:r w:rsidRPr="00E07AC2">
        <w:rPr>
          <w:rFonts w:ascii="Tahoma" w:eastAsia="Times New Roman" w:hAnsi="Tahoma" w:cs="Tahoma"/>
          <w:sz w:val="24"/>
          <w:szCs w:val="24"/>
        </w:rPr>
        <w:t>creşterii</w:t>
      </w:r>
      <w:proofErr w:type="spellEnd"/>
      <w:r w:rsidRPr="00E07AC2">
        <w:rPr>
          <w:rFonts w:ascii="Tahoma" w:eastAsia="Times New Roman" w:hAnsi="Tahoma" w:cs="Tahoma"/>
          <w:sz w:val="24"/>
          <w:szCs w:val="24"/>
        </w:rPr>
        <w:t xml:space="preserve"> </w:t>
      </w:r>
      <w:proofErr w:type="spellStart"/>
      <w:r w:rsidRPr="00E07AC2">
        <w:rPr>
          <w:rFonts w:ascii="Tahoma" w:eastAsia="Times New Roman" w:hAnsi="Tahoma" w:cs="Tahoma"/>
          <w:sz w:val="24"/>
          <w:szCs w:val="24"/>
        </w:rPr>
        <w:t>preţurilor</w:t>
      </w:r>
      <w:proofErr w:type="spellEnd"/>
      <w:r w:rsidRPr="00E07AC2">
        <w:rPr>
          <w:rFonts w:ascii="Tahoma" w:eastAsia="Times New Roman" w:hAnsi="Tahoma" w:cs="Tahoma"/>
          <w:sz w:val="24"/>
          <w:szCs w:val="24"/>
        </w:rPr>
        <w:t xml:space="preserve"> pe </w:t>
      </w:r>
      <w:proofErr w:type="spellStart"/>
      <w:r w:rsidRPr="00E07AC2">
        <w:rPr>
          <w:rFonts w:ascii="Tahoma" w:eastAsia="Times New Roman" w:hAnsi="Tahoma" w:cs="Tahoma"/>
          <w:sz w:val="24"/>
          <w:szCs w:val="24"/>
        </w:rPr>
        <w:t>pieţele</w:t>
      </w:r>
      <w:proofErr w:type="spellEnd"/>
      <w:r w:rsidRPr="00E07AC2">
        <w:rPr>
          <w:rFonts w:ascii="Tahoma" w:eastAsia="Times New Roman" w:hAnsi="Tahoma" w:cs="Tahoma"/>
          <w:sz w:val="24"/>
          <w:szCs w:val="24"/>
        </w:rPr>
        <w:t xml:space="preserve"> </w:t>
      </w:r>
      <w:proofErr w:type="spellStart"/>
      <w:r w:rsidRPr="00E07AC2">
        <w:rPr>
          <w:rFonts w:ascii="Tahoma" w:eastAsia="Times New Roman" w:hAnsi="Tahoma" w:cs="Tahoma"/>
          <w:sz w:val="24"/>
          <w:szCs w:val="24"/>
        </w:rPr>
        <w:t>internaţionale</w:t>
      </w:r>
      <w:proofErr w:type="spellEnd"/>
      <w:r w:rsidRPr="00E07AC2">
        <w:rPr>
          <w:rFonts w:ascii="Tahoma" w:eastAsia="Times New Roman" w:hAnsi="Tahoma" w:cs="Tahoma"/>
          <w:sz w:val="24"/>
          <w:szCs w:val="24"/>
        </w:rPr>
        <w:t xml:space="preserve"> la produsele energetice. </w:t>
      </w:r>
    </w:p>
    <w:p w:rsidR="00E07AC2" w:rsidRPr="00E07AC2" w:rsidRDefault="00E07AC2" w:rsidP="00E07AC2">
      <w:pPr>
        <w:suppressAutoHyphens/>
        <w:spacing w:after="120" w:line="276" w:lineRule="auto"/>
        <w:ind w:firstLine="0"/>
        <w:rPr>
          <w:rFonts w:ascii="Tahoma" w:eastAsia="Times New Roman" w:hAnsi="Tahoma" w:cs="Tahoma"/>
          <w:sz w:val="24"/>
          <w:szCs w:val="24"/>
        </w:rPr>
      </w:pPr>
      <w:r w:rsidRPr="00E07AC2">
        <w:rPr>
          <w:rFonts w:ascii="Tahoma" w:eastAsia="Times New Roman" w:hAnsi="Tahoma" w:cs="Tahoma"/>
          <w:sz w:val="24"/>
          <w:szCs w:val="24"/>
        </w:rPr>
        <w:t xml:space="preserve">În primele patru luni ale anului 2023, componenta de servicii a contribuit pozitiv la soldul balanței de plăți a României, cu un excedent de 5,05 mld. euro, provenit, în principal, din serviciile de telecomunicații, informatice și informaționale (+2,06 mld. euro) </w:t>
      </w:r>
      <w:proofErr w:type="spellStart"/>
      <w:r w:rsidRPr="00E07AC2">
        <w:rPr>
          <w:rFonts w:ascii="Tahoma" w:eastAsia="Times New Roman" w:hAnsi="Tahoma" w:cs="Tahoma"/>
          <w:sz w:val="24"/>
          <w:szCs w:val="24"/>
        </w:rPr>
        <w:t>şi</w:t>
      </w:r>
      <w:proofErr w:type="spellEnd"/>
      <w:r w:rsidRPr="00E07AC2">
        <w:rPr>
          <w:rFonts w:ascii="Tahoma" w:eastAsia="Times New Roman" w:hAnsi="Tahoma" w:cs="Tahoma"/>
          <w:sz w:val="24"/>
          <w:szCs w:val="24"/>
        </w:rPr>
        <w:t xml:space="preserve"> cele de transport (+2,01 mld. euro), care au fost susținute de majorarea cu 11,6% a încasărilor din transportul rutier de mărfuri. Au fost raportate valori pozitive în creștere </w:t>
      </w:r>
      <w:proofErr w:type="spellStart"/>
      <w:r w:rsidRPr="00E07AC2">
        <w:rPr>
          <w:rFonts w:ascii="Tahoma" w:eastAsia="Times New Roman" w:hAnsi="Tahoma" w:cs="Tahoma"/>
          <w:sz w:val="24"/>
          <w:szCs w:val="24"/>
        </w:rPr>
        <w:t>şi</w:t>
      </w:r>
      <w:proofErr w:type="spellEnd"/>
      <w:r w:rsidRPr="00E07AC2">
        <w:rPr>
          <w:rFonts w:ascii="Tahoma" w:eastAsia="Times New Roman" w:hAnsi="Tahoma" w:cs="Tahoma"/>
          <w:sz w:val="24"/>
          <w:szCs w:val="24"/>
        </w:rPr>
        <w:t xml:space="preserve"> la serviciile de prelucrare a bunurilor (un sold de 1,08 mld. euro), în timp ce la alte servicii pentru afaceri excedentul a avut o majorare de 2,6 ori, de la 317 mil. euro în primele patru luni din 2022, la 810 mil. euro în perioada similară a anului curent. Componenta de turism/călătorii a recuperat 75 mil. euro din deficitul înregistrat în primele patru luni ale anului 2022, dar continuă să influențeze în mod negativ evoluția contului curent. </w:t>
      </w:r>
    </w:p>
    <w:p w:rsidR="00E07AC2" w:rsidRPr="00E07AC2" w:rsidRDefault="00E07AC2" w:rsidP="00E07AC2">
      <w:pPr>
        <w:suppressAutoHyphens/>
        <w:spacing w:after="120" w:line="276" w:lineRule="auto"/>
        <w:ind w:firstLine="0"/>
        <w:rPr>
          <w:rFonts w:ascii="Tahoma" w:eastAsia="Times New Roman" w:hAnsi="Tahoma" w:cs="Tahoma"/>
          <w:sz w:val="24"/>
          <w:szCs w:val="24"/>
        </w:rPr>
      </w:pPr>
      <w:r w:rsidRPr="00E07AC2">
        <w:rPr>
          <w:rFonts w:ascii="Tahoma" w:eastAsia="Times New Roman" w:hAnsi="Tahoma" w:cs="Tahoma"/>
          <w:sz w:val="24"/>
          <w:szCs w:val="24"/>
        </w:rPr>
        <w:t xml:space="preserve">Un alt factor care a influențat dinamica soldului de cont curent a fost deteriorarea </w:t>
      </w:r>
      <w:proofErr w:type="spellStart"/>
      <w:r w:rsidRPr="00E07AC2">
        <w:rPr>
          <w:rFonts w:ascii="Tahoma" w:eastAsia="Times New Roman" w:hAnsi="Tahoma" w:cs="Tahoma"/>
          <w:sz w:val="24"/>
          <w:szCs w:val="24"/>
        </w:rPr>
        <w:t>balanţei</w:t>
      </w:r>
      <w:proofErr w:type="spellEnd"/>
      <w:r w:rsidRPr="00E07AC2">
        <w:rPr>
          <w:rFonts w:ascii="Tahoma" w:eastAsia="Times New Roman" w:hAnsi="Tahoma" w:cs="Tahoma"/>
          <w:sz w:val="24"/>
          <w:szCs w:val="24"/>
        </w:rPr>
        <w:t xml:space="preserve"> veniturilor primare, care a înregistrat o adâncire a deficitului cu 9,8%, ajungând la -2,38 mld. euro, pe fondul </w:t>
      </w:r>
      <w:proofErr w:type="spellStart"/>
      <w:r w:rsidRPr="00E07AC2">
        <w:rPr>
          <w:rFonts w:ascii="Tahoma" w:eastAsia="Times New Roman" w:hAnsi="Tahoma" w:cs="Tahoma"/>
          <w:sz w:val="24"/>
          <w:szCs w:val="24"/>
        </w:rPr>
        <w:t>ieşirilor</w:t>
      </w:r>
      <w:proofErr w:type="spellEnd"/>
      <w:r w:rsidRPr="00E07AC2">
        <w:rPr>
          <w:rFonts w:ascii="Tahoma" w:eastAsia="Times New Roman" w:hAnsi="Tahoma" w:cs="Tahoma"/>
          <w:sz w:val="24"/>
          <w:szCs w:val="24"/>
        </w:rPr>
        <w:t xml:space="preserve"> suplimentare de profit reinvestit (+184 mil. euro) </w:t>
      </w:r>
      <w:proofErr w:type="spellStart"/>
      <w:r w:rsidRPr="00E07AC2">
        <w:rPr>
          <w:rFonts w:ascii="Tahoma" w:eastAsia="Times New Roman" w:hAnsi="Tahoma" w:cs="Tahoma"/>
          <w:sz w:val="24"/>
          <w:szCs w:val="24"/>
        </w:rPr>
        <w:t>şi</w:t>
      </w:r>
      <w:proofErr w:type="spellEnd"/>
      <w:r w:rsidRPr="00E07AC2">
        <w:rPr>
          <w:rFonts w:ascii="Tahoma" w:eastAsia="Times New Roman" w:hAnsi="Tahoma" w:cs="Tahoma"/>
          <w:sz w:val="24"/>
          <w:szCs w:val="24"/>
        </w:rPr>
        <w:t xml:space="preserve"> a majorării a dobânzilor plătite de </w:t>
      </w:r>
      <w:proofErr w:type="spellStart"/>
      <w:r w:rsidRPr="00E07AC2">
        <w:rPr>
          <w:rFonts w:ascii="Tahoma" w:eastAsia="Times New Roman" w:hAnsi="Tahoma" w:cs="Tahoma"/>
          <w:sz w:val="24"/>
          <w:szCs w:val="24"/>
        </w:rPr>
        <w:t>administraţia</w:t>
      </w:r>
      <w:proofErr w:type="spellEnd"/>
      <w:r w:rsidRPr="00E07AC2">
        <w:rPr>
          <w:rFonts w:ascii="Tahoma" w:eastAsia="Times New Roman" w:hAnsi="Tahoma" w:cs="Tahoma"/>
          <w:sz w:val="24"/>
          <w:szCs w:val="24"/>
        </w:rPr>
        <w:t xml:space="preserve"> publică în contul împrumuturilor externe pe termen lung (+272 mil. euro). În </w:t>
      </w:r>
      <w:proofErr w:type="spellStart"/>
      <w:r w:rsidRPr="00E07AC2">
        <w:rPr>
          <w:rFonts w:ascii="Tahoma" w:eastAsia="Times New Roman" w:hAnsi="Tahoma" w:cs="Tahoma"/>
          <w:sz w:val="24"/>
          <w:szCs w:val="24"/>
        </w:rPr>
        <w:t>acelaşi</w:t>
      </w:r>
      <w:proofErr w:type="spellEnd"/>
      <w:r w:rsidRPr="00E07AC2">
        <w:rPr>
          <w:rFonts w:ascii="Tahoma" w:eastAsia="Times New Roman" w:hAnsi="Tahoma" w:cs="Tahoma"/>
          <w:sz w:val="24"/>
          <w:szCs w:val="24"/>
        </w:rPr>
        <w:t xml:space="preserve"> timp, </w:t>
      </w:r>
      <w:proofErr w:type="spellStart"/>
      <w:r w:rsidRPr="00E07AC2">
        <w:rPr>
          <w:rFonts w:ascii="Tahoma" w:eastAsia="Times New Roman" w:hAnsi="Tahoma" w:cs="Tahoma"/>
          <w:sz w:val="24"/>
          <w:szCs w:val="24"/>
        </w:rPr>
        <w:t>balanţa</w:t>
      </w:r>
      <w:proofErr w:type="spellEnd"/>
      <w:r w:rsidRPr="00E07AC2">
        <w:rPr>
          <w:rFonts w:ascii="Tahoma" w:eastAsia="Times New Roman" w:hAnsi="Tahoma" w:cs="Tahoma"/>
          <w:sz w:val="24"/>
          <w:szCs w:val="24"/>
        </w:rPr>
        <w:t xml:space="preserve"> veniturilor secundare s-a închis cu un sold pozitiv de 422 mil. euro, în </w:t>
      </w:r>
      <w:proofErr w:type="spellStart"/>
      <w:r w:rsidRPr="00E07AC2">
        <w:rPr>
          <w:rFonts w:ascii="Tahoma" w:eastAsia="Times New Roman" w:hAnsi="Tahoma" w:cs="Tahoma"/>
          <w:sz w:val="24"/>
          <w:szCs w:val="24"/>
        </w:rPr>
        <w:t>creştere</w:t>
      </w:r>
      <w:proofErr w:type="spellEnd"/>
      <w:r w:rsidRPr="00E07AC2">
        <w:rPr>
          <w:rFonts w:ascii="Tahoma" w:eastAsia="Times New Roman" w:hAnsi="Tahoma" w:cs="Tahoma"/>
          <w:sz w:val="24"/>
          <w:szCs w:val="24"/>
        </w:rPr>
        <w:t xml:space="preserve"> cu 1,4% față de ianuarie-aprilie 2022, această majorare fiind generată, în principal, de componenta de fonduri europene (+229 mil. euro) </w:t>
      </w:r>
      <w:proofErr w:type="spellStart"/>
      <w:r w:rsidRPr="00E07AC2">
        <w:rPr>
          <w:rFonts w:ascii="Tahoma" w:eastAsia="Times New Roman" w:hAnsi="Tahoma" w:cs="Tahoma"/>
          <w:sz w:val="24"/>
          <w:szCs w:val="24"/>
        </w:rPr>
        <w:t>şi</w:t>
      </w:r>
      <w:proofErr w:type="spellEnd"/>
      <w:r w:rsidRPr="00E07AC2">
        <w:rPr>
          <w:rFonts w:ascii="Tahoma" w:eastAsia="Times New Roman" w:hAnsi="Tahoma" w:cs="Tahoma"/>
          <w:sz w:val="24"/>
          <w:szCs w:val="24"/>
        </w:rPr>
        <w:t xml:space="preserve"> atenuată de transferurile curente ale lucrătorilor (-282 mil. euro).</w:t>
      </w:r>
    </w:p>
    <w:p w:rsidR="00E07AC2" w:rsidRPr="00E07AC2" w:rsidRDefault="00E07AC2" w:rsidP="00E07AC2">
      <w:pPr>
        <w:suppressAutoHyphens/>
        <w:spacing w:after="120" w:line="276" w:lineRule="auto"/>
        <w:ind w:firstLine="0"/>
        <w:rPr>
          <w:rFonts w:ascii="Tahoma" w:eastAsia="Times New Roman" w:hAnsi="Tahoma" w:cs="Tahoma"/>
          <w:sz w:val="24"/>
          <w:szCs w:val="24"/>
        </w:rPr>
      </w:pPr>
      <w:r w:rsidRPr="00E07AC2">
        <w:rPr>
          <w:rFonts w:ascii="Tahoma" w:eastAsia="Times New Roman" w:hAnsi="Tahoma" w:cs="Tahoma"/>
          <w:b/>
          <w:sz w:val="24"/>
          <w:szCs w:val="24"/>
        </w:rPr>
        <w:t>Investițiile străine directe</w:t>
      </w:r>
      <w:r w:rsidRPr="00E07AC2">
        <w:rPr>
          <w:rFonts w:ascii="Tahoma" w:eastAsia="Times New Roman" w:hAnsi="Tahoma" w:cs="Tahoma"/>
          <w:sz w:val="24"/>
          <w:szCs w:val="24"/>
        </w:rPr>
        <w:t xml:space="preserve"> au înregistrat, în perioada ianuarie-aprilie 2023, o valoare de 2,91 mld. euro, cu 12,6% sub nivelul înregistrat în </w:t>
      </w:r>
      <w:proofErr w:type="spellStart"/>
      <w:r w:rsidRPr="00E07AC2">
        <w:rPr>
          <w:rFonts w:ascii="Tahoma" w:eastAsia="Times New Roman" w:hAnsi="Tahoma" w:cs="Tahoma"/>
          <w:sz w:val="24"/>
          <w:szCs w:val="24"/>
        </w:rPr>
        <w:t>aceeaşi</w:t>
      </w:r>
      <w:proofErr w:type="spellEnd"/>
      <w:r w:rsidRPr="00E07AC2">
        <w:rPr>
          <w:rFonts w:ascii="Tahoma" w:eastAsia="Times New Roman" w:hAnsi="Tahoma" w:cs="Tahoma"/>
          <w:sz w:val="24"/>
          <w:szCs w:val="24"/>
        </w:rPr>
        <w:t xml:space="preserve"> perioadă a anului </w:t>
      </w:r>
      <w:r w:rsidRPr="00E07AC2">
        <w:rPr>
          <w:rFonts w:ascii="Tahoma" w:eastAsia="Times New Roman" w:hAnsi="Tahoma" w:cs="Tahoma"/>
          <w:sz w:val="24"/>
          <w:szCs w:val="24"/>
        </w:rPr>
        <w:lastRenderedPageBreak/>
        <w:t xml:space="preserve">2022 și au acoperit 53,2% din deficitul de cont curent. Investițiile reale în economie (reprezentate de participațiile la capital </w:t>
      </w:r>
      <w:proofErr w:type="spellStart"/>
      <w:r w:rsidRPr="00E07AC2">
        <w:rPr>
          <w:rFonts w:ascii="Tahoma" w:eastAsia="Times New Roman" w:hAnsi="Tahoma" w:cs="Tahoma"/>
          <w:sz w:val="24"/>
          <w:szCs w:val="24"/>
        </w:rPr>
        <w:t>şi</w:t>
      </w:r>
      <w:proofErr w:type="spellEnd"/>
      <w:r w:rsidRPr="00E07AC2">
        <w:rPr>
          <w:rFonts w:ascii="Tahoma" w:eastAsia="Times New Roman" w:hAnsi="Tahoma" w:cs="Tahoma"/>
          <w:sz w:val="24"/>
          <w:szCs w:val="24"/>
        </w:rPr>
        <w:t xml:space="preserve"> profit reinvestit) au fost de 3,38 mld. euro, în timp ce creditele intra-grup au înregistrat o valoare netă negativă de 474 mil. euro. </w:t>
      </w:r>
    </w:p>
    <w:p w:rsidR="00E07AC2" w:rsidRDefault="00E07AC2" w:rsidP="00E07AC2">
      <w:pPr>
        <w:widowControl w:val="0"/>
        <w:suppressAutoHyphens/>
        <w:spacing w:after="120" w:line="276" w:lineRule="auto"/>
        <w:ind w:firstLine="0"/>
        <w:rPr>
          <w:rFonts w:ascii="Tahoma" w:eastAsia="Times New Roman" w:hAnsi="Tahoma" w:cs="Tahoma"/>
          <w:sz w:val="24"/>
          <w:szCs w:val="24"/>
        </w:rPr>
      </w:pPr>
      <w:proofErr w:type="spellStart"/>
      <w:r w:rsidRPr="00E07AC2">
        <w:rPr>
          <w:rFonts w:ascii="Tahoma" w:eastAsia="Times New Roman" w:hAnsi="Tahoma" w:cs="Tahoma"/>
          <w:b/>
          <w:sz w:val="24"/>
          <w:szCs w:val="24"/>
        </w:rPr>
        <w:t>Preţurile</w:t>
      </w:r>
      <w:proofErr w:type="spellEnd"/>
      <w:r w:rsidRPr="00E07AC2">
        <w:rPr>
          <w:rFonts w:ascii="Tahoma" w:eastAsia="Times New Roman" w:hAnsi="Tahoma" w:cs="Tahoma"/>
          <w:b/>
          <w:sz w:val="24"/>
          <w:szCs w:val="24"/>
        </w:rPr>
        <w:t xml:space="preserve"> de consum</w:t>
      </w:r>
      <w:r w:rsidRPr="00E07AC2">
        <w:rPr>
          <w:rFonts w:ascii="Tahoma" w:eastAsia="Times New Roman" w:hAnsi="Tahoma" w:cs="Tahoma"/>
          <w:sz w:val="24"/>
          <w:szCs w:val="24"/>
        </w:rPr>
        <w:t xml:space="preserve"> s-au încadrat pe un trend descendent pe întregul </w:t>
      </w:r>
      <w:proofErr w:type="spellStart"/>
      <w:r w:rsidRPr="00E07AC2">
        <w:rPr>
          <w:rFonts w:ascii="Tahoma" w:eastAsia="Times New Roman" w:hAnsi="Tahoma" w:cs="Tahoma"/>
          <w:sz w:val="24"/>
          <w:szCs w:val="24"/>
        </w:rPr>
        <w:t>lanţ</w:t>
      </w:r>
      <w:proofErr w:type="spellEnd"/>
      <w:r w:rsidRPr="00E07AC2">
        <w:rPr>
          <w:rFonts w:ascii="Tahoma" w:eastAsia="Times New Roman" w:hAnsi="Tahoma" w:cs="Tahoma"/>
          <w:sz w:val="24"/>
          <w:szCs w:val="24"/>
        </w:rPr>
        <w:t xml:space="preserve"> între producători </w:t>
      </w:r>
      <w:proofErr w:type="spellStart"/>
      <w:r w:rsidRPr="00E07AC2">
        <w:rPr>
          <w:rFonts w:ascii="Tahoma" w:eastAsia="Times New Roman" w:hAnsi="Tahoma" w:cs="Tahoma"/>
          <w:sz w:val="24"/>
          <w:szCs w:val="24"/>
        </w:rPr>
        <w:t>şi</w:t>
      </w:r>
      <w:proofErr w:type="spellEnd"/>
      <w:r w:rsidRPr="00E07AC2">
        <w:rPr>
          <w:rFonts w:ascii="Tahoma" w:eastAsia="Times New Roman" w:hAnsi="Tahoma" w:cs="Tahoma"/>
          <w:sz w:val="24"/>
          <w:szCs w:val="24"/>
        </w:rPr>
        <w:t xml:space="preserve"> consumatori, </w:t>
      </w:r>
      <w:proofErr w:type="spellStart"/>
      <w:r w:rsidRPr="00E07AC2">
        <w:rPr>
          <w:rFonts w:ascii="Tahoma" w:eastAsia="Times New Roman" w:hAnsi="Tahoma" w:cs="Tahoma"/>
          <w:sz w:val="24"/>
          <w:szCs w:val="24"/>
        </w:rPr>
        <w:t>inflaţia</w:t>
      </w:r>
      <w:proofErr w:type="spellEnd"/>
      <w:r w:rsidRPr="00E07AC2">
        <w:rPr>
          <w:rFonts w:ascii="Tahoma" w:eastAsia="Times New Roman" w:hAnsi="Tahoma" w:cs="Tahoma"/>
          <w:sz w:val="24"/>
          <w:szCs w:val="24"/>
        </w:rPr>
        <w:t xml:space="preserve"> înregistrând la nivelul primelor cinci luni din anul 2023 o rată medie de 13,34%. Remarcăm </w:t>
      </w:r>
      <w:proofErr w:type="spellStart"/>
      <w:r w:rsidRPr="00E07AC2">
        <w:rPr>
          <w:rFonts w:ascii="Tahoma" w:eastAsia="Times New Roman" w:hAnsi="Tahoma" w:cs="Tahoma"/>
          <w:sz w:val="24"/>
          <w:szCs w:val="24"/>
        </w:rPr>
        <w:t>menţinerea</w:t>
      </w:r>
      <w:proofErr w:type="spellEnd"/>
      <w:r w:rsidRPr="00E07AC2">
        <w:rPr>
          <w:rFonts w:ascii="Tahoma" w:eastAsia="Times New Roman" w:hAnsi="Tahoma" w:cs="Tahoma"/>
          <w:sz w:val="24"/>
          <w:szCs w:val="24"/>
        </w:rPr>
        <w:t xml:space="preserve"> dinamicii </w:t>
      </w:r>
      <w:proofErr w:type="spellStart"/>
      <w:r w:rsidRPr="00E07AC2">
        <w:rPr>
          <w:rFonts w:ascii="Tahoma" w:eastAsia="Times New Roman" w:hAnsi="Tahoma" w:cs="Tahoma"/>
          <w:sz w:val="24"/>
          <w:szCs w:val="24"/>
        </w:rPr>
        <w:t>preţurilor</w:t>
      </w:r>
      <w:proofErr w:type="spellEnd"/>
      <w:r w:rsidRPr="00E07AC2">
        <w:rPr>
          <w:rFonts w:ascii="Tahoma" w:eastAsia="Times New Roman" w:hAnsi="Tahoma" w:cs="Tahoma"/>
          <w:sz w:val="24"/>
          <w:szCs w:val="24"/>
        </w:rPr>
        <w:t xml:space="preserve"> produselor alimentare din această perioadă la un nivel ridicat, </w:t>
      </w:r>
      <w:proofErr w:type="spellStart"/>
      <w:r w:rsidRPr="00E07AC2">
        <w:rPr>
          <w:rFonts w:ascii="Tahoma" w:eastAsia="Times New Roman" w:hAnsi="Tahoma" w:cs="Tahoma"/>
          <w:sz w:val="24"/>
          <w:szCs w:val="24"/>
        </w:rPr>
        <w:t>depăşind</w:t>
      </w:r>
      <w:proofErr w:type="spellEnd"/>
      <w:r w:rsidRPr="00E07AC2">
        <w:rPr>
          <w:rFonts w:ascii="Tahoma" w:eastAsia="Times New Roman" w:hAnsi="Tahoma" w:cs="Tahoma"/>
          <w:sz w:val="24"/>
          <w:szCs w:val="24"/>
        </w:rPr>
        <w:t xml:space="preserve"> </w:t>
      </w:r>
      <w:proofErr w:type="spellStart"/>
      <w:r w:rsidRPr="00E07AC2">
        <w:rPr>
          <w:rFonts w:ascii="Tahoma" w:eastAsia="Times New Roman" w:hAnsi="Tahoma" w:cs="Tahoma"/>
          <w:sz w:val="24"/>
          <w:szCs w:val="24"/>
        </w:rPr>
        <w:t>creşterea</w:t>
      </w:r>
      <w:proofErr w:type="spellEnd"/>
      <w:r w:rsidRPr="00E07AC2">
        <w:rPr>
          <w:rFonts w:ascii="Tahoma" w:eastAsia="Times New Roman" w:hAnsi="Tahoma" w:cs="Tahoma"/>
          <w:sz w:val="24"/>
          <w:szCs w:val="24"/>
        </w:rPr>
        <w:t xml:space="preserve"> medie cu 7,6 puncte procentuale, ca urmare a efectelor de runda a doua a majorării </w:t>
      </w:r>
      <w:proofErr w:type="spellStart"/>
      <w:r w:rsidRPr="00E07AC2">
        <w:rPr>
          <w:rFonts w:ascii="Tahoma" w:eastAsia="Times New Roman" w:hAnsi="Tahoma" w:cs="Tahoma"/>
          <w:sz w:val="24"/>
          <w:szCs w:val="24"/>
        </w:rPr>
        <w:t>preţurilor</w:t>
      </w:r>
      <w:proofErr w:type="spellEnd"/>
      <w:r w:rsidRPr="00E07AC2">
        <w:rPr>
          <w:rFonts w:ascii="Tahoma" w:eastAsia="Times New Roman" w:hAnsi="Tahoma" w:cs="Tahoma"/>
          <w:sz w:val="24"/>
          <w:szCs w:val="24"/>
        </w:rPr>
        <w:t xml:space="preserve"> bunurilor energetice </w:t>
      </w:r>
      <w:proofErr w:type="spellStart"/>
      <w:r w:rsidRPr="00E07AC2">
        <w:rPr>
          <w:rFonts w:ascii="Tahoma" w:eastAsia="Times New Roman" w:hAnsi="Tahoma" w:cs="Tahoma"/>
          <w:sz w:val="24"/>
          <w:szCs w:val="24"/>
        </w:rPr>
        <w:t>şi</w:t>
      </w:r>
      <w:proofErr w:type="spellEnd"/>
      <w:r w:rsidRPr="00E07AC2">
        <w:rPr>
          <w:rFonts w:ascii="Tahoma" w:eastAsia="Times New Roman" w:hAnsi="Tahoma" w:cs="Tahoma"/>
          <w:sz w:val="24"/>
          <w:szCs w:val="24"/>
        </w:rPr>
        <w:t xml:space="preserve"> a produselor agroalimentare.</w:t>
      </w:r>
    </w:p>
    <w:p w:rsidR="00E07AC2" w:rsidRPr="00E07AC2" w:rsidRDefault="00E07AC2" w:rsidP="00E07AC2">
      <w:pPr>
        <w:widowControl w:val="0"/>
        <w:suppressAutoHyphens/>
        <w:spacing w:after="120" w:line="276" w:lineRule="auto"/>
        <w:ind w:firstLine="0"/>
        <w:rPr>
          <w:rFonts w:ascii="Tahoma" w:eastAsia="Times New Roman" w:hAnsi="Tahoma" w:cs="Tahoma"/>
          <w:sz w:val="24"/>
          <w:szCs w:val="24"/>
        </w:rPr>
      </w:pPr>
    </w:p>
    <w:p w:rsidR="00444C93" w:rsidRPr="00E07AC2" w:rsidRDefault="00444C93" w:rsidP="00444C93">
      <w:pPr>
        <w:widowControl w:val="0"/>
        <w:suppressAutoHyphens/>
        <w:spacing w:after="120" w:line="276" w:lineRule="auto"/>
        <w:ind w:hanging="360"/>
        <w:jc w:val="center"/>
        <w:rPr>
          <w:rFonts w:ascii="Arial" w:eastAsia="Times New Roman" w:hAnsi="Arial" w:cs="Arial"/>
          <w:b/>
          <w:bCs/>
          <w:sz w:val="24"/>
          <w:szCs w:val="24"/>
        </w:rPr>
      </w:pPr>
      <w:r w:rsidRPr="00E07AC2">
        <w:rPr>
          <w:rFonts w:ascii="Arial" w:eastAsia="Times New Roman" w:hAnsi="Arial" w:cs="Arial"/>
          <w:b/>
          <w:bCs/>
          <w:sz w:val="24"/>
          <w:szCs w:val="24"/>
        </w:rPr>
        <w:t>Contribuții la rata anuală a inflației (%)</w:t>
      </w:r>
    </w:p>
    <w:p w:rsidR="00E07AC2" w:rsidRPr="00E07AC2" w:rsidRDefault="00E07AC2" w:rsidP="00104C14">
      <w:pPr>
        <w:widowControl w:val="0"/>
        <w:suppressAutoHyphens/>
        <w:spacing w:after="120" w:line="276" w:lineRule="auto"/>
        <w:ind w:firstLine="0"/>
        <w:jc w:val="center"/>
        <w:rPr>
          <w:rFonts w:ascii="Arial" w:eastAsia="Times New Roman" w:hAnsi="Arial" w:cs="Arial"/>
          <w:b/>
          <w:bCs/>
          <w:sz w:val="24"/>
          <w:szCs w:val="24"/>
        </w:rPr>
      </w:pPr>
      <w:r w:rsidRPr="00E07AC2">
        <w:rPr>
          <w:noProof/>
          <w:lang w:val="en-US"/>
        </w:rPr>
        <w:drawing>
          <wp:inline distT="0" distB="0" distL="0" distR="0" wp14:anchorId="07998D90" wp14:editId="28D88237">
            <wp:extent cx="5702061" cy="2606675"/>
            <wp:effectExtent l="0" t="0" r="13335" b="31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4C93" w:rsidRPr="00E07AC2" w:rsidRDefault="00444C93" w:rsidP="00444C93">
      <w:pPr>
        <w:widowControl w:val="0"/>
        <w:suppressAutoHyphens/>
        <w:spacing w:line="276" w:lineRule="auto"/>
        <w:ind w:firstLine="0"/>
        <w:rPr>
          <w:rFonts w:ascii="Tahoma" w:eastAsia="Times New Roman" w:hAnsi="Tahoma" w:cs="Tahoma"/>
          <w:b/>
          <w:noProof/>
          <w:sz w:val="24"/>
          <w:szCs w:val="24"/>
        </w:rPr>
      </w:pPr>
    </w:p>
    <w:p w:rsidR="00E07AC2" w:rsidRPr="00E07AC2" w:rsidRDefault="00E07AC2" w:rsidP="00E07AC2">
      <w:pPr>
        <w:widowControl w:val="0"/>
        <w:suppressAutoHyphens/>
        <w:spacing w:after="120" w:line="276" w:lineRule="auto"/>
        <w:ind w:firstLine="0"/>
        <w:rPr>
          <w:rFonts w:ascii="Tahoma" w:eastAsia="Times New Roman" w:hAnsi="Tahoma" w:cs="Tahoma"/>
          <w:sz w:val="24"/>
          <w:szCs w:val="24"/>
        </w:rPr>
      </w:pPr>
      <w:bookmarkStart w:id="8" w:name="_Toc456256933"/>
      <w:bookmarkStart w:id="9" w:name="_Toc456257457"/>
      <w:bookmarkStart w:id="10" w:name="_Toc456258315"/>
      <w:bookmarkStart w:id="11" w:name="_Toc456258420"/>
      <w:r w:rsidRPr="00E07AC2">
        <w:rPr>
          <w:rFonts w:ascii="Tahoma" w:eastAsia="Times New Roman" w:hAnsi="Tahoma" w:cs="Tahoma"/>
          <w:sz w:val="24"/>
          <w:szCs w:val="24"/>
        </w:rPr>
        <w:t xml:space="preserve">Totodată, măsurile de combatere a inflației din ultima perioadă, ca </w:t>
      </w:r>
      <w:proofErr w:type="spellStart"/>
      <w:r w:rsidRPr="00E07AC2">
        <w:rPr>
          <w:rFonts w:ascii="Tahoma" w:eastAsia="Times New Roman" w:hAnsi="Tahoma" w:cs="Tahoma"/>
          <w:sz w:val="24"/>
          <w:szCs w:val="24"/>
        </w:rPr>
        <w:t>şi</w:t>
      </w:r>
      <w:proofErr w:type="spellEnd"/>
      <w:r w:rsidRPr="00E07AC2">
        <w:rPr>
          <w:rFonts w:ascii="Tahoma" w:eastAsia="Times New Roman" w:hAnsi="Tahoma" w:cs="Tahoma"/>
          <w:sz w:val="24"/>
          <w:szCs w:val="24"/>
        </w:rPr>
        <w:t xml:space="preserve"> reducerea </w:t>
      </w:r>
      <w:proofErr w:type="spellStart"/>
      <w:r w:rsidRPr="00E07AC2">
        <w:rPr>
          <w:rFonts w:ascii="Tahoma" w:eastAsia="Times New Roman" w:hAnsi="Tahoma" w:cs="Tahoma"/>
          <w:sz w:val="24"/>
          <w:szCs w:val="24"/>
        </w:rPr>
        <w:t>preţurilor</w:t>
      </w:r>
      <w:proofErr w:type="spellEnd"/>
      <w:r w:rsidRPr="00E07AC2">
        <w:rPr>
          <w:rFonts w:ascii="Tahoma" w:eastAsia="Times New Roman" w:hAnsi="Tahoma" w:cs="Tahoma"/>
          <w:sz w:val="24"/>
          <w:szCs w:val="24"/>
        </w:rPr>
        <w:t xml:space="preserve"> globale pentru bunurile energetice au avut un efect de temperare a ascensiunii </w:t>
      </w:r>
      <w:proofErr w:type="spellStart"/>
      <w:r w:rsidRPr="00E07AC2">
        <w:rPr>
          <w:rFonts w:ascii="Tahoma" w:eastAsia="Times New Roman" w:hAnsi="Tahoma" w:cs="Tahoma"/>
          <w:sz w:val="24"/>
          <w:szCs w:val="24"/>
        </w:rPr>
        <w:t>preţurilor</w:t>
      </w:r>
      <w:proofErr w:type="spellEnd"/>
      <w:r w:rsidRPr="00E07AC2">
        <w:rPr>
          <w:rFonts w:ascii="Tahoma" w:eastAsia="Times New Roman" w:hAnsi="Tahoma" w:cs="Tahoma"/>
          <w:sz w:val="24"/>
          <w:szCs w:val="24"/>
        </w:rPr>
        <w:t xml:space="preserve"> de consum pe total, traiectoria </w:t>
      </w:r>
      <w:proofErr w:type="spellStart"/>
      <w:r w:rsidRPr="00E07AC2">
        <w:rPr>
          <w:rFonts w:ascii="Tahoma" w:eastAsia="Times New Roman" w:hAnsi="Tahoma" w:cs="Tahoma"/>
          <w:sz w:val="24"/>
          <w:szCs w:val="24"/>
        </w:rPr>
        <w:t>inflaţiei</w:t>
      </w:r>
      <w:proofErr w:type="spellEnd"/>
      <w:r w:rsidRPr="00E07AC2">
        <w:rPr>
          <w:rFonts w:ascii="Tahoma" w:eastAsia="Times New Roman" w:hAnsi="Tahoma" w:cs="Tahoma"/>
          <w:sz w:val="24"/>
          <w:szCs w:val="24"/>
        </w:rPr>
        <w:t xml:space="preserve"> încadrându-se pe un trend descrescător. </w:t>
      </w:r>
      <w:proofErr w:type="spellStart"/>
      <w:r w:rsidRPr="00E07AC2">
        <w:rPr>
          <w:rFonts w:ascii="Tahoma" w:eastAsia="Times New Roman" w:hAnsi="Tahoma" w:cs="Tahoma"/>
          <w:sz w:val="24"/>
          <w:szCs w:val="24"/>
        </w:rPr>
        <w:t>Inflaţia</w:t>
      </w:r>
      <w:proofErr w:type="spellEnd"/>
      <w:r w:rsidRPr="00E07AC2">
        <w:rPr>
          <w:rFonts w:ascii="Tahoma" w:eastAsia="Times New Roman" w:hAnsi="Tahoma" w:cs="Tahoma"/>
          <w:sz w:val="24"/>
          <w:szCs w:val="24"/>
        </w:rPr>
        <w:t xml:space="preserve"> anuală a ajuns la 10,64% în mai 2023, după ce în decembrie an anterior s-a situat la 16,37%.</w:t>
      </w:r>
    </w:p>
    <w:p w:rsidR="00E07AC2" w:rsidRPr="00E07AC2" w:rsidRDefault="00E07AC2" w:rsidP="00E07AC2">
      <w:pPr>
        <w:widowControl w:val="0"/>
        <w:suppressAutoHyphens/>
        <w:spacing w:after="120" w:line="276" w:lineRule="auto"/>
        <w:ind w:firstLine="0"/>
        <w:rPr>
          <w:rFonts w:ascii="Tahoma" w:eastAsia="Times New Roman" w:hAnsi="Tahoma" w:cs="Tahoma"/>
          <w:sz w:val="24"/>
          <w:szCs w:val="24"/>
        </w:rPr>
      </w:pPr>
      <w:r w:rsidRPr="00E07AC2">
        <w:rPr>
          <w:rFonts w:ascii="Tahoma" w:eastAsia="Times New Roman" w:hAnsi="Tahoma" w:cs="Tahoma"/>
          <w:sz w:val="24"/>
          <w:szCs w:val="24"/>
        </w:rPr>
        <w:t xml:space="preserve">Pe componente, </w:t>
      </w:r>
      <w:proofErr w:type="spellStart"/>
      <w:r w:rsidRPr="00E07AC2">
        <w:rPr>
          <w:rFonts w:ascii="Tahoma" w:eastAsia="Times New Roman" w:hAnsi="Tahoma" w:cs="Tahoma"/>
          <w:sz w:val="24"/>
          <w:szCs w:val="24"/>
        </w:rPr>
        <w:t>inflaţia</w:t>
      </w:r>
      <w:proofErr w:type="spellEnd"/>
      <w:r w:rsidRPr="00E07AC2">
        <w:rPr>
          <w:rFonts w:ascii="Tahoma" w:eastAsia="Times New Roman" w:hAnsi="Tahoma" w:cs="Tahoma"/>
          <w:sz w:val="24"/>
          <w:szCs w:val="24"/>
        </w:rPr>
        <w:t xml:space="preserve"> </w:t>
      </w:r>
      <w:proofErr w:type="spellStart"/>
      <w:r w:rsidRPr="00E07AC2">
        <w:rPr>
          <w:rFonts w:ascii="Tahoma" w:eastAsia="Times New Roman" w:hAnsi="Tahoma" w:cs="Tahoma"/>
          <w:sz w:val="24"/>
          <w:szCs w:val="24"/>
        </w:rPr>
        <w:t>şi</w:t>
      </w:r>
      <w:proofErr w:type="spellEnd"/>
      <w:r w:rsidRPr="00E07AC2">
        <w:rPr>
          <w:rFonts w:ascii="Tahoma" w:eastAsia="Times New Roman" w:hAnsi="Tahoma" w:cs="Tahoma"/>
          <w:sz w:val="24"/>
          <w:szCs w:val="24"/>
        </w:rPr>
        <w:t xml:space="preserve">-a încetinit viteza de </w:t>
      </w:r>
      <w:proofErr w:type="spellStart"/>
      <w:r w:rsidRPr="00E07AC2">
        <w:rPr>
          <w:rFonts w:ascii="Tahoma" w:eastAsia="Times New Roman" w:hAnsi="Tahoma" w:cs="Tahoma"/>
          <w:sz w:val="24"/>
          <w:szCs w:val="24"/>
        </w:rPr>
        <w:t>creştere</w:t>
      </w:r>
      <w:proofErr w:type="spellEnd"/>
      <w:r w:rsidRPr="00E07AC2">
        <w:rPr>
          <w:rFonts w:ascii="Tahoma" w:eastAsia="Times New Roman" w:hAnsi="Tahoma" w:cs="Tahoma"/>
          <w:sz w:val="24"/>
          <w:szCs w:val="24"/>
        </w:rPr>
        <w:t xml:space="preserve">, mediile înregistrate la cinci luni încadrându-se pe un parcurs descendent. </w:t>
      </w:r>
      <w:proofErr w:type="spellStart"/>
      <w:r w:rsidRPr="00E07AC2">
        <w:rPr>
          <w:rFonts w:ascii="Tahoma" w:eastAsia="Times New Roman" w:hAnsi="Tahoma" w:cs="Tahoma"/>
          <w:sz w:val="24"/>
          <w:szCs w:val="24"/>
        </w:rPr>
        <w:t>Preţurile</w:t>
      </w:r>
      <w:proofErr w:type="spellEnd"/>
      <w:r w:rsidRPr="00E07AC2">
        <w:rPr>
          <w:rFonts w:ascii="Tahoma" w:eastAsia="Times New Roman" w:hAnsi="Tahoma" w:cs="Tahoma"/>
          <w:sz w:val="24"/>
          <w:szCs w:val="24"/>
        </w:rPr>
        <w:t xml:space="preserve"> alimentare au </w:t>
      </w:r>
      <w:proofErr w:type="spellStart"/>
      <w:r w:rsidRPr="00E07AC2">
        <w:rPr>
          <w:rFonts w:ascii="Tahoma" w:eastAsia="Times New Roman" w:hAnsi="Tahoma" w:cs="Tahoma"/>
          <w:sz w:val="24"/>
          <w:szCs w:val="24"/>
        </w:rPr>
        <w:t>decelerat</w:t>
      </w:r>
      <w:proofErr w:type="spellEnd"/>
      <w:r w:rsidRPr="00E07AC2">
        <w:rPr>
          <w:rFonts w:ascii="Tahoma" w:eastAsia="Times New Roman" w:hAnsi="Tahoma" w:cs="Tahoma"/>
          <w:sz w:val="24"/>
          <w:szCs w:val="24"/>
        </w:rPr>
        <w:t xml:space="preserve"> într-un ritm mai redus, până la 20,95%, în timp ce produsele nealimentare au indicat o rată medie de 9,22%. Doar serviciile au rămas pe o pantă </w:t>
      </w:r>
      <w:proofErr w:type="spellStart"/>
      <w:r w:rsidRPr="00E07AC2">
        <w:rPr>
          <w:rFonts w:ascii="Tahoma" w:eastAsia="Times New Roman" w:hAnsi="Tahoma" w:cs="Tahoma"/>
          <w:sz w:val="24"/>
          <w:szCs w:val="24"/>
        </w:rPr>
        <w:t>uşor</w:t>
      </w:r>
      <w:proofErr w:type="spellEnd"/>
      <w:r w:rsidRPr="00E07AC2">
        <w:rPr>
          <w:rFonts w:ascii="Tahoma" w:eastAsia="Times New Roman" w:hAnsi="Tahoma" w:cs="Tahoma"/>
          <w:sz w:val="24"/>
          <w:szCs w:val="24"/>
        </w:rPr>
        <w:t xml:space="preserve"> crescătoare, media primelor cinci luni fiind de 10,66%.   </w:t>
      </w:r>
    </w:p>
    <w:p w:rsidR="00E07AC2" w:rsidRPr="00E07AC2" w:rsidRDefault="00E07AC2" w:rsidP="00E07AC2">
      <w:pPr>
        <w:widowControl w:val="0"/>
        <w:suppressAutoHyphens/>
        <w:spacing w:before="120" w:after="120" w:line="276" w:lineRule="auto"/>
        <w:ind w:firstLine="0"/>
        <w:rPr>
          <w:rFonts w:ascii="Tahoma" w:eastAsia="Times New Roman" w:hAnsi="Tahoma" w:cs="Tahoma"/>
          <w:sz w:val="24"/>
          <w:szCs w:val="24"/>
        </w:rPr>
      </w:pPr>
      <w:r w:rsidRPr="00E07AC2">
        <w:rPr>
          <w:rFonts w:ascii="Tahoma" w:eastAsia="Times New Roman" w:hAnsi="Tahoma" w:cs="Tahoma"/>
          <w:b/>
          <w:sz w:val="24"/>
          <w:szCs w:val="24"/>
        </w:rPr>
        <w:t>Cursul mediu de schimb leu/euro</w:t>
      </w:r>
      <w:r w:rsidRPr="00E07AC2">
        <w:rPr>
          <w:rFonts w:ascii="Tahoma" w:eastAsia="Times New Roman" w:hAnsi="Tahoma" w:cs="Tahoma"/>
          <w:sz w:val="24"/>
          <w:szCs w:val="24"/>
        </w:rPr>
        <w:t xml:space="preserve"> s-a situat, în primele 6 luni ale anului curent, la valoarea de 4,9335 lei/euro, moneda națională înregistrând o apreciere în termeni nominali de 0,24% față de perioada corespunzătoare din 2022. În perioada ianuarie - iunie 2023 raportul euro/dolar a fost de 1,08, fiind consemnată o redresare a monedei </w:t>
      </w:r>
      <w:r w:rsidRPr="00E07AC2">
        <w:rPr>
          <w:rFonts w:ascii="Tahoma" w:eastAsia="Times New Roman" w:hAnsi="Tahoma" w:cs="Tahoma"/>
          <w:sz w:val="24"/>
          <w:szCs w:val="24"/>
        </w:rPr>
        <w:lastRenderedPageBreak/>
        <w:t>europene, după aprecierea consistentă înregistrată de dolarul american pe parcursul anului 2022.</w:t>
      </w:r>
    </w:p>
    <w:p w:rsidR="00E07AC2" w:rsidRPr="00E07AC2" w:rsidRDefault="00E07AC2" w:rsidP="00E07AC2">
      <w:pPr>
        <w:spacing w:before="120" w:after="120" w:line="276" w:lineRule="auto"/>
        <w:ind w:firstLine="0"/>
        <w:rPr>
          <w:rFonts w:ascii="Tahoma" w:hAnsi="Tahoma" w:cs="Tahoma"/>
          <w:sz w:val="24"/>
          <w:szCs w:val="24"/>
        </w:rPr>
      </w:pPr>
      <w:r w:rsidRPr="00E07AC2">
        <w:rPr>
          <w:rFonts w:ascii="Tahoma" w:hAnsi="Tahoma" w:cs="Tahoma"/>
          <w:b/>
          <w:sz w:val="24"/>
          <w:szCs w:val="24"/>
        </w:rPr>
        <w:t>Efectivul salariaților</w:t>
      </w:r>
      <w:r w:rsidRPr="00E07AC2">
        <w:rPr>
          <w:rFonts w:ascii="Tahoma" w:hAnsi="Tahoma" w:cs="Tahoma"/>
          <w:sz w:val="24"/>
          <w:szCs w:val="24"/>
        </w:rPr>
        <w:t xml:space="preserve">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-a continuat </w:t>
      </w:r>
      <w:proofErr w:type="spellStart"/>
      <w:r w:rsidRPr="00E07AC2">
        <w:rPr>
          <w:rFonts w:ascii="Tahoma" w:hAnsi="Tahoma" w:cs="Tahoma"/>
          <w:sz w:val="24"/>
          <w:szCs w:val="24"/>
        </w:rPr>
        <w:t>tendinţa</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rezilientă</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în anul 2023 urmând în linii mari </w:t>
      </w:r>
      <w:proofErr w:type="spellStart"/>
      <w:r w:rsidRPr="00E07AC2">
        <w:rPr>
          <w:rFonts w:ascii="Tahoma" w:hAnsi="Tahoma" w:cs="Tahoma"/>
          <w:sz w:val="24"/>
          <w:szCs w:val="24"/>
        </w:rPr>
        <w:t>evoluţia</w:t>
      </w:r>
      <w:proofErr w:type="spellEnd"/>
      <w:r w:rsidRPr="00E07AC2">
        <w:rPr>
          <w:rFonts w:ascii="Tahoma" w:hAnsi="Tahoma" w:cs="Tahoma"/>
          <w:sz w:val="24"/>
          <w:szCs w:val="24"/>
        </w:rPr>
        <w:t xml:space="preserve"> </w:t>
      </w:r>
      <w:proofErr w:type="spellStart"/>
      <w:r w:rsidRPr="00E07AC2">
        <w:rPr>
          <w:rFonts w:ascii="Tahoma" w:hAnsi="Tahoma" w:cs="Tahoma"/>
          <w:sz w:val="24"/>
          <w:szCs w:val="24"/>
        </w:rPr>
        <w:t>activităţii</w:t>
      </w:r>
      <w:proofErr w:type="spellEnd"/>
      <w:r w:rsidRPr="00E07AC2">
        <w:rPr>
          <w:rFonts w:ascii="Tahoma" w:hAnsi="Tahoma" w:cs="Tahoma"/>
          <w:sz w:val="24"/>
          <w:szCs w:val="24"/>
        </w:rPr>
        <w:t xml:space="preserve"> economice. Astfel, la </w:t>
      </w:r>
      <w:proofErr w:type="spellStart"/>
      <w:r w:rsidRPr="00E07AC2">
        <w:rPr>
          <w:rFonts w:ascii="Tahoma" w:hAnsi="Tahoma" w:cs="Tahoma"/>
          <w:sz w:val="24"/>
          <w:szCs w:val="24"/>
        </w:rPr>
        <w:t>sfârşitul</w:t>
      </w:r>
      <w:proofErr w:type="spellEnd"/>
      <w:r w:rsidRPr="00E07AC2">
        <w:rPr>
          <w:rFonts w:ascii="Tahoma" w:hAnsi="Tahoma" w:cs="Tahoma"/>
          <w:sz w:val="24"/>
          <w:szCs w:val="24"/>
        </w:rPr>
        <w:t xml:space="preserve"> lunii aprili</w:t>
      </w:r>
      <w:r w:rsidRPr="00E07AC2">
        <w:rPr>
          <w:rFonts w:ascii="Tahoma" w:hAnsi="Tahoma" w:cs="Tahoma"/>
          <w:b/>
          <w:sz w:val="24"/>
          <w:szCs w:val="24"/>
        </w:rPr>
        <w:t>e</w:t>
      </w:r>
      <w:r w:rsidRPr="00E07AC2">
        <w:rPr>
          <w:rFonts w:ascii="Tahoma" w:hAnsi="Tahoma" w:cs="Tahoma"/>
          <w:sz w:val="24"/>
          <w:szCs w:val="24"/>
        </w:rPr>
        <w:t xml:space="preserve"> comparativ cu perioada corespunzătoare din anul 2022, efectivul </w:t>
      </w:r>
      <w:proofErr w:type="spellStart"/>
      <w:r w:rsidRPr="00E07AC2">
        <w:rPr>
          <w:rFonts w:ascii="Tahoma" w:hAnsi="Tahoma" w:cs="Tahoma"/>
          <w:sz w:val="24"/>
          <w:szCs w:val="24"/>
        </w:rPr>
        <w:t>salariaţilor</w:t>
      </w:r>
      <w:proofErr w:type="spellEnd"/>
      <w:r w:rsidRPr="00E07AC2">
        <w:rPr>
          <w:rFonts w:ascii="Tahoma" w:hAnsi="Tahoma" w:cs="Tahoma"/>
          <w:sz w:val="24"/>
          <w:szCs w:val="24"/>
        </w:rPr>
        <w:t xml:space="preserve"> a fost de 5113,2 mii persoane, în </w:t>
      </w:r>
      <w:proofErr w:type="spellStart"/>
      <w:r w:rsidRPr="00E07AC2">
        <w:rPr>
          <w:rFonts w:ascii="Tahoma" w:hAnsi="Tahoma" w:cs="Tahoma"/>
          <w:sz w:val="24"/>
          <w:szCs w:val="24"/>
        </w:rPr>
        <w:t>creştere</w:t>
      </w:r>
      <w:proofErr w:type="spellEnd"/>
      <w:r w:rsidRPr="00E07AC2">
        <w:rPr>
          <w:rFonts w:ascii="Tahoma" w:hAnsi="Tahoma" w:cs="Tahoma"/>
          <w:sz w:val="24"/>
          <w:szCs w:val="24"/>
        </w:rPr>
        <w:t xml:space="preserve"> cu 70,3 mii persoane, respectiv 1,4%.</w:t>
      </w:r>
    </w:p>
    <w:p w:rsidR="00E07AC2" w:rsidRPr="00E07AC2" w:rsidRDefault="00E07AC2" w:rsidP="00E07AC2">
      <w:pPr>
        <w:spacing w:before="120" w:after="120" w:line="276" w:lineRule="auto"/>
        <w:ind w:firstLine="0"/>
        <w:rPr>
          <w:rFonts w:ascii="Tahoma" w:hAnsi="Tahoma" w:cs="Tahoma"/>
          <w:sz w:val="24"/>
          <w:szCs w:val="24"/>
        </w:rPr>
      </w:pPr>
      <w:r w:rsidRPr="00E07AC2">
        <w:rPr>
          <w:rFonts w:ascii="Tahoma" w:eastAsia="Times New Roman" w:hAnsi="Tahoma" w:cs="Tahoma"/>
          <w:sz w:val="24"/>
          <w:szCs w:val="24"/>
        </w:rPr>
        <w:t xml:space="preserve">Ponderea cea mai mare în total economie o reprezintă numărul de </w:t>
      </w:r>
      <w:proofErr w:type="spellStart"/>
      <w:r w:rsidRPr="00E07AC2">
        <w:rPr>
          <w:rFonts w:ascii="Tahoma" w:eastAsia="Times New Roman" w:hAnsi="Tahoma" w:cs="Tahoma"/>
          <w:sz w:val="24"/>
          <w:szCs w:val="24"/>
        </w:rPr>
        <w:t>salariaţi</w:t>
      </w:r>
      <w:proofErr w:type="spellEnd"/>
      <w:r w:rsidRPr="00E07AC2">
        <w:rPr>
          <w:rFonts w:ascii="Tahoma" w:eastAsia="Times New Roman" w:hAnsi="Tahoma" w:cs="Tahoma"/>
          <w:sz w:val="24"/>
          <w:szCs w:val="24"/>
        </w:rPr>
        <w:t xml:space="preserve"> din industrie care a ajuns la 25,3% (respectiv 1293,9 mii persoane).</w:t>
      </w:r>
    </w:p>
    <w:p w:rsidR="00E07AC2" w:rsidRPr="00E07AC2" w:rsidRDefault="00E07AC2" w:rsidP="00E07AC2">
      <w:pPr>
        <w:spacing w:before="120" w:after="120" w:line="276" w:lineRule="auto"/>
        <w:ind w:firstLine="0"/>
        <w:rPr>
          <w:rFonts w:ascii="Tahoma" w:hAnsi="Tahoma" w:cs="Tahoma"/>
          <w:sz w:val="24"/>
          <w:szCs w:val="24"/>
        </w:rPr>
      </w:pPr>
      <w:r w:rsidRPr="00E07AC2">
        <w:rPr>
          <w:rFonts w:ascii="Tahoma" w:hAnsi="Tahoma" w:cs="Tahoma"/>
          <w:b/>
          <w:sz w:val="24"/>
          <w:szCs w:val="24"/>
        </w:rPr>
        <w:t>Numărul mediu al salariaților</w:t>
      </w:r>
      <w:r w:rsidRPr="00E07AC2">
        <w:rPr>
          <w:rFonts w:ascii="Tahoma" w:hAnsi="Tahoma" w:cs="Tahoma"/>
          <w:sz w:val="24"/>
          <w:szCs w:val="24"/>
        </w:rPr>
        <w:t xml:space="preserve"> (calculat ca medie aritmetică a efectivelor lunare) în primele 4 luni ale anului 2023 a fost de 5100,9 mii persoane, în </w:t>
      </w:r>
      <w:proofErr w:type="spellStart"/>
      <w:r w:rsidRPr="00E07AC2">
        <w:rPr>
          <w:rFonts w:ascii="Tahoma" w:hAnsi="Tahoma" w:cs="Tahoma"/>
          <w:sz w:val="24"/>
          <w:szCs w:val="24"/>
        </w:rPr>
        <w:t>creştere</w:t>
      </w:r>
      <w:proofErr w:type="spellEnd"/>
      <w:r w:rsidRPr="00E07AC2">
        <w:rPr>
          <w:rFonts w:ascii="Tahoma" w:hAnsi="Tahoma" w:cs="Tahoma"/>
          <w:sz w:val="24"/>
          <w:szCs w:val="24"/>
        </w:rPr>
        <w:t xml:space="preserve"> </w:t>
      </w:r>
      <w:r w:rsidRPr="00E07AC2">
        <w:rPr>
          <w:rFonts w:ascii="Tahoma" w:eastAsia="Calibri" w:hAnsi="Tahoma" w:cs="Tahoma"/>
          <w:sz w:val="24"/>
          <w:szCs w:val="24"/>
        </w:rPr>
        <w:t xml:space="preserve">cu 69,2 mii persoane (respectiv cu 1,4%) </w:t>
      </w:r>
      <w:proofErr w:type="spellStart"/>
      <w:r w:rsidRPr="00E07AC2">
        <w:rPr>
          <w:rFonts w:ascii="Tahoma" w:eastAsia="Calibri" w:hAnsi="Tahoma" w:cs="Tahoma"/>
          <w:sz w:val="24"/>
          <w:szCs w:val="24"/>
        </w:rPr>
        <w:t>faţă</w:t>
      </w:r>
      <w:proofErr w:type="spellEnd"/>
      <w:r w:rsidRPr="00E07AC2">
        <w:rPr>
          <w:rFonts w:ascii="Tahoma" w:eastAsia="Calibri" w:hAnsi="Tahoma" w:cs="Tahoma"/>
          <w:sz w:val="24"/>
          <w:szCs w:val="24"/>
        </w:rPr>
        <w:t xml:space="preserve"> de perioada corespunzătoare din anul 2022 (5031,6 mii persoane). </w:t>
      </w:r>
    </w:p>
    <w:p w:rsidR="00E07AC2" w:rsidRPr="00E07AC2" w:rsidRDefault="00E07AC2" w:rsidP="00E07AC2">
      <w:pPr>
        <w:spacing w:before="120" w:after="120" w:line="276" w:lineRule="auto"/>
        <w:ind w:firstLine="0"/>
        <w:rPr>
          <w:rFonts w:ascii="Tahoma" w:eastAsia="Calibri" w:hAnsi="Tahoma" w:cs="Tahoma"/>
          <w:sz w:val="24"/>
          <w:szCs w:val="24"/>
        </w:rPr>
      </w:pPr>
      <w:r w:rsidRPr="00E07AC2">
        <w:rPr>
          <w:rFonts w:ascii="Tahoma" w:eastAsia="Calibri" w:hAnsi="Tahoma" w:cs="Tahoma"/>
          <w:sz w:val="24"/>
          <w:szCs w:val="24"/>
        </w:rPr>
        <w:t xml:space="preserve">Industria reprezintă 25,3% din numărul total de </w:t>
      </w:r>
      <w:proofErr w:type="spellStart"/>
      <w:r w:rsidRPr="00E07AC2">
        <w:rPr>
          <w:rFonts w:ascii="Tahoma" w:eastAsia="Calibri" w:hAnsi="Tahoma" w:cs="Tahoma"/>
          <w:sz w:val="24"/>
          <w:szCs w:val="24"/>
        </w:rPr>
        <w:t>salariaţi</w:t>
      </w:r>
      <w:proofErr w:type="spellEnd"/>
      <w:r w:rsidRPr="00E07AC2">
        <w:rPr>
          <w:rFonts w:ascii="Tahoma" w:eastAsia="Calibri" w:hAnsi="Tahoma" w:cs="Tahoma"/>
          <w:sz w:val="24"/>
          <w:szCs w:val="24"/>
        </w:rPr>
        <w:t xml:space="preserve"> pe economie (respectiv 1291,7 mii persoane).</w:t>
      </w:r>
      <w:r w:rsidRPr="00E07AC2">
        <w:rPr>
          <w:rFonts w:ascii="Tahoma" w:hAnsi="Tahoma" w:cs="Tahoma"/>
          <w:sz w:val="24"/>
          <w:szCs w:val="24"/>
        </w:rPr>
        <w:t xml:space="preserve"> </w:t>
      </w:r>
      <w:r w:rsidRPr="00E07AC2">
        <w:rPr>
          <w:rFonts w:ascii="Tahoma" w:eastAsia="Calibri" w:hAnsi="Tahoma" w:cs="Tahoma"/>
          <w:sz w:val="24"/>
          <w:szCs w:val="24"/>
        </w:rPr>
        <w:t xml:space="preserve">Numărul mediu de </w:t>
      </w:r>
      <w:proofErr w:type="spellStart"/>
      <w:r w:rsidRPr="00E07AC2">
        <w:rPr>
          <w:rFonts w:ascii="Tahoma" w:eastAsia="Calibri" w:hAnsi="Tahoma" w:cs="Tahoma"/>
          <w:sz w:val="24"/>
          <w:szCs w:val="24"/>
        </w:rPr>
        <w:t>salariaţi</w:t>
      </w:r>
      <w:proofErr w:type="spellEnd"/>
      <w:r w:rsidRPr="00E07AC2">
        <w:rPr>
          <w:rFonts w:ascii="Tahoma" w:eastAsia="Calibri" w:hAnsi="Tahoma" w:cs="Tahoma"/>
          <w:sz w:val="24"/>
          <w:szCs w:val="24"/>
        </w:rPr>
        <w:t xml:space="preserve"> din industrie a crescut cu 5,5 mii persoane (respectiv cu 0,4%) </w:t>
      </w:r>
      <w:proofErr w:type="spellStart"/>
      <w:r w:rsidRPr="00E07AC2">
        <w:rPr>
          <w:rFonts w:ascii="Tahoma" w:eastAsia="Calibri" w:hAnsi="Tahoma" w:cs="Tahoma"/>
          <w:sz w:val="24"/>
          <w:szCs w:val="24"/>
        </w:rPr>
        <w:t>faţă</w:t>
      </w:r>
      <w:proofErr w:type="spellEnd"/>
      <w:r w:rsidRPr="00E07AC2">
        <w:rPr>
          <w:rFonts w:ascii="Tahoma" w:eastAsia="Calibri" w:hAnsi="Tahoma" w:cs="Tahoma"/>
          <w:sz w:val="24"/>
          <w:szCs w:val="24"/>
        </w:rPr>
        <w:t xml:space="preserve"> de perioada corespunzătoare din anul 2022 iar industria prelucrătoare a înregistrat o </w:t>
      </w:r>
      <w:proofErr w:type="spellStart"/>
      <w:r w:rsidRPr="00E07AC2">
        <w:rPr>
          <w:rFonts w:ascii="Tahoma" w:eastAsia="Calibri" w:hAnsi="Tahoma" w:cs="Tahoma"/>
          <w:sz w:val="24"/>
          <w:szCs w:val="24"/>
        </w:rPr>
        <w:t>creştere</w:t>
      </w:r>
      <w:proofErr w:type="spellEnd"/>
      <w:r w:rsidRPr="00E07AC2">
        <w:rPr>
          <w:rFonts w:ascii="Tahoma" w:eastAsia="Calibri" w:hAnsi="Tahoma" w:cs="Tahoma"/>
          <w:sz w:val="24"/>
          <w:szCs w:val="24"/>
        </w:rPr>
        <w:t xml:space="preserve"> cu 4,9</w:t>
      </w:r>
      <w:r w:rsidRPr="00E07AC2">
        <w:rPr>
          <w:rFonts w:ascii="Tahoma" w:hAnsi="Tahoma" w:cs="Tahoma"/>
          <w:sz w:val="24"/>
          <w:szCs w:val="24"/>
        </w:rPr>
        <w:t xml:space="preserve"> mii persoane (respectiv 0,5%). </w:t>
      </w:r>
    </w:p>
    <w:p w:rsidR="00E07AC2" w:rsidRPr="00E07AC2" w:rsidRDefault="00E07AC2" w:rsidP="00E07AC2">
      <w:pPr>
        <w:spacing w:before="120" w:after="120" w:line="276" w:lineRule="auto"/>
        <w:ind w:firstLine="0"/>
        <w:rPr>
          <w:rFonts w:ascii="Tahoma" w:hAnsi="Tahoma" w:cs="Tahoma"/>
          <w:sz w:val="24"/>
          <w:szCs w:val="24"/>
        </w:rPr>
      </w:pPr>
      <w:r w:rsidRPr="00E07AC2">
        <w:rPr>
          <w:rFonts w:ascii="Tahoma" w:hAnsi="Tahoma" w:cs="Tahoma"/>
          <w:sz w:val="24"/>
          <w:szCs w:val="24"/>
        </w:rPr>
        <w:t xml:space="preserve">Cumulat, în primele 4 luni 2023,  efectivul de </w:t>
      </w:r>
      <w:proofErr w:type="spellStart"/>
      <w:r w:rsidRPr="00E07AC2">
        <w:rPr>
          <w:rFonts w:ascii="Tahoma" w:hAnsi="Tahoma" w:cs="Tahoma"/>
          <w:sz w:val="24"/>
          <w:szCs w:val="24"/>
        </w:rPr>
        <w:t>salariaţi</w:t>
      </w:r>
      <w:proofErr w:type="spellEnd"/>
      <w:r w:rsidRPr="00E07AC2">
        <w:rPr>
          <w:rFonts w:ascii="Tahoma" w:hAnsi="Tahoma" w:cs="Tahoma"/>
          <w:sz w:val="24"/>
          <w:szCs w:val="24"/>
        </w:rPr>
        <w:t xml:space="preserve"> din </w:t>
      </w:r>
      <w:r w:rsidRPr="00E07AC2">
        <w:rPr>
          <w:rFonts w:ascii="Tahoma" w:hAnsi="Tahoma" w:cs="Tahoma"/>
          <w:b/>
          <w:sz w:val="24"/>
          <w:szCs w:val="24"/>
        </w:rPr>
        <w:t>sectorul bugetar,</w:t>
      </w:r>
      <w:r w:rsidRPr="00E07AC2">
        <w:rPr>
          <w:rFonts w:ascii="Tahoma" w:hAnsi="Tahoma" w:cs="Tahoma"/>
          <w:sz w:val="24"/>
          <w:szCs w:val="24"/>
        </w:rPr>
        <w:t xml:space="preserve"> care reprezintă 19,8% din totalul </w:t>
      </w:r>
      <w:proofErr w:type="spellStart"/>
      <w:r w:rsidRPr="00E07AC2">
        <w:rPr>
          <w:rFonts w:ascii="Tahoma" w:hAnsi="Tahoma" w:cs="Tahoma"/>
          <w:sz w:val="24"/>
          <w:szCs w:val="24"/>
        </w:rPr>
        <w:t>salariaţilor</w:t>
      </w:r>
      <w:proofErr w:type="spellEnd"/>
      <w:r w:rsidRPr="00E07AC2">
        <w:rPr>
          <w:rFonts w:ascii="Tahoma" w:hAnsi="Tahoma" w:cs="Tahoma"/>
          <w:sz w:val="24"/>
          <w:szCs w:val="24"/>
        </w:rPr>
        <w:t xml:space="preserve">, a avut o creștere de 1,2%, iar în sectorul </w:t>
      </w:r>
      <w:r w:rsidRPr="00E07AC2">
        <w:rPr>
          <w:rFonts w:ascii="Tahoma" w:hAnsi="Tahoma" w:cs="Tahoma"/>
          <w:b/>
          <w:sz w:val="24"/>
          <w:szCs w:val="24"/>
        </w:rPr>
        <w:t>concurențial</w:t>
      </w:r>
      <w:r w:rsidRPr="00E07AC2">
        <w:rPr>
          <w:rFonts w:ascii="Tahoma" w:hAnsi="Tahoma" w:cs="Tahoma"/>
          <w:sz w:val="24"/>
          <w:szCs w:val="24"/>
        </w:rPr>
        <w:t xml:space="preserve">, cu o pondere de 80,2%, au crescut cu 1,4% față de aceeași perioadă a anului 2022. În cadrul sectorului bugetar s-a înregistrat o creștere de 2,1% în  </w:t>
      </w:r>
      <w:proofErr w:type="spellStart"/>
      <w:r w:rsidRPr="00E07AC2">
        <w:rPr>
          <w:rFonts w:ascii="Tahoma" w:hAnsi="Tahoma" w:cs="Tahoma"/>
          <w:sz w:val="24"/>
          <w:szCs w:val="24"/>
        </w:rPr>
        <w:t>învăţământ</w:t>
      </w:r>
      <w:proofErr w:type="spellEnd"/>
      <w:r w:rsidRPr="00E07AC2">
        <w:rPr>
          <w:rFonts w:ascii="Tahoma" w:hAnsi="Tahoma" w:cs="Tahoma"/>
          <w:sz w:val="24"/>
          <w:szCs w:val="24"/>
        </w:rPr>
        <w:t xml:space="preserve">, 0,7% în sănătate și asistență socială iar în administrația publică de 0,6%. Salariații din sectorul bugetar au fost distribuiți astfel: 43,3% în sănătate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asistență socială, 35,6% în activitățile de învățământ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21,0% în administrația publică.</w:t>
      </w:r>
    </w:p>
    <w:p w:rsidR="00E07AC2" w:rsidRPr="00E07AC2" w:rsidRDefault="00E07AC2" w:rsidP="00E07AC2">
      <w:pPr>
        <w:tabs>
          <w:tab w:val="left" w:pos="364"/>
        </w:tabs>
        <w:spacing w:before="120" w:after="120" w:line="276" w:lineRule="auto"/>
        <w:ind w:firstLine="0"/>
        <w:rPr>
          <w:rFonts w:ascii="Tahoma" w:hAnsi="Tahoma" w:cs="Tahoma"/>
          <w:sz w:val="24"/>
          <w:szCs w:val="24"/>
        </w:rPr>
      </w:pPr>
      <w:proofErr w:type="spellStart"/>
      <w:r w:rsidRPr="00E07AC2">
        <w:rPr>
          <w:rFonts w:ascii="Tahoma" w:hAnsi="Tahoma" w:cs="Tahoma"/>
          <w:b/>
          <w:sz w:val="24"/>
          <w:szCs w:val="24"/>
        </w:rPr>
        <w:t>Câştigul</w:t>
      </w:r>
      <w:proofErr w:type="spellEnd"/>
      <w:r w:rsidRPr="00E07AC2">
        <w:rPr>
          <w:rFonts w:ascii="Tahoma" w:hAnsi="Tahoma" w:cs="Tahoma"/>
          <w:b/>
          <w:sz w:val="24"/>
          <w:szCs w:val="24"/>
        </w:rPr>
        <w:t xml:space="preserve"> salarial mediu brut</w:t>
      </w:r>
      <w:r w:rsidRPr="00E07AC2">
        <w:rPr>
          <w:rFonts w:ascii="Tahoma" w:hAnsi="Tahoma" w:cs="Tahoma"/>
          <w:sz w:val="24"/>
          <w:szCs w:val="24"/>
        </w:rPr>
        <w:t xml:space="preserve"> pe total economie a fost, în primele 4 luni ale anului 2023, de 7.069 lei, cu 13,4% mai mare decât cel înregistrat în perioada corespunzătoare a anului 2022. </w:t>
      </w:r>
      <w:proofErr w:type="spellStart"/>
      <w:r w:rsidRPr="00E07AC2">
        <w:rPr>
          <w:rFonts w:ascii="Tahoma" w:hAnsi="Tahoma" w:cs="Tahoma"/>
          <w:b/>
          <w:sz w:val="24"/>
          <w:szCs w:val="24"/>
        </w:rPr>
        <w:t>Câştigul</w:t>
      </w:r>
      <w:proofErr w:type="spellEnd"/>
      <w:r w:rsidRPr="00E07AC2">
        <w:rPr>
          <w:rFonts w:ascii="Tahoma" w:hAnsi="Tahoma" w:cs="Tahoma"/>
          <w:b/>
          <w:sz w:val="24"/>
          <w:szCs w:val="24"/>
        </w:rPr>
        <w:t xml:space="preserve"> salarial mediu net</w:t>
      </w:r>
      <w:r w:rsidRPr="00E07AC2">
        <w:rPr>
          <w:rFonts w:ascii="Tahoma" w:hAnsi="Tahoma" w:cs="Tahoma"/>
          <w:sz w:val="24"/>
          <w:szCs w:val="24"/>
        </w:rPr>
        <w:t xml:space="preserve"> s-a majorat cu 15,1%, fiind de 4.411 lei.</w:t>
      </w:r>
    </w:p>
    <w:p w:rsidR="00E07AC2" w:rsidRPr="00E07AC2" w:rsidRDefault="00E07AC2" w:rsidP="00E07AC2">
      <w:pPr>
        <w:tabs>
          <w:tab w:val="left" w:pos="364"/>
        </w:tabs>
        <w:spacing w:before="120" w:after="120" w:line="276" w:lineRule="auto"/>
        <w:ind w:firstLine="0"/>
        <w:rPr>
          <w:rFonts w:ascii="Tahoma" w:eastAsia="Times New Roman" w:hAnsi="Tahoma" w:cs="Tahoma"/>
          <w:bCs/>
          <w:sz w:val="24"/>
          <w:szCs w:val="24"/>
        </w:rPr>
      </w:pPr>
      <w:r w:rsidRPr="00E07AC2">
        <w:rPr>
          <w:rFonts w:ascii="Tahoma" w:eastAsia="Times New Roman" w:hAnsi="Tahoma" w:cs="Tahoma"/>
          <w:sz w:val="24"/>
          <w:szCs w:val="24"/>
        </w:rPr>
        <w:t>Creșteri semnificative ale câștigului salarial mediu brut s-au înregistrat în activitățile: transporturi pe apă (44,0%), extracția petrolului brut și a gazelor naturale (27,1%), extracția cărbunelui superior și inferior (27,0%), fabricarea autovehiculelor de transport rutier, a remorcilor si semiremorcilor (21,8%)</w:t>
      </w:r>
      <w:r w:rsidRPr="00E07AC2">
        <w:rPr>
          <w:rFonts w:ascii="Tahoma" w:eastAsia="Times New Roman" w:hAnsi="Tahoma" w:cs="Tahoma"/>
          <w:bCs/>
          <w:sz w:val="24"/>
          <w:szCs w:val="24"/>
        </w:rPr>
        <w:t xml:space="preserve"> , construcții (21,6%),</w:t>
      </w:r>
      <w:r w:rsidRPr="00E07AC2">
        <w:rPr>
          <w:rFonts w:ascii="Tahoma" w:eastAsia="Times New Roman" w:hAnsi="Tahoma" w:cs="Tahoma"/>
          <w:sz w:val="24"/>
          <w:szCs w:val="24"/>
        </w:rPr>
        <w:t xml:space="preserve"> </w:t>
      </w:r>
      <w:proofErr w:type="spellStart"/>
      <w:r w:rsidRPr="00E07AC2">
        <w:rPr>
          <w:rFonts w:ascii="Tahoma" w:eastAsia="Times New Roman" w:hAnsi="Tahoma" w:cs="Tahoma"/>
          <w:sz w:val="24"/>
          <w:szCs w:val="24"/>
        </w:rPr>
        <w:t>activităţi</w:t>
      </w:r>
      <w:proofErr w:type="spellEnd"/>
      <w:r w:rsidRPr="00E07AC2">
        <w:rPr>
          <w:rFonts w:ascii="Tahoma" w:eastAsia="Times New Roman" w:hAnsi="Tahoma" w:cs="Tahoma"/>
          <w:sz w:val="24"/>
          <w:szCs w:val="24"/>
        </w:rPr>
        <w:t xml:space="preserve"> de servicii administrative </w:t>
      </w:r>
      <w:proofErr w:type="spellStart"/>
      <w:r w:rsidRPr="00E07AC2">
        <w:rPr>
          <w:rFonts w:ascii="Tahoma" w:eastAsia="Times New Roman" w:hAnsi="Tahoma" w:cs="Tahoma"/>
          <w:sz w:val="24"/>
          <w:szCs w:val="24"/>
        </w:rPr>
        <w:t>şi</w:t>
      </w:r>
      <w:proofErr w:type="spellEnd"/>
      <w:r w:rsidRPr="00E07AC2">
        <w:rPr>
          <w:rFonts w:ascii="Tahoma" w:eastAsia="Times New Roman" w:hAnsi="Tahoma" w:cs="Tahoma"/>
          <w:sz w:val="24"/>
          <w:szCs w:val="24"/>
        </w:rPr>
        <w:t xml:space="preserve"> </w:t>
      </w:r>
      <w:proofErr w:type="spellStart"/>
      <w:r w:rsidRPr="00E07AC2">
        <w:rPr>
          <w:rFonts w:ascii="Tahoma" w:eastAsia="Times New Roman" w:hAnsi="Tahoma" w:cs="Tahoma"/>
          <w:sz w:val="24"/>
          <w:szCs w:val="24"/>
        </w:rPr>
        <w:t>activităţi</w:t>
      </w:r>
      <w:proofErr w:type="spellEnd"/>
      <w:r w:rsidRPr="00E07AC2">
        <w:rPr>
          <w:rFonts w:ascii="Tahoma" w:eastAsia="Times New Roman" w:hAnsi="Tahoma" w:cs="Tahoma"/>
          <w:sz w:val="24"/>
          <w:szCs w:val="24"/>
        </w:rPr>
        <w:t xml:space="preserve"> de servicii suport (20,4%),</w:t>
      </w:r>
      <w:r w:rsidRPr="00E07AC2">
        <w:rPr>
          <w:rFonts w:ascii="Tahoma" w:eastAsia="Times New Roman" w:hAnsi="Tahoma" w:cs="Tahoma"/>
          <w:bCs/>
          <w:sz w:val="24"/>
          <w:szCs w:val="24"/>
        </w:rPr>
        <w:t xml:space="preserve"> producția și furnizarea de energie electrică și termică, gaze (18,0%).</w:t>
      </w:r>
    </w:p>
    <w:p w:rsidR="00E07AC2" w:rsidRPr="00E07AC2" w:rsidRDefault="00E07AC2" w:rsidP="00E07AC2">
      <w:pPr>
        <w:tabs>
          <w:tab w:val="left" w:pos="364"/>
        </w:tabs>
        <w:spacing w:before="120" w:after="120" w:line="276" w:lineRule="auto"/>
        <w:ind w:firstLine="0"/>
        <w:rPr>
          <w:rFonts w:ascii="Tahoma" w:hAnsi="Tahoma" w:cs="Tahoma"/>
          <w:sz w:val="24"/>
          <w:szCs w:val="24"/>
        </w:rPr>
      </w:pPr>
      <w:r w:rsidRPr="00E07AC2">
        <w:rPr>
          <w:rFonts w:ascii="Tahoma" w:eastAsia="Times New Roman" w:hAnsi="Tahoma" w:cs="Tahoma"/>
          <w:b/>
          <w:sz w:val="24"/>
          <w:szCs w:val="24"/>
        </w:rPr>
        <w:t>Î</w:t>
      </w:r>
      <w:r w:rsidRPr="00E07AC2">
        <w:rPr>
          <w:rFonts w:ascii="Tahoma" w:hAnsi="Tahoma" w:cs="Tahoma"/>
          <w:b/>
          <w:sz w:val="24"/>
          <w:szCs w:val="24"/>
        </w:rPr>
        <w:t>n sectorul bugetar</w:t>
      </w:r>
      <w:r w:rsidRPr="00E07AC2">
        <w:rPr>
          <w:rFonts w:ascii="Tahoma" w:hAnsi="Tahoma" w:cs="Tahoma"/>
          <w:sz w:val="24"/>
          <w:szCs w:val="24"/>
        </w:rPr>
        <w:t xml:space="preserve">, </w:t>
      </w:r>
      <w:proofErr w:type="spellStart"/>
      <w:r w:rsidRPr="00E07AC2">
        <w:rPr>
          <w:rFonts w:ascii="Tahoma" w:hAnsi="Tahoma" w:cs="Tahoma"/>
          <w:sz w:val="24"/>
          <w:szCs w:val="24"/>
        </w:rPr>
        <w:t>creşterea</w:t>
      </w:r>
      <w:proofErr w:type="spellEnd"/>
      <w:r w:rsidRPr="00E07AC2">
        <w:rPr>
          <w:rFonts w:ascii="Tahoma" w:hAnsi="Tahoma" w:cs="Tahoma"/>
          <w:sz w:val="24"/>
          <w:szCs w:val="24"/>
        </w:rPr>
        <w:t xml:space="preserve"> medie a </w:t>
      </w:r>
      <w:proofErr w:type="spellStart"/>
      <w:r w:rsidRPr="00E07AC2">
        <w:rPr>
          <w:rFonts w:ascii="Tahoma" w:hAnsi="Tahoma" w:cs="Tahoma"/>
          <w:sz w:val="24"/>
          <w:szCs w:val="24"/>
        </w:rPr>
        <w:t>câştigului</w:t>
      </w:r>
      <w:proofErr w:type="spellEnd"/>
      <w:r w:rsidRPr="00E07AC2">
        <w:rPr>
          <w:rFonts w:ascii="Tahoma" w:hAnsi="Tahoma" w:cs="Tahoma"/>
          <w:sz w:val="24"/>
          <w:szCs w:val="24"/>
        </w:rPr>
        <w:t xml:space="preserve"> salarial mediu brut a fost de 5,9% comparativ cu perioada corespunzătoare a anului 2022, în timp ce </w:t>
      </w:r>
      <w:r w:rsidRPr="00E07AC2">
        <w:rPr>
          <w:rFonts w:ascii="Tahoma" w:hAnsi="Tahoma" w:cs="Tahoma"/>
          <w:b/>
          <w:sz w:val="24"/>
          <w:szCs w:val="24"/>
        </w:rPr>
        <w:t xml:space="preserve">în sectorul </w:t>
      </w:r>
      <w:proofErr w:type="spellStart"/>
      <w:r w:rsidRPr="00E07AC2">
        <w:rPr>
          <w:rFonts w:ascii="Tahoma" w:hAnsi="Tahoma" w:cs="Tahoma"/>
          <w:b/>
          <w:sz w:val="24"/>
          <w:szCs w:val="24"/>
        </w:rPr>
        <w:t>concurenţial</w:t>
      </w:r>
      <w:proofErr w:type="spellEnd"/>
      <w:r w:rsidRPr="00E07AC2">
        <w:rPr>
          <w:rFonts w:ascii="Tahoma" w:hAnsi="Tahoma" w:cs="Tahoma"/>
          <w:b/>
          <w:sz w:val="24"/>
          <w:szCs w:val="24"/>
        </w:rPr>
        <w:t xml:space="preserve"> </w:t>
      </w:r>
      <w:r w:rsidRPr="00E07AC2">
        <w:rPr>
          <w:rFonts w:ascii="Tahoma" w:hAnsi="Tahoma" w:cs="Tahoma"/>
          <w:sz w:val="24"/>
          <w:szCs w:val="24"/>
        </w:rPr>
        <w:t xml:space="preserve">s-a majorat cu 15,7%. În termeni reali, pe total economie, </w:t>
      </w:r>
      <w:proofErr w:type="spellStart"/>
      <w:r w:rsidRPr="00E07AC2">
        <w:rPr>
          <w:rFonts w:ascii="Tahoma" w:hAnsi="Tahoma" w:cs="Tahoma"/>
          <w:sz w:val="24"/>
          <w:szCs w:val="24"/>
        </w:rPr>
        <w:t>câştigul</w:t>
      </w:r>
      <w:proofErr w:type="spellEnd"/>
      <w:r w:rsidRPr="00E07AC2">
        <w:rPr>
          <w:rFonts w:ascii="Tahoma" w:hAnsi="Tahoma" w:cs="Tahoma"/>
          <w:sz w:val="24"/>
          <w:szCs w:val="24"/>
        </w:rPr>
        <w:t xml:space="preserve"> salarial a crescut cu 1,0%. </w:t>
      </w:r>
      <w:proofErr w:type="spellStart"/>
      <w:r w:rsidRPr="00E07AC2">
        <w:rPr>
          <w:rFonts w:ascii="Tahoma" w:hAnsi="Tahoma" w:cs="Tahoma"/>
          <w:sz w:val="24"/>
          <w:szCs w:val="24"/>
        </w:rPr>
        <w:t>Câştigul</w:t>
      </w:r>
      <w:proofErr w:type="spellEnd"/>
      <w:r w:rsidRPr="00E07AC2">
        <w:rPr>
          <w:rFonts w:ascii="Tahoma" w:hAnsi="Tahoma" w:cs="Tahoma"/>
          <w:sz w:val="24"/>
          <w:szCs w:val="24"/>
        </w:rPr>
        <w:t xml:space="preserve"> salarial real în </w:t>
      </w:r>
      <w:r w:rsidRPr="00E07AC2">
        <w:rPr>
          <w:rFonts w:ascii="Tahoma" w:hAnsi="Tahoma" w:cs="Tahoma"/>
          <w:b/>
          <w:sz w:val="24"/>
          <w:szCs w:val="24"/>
        </w:rPr>
        <w:t>sectorul bugetar</w:t>
      </w:r>
      <w:r w:rsidRPr="00E07AC2">
        <w:rPr>
          <w:rFonts w:ascii="Tahoma" w:hAnsi="Tahoma" w:cs="Tahoma"/>
          <w:sz w:val="24"/>
          <w:szCs w:val="24"/>
        </w:rPr>
        <w:t xml:space="preserve"> a înregistrat o scădere de 7,0%, iar în </w:t>
      </w:r>
      <w:r w:rsidRPr="00E07AC2">
        <w:rPr>
          <w:rFonts w:ascii="Tahoma" w:hAnsi="Tahoma" w:cs="Tahoma"/>
          <w:b/>
          <w:sz w:val="24"/>
          <w:szCs w:val="24"/>
        </w:rPr>
        <w:t xml:space="preserve">sectorul </w:t>
      </w:r>
      <w:proofErr w:type="spellStart"/>
      <w:r w:rsidRPr="00E07AC2">
        <w:rPr>
          <w:rFonts w:ascii="Tahoma" w:hAnsi="Tahoma" w:cs="Tahoma"/>
          <w:b/>
          <w:sz w:val="24"/>
          <w:szCs w:val="24"/>
        </w:rPr>
        <w:t>concurenţial</w:t>
      </w:r>
      <w:proofErr w:type="spellEnd"/>
      <w:r w:rsidRPr="00E07AC2">
        <w:rPr>
          <w:rFonts w:ascii="Tahoma" w:hAnsi="Tahoma" w:cs="Tahoma"/>
          <w:sz w:val="24"/>
          <w:szCs w:val="24"/>
        </w:rPr>
        <w:t xml:space="preserve"> o </w:t>
      </w:r>
      <w:proofErr w:type="spellStart"/>
      <w:r w:rsidRPr="00E07AC2">
        <w:rPr>
          <w:rFonts w:ascii="Tahoma" w:hAnsi="Tahoma" w:cs="Tahoma"/>
          <w:sz w:val="24"/>
          <w:szCs w:val="24"/>
        </w:rPr>
        <w:t>creştere</w:t>
      </w:r>
      <w:proofErr w:type="spellEnd"/>
      <w:r w:rsidRPr="00E07AC2">
        <w:rPr>
          <w:rFonts w:ascii="Tahoma" w:hAnsi="Tahoma" w:cs="Tahoma"/>
          <w:sz w:val="24"/>
          <w:szCs w:val="24"/>
        </w:rPr>
        <w:t xml:space="preserve"> de 3,2%.</w:t>
      </w:r>
    </w:p>
    <w:p w:rsidR="00E07AC2" w:rsidRPr="00E07AC2" w:rsidRDefault="00E07AC2" w:rsidP="00E07AC2">
      <w:pPr>
        <w:spacing w:after="120" w:line="276" w:lineRule="auto"/>
        <w:ind w:firstLine="0"/>
        <w:rPr>
          <w:rFonts w:ascii="Tahoma" w:hAnsi="Tahoma" w:cs="Tahoma"/>
          <w:sz w:val="24"/>
          <w:szCs w:val="24"/>
        </w:rPr>
      </w:pPr>
      <w:r w:rsidRPr="00E07AC2">
        <w:rPr>
          <w:rFonts w:ascii="Tahoma" w:hAnsi="Tahoma" w:cs="Tahoma"/>
          <w:b/>
          <w:sz w:val="24"/>
          <w:szCs w:val="24"/>
        </w:rPr>
        <w:lastRenderedPageBreak/>
        <w:t>Șomajul înregistrat</w:t>
      </w:r>
      <w:r w:rsidRPr="00E07AC2">
        <w:rPr>
          <w:rFonts w:ascii="Tahoma" w:hAnsi="Tahoma" w:cs="Tahoma"/>
          <w:sz w:val="24"/>
          <w:szCs w:val="24"/>
        </w:rPr>
        <w:t xml:space="preserve"> la nivel național s-a </w:t>
      </w:r>
      <w:proofErr w:type="spellStart"/>
      <w:r w:rsidRPr="00E07AC2">
        <w:rPr>
          <w:rFonts w:ascii="Tahoma" w:hAnsi="Tahoma" w:cs="Tahoma"/>
          <w:sz w:val="24"/>
          <w:szCs w:val="24"/>
        </w:rPr>
        <w:t>menţinut</w:t>
      </w:r>
      <w:proofErr w:type="spellEnd"/>
      <w:r w:rsidRPr="00E07AC2">
        <w:rPr>
          <w:rFonts w:ascii="Tahoma" w:hAnsi="Tahoma" w:cs="Tahoma"/>
          <w:sz w:val="24"/>
          <w:szCs w:val="24"/>
        </w:rPr>
        <w:t xml:space="preserve"> relativ constant, astfel că la sfârșitul lunii mai 2023 a ajuns la 225,9 mii persoane, cu 3,3 mii persoane mai mare decât la </w:t>
      </w:r>
      <w:proofErr w:type="spellStart"/>
      <w:r w:rsidRPr="00E07AC2">
        <w:rPr>
          <w:rFonts w:ascii="Tahoma" w:hAnsi="Tahoma" w:cs="Tahoma"/>
          <w:sz w:val="24"/>
          <w:szCs w:val="24"/>
        </w:rPr>
        <w:t>sfârşitul</w:t>
      </w:r>
      <w:proofErr w:type="spellEnd"/>
      <w:r w:rsidRPr="00E07AC2">
        <w:rPr>
          <w:rFonts w:ascii="Tahoma" w:hAnsi="Tahoma" w:cs="Tahoma"/>
          <w:sz w:val="24"/>
          <w:szCs w:val="24"/>
        </w:rPr>
        <w:t xml:space="preserve"> lunii mai 2022 (222,6 mii persoane), cu o rată a șomajului de 2,88% cu 0,04% mai mică decât rata </w:t>
      </w:r>
      <w:proofErr w:type="spellStart"/>
      <w:r w:rsidRPr="00E07AC2">
        <w:rPr>
          <w:rFonts w:ascii="Tahoma" w:hAnsi="Tahoma" w:cs="Tahoma"/>
          <w:sz w:val="24"/>
          <w:szCs w:val="24"/>
        </w:rPr>
        <w:t>şomajului</w:t>
      </w:r>
      <w:proofErr w:type="spellEnd"/>
      <w:r w:rsidRPr="00E07AC2">
        <w:rPr>
          <w:rFonts w:ascii="Tahoma" w:hAnsi="Tahoma" w:cs="Tahoma"/>
          <w:sz w:val="24"/>
          <w:szCs w:val="24"/>
        </w:rPr>
        <w:t xml:space="preserve"> înregistrat la </w:t>
      </w:r>
      <w:proofErr w:type="spellStart"/>
      <w:r w:rsidRPr="00E07AC2">
        <w:rPr>
          <w:rFonts w:ascii="Tahoma" w:hAnsi="Tahoma" w:cs="Tahoma"/>
          <w:sz w:val="24"/>
          <w:szCs w:val="24"/>
        </w:rPr>
        <w:t>sfârşitul</w:t>
      </w:r>
      <w:proofErr w:type="spellEnd"/>
      <w:r w:rsidRPr="00E07AC2">
        <w:rPr>
          <w:rFonts w:ascii="Tahoma" w:hAnsi="Tahoma" w:cs="Tahoma"/>
          <w:sz w:val="24"/>
          <w:szCs w:val="24"/>
        </w:rPr>
        <w:t xml:space="preserve"> lunii mai 2022 (2,84%). Din totalul șomerilor înregistrați, 37,8 mii persoane au fost șomerii indemnizați (16,7%)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188,1 mii persoane șomeri </w:t>
      </w:r>
      <w:proofErr w:type="spellStart"/>
      <w:r w:rsidRPr="00E07AC2">
        <w:rPr>
          <w:rFonts w:ascii="Tahoma" w:hAnsi="Tahoma" w:cs="Tahoma"/>
          <w:sz w:val="24"/>
          <w:szCs w:val="24"/>
        </w:rPr>
        <w:t>neindemnizaţi</w:t>
      </w:r>
      <w:proofErr w:type="spellEnd"/>
      <w:r w:rsidRPr="00E07AC2">
        <w:rPr>
          <w:rFonts w:ascii="Tahoma" w:hAnsi="Tahoma" w:cs="Tahoma"/>
          <w:sz w:val="24"/>
          <w:szCs w:val="24"/>
        </w:rPr>
        <w:t xml:space="preserve"> (83,3%). Pe medii de rezidență numărul șomerilor înregistrați se prezintă astfel: 64,4 mii persoane (28,5%) din mediul urban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161,5 mii persoane (71,5%) din mediul rural.</w:t>
      </w:r>
    </w:p>
    <w:p w:rsidR="00E07AC2" w:rsidRPr="00E07AC2" w:rsidRDefault="00E07AC2" w:rsidP="00E07AC2">
      <w:pPr>
        <w:spacing w:after="120" w:line="276" w:lineRule="auto"/>
        <w:ind w:firstLine="0"/>
        <w:rPr>
          <w:rFonts w:ascii="Tahoma" w:hAnsi="Tahoma" w:cs="Tahoma"/>
          <w:sz w:val="24"/>
          <w:szCs w:val="24"/>
        </w:rPr>
      </w:pPr>
      <w:r w:rsidRPr="00E07AC2">
        <w:rPr>
          <w:rFonts w:ascii="Tahoma" w:hAnsi="Tahoma" w:cs="Tahoma"/>
          <w:sz w:val="24"/>
          <w:szCs w:val="24"/>
        </w:rPr>
        <w:t>Structura</w:t>
      </w:r>
      <w:r w:rsidRPr="00E07AC2">
        <w:rPr>
          <w:rFonts w:ascii="Tahoma" w:hAnsi="Tahoma" w:cs="Tahoma"/>
          <w:b/>
          <w:sz w:val="24"/>
          <w:szCs w:val="24"/>
        </w:rPr>
        <w:t xml:space="preserve"> șomajului pe grupe de vârstă,</w:t>
      </w:r>
      <w:r w:rsidRPr="00E07AC2">
        <w:rPr>
          <w:rFonts w:ascii="Tahoma" w:hAnsi="Tahoma" w:cs="Tahoma"/>
          <w:sz w:val="24"/>
          <w:szCs w:val="24"/>
        </w:rPr>
        <w:t xml:space="preserve"> la sfârșitul lunii mai 2023, relevă faptul că cea mai mare pondere revine grupei de vârstă 40 - 49 de ani, care reprezentau 21,9% din totalul șomerilor înregistrați, urmați de grupele 50 - 55 de ani (18,0%), peste 55 de ani (18,4%) și 30-39 ani (14,1%). </w:t>
      </w:r>
    </w:p>
    <w:p w:rsidR="00E07AC2" w:rsidRPr="00E07AC2" w:rsidRDefault="00E07AC2" w:rsidP="00E07AC2">
      <w:pPr>
        <w:spacing w:after="120" w:line="276" w:lineRule="auto"/>
        <w:ind w:firstLine="0"/>
        <w:rPr>
          <w:rFonts w:ascii="Tahoma" w:hAnsi="Tahoma" w:cs="Tahoma"/>
          <w:sz w:val="24"/>
          <w:szCs w:val="24"/>
        </w:rPr>
      </w:pPr>
      <w:r w:rsidRPr="00E07AC2">
        <w:rPr>
          <w:rFonts w:ascii="Tahoma" w:hAnsi="Tahoma" w:cs="Tahoma"/>
          <w:b/>
          <w:sz w:val="24"/>
          <w:szCs w:val="24"/>
        </w:rPr>
        <w:t>După nivelul de instruire</w:t>
      </w:r>
      <w:r w:rsidRPr="00E07AC2">
        <w:rPr>
          <w:rFonts w:ascii="Tahoma" w:hAnsi="Tahoma" w:cs="Tahoma"/>
          <w:sz w:val="24"/>
          <w:szCs w:val="24"/>
        </w:rPr>
        <w:t xml:space="preserve">, șomerii fără studii și cei cu nivel de instruire primar, gimnazial </w:t>
      </w:r>
      <w:proofErr w:type="spellStart"/>
      <w:r w:rsidRPr="00E07AC2">
        <w:rPr>
          <w:rFonts w:ascii="Tahoma" w:hAnsi="Tahoma" w:cs="Tahoma"/>
          <w:sz w:val="24"/>
          <w:szCs w:val="24"/>
        </w:rPr>
        <w:t>şi</w:t>
      </w:r>
      <w:proofErr w:type="spellEnd"/>
      <w:r w:rsidRPr="00E07AC2">
        <w:rPr>
          <w:rFonts w:ascii="Tahoma" w:hAnsi="Tahoma" w:cs="Tahoma"/>
          <w:sz w:val="24"/>
          <w:szCs w:val="24"/>
        </w:rPr>
        <w:t xml:space="preserve"> profesional aveau ponderea cea mai mare în totalul șomerilor înregistrați, respectiv 68,4%. Șomerii cu nivel de instruire liceal și post-liceal reprezentau 15,7% din totalul șomerilor înregistrați, iar cei cu studii universitare 4,7%. </w:t>
      </w:r>
    </w:p>
    <w:p w:rsidR="00E07AC2" w:rsidRPr="00E07AC2" w:rsidRDefault="00E07AC2" w:rsidP="00E07AC2">
      <w:pPr>
        <w:spacing w:after="120" w:line="276" w:lineRule="auto"/>
        <w:ind w:firstLine="0"/>
        <w:rPr>
          <w:rFonts w:ascii="Tahoma" w:eastAsia="Calibri" w:hAnsi="Tahoma" w:cs="Tahoma"/>
          <w:b/>
          <w:sz w:val="24"/>
          <w:szCs w:val="24"/>
        </w:rPr>
      </w:pPr>
      <w:r w:rsidRPr="00E07AC2">
        <w:rPr>
          <w:rFonts w:ascii="Tahoma" w:hAnsi="Tahoma" w:cs="Tahoma"/>
          <w:sz w:val="24"/>
          <w:szCs w:val="24"/>
        </w:rPr>
        <w:t xml:space="preserve">În ceea ce privește </w:t>
      </w:r>
      <w:r w:rsidRPr="00E07AC2">
        <w:rPr>
          <w:rFonts w:ascii="Tahoma" w:hAnsi="Tahoma" w:cs="Tahoma"/>
          <w:b/>
          <w:sz w:val="24"/>
          <w:szCs w:val="24"/>
        </w:rPr>
        <w:t>șomajul de lungă durată</w:t>
      </w:r>
      <w:r w:rsidRPr="00E07AC2">
        <w:rPr>
          <w:rFonts w:ascii="Tahoma" w:hAnsi="Tahoma" w:cs="Tahoma"/>
          <w:sz w:val="24"/>
          <w:szCs w:val="24"/>
        </w:rPr>
        <w:t xml:space="preserve">, la sfârșitul lunii mai 2023 se aflau înregistrați 82,7 mii persoane (32,3%), din care 7,8 mii persoane din rândul tinerilor cu vârsta sub 25 de ani aflați în șomaj de peste 6 luni (30,9% din totalul șomerilor sub 25 de ani) și 74,9 mii adulți aflați în șomaj de peste 12 luni (37,3% din rândul șomerilor </w:t>
      </w:r>
      <w:proofErr w:type="spellStart"/>
      <w:r w:rsidRPr="00E07AC2">
        <w:rPr>
          <w:rFonts w:ascii="Tahoma" w:hAnsi="Tahoma" w:cs="Tahoma"/>
          <w:sz w:val="24"/>
          <w:szCs w:val="24"/>
        </w:rPr>
        <w:t>adulţi</w:t>
      </w:r>
      <w:proofErr w:type="spellEnd"/>
      <w:r w:rsidRPr="00E07AC2">
        <w:rPr>
          <w:rFonts w:ascii="Tahoma" w:hAnsi="Tahoma" w:cs="Tahoma"/>
          <w:sz w:val="24"/>
          <w:szCs w:val="24"/>
        </w:rPr>
        <w:t>).</w:t>
      </w:r>
    </w:p>
    <w:p w:rsidR="00E80EAC" w:rsidRPr="007403CD" w:rsidRDefault="00E80EAC" w:rsidP="00E80EAC">
      <w:r w:rsidRPr="007403CD">
        <w:br w:type="page"/>
      </w:r>
    </w:p>
    <w:p w:rsidR="0056154D" w:rsidRPr="007403CD" w:rsidRDefault="002548C2" w:rsidP="00717011">
      <w:pPr>
        <w:pStyle w:val="Heading1"/>
        <w:numPr>
          <w:ilvl w:val="0"/>
          <w:numId w:val="1"/>
        </w:numPr>
        <w:rPr>
          <w:rFonts w:ascii="Tahoma" w:hAnsi="Tahoma" w:cs="Tahoma"/>
          <w:b/>
          <w:color w:val="auto"/>
          <w:sz w:val="24"/>
          <w:szCs w:val="24"/>
        </w:rPr>
      </w:pPr>
      <w:bookmarkStart w:id="12" w:name="_Toc140151606"/>
      <w:r w:rsidRPr="007403CD">
        <w:rPr>
          <w:rFonts w:ascii="Tahoma" w:hAnsi="Tahoma" w:cs="Tahoma"/>
          <w:b/>
          <w:color w:val="auto"/>
          <w:sz w:val="24"/>
          <w:szCs w:val="24"/>
        </w:rPr>
        <w:lastRenderedPageBreak/>
        <w:t>P</w:t>
      </w:r>
      <w:r w:rsidR="00E3087D" w:rsidRPr="007403CD">
        <w:rPr>
          <w:rFonts w:ascii="Tahoma" w:hAnsi="Tahoma" w:cs="Tahoma"/>
          <w:b/>
          <w:color w:val="auto"/>
          <w:sz w:val="24"/>
          <w:szCs w:val="24"/>
        </w:rPr>
        <w:t xml:space="preserve">olitica fiscal-bugetară </w:t>
      </w:r>
      <w:r w:rsidR="00191D8D" w:rsidRPr="007403CD">
        <w:rPr>
          <w:rFonts w:ascii="Tahoma" w:hAnsi="Tahoma" w:cs="Tahoma"/>
          <w:b/>
          <w:color w:val="auto"/>
          <w:sz w:val="24"/>
          <w:szCs w:val="24"/>
        </w:rPr>
        <w:t>aferentă</w:t>
      </w:r>
      <w:r w:rsidR="00E3087D" w:rsidRPr="007403CD">
        <w:rPr>
          <w:rFonts w:ascii="Tahoma" w:hAnsi="Tahoma" w:cs="Tahoma"/>
          <w:b/>
          <w:color w:val="auto"/>
          <w:sz w:val="24"/>
          <w:szCs w:val="24"/>
        </w:rPr>
        <w:t xml:space="preserve"> anul</w:t>
      </w:r>
      <w:r w:rsidR="00191D8D" w:rsidRPr="007403CD">
        <w:rPr>
          <w:rFonts w:ascii="Tahoma" w:hAnsi="Tahoma" w:cs="Tahoma"/>
          <w:b/>
          <w:color w:val="auto"/>
          <w:sz w:val="24"/>
          <w:szCs w:val="24"/>
        </w:rPr>
        <w:t>ui</w:t>
      </w:r>
      <w:bookmarkEnd w:id="8"/>
      <w:bookmarkEnd w:id="9"/>
      <w:bookmarkEnd w:id="10"/>
      <w:bookmarkEnd w:id="11"/>
      <w:r w:rsidR="00E95717" w:rsidRPr="007403CD">
        <w:rPr>
          <w:rFonts w:ascii="Tahoma" w:hAnsi="Tahoma" w:cs="Tahoma"/>
          <w:b/>
          <w:color w:val="auto"/>
          <w:sz w:val="24"/>
          <w:szCs w:val="24"/>
        </w:rPr>
        <w:t xml:space="preserve"> </w:t>
      </w:r>
      <w:r w:rsidR="00E3539E" w:rsidRPr="007403CD">
        <w:rPr>
          <w:rFonts w:ascii="Tahoma" w:hAnsi="Tahoma" w:cs="Tahoma"/>
          <w:b/>
          <w:color w:val="auto"/>
          <w:sz w:val="24"/>
          <w:szCs w:val="24"/>
        </w:rPr>
        <w:t>20</w:t>
      </w:r>
      <w:r w:rsidR="00C21D8D" w:rsidRPr="007403CD">
        <w:rPr>
          <w:rFonts w:ascii="Tahoma" w:hAnsi="Tahoma" w:cs="Tahoma"/>
          <w:b/>
          <w:color w:val="auto"/>
          <w:sz w:val="24"/>
          <w:szCs w:val="24"/>
        </w:rPr>
        <w:t>2</w:t>
      </w:r>
      <w:r w:rsidR="00CC1A7B">
        <w:rPr>
          <w:rFonts w:ascii="Tahoma" w:hAnsi="Tahoma" w:cs="Tahoma"/>
          <w:b/>
          <w:color w:val="auto"/>
          <w:sz w:val="24"/>
          <w:szCs w:val="24"/>
        </w:rPr>
        <w:t>3</w:t>
      </w:r>
      <w:bookmarkEnd w:id="12"/>
    </w:p>
    <w:p w:rsidR="00D6065B" w:rsidRPr="007403CD" w:rsidRDefault="00D6065B" w:rsidP="002A6579">
      <w:pPr>
        <w:pStyle w:val="ListParagraph"/>
        <w:keepNext/>
        <w:keepLines/>
        <w:spacing w:line="276" w:lineRule="auto"/>
        <w:ind w:left="567"/>
        <w:outlineLvl w:val="0"/>
        <w:rPr>
          <w:rFonts w:ascii="Tahoma" w:hAnsi="Tahoma" w:cs="Tahoma"/>
          <w:b/>
          <w:sz w:val="24"/>
          <w:szCs w:val="24"/>
        </w:rPr>
      </w:pPr>
    </w:p>
    <w:p w:rsidR="00642BCD" w:rsidRPr="007403CD" w:rsidRDefault="00642BCD" w:rsidP="004C0DCD">
      <w:pPr>
        <w:keepNext/>
        <w:keepLines/>
        <w:shd w:val="clear" w:color="auto" w:fill="D5DCE4" w:themeFill="text2" w:themeFillTint="33"/>
        <w:tabs>
          <w:tab w:val="left" w:pos="851"/>
        </w:tabs>
        <w:spacing w:after="120" w:line="276" w:lineRule="auto"/>
        <w:ind w:firstLine="0"/>
        <w:rPr>
          <w:rFonts w:ascii="Tahoma" w:hAnsi="Tahoma" w:cs="Tahoma"/>
          <w:sz w:val="24"/>
          <w:szCs w:val="24"/>
        </w:rPr>
      </w:pPr>
      <w:r w:rsidRPr="007403CD">
        <w:rPr>
          <w:rFonts w:ascii="Tahoma" w:hAnsi="Tahoma" w:cs="Tahoma"/>
          <w:sz w:val="24"/>
          <w:szCs w:val="24"/>
        </w:rPr>
        <w:t>Construcția bugetară pe anul 20</w:t>
      </w:r>
      <w:r w:rsidR="00C21D8D" w:rsidRPr="007403CD">
        <w:rPr>
          <w:rFonts w:ascii="Tahoma" w:hAnsi="Tahoma" w:cs="Tahoma"/>
          <w:sz w:val="24"/>
          <w:szCs w:val="24"/>
        </w:rPr>
        <w:t>2</w:t>
      </w:r>
      <w:r w:rsidR="009950F5">
        <w:rPr>
          <w:rFonts w:ascii="Tahoma" w:hAnsi="Tahoma" w:cs="Tahoma"/>
          <w:sz w:val="24"/>
          <w:szCs w:val="24"/>
        </w:rPr>
        <w:t>3</w:t>
      </w:r>
      <w:r w:rsidRPr="007403CD">
        <w:rPr>
          <w:rFonts w:ascii="Tahoma" w:hAnsi="Tahoma" w:cs="Tahoma"/>
          <w:sz w:val="24"/>
          <w:szCs w:val="24"/>
        </w:rPr>
        <w:t xml:space="preserve"> a avut la bază următoarele obiective:</w:t>
      </w:r>
    </w:p>
    <w:p w:rsidR="009950F5" w:rsidRPr="00104C14" w:rsidRDefault="009950F5" w:rsidP="00104C14">
      <w:pPr>
        <w:numPr>
          <w:ilvl w:val="0"/>
          <w:numId w:val="13"/>
        </w:numPr>
        <w:shd w:val="clear" w:color="auto" w:fill="D5DCE4" w:themeFill="text2" w:themeFillTint="33"/>
        <w:spacing w:after="120" w:line="276" w:lineRule="auto"/>
        <w:ind w:hanging="357"/>
        <w:rPr>
          <w:rFonts w:ascii="Tahoma" w:eastAsia="Calibri" w:hAnsi="Tahoma" w:cs="Tahoma"/>
          <w:sz w:val="24"/>
          <w:szCs w:val="24"/>
        </w:rPr>
      </w:pPr>
      <w:r w:rsidRPr="00104C14">
        <w:rPr>
          <w:rFonts w:ascii="Tahoma" w:eastAsia="+mn-ea" w:hAnsi="Tahoma" w:cs="Tahoma"/>
          <w:b/>
          <w:bCs/>
          <w:sz w:val="24"/>
          <w:szCs w:val="24"/>
        </w:rPr>
        <w:t>Continuarea măsurilor pentru o redresare economică</w:t>
      </w:r>
      <w:r w:rsidRPr="00104C14">
        <w:rPr>
          <w:rFonts w:ascii="Tahoma" w:eastAsia="+mn-ea" w:hAnsi="Tahoma" w:cs="Tahoma"/>
          <w:bCs/>
          <w:sz w:val="24"/>
          <w:szCs w:val="24"/>
        </w:rPr>
        <w:t xml:space="preserve"> </w:t>
      </w:r>
      <w:r w:rsidRPr="00104C14">
        <w:rPr>
          <w:rFonts w:ascii="Tahoma" w:eastAsia="+mn-ea" w:hAnsi="Tahoma" w:cs="Tahoma"/>
          <w:b/>
          <w:bCs/>
          <w:sz w:val="24"/>
          <w:szCs w:val="24"/>
        </w:rPr>
        <w:t>robustă</w:t>
      </w:r>
      <w:r w:rsidRPr="00104C14">
        <w:rPr>
          <w:rFonts w:ascii="Tahoma" w:eastAsia="+mn-ea" w:hAnsi="Tahoma" w:cs="Tahoma"/>
          <w:bCs/>
          <w:sz w:val="24"/>
          <w:szCs w:val="24"/>
        </w:rPr>
        <w:t>, menținerea și susținerea unui nou</w:t>
      </w:r>
      <w:r w:rsidRPr="00104C14">
        <w:rPr>
          <w:rFonts w:ascii="Tahoma" w:eastAsia="Calibri" w:hAnsi="Tahoma" w:cs="Tahoma"/>
          <w:sz w:val="24"/>
          <w:szCs w:val="24"/>
        </w:rPr>
        <w:t xml:space="preserve"> cadru de dezvoltare durabilă, justă și intruzivă care să asigure o tranziție eficientă economic, suportabilă social și axată pe competitivitate, inovație și decarbonizare care să conducă la eliminarea vulnerabilităților din economie și să asigure un nivel de trai decent;</w:t>
      </w:r>
    </w:p>
    <w:p w:rsidR="009950F5" w:rsidRPr="00104C14" w:rsidRDefault="009950F5" w:rsidP="00104C14">
      <w:pPr>
        <w:numPr>
          <w:ilvl w:val="0"/>
          <w:numId w:val="13"/>
        </w:numPr>
        <w:shd w:val="clear" w:color="auto" w:fill="D5DCE4" w:themeFill="text2" w:themeFillTint="33"/>
        <w:spacing w:before="120" w:after="120" w:line="276" w:lineRule="auto"/>
        <w:ind w:hanging="357"/>
        <w:rPr>
          <w:rFonts w:ascii="Tahoma" w:eastAsia="Calibri" w:hAnsi="Tahoma" w:cs="Tahoma"/>
          <w:sz w:val="24"/>
          <w:szCs w:val="24"/>
        </w:rPr>
      </w:pPr>
      <w:r w:rsidRPr="00104C14">
        <w:rPr>
          <w:rFonts w:ascii="Tahoma" w:eastAsia="+mn-ea" w:hAnsi="Tahoma" w:cs="Tahoma"/>
          <w:b/>
          <w:bCs/>
          <w:sz w:val="24"/>
          <w:szCs w:val="24"/>
        </w:rPr>
        <w:t>Continuarea realizării graduale a consolidării fiscale</w:t>
      </w:r>
      <w:r w:rsidRPr="00104C14">
        <w:rPr>
          <w:rFonts w:ascii="Tahoma" w:eastAsia="+mn-ea" w:hAnsi="Tahoma" w:cs="Tahoma"/>
          <w:bCs/>
          <w:sz w:val="24"/>
          <w:szCs w:val="24"/>
        </w:rPr>
        <w:t xml:space="preserve"> prin măsuri care să permită atingerea țintei de deficit prevăzută de regulamentele europene până la sfârșitul anului 2024,</w:t>
      </w:r>
      <w:r w:rsidRPr="00104C14">
        <w:rPr>
          <w:rFonts w:ascii="Tahoma" w:eastAsia="Calibri" w:hAnsi="Tahoma" w:cs="Tahoma"/>
          <w:sz w:val="24"/>
          <w:szCs w:val="24"/>
        </w:rPr>
        <w:t xml:space="preserve"> contribuind, în acest fel la scăderea inflației, a ratelor dobânzilor, a deficitului comercial și de cont curent al balanței de plăti, precum și la stabilitatea cursului valutar al leului;</w:t>
      </w:r>
    </w:p>
    <w:p w:rsidR="009950F5" w:rsidRPr="00104C14" w:rsidRDefault="009950F5" w:rsidP="00104C14">
      <w:pPr>
        <w:numPr>
          <w:ilvl w:val="0"/>
          <w:numId w:val="13"/>
        </w:numPr>
        <w:shd w:val="clear" w:color="auto" w:fill="D5DCE4" w:themeFill="text2" w:themeFillTint="33"/>
        <w:spacing w:before="120" w:after="120" w:line="276" w:lineRule="auto"/>
        <w:ind w:hanging="357"/>
        <w:rPr>
          <w:rFonts w:ascii="Tahoma" w:eastAsia="Calibri" w:hAnsi="Tahoma" w:cs="Tahoma"/>
          <w:sz w:val="24"/>
          <w:szCs w:val="24"/>
        </w:rPr>
      </w:pPr>
      <w:r w:rsidRPr="00104C14">
        <w:rPr>
          <w:rFonts w:ascii="Tahoma" w:eastAsia="+mn-ea" w:hAnsi="Tahoma" w:cs="Tahoma"/>
          <w:b/>
          <w:bCs/>
          <w:sz w:val="24"/>
          <w:szCs w:val="24"/>
        </w:rPr>
        <w:t xml:space="preserve">Reforma, </w:t>
      </w:r>
      <w:proofErr w:type="spellStart"/>
      <w:r w:rsidRPr="00104C14">
        <w:rPr>
          <w:rFonts w:ascii="Tahoma" w:eastAsia="+mn-ea" w:hAnsi="Tahoma" w:cs="Tahoma"/>
          <w:b/>
          <w:bCs/>
          <w:sz w:val="24"/>
          <w:szCs w:val="24"/>
        </w:rPr>
        <w:t>prioritizarea</w:t>
      </w:r>
      <w:proofErr w:type="spellEnd"/>
      <w:r w:rsidRPr="00104C14">
        <w:rPr>
          <w:rFonts w:ascii="Tahoma" w:eastAsia="+mn-ea" w:hAnsi="Tahoma" w:cs="Tahoma"/>
          <w:b/>
          <w:bCs/>
          <w:sz w:val="24"/>
          <w:szCs w:val="24"/>
        </w:rPr>
        <w:t xml:space="preserve"> și programarea multianuală a investițiilor publice</w:t>
      </w:r>
      <w:r w:rsidRPr="00104C14">
        <w:rPr>
          <w:rFonts w:ascii="Tahoma" w:eastAsia="+mn-ea" w:hAnsi="Tahoma" w:cs="Tahoma"/>
          <w:bCs/>
          <w:sz w:val="24"/>
          <w:szCs w:val="24"/>
        </w:rPr>
        <w:t xml:space="preserve"> </w:t>
      </w:r>
      <w:r w:rsidRPr="00104C14">
        <w:rPr>
          <w:rFonts w:ascii="Tahoma" w:eastAsia="+mn-ea" w:hAnsi="Tahoma" w:cs="Tahoma"/>
          <w:sz w:val="24"/>
          <w:szCs w:val="24"/>
        </w:rPr>
        <w:t xml:space="preserve">într-o manieră eficientă, profesionistă și transparentă cu efect multiplicator și aport direct la formarea brută de capital fix, </w:t>
      </w:r>
      <w:r w:rsidRPr="00104C14">
        <w:rPr>
          <w:rFonts w:ascii="Tahoma" w:eastAsia="+mn-ea" w:hAnsi="Tahoma" w:cs="Tahoma"/>
          <w:bCs/>
          <w:sz w:val="24"/>
          <w:szCs w:val="24"/>
        </w:rPr>
        <w:t>prin creșterea aportului fondurilor europene aferente cadrului financiar 2021-2027 și cele aferente Mecanismului de Redresare și Reziliență ce finanțează reformele și investițiile stabilite prin Programul Național de Redresare și Reziliență, cel mai mare pachet de stimulare din resursele europene alocate României;</w:t>
      </w:r>
    </w:p>
    <w:p w:rsidR="009950F5" w:rsidRPr="00104C14" w:rsidRDefault="009950F5" w:rsidP="00104C14">
      <w:pPr>
        <w:numPr>
          <w:ilvl w:val="0"/>
          <w:numId w:val="13"/>
        </w:numPr>
        <w:shd w:val="clear" w:color="auto" w:fill="D5DCE4" w:themeFill="text2" w:themeFillTint="33"/>
        <w:spacing w:before="120" w:after="120" w:line="276" w:lineRule="auto"/>
        <w:ind w:hanging="357"/>
        <w:rPr>
          <w:rFonts w:ascii="Tahoma" w:eastAsia="Calibri" w:hAnsi="Tahoma" w:cs="Tahoma"/>
          <w:sz w:val="24"/>
          <w:szCs w:val="24"/>
        </w:rPr>
      </w:pPr>
      <w:r w:rsidRPr="00104C14">
        <w:rPr>
          <w:rFonts w:ascii="Tahoma" w:eastAsia="+mn-ea" w:hAnsi="Tahoma" w:cs="Tahoma"/>
          <w:b/>
          <w:bCs/>
          <w:sz w:val="24"/>
          <w:szCs w:val="24"/>
        </w:rPr>
        <w:t>Consolidarea unei politici fiscale predictibile</w:t>
      </w:r>
      <w:r w:rsidRPr="00104C14">
        <w:rPr>
          <w:rFonts w:ascii="Tahoma" w:eastAsia="+mn-ea" w:hAnsi="Tahoma" w:cs="Tahoma"/>
          <w:bCs/>
          <w:sz w:val="24"/>
          <w:szCs w:val="24"/>
        </w:rPr>
        <w:t xml:space="preserve"> ferm angajate pe panta de reducere a deficitului bugetar, pentru susținerea și adaptarea mediului de afaceri la provocările ridicate de suita de crize cu care se confruntă societatea, simplificarea fiscalității și fluidizarea proceselor interne, </w:t>
      </w:r>
      <w:r w:rsidRPr="00104C14">
        <w:rPr>
          <w:rFonts w:ascii="Tahoma" w:eastAsia="+mn-ea" w:hAnsi="Tahoma" w:cs="Tahoma"/>
          <w:sz w:val="24"/>
          <w:szCs w:val="24"/>
        </w:rPr>
        <w:t>pentru a crea premisa unei creșteri economice sănătoase și durabile;</w:t>
      </w:r>
    </w:p>
    <w:p w:rsidR="009950F5" w:rsidRPr="00104C14" w:rsidRDefault="009950F5" w:rsidP="00104C14">
      <w:pPr>
        <w:numPr>
          <w:ilvl w:val="0"/>
          <w:numId w:val="13"/>
        </w:numPr>
        <w:shd w:val="clear" w:color="auto" w:fill="D5DCE4" w:themeFill="text2" w:themeFillTint="33"/>
        <w:spacing w:before="120" w:after="120" w:line="276" w:lineRule="auto"/>
        <w:ind w:hanging="357"/>
        <w:rPr>
          <w:rFonts w:ascii="Tahoma" w:eastAsia="Calibri" w:hAnsi="Tahoma" w:cs="Tahoma"/>
          <w:sz w:val="24"/>
          <w:szCs w:val="24"/>
        </w:rPr>
      </w:pPr>
      <w:r w:rsidRPr="00104C14">
        <w:rPr>
          <w:rFonts w:ascii="Tahoma" w:eastAsia="+mn-ea" w:hAnsi="Tahoma" w:cs="Tahoma"/>
          <w:b/>
          <w:bCs/>
          <w:sz w:val="24"/>
          <w:szCs w:val="24"/>
        </w:rPr>
        <w:t xml:space="preserve">Dezvoltarea și diversificarea instrumentelor de management ale datoriei publice </w:t>
      </w:r>
      <w:r w:rsidRPr="00104C14">
        <w:rPr>
          <w:rFonts w:ascii="Tahoma" w:eastAsia="+mn-ea" w:hAnsi="Tahoma" w:cs="Tahoma"/>
          <w:bCs/>
          <w:sz w:val="24"/>
          <w:szCs w:val="24"/>
        </w:rPr>
        <w:t>pentru menținerea datoriei publice la un nivel sustenabil;</w:t>
      </w:r>
    </w:p>
    <w:p w:rsidR="009950F5" w:rsidRPr="00104C14" w:rsidRDefault="009950F5" w:rsidP="00104C14">
      <w:pPr>
        <w:numPr>
          <w:ilvl w:val="0"/>
          <w:numId w:val="13"/>
        </w:numPr>
        <w:shd w:val="clear" w:color="auto" w:fill="D5DCE4" w:themeFill="text2" w:themeFillTint="33"/>
        <w:spacing w:before="120" w:after="120" w:line="276" w:lineRule="auto"/>
        <w:ind w:hanging="357"/>
        <w:rPr>
          <w:rFonts w:ascii="Tahoma" w:eastAsia="Calibri" w:hAnsi="Tahoma" w:cs="Tahoma"/>
          <w:sz w:val="24"/>
          <w:szCs w:val="24"/>
        </w:rPr>
      </w:pPr>
      <w:r w:rsidRPr="00104C14">
        <w:rPr>
          <w:rFonts w:ascii="Tahoma" w:eastAsia="Calibri" w:hAnsi="Tahoma" w:cs="Tahoma"/>
          <w:b/>
          <w:sz w:val="24"/>
          <w:szCs w:val="24"/>
        </w:rPr>
        <w:t>Măsuri consistente pentru crearea și consolidarea unor finanțe publice sănătoase</w:t>
      </w:r>
      <w:r w:rsidRPr="00104C14">
        <w:rPr>
          <w:rFonts w:ascii="Tahoma" w:eastAsia="Calibri" w:hAnsi="Tahoma" w:cs="Tahoma"/>
          <w:sz w:val="24"/>
          <w:szCs w:val="24"/>
        </w:rPr>
        <w:t>, prin eficientizarea calitativă a cheltuielilor publice cu focalizare pe :</w:t>
      </w:r>
    </w:p>
    <w:p w:rsidR="009950F5" w:rsidRPr="00104C14" w:rsidRDefault="009950F5" w:rsidP="00104C14">
      <w:pPr>
        <w:numPr>
          <w:ilvl w:val="0"/>
          <w:numId w:val="14"/>
        </w:numPr>
        <w:shd w:val="clear" w:color="auto" w:fill="D5DCE4" w:themeFill="text2" w:themeFillTint="33"/>
        <w:spacing w:before="120" w:after="120" w:line="276" w:lineRule="auto"/>
        <w:ind w:left="701" w:hanging="357"/>
        <w:rPr>
          <w:rFonts w:ascii="Tahoma" w:eastAsia="Calibri" w:hAnsi="Tahoma" w:cs="Tahoma"/>
          <w:sz w:val="24"/>
          <w:szCs w:val="24"/>
        </w:rPr>
      </w:pPr>
      <w:r w:rsidRPr="00104C14">
        <w:rPr>
          <w:rFonts w:ascii="Tahoma" w:eastAsia="Calibri" w:hAnsi="Tahoma" w:cs="Tahoma"/>
          <w:b/>
          <w:sz w:val="24"/>
          <w:szCs w:val="24"/>
        </w:rPr>
        <w:t xml:space="preserve">Finanțarea unor măsuri active economice pentru sprijinirea grupurilor celor mai vulnerabile, reforme în domeniul muncii, al pensiilor, al sprijinirii IMM </w:t>
      </w:r>
      <w:r w:rsidRPr="00104C14">
        <w:rPr>
          <w:rFonts w:ascii="Tahoma" w:eastAsia="Calibri" w:hAnsi="Tahoma" w:cs="Tahoma"/>
          <w:sz w:val="24"/>
          <w:szCs w:val="24"/>
        </w:rPr>
        <w:t xml:space="preserve">al căror lanț de aprovizionare a fost puternic afectat de </w:t>
      </w:r>
      <w:r w:rsidRPr="00104C14">
        <w:rPr>
          <w:rFonts w:ascii="Tahoma" w:hAnsi="Tahoma" w:cs="Tahoma"/>
          <w:i/>
          <w:sz w:val="24"/>
          <w:szCs w:val="24"/>
        </w:rPr>
        <w:t>agresiunea rusă împotriva Ucrainei</w:t>
      </w:r>
      <w:r w:rsidRPr="00104C14">
        <w:rPr>
          <w:rFonts w:ascii="Tahoma" w:eastAsia="Calibri" w:hAnsi="Tahoma" w:cs="Tahoma"/>
          <w:sz w:val="24"/>
          <w:szCs w:val="24"/>
        </w:rPr>
        <w:t>;</w:t>
      </w:r>
    </w:p>
    <w:p w:rsidR="009950F5" w:rsidRPr="00104C14" w:rsidRDefault="009950F5" w:rsidP="00104C14">
      <w:pPr>
        <w:numPr>
          <w:ilvl w:val="0"/>
          <w:numId w:val="14"/>
        </w:numPr>
        <w:shd w:val="clear" w:color="auto" w:fill="D5DCE4" w:themeFill="text2" w:themeFillTint="33"/>
        <w:spacing w:after="120" w:line="276" w:lineRule="auto"/>
        <w:ind w:left="701" w:hanging="357"/>
        <w:rPr>
          <w:rFonts w:ascii="Tahoma" w:eastAsia="Calibri" w:hAnsi="Tahoma" w:cs="Tahoma"/>
          <w:sz w:val="24"/>
          <w:szCs w:val="24"/>
        </w:rPr>
      </w:pPr>
      <w:r w:rsidRPr="00104C14">
        <w:rPr>
          <w:rFonts w:ascii="Tahoma" w:eastAsia="Calibri" w:hAnsi="Tahoma" w:cs="Tahoma"/>
          <w:b/>
          <w:sz w:val="24"/>
          <w:szCs w:val="24"/>
        </w:rPr>
        <w:t>Consolidarea bugetării pe programe pe bază de indicatori de rezultat</w:t>
      </w:r>
      <w:r w:rsidRPr="00104C14">
        <w:rPr>
          <w:rFonts w:ascii="Tahoma" w:eastAsia="Calibri" w:hAnsi="Tahoma" w:cs="Tahoma"/>
          <w:sz w:val="24"/>
          <w:szCs w:val="24"/>
        </w:rPr>
        <w:t xml:space="preserve"> la toate nivelurile administrației publice centrale și locale care să permită transparența deplină a cheltuielilor publice, îmbunătățirea clarității și coerenței procesului de bugetare, </w:t>
      </w:r>
      <w:proofErr w:type="spellStart"/>
      <w:r w:rsidRPr="00104C14">
        <w:rPr>
          <w:rFonts w:ascii="Tahoma" w:eastAsia="Calibri" w:hAnsi="Tahoma" w:cs="Tahoma"/>
          <w:sz w:val="24"/>
          <w:szCs w:val="24"/>
        </w:rPr>
        <w:t>prioritizarea</w:t>
      </w:r>
      <w:proofErr w:type="spellEnd"/>
      <w:r w:rsidRPr="00104C14">
        <w:rPr>
          <w:rFonts w:ascii="Tahoma" w:eastAsia="Calibri" w:hAnsi="Tahoma" w:cs="Tahoma"/>
          <w:sz w:val="24"/>
          <w:szCs w:val="24"/>
        </w:rPr>
        <w:t xml:space="preserve"> politicilor sectoriale și asigurarea unei competiții reale între proiectele propuse spre finanțare și susținerea performanței;</w:t>
      </w:r>
    </w:p>
    <w:p w:rsidR="009950F5" w:rsidRPr="00104C14" w:rsidRDefault="009950F5" w:rsidP="00104C14">
      <w:pPr>
        <w:numPr>
          <w:ilvl w:val="0"/>
          <w:numId w:val="14"/>
        </w:numPr>
        <w:shd w:val="clear" w:color="auto" w:fill="D5DCE4" w:themeFill="text2" w:themeFillTint="33"/>
        <w:spacing w:after="120" w:line="276" w:lineRule="auto"/>
        <w:ind w:left="701" w:hanging="357"/>
        <w:rPr>
          <w:rFonts w:ascii="Tahoma" w:eastAsia="Calibri" w:hAnsi="Tahoma" w:cs="Tahoma"/>
          <w:b/>
          <w:sz w:val="24"/>
          <w:szCs w:val="24"/>
        </w:rPr>
      </w:pPr>
      <w:r w:rsidRPr="00104C14">
        <w:rPr>
          <w:rFonts w:ascii="Tahoma" w:eastAsia="Calibri" w:hAnsi="Tahoma" w:cs="Tahoma"/>
          <w:b/>
          <w:sz w:val="24"/>
          <w:szCs w:val="24"/>
        </w:rPr>
        <w:lastRenderedPageBreak/>
        <w:t xml:space="preserve">Întărirea guvernanței corporative la companiile de stat </w:t>
      </w:r>
      <w:r w:rsidRPr="00104C14">
        <w:rPr>
          <w:rFonts w:ascii="Tahoma" w:eastAsia="Calibri" w:hAnsi="Tahoma" w:cs="Tahoma"/>
          <w:sz w:val="24"/>
          <w:szCs w:val="24"/>
        </w:rPr>
        <w:t>în vederea îmbunătățirii performanței acestora, prin utilizarea celor mai bune practici la nivel european.</w:t>
      </w:r>
    </w:p>
    <w:p w:rsidR="009950F5" w:rsidRPr="009950F5" w:rsidRDefault="009950F5" w:rsidP="00634A05">
      <w:pPr>
        <w:shd w:val="clear" w:color="auto" w:fill="FFFFFF" w:themeFill="background1"/>
        <w:spacing w:after="0" w:line="276" w:lineRule="auto"/>
        <w:ind w:left="701" w:firstLine="0"/>
        <w:contextualSpacing/>
        <w:rPr>
          <w:rFonts w:ascii="Trebuchet MS" w:eastAsia="Calibri" w:hAnsi="Trebuchet MS" w:cs="Calibri"/>
          <w:b/>
          <w:color w:val="000066"/>
        </w:rPr>
      </w:pPr>
    </w:p>
    <w:p w:rsidR="00E3539E" w:rsidRPr="007403CD" w:rsidRDefault="007C4F03" w:rsidP="001F3032">
      <w:pPr>
        <w:keepNext/>
        <w:keepLines/>
        <w:spacing w:after="240" w:line="276" w:lineRule="auto"/>
        <w:ind w:firstLine="0"/>
        <w:rPr>
          <w:rFonts w:ascii="Tahoma" w:hAnsi="Tahoma" w:cs="Tahoma"/>
          <w:b/>
          <w:bCs/>
          <w:sz w:val="24"/>
          <w:szCs w:val="24"/>
        </w:rPr>
      </w:pPr>
      <w:r w:rsidRPr="007403CD">
        <w:rPr>
          <w:rFonts w:ascii="Tahoma" w:hAnsi="Tahoma" w:cs="Tahoma"/>
          <w:b/>
          <w:bCs/>
          <w:sz w:val="24"/>
          <w:szCs w:val="24"/>
        </w:rPr>
        <w:t xml:space="preserve">Principalele măsuri </w:t>
      </w:r>
      <w:r w:rsidR="008A09B8" w:rsidRPr="007403CD">
        <w:rPr>
          <w:rFonts w:ascii="Tahoma" w:hAnsi="Tahoma" w:cs="Tahoma"/>
          <w:b/>
          <w:bCs/>
          <w:sz w:val="24"/>
          <w:szCs w:val="24"/>
        </w:rPr>
        <w:t>avute în vedere la elabora</w:t>
      </w:r>
      <w:r w:rsidR="001D00F4" w:rsidRPr="007403CD">
        <w:rPr>
          <w:rFonts w:ascii="Tahoma" w:hAnsi="Tahoma" w:cs="Tahoma"/>
          <w:b/>
          <w:bCs/>
          <w:sz w:val="24"/>
          <w:szCs w:val="24"/>
        </w:rPr>
        <w:t xml:space="preserve">rea </w:t>
      </w:r>
      <w:r w:rsidRPr="007403CD">
        <w:rPr>
          <w:rFonts w:ascii="Tahoma" w:hAnsi="Tahoma" w:cs="Tahoma"/>
          <w:b/>
          <w:bCs/>
          <w:sz w:val="24"/>
          <w:szCs w:val="24"/>
        </w:rPr>
        <w:t>bugetul</w:t>
      </w:r>
      <w:r w:rsidR="001D00F4" w:rsidRPr="007403CD">
        <w:rPr>
          <w:rFonts w:ascii="Tahoma" w:hAnsi="Tahoma" w:cs="Tahoma"/>
          <w:b/>
          <w:bCs/>
          <w:sz w:val="24"/>
          <w:szCs w:val="24"/>
        </w:rPr>
        <w:t>ui</w:t>
      </w:r>
      <w:r w:rsidRPr="007403CD">
        <w:rPr>
          <w:rFonts w:ascii="Tahoma" w:hAnsi="Tahoma" w:cs="Tahoma"/>
          <w:b/>
          <w:bCs/>
          <w:sz w:val="24"/>
          <w:szCs w:val="24"/>
        </w:rPr>
        <w:t xml:space="preserve"> pe anul </w:t>
      </w:r>
      <w:r w:rsidR="00DC7F79" w:rsidRPr="007403CD">
        <w:rPr>
          <w:rFonts w:ascii="Tahoma" w:hAnsi="Tahoma" w:cs="Tahoma"/>
          <w:b/>
          <w:bCs/>
          <w:sz w:val="24"/>
          <w:szCs w:val="24"/>
        </w:rPr>
        <w:t>20</w:t>
      </w:r>
      <w:r w:rsidR="00605688" w:rsidRPr="007403CD">
        <w:rPr>
          <w:rFonts w:ascii="Tahoma" w:hAnsi="Tahoma" w:cs="Tahoma"/>
          <w:b/>
          <w:bCs/>
          <w:sz w:val="24"/>
          <w:szCs w:val="24"/>
        </w:rPr>
        <w:t>2</w:t>
      </w:r>
      <w:r w:rsidR="009950F5">
        <w:rPr>
          <w:rFonts w:ascii="Tahoma" w:hAnsi="Tahoma" w:cs="Tahoma"/>
          <w:b/>
          <w:bCs/>
          <w:sz w:val="24"/>
          <w:szCs w:val="24"/>
        </w:rPr>
        <w:t>3</w:t>
      </w:r>
      <w:r w:rsidRPr="007403CD">
        <w:rPr>
          <w:rFonts w:ascii="Tahoma" w:hAnsi="Tahoma" w:cs="Tahoma"/>
          <w:b/>
          <w:bCs/>
          <w:sz w:val="24"/>
          <w:szCs w:val="24"/>
        </w:rPr>
        <w:t>:</w:t>
      </w:r>
    </w:p>
    <w:p w:rsidR="009950F5" w:rsidRPr="00104C14" w:rsidRDefault="009950F5"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în anul 2023, începând cu data de 1 ianuarie, cuantumul brut al salariilor de bază/soldelor de funcție/salariilor de funcție/indemnizațiilor de încadrare lunară de care beneficiază personalul plătit din fonduri publice se majorează cu 10% față de nivelul acordat pentru luna decembrie 2022, fără a se depăși valoarea nominală pentru anul 2022 stabilită potrivit anexelor la Legea-cadru nr. 153/2017, cu modificările și completările ulterioare, respectiv prin înmulțirea coeficienților de ierarhizare cu 2.500 lei</w:t>
      </w:r>
      <w:r w:rsidR="00C94BB7" w:rsidRPr="00104C14">
        <w:rPr>
          <w:rFonts w:ascii="Tahoma" w:eastAsia="SimSun" w:hAnsi="Tahoma" w:cs="Tahoma"/>
          <w:kern w:val="3"/>
          <w:sz w:val="24"/>
          <w:szCs w:val="24"/>
          <w:lang w:eastAsia="zh-CN" w:bidi="hi-IN"/>
        </w:rPr>
        <w:t>;</w:t>
      </w:r>
    </w:p>
    <w:p w:rsidR="009950F5" w:rsidRPr="00104C14" w:rsidRDefault="009950F5"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În anul 2023, începând cu data de 1 ianuarie, cuantumul sporurilor, indemnizațiilor, compensațiilor, primelor și al celorlalte elemente ale sistemului de salarizare care fac parte, potrivit legii, din salariul brut lunar, solda lunară de care beneficiază personalul plătit din fonduri publice se menține cel mult la nivelul cuantumului acordat pentru luna decembrie 2022, în măsura în care personalul ocupă aceeași funcție și își desfășoară activitatea în aceleași condiții</w:t>
      </w:r>
      <w:r w:rsidR="00C94BB7" w:rsidRPr="00104C14">
        <w:rPr>
          <w:rFonts w:ascii="Tahoma" w:eastAsia="SimSun" w:hAnsi="Tahoma" w:cs="Tahoma"/>
          <w:kern w:val="3"/>
          <w:sz w:val="24"/>
          <w:szCs w:val="24"/>
          <w:lang w:eastAsia="zh-CN" w:bidi="hi-IN"/>
        </w:rPr>
        <w:t>;</w:t>
      </w:r>
    </w:p>
    <w:p w:rsidR="009950F5" w:rsidRPr="00104C14" w:rsidRDefault="009950F5"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Menținerea cuantumului indemnizației de hrană la nivelul din anul 2022</w:t>
      </w:r>
      <w:r w:rsidR="00C94BB7" w:rsidRPr="00104C14">
        <w:rPr>
          <w:rFonts w:ascii="Tahoma" w:eastAsia="SimSun" w:hAnsi="Tahoma" w:cs="Tahoma"/>
          <w:kern w:val="3"/>
          <w:sz w:val="24"/>
          <w:szCs w:val="24"/>
          <w:lang w:eastAsia="zh-CN" w:bidi="hi-IN"/>
        </w:rPr>
        <w:t>;</w:t>
      </w:r>
      <w:r w:rsidRPr="00104C14">
        <w:rPr>
          <w:rFonts w:ascii="Tahoma" w:eastAsia="SimSun" w:hAnsi="Tahoma" w:cs="Tahoma"/>
          <w:kern w:val="3"/>
          <w:sz w:val="24"/>
          <w:szCs w:val="24"/>
          <w:lang w:eastAsia="zh-CN" w:bidi="hi-IN"/>
        </w:rPr>
        <w:t xml:space="preserve"> </w:t>
      </w:r>
    </w:p>
    <w:p w:rsidR="009950F5" w:rsidRPr="00104C14" w:rsidRDefault="000C5203"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Pr>
          <w:rFonts w:ascii="Tahoma" w:eastAsia="SimSun" w:hAnsi="Tahoma" w:cs="Tahoma"/>
          <w:kern w:val="3"/>
          <w:sz w:val="24"/>
          <w:szCs w:val="24"/>
          <w:lang w:eastAsia="zh-CN" w:bidi="hi-IN"/>
        </w:rPr>
        <w:t>M</w:t>
      </w:r>
      <w:r w:rsidR="009950F5" w:rsidRPr="00104C14">
        <w:rPr>
          <w:rFonts w:ascii="Tahoma" w:eastAsia="SimSun" w:hAnsi="Tahoma" w:cs="Tahoma"/>
          <w:kern w:val="3"/>
          <w:sz w:val="24"/>
          <w:szCs w:val="24"/>
          <w:lang w:eastAsia="zh-CN" w:bidi="hi-IN"/>
        </w:rPr>
        <w:t>unca suplimentară efectuată peste durata normală a timpului de lucru de către personalul din sectorul bugetar încadrat în funcții de execuție sau de conducere, precum și munca prestată în zilele de repaus săptămânal, de sărbători legale și în celelalte zile în care, în conformitate cu reglementările în vigoare, nu se lucrează în cadrul schimbului normal de lucru se vor compensa numai cu timp liber corespunzător acestora cu anumite excepții prevăzute de lege</w:t>
      </w:r>
      <w:r w:rsidR="00C94BB7" w:rsidRPr="00104C14">
        <w:rPr>
          <w:rFonts w:ascii="Tahoma" w:eastAsia="SimSun" w:hAnsi="Tahoma" w:cs="Tahoma"/>
          <w:kern w:val="3"/>
          <w:sz w:val="24"/>
          <w:szCs w:val="24"/>
          <w:lang w:eastAsia="zh-CN" w:bidi="hi-IN"/>
        </w:rPr>
        <w:t>;</w:t>
      </w:r>
    </w:p>
    <w:p w:rsidR="009950F5" w:rsidRPr="00104C14" w:rsidRDefault="009950F5"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În anul 2023 nu se acorda personalului bugetar bilete de valoare, cu excepția tichetelor de creșă, reglementate de Legea nr. 165/2018 privind acordarea biletelor de valoare, cu modificările și completările ulterioare,  precum și premii</w:t>
      </w:r>
      <w:r w:rsidR="00C94BB7" w:rsidRPr="00104C14">
        <w:rPr>
          <w:rFonts w:ascii="Tahoma" w:eastAsia="SimSun" w:hAnsi="Tahoma" w:cs="Tahoma"/>
          <w:kern w:val="3"/>
          <w:sz w:val="24"/>
          <w:szCs w:val="24"/>
          <w:lang w:eastAsia="zh-CN" w:bidi="hi-IN"/>
        </w:rPr>
        <w:t>;</w:t>
      </w:r>
    </w:p>
    <w:p w:rsidR="009950F5" w:rsidRPr="00104C14" w:rsidRDefault="000C5203"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M</w:t>
      </w:r>
      <w:r w:rsidR="009950F5" w:rsidRPr="00104C14">
        <w:rPr>
          <w:rFonts w:ascii="Tahoma" w:eastAsia="SimSun" w:hAnsi="Tahoma" w:cs="Tahoma"/>
          <w:kern w:val="3"/>
          <w:sz w:val="24"/>
          <w:szCs w:val="24"/>
          <w:lang w:eastAsia="zh-CN" w:bidi="hi-IN"/>
        </w:rPr>
        <w:t>enținerea în anul 2023 a voucherelor de vacanță în cuantum de 1.450 lei pentru personalul plătit din fonduri publice;</w:t>
      </w:r>
    </w:p>
    <w:p w:rsidR="009950F5" w:rsidRPr="00104C14" w:rsidRDefault="000C5203"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Pr>
          <w:rFonts w:ascii="Tahoma" w:eastAsia="SimSun" w:hAnsi="Tahoma" w:cs="Tahoma"/>
          <w:kern w:val="3"/>
          <w:sz w:val="24"/>
          <w:szCs w:val="24"/>
          <w:lang w:eastAsia="zh-CN" w:bidi="hi-IN"/>
        </w:rPr>
        <w:t>Î</w:t>
      </w:r>
      <w:r w:rsidR="009950F5" w:rsidRPr="00104C14">
        <w:rPr>
          <w:rFonts w:ascii="Tahoma" w:eastAsia="SimSun" w:hAnsi="Tahoma" w:cs="Tahoma"/>
          <w:kern w:val="3"/>
          <w:sz w:val="24"/>
          <w:szCs w:val="24"/>
          <w:lang w:eastAsia="zh-CN" w:bidi="hi-IN"/>
        </w:rPr>
        <w:t>n anul 2023 se pot acorda premii pentru sportivii și colectivele tehnice care au obținut performante deosebite la acțiunile sportive internaționale și naționale oficiale, pentru elevii, studenții, cercetătorii și profesorii care au obținut distincții la olimpiadele internaționale și concursurile internaționale și naționale pe discipline de învățământ și pentru profesorii care i-au pregătit pe aceștia, cu încadrarea în alocarea bugetară</w:t>
      </w:r>
      <w:r w:rsidR="00C94BB7" w:rsidRPr="00104C14">
        <w:rPr>
          <w:rFonts w:ascii="Tahoma" w:eastAsia="SimSun" w:hAnsi="Tahoma" w:cs="Tahoma"/>
          <w:kern w:val="3"/>
          <w:sz w:val="24"/>
          <w:szCs w:val="24"/>
          <w:lang w:eastAsia="zh-CN" w:bidi="hi-IN"/>
        </w:rPr>
        <w:t>;</w:t>
      </w:r>
    </w:p>
    <w:p w:rsidR="009950F5" w:rsidRPr="00104C14" w:rsidRDefault="009950F5"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 xml:space="preserve">În anul 2023, cuantumul compensației bănești, respectiv al alocației valorice pentru drepturile de hrană, valoarea financiară anuală a normelor de echipare </w:t>
      </w:r>
      <w:r w:rsidRPr="00104C14">
        <w:rPr>
          <w:rFonts w:ascii="Tahoma" w:eastAsia="SimSun" w:hAnsi="Tahoma" w:cs="Tahoma"/>
          <w:kern w:val="3"/>
          <w:sz w:val="24"/>
          <w:szCs w:val="24"/>
          <w:lang w:eastAsia="zh-CN" w:bidi="hi-IN"/>
        </w:rPr>
        <w:lastRenderedPageBreak/>
        <w:t>și valoarea financiară a drepturilor de echipament se mențin în plată la nivelul acordat pentru luna decembrie 2022</w:t>
      </w:r>
      <w:r w:rsidR="00C94BB7" w:rsidRPr="00104C14">
        <w:rPr>
          <w:rFonts w:ascii="Tahoma" w:eastAsia="SimSun" w:hAnsi="Tahoma" w:cs="Tahoma"/>
          <w:kern w:val="3"/>
          <w:sz w:val="24"/>
          <w:szCs w:val="24"/>
          <w:lang w:eastAsia="zh-CN" w:bidi="hi-IN"/>
        </w:rPr>
        <w:t>;</w:t>
      </w:r>
    </w:p>
    <w:p w:rsidR="009950F5" w:rsidRPr="00104C14" w:rsidRDefault="009950F5"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În anul 2023 nu se acordă ajutoarele sau, după caz, indemnizațiile la ieșirea la pensie, retragere, încetarea raporturilor de serviciu ori la trecerea în rezervă</w:t>
      </w:r>
      <w:r w:rsidR="00C94BB7" w:rsidRPr="00104C14">
        <w:rPr>
          <w:rFonts w:ascii="Tahoma" w:eastAsia="SimSun" w:hAnsi="Tahoma" w:cs="Tahoma"/>
          <w:kern w:val="3"/>
          <w:sz w:val="24"/>
          <w:szCs w:val="24"/>
          <w:lang w:eastAsia="zh-CN" w:bidi="hi-IN"/>
        </w:rPr>
        <w:t>;</w:t>
      </w:r>
    </w:p>
    <w:p w:rsidR="00C94BB7" w:rsidRPr="00104C14" w:rsidRDefault="000C5203"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Pr>
          <w:rFonts w:ascii="Tahoma" w:eastAsia="SimSun" w:hAnsi="Tahoma" w:cs="Tahoma"/>
          <w:kern w:val="3"/>
          <w:sz w:val="24"/>
          <w:szCs w:val="24"/>
          <w:lang w:eastAsia="zh-CN" w:bidi="hi-IN"/>
        </w:rPr>
        <w:t>L</w:t>
      </w:r>
      <w:r w:rsidR="009950F5" w:rsidRPr="00104C14">
        <w:rPr>
          <w:rFonts w:ascii="Tahoma" w:eastAsia="SimSun" w:hAnsi="Tahoma" w:cs="Tahoma"/>
          <w:kern w:val="3"/>
          <w:sz w:val="24"/>
          <w:szCs w:val="24"/>
          <w:lang w:eastAsia="zh-CN" w:bidi="hi-IN"/>
        </w:rPr>
        <w:t>a data de 1 ianuarie 2023 se stabilește punctul de pensie la 1785 lei în creștere cu 12,5% față de anul 2022</w:t>
      </w:r>
      <w:r w:rsidR="00C94BB7" w:rsidRPr="00104C14">
        <w:rPr>
          <w:rFonts w:ascii="Tahoma" w:eastAsia="SimSun" w:hAnsi="Tahoma" w:cs="Tahoma"/>
          <w:kern w:val="3"/>
          <w:sz w:val="24"/>
          <w:szCs w:val="24"/>
          <w:lang w:eastAsia="zh-CN" w:bidi="hi-IN"/>
        </w:rPr>
        <w:t>;</w:t>
      </w:r>
    </w:p>
    <w:p w:rsidR="009950F5" w:rsidRPr="00104C14" w:rsidRDefault="000C5203"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Pr>
          <w:rFonts w:ascii="Tahoma" w:eastAsia="SimSun" w:hAnsi="Tahoma" w:cs="Tahoma"/>
          <w:kern w:val="3"/>
          <w:sz w:val="24"/>
          <w:szCs w:val="24"/>
          <w:lang w:eastAsia="zh-CN" w:bidi="hi-IN"/>
        </w:rPr>
        <w:t>Î</w:t>
      </w:r>
      <w:r w:rsidR="009950F5" w:rsidRPr="00104C14">
        <w:rPr>
          <w:rFonts w:ascii="Tahoma" w:eastAsia="SimSun" w:hAnsi="Tahoma" w:cs="Tahoma"/>
          <w:kern w:val="3"/>
          <w:sz w:val="24"/>
          <w:szCs w:val="24"/>
          <w:lang w:eastAsia="zh-CN" w:bidi="hi-IN"/>
        </w:rPr>
        <w:t>ncepând cu 1 ianuarie 2023, pensiile militare de stat ale căror cuantumuri brute recalculate, stabilite și/sau actualizate, după caz, potrivit prevederilor Legii nr. 223/2015, cu modificările și completările ulterioare, până la data de 31.12.2017, și indexate ulterior, în conformitate cu legislația în vigoare, aflate în plată la 31 decembrie 2022, se indexează din oficiu, astfel:</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a) până la 3.000 lei inclusiv, se indexează cu 12,5%, fără să depășească 3.256 lei;</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b) între 3.001 lei – 4.400 lei inclusiv, se indexează cu 8,5%, fără să depășească 4.687 lei;</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c) între 4.401 lei – 5.800 lei inclusiv, se indexează cu 6,5%, fără să depășească 6.103 lei;</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d) între 5.801 lei – 7.200 lei inclusiv, se indexează cu 5,2%, fără să depășească 7.518 lei;</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e) între 7.201 lei – 8.600 lei, se indexează cu 4,4%, fără să depășească 8.902 lei;</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f) între 8.601 lei – 10.000 lei, se indexează cu 3,5%, fără să depășească 10.000 lei.</w:t>
      </w:r>
    </w:p>
    <w:p w:rsidR="009950F5" w:rsidRPr="00104C14" w:rsidRDefault="000C5203"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Pr>
          <w:rFonts w:ascii="Tahoma" w:eastAsia="SimSun" w:hAnsi="Tahoma" w:cs="Tahoma"/>
          <w:kern w:val="3"/>
          <w:sz w:val="24"/>
          <w:szCs w:val="24"/>
          <w:lang w:eastAsia="zh-CN" w:bidi="hi-IN"/>
        </w:rPr>
        <w:t>Î</w:t>
      </w:r>
      <w:r w:rsidR="009950F5" w:rsidRPr="00104C14">
        <w:rPr>
          <w:rFonts w:ascii="Tahoma" w:eastAsia="SimSun" w:hAnsi="Tahoma" w:cs="Tahoma"/>
          <w:kern w:val="3"/>
          <w:sz w:val="24"/>
          <w:szCs w:val="24"/>
          <w:lang w:eastAsia="zh-CN" w:bidi="hi-IN"/>
        </w:rPr>
        <w:t>ncepând cu 1 ianuarie 2023, pensiile militare de stat stabilite potrivit prevederilor Legii nr. 223/2015, cu modificările și completările ulterioare, începând cu data de 01.01.2018, și indexate ulterior, în conformitate cu legislația în vigoare, aflate în plată la 31 decembrie 2022, se indexează din oficiu, astfel:</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a) până la 3.000 lei inclusiv, se indexează cu 3,8%, fără să depășească 3.076 lei;</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b) între 3.001 lei – 4.400 lei inclusiv, se indexează cu 2,5%, fără să depășească 4.485 lei;</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c) între 4.401 lei – 5.800 lei inclusiv, se indexează cu 1,9%, fără să depășească 5.888 lei;</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d) între 5.801 lei – 7.200 lei inclusiv, se indexează cu 1,5%, fără să depășească 7.295 lei;</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 xml:space="preserve">e) între 7.201 lei – 8.600 lei, se indexează cu 1,3%, fără să depășească </w:t>
      </w:r>
      <w:r w:rsidRPr="00104C14">
        <w:rPr>
          <w:rFonts w:ascii="Tahoma" w:eastAsia="SimSun" w:hAnsi="Tahoma" w:cs="Tahoma"/>
          <w:kern w:val="3"/>
          <w:sz w:val="24"/>
          <w:szCs w:val="24"/>
          <w:lang w:eastAsia="zh-CN" w:bidi="hi-IN"/>
        </w:rPr>
        <w:lastRenderedPageBreak/>
        <w:t>8.687 lei;</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f) între 8.601 lei – 10.000 lei, se indexează cu 1%, fără să depășească 10.000 lei.</w:t>
      </w:r>
    </w:p>
    <w:p w:rsidR="009950F5" w:rsidRPr="00104C14" w:rsidRDefault="000C5203"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Pr>
          <w:rFonts w:ascii="Tahoma" w:eastAsia="SimSun" w:hAnsi="Tahoma" w:cs="Tahoma"/>
          <w:kern w:val="3"/>
          <w:sz w:val="24"/>
          <w:szCs w:val="24"/>
          <w:lang w:eastAsia="zh-CN" w:bidi="hi-IN"/>
        </w:rPr>
        <w:t>Î</w:t>
      </w:r>
      <w:r w:rsidR="009950F5" w:rsidRPr="00104C14">
        <w:rPr>
          <w:rFonts w:ascii="Tahoma" w:eastAsia="SimSun" w:hAnsi="Tahoma" w:cs="Tahoma"/>
          <w:kern w:val="3"/>
          <w:sz w:val="24"/>
          <w:szCs w:val="24"/>
          <w:lang w:eastAsia="zh-CN" w:bidi="hi-IN"/>
        </w:rPr>
        <w:t>ncepând cu data de 1 ianuarie 2023 indemnizația socială pent</w:t>
      </w:r>
      <w:r w:rsidR="00C94BB7" w:rsidRPr="00104C14">
        <w:rPr>
          <w:rFonts w:ascii="Tahoma" w:eastAsia="SimSun" w:hAnsi="Tahoma" w:cs="Tahoma"/>
          <w:kern w:val="3"/>
          <w:sz w:val="24"/>
          <w:szCs w:val="24"/>
          <w:lang w:eastAsia="zh-CN" w:bidi="hi-IN"/>
        </w:rPr>
        <w:t>ru pensionari este de 1.125 lei;</w:t>
      </w:r>
    </w:p>
    <w:p w:rsidR="009950F5" w:rsidRPr="00104C14" w:rsidRDefault="009950F5"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În anul 2023 se acordă un ajutor financiar pensionarilor sistemului public de pensii, pensionarilor din sistemul pensiilor militare de stat și beneficiarilor de drepturi prevăzute de legi cu caracter special plătite de casele teritoriale de pensii/casele de pensii sectoriale ale căror venituri lunare sunt mai mici sau egale cu 3.000 de lei, în funcție de veniturile lunare realizate. Ajutorul financiar se plătește, din oficiu, în luna ianuarie 2023 respectiv, octombrie 2023.</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a) în cuantum de 1.000 de lei, dacă nivelul veniturilor lunare este de până la 1.500 lei, inclusiv;</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 xml:space="preserve">b) în cuantum de 800 de lei, dacă nivelul veniturilor </w:t>
      </w:r>
      <w:r w:rsidR="00C94BB7" w:rsidRPr="00104C14">
        <w:rPr>
          <w:rFonts w:ascii="Tahoma" w:eastAsia="SimSun" w:hAnsi="Tahoma" w:cs="Tahoma"/>
          <w:kern w:val="3"/>
          <w:sz w:val="24"/>
          <w:szCs w:val="24"/>
          <w:lang w:eastAsia="zh-CN" w:bidi="hi-IN"/>
        </w:rPr>
        <w:t xml:space="preserve">lunare este între 1.501 lei și </w:t>
      </w:r>
      <w:r w:rsidRPr="00104C14">
        <w:rPr>
          <w:rFonts w:ascii="Tahoma" w:eastAsia="SimSun" w:hAnsi="Tahoma" w:cs="Tahoma"/>
          <w:kern w:val="3"/>
          <w:sz w:val="24"/>
          <w:szCs w:val="24"/>
          <w:lang w:eastAsia="zh-CN" w:bidi="hi-IN"/>
        </w:rPr>
        <w:t>2.000 lei, inclusiv;</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c) în cuantum de 600 de lei, dacă nivelul veniturilor lunare este între 2.001 lei și 3.000 lei, inclusiv.</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Ajutorul financiar prevăzut la alin. (1) se plătește în două tranșe, în lunile ianuarie 2023 respectiv, octombrie 2023, astfel:</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a) în cuantum de 500 lei, dacă nivelul veniturilor lunare este de până la 1.500 lei, inclusiv;</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b) în cuantum de 400 lei, dacă nivelul veniturilor lunare este între 1.501 lei și 2.000 lei, inclusiv;</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c) în cuantum de 300 de lei, dacă nivelul veniturilor lunare este între 2.001 lei și 3.000 lei, inclusiv.</w:t>
      </w:r>
    </w:p>
    <w:p w:rsidR="009950F5" w:rsidRPr="00104C14" w:rsidRDefault="009950F5"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Plata eșalonată a hotărârilor judecătorești având ca obiect acordarea de drepturi salariale personalului din sectorul bugetar;</w:t>
      </w:r>
    </w:p>
    <w:p w:rsidR="009950F5" w:rsidRPr="00104C14" w:rsidRDefault="009950F5"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În anul 2023 se mențin în plată la nivelul acordat/cuvenit pentru luna decembrie 2022:</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a) indemnizațiile prevăzute de Decretul-lege nr. 118/1990 privind acordarea unor drepturi persoanelor persecutate din motive politice de dictatura instaurată cu începere de la 6 martie 1945, precum și celor deportate în străinătate ori constituite în prizonieri, republicat;</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b) drepturile prevăzute de Legea nr. 49/1991 privind acordarea de indemnizații și sporuri invalizilor, veteranilor și văduvelor de război, cu modificările și completările ulterioare, cu excepția indemnizațiilor prevăzute la art. 1 alin.(1);</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lastRenderedPageBreak/>
        <w:t>c) drepturile prevăzute de Legea nr. 44/1994 privind veteranii de război, precum și unele drepturi ale invalizilor și văduvelor de război, republicată, cu modificările și completările ulterioare;</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d) drepturile prevăzute de Legea nr. 49/1999 privind pensiile I.O.V.R., cu modificările și completările ulterioare;</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e) indemnizațiile prevăzute de Ordonanța Guvernului nr. 105/1999 privind acordarea unor drepturi persoanelor persecutate de către regimurile instaurate în România cu începere de la 6 septembrie 1940 până la 6 martie 1945 din motive etnice, republicată, cu modificările și completările ulterioare;</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f) indemnizațiile prevăzute de Legea nr. 309/2002 privind recunoașterea și acordarea unor drepturi persoanelor care au efectuat stagiul militar în cadrul Direcției Generale a Serviciului Muncii în perioada 1950 - 1961, cu modificările și completările ulterioare;</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g) indemnizația prevăzută de Legea nr. 109/2005 privind instituirea indemnizației pentru activitatea de liber profesionist a artiștilor interpreți sau executanți din România, republicată;</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h) indemnizația președintelui Consiliului National al Organizațiilor de Pensionari și al Persoanelor Vârstnice, prevăzută de Legea nr. 16/2000 privind organizarea și funcționarea Consiliului National al Organizațiilor de Pensionari și al Persoanelor Vârstnice, republicată;</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i) indemnizațiile acordate membrilor Academiei Române, membrilor Academiei Oamenilor de Știință din România, membrilor Academiei de Științe Medicale din România, membrilor Academiei de Științe Agricole și Silvice "Gheorghe Ionescu-Șișești" și membrilor Academiei de Științe Tehnice din România;</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j) sprijinul material acordat urmașilor membrilor Academiei Române și urmașilor membrilor Academiei Oamenilor de Știință din România;</w:t>
      </w:r>
    </w:p>
    <w:p w:rsidR="00634A0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k) ajutorul lunar pentru soțul supraviețuitor, acordat în temeiul Legii nr. 578/2004 privind acordarea unui ajutor lunar pentru soțul supraviețuitor, cu modificările ulterioare;</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l) indemnizațiile reparatorii lunare, potrivit art. 4 alin. (2) și art. 7 din Legea nr. 226/2011 privind reparațiile morale și materiale pentru fostele cadre militare active, îndepărtate abuziv din armată în perioada 23 august 1944 - 31 decembrie 1961, cu modificările și completările ulterioare;</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 xml:space="preserve">m) drepturile prevăzute de Legea nr. 168/2020 pentru recunoașterea meritelor personalului participant la acțiuni militare, misiuni și operații pe teritoriul sau în afara teritoriului statului român și acordarea unor drepturi </w:t>
      </w:r>
      <w:r w:rsidRPr="00104C14">
        <w:rPr>
          <w:rFonts w:ascii="Tahoma" w:eastAsia="SimSun" w:hAnsi="Tahoma" w:cs="Tahoma"/>
          <w:kern w:val="3"/>
          <w:sz w:val="24"/>
          <w:szCs w:val="24"/>
          <w:lang w:eastAsia="zh-CN" w:bidi="hi-IN"/>
        </w:rPr>
        <w:lastRenderedPageBreak/>
        <w:t>acestuia, familiei acestuia și urmașilor celui decedat, cu modificările și completările ulterioare.</w:t>
      </w:r>
    </w:p>
    <w:p w:rsidR="009950F5" w:rsidRPr="00104C14" w:rsidRDefault="009950F5"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În anul 2023 indemnizațiile stabilite în baza Legii recunoștinței pentru victoria Revoluției Române din Decembrie 1989, pentru revolta muncitorească anticomunistă de la Brașov din noiembrie 1987 și pentru revolta muncitorească anticomunistă din Valea Jiului - Lupeni - august 1977 nr. 341/2004, cu modificările și completările ulterioare, se acordă în cuantumul cuvenit sau aflat în plată în luna decembrie 2022</w:t>
      </w:r>
      <w:r w:rsidR="000C5203">
        <w:rPr>
          <w:rFonts w:ascii="Tahoma" w:eastAsia="SimSun" w:hAnsi="Tahoma" w:cs="Tahoma"/>
          <w:kern w:val="3"/>
          <w:sz w:val="24"/>
          <w:szCs w:val="24"/>
          <w:lang w:eastAsia="zh-CN" w:bidi="hi-IN"/>
        </w:rPr>
        <w:t>;</w:t>
      </w:r>
    </w:p>
    <w:p w:rsidR="009950F5" w:rsidRPr="00104C14" w:rsidRDefault="009950F5"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Neactualizarea în anul 2023 a pensiilor de serviciu cu rata medie anuala a inflației pentru anumite categori</w:t>
      </w:r>
      <w:r w:rsidR="00C94BB7" w:rsidRPr="00104C14">
        <w:rPr>
          <w:rFonts w:ascii="Tahoma" w:eastAsia="SimSun" w:hAnsi="Tahoma" w:cs="Tahoma"/>
          <w:kern w:val="3"/>
          <w:sz w:val="24"/>
          <w:szCs w:val="24"/>
          <w:lang w:eastAsia="zh-CN" w:bidi="hi-IN"/>
        </w:rPr>
        <w:t>i de personal stabilite de lege;</w:t>
      </w:r>
      <w:r w:rsidRPr="00104C14">
        <w:rPr>
          <w:rFonts w:ascii="Tahoma" w:eastAsia="SimSun" w:hAnsi="Tahoma" w:cs="Tahoma"/>
          <w:kern w:val="3"/>
          <w:sz w:val="24"/>
          <w:szCs w:val="24"/>
          <w:lang w:eastAsia="zh-CN" w:bidi="hi-IN"/>
        </w:rPr>
        <w:t xml:space="preserve"> </w:t>
      </w:r>
    </w:p>
    <w:p w:rsidR="009950F5" w:rsidRPr="00104C14" w:rsidRDefault="009950F5"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Începând cu data de 1 ianuarie 2023, invalizilor de război, veteranilor de război și văduvelor de război li se acordă o indemnizație după cum urmează:</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a) invalizilor de război:</w:t>
      </w:r>
    </w:p>
    <w:p w:rsidR="009950F5" w:rsidRPr="00104C14" w:rsidRDefault="009950F5" w:rsidP="00104C14">
      <w:pPr>
        <w:widowControl w:val="0"/>
        <w:numPr>
          <w:ilvl w:val="0"/>
          <w:numId w:val="5"/>
        </w:numPr>
        <w:suppressAutoHyphens/>
        <w:autoSpaceDN w:val="0"/>
        <w:spacing w:after="120" w:line="276" w:lineRule="auto"/>
        <w:ind w:left="1775" w:hanging="357"/>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1.950 de lei lunar, pentru marii mutilați și cei încadrați în gradul I de invaliditate;</w:t>
      </w:r>
    </w:p>
    <w:p w:rsidR="009950F5" w:rsidRPr="00104C14" w:rsidRDefault="009950F5" w:rsidP="00104C14">
      <w:pPr>
        <w:widowControl w:val="0"/>
        <w:numPr>
          <w:ilvl w:val="0"/>
          <w:numId w:val="5"/>
        </w:numPr>
        <w:suppressAutoHyphens/>
        <w:autoSpaceDN w:val="0"/>
        <w:spacing w:after="120" w:line="276" w:lineRule="auto"/>
        <w:ind w:left="1775" w:hanging="357"/>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1.300 de lei lunar, pentru cei încadrați în gradul II de invaliditate;</w:t>
      </w:r>
    </w:p>
    <w:p w:rsidR="009950F5" w:rsidRPr="00104C14" w:rsidRDefault="009950F5" w:rsidP="00104C14">
      <w:pPr>
        <w:widowControl w:val="0"/>
        <w:numPr>
          <w:ilvl w:val="0"/>
          <w:numId w:val="5"/>
        </w:numPr>
        <w:suppressAutoHyphens/>
        <w:autoSpaceDN w:val="0"/>
        <w:spacing w:after="120" w:line="276" w:lineRule="auto"/>
        <w:ind w:left="1775" w:hanging="357"/>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1.170 de lei lunar, pentru cei încadrați în gradul III de invaliditate;</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b) veteranilor de război:</w:t>
      </w:r>
    </w:p>
    <w:p w:rsidR="009950F5" w:rsidRPr="00104C14" w:rsidRDefault="009950F5" w:rsidP="00104C14">
      <w:pPr>
        <w:widowControl w:val="0"/>
        <w:numPr>
          <w:ilvl w:val="0"/>
          <w:numId w:val="5"/>
        </w:numPr>
        <w:suppressAutoHyphens/>
        <w:autoSpaceDN w:val="0"/>
        <w:spacing w:after="120" w:line="276" w:lineRule="auto"/>
        <w:ind w:left="1775" w:hanging="357"/>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780 de lei lunar;</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c) văduvelor de război, dacă nu s-au recăsătorit:</w:t>
      </w:r>
    </w:p>
    <w:p w:rsidR="009950F5" w:rsidRPr="00104C14" w:rsidRDefault="009950F5" w:rsidP="00104C14">
      <w:pPr>
        <w:widowControl w:val="0"/>
        <w:numPr>
          <w:ilvl w:val="0"/>
          <w:numId w:val="5"/>
        </w:numPr>
        <w:suppressAutoHyphens/>
        <w:autoSpaceDN w:val="0"/>
        <w:spacing w:after="120" w:line="276" w:lineRule="auto"/>
        <w:ind w:left="1775" w:hanging="357"/>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780 de lei lunar."</w:t>
      </w:r>
    </w:p>
    <w:p w:rsidR="009950F5" w:rsidRPr="00104C14" w:rsidRDefault="000C5203"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Pr>
          <w:rFonts w:ascii="Tahoma" w:eastAsia="SimSun" w:hAnsi="Tahoma" w:cs="Tahoma"/>
          <w:kern w:val="3"/>
          <w:sz w:val="24"/>
          <w:szCs w:val="24"/>
          <w:lang w:eastAsia="zh-CN" w:bidi="hi-IN"/>
        </w:rPr>
        <w:t>Î</w:t>
      </w:r>
      <w:r w:rsidR="009950F5" w:rsidRPr="00104C14">
        <w:rPr>
          <w:rFonts w:ascii="Tahoma" w:eastAsia="SimSun" w:hAnsi="Tahoma" w:cs="Tahoma"/>
          <w:kern w:val="3"/>
          <w:sz w:val="24"/>
          <w:szCs w:val="24"/>
          <w:lang w:eastAsia="zh-CN" w:bidi="hi-IN"/>
        </w:rPr>
        <w:t>n luna ianuarie 2023 persoanele cu dizabilități beneficiază în mod excepțional de o indemnizație compensatorie. De indemnizația compensatorie vor beneficia persoanele cu handicap existente în plată în luna decembrie 2022 pentru  prestațiile sociale prevăzute de art. 58 alin.(4) și (5) din Legea nr.448/2006, republicată, cu modificările și completările ulterioare.</w:t>
      </w:r>
    </w:p>
    <w:p w:rsidR="009950F5" w:rsidRPr="00104C14" w:rsidRDefault="009950F5"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 xml:space="preserve">Indemnizația compensatorie se stabilește pentru adultul cu handicap la nivelurile menționate reprezentând valoarea în lei a indemnizației lunare acordată în baza art. 58 alin.(4) lit. a), respectiv la art. 58 alin.(4) </w:t>
      </w:r>
      <w:proofErr w:type="spellStart"/>
      <w:r w:rsidRPr="00104C14">
        <w:rPr>
          <w:rFonts w:ascii="Tahoma" w:eastAsia="SimSun" w:hAnsi="Tahoma" w:cs="Tahoma"/>
          <w:kern w:val="3"/>
          <w:sz w:val="24"/>
          <w:szCs w:val="24"/>
          <w:lang w:eastAsia="zh-CN" w:bidi="hi-IN"/>
        </w:rPr>
        <w:t>lit.b</w:t>
      </w:r>
      <w:proofErr w:type="spellEnd"/>
      <w:r w:rsidRPr="00104C14">
        <w:rPr>
          <w:rFonts w:ascii="Tahoma" w:eastAsia="SimSun" w:hAnsi="Tahoma" w:cs="Tahoma"/>
          <w:kern w:val="3"/>
          <w:sz w:val="24"/>
          <w:szCs w:val="24"/>
          <w:lang w:eastAsia="zh-CN" w:bidi="hi-IN"/>
        </w:rPr>
        <w:t>) (iii) din Legea nr.448/2006, republicată, cu modificările și completările ulterioare , iar pentru copilul cu handicap la nivelul reprezentând valoarea în lei a prestației sociale  acordată în baza art. 58 al</w:t>
      </w:r>
      <w:r w:rsidR="00C94BB7" w:rsidRPr="00104C14">
        <w:rPr>
          <w:rFonts w:ascii="Tahoma" w:eastAsia="SimSun" w:hAnsi="Tahoma" w:cs="Tahoma"/>
          <w:kern w:val="3"/>
          <w:sz w:val="24"/>
          <w:szCs w:val="24"/>
          <w:lang w:eastAsia="zh-CN" w:bidi="hi-IN"/>
        </w:rPr>
        <w:t>in.(5) din același act normativ;</w:t>
      </w:r>
    </w:p>
    <w:p w:rsidR="009950F5" w:rsidRPr="00104C14" w:rsidRDefault="000C5203"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Pr>
          <w:rFonts w:ascii="Tahoma" w:eastAsia="SimSun" w:hAnsi="Tahoma" w:cs="Tahoma"/>
          <w:kern w:val="3"/>
          <w:sz w:val="24"/>
          <w:szCs w:val="24"/>
          <w:lang w:eastAsia="zh-CN" w:bidi="hi-IN"/>
        </w:rPr>
        <w:t>N</w:t>
      </w:r>
      <w:r w:rsidR="009950F5" w:rsidRPr="00104C14">
        <w:rPr>
          <w:rFonts w:ascii="Tahoma" w:eastAsia="SimSun" w:hAnsi="Tahoma" w:cs="Tahoma"/>
          <w:kern w:val="3"/>
          <w:sz w:val="24"/>
          <w:szCs w:val="24"/>
          <w:lang w:eastAsia="zh-CN" w:bidi="hi-IN"/>
        </w:rPr>
        <w:t xml:space="preserve">umărul maxim de posturi finanțat în anul 2023 din fonduri publice de către instituțiile și autoritățile publice, indiferent de modul de finanțare și subordonare să fie stabilit astfel încât să se asigure plata integrală a drepturilor de natură salarială acordate în condițiile legii cu încadrarea în cheltuielile de personal. Ordonatorii de credite vor stabili numărul maxim de posturi care se finanțează, </w:t>
      </w:r>
      <w:r w:rsidR="009950F5" w:rsidRPr="00104C14">
        <w:rPr>
          <w:rFonts w:ascii="Tahoma" w:eastAsia="SimSun" w:hAnsi="Tahoma" w:cs="Tahoma"/>
          <w:kern w:val="3"/>
          <w:sz w:val="24"/>
          <w:szCs w:val="24"/>
          <w:lang w:eastAsia="zh-CN" w:bidi="hi-IN"/>
        </w:rPr>
        <w:lastRenderedPageBreak/>
        <w:t>cu respectarea acestei condiționalități;</w:t>
      </w:r>
    </w:p>
    <w:p w:rsidR="009950F5" w:rsidRPr="00104C14" w:rsidRDefault="009950F5"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Menținerea nivelului rentelor viagere în cuantumul aflat în plată în luna decembrie 2022 prevăzute la art. 64 din Legea educației fizice și sportului nr. 69/2000, cu modificările și completările ulterioare;</w:t>
      </w:r>
    </w:p>
    <w:p w:rsidR="009950F5" w:rsidRPr="00104C14" w:rsidRDefault="009950F5"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Menținerea cuantumului lunar al indemnizației de merit acordată în baza Legii nr. 118/2002 la nivelul din luna decembrie 2022, de 6.240 lei</w:t>
      </w:r>
      <w:r w:rsidR="00C94BB7" w:rsidRPr="00104C14">
        <w:rPr>
          <w:rFonts w:ascii="Tahoma" w:eastAsia="SimSun" w:hAnsi="Tahoma" w:cs="Tahoma"/>
          <w:kern w:val="3"/>
          <w:sz w:val="24"/>
          <w:szCs w:val="24"/>
          <w:lang w:eastAsia="zh-CN" w:bidi="hi-IN"/>
        </w:rPr>
        <w:t>;</w:t>
      </w:r>
    </w:p>
    <w:p w:rsidR="009950F5" w:rsidRPr="00104C14" w:rsidRDefault="009950F5"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Prorogarea prevederilor Legii educației naționale nr.1/2011, cu privire la alocarea de la bugetul de stat și bugetele locale a echivalentului a 6% din produsul intern brut și acordarea din fonduri publice a 1% din produsul intern brut pentru cercetare – măsură prevăzută și în Ordonanța Guvernului nr.57/2002 privind cercetarea științifică și dezvoltarea tehnologică;</w:t>
      </w:r>
    </w:p>
    <w:p w:rsidR="009950F5" w:rsidRPr="00104C14" w:rsidRDefault="009950F5"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În anul 2023 se acordă reduceri de tarife sau, după caz, gratuități, numai în limita a 3 călătorii dus-întors sau 6 călătorii simple, la facilitățile de transport prevăzute în o serie de acte normative</w:t>
      </w:r>
      <w:r w:rsidR="004C0DCD" w:rsidRPr="00104C14">
        <w:rPr>
          <w:rFonts w:ascii="Tahoma" w:eastAsia="SimSun" w:hAnsi="Tahoma" w:cs="Tahoma"/>
          <w:kern w:val="3"/>
          <w:sz w:val="24"/>
          <w:szCs w:val="24"/>
          <w:lang w:eastAsia="zh-CN" w:bidi="hi-IN"/>
        </w:rPr>
        <w:t>:</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a) art. 5 alin. (1) lit. f) din Legea nr. 341/2004, cu modificările și completările ulterioare;</w:t>
      </w:r>
    </w:p>
    <w:p w:rsidR="009950F5" w:rsidRPr="00104C14" w:rsidRDefault="009950F5" w:rsidP="00104C14">
      <w:pPr>
        <w:widowControl w:val="0"/>
        <w:suppressAutoHyphens/>
        <w:autoSpaceDN w:val="0"/>
        <w:spacing w:after="120" w:line="276" w:lineRule="auto"/>
        <w:ind w:left="1134" w:firstLine="0"/>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 xml:space="preserve">b) art. 210 alin. (3) din Legea nr. 303/2022 privind statutul judecătorilor și procurorilor. </w:t>
      </w:r>
    </w:p>
    <w:p w:rsidR="009950F5" w:rsidRPr="00104C14" w:rsidRDefault="009950F5" w:rsidP="00104C14">
      <w:pPr>
        <w:widowControl w:val="0"/>
        <w:numPr>
          <w:ilvl w:val="0"/>
          <w:numId w:val="5"/>
        </w:numPr>
        <w:suppressAutoHyphens/>
        <w:autoSpaceDN w:val="0"/>
        <w:spacing w:after="120" w:line="276" w:lineRule="auto"/>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Cupoanele sociale și sprijinul pentru învățare prevăzute la art. 27 alin. (6) și art.356 din Legea nr. 1/2011, cu modificările și completările ulterioare, nu se acordă pâ</w:t>
      </w:r>
      <w:r w:rsidR="004C0DCD" w:rsidRPr="00104C14">
        <w:rPr>
          <w:rFonts w:ascii="Tahoma" w:eastAsia="SimSun" w:hAnsi="Tahoma" w:cs="Tahoma"/>
          <w:kern w:val="3"/>
          <w:sz w:val="24"/>
          <w:szCs w:val="24"/>
          <w:lang w:eastAsia="zh-CN" w:bidi="hi-IN"/>
        </w:rPr>
        <w:t>nă la data de 31 decembrie 2023;</w:t>
      </w:r>
    </w:p>
    <w:p w:rsidR="009950F5" w:rsidRPr="00104C14" w:rsidRDefault="009950F5" w:rsidP="00A50268">
      <w:pPr>
        <w:widowControl w:val="0"/>
        <w:numPr>
          <w:ilvl w:val="0"/>
          <w:numId w:val="5"/>
        </w:numPr>
        <w:suppressAutoHyphens/>
        <w:autoSpaceDN w:val="0"/>
        <w:spacing w:after="240" w:line="276" w:lineRule="auto"/>
        <w:ind w:left="714" w:hanging="357"/>
        <w:rPr>
          <w:rFonts w:ascii="Tahoma" w:eastAsia="SimSun" w:hAnsi="Tahoma" w:cs="Tahoma"/>
          <w:kern w:val="3"/>
          <w:sz w:val="24"/>
          <w:szCs w:val="24"/>
          <w:lang w:eastAsia="zh-CN" w:bidi="hi-IN"/>
        </w:rPr>
      </w:pPr>
      <w:r w:rsidRPr="00104C14">
        <w:rPr>
          <w:rFonts w:ascii="Tahoma" w:eastAsia="SimSun" w:hAnsi="Tahoma" w:cs="Tahoma"/>
          <w:kern w:val="3"/>
          <w:sz w:val="24"/>
          <w:szCs w:val="24"/>
          <w:lang w:eastAsia="zh-CN" w:bidi="hi-IN"/>
        </w:rPr>
        <w:t>Începând cu data de 1 ianuarie 2023, salariul de bază minim brut pe țară garantat în plată, se stabilește în bani, fără a include sporuri și alte adaosuri, la suma de 3.000 lei lunar, pentru un program normal de lucru în medie de 165,333 ore pe lu</w:t>
      </w:r>
      <w:r w:rsidR="000C5203">
        <w:rPr>
          <w:rFonts w:ascii="Tahoma" w:eastAsia="SimSun" w:hAnsi="Tahoma" w:cs="Tahoma"/>
          <w:kern w:val="3"/>
          <w:sz w:val="24"/>
          <w:szCs w:val="24"/>
          <w:lang w:eastAsia="zh-CN" w:bidi="hi-IN"/>
        </w:rPr>
        <w:t>nă, reprezentând 18,145 lei/oră</w:t>
      </w:r>
      <w:r w:rsidRPr="00104C14">
        <w:rPr>
          <w:rFonts w:ascii="Tahoma" w:eastAsia="SimSun" w:hAnsi="Tahoma" w:cs="Tahoma"/>
          <w:kern w:val="3"/>
          <w:sz w:val="24"/>
          <w:szCs w:val="24"/>
          <w:lang w:eastAsia="zh-CN" w:bidi="hi-IN"/>
        </w:rPr>
        <w:t>.</w:t>
      </w:r>
    </w:p>
    <w:p w:rsidR="00593AD9" w:rsidRPr="00A50268" w:rsidRDefault="001069C2" w:rsidP="000C5203">
      <w:pPr>
        <w:keepNext/>
        <w:keepLines/>
        <w:spacing w:after="240" w:line="276" w:lineRule="auto"/>
        <w:ind w:firstLine="0"/>
        <w:jc w:val="center"/>
        <w:rPr>
          <w:rFonts w:ascii="Tahoma" w:hAnsi="Tahoma" w:cs="Tahoma"/>
          <w:b/>
          <w:bCs/>
          <w:sz w:val="24"/>
          <w:szCs w:val="24"/>
        </w:rPr>
      </w:pPr>
      <w:r w:rsidRPr="00A50268">
        <w:rPr>
          <w:rFonts w:ascii="Tahoma" w:hAnsi="Tahoma" w:cs="Tahoma"/>
          <w:b/>
          <w:bCs/>
          <w:sz w:val="24"/>
          <w:szCs w:val="24"/>
        </w:rPr>
        <w:t>Măsuri destinate îmbunătățirii nivelului de colectare a veniturilor bugetare avute în vedere de către Agenția Națională de Administrare Fiscală</w:t>
      </w:r>
    </w:p>
    <w:p w:rsidR="00423A03" w:rsidRPr="00423A03" w:rsidRDefault="00423A03" w:rsidP="00423A03">
      <w:pPr>
        <w:tabs>
          <w:tab w:val="left" w:pos="-142"/>
        </w:tabs>
        <w:spacing w:after="120" w:line="276" w:lineRule="auto"/>
        <w:ind w:firstLine="0"/>
        <w:rPr>
          <w:rFonts w:ascii="Tahoma" w:eastAsia="Calibri" w:hAnsi="Tahoma" w:cs="Tahoma"/>
          <w:sz w:val="24"/>
          <w:szCs w:val="24"/>
        </w:rPr>
      </w:pPr>
      <w:bookmarkStart w:id="13" w:name="_Toc299543080"/>
      <w:bookmarkStart w:id="14" w:name="_Toc425320858"/>
      <w:bookmarkStart w:id="15" w:name="_Toc425428327"/>
      <w:bookmarkStart w:id="16" w:name="_Toc456256137"/>
      <w:bookmarkStart w:id="17" w:name="_Toc456256934"/>
      <w:bookmarkStart w:id="18" w:name="_Toc456257458"/>
      <w:bookmarkStart w:id="19" w:name="_Toc456258316"/>
      <w:bookmarkStart w:id="20" w:name="_Toc456258421"/>
      <w:r w:rsidRPr="00423A03">
        <w:rPr>
          <w:rFonts w:ascii="Tahoma" w:eastAsia="Calibri" w:hAnsi="Tahoma" w:cs="Tahoma"/>
          <w:sz w:val="24"/>
          <w:szCs w:val="24"/>
        </w:rPr>
        <w:t xml:space="preserve">Agenția Națională de Administrare Fiscală </w:t>
      </w:r>
      <w:proofErr w:type="spellStart"/>
      <w:r w:rsidRPr="00423A03">
        <w:rPr>
          <w:rFonts w:ascii="Tahoma" w:eastAsia="Calibri" w:hAnsi="Tahoma" w:cs="Tahoma"/>
          <w:sz w:val="24"/>
          <w:szCs w:val="24"/>
        </w:rPr>
        <w:t>îsi</w:t>
      </w:r>
      <w:proofErr w:type="spellEnd"/>
      <w:r w:rsidRPr="00423A03">
        <w:rPr>
          <w:rFonts w:ascii="Tahoma" w:eastAsia="Calibri" w:hAnsi="Tahoma" w:cs="Tahoma"/>
          <w:sz w:val="24"/>
          <w:szCs w:val="24"/>
        </w:rPr>
        <w:t xml:space="preserve"> concentrează toate eforturile pentru a continua ritmul accelerat de implementare a proiectelor de reformă </w:t>
      </w:r>
      <w:proofErr w:type="spellStart"/>
      <w:r w:rsidRPr="00423A03">
        <w:rPr>
          <w:rFonts w:ascii="Tahoma" w:eastAsia="Calibri" w:hAnsi="Tahoma" w:cs="Tahoma"/>
          <w:sz w:val="24"/>
          <w:szCs w:val="24"/>
        </w:rPr>
        <w:t>şi</w:t>
      </w:r>
      <w:proofErr w:type="spellEnd"/>
      <w:r w:rsidRPr="00423A03">
        <w:rPr>
          <w:rFonts w:ascii="Tahoma" w:eastAsia="Calibri" w:hAnsi="Tahoma" w:cs="Tahoma"/>
          <w:sz w:val="24"/>
          <w:szCs w:val="24"/>
        </w:rPr>
        <w:t xml:space="preserve"> modernizare asumate prin documentele sale programatice, respectiv: Strategia fiscal bugetară pentru perioada 2023-2025 și Strategia ANAF pentru perioada 2021-2024, precum și prin Planul Național de Redresare și </w:t>
      </w:r>
      <w:proofErr w:type="spellStart"/>
      <w:r w:rsidRPr="00423A03">
        <w:rPr>
          <w:rFonts w:ascii="Tahoma" w:eastAsia="Calibri" w:hAnsi="Tahoma" w:cs="Tahoma"/>
          <w:sz w:val="24"/>
          <w:szCs w:val="24"/>
        </w:rPr>
        <w:t>Rezilienţă</w:t>
      </w:r>
      <w:proofErr w:type="spellEnd"/>
      <w:r w:rsidRPr="00423A03">
        <w:rPr>
          <w:rFonts w:ascii="Tahoma" w:eastAsia="Calibri" w:hAnsi="Tahoma" w:cs="Tahoma"/>
          <w:sz w:val="24"/>
          <w:szCs w:val="24"/>
        </w:rPr>
        <w:t xml:space="preserve"> (PNRR). </w:t>
      </w:r>
    </w:p>
    <w:p w:rsidR="00423A03" w:rsidRPr="00423A03" w:rsidRDefault="00423A03" w:rsidP="00423A03">
      <w:pPr>
        <w:spacing w:after="120" w:line="276" w:lineRule="auto"/>
        <w:ind w:firstLine="0"/>
        <w:rPr>
          <w:rFonts w:ascii="Tahoma" w:eastAsia="Calibri" w:hAnsi="Tahoma" w:cs="Tahoma"/>
          <w:sz w:val="24"/>
          <w:szCs w:val="24"/>
        </w:rPr>
      </w:pPr>
      <w:r w:rsidRPr="00423A03">
        <w:rPr>
          <w:rFonts w:ascii="Tahoma" w:eastAsia="Calibri" w:hAnsi="Tahoma" w:cs="Tahoma"/>
          <w:sz w:val="24"/>
          <w:szCs w:val="24"/>
        </w:rPr>
        <w:t xml:space="preserve">Ministerul Finanțelor și-a asumat prin PNRR reforma Agenției Naționale de Administrare Fiscală (ANAF) prin digitalizare, astfel încât colectarea impozitelor să devină mai eficientă, obiectivul de a mări ponderea veniturilor în PIB (cu 2,5 puncte procentuale până în trimestrul IV 2025, comparativ cu 2019) și de a reduce deficitul de încasare a TVA (cu 5 puncte procentuale până în trimestrul II 2026, comparativ cu 2019). </w:t>
      </w:r>
      <w:r w:rsidRPr="00423A03">
        <w:rPr>
          <w:rFonts w:ascii="Tahoma" w:eastAsia="Calibri" w:hAnsi="Tahoma" w:cs="Tahoma"/>
          <w:sz w:val="24"/>
          <w:szCs w:val="24"/>
        </w:rPr>
        <w:lastRenderedPageBreak/>
        <w:t>Reforma urmărește crearea cadrului procedural propice pentru implementarea și utilizarea managementului integrat de risc la nivelul administrației fiscale, de către toate funcțiile administrației pentru crearea unui sistem de identificare, planificare, evaluare și adaptare a activităților în procesul de administrare fiscală, în funcție de riscurile fiscale identificate.</w:t>
      </w:r>
    </w:p>
    <w:p w:rsidR="00423A03" w:rsidRPr="00423A03" w:rsidRDefault="00423A03" w:rsidP="00423A03">
      <w:pPr>
        <w:spacing w:after="120" w:line="276" w:lineRule="auto"/>
        <w:ind w:firstLine="0"/>
        <w:rPr>
          <w:rFonts w:ascii="Tahoma" w:hAnsi="Tahoma" w:cs="Tahoma"/>
          <w:sz w:val="24"/>
          <w:szCs w:val="24"/>
          <w:shd w:val="clear" w:color="auto" w:fill="FFFFFF"/>
        </w:rPr>
      </w:pPr>
      <w:r w:rsidRPr="00423A03">
        <w:rPr>
          <w:rFonts w:ascii="Tahoma" w:hAnsi="Tahoma" w:cs="Tahoma"/>
          <w:sz w:val="24"/>
          <w:szCs w:val="24"/>
          <w:shd w:val="clear" w:color="auto" w:fill="FFFFFF"/>
        </w:rPr>
        <w:t>Implementarea acestei reforme se bazează pe trei direcții prioritare de acțiune:</w:t>
      </w:r>
    </w:p>
    <w:p w:rsidR="00423A03" w:rsidRPr="00423A03" w:rsidRDefault="00423A03" w:rsidP="00423A03">
      <w:pPr>
        <w:pStyle w:val="ListParagraph"/>
        <w:numPr>
          <w:ilvl w:val="0"/>
          <w:numId w:val="15"/>
        </w:numPr>
        <w:suppressAutoHyphens/>
        <w:spacing w:after="120" w:line="276" w:lineRule="auto"/>
        <w:ind w:left="851" w:hanging="567"/>
        <w:contextualSpacing w:val="0"/>
        <w:rPr>
          <w:rFonts w:ascii="Tahoma" w:hAnsi="Tahoma" w:cs="Tahoma"/>
          <w:sz w:val="24"/>
          <w:szCs w:val="24"/>
          <w:shd w:val="clear" w:color="auto" w:fill="FFFFFF"/>
        </w:rPr>
      </w:pPr>
      <w:r w:rsidRPr="00423A03">
        <w:rPr>
          <w:rFonts w:ascii="Tahoma" w:hAnsi="Tahoma" w:cs="Tahoma"/>
          <w:sz w:val="24"/>
          <w:szCs w:val="24"/>
          <w:shd w:val="clear" w:color="auto" w:fill="FFFFFF"/>
        </w:rPr>
        <w:t>creșterea conformării voluntare a contribuabililor prin dezvoltarea serviciilor digitale,</w:t>
      </w:r>
    </w:p>
    <w:p w:rsidR="00423A03" w:rsidRPr="00423A03" w:rsidRDefault="00423A03" w:rsidP="00423A03">
      <w:pPr>
        <w:pStyle w:val="ListParagraph"/>
        <w:numPr>
          <w:ilvl w:val="0"/>
          <w:numId w:val="15"/>
        </w:numPr>
        <w:suppressAutoHyphens/>
        <w:spacing w:after="120" w:line="276" w:lineRule="auto"/>
        <w:ind w:left="851" w:hanging="567"/>
        <w:contextualSpacing w:val="0"/>
        <w:rPr>
          <w:rFonts w:ascii="Tahoma" w:hAnsi="Tahoma" w:cs="Tahoma"/>
          <w:sz w:val="24"/>
          <w:szCs w:val="24"/>
          <w:shd w:val="clear" w:color="auto" w:fill="FFFFFF"/>
        </w:rPr>
      </w:pPr>
      <w:r w:rsidRPr="00423A03">
        <w:rPr>
          <w:rFonts w:ascii="Tahoma" w:hAnsi="Tahoma" w:cs="Tahoma"/>
          <w:sz w:val="24"/>
          <w:szCs w:val="24"/>
          <w:shd w:val="clear" w:color="auto" w:fill="FFFFFF"/>
        </w:rPr>
        <w:t xml:space="preserve">îmbunătățirea proceselor de administrare a impozitelor </w:t>
      </w:r>
      <w:proofErr w:type="spellStart"/>
      <w:r w:rsidRPr="00423A03">
        <w:rPr>
          <w:rFonts w:ascii="Tahoma" w:hAnsi="Tahoma" w:cs="Tahoma"/>
          <w:sz w:val="24"/>
          <w:szCs w:val="24"/>
          <w:shd w:val="clear" w:color="auto" w:fill="FFFFFF"/>
        </w:rPr>
        <w:t>şi</w:t>
      </w:r>
      <w:proofErr w:type="spellEnd"/>
      <w:r w:rsidRPr="00423A03">
        <w:rPr>
          <w:rFonts w:ascii="Tahoma" w:hAnsi="Tahoma" w:cs="Tahoma"/>
          <w:sz w:val="24"/>
          <w:szCs w:val="24"/>
          <w:shd w:val="clear" w:color="auto" w:fill="FFFFFF"/>
        </w:rPr>
        <w:t xml:space="preserve"> taxelor, inclusiv prin implementarea managementului integrat al riscurilor,</w:t>
      </w:r>
    </w:p>
    <w:p w:rsidR="00423A03" w:rsidRPr="00423A03" w:rsidRDefault="00423A03" w:rsidP="00423A03">
      <w:pPr>
        <w:pStyle w:val="ListParagraph"/>
        <w:numPr>
          <w:ilvl w:val="0"/>
          <w:numId w:val="15"/>
        </w:numPr>
        <w:suppressAutoHyphens/>
        <w:spacing w:after="120" w:line="276" w:lineRule="auto"/>
        <w:ind w:left="851" w:hanging="567"/>
        <w:contextualSpacing w:val="0"/>
        <w:rPr>
          <w:rFonts w:ascii="Tahoma" w:hAnsi="Tahoma" w:cs="Tahoma"/>
          <w:sz w:val="24"/>
          <w:szCs w:val="24"/>
          <w:shd w:val="clear" w:color="auto" w:fill="FFFFFF"/>
        </w:rPr>
      </w:pPr>
      <w:r w:rsidRPr="00423A03">
        <w:rPr>
          <w:rFonts w:ascii="Tahoma" w:hAnsi="Tahoma" w:cs="Tahoma"/>
          <w:sz w:val="24"/>
          <w:szCs w:val="24"/>
          <w:shd w:val="clear" w:color="auto" w:fill="FFFFFF"/>
        </w:rPr>
        <w:t>asigurarea capacității de răspuns la provocările informaționale actuale și viitoare, inclusiv în contextul pandemiei, prin transformarea digitală a Ministerului Finanțelor/Agenției Naționale de Administrare Fiscală.</w:t>
      </w:r>
    </w:p>
    <w:p w:rsidR="00423A03" w:rsidRPr="00423A03" w:rsidRDefault="00423A03" w:rsidP="00423A03">
      <w:pPr>
        <w:pStyle w:val="NormalWeb"/>
        <w:spacing w:after="120" w:line="276" w:lineRule="auto"/>
        <w:ind w:firstLine="0"/>
        <w:rPr>
          <w:rFonts w:ascii="Tahoma" w:hAnsi="Tahoma" w:cs="Tahoma"/>
        </w:rPr>
      </w:pPr>
      <w:r w:rsidRPr="00423A03">
        <w:rPr>
          <w:rFonts w:ascii="Tahoma" w:hAnsi="Tahoma" w:cs="Tahoma"/>
        </w:rPr>
        <w:t xml:space="preserve">În același timp, se continuă măsurile privind identificarea </w:t>
      </w:r>
      <w:proofErr w:type="spellStart"/>
      <w:r w:rsidRPr="00423A03">
        <w:rPr>
          <w:rFonts w:ascii="Tahoma" w:hAnsi="Tahoma" w:cs="Tahoma"/>
        </w:rPr>
        <w:t>şi</w:t>
      </w:r>
      <w:proofErr w:type="spellEnd"/>
      <w:r w:rsidRPr="00423A03">
        <w:rPr>
          <w:rFonts w:ascii="Tahoma" w:hAnsi="Tahoma" w:cs="Tahoma"/>
        </w:rPr>
        <w:t xml:space="preserve"> abordarea timpurie a riscurilor de neconformare prin dezvoltarea instrumentelor specifice astfel: </w:t>
      </w:r>
    </w:p>
    <w:p w:rsidR="00423A03" w:rsidRPr="00423A03" w:rsidRDefault="00423A03" w:rsidP="00423A03">
      <w:pPr>
        <w:pStyle w:val="NormalWeb"/>
        <w:numPr>
          <w:ilvl w:val="0"/>
          <w:numId w:val="16"/>
        </w:numPr>
        <w:tabs>
          <w:tab w:val="left" w:pos="426"/>
        </w:tabs>
        <w:suppressAutoHyphens/>
        <w:spacing w:after="120" w:line="276" w:lineRule="auto"/>
        <w:ind w:left="851" w:hanging="567"/>
        <w:rPr>
          <w:rFonts w:ascii="Tahoma" w:hAnsi="Tahoma" w:cs="Tahoma"/>
        </w:rPr>
      </w:pPr>
      <w:r>
        <w:rPr>
          <w:rFonts w:ascii="Tahoma" w:hAnsi="Tahoma" w:cs="Tahoma"/>
        </w:rPr>
        <w:tab/>
      </w:r>
      <w:r w:rsidRPr="00423A03">
        <w:rPr>
          <w:rFonts w:ascii="Tahoma" w:hAnsi="Tahoma" w:cs="Tahoma"/>
        </w:rPr>
        <w:t xml:space="preserve">identificarea și analiza riscurilor de neconformare cu impact fiscal semnificativ în domeniul TVA, al impozitului pe profit/impozitului pe veniturile microîntreprinderilor, al impozitului pe venit și al </w:t>
      </w:r>
      <w:proofErr w:type="spellStart"/>
      <w:r w:rsidRPr="00423A03">
        <w:rPr>
          <w:rFonts w:ascii="Tahoma" w:hAnsi="Tahoma" w:cs="Tahoma"/>
        </w:rPr>
        <w:t>contribuţiilor</w:t>
      </w:r>
      <w:proofErr w:type="spellEnd"/>
      <w:r w:rsidRPr="00423A03">
        <w:rPr>
          <w:rFonts w:ascii="Tahoma" w:hAnsi="Tahoma" w:cs="Tahoma"/>
        </w:rPr>
        <w:t xml:space="preserve"> sociale; </w:t>
      </w:r>
    </w:p>
    <w:p w:rsidR="00423A03" w:rsidRPr="00423A03" w:rsidRDefault="00423A03" w:rsidP="00423A03">
      <w:pPr>
        <w:pStyle w:val="NormalWeb"/>
        <w:numPr>
          <w:ilvl w:val="0"/>
          <w:numId w:val="16"/>
        </w:numPr>
        <w:tabs>
          <w:tab w:val="left" w:pos="420"/>
        </w:tabs>
        <w:suppressAutoHyphens/>
        <w:spacing w:after="120" w:line="276" w:lineRule="auto"/>
        <w:ind w:left="851" w:hanging="567"/>
        <w:rPr>
          <w:rFonts w:ascii="Tahoma" w:hAnsi="Tahoma" w:cs="Tahoma"/>
        </w:rPr>
      </w:pPr>
      <w:r>
        <w:rPr>
          <w:rFonts w:ascii="Tahoma" w:hAnsi="Tahoma" w:cs="Tahoma"/>
        </w:rPr>
        <w:tab/>
      </w:r>
      <w:r w:rsidRPr="00423A03">
        <w:rPr>
          <w:rFonts w:ascii="Tahoma" w:hAnsi="Tahoma" w:cs="Tahoma"/>
        </w:rPr>
        <w:t>stabilirea opțiunilor de tratament pentru atenuarea eficientă a riscurilor de neconformare fiscală identificate și analizate în vederea: </w:t>
      </w:r>
    </w:p>
    <w:p w:rsidR="00423A03" w:rsidRPr="00423A03" w:rsidRDefault="00423A03" w:rsidP="00A50268">
      <w:pPr>
        <w:pStyle w:val="NormalWeb"/>
        <w:numPr>
          <w:ilvl w:val="0"/>
          <w:numId w:val="17"/>
        </w:numPr>
        <w:suppressAutoHyphens/>
        <w:spacing w:after="120" w:line="276" w:lineRule="auto"/>
        <w:ind w:left="1418" w:hanging="567"/>
        <w:rPr>
          <w:rFonts w:ascii="Tahoma" w:hAnsi="Tahoma" w:cs="Tahoma"/>
        </w:rPr>
      </w:pPr>
      <w:r w:rsidRPr="00423A03">
        <w:rPr>
          <w:rFonts w:ascii="Tahoma" w:hAnsi="Tahoma" w:cs="Tahoma"/>
        </w:rPr>
        <w:t xml:space="preserve">optimizării acțiunilor de control fiscal și orientării acestora către </w:t>
      </w:r>
      <w:proofErr w:type="spellStart"/>
      <w:r w:rsidRPr="00423A03">
        <w:rPr>
          <w:rFonts w:ascii="Tahoma" w:hAnsi="Tahoma" w:cs="Tahoma"/>
        </w:rPr>
        <w:t>acţiuni</w:t>
      </w:r>
      <w:proofErr w:type="spellEnd"/>
      <w:r w:rsidRPr="00423A03">
        <w:rPr>
          <w:rFonts w:ascii="Tahoma" w:hAnsi="Tahoma" w:cs="Tahoma"/>
        </w:rPr>
        <w:t xml:space="preserve"> bine </w:t>
      </w:r>
      <w:proofErr w:type="spellStart"/>
      <w:r w:rsidRPr="00423A03">
        <w:rPr>
          <w:rFonts w:ascii="Tahoma" w:hAnsi="Tahoma" w:cs="Tahoma"/>
        </w:rPr>
        <w:t>ţintite</w:t>
      </w:r>
      <w:proofErr w:type="spellEnd"/>
      <w:r w:rsidRPr="00423A03">
        <w:rPr>
          <w:rFonts w:ascii="Tahoma" w:hAnsi="Tahoma" w:cs="Tahoma"/>
        </w:rPr>
        <w:t>, la contribuabili cu risc fiscal semnificativ; </w:t>
      </w:r>
    </w:p>
    <w:p w:rsidR="00423A03" w:rsidRPr="00423A03" w:rsidRDefault="00423A03" w:rsidP="00A50268">
      <w:pPr>
        <w:pStyle w:val="NormalWeb"/>
        <w:numPr>
          <w:ilvl w:val="0"/>
          <w:numId w:val="17"/>
        </w:numPr>
        <w:suppressAutoHyphens/>
        <w:spacing w:after="120" w:line="276" w:lineRule="auto"/>
        <w:ind w:left="1418" w:hanging="567"/>
        <w:rPr>
          <w:rFonts w:ascii="Tahoma" w:hAnsi="Tahoma" w:cs="Tahoma"/>
        </w:rPr>
      </w:pPr>
      <w:r w:rsidRPr="00423A03">
        <w:rPr>
          <w:rFonts w:ascii="Tahoma" w:hAnsi="Tahoma" w:cs="Tahoma"/>
        </w:rPr>
        <w:t>creșterii ponderii verificărilor documentare, în cazul contribuabililor ale căror riscuri de neconformare pot fi tratate prin controale scurte și eficiente; </w:t>
      </w:r>
    </w:p>
    <w:p w:rsidR="00423A03" w:rsidRPr="00423A03" w:rsidRDefault="00423A03" w:rsidP="00A50268">
      <w:pPr>
        <w:pStyle w:val="NormalWeb"/>
        <w:numPr>
          <w:ilvl w:val="0"/>
          <w:numId w:val="17"/>
        </w:numPr>
        <w:suppressAutoHyphens/>
        <w:spacing w:after="120" w:line="276" w:lineRule="auto"/>
        <w:ind w:left="1418" w:hanging="567"/>
        <w:rPr>
          <w:rFonts w:ascii="Tahoma" w:hAnsi="Tahoma" w:cs="Tahoma"/>
        </w:rPr>
      </w:pPr>
      <w:r w:rsidRPr="00423A03">
        <w:rPr>
          <w:rFonts w:ascii="Tahoma" w:hAnsi="Tahoma" w:cs="Tahoma"/>
        </w:rPr>
        <w:t>asigurării unui mediu fiscal echitabil și descurajării concurenței neloiale;</w:t>
      </w:r>
    </w:p>
    <w:p w:rsidR="00423A03" w:rsidRPr="00423A03" w:rsidRDefault="00423A03" w:rsidP="00423A03">
      <w:pPr>
        <w:pStyle w:val="NormalWeb"/>
        <w:numPr>
          <w:ilvl w:val="0"/>
          <w:numId w:val="16"/>
        </w:numPr>
        <w:tabs>
          <w:tab w:val="left" w:pos="420"/>
        </w:tabs>
        <w:suppressAutoHyphens/>
        <w:spacing w:after="120" w:line="276" w:lineRule="auto"/>
        <w:ind w:left="851" w:hanging="567"/>
        <w:rPr>
          <w:rFonts w:ascii="Tahoma" w:hAnsi="Tahoma" w:cs="Tahoma"/>
        </w:rPr>
      </w:pPr>
      <w:r>
        <w:rPr>
          <w:rFonts w:ascii="Tahoma" w:hAnsi="Tahoma" w:cs="Tahoma"/>
        </w:rPr>
        <w:tab/>
      </w:r>
      <w:r w:rsidRPr="00423A03">
        <w:rPr>
          <w:rFonts w:ascii="Tahoma" w:hAnsi="Tahoma" w:cs="Tahoma"/>
        </w:rPr>
        <w:t xml:space="preserve">derularea de </w:t>
      </w:r>
      <w:proofErr w:type="spellStart"/>
      <w:r w:rsidRPr="00423A03">
        <w:rPr>
          <w:rFonts w:ascii="Tahoma" w:hAnsi="Tahoma" w:cs="Tahoma"/>
        </w:rPr>
        <w:t>acţiuni</w:t>
      </w:r>
      <w:proofErr w:type="spellEnd"/>
      <w:r w:rsidRPr="00423A03">
        <w:rPr>
          <w:rFonts w:ascii="Tahoma" w:hAnsi="Tahoma" w:cs="Tahoma"/>
        </w:rPr>
        <w:t xml:space="preserve"> concomitente și </w:t>
      </w:r>
      <w:proofErr w:type="spellStart"/>
      <w:r w:rsidRPr="00423A03">
        <w:rPr>
          <w:rFonts w:ascii="Tahoma" w:hAnsi="Tahoma" w:cs="Tahoma"/>
        </w:rPr>
        <w:t>colaborative</w:t>
      </w:r>
      <w:proofErr w:type="spellEnd"/>
      <w:r w:rsidRPr="00423A03">
        <w:rPr>
          <w:rFonts w:ascii="Tahoma" w:hAnsi="Tahoma" w:cs="Tahoma"/>
        </w:rPr>
        <w:t xml:space="preserve"> ale structurilor abilitate de control la persoanele juridice și la persoanele fizice în cazurile complexe de evaziune fiscală/optimizare fiscală. </w:t>
      </w:r>
    </w:p>
    <w:p w:rsidR="00423A03" w:rsidRPr="00423A03" w:rsidRDefault="00423A03" w:rsidP="00423A03">
      <w:pPr>
        <w:spacing w:before="120" w:after="120" w:line="276" w:lineRule="auto"/>
        <w:ind w:firstLine="0"/>
        <w:rPr>
          <w:rFonts w:ascii="Tahoma" w:hAnsi="Tahoma" w:cs="Tahoma"/>
          <w:sz w:val="24"/>
          <w:szCs w:val="24"/>
        </w:rPr>
      </w:pPr>
      <w:r w:rsidRPr="00423A03">
        <w:rPr>
          <w:rFonts w:ascii="Tahoma" w:hAnsi="Tahoma" w:cs="Tahoma"/>
          <w:sz w:val="24"/>
          <w:szCs w:val="24"/>
        </w:rPr>
        <w:t xml:space="preserve">Digitalizarea este o prioritate </w:t>
      </w:r>
      <w:proofErr w:type="spellStart"/>
      <w:r w:rsidRPr="00423A03">
        <w:rPr>
          <w:rFonts w:ascii="Tahoma" w:hAnsi="Tahoma" w:cs="Tahoma"/>
          <w:sz w:val="24"/>
          <w:szCs w:val="24"/>
        </w:rPr>
        <w:t>şi</w:t>
      </w:r>
      <w:proofErr w:type="spellEnd"/>
      <w:r w:rsidRPr="00423A03">
        <w:rPr>
          <w:rFonts w:ascii="Tahoma" w:hAnsi="Tahoma" w:cs="Tahoma"/>
          <w:sz w:val="24"/>
          <w:szCs w:val="24"/>
        </w:rPr>
        <w:t xml:space="preserve"> reprezintă cheia consolidării </w:t>
      </w:r>
      <w:proofErr w:type="spellStart"/>
      <w:r w:rsidRPr="00423A03">
        <w:rPr>
          <w:rFonts w:ascii="Tahoma" w:hAnsi="Tahoma" w:cs="Tahoma"/>
          <w:sz w:val="24"/>
          <w:szCs w:val="24"/>
        </w:rPr>
        <w:t>capacităţii</w:t>
      </w:r>
      <w:proofErr w:type="spellEnd"/>
      <w:r w:rsidRPr="00423A03">
        <w:rPr>
          <w:rFonts w:ascii="Tahoma" w:hAnsi="Tahoma" w:cs="Tahoma"/>
          <w:sz w:val="24"/>
          <w:szCs w:val="24"/>
        </w:rPr>
        <w:t xml:space="preserve"> administrative necesară transformării </w:t>
      </w:r>
      <w:r w:rsidRPr="00423A03">
        <w:rPr>
          <w:rFonts w:ascii="Tahoma" w:hAnsi="Tahoma" w:cs="Tahoma"/>
          <w:bCs/>
          <w:sz w:val="24"/>
          <w:szCs w:val="24"/>
        </w:rPr>
        <w:t>ANAF</w:t>
      </w:r>
      <w:r w:rsidRPr="00423A03">
        <w:rPr>
          <w:rFonts w:ascii="Tahoma" w:hAnsi="Tahoma" w:cs="Tahoma"/>
          <w:sz w:val="24"/>
          <w:szCs w:val="24"/>
        </w:rPr>
        <w:t xml:space="preserve"> într-o </w:t>
      </w:r>
      <w:proofErr w:type="spellStart"/>
      <w:r w:rsidRPr="00423A03">
        <w:rPr>
          <w:rFonts w:ascii="Tahoma" w:hAnsi="Tahoma" w:cs="Tahoma"/>
          <w:bCs/>
          <w:sz w:val="24"/>
          <w:szCs w:val="24"/>
        </w:rPr>
        <w:t>organizaţie</w:t>
      </w:r>
      <w:proofErr w:type="spellEnd"/>
      <w:r w:rsidRPr="00423A03">
        <w:rPr>
          <w:rFonts w:ascii="Tahoma" w:hAnsi="Tahoma" w:cs="Tahoma"/>
          <w:bCs/>
          <w:sz w:val="24"/>
          <w:szCs w:val="24"/>
        </w:rPr>
        <w:t xml:space="preserve"> transparentă </w:t>
      </w:r>
      <w:proofErr w:type="spellStart"/>
      <w:r w:rsidRPr="00423A03">
        <w:rPr>
          <w:rFonts w:ascii="Tahoma" w:hAnsi="Tahoma" w:cs="Tahoma"/>
          <w:bCs/>
          <w:sz w:val="24"/>
          <w:szCs w:val="24"/>
        </w:rPr>
        <w:t>şi</w:t>
      </w:r>
      <w:proofErr w:type="spellEnd"/>
      <w:r w:rsidRPr="00423A03">
        <w:rPr>
          <w:rFonts w:ascii="Tahoma" w:hAnsi="Tahoma" w:cs="Tahoma"/>
          <w:bCs/>
          <w:sz w:val="24"/>
          <w:szCs w:val="24"/>
        </w:rPr>
        <w:t xml:space="preserve"> eficientă</w:t>
      </w:r>
      <w:r w:rsidRPr="00423A03">
        <w:rPr>
          <w:rFonts w:ascii="Tahoma" w:hAnsi="Tahoma" w:cs="Tahoma"/>
          <w:sz w:val="24"/>
          <w:szCs w:val="24"/>
        </w:rPr>
        <w:t xml:space="preserve">, care să ofere </w:t>
      </w:r>
      <w:r w:rsidRPr="00423A03">
        <w:rPr>
          <w:rFonts w:ascii="Tahoma" w:hAnsi="Tahoma" w:cs="Tahoma"/>
          <w:bCs/>
          <w:sz w:val="24"/>
          <w:szCs w:val="24"/>
        </w:rPr>
        <w:t xml:space="preserve">servicii de calitate menite să crească nivelul de încredere al contribuabililor și, totodată, să contribuie la </w:t>
      </w:r>
      <w:proofErr w:type="spellStart"/>
      <w:r w:rsidRPr="00423A03">
        <w:rPr>
          <w:rFonts w:ascii="Tahoma" w:hAnsi="Tahoma" w:cs="Tahoma"/>
          <w:bCs/>
          <w:sz w:val="24"/>
          <w:szCs w:val="24"/>
        </w:rPr>
        <w:t>creşterea</w:t>
      </w:r>
      <w:proofErr w:type="spellEnd"/>
      <w:r w:rsidRPr="00423A03">
        <w:rPr>
          <w:rFonts w:ascii="Tahoma" w:hAnsi="Tahoma" w:cs="Tahoma"/>
          <w:bCs/>
          <w:sz w:val="24"/>
          <w:szCs w:val="24"/>
        </w:rPr>
        <w:t xml:space="preserve"> gradului de conformare voluntară și implicit la creșterea gradului de colectare a veniturilor bugetare</w:t>
      </w:r>
      <w:r w:rsidRPr="00423A03">
        <w:rPr>
          <w:rFonts w:ascii="Tahoma" w:hAnsi="Tahoma" w:cs="Tahoma"/>
          <w:sz w:val="24"/>
          <w:szCs w:val="24"/>
        </w:rPr>
        <w:t xml:space="preserve">. ANAF </w:t>
      </w:r>
      <w:proofErr w:type="spellStart"/>
      <w:r w:rsidRPr="00423A03">
        <w:rPr>
          <w:rFonts w:ascii="Tahoma" w:hAnsi="Tahoma" w:cs="Tahoma"/>
          <w:sz w:val="24"/>
          <w:szCs w:val="24"/>
        </w:rPr>
        <w:t>îsi</w:t>
      </w:r>
      <w:proofErr w:type="spellEnd"/>
      <w:r w:rsidRPr="00423A03">
        <w:rPr>
          <w:rFonts w:ascii="Tahoma" w:hAnsi="Tahoma" w:cs="Tahoma"/>
          <w:sz w:val="24"/>
          <w:szCs w:val="24"/>
        </w:rPr>
        <w:t xml:space="preserve"> concentrează toate eforturile pentru a continua ritmul accelerat de implementare a proiectelor de reformă </w:t>
      </w:r>
      <w:proofErr w:type="spellStart"/>
      <w:r w:rsidRPr="00423A03">
        <w:rPr>
          <w:rFonts w:ascii="Tahoma" w:hAnsi="Tahoma" w:cs="Tahoma"/>
          <w:sz w:val="24"/>
          <w:szCs w:val="24"/>
        </w:rPr>
        <w:t>şi</w:t>
      </w:r>
      <w:proofErr w:type="spellEnd"/>
      <w:r w:rsidRPr="00423A03">
        <w:rPr>
          <w:rFonts w:ascii="Tahoma" w:hAnsi="Tahoma" w:cs="Tahoma"/>
          <w:sz w:val="24"/>
          <w:szCs w:val="24"/>
        </w:rPr>
        <w:t xml:space="preserve"> modernizare asumate prin documentele sale programatice.</w:t>
      </w:r>
    </w:p>
    <w:p w:rsidR="00423A03" w:rsidRPr="00423A03" w:rsidRDefault="00423A03" w:rsidP="00423A03">
      <w:pPr>
        <w:pStyle w:val="NormalWeb"/>
        <w:spacing w:after="120" w:line="276" w:lineRule="auto"/>
        <w:ind w:firstLine="0"/>
        <w:rPr>
          <w:rFonts w:ascii="Tahoma" w:hAnsi="Tahoma" w:cs="Tahoma"/>
        </w:rPr>
      </w:pPr>
      <w:r w:rsidRPr="00423A03">
        <w:rPr>
          <w:rFonts w:ascii="Tahoma" w:hAnsi="Tahoma" w:cs="Tahoma"/>
        </w:rPr>
        <w:lastRenderedPageBreak/>
        <w:t xml:space="preserve">ANAF are ca deziderat atingerea deplinei operaționalizări a managementului integrat al riscurilor fiscale, coroborat cu implementarea sistemului de facturare electronică RO e-factura, a sistemului </w:t>
      </w:r>
      <w:proofErr w:type="spellStart"/>
      <w:r w:rsidRPr="00423A03">
        <w:rPr>
          <w:rFonts w:ascii="Tahoma" w:hAnsi="Tahoma" w:cs="Tahoma"/>
        </w:rPr>
        <w:t>One</w:t>
      </w:r>
      <w:proofErr w:type="spellEnd"/>
      <w:r w:rsidRPr="00423A03">
        <w:rPr>
          <w:rFonts w:ascii="Tahoma" w:hAnsi="Tahoma" w:cs="Tahoma"/>
        </w:rPr>
        <w:t xml:space="preserve"> Stop Shop (OSS) și a tuturor celorlalte proiecte de digitalizare, care împreună cu "</w:t>
      </w:r>
      <w:proofErr w:type="spellStart"/>
      <w:r w:rsidRPr="00423A03">
        <w:rPr>
          <w:rFonts w:ascii="Tahoma" w:hAnsi="Tahoma" w:cs="Tahoma"/>
        </w:rPr>
        <w:t>Fişierul</w:t>
      </w:r>
      <w:proofErr w:type="spellEnd"/>
      <w:r w:rsidRPr="00423A03">
        <w:rPr>
          <w:rFonts w:ascii="Tahoma" w:hAnsi="Tahoma" w:cs="Tahoma"/>
        </w:rPr>
        <w:t xml:space="preserve"> standard de audit" - SAF-T și cu conectarea caselor de marcat, vor conduce la creșterea gradului de colectare și la scăderea decalajului fiscal, astfel: </w:t>
      </w:r>
    </w:p>
    <w:p w:rsidR="00423A03" w:rsidRPr="00423A03" w:rsidRDefault="00423A03" w:rsidP="00423A03">
      <w:pPr>
        <w:pStyle w:val="NormalWeb"/>
        <w:numPr>
          <w:ilvl w:val="0"/>
          <w:numId w:val="16"/>
        </w:numPr>
        <w:suppressAutoHyphens/>
        <w:spacing w:before="280" w:after="120" w:line="276" w:lineRule="auto"/>
        <w:ind w:left="851" w:hanging="567"/>
        <w:rPr>
          <w:rFonts w:ascii="Tahoma" w:hAnsi="Tahoma" w:cs="Tahoma"/>
          <w:i/>
        </w:rPr>
      </w:pPr>
      <w:r w:rsidRPr="00423A03">
        <w:rPr>
          <w:rFonts w:ascii="Tahoma" w:hAnsi="Tahoma" w:cs="Tahoma"/>
          <w:i/>
        </w:rPr>
        <w:t xml:space="preserve">Dezvoltarea și implementarea sistemului informatic SAF-T (Fișierul Standard de Control Fiscal) - </w:t>
      </w:r>
      <w:r w:rsidRPr="00423A03">
        <w:rPr>
          <w:rFonts w:ascii="Tahoma" w:hAnsi="Tahoma" w:cs="Tahoma"/>
          <w:i/>
          <w:u w:val="single"/>
        </w:rPr>
        <w:t>finalizat</w:t>
      </w:r>
      <w:r w:rsidRPr="00423A03">
        <w:rPr>
          <w:rFonts w:ascii="Tahoma" w:hAnsi="Tahoma" w:cs="Tahoma"/>
          <w:i/>
        </w:rPr>
        <w:t xml:space="preserve"> în august 2022, prin care: </w:t>
      </w:r>
    </w:p>
    <w:p w:rsidR="00423A03" w:rsidRPr="00423A03" w:rsidRDefault="00423A03" w:rsidP="00A50268">
      <w:pPr>
        <w:pStyle w:val="NormalWeb"/>
        <w:numPr>
          <w:ilvl w:val="0"/>
          <w:numId w:val="18"/>
        </w:numPr>
        <w:suppressAutoHyphens/>
        <w:spacing w:after="120" w:line="276" w:lineRule="auto"/>
        <w:ind w:left="1418" w:hanging="567"/>
        <w:rPr>
          <w:rFonts w:ascii="Tahoma" w:hAnsi="Tahoma" w:cs="Tahoma"/>
        </w:rPr>
      </w:pPr>
      <w:r w:rsidRPr="00423A03">
        <w:rPr>
          <w:rFonts w:ascii="Tahoma" w:hAnsi="Tahoma" w:cs="Tahoma"/>
        </w:rPr>
        <w:t>se asigură transferul electronic de date financiar-contabile de la companii către administrația fiscală, prin transmiterea declarației informative D406;</w:t>
      </w:r>
    </w:p>
    <w:p w:rsidR="00423A03" w:rsidRPr="00423A03" w:rsidRDefault="00423A03" w:rsidP="00A50268">
      <w:pPr>
        <w:pStyle w:val="NormalWeb"/>
        <w:numPr>
          <w:ilvl w:val="0"/>
          <w:numId w:val="18"/>
        </w:numPr>
        <w:suppressAutoHyphens/>
        <w:spacing w:after="120" w:line="276" w:lineRule="auto"/>
        <w:ind w:left="1418" w:hanging="567"/>
        <w:rPr>
          <w:rFonts w:ascii="Tahoma" w:hAnsi="Tahoma" w:cs="Tahoma"/>
        </w:rPr>
      </w:pPr>
      <w:r w:rsidRPr="00423A03">
        <w:rPr>
          <w:rFonts w:ascii="Tahoma" w:hAnsi="Tahoma" w:cs="Tahoma"/>
        </w:rPr>
        <w:t>se standardizează informațiile relevante pentru control fiscal în vederea eficientizării activității și reducerii costului conformării pentru companii.</w:t>
      </w:r>
    </w:p>
    <w:p w:rsidR="00423A03" w:rsidRPr="00423A03" w:rsidRDefault="00423A03" w:rsidP="00423A03">
      <w:pPr>
        <w:pStyle w:val="NormalWeb"/>
        <w:spacing w:after="120" w:line="276" w:lineRule="auto"/>
        <w:ind w:firstLine="0"/>
        <w:rPr>
          <w:rFonts w:ascii="Tahoma" w:hAnsi="Tahoma" w:cs="Tahoma"/>
        </w:rPr>
      </w:pPr>
      <w:r w:rsidRPr="00423A03">
        <w:rPr>
          <w:rFonts w:ascii="Tahoma" w:hAnsi="Tahoma" w:cs="Tahoma"/>
        </w:rPr>
        <w:t xml:space="preserve">Sistemul este operațional de la data de 1 ianuarie 2022, dată care a reprezentat și începerea termenului de depunere pentru marii contribuabili. Odată cu 1 ianuarie 2023 a intrat în vigoare și termenul de depunere pentru contribuabilii mijlocii, urmând ca de la 1 ianuarie 2025 să intre în vigoare </w:t>
      </w:r>
      <w:proofErr w:type="spellStart"/>
      <w:r w:rsidRPr="00423A03">
        <w:rPr>
          <w:rFonts w:ascii="Tahoma" w:hAnsi="Tahoma" w:cs="Tahoma"/>
        </w:rPr>
        <w:t>teremenul</w:t>
      </w:r>
      <w:proofErr w:type="spellEnd"/>
      <w:r w:rsidRPr="00423A03">
        <w:rPr>
          <w:rFonts w:ascii="Tahoma" w:hAnsi="Tahoma" w:cs="Tahoma"/>
        </w:rPr>
        <w:t xml:space="preserve"> pentru contribuabili mici.</w:t>
      </w:r>
    </w:p>
    <w:p w:rsidR="00423A03" w:rsidRPr="00423A03" w:rsidRDefault="00423A03" w:rsidP="00A50268">
      <w:pPr>
        <w:pStyle w:val="NormalWeb"/>
        <w:numPr>
          <w:ilvl w:val="0"/>
          <w:numId w:val="19"/>
        </w:numPr>
        <w:suppressAutoHyphens/>
        <w:spacing w:before="280" w:after="120" w:line="276" w:lineRule="auto"/>
        <w:ind w:left="851" w:hanging="567"/>
        <w:rPr>
          <w:rFonts w:ascii="Tahoma" w:hAnsi="Tahoma" w:cs="Tahoma"/>
          <w:i/>
        </w:rPr>
      </w:pPr>
      <w:r w:rsidRPr="00423A03">
        <w:rPr>
          <w:rFonts w:ascii="Tahoma" w:hAnsi="Tahoma" w:cs="Tahoma"/>
          <w:i/>
        </w:rPr>
        <w:t xml:space="preserve">Sistemul național privind factura electronică RO e-Factura -  </w:t>
      </w:r>
      <w:r w:rsidRPr="00423A03">
        <w:rPr>
          <w:rFonts w:ascii="Tahoma" w:hAnsi="Tahoma" w:cs="Tahoma"/>
          <w:i/>
          <w:u w:val="single"/>
        </w:rPr>
        <w:t>sistem operațional</w:t>
      </w:r>
      <w:r w:rsidRPr="00423A03">
        <w:rPr>
          <w:rFonts w:ascii="Tahoma" w:hAnsi="Tahoma" w:cs="Tahoma"/>
          <w:i/>
        </w:rPr>
        <w:t xml:space="preserve"> începând cu luna noiembrie 2021;</w:t>
      </w:r>
    </w:p>
    <w:p w:rsidR="00423A03" w:rsidRPr="00423A03" w:rsidRDefault="00423A03" w:rsidP="00A50268">
      <w:pPr>
        <w:pStyle w:val="NormalWeb"/>
        <w:spacing w:after="120" w:line="276" w:lineRule="auto"/>
        <w:ind w:firstLine="0"/>
        <w:rPr>
          <w:rFonts w:ascii="Tahoma" w:hAnsi="Tahoma" w:cs="Tahoma"/>
        </w:rPr>
      </w:pPr>
      <w:r w:rsidRPr="00423A03">
        <w:rPr>
          <w:rFonts w:ascii="Tahoma" w:hAnsi="Tahoma" w:cs="Tahoma"/>
        </w:rPr>
        <w:t>Proiectul a fost demarat în luna martie 2020 de către Ministerul Finanțelor și ANAF, în vederea eficientizării colectării impozitelor și taxelor, vizând în principal îmbunătățirea și consolidarea gradului de colectare a TVA și prevenirea/combaterea evaziunii fiscale. În prezent sistemul este:</w:t>
      </w:r>
    </w:p>
    <w:p w:rsidR="00423A03" w:rsidRPr="00423A03" w:rsidRDefault="00423A03" w:rsidP="00A50268">
      <w:pPr>
        <w:pStyle w:val="NormalWeb"/>
        <w:numPr>
          <w:ilvl w:val="0"/>
          <w:numId w:val="20"/>
        </w:numPr>
        <w:suppressAutoHyphens/>
        <w:spacing w:after="120" w:line="276" w:lineRule="auto"/>
        <w:ind w:left="1418" w:hanging="567"/>
        <w:rPr>
          <w:rFonts w:ascii="Tahoma" w:hAnsi="Tahoma" w:cs="Tahoma"/>
        </w:rPr>
      </w:pPr>
      <w:r w:rsidRPr="00423A03">
        <w:rPr>
          <w:rFonts w:ascii="Tahoma" w:hAnsi="Tahoma" w:cs="Tahoma"/>
        </w:rPr>
        <w:t>opțional pentru toate categoriile de contribuabili pentru relația business-</w:t>
      </w:r>
      <w:proofErr w:type="spellStart"/>
      <w:r w:rsidRPr="00423A03">
        <w:rPr>
          <w:rFonts w:ascii="Tahoma" w:hAnsi="Tahoma" w:cs="Tahoma"/>
        </w:rPr>
        <w:t>to</w:t>
      </w:r>
      <w:proofErr w:type="spellEnd"/>
      <w:r w:rsidRPr="00423A03">
        <w:rPr>
          <w:rFonts w:ascii="Tahoma" w:hAnsi="Tahoma" w:cs="Tahoma"/>
        </w:rPr>
        <w:t>-business;</w:t>
      </w:r>
    </w:p>
    <w:p w:rsidR="00423A03" w:rsidRPr="00423A03" w:rsidRDefault="00423A03" w:rsidP="00A50268">
      <w:pPr>
        <w:pStyle w:val="NormalWeb"/>
        <w:numPr>
          <w:ilvl w:val="0"/>
          <w:numId w:val="20"/>
        </w:numPr>
        <w:suppressAutoHyphens/>
        <w:spacing w:after="120" w:line="276" w:lineRule="auto"/>
        <w:ind w:left="1418" w:hanging="567"/>
        <w:rPr>
          <w:rFonts w:ascii="Tahoma" w:hAnsi="Tahoma" w:cs="Tahoma"/>
        </w:rPr>
      </w:pPr>
      <w:r w:rsidRPr="00423A03">
        <w:rPr>
          <w:rFonts w:ascii="Tahoma" w:hAnsi="Tahoma" w:cs="Tahoma"/>
        </w:rPr>
        <w:t>obligatoriu pentru unitățile afiliate ce au încasări în baza tichetelor de vacanță, de la data de 1 aprilie 2022;</w:t>
      </w:r>
    </w:p>
    <w:p w:rsidR="00423A03" w:rsidRPr="00423A03" w:rsidRDefault="00423A03" w:rsidP="00A50268">
      <w:pPr>
        <w:pStyle w:val="NormalWeb"/>
        <w:numPr>
          <w:ilvl w:val="0"/>
          <w:numId w:val="20"/>
        </w:numPr>
        <w:suppressAutoHyphens/>
        <w:spacing w:after="120" w:line="276" w:lineRule="auto"/>
        <w:ind w:left="1418" w:hanging="567"/>
        <w:rPr>
          <w:rFonts w:ascii="Tahoma" w:hAnsi="Tahoma" w:cs="Tahoma"/>
        </w:rPr>
      </w:pPr>
      <w:r w:rsidRPr="00423A03">
        <w:rPr>
          <w:rFonts w:ascii="Tahoma" w:hAnsi="Tahoma" w:cs="Tahoma"/>
        </w:rPr>
        <w:t>obligatoriu pentru furnizorii de produse cu risc fiscal ridicat, de la data de 1 iulie 2022;</w:t>
      </w:r>
    </w:p>
    <w:p w:rsidR="00423A03" w:rsidRPr="00423A03" w:rsidRDefault="00423A03" w:rsidP="00A50268">
      <w:pPr>
        <w:pStyle w:val="NormalWeb"/>
        <w:numPr>
          <w:ilvl w:val="0"/>
          <w:numId w:val="20"/>
        </w:numPr>
        <w:suppressAutoHyphens/>
        <w:spacing w:after="120" w:line="276" w:lineRule="auto"/>
        <w:ind w:left="1418" w:hanging="567"/>
        <w:rPr>
          <w:rFonts w:ascii="Tahoma" w:hAnsi="Tahoma" w:cs="Tahoma"/>
        </w:rPr>
      </w:pPr>
      <w:r w:rsidRPr="00423A03">
        <w:rPr>
          <w:rFonts w:ascii="Tahoma" w:hAnsi="Tahoma" w:cs="Tahoma"/>
        </w:rPr>
        <w:t>obligatoriu pentru relația business-</w:t>
      </w:r>
      <w:proofErr w:type="spellStart"/>
      <w:r w:rsidRPr="00423A03">
        <w:rPr>
          <w:rFonts w:ascii="Tahoma" w:hAnsi="Tahoma" w:cs="Tahoma"/>
        </w:rPr>
        <w:t>to</w:t>
      </w:r>
      <w:proofErr w:type="spellEnd"/>
      <w:r w:rsidRPr="00423A03">
        <w:rPr>
          <w:rFonts w:ascii="Tahoma" w:hAnsi="Tahoma" w:cs="Tahoma"/>
        </w:rPr>
        <w:t>-</w:t>
      </w:r>
      <w:proofErr w:type="spellStart"/>
      <w:r w:rsidRPr="00423A03">
        <w:rPr>
          <w:rFonts w:ascii="Tahoma" w:hAnsi="Tahoma" w:cs="Tahoma"/>
        </w:rPr>
        <w:t>government</w:t>
      </w:r>
      <w:proofErr w:type="spellEnd"/>
      <w:r w:rsidRPr="00423A03">
        <w:rPr>
          <w:rFonts w:ascii="Tahoma" w:hAnsi="Tahoma" w:cs="Tahoma"/>
        </w:rPr>
        <w:t>, de la data de 1 iulie 2022.</w:t>
      </w:r>
    </w:p>
    <w:p w:rsidR="00423A03" w:rsidRPr="00423A03" w:rsidRDefault="00423A03" w:rsidP="00A50268">
      <w:pPr>
        <w:pStyle w:val="NormalWeb"/>
        <w:numPr>
          <w:ilvl w:val="0"/>
          <w:numId w:val="19"/>
        </w:numPr>
        <w:suppressAutoHyphens/>
        <w:spacing w:before="280" w:after="120" w:line="276" w:lineRule="auto"/>
        <w:ind w:left="851" w:hanging="567"/>
        <w:rPr>
          <w:rFonts w:ascii="Tahoma" w:hAnsi="Tahoma" w:cs="Tahoma"/>
          <w:i/>
        </w:rPr>
      </w:pPr>
      <w:r w:rsidRPr="00423A03">
        <w:rPr>
          <w:rFonts w:ascii="Tahoma" w:hAnsi="Tahoma" w:cs="Tahoma"/>
          <w:i/>
        </w:rPr>
        <w:t xml:space="preserve">Implementarea pachetului TVA privind comerțul electronic conform reglementărilor la nivelul UE, prin dezvoltarea sistemului informatic </w:t>
      </w:r>
      <w:proofErr w:type="spellStart"/>
      <w:r w:rsidRPr="00423A03">
        <w:rPr>
          <w:rFonts w:ascii="Tahoma" w:hAnsi="Tahoma" w:cs="Tahoma"/>
          <w:i/>
        </w:rPr>
        <w:t>One</w:t>
      </w:r>
      <w:proofErr w:type="spellEnd"/>
      <w:r w:rsidRPr="00423A03">
        <w:rPr>
          <w:rFonts w:ascii="Tahoma" w:hAnsi="Tahoma" w:cs="Tahoma"/>
          <w:i/>
        </w:rPr>
        <w:t xml:space="preserve"> Stop Shop - </w:t>
      </w:r>
      <w:r w:rsidRPr="00423A03">
        <w:rPr>
          <w:rFonts w:ascii="Tahoma" w:hAnsi="Tahoma" w:cs="Tahoma"/>
          <w:i/>
          <w:u w:val="single"/>
        </w:rPr>
        <w:t>finalizat</w:t>
      </w:r>
      <w:r w:rsidRPr="00423A03">
        <w:rPr>
          <w:rFonts w:ascii="Tahoma" w:hAnsi="Tahoma" w:cs="Tahoma"/>
          <w:i/>
        </w:rPr>
        <w:t>, în decembrie 2022 stadiu închidere/ recepție;</w:t>
      </w:r>
    </w:p>
    <w:p w:rsidR="00423A03" w:rsidRPr="00423A03" w:rsidRDefault="00423A03" w:rsidP="00423A03">
      <w:pPr>
        <w:pStyle w:val="NormalWeb"/>
        <w:spacing w:after="120" w:line="276" w:lineRule="auto"/>
        <w:ind w:firstLine="0"/>
        <w:rPr>
          <w:rFonts w:ascii="Tahoma" w:hAnsi="Tahoma" w:cs="Tahoma"/>
        </w:rPr>
      </w:pPr>
      <w:r w:rsidRPr="00423A03">
        <w:rPr>
          <w:rFonts w:ascii="Tahoma" w:hAnsi="Tahoma" w:cs="Tahoma"/>
        </w:rPr>
        <w:t xml:space="preserve">Sistemul </w:t>
      </w:r>
      <w:proofErr w:type="spellStart"/>
      <w:r w:rsidRPr="00423A03">
        <w:rPr>
          <w:rFonts w:ascii="Tahoma" w:hAnsi="Tahoma" w:cs="Tahoma"/>
        </w:rPr>
        <w:t>One</w:t>
      </w:r>
      <w:proofErr w:type="spellEnd"/>
      <w:r w:rsidRPr="00423A03">
        <w:rPr>
          <w:rFonts w:ascii="Tahoma" w:hAnsi="Tahoma" w:cs="Tahoma"/>
        </w:rPr>
        <w:t xml:space="preserve"> Stop Shop (OSS) este o platformă electronică pusă la dispoziția contribuabililor de către toate statele membre  pentru îndeplinirea obligațiilor de </w:t>
      </w:r>
      <w:r w:rsidRPr="00423A03">
        <w:rPr>
          <w:rFonts w:ascii="Tahoma" w:hAnsi="Tahoma" w:cs="Tahoma"/>
        </w:rPr>
        <w:lastRenderedPageBreak/>
        <w:t>înregistrare, declarare și plata TVA datorat de către persoanele impozabile care efectuează comerț electronic prin livrări transfrontaliere a anumitor categorii de bunuri si servicii către persoane neimpozabile din cadrul UE.</w:t>
      </w:r>
    </w:p>
    <w:p w:rsidR="00423A03" w:rsidRPr="00423A03" w:rsidRDefault="00423A03" w:rsidP="00423A03">
      <w:pPr>
        <w:pStyle w:val="NormalWeb"/>
        <w:spacing w:after="120" w:line="276" w:lineRule="auto"/>
        <w:ind w:firstLine="0"/>
        <w:rPr>
          <w:rFonts w:ascii="Tahoma" w:hAnsi="Tahoma" w:cs="Tahoma"/>
        </w:rPr>
      </w:pPr>
      <w:r w:rsidRPr="00423A03">
        <w:rPr>
          <w:rFonts w:ascii="Tahoma" w:hAnsi="Tahoma" w:cs="Tahoma"/>
        </w:rPr>
        <w:t xml:space="preserve">Sistemul este operațional începând cu data de </w:t>
      </w:r>
      <w:r w:rsidRPr="00423A03">
        <w:rPr>
          <w:rFonts w:ascii="Tahoma" w:hAnsi="Tahoma" w:cs="Tahoma"/>
          <w:b/>
        </w:rPr>
        <w:t>1 iulie 2021</w:t>
      </w:r>
      <w:r w:rsidRPr="00423A03">
        <w:rPr>
          <w:rFonts w:ascii="Tahoma" w:hAnsi="Tahoma" w:cs="Tahoma"/>
        </w:rPr>
        <w:t xml:space="preserve">, în conformitate cu obligațiile asumate la nivel comunitar. </w:t>
      </w:r>
    </w:p>
    <w:p w:rsidR="00423A03" w:rsidRPr="00423A03" w:rsidRDefault="00423A03" w:rsidP="00A50268">
      <w:pPr>
        <w:pStyle w:val="NormalWeb"/>
        <w:numPr>
          <w:ilvl w:val="0"/>
          <w:numId w:val="19"/>
        </w:numPr>
        <w:suppressAutoHyphens/>
        <w:spacing w:before="280" w:after="120" w:line="276" w:lineRule="auto"/>
        <w:ind w:left="851" w:hanging="567"/>
        <w:rPr>
          <w:rFonts w:ascii="Tahoma" w:hAnsi="Tahoma" w:cs="Tahoma"/>
          <w:i/>
        </w:rPr>
      </w:pPr>
      <w:r w:rsidRPr="00423A03">
        <w:rPr>
          <w:rFonts w:ascii="Tahoma" w:hAnsi="Tahoma" w:cs="Tahoma"/>
          <w:i/>
        </w:rPr>
        <w:t xml:space="preserve">Sistemul național privind monitorizarea transporturilor rutiere de bunuri cu risc fiscal ridicat RO e-Transport. </w:t>
      </w:r>
      <w:r w:rsidRPr="00423A03">
        <w:rPr>
          <w:rFonts w:ascii="Tahoma" w:hAnsi="Tahoma" w:cs="Tahoma"/>
        </w:rPr>
        <w:t>Acest sistem creează premisele unui control sporit al monitorizării tranzacțiilor cu bunuri cu risc fiscal ridicat și implicit posibilitatea urmăririi creșterii gradului de conformare prin fiscalizarea tranzacțiilor comerciale. Începând cu data de 01.07.2022 a devenit obligatorie declararea în aplicația RO e-Transport transportul pe teritoriul României a bunurilor cu risc fiscal ridicat.</w:t>
      </w:r>
    </w:p>
    <w:p w:rsidR="00423A03" w:rsidRPr="00423A03" w:rsidRDefault="00423A03" w:rsidP="00A50268">
      <w:pPr>
        <w:pStyle w:val="NormalWeb"/>
        <w:numPr>
          <w:ilvl w:val="0"/>
          <w:numId w:val="19"/>
        </w:numPr>
        <w:suppressAutoHyphens/>
        <w:spacing w:before="280" w:after="120" w:line="276" w:lineRule="auto"/>
        <w:ind w:left="851" w:hanging="567"/>
        <w:rPr>
          <w:rFonts w:ascii="Tahoma" w:hAnsi="Tahoma" w:cs="Tahoma"/>
        </w:rPr>
      </w:pPr>
      <w:r w:rsidRPr="00423A03">
        <w:rPr>
          <w:rFonts w:ascii="Tahoma" w:hAnsi="Tahoma" w:cs="Tahoma"/>
          <w:i/>
        </w:rPr>
        <w:t>Implementarea</w:t>
      </w:r>
      <w:r w:rsidRPr="00423A03">
        <w:rPr>
          <w:rFonts w:ascii="Tahoma" w:hAnsi="Tahoma" w:cs="Tahoma"/>
        </w:rPr>
        <w:t xml:space="preserve"> proiectului “Îmbunătățirea sistemului de monitorizare a tranzacțiilor intracomunitare (SIMTIC)”, cod SIPOCA 702, parte integrantă din RO e-Transport. Proiectul </w:t>
      </w:r>
      <w:r w:rsidRPr="00423A03">
        <w:rPr>
          <w:rFonts w:ascii="Tahoma" w:hAnsi="Tahoma" w:cs="Tahoma"/>
          <w:u w:val="single"/>
        </w:rPr>
        <w:t>a fost finalizat</w:t>
      </w:r>
      <w:r w:rsidRPr="00423A03">
        <w:rPr>
          <w:rFonts w:ascii="Tahoma" w:hAnsi="Tahoma" w:cs="Tahoma"/>
        </w:rPr>
        <w:t xml:space="preserve"> în data de 26 iunie 2023, obiectivele specifice ale proiectului fiind îndeplinite prin următoarele rezultate atinse:</w:t>
      </w:r>
    </w:p>
    <w:p w:rsidR="00423A03" w:rsidRPr="00423A03" w:rsidRDefault="00423A03" w:rsidP="00A50268">
      <w:pPr>
        <w:pStyle w:val="NormalWeb"/>
        <w:numPr>
          <w:ilvl w:val="0"/>
          <w:numId w:val="21"/>
        </w:numPr>
        <w:suppressAutoHyphens/>
        <w:spacing w:after="120" w:line="276" w:lineRule="auto"/>
        <w:ind w:left="1418" w:hanging="567"/>
        <w:rPr>
          <w:rFonts w:ascii="Tahoma" w:hAnsi="Tahoma" w:cs="Tahoma"/>
        </w:rPr>
      </w:pPr>
      <w:r w:rsidRPr="00423A03">
        <w:rPr>
          <w:rFonts w:ascii="Tahoma" w:hAnsi="Tahoma" w:cs="Tahoma"/>
        </w:rPr>
        <w:t>Procedură de monitorizare a tranzacțiilor intracomunitare de bunuri, îmbunătățită;</w:t>
      </w:r>
    </w:p>
    <w:p w:rsidR="00423A03" w:rsidRPr="00423A03" w:rsidRDefault="00423A03" w:rsidP="00A50268">
      <w:pPr>
        <w:pStyle w:val="NormalWeb"/>
        <w:numPr>
          <w:ilvl w:val="0"/>
          <w:numId w:val="21"/>
        </w:numPr>
        <w:suppressAutoHyphens/>
        <w:spacing w:after="120" w:line="276" w:lineRule="auto"/>
        <w:ind w:left="1418" w:hanging="567"/>
        <w:rPr>
          <w:rFonts w:ascii="Tahoma" w:hAnsi="Tahoma" w:cs="Tahoma"/>
        </w:rPr>
      </w:pPr>
      <w:r w:rsidRPr="00423A03">
        <w:rPr>
          <w:rFonts w:ascii="Tahoma" w:hAnsi="Tahoma" w:cs="Tahoma"/>
        </w:rPr>
        <w:t>Sistem informatic operațional care să permită gestionarea datelor culese prin aplicația informatică destinată monitorizării tranzacțiilor intracomunitare de bunuri;</w:t>
      </w:r>
    </w:p>
    <w:p w:rsidR="00423A03" w:rsidRPr="00423A03" w:rsidRDefault="00423A03" w:rsidP="00A50268">
      <w:pPr>
        <w:pStyle w:val="NormalWeb"/>
        <w:numPr>
          <w:ilvl w:val="0"/>
          <w:numId w:val="21"/>
        </w:numPr>
        <w:suppressAutoHyphens/>
        <w:spacing w:after="120" w:line="276" w:lineRule="auto"/>
        <w:ind w:left="1418" w:hanging="567"/>
        <w:rPr>
          <w:rFonts w:ascii="Tahoma" w:hAnsi="Tahoma" w:cs="Tahoma"/>
        </w:rPr>
      </w:pPr>
      <w:r w:rsidRPr="00423A03">
        <w:rPr>
          <w:rFonts w:ascii="Tahoma" w:hAnsi="Tahoma" w:cs="Tahoma"/>
        </w:rPr>
        <w:t>Campanie de informare și promovare a procedurii simplificate și a sistemului informatic aferent, derulată;</w:t>
      </w:r>
    </w:p>
    <w:p w:rsidR="00423A03" w:rsidRPr="00423A03" w:rsidRDefault="00423A03" w:rsidP="00A50268">
      <w:pPr>
        <w:pStyle w:val="NormalWeb"/>
        <w:numPr>
          <w:ilvl w:val="0"/>
          <w:numId w:val="21"/>
        </w:numPr>
        <w:suppressAutoHyphens/>
        <w:spacing w:after="120" w:line="276" w:lineRule="auto"/>
        <w:ind w:left="1418" w:hanging="567"/>
        <w:rPr>
          <w:rFonts w:ascii="Tahoma" w:hAnsi="Tahoma" w:cs="Tahoma"/>
        </w:rPr>
      </w:pPr>
      <w:r w:rsidRPr="00423A03">
        <w:rPr>
          <w:rFonts w:ascii="Tahoma" w:hAnsi="Tahoma" w:cs="Tahoma"/>
        </w:rPr>
        <w:t>Cunoștințe și abilități ale personalului din cadrul ANAF - Direcția Generală Antifraudă Fiscală, îmbunătățite, prin derularea unor sesiuni de instruire organizate în domeniul tranzacțiilor intracomunitare.</w:t>
      </w:r>
    </w:p>
    <w:p w:rsidR="00423A03" w:rsidRPr="00423A03" w:rsidRDefault="00423A03" w:rsidP="00423A03">
      <w:pPr>
        <w:pStyle w:val="NormalWeb"/>
        <w:spacing w:after="120" w:line="276" w:lineRule="auto"/>
        <w:ind w:firstLine="0"/>
        <w:rPr>
          <w:rFonts w:ascii="Tahoma" w:hAnsi="Tahoma" w:cs="Tahoma"/>
          <w:iCs/>
        </w:rPr>
      </w:pPr>
      <w:r w:rsidRPr="00423A03">
        <w:rPr>
          <w:rFonts w:ascii="Tahoma" w:hAnsi="Tahoma" w:cs="Tahoma"/>
          <w:iCs/>
        </w:rPr>
        <w:t>Implementarea proiectelor de digitalizare</w:t>
      </w:r>
      <w:r w:rsidRPr="00423A03">
        <w:rPr>
          <w:rFonts w:ascii="Tahoma" w:hAnsi="Tahoma" w:cs="Tahoma"/>
        </w:rPr>
        <w:t xml:space="preserve"> precum SAF-T </w:t>
      </w:r>
      <w:r w:rsidRPr="00423A03">
        <w:rPr>
          <w:rFonts w:ascii="Tahoma" w:eastAsia="Arial" w:hAnsi="Tahoma" w:cs="Tahoma"/>
          <w:iCs/>
        </w:rPr>
        <w:t>(Fișierului Standard de Control Fiscal)</w:t>
      </w:r>
      <w:r w:rsidRPr="00423A03">
        <w:rPr>
          <w:rFonts w:ascii="Tahoma" w:hAnsi="Tahoma" w:cs="Tahoma"/>
        </w:rPr>
        <w:t xml:space="preserve">, RO-e Transport, factura electronică și interconectarea aparatelor de marcat </w:t>
      </w:r>
      <w:r w:rsidRPr="00423A03">
        <w:rPr>
          <w:rFonts w:ascii="Tahoma" w:hAnsi="Tahoma" w:cs="Tahoma"/>
          <w:iCs/>
        </w:rPr>
        <w:t xml:space="preserve">vor aduce beneficii progresive prin diminuarea poverii administrative, reducerea decalajului fiscal, în special în zona de TVA, vor contribui la combaterea evaziunii fiscale și vor conduce, implicit, la o </w:t>
      </w:r>
      <w:r w:rsidRPr="00423A03">
        <w:rPr>
          <w:rFonts w:ascii="Tahoma" w:hAnsi="Tahoma" w:cs="Tahoma"/>
          <w:b/>
          <w:bCs/>
          <w:iCs/>
        </w:rPr>
        <w:t>mai bună colectare</w:t>
      </w:r>
      <w:r w:rsidRPr="00423A03">
        <w:rPr>
          <w:rFonts w:ascii="Tahoma" w:hAnsi="Tahoma" w:cs="Tahoma"/>
          <w:iCs/>
        </w:rPr>
        <w:t>.</w:t>
      </w:r>
    </w:p>
    <w:p w:rsidR="00423A03" w:rsidRPr="00423A03" w:rsidRDefault="00423A03" w:rsidP="00423A03">
      <w:pPr>
        <w:pStyle w:val="NormalWeb"/>
        <w:spacing w:after="120" w:line="276" w:lineRule="auto"/>
        <w:ind w:firstLine="0"/>
        <w:rPr>
          <w:rFonts w:ascii="Tahoma" w:hAnsi="Tahoma" w:cs="Tahoma"/>
        </w:rPr>
      </w:pPr>
      <w:r w:rsidRPr="00423A03">
        <w:rPr>
          <w:rFonts w:ascii="Tahoma" w:hAnsi="Tahoma" w:cs="Tahoma"/>
        </w:rPr>
        <w:t>Totodată, în vederea implementării obiectivelor strategice, ANAF va finaliza în perioada 2023-2025 o serie de proiecte care se aflau în derulare în anul 2022, ale căror rezultate vor avea impact în toate domeniile de activitate ale instituției, precum: </w:t>
      </w:r>
    </w:p>
    <w:p w:rsidR="00423A03" w:rsidRPr="00423A03" w:rsidRDefault="00423A03" w:rsidP="00A50268">
      <w:pPr>
        <w:pStyle w:val="NormalWeb"/>
        <w:numPr>
          <w:ilvl w:val="0"/>
          <w:numId w:val="22"/>
        </w:numPr>
        <w:tabs>
          <w:tab w:val="left" w:pos="420"/>
        </w:tabs>
        <w:suppressAutoHyphens/>
        <w:spacing w:after="120" w:line="276" w:lineRule="auto"/>
        <w:ind w:left="1418" w:hanging="567"/>
        <w:rPr>
          <w:rFonts w:ascii="Tahoma" w:hAnsi="Tahoma" w:cs="Tahoma"/>
        </w:rPr>
      </w:pPr>
      <w:r w:rsidRPr="00423A03">
        <w:rPr>
          <w:rFonts w:ascii="Tahoma" w:hAnsi="Tahoma" w:cs="Tahoma"/>
        </w:rPr>
        <w:t xml:space="preserve">actualizarea sistemelor informatice de administrare fiscală a contribuabililor și asigurarea </w:t>
      </w:r>
      <w:proofErr w:type="spellStart"/>
      <w:r w:rsidRPr="00423A03">
        <w:rPr>
          <w:rFonts w:ascii="Tahoma" w:hAnsi="Tahoma" w:cs="Tahoma"/>
        </w:rPr>
        <w:t>interoperabilităţii</w:t>
      </w:r>
      <w:proofErr w:type="spellEnd"/>
      <w:r w:rsidRPr="00423A03">
        <w:rPr>
          <w:rFonts w:ascii="Tahoma" w:hAnsi="Tahoma" w:cs="Tahoma"/>
        </w:rPr>
        <w:t xml:space="preserve"> acestora cu sistemele </w:t>
      </w:r>
      <w:r w:rsidRPr="00423A03">
        <w:rPr>
          <w:rFonts w:ascii="Tahoma" w:hAnsi="Tahoma" w:cs="Tahoma"/>
        </w:rPr>
        <w:lastRenderedPageBreak/>
        <w:t xml:space="preserve">informatice ale </w:t>
      </w:r>
      <w:proofErr w:type="spellStart"/>
      <w:r w:rsidRPr="00423A03">
        <w:rPr>
          <w:rFonts w:ascii="Tahoma" w:hAnsi="Tahoma" w:cs="Tahoma"/>
        </w:rPr>
        <w:t>instituţiilor</w:t>
      </w:r>
      <w:proofErr w:type="spellEnd"/>
      <w:r w:rsidRPr="00423A03">
        <w:rPr>
          <w:rFonts w:ascii="Tahoma" w:hAnsi="Tahoma" w:cs="Tahoma"/>
        </w:rPr>
        <w:t xml:space="preserve"> statului care </w:t>
      </w:r>
      <w:proofErr w:type="spellStart"/>
      <w:r w:rsidRPr="00423A03">
        <w:rPr>
          <w:rFonts w:ascii="Tahoma" w:hAnsi="Tahoma" w:cs="Tahoma"/>
        </w:rPr>
        <w:t>deţin</w:t>
      </w:r>
      <w:proofErr w:type="spellEnd"/>
      <w:r w:rsidRPr="00423A03">
        <w:rPr>
          <w:rFonts w:ascii="Tahoma" w:hAnsi="Tahoma" w:cs="Tahoma"/>
        </w:rPr>
        <w:t xml:space="preserve"> și pot furniza informații utile în activitatea de colectare a impozitelor/ taxelor; </w:t>
      </w:r>
    </w:p>
    <w:p w:rsidR="00423A03" w:rsidRPr="00423A03" w:rsidRDefault="00423A03" w:rsidP="00A50268">
      <w:pPr>
        <w:pStyle w:val="NormalWeb"/>
        <w:numPr>
          <w:ilvl w:val="0"/>
          <w:numId w:val="22"/>
        </w:numPr>
        <w:tabs>
          <w:tab w:val="left" w:pos="420"/>
        </w:tabs>
        <w:suppressAutoHyphens/>
        <w:spacing w:after="120" w:line="276" w:lineRule="auto"/>
        <w:ind w:left="1418" w:hanging="567"/>
        <w:rPr>
          <w:rFonts w:ascii="Tahoma" w:hAnsi="Tahoma" w:cs="Tahoma"/>
        </w:rPr>
      </w:pPr>
      <w:r w:rsidRPr="00423A03">
        <w:rPr>
          <w:rFonts w:ascii="Tahoma" w:hAnsi="Tahoma" w:cs="Tahoma"/>
        </w:rPr>
        <w:t xml:space="preserve">implementarea unei platforme de Big Data ce va permite gestionarea unui volum masiv de date (structurate și nestructurate), analiza și modelare predictivă, implementarea unui instrument informatic integrat care să asigure realizarea, în </w:t>
      </w:r>
      <w:r w:rsidR="001273A7">
        <w:rPr>
          <w:rFonts w:ascii="Tahoma" w:hAnsi="Tahoma" w:cs="Tahoma"/>
        </w:rPr>
        <w:t xml:space="preserve">mod automat, a analizei de risc </w:t>
      </w:r>
      <w:r w:rsidRPr="00423A03">
        <w:rPr>
          <w:rFonts w:ascii="Tahoma" w:hAnsi="Tahoma" w:cs="Tahoma"/>
        </w:rPr>
        <w:t>fiscal a contribuabililor.</w:t>
      </w:r>
    </w:p>
    <w:p w:rsidR="00423A03" w:rsidRPr="00423A03" w:rsidRDefault="00423A03" w:rsidP="00423A03">
      <w:pPr>
        <w:pStyle w:val="NormalWeb"/>
        <w:spacing w:after="120" w:line="276" w:lineRule="auto"/>
        <w:ind w:firstLine="0"/>
        <w:rPr>
          <w:rFonts w:ascii="Tahoma" w:hAnsi="Tahoma" w:cs="Tahoma"/>
        </w:rPr>
      </w:pPr>
      <w:r w:rsidRPr="00423A03">
        <w:rPr>
          <w:rFonts w:ascii="Tahoma" w:hAnsi="Tahoma" w:cs="Tahoma"/>
        </w:rPr>
        <w:t xml:space="preserve">Introducerea digitalizării este considerată o abordare inteligentă pentru domeniile </w:t>
      </w:r>
      <w:proofErr w:type="spellStart"/>
      <w:r w:rsidRPr="00423A03">
        <w:rPr>
          <w:rFonts w:ascii="Tahoma" w:hAnsi="Tahoma" w:cs="Tahoma"/>
        </w:rPr>
        <w:t>operaţionale</w:t>
      </w:r>
      <w:proofErr w:type="spellEnd"/>
      <w:r w:rsidRPr="00423A03">
        <w:rPr>
          <w:rFonts w:ascii="Tahoma" w:hAnsi="Tahoma" w:cs="Tahoma"/>
        </w:rPr>
        <w:t xml:space="preserve"> ale administrației fiscale. Aceasta va fi însoțită de o consolidare a </w:t>
      </w:r>
      <w:proofErr w:type="spellStart"/>
      <w:r w:rsidRPr="00423A03">
        <w:rPr>
          <w:rFonts w:ascii="Tahoma" w:hAnsi="Tahoma" w:cs="Tahoma"/>
        </w:rPr>
        <w:t>capacităţii</w:t>
      </w:r>
      <w:proofErr w:type="spellEnd"/>
      <w:r w:rsidRPr="00423A03">
        <w:rPr>
          <w:rFonts w:ascii="Tahoma" w:hAnsi="Tahoma" w:cs="Tahoma"/>
        </w:rPr>
        <w:t xml:space="preserve"> administrative necesare procesului de transformare digitală. Se va asigura cadrul tehnologic necesar tranziției către o administrație fiscală digitală prin trecerea infrastructurii TIC către</w:t>
      </w:r>
      <w:r w:rsidR="001273A7">
        <w:rPr>
          <w:rFonts w:ascii="Tahoma" w:hAnsi="Tahoma" w:cs="Tahoma"/>
        </w:rPr>
        <w:t xml:space="preserve"> </w:t>
      </w:r>
      <w:r w:rsidRPr="00423A03">
        <w:rPr>
          <w:rFonts w:ascii="Tahoma" w:hAnsi="Tahoma" w:cs="Tahoma"/>
        </w:rPr>
        <w:t xml:space="preserve">noi tehnologii. Se va asigura creșterea numărului de echipamente IT utilizate în </w:t>
      </w:r>
      <w:proofErr w:type="spellStart"/>
      <w:r w:rsidRPr="00423A03">
        <w:rPr>
          <w:rFonts w:ascii="Tahoma" w:hAnsi="Tahoma" w:cs="Tahoma"/>
        </w:rPr>
        <w:t>administraţie</w:t>
      </w:r>
      <w:proofErr w:type="spellEnd"/>
      <w:r w:rsidRPr="00423A03">
        <w:rPr>
          <w:rFonts w:ascii="Tahoma" w:hAnsi="Tahoma" w:cs="Tahoma"/>
        </w:rPr>
        <w:t>, dezvoltarea infrastructurii suport necesare pentru a sprijini dezvoltarea tehnologică continuă la nivelul centrelor de date ale Ministerului Finanțelor.</w:t>
      </w:r>
    </w:p>
    <w:p w:rsidR="009D0987" w:rsidRPr="007403CD" w:rsidRDefault="00FF292C" w:rsidP="002A6579">
      <w:pPr>
        <w:pStyle w:val="ListParagraph"/>
        <w:pageBreakBefore/>
        <w:numPr>
          <w:ilvl w:val="0"/>
          <w:numId w:val="1"/>
        </w:numPr>
        <w:spacing w:after="240" w:line="276" w:lineRule="auto"/>
        <w:ind w:left="562" w:firstLine="0"/>
        <w:contextualSpacing w:val="0"/>
        <w:outlineLvl w:val="0"/>
        <w:rPr>
          <w:rFonts w:ascii="Tahoma" w:hAnsi="Tahoma" w:cs="Tahoma"/>
          <w:b/>
          <w:sz w:val="24"/>
          <w:szCs w:val="24"/>
        </w:rPr>
      </w:pPr>
      <w:r w:rsidRPr="007403CD">
        <w:rPr>
          <w:rFonts w:ascii="Tahoma" w:hAnsi="Tahoma" w:cs="Tahoma"/>
          <w:b/>
          <w:sz w:val="24"/>
          <w:szCs w:val="24"/>
        </w:rPr>
        <w:lastRenderedPageBreak/>
        <w:t xml:space="preserve"> </w:t>
      </w:r>
      <w:bookmarkStart w:id="21" w:name="_Toc140151608"/>
      <w:r w:rsidR="00E3087D" w:rsidRPr="007403CD">
        <w:rPr>
          <w:rFonts w:ascii="Tahoma" w:hAnsi="Tahoma" w:cs="Tahoma"/>
          <w:b/>
          <w:sz w:val="24"/>
          <w:szCs w:val="24"/>
        </w:rPr>
        <w:t xml:space="preserve">Execuția bugetară pe </w:t>
      </w:r>
      <w:r w:rsidR="00BD4E32" w:rsidRPr="007403CD">
        <w:rPr>
          <w:rFonts w:ascii="Tahoma" w:hAnsi="Tahoma" w:cs="Tahoma"/>
          <w:b/>
          <w:sz w:val="24"/>
          <w:szCs w:val="24"/>
        </w:rPr>
        <w:t xml:space="preserve">primul semestru al </w:t>
      </w:r>
      <w:r w:rsidR="00E3087D" w:rsidRPr="007403CD">
        <w:rPr>
          <w:rFonts w:ascii="Tahoma" w:hAnsi="Tahoma" w:cs="Tahoma"/>
          <w:b/>
          <w:sz w:val="24"/>
          <w:szCs w:val="24"/>
        </w:rPr>
        <w:t>anului</w:t>
      </w:r>
      <w:bookmarkEnd w:id="13"/>
      <w:bookmarkEnd w:id="14"/>
      <w:bookmarkEnd w:id="15"/>
      <w:bookmarkEnd w:id="16"/>
      <w:bookmarkEnd w:id="17"/>
      <w:bookmarkEnd w:id="18"/>
      <w:bookmarkEnd w:id="19"/>
      <w:bookmarkEnd w:id="20"/>
      <w:r w:rsidR="00B009FE" w:rsidRPr="007403CD">
        <w:rPr>
          <w:rFonts w:ascii="Tahoma" w:hAnsi="Tahoma" w:cs="Tahoma"/>
          <w:b/>
          <w:sz w:val="24"/>
          <w:szCs w:val="24"/>
        </w:rPr>
        <w:t xml:space="preserve"> </w:t>
      </w:r>
      <w:r w:rsidR="00DD17E0" w:rsidRPr="007403CD">
        <w:rPr>
          <w:rFonts w:ascii="Tahoma" w:hAnsi="Tahoma" w:cs="Tahoma"/>
          <w:b/>
          <w:sz w:val="24"/>
          <w:szCs w:val="24"/>
        </w:rPr>
        <w:t>20</w:t>
      </w:r>
      <w:r w:rsidR="00E10878" w:rsidRPr="007403CD">
        <w:rPr>
          <w:rFonts w:ascii="Tahoma" w:hAnsi="Tahoma" w:cs="Tahoma"/>
          <w:b/>
          <w:sz w:val="24"/>
          <w:szCs w:val="24"/>
        </w:rPr>
        <w:t>2</w:t>
      </w:r>
      <w:r w:rsidR="00CC1A7B">
        <w:rPr>
          <w:rFonts w:ascii="Tahoma" w:hAnsi="Tahoma" w:cs="Tahoma"/>
          <w:b/>
          <w:sz w:val="24"/>
          <w:szCs w:val="24"/>
        </w:rPr>
        <w:t>3</w:t>
      </w:r>
      <w:bookmarkEnd w:id="21"/>
    </w:p>
    <w:p w:rsidR="002F1D42" w:rsidRDefault="004D6D76" w:rsidP="00044376">
      <w:pPr>
        <w:shd w:val="clear" w:color="auto" w:fill="D5DCE4" w:themeFill="text2" w:themeFillTint="33"/>
        <w:spacing w:line="276" w:lineRule="auto"/>
        <w:ind w:firstLine="0"/>
        <w:rPr>
          <w:rFonts w:ascii="Tahoma" w:hAnsi="Tahoma" w:cs="Tahoma"/>
          <w:sz w:val="24"/>
          <w:szCs w:val="24"/>
        </w:rPr>
      </w:pPr>
      <w:r w:rsidRPr="007403CD">
        <w:rPr>
          <w:rFonts w:ascii="Tahoma" w:hAnsi="Tahoma" w:cs="Tahoma"/>
          <w:sz w:val="24"/>
          <w:szCs w:val="24"/>
        </w:rPr>
        <w:t>Conform datelor operative, execuția bugetului general consolidat pe primul semestru al anului 20</w:t>
      </w:r>
      <w:r w:rsidR="00E10878" w:rsidRPr="007403CD">
        <w:rPr>
          <w:rFonts w:ascii="Tahoma" w:hAnsi="Tahoma" w:cs="Tahoma"/>
          <w:sz w:val="24"/>
          <w:szCs w:val="24"/>
        </w:rPr>
        <w:t>2</w:t>
      </w:r>
      <w:r w:rsidR="00CE40CA">
        <w:rPr>
          <w:rFonts w:ascii="Tahoma" w:hAnsi="Tahoma" w:cs="Tahoma"/>
          <w:sz w:val="24"/>
          <w:szCs w:val="24"/>
        </w:rPr>
        <w:t>3</w:t>
      </w:r>
      <w:r w:rsidRPr="007403CD">
        <w:rPr>
          <w:rFonts w:ascii="Tahoma" w:hAnsi="Tahoma" w:cs="Tahoma"/>
          <w:sz w:val="24"/>
          <w:szCs w:val="24"/>
        </w:rPr>
        <w:t xml:space="preserve"> (Anexa nr. 1 </w:t>
      </w:r>
      <w:r w:rsidR="00C27F72" w:rsidRPr="007403CD">
        <w:rPr>
          <w:rFonts w:ascii="Tahoma" w:hAnsi="Tahoma" w:cs="Tahoma"/>
          <w:sz w:val="24"/>
          <w:szCs w:val="24"/>
        </w:rPr>
        <w:t>și</w:t>
      </w:r>
      <w:r w:rsidRPr="007403CD">
        <w:rPr>
          <w:rFonts w:ascii="Tahoma" w:hAnsi="Tahoma" w:cs="Tahoma"/>
          <w:sz w:val="24"/>
          <w:szCs w:val="24"/>
        </w:rPr>
        <w:t xml:space="preserve"> Anexa nr. 2) s-a încheiat cu un </w:t>
      </w:r>
      <w:r w:rsidRPr="007403CD">
        <w:rPr>
          <w:rFonts w:ascii="Tahoma" w:hAnsi="Tahoma" w:cs="Tahoma"/>
          <w:b/>
          <w:sz w:val="24"/>
          <w:szCs w:val="24"/>
        </w:rPr>
        <w:t xml:space="preserve">deficit de </w:t>
      </w:r>
      <w:r w:rsidR="00F46375">
        <w:rPr>
          <w:rFonts w:ascii="Tahoma" w:hAnsi="Tahoma" w:cs="Tahoma"/>
          <w:b/>
          <w:sz w:val="24"/>
          <w:szCs w:val="24"/>
        </w:rPr>
        <w:t>37</w:t>
      </w:r>
      <w:r w:rsidR="00967266" w:rsidRPr="007403CD">
        <w:rPr>
          <w:rFonts w:ascii="Tahoma" w:hAnsi="Tahoma" w:cs="Tahoma"/>
          <w:b/>
          <w:sz w:val="24"/>
          <w:szCs w:val="24"/>
        </w:rPr>
        <w:t>,</w:t>
      </w:r>
      <w:r w:rsidR="00F46375">
        <w:rPr>
          <w:rFonts w:ascii="Tahoma" w:hAnsi="Tahoma" w:cs="Tahoma"/>
          <w:b/>
          <w:sz w:val="24"/>
          <w:szCs w:val="24"/>
        </w:rPr>
        <w:t>2</w:t>
      </w:r>
      <w:r w:rsidR="00967266" w:rsidRPr="007403CD">
        <w:rPr>
          <w:rFonts w:ascii="Tahoma" w:hAnsi="Tahoma" w:cs="Tahoma"/>
          <w:b/>
          <w:sz w:val="24"/>
          <w:szCs w:val="24"/>
        </w:rPr>
        <w:t>1</w:t>
      </w:r>
      <w:r w:rsidRPr="007403CD">
        <w:rPr>
          <w:rFonts w:ascii="Tahoma" w:hAnsi="Tahoma" w:cs="Tahoma"/>
          <w:b/>
          <w:sz w:val="24"/>
          <w:szCs w:val="24"/>
        </w:rPr>
        <w:t xml:space="preserve"> </w:t>
      </w:r>
      <w:r w:rsidRPr="00284A41">
        <w:rPr>
          <w:rFonts w:ascii="Tahoma" w:hAnsi="Tahoma" w:cs="Tahoma"/>
          <w:sz w:val="24"/>
          <w:szCs w:val="24"/>
        </w:rPr>
        <w:t>mili</w:t>
      </w:r>
      <w:r w:rsidR="00967266" w:rsidRPr="00284A41">
        <w:rPr>
          <w:rFonts w:ascii="Tahoma" w:hAnsi="Tahoma" w:cs="Tahoma"/>
          <w:sz w:val="24"/>
          <w:szCs w:val="24"/>
        </w:rPr>
        <w:t>arde</w:t>
      </w:r>
      <w:r w:rsidRPr="00284A41">
        <w:rPr>
          <w:rFonts w:ascii="Tahoma" w:hAnsi="Tahoma" w:cs="Tahoma"/>
          <w:sz w:val="24"/>
          <w:szCs w:val="24"/>
        </w:rPr>
        <w:t xml:space="preserve"> </w:t>
      </w:r>
      <w:r w:rsidR="003A634F" w:rsidRPr="00284A41">
        <w:rPr>
          <w:rFonts w:ascii="Tahoma" w:hAnsi="Tahoma" w:cs="Tahoma"/>
          <w:sz w:val="24"/>
          <w:szCs w:val="24"/>
        </w:rPr>
        <w:t>lei</w:t>
      </w:r>
      <w:r w:rsidRPr="00284A41">
        <w:rPr>
          <w:rFonts w:ascii="Tahoma" w:hAnsi="Tahoma" w:cs="Tahoma"/>
          <w:sz w:val="24"/>
          <w:szCs w:val="24"/>
        </w:rPr>
        <w:t xml:space="preserve"> (</w:t>
      </w:r>
      <w:r w:rsidR="00F46375">
        <w:rPr>
          <w:rFonts w:ascii="Tahoma" w:hAnsi="Tahoma" w:cs="Tahoma"/>
          <w:sz w:val="24"/>
          <w:szCs w:val="24"/>
        </w:rPr>
        <w:t>2,34</w:t>
      </w:r>
      <w:r w:rsidRPr="00284A41">
        <w:rPr>
          <w:rFonts w:ascii="Tahoma" w:hAnsi="Tahoma" w:cs="Tahoma"/>
          <w:sz w:val="24"/>
          <w:szCs w:val="24"/>
        </w:rPr>
        <w:t>% din PIB)</w:t>
      </w:r>
      <w:r w:rsidR="00FF292C" w:rsidRPr="00284A41">
        <w:rPr>
          <w:rFonts w:ascii="Tahoma" w:hAnsi="Tahoma" w:cs="Tahoma"/>
          <w:sz w:val="24"/>
          <w:szCs w:val="24"/>
        </w:rPr>
        <w:t xml:space="preserve"> </w:t>
      </w:r>
      <w:r w:rsidR="002E0C30" w:rsidRPr="007403CD">
        <w:rPr>
          <w:rFonts w:ascii="Tahoma" w:hAnsi="Tahoma" w:cs="Tahoma"/>
          <w:sz w:val="24"/>
          <w:szCs w:val="24"/>
        </w:rPr>
        <w:t>sub ținta stabilit</w:t>
      </w:r>
      <w:r w:rsidR="00395E39" w:rsidRPr="007403CD">
        <w:rPr>
          <w:rFonts w:ascii="Tahoma" w:hAnsi="Tahoma" w:cs="Tahoma"/>
          <w:sz w:val="24"/>
          <w:szCs w:val="24"/>
        </w:rPr>
        <w:t>ă</w:t>
      </w:r>
      <w:r w:rsidR="002E0C30" w:rsidRPr="007403CD">
        <w:rPr>
          <w:rFonts w:ascii="Tahoma" w:hAnsi="Tahoma" w:cs="Tahoma"/>
          <w:sz w:val="24"/>
          <w:szCs w:val="24"/>
        </w:rPr>
        <w:t xml:space="preserve"> pe semestrul I</w:t>
      </w:r>
      <w:r w:rsidR="002F1D42" w:rsidRPr="007403CD">
        <w:rPr>
          <w:rFonts w:ascii="Tahoma" w:hAnsi="Tahoma" w:cs="Tahoma"/>
          <w:sz w:val="24"/>
          <w:szCs w:val="24"/>
        </w:rPr>
        <w:t>.</w:t>
      </w:r>
    </w:p>
    <w:p w:rsidR="00284A41" w:rsidRPr="00284A41" w:rsidRDefault="00284A41" w:rsidP="00044376">
      <w:pPr>
        <w:shd w:val="clear" w:color="auto" w:fill="D5DCE4" w:themeFill="text2" w:themeFillTint="33"/>
        <w:spacing w:line="276" w:lineRule="auto"/>
        <w:ind w:firstLine="0"/>
        <w:rPr>
          <w:rFonts w:ascii="Tahoma" w:hAnsi="Tahoma" w:cs="Tahoma"/>
          <w:sz w:val="24"/>
          <w:szCs w:val="24"/>
        </w:rPr>
      </w:pPr>
      <w:r w:rsidRPr="007403CD">
        <w:rPr>
          <w:rFonts w:ascii="Tahoma" w:hAnsi="Tahoma" w:cs="Tahoma"/>
          <w:sz w:val="24"/>
          <w:szCs w:val="24"/>
        </w:rPr>
        <w:t xml:space="preserve">La sfârșitul primului semestru a.c. se înregistrează un </w:t>
      </w:r>
      <w:r w:rsidRPr="00284A41">
        <w:rPr>
          <w:rFonts w:ascii="Tahoma" w:hAnsi="Tahoma" w:cs="Tahoma"/>
          <w:sz w:val="24"/>
          <w:szCs w:val="24"/>
        </w:rPr>
        <w:t xml:space="preserve">deficit primar (soldul bugetar exclusiv cheltuielile cu dobânzile) </w:t>
      </w:r>
      <w:r w:rsidRPr="007403CD">
        <w:rPr>
          <w:rFonts w:ascii="Tahoma" w:hAnsi="Tahoma" w:cs="Tahoma"/>
          <w:sz w:val="24"/>
          <w:szCs w:val="24"/>
        </w:rPr>
        <w:t xml:space="preserve">în valoare de </w:t>
      </w:r>
      <w:r w:rsidR="00F46375">
        <w:rPr>
          <w:rFonts w:ascii="Tahoma" w:hAnsi="Tahoma" w:cs="Tahoma"/>
          <w:sz w:val="24"/>
          <w:szCs w:val="24"/>
        </w:rPr>
        <w:t>21,27</w:t>
      </w:r>
      <w:r w:rsidRPr="00284A41">
        <w:rPr>
          <w:rFonts w:ascii="Tahoma" w:hAnsi="Tahoma" w:cs="Tahoma"/>
          <w:sz w:val="24"/>
          <w:szCs w:val="24"/>
        </w:rPr>
        <w:t xml:space="preserve"> miliarde lei (</w:t>
      </w:r>
      <w:r w:rsidR="00F46375">
        <w:rPr>
          <w:rFonts w:ascii="Tahoma" w:hAnsi="Tahoma" w:cs="Tahoma"/>
          <w:sz w:val="24"/>
          <w:szCs w:val="24"/>
        </w:rPr>
        <w:t>1,3</w:t>
      </w:r>
      <w:r w:rsidRPr="00284A41">
        <w:rPr>
          <w:rFonts w:ascii="Tahoma" w:hAnsi="Tahoma" w:cs="Tahoma"/>
          <w:sz w:val="24"/>
          <w:szCs w:val="24"/>
        </w:rPr>
        <w:t>% din PIB).</w:t>
      </w:r>
    </w:p>
    <w:p w:rsidR="00487959" w:rsidRPr="007403CD" w:rsidRDefault="00487959" w:rsidP="00044376">
      <w:pPr>
        <w:shd w:val="clear" w:color="auto" w:fill="D5DCE4" w:themeFill="text2" w:themeFillTint="33"/>
        <w:spacing w:line="276" w:lineRule="auto"/>
        <w:ind w:firstLine="0"/>
        <w:rPr>
          <w:rFonts w:ascii="Tahoma" w:hAnsi="Tahoma" w:cs="Tahoma"/>
          <w:sz w:val="24"/>
          <w:szCs w:val="24"/>
        </w:rPr>
      </w:pPr>
      <w:r w:rsidRPr="007403CD">
        <w:rPr>
          <w:rFonts w:ascii="Tahoma" w:hAnsi="Tahoma" w:cs="Tahoma"/>
          <w:sz w:val="24"/>
          <w:szCs w:val="24"/>
        </w:rPr>
        <w:t>Comparativ cu semestrul I 202</w:t>
      </w:r>
      <w:r w:rsidR="00F46375">
        <w:rPr>
          <w:rFonts w:ascii="Tahoma" w:hAnsi="Tahoma" w:cs="Tahoma"/>
          <w:sz w:val="24"/>
          <w:szCs w:val="24"/>
        </w:rPr>
        <w:t>2</w:t>
      </w:r>
      <w:r w:rsidRPr="007403CD">
        <w:rPr>
          <w:rFonts w:ascii="Tahoma" w:hAnsi="Tahoma" w:cs="Tahoma"/>
          <w:sz w:val="24"/>
          <w:szCs w:val="24"/>
        </w:rPr>
        <w:t xml:space="preserve"> deficitul bugetar s-a </w:t>
      </w:r>
      <w:r w:rsidR="00F46375">
        <w:rPr>
          <w:rFonts w:ascii="Tahoma" w:hAnsi="Tahoma" w:cs="Tahoma"/>
          <w:sz w:val="24"/>
          <w:szCs w:val="24"/>
        </w:rPr>
        <w:t>accentuat</w:t>
      </w:r>
      <w:r w:rsidRPr="007403CD">
        <w:rPr>
          <w:rFonts w:ascii="Tahoma" w:hAnsi="Tahoma" w:cs="Tahoma"/>
          <w:sz w:val="24"/>
          <w:szCs w:val="24"/>
        </w:rPr>
        <w:t xml:space="preserve"> cu </w:t>
      </w:r>
      <w:r w:rsidR="00F46375">
        <w:rPr>
          <w:rFonts w:ascii="Tahoma" w:hAnsi="Tahoma" w:cs="Tahoma"/>
          <w:sz w:val="24"/>
          <w:szCs w:val="24"/>
        </w:rPr>
        <w:t>13,71</w:t>
      </w:r>
      <w:r w:rsidRPr="007403CD">
        <w:rPr>
          <w:rFonts w:ascii="Tahoma" w:hAnsi="Tahoma" w:cs="Tahoma"/>
          <w:sz w:val="24"/>
          <w:szCs w:val="24"/>
        </w:rPr>
        <w:t xml:space="preserve"> miliarde </w:t>
      </w:r>
      <w:r w:rsidR="003A634F">
        <w:rPr>
          <w:rFonts w:ascii="Tahoma" w:hAnsi="Tahoma" w:cs="Tahoma"/>
          <w:sz w:val="24"/>
          <w:szCs w:val="24"/>
        </w:rPr>
        <w:t>lei</w:t>
      </w:r>
      <w:r w:rsidRPr="007403CD">
        <w:rPr>
          <w:rFonts w:ascii="Tahoma" w:hAnsi="Tahoma" w:cs="Tahoma"/>
          <w:sz w:val="24"/>
          <w:szCs w:val="24"/>
        </w:rPr>
        <w:t xml:space="preserve"> respectiv cu </w:t>
      </w:r>
      <w:r w:rsidR="00F46375">
        <w:rPr>
          <w:rFonts w:ascii="Tahoma" w:hAnsi="Tahoma" w:cs="Tahoma"/>
          <w:sz w:val="24"/>
          <w:szCs w:val="24"/>
        </w:rPr>
        <w:t>0,67</w:t>
      </w:r>
      <w:r w:rsidRPr="007403CD">
        <w:rPr>
          <w:rFonts w:ascii="Tahoma" w:hAnsi="Tahoma" w:cs="Tahoma"/>
          <w:sz w:val="24"/>
          <w:szCs w:val="24"/>
        </w:rPr>
        <w:t xml:space="preserve"> puncte procentuale din PIB de la </w:t>
      </w:r>
      <w:r w:rsidR="00F46375">
        <w:rPr>
          <w:rFonts w:ascii="Tahoma" w:hAnsi="Tahoma" w:cs="Tahoma"/>
          <w:sz w:val="24"/>
          <w:szCs w:val="24"/>
        </w:rPr>
        <w:t>1,67</w:t>
      </w:r>
      <w:r w:rsidRPr="007403CD">
        <w:rPr>
          <w:rFonts w:ascii="Tahoma" w:hAnsi="Tahoma" w:cs="Tahoma"/>
          <w:sz w:val="24"/>
          <w:szCs w:val="24"/>
        </w:rPr>
        <w:t xml:space="preserve"> % din PIB cât a fost în semestru</w:t>
      </w:r>
      <w:r w:rsidR="00B009FE" w:rsidRPr="007403CD">
        <w:rPr>
          <w:rFonts w:ascii="Tahoma" w:hAnsi="Tahoma" w:cs="Tahoma"/>
          <w:sz w:val="24"/>
          <w:szCs w:val="24"/>
        </w:rPr>
        <w:t>l</w:t>
      </w:r>
      <w:r w:rsidRPr="007403CD">
        <w:rPr>
          <w:rFonts w:ascii="Tahoma" w:hAnsi="Tahoma" w:cs="Tahoma"/>
          <w:sz w:val="24"/>
          <w:szCs w:val="24"/>
        </w:rPr>
        <w:t xml:space="preserve"> I 202</w:t>
      </w:r>
      <w:r w:rsidR="00F46375">
        <w:rPr>
          <w:rFonts w:ascii="Tahoma" w:hAnsi="Tahoma" w:cs="Tahoma"/>
          <w:sz w:val="24"/>
          <w:szCs w:val="24"/>
        </w:rPr>
        <w:t>2</w:t>
      </w:r>
      <w:r w:rsidRPr="007403CD">
        <w:rPr>
          <w:rFonts w:ascii="Tahoma" w:hAnsi="Tahoma" w:cs="Tahoma"/>
          <w:sz w:val="24"/>
          <w:szCs w:val="24"/>
        </w:rPr>
        <w:t xml:space="preserve"> la </w:t>
      </w:r>
      <w:r w:rsidR="00F46375">
        <w:rPr>
          <w:rFonts w:ascii="Tahoma" w:hAnsi="Tahoma" w:cs="Tahoma"/>
          <w:sz w:val="24"/>
          <w:szCs w:val="24"/>
        </w:rPr>
        <w:t>2,34</w:t>
      </w:r>
      <w:r w:rsidRPr="007403CD">
        <w:rPr>
          <w:rFonts w:ascii="Tahoma" w:hAnsi="Tahoma" w:cs="Tahoma"/>
          <w:sz w:val="24"/>
          <w:szCs w:val="24"/>
        </w:rPr>
        <w:t>% din PIB în semestrul I 202</w:t>
      </w:r>
      <w:r w:rsidR="00F46375">
        <w:rPr>
          <w:rFonts w:ascii="Tahoma" w:hAnsi="Tahoma" w:cs="Tahoma"/>
          <w:sz w:val="24"/>
          <w:szCs w:val="24"/>
        </w:rPr>
        <w:t>3</w:t>
      </w:r>
      <w:r w:rsidRPr="007403CD">
        <w:rPr>
          <w:rFonts w:ascii="Tahoma" w:hAnsi="Tahoma" w:cs="Tahoma"/>
          <w:sz w:val="24"/>
          <w:szCs w:val="24"/>
        </w:rPr>
        <w:t>.</w:t>
      </w:r>
    </w:p>
    <w:p w:rsidR="004D6D76" w:rsidRPr="007403CD" w:rsidRDefault="004D6D76" w:rsidP="00044376">
      <w:pPr>
        <w:shd w:val="clear" w:color="auto" w:fill="D5DCE4" w:themeFill="text2" w:themeFillTint="33"/>
        <w:spacing w:line="276" w:lineRule="auto"/>
        <w:ind w:firstLine="0"/>
        <w:rPr>
          <w:rFonts w:ascii="Tahoma" w:hAnsi="Tahoma" w:cs="Tahoma"/>
          <w:sz w:val="24"/>
          <w:szCs w:val="24"/>
        </w:rPr>
      </w:pPr>
      <w:r w:rsidRPr="007403CD">
        <w:rPr>
          <w:rFonts w:ascii="Tahoma" w:hAnsi="Tahoma" w:cs="Tahoma"/>
          <w:b/>
          <w:sz w:val="24"/>
          <w:szCs w:val="24"/>
          <w:u w:val="single"/>
        </w:rPr>
        <w:t>Veniturile bugetului general consolidat</w:t>
      </w:r>
      <w:r w:rsidRPr="007403CD">
        <w:rPr>
          <w:rFonts w:ascii="Tahoma" w:hAnsi="Tahoma" w:cs="Tahoma"/>
          <w:sz w:val="24"/>
          <w:szCs w:val="24"/>
        </w:rPr>
        <w:t xml:space="preserve"> au fost în sumă de </w:t>
      </w:r>
      <w:r w:rsidR="00F46375">
        <w:rPr>
          <w:rFonts w:ascii="Tahoma" w:hAnsi="Tahoma" w:cs="Tahoma"/>
          <w:b/>
          <w:sz w:val="24"/>
          <w:szCs w:val="24"/>
        </w:rPr>
        <w:t>242,74</w:t>
      </w:r>
      <w:r w:rsidR="00967266" w:rsidRPr="007403CD">
        <w:rPr>
          <w:rFonts w:ascii="Tahoma" w:hAnsi="Tahoma" w:cs="Tahoma"/>
          <w:b/>
          <w:sz w:val="24"/>
          <w:szCs w:val="24"/>
        </w:rPr>
        <w:t xml:space="preserve"> miliarde</w:t>
      </w:r>
      <w:r w:rsidRPr="007403CD">
        <w:rPr>
          <w:rFonts w:ascii="Tahoma" w:hAnsi="Tahoma" w:cs="Tahoma"/>
          <w:b/>
          <w:sz w:val="24"/>
          <w:szCs w:val="24"/>
        </w:rPr>
        <w:t xml:space="preserve"> </w:t>
      </w:r>
      <w:r w:rsidR="003A634F">
        <w:rPr>
          <w:rFonts w:ascii="Tahoma" w:hAnsi="Tahoma" w:cs="Tahoma"/>
          <w:b/>
          <w:sz w:val="24"/>
          <w:szCs w:val="24"/>
        </w:rPr>
        <w:t>lei</w:t>
      </w:r>
      <w:r w:rsidR="00967266" w:rsidRPr="007403CD">
        <w:rPr>
          <w:rFonts w:ascii="Tahoma" w:hAnsi="Tahoma" w:cs="Tahoma"/>
          <w:sz w:val="24"/>
          <w:szCs w:val="24"/>
        </w:rPr>
        <w:t xml:space="preserve">, cu </w:t>
      </w:r>
      <w:r w:rsidR="00F46375">
        <w:rPr>
          <w:rFonts w:ascii="Tahoma" w:hAnsi="Tahoma" w:cs="Tahoma"/>
          <w:sz w:val="24"/>
          <w:szCs w:val="24"/>
        </w:rPr>
        <w:t>12,0</w:t>
      </w:r>
      <w:r w:rsidRPr="007403CD">
        <w:rPr>
          <w:rFonts w:ascii="Tahoma" w:hAnsi="Tahoma" w:cs="Tahoma"/>
          <w:sz w:val="24"/>
          <w:szCs w:val="24"/>
        </w:rPr>
        <w:t xml:space="preserve">% mai </w:t>
      </w:r>
      <w:r w:rsidR="00967266" w:rsidRPr="007403CD">
        <w:rPr>
          <w:rFonts w:ascii="Tahoma" w:hAnsi="Tahoma" w:cs="Tahoma"/>
          <w:sz w:val="24"/>
          <w:szCs w:val="24"/>
        </w:rPr>
        <w:t>mari</w:t>
      </w:r>
      <w:r w:rsidRPr="007403CD">
        <w:rPr>
          <w:rFonts w:ascii="Tahoma" w:hAnsi="Tahoma" w:cs="Tahoma"/>
          <w:sz w:val="24"/>
          <w:szCs w:val="24"/>
        </w:rPr>
        <w:t xml:space="preserve"> comparativ cu aceeași perioadă a anului precedent </w:t>
      </w:r>
      <w:r w:rsidR="00A40CBD" w:rsidRPr="007403CD">
        <w:rPr>
          <w:rFonts w:ascii="Tahoma" w:hAnsi="Tahoma" w:cs="Tahoma"/>
          <w:sz w:val="24"/>
          <w:szCs w:val="24"/>
        </w:rPr>
        <w:t>și</w:t>
      </w:r>
      <w:r w:rsidRPr="007403CD">
        <w:rPr>
          <w:rFonts w:ascii="Tahoma" w:hAnsi="Tahoma" w:cs="Tahoma"/>
          <w:sz w:val="24"/>
          <w:szCs w:val="24"/>
        </w:rPr>
        <w:t xml:space="preserve"> cu un grad de realizare al programului de încasări pe primul semestru de </w:t>
      </w:r>
      <w:r w:rsidR="00F46375">
        <w:rPr>
          <w:rFonts w:ascii="Tahoma" w:hAnsi="Tahoma" w:cs="Tahoma"/>
          <w:b/>
          <w:sz w:val="24"/>
          <w:szCs w:val="24"/>
        </w:rPr>
        <w:t>88,4</w:t>
      </w:r>
      <w:r w:rsidR="00461A21" w:rsidRPr="007403CD">
        <w:rPr>
          <w:rFonts w:ascii="Tahoma" w:hAnsi="Tahoma" w:cs="Tahoma"/>
          <w:b/>
          <w:sz w:val="24"/>
          <w:szCs w:val="24"/>
        </w:rPr>
        <w:t>%</w:t>
      </w:r>
      <w:r w:rsidRPr="007403CD">
        <w:rPr>
          <w:rFonts w:ascii="Tahoma" w:hAnsi="Tahoma" w:cs="Tahoma"/>
          <w:sz w:val="24"/>
          <w:szCs w:val="24"/>
        </w:rPr>
        <w:t xml:space="preserve">. </w:t>
      </w:r>
    </w:p>
    <w:p w:rsidR="004D6D76" w:rsidRPr="007403CD" w:rsidRDefault="004D6D76" w:rsidP="00DB2872">
      <w:pPr>
        <w:spacing w:after="240" w:line="276" w:lineRule="auto"/>
        <w:ind w:firstLine="0"/>
        <w:rPr>
          <w:rFonts w:ascii="Tahoma" w:hAnsi="Tahoma" w:cs="Tahoma"/>
          <w:sz w:val="24"/>
          <w:szCs w:val="24"/>
        </w:rPr>
      </w:pPr>
      <w:r w:rsidRPr="007403CD">
        <w:rPr>
          <w:rFonts w:ascii="Tahoma" w:hAnsi="Tahoma" w:cs="Tahoma"/>
          <w:sz w:val="24"/>
          <w:szCs w:val="24"/>
        </w:rPr>
        <w:t xml:space="preserve">Veniturile bugetului general consolidat, ca procent în PIB, </w:t>
      </w:r>
      <w:r w:rsidR="00F46375">
        <w:rPr>
          <w:rFonts w:ascii="Tahoma" w:hAnsi="Tahoma" w:cs="Tahoma"/>
          <w:sz w:val="24"/>
          <w:szCs w:val="24"/>
        </w:rPr>
        <w:t>s-</w:t>
      </w:r>
      <w:r w:rsidR="00967266" w:rsidRPr="007403CD">
        <w:rPr>
          <w:rFonts w:ascii="Tahoma" w:hAnsi="Tahoma" w:cs="Tahoma"/>
          <w:sz w:val="24"/>
          <w:szCs w:val="24"/>
        </w:rPr>
        <w:t xml:space="preserve">au </w:t>
      </w:r>
      <w:r w:rsidR="00F46375">
        <w:rPr>
          <w:rFonts w:ascii="Tahoma" w:hAnsi="Tahoma" w:cs="Tahoma"/>
          <w:sz w:val="24"/>
          <w:szCs w:val="24"/>
        </w:rPr>
        <w:t>diminuat</w:t>
      </w:r>
      <w:r w:rsidRPr="007403CD">
        <w:rPr>
          <w:rFonts w:ascii="Tahoma" w:hAnsi="Tahoma" w:cs="Tahoma"/>
          <w:sz w:val="24"/>
          <w:szCs w:val="24"/>
        </w:rPr>
        <w:t xml:space="preserve"> în perioada analizată cu </w:t>
      </w:r>
      <w:r w:rsidR="00BC6044" w:rsidRPr="007403CD">
        <w:rPr>
          <w:rFonts w:ascii="Tahoma" w:hAnsi="Tahoma" w:cs="Tahoma"/>
          <w:sz w:val="24"/>
          <w:szCs w:val="24"/>
        </w:rPr>
        <w:t>0,</w:t>
      </w:r>
      <w:r w:rsidR="00F46375">
        <w:rPr>
          <w:rFonts w:ascii="Tahoma" w:hAnsi="Tahoma" w:cs="Tahoma"/>
          <w:sz w:val="24"/>
          <w:szCs w:val="24"/>
        </w:rPr>
        <w:t>1</w:t>
      </w:r>
      <w:r w:rsidRPr="007403CD">
        <w:rPr>
          <w:rFonts w:ascii="Tahoma" w:hAnsi="Tahoma" w:cs="Tahoma"/>
          <w:sz w:val="24"/>
          <w:szCs w:val="24"/>
        </w:rPr>
        <w:t xml:space="preserve"> puncte procentuale comparativ cu aceeași perioadă a anului anterior de la </w:t>
      </w:r>
      <w:r w:rsidR="00F46375">
        <w:rPr>
          <w:rFonts w:ascii="Tahoma" w:hAnsi="Tahoma" w:cs="Tahoma"/>
          <w:sz w:val="24"/>
          <w:szCs w:val="24"/>
        </w:rPr>
        <w:t>15,4</w:t>
      </w:r>
      <w:r w:rsidRPr="007403CD">
        <w:rPr>
          <w:rFonts w:ascii="Tahoma" w:hAnsi="Tahoma" w:cs="Tahoma"/>
          <w:sz w:val="24"/>
          <w:szCs w:val="24"/>
        </w:rPr>
        <w:t>% în PIB în semestru</w:t>
      </w:r>
      <w:r w:rsidR="00487959" w:rsidRPr="007403CD">
        <w:rPr>
          <w:rFonts w:ascii="Tahoma" w:hAnsi="Tahoma" w:cs="Tahoma"/>
          <w:sz w:val="24"/>
          <w:szCs w:val="24"/>
        </w:rPr>
        <w:t>l</w:t>
      </w:r>
      <w:r w:rsidRPr="007403CD">
        <w:rPr>
          <w:rFonts w:ascii="Tahoma" w:hAnsi="Tahoma" w:cs="Tahoma"/>
          <w:sz w:val="24"/>
          <w:szCs w:val="24"/>
        </w:rPr>
        <w:t xml:space="preserve"> I 20</w:t>
      </w:r>
      <w:r w:rsidR="00E82DC4" w:rsidRPr="007403CD">
        <w:rPr>
          <w:rFonts w:ascii="Tahoma" w:hAnsi="Tahoma" w:cs="Tahoma"/>
          <w:sz w:val="24"/>
          <w:szCs w:val="24"/>
        </w:rPr>
        <w:t>2</w:t>
      </w:r>
      <w:r w:rsidR="00F46375">
        <w:rPr>
          <w:rFonts w:ascii="Tahoma" w:hAnsi="Tahoma" w:cs="Tahoma"/>
          <w:sz w:val="24"/>
          <w:szCs w:val="24"/>
        </w:rPr>
        <w:t>2</w:t>
      </w:r>
      <w:r w:rsidRPr="007403CD">
        <w:rPr>
          <w:rFonts w:ascii="Tahoma" w:hAnsi="Tahoma" w:cs="Tahoma"/>
          <w:sz w:val="24"/>
          <w:szCs w:val="24"/>
        </w:rPr>
        <w:t xml:space="preserve"> la </w:t>
      </w:r>
      <w:r w:rsidR="00E82DC4" w:rsidRPr="007403CD">
        <w:rPr>
          <w:rFonts w:ascii="Tahoma" w:hAnsi="Tahoma" w:cs="Tahoma"/>
          <w:sz w:val="24"/>
          <w:szCs w:val="24"/>
        </w:rPr>
        <w:t>15,</w:t>
      </w:r>
      <w:r w:rsidR="00F46375">
        <w:rPr>
          <w:rFonts w:ascii="Tahoma" w:hAnsi="Tahoma" w:cs="Tahoma"/>
          <w:sz w:val="24"/>
          <w:szCs w:val="24"/>
        </w:rPr>
        <w:t>3</w:t>
      </w:r>
      <w:r w:rsidRPr="007403CD">
        <w:rPr>
          <w:rFonts w:ascii="Tahoma" w:hAnsi="Tahoma" w:cs="Tahoma"/>
          <w:sz w:val="24"/>
          <w:szCs w:val="24"/>
        </w:rPr>
        <w:t>% din PIB în semestrul I 20</w:t>
      </w:r>
      <w:r w:rsidR="00461A21" w:rsidRPr="007403CD">
        <w:rPr>
          <w:rFonts w:ascii="Tahoma" w:hAnsi="Tahoma" w:cs="Tahoma"/>
          <w:sz w:val="24"/>
          <w:szCs w:val="24"/>
        </w:rPr>
        <w:t>2</w:t>
      </w:r>
      <w:r w:rsidR="00F46375">
        <w:rPr>
          <w:rFonts w:ascii="Tahoma" w:hAnsi="Tahoma" w:cs="Tahoma"/>
          <w:sz w:val="24"/>
          <w:szCs w:val="24"/>
        </w:rPr>
        <w:t>3</w:t>
      </w:r>
      <w:r w:rsidRPr="007403CD">
        <w:rPr>
          <w:rFonts w:ascii="Tahoma" w:hAnsi="Tahoma" w:cs="Tahoma"/>
          <w:sz w:val="24"/>
          <w:szCs w:val="24"/>
        </w:rPr>
        <w:t>.</w:t>
      </w:r>
    </w:p>
    <w:p w:rsidR="001B5B69" w:rsidRPr="007403CD" w:rsidRDefault="006A0743" w:rsidP="00B009FE">
      <w:pPr>
        <w:spacing w:after="240" w:line="276" w:lineRule="auto"/>
        <w:ind w:firstLine="0"/>
        <w:rPr>
          <w:rFonts w:ascii="Tahoma" w:hAnsi="Tahoma" w:cs="Tahoma"/>
          <w:b/>
          <w:sz w:val="24"/>
          <w:szCs w:val="24"/>
        </w:rPr>
      </w:pPr>
      <w:r>
        <w:rPr>
          <w:rFonts w:ascii="Tahoma" w:hAnsi="Tahoma" w:cs="Tahoma"/>
          <w:b/>
          <w:noProof/>
          <w:sz w:val="24"/>
          <w:szCs w:val="24"/>
          <w:lang w:val="en-US"/>
        </w:rPr>
        <w:object w:dxaOrig="13876" w:dyaOrig="6541">
          <v:shape id="_x0000_i1027" type="#_x0000_t75" style="width:456.5pt;height:271.8pt" o:ole="">
            <v:imagedata r:id="rId14" o:title=""/>
          </v:shape>
          <o:OLEObject Type="Link" ProgID="\\MFP1934\retea on 10.236.1.89\Executii\Executii 2023\Rapoarte LRF 2023\RAPORT SEMESTRIAL 2023\RAPORT SEM I 2023\CALCULE\Grafice CH 2023 Progr - EXEC  Sem I.xls" ShapeID="_x0000_i1027" DrawAspect="Content" r:id="rId15" UpdateMode="Always">
            <o:LinkType>EnhancedMetaFile</o:LinkType>
            <o:LockedField>false</o:LockedField>
          </o:OLEObject>
        </w:object>
      </w:r>
    </w:p>
    <w:p w:rsidR="004D6D76" w:rsidRPr="007403CD" w:rsidRDefault="004D6D76" w:rsidP="00DB2872">
      <w:pPr>
        <w:spacing w:line="276" w:lineRule="auto"/>
        <w:ind w:firstLine="0"/>
        <w:rPr>
          <w:rFonts w:ascii="Tahoma" w:hAnsi="Tahoma" w:cs="Tahoma"/>
          <w:sz w:val="24"/>
          <w:szCs w:val="24"/>
        </w:rPr>
      </w:pPr>
      <w:r w:rsidRPr="007403CD">
        <w:rPr>
          <w:rFonts w:ascii="Tahoma" w:hAnsi="Tahoma" w:cs="Tahoma"/>
          <w:b/>
          <w:sz w:val="24"/>
          <w:szCs w:val="24"/>
        </w:rPr>
        <w:t>Veniturile încasate din economia internă</w:t>
      </w:r>
      <w:r w:rsidRPr="007403CD">
        <w:rPr>
          <w:rFonts w:ascii="Tahoma" w:hAnsi="Tahoma" w:cs="Tahoma"/>
          <w:sz w:val="24"/>
          <w:szCs w:val="24"/>
        </w:rPr>
        <w:t xml:space="preserve"> (fără fonduri de la Uniunea Europeană pre și post-aderare) au fost în sumă de </w:t>
      </w:r>
      <w:r w:rsidR="00F46375">
        <w:rPr>
          <w:rFonts w:ascii="Tahoma" w:hAnsi="Tahoma" w:cs="Tahoma"/>
          <w:sz w:val="24"/>
          <w:szCs w:val="24"/>
        </w:rPr>
        <w:t>221,05</w:t>
      </w:r>
      <w:r w:rsidR="00FF292C" w:rsidRPr="007403CD">
        <w:rPr>
          <w:rFonts w:ascii="Tahoma" w:hAnsi="Tahoma" w:cs="Tahoma"/>
          <w:sz w:val="24"/>
          <w:szCs w:val="24"/>
        </w:rPr>
        <w:t xml:space="preserve"> </w:t>
      </w:r>
      <w:r w:rsidR="00E82DC4" w:rsidRPr="007403CD">
        <w:rPr>
          <w:rFonts w:ascii="Tahoma" w:hAnsi="Tahoma" w:cs="Tahoma"/>
          <w:sz w:val="24"/>
          <w:szCs w:val="24"/>
        </w:rPr>
        <w:t>miliarde</w:t>
      </w:r>
      <w:r w:rsidRPr="007403CD">
        <w:rPr>
          <w:rFonts w:ascii="Tahoma" w:hAnsi="Tahoma" w:cs="Tahoma"/>
          <w:sz w:val="24"/>
          <w:szCs w:val="24"/>
        </w:rPr>
        <w:t xml:space="preserve"> </w:t>
      </w:r>
      <w:r w:rsidR="003A634F">
        <w:rPr>
          <w:rFonts w:ascii="Tahoma" w:hAnsi="Tahoma" w:cs="Tahoma"/>
          <w:sz w:val="24"/>
          <w:szCs w:val="24"/>
        </w:rPr>
        <w:t>lei</w:t>
      </w:r>
      <w:r w:rsidRPr="007403CD">
        <w:rPr>
          <w:rFonts w:ascii="Tahoma" w:hAnsi="Tahoma" w:cs="Tahoma"/>
          <w:sz w:val="24"/>
          <w:szCs w:val="24"/>
        </w:rPr>
        <w:t xml:space="preserve"> (</w:t>
      </w:r>
      <w:r w:rsidR="00F46375">
        <w:rPr>
          <w:rFonts w:ascii="Tahoma" w:hAnsi="Tahoma" w:cs="Tahoma"/>
          <w:sz w:val="24"/>
          <w:szCs w:val="24"/>
        </w:rPr>
        <w:t>13,9</w:t>
      </w:r>
      <w:r w:rsidRPr="007403CD">
        <w:rPr>
          <w:rFonts w:ascii="Tahoma" w:hAnsi="Tahoma" w:cs="Tahoma"/>
          <w:sz w:val="24"/>
          <w:szCs w:val="24"/>
        </w:rPr>
        <w:t xml:space="preserve">% din PIB), cu </w:t>
      </w:r>
      <w:r w:rsidR="00F46375">
        <w:rPr>
          <w:rFonts w:ascii="Tahoma" w:hAnsi="Tahoma" w:cs="Tahoma"/>
          <w:b/>
          <w:sz w:val="24"/>
          <w:szCs w:val="24"/>
        </w:rPr>
        <w:t>9,5</w:t>
      </w:r>
      <w:r w:rsidRPr="007403CD">
        <w:rPr>
          <w:rFonts w:ascii="Tahoma" w:hAnsi="Tahoma" w:cs="Tahoma"/>
          <w:b/>
          <w:sz w:val="24"/>
          <w:szCs w:val="24"/>
        </w:rPr>
        <w:t xml:space="preserve">% mai </w:t>
      </w:r>
      <w:r w:rsidR="00E82DC4" w:rsidRPr="007403CD">
        <w:rPr>
          <w:rFonts w:ascii="Tahoma" w:hAnsi="Tahoma" w:cs="Tahoma"/>
          <w:b/>
          <w:sz w:val="24"/>
          <w:szCs w:val="24"/>
        </w:rPr>
        <w:t>mari</w:t>
      </w:r>
      <w:r w:rsidRPr="007403CD">
        <w:rPr>
          <w:rFonts w:ascii="Tahoma" w:hAnsi="Tahoma" w:cs="Tahoma"/>
          <w:sz w:val="24"/>
          <w:szCs w:val="24"/>
        </w:rPr>
        <w:t xml:space="preserve"> comparativ cu încasările semestrului I 20</w:t>
      </w:r>
      <w:r w:rsidR="00EC4B9E" w:rsidRPr="007403CD">
        <w:rPr>
          <w:rFonts w:ascii="Tahoma" w:hAnsi="Tahoma" w:cs="Tahoma"/>
          <w:sz w:val="24"/>
          <w:szCs w:val="24"/>
        </w:rPr>
        <w:t>2</w:t>
      </w:r>
      <w:r w:rsidR="00F46375">
        <w:rPr>
          <w:rFonts w:ascii="Tahoma" w:hAnsi="Tahoma" w:cs="Tahoma"/>
          <w:sz w:val="24"/>
          <w:szCs w:val="24"/>
        </w:rPr>
        <w:t>2</w:t>
      </w:r>
      <w:r w:rsidR="00FF292C" w:rsidRPr="007403CD">
        <w:rPr>
          <w:rFonts w:ascii="Tahoma" w:hAnsi="Tahoma" w:cs="Tahoma"/>
          <w:sz w:val="24"/>
          <w:szCs w:val="24"/>
        </w:rPr>
        <w:t xml:space="preserve"> </w:t>
      </w:r>
      <w:r w:rsidR="00A40CBD" w:rsidRPr="007403CD">
        <w:rPr>
          <w:rFonts w:ascii="Tahoma" w:hAnsi="Tahoma" w:cs="Tahoma"/>
          <w:sz w:val="24"/>
          <w:szCs w:val="24"/>
        </w:rPr>
        <w:t>și</w:t>
      </w:r>
      <w:r w:rsidRPr="007403CD">
        <w:rPr>
          <w:rFonts w:ascii="Tahoma" w:hAnsi="Tahoma" w:cs="Tahoma"/>
          <w:sz w:val="24"/>
          <w:szCs w:val="24"/>
        </w:rPr>
        <w:t xml:space="preserve"> un grad de realizare a programul</w:t>
      </w:r>
      <w:r w:rsidR="00C426B5" w:rsidRPr="007403CD">
        <w:rPr>
          <w:rFonts w:ascii="Tahoma" w:hAnsi="Tahoma" w:cs="Tahoma"/>
          <w:sz w:val="24"/>
          <w:szCs w:val="24"/>
        </w:rPr>
        <w:t>ui</w:t>
      </w:r>
      <w:r w:rsidRPr="007403CD">
        <w:rPr>
          <w:rFonts w:ascii="Tahoma" w:hAnsi="Tahoma" w:cs="Tahoma"/>
          <w:sz w:val="24"/>
          <w:szCs w:val="24"/>
        </w:rPr>
        <w:t xml:space="preserve"> semestrial de </w:t>
      </w:r>
      <w:r w:rsidR="00F46375">
        <w:rPr>
          <w:rFonts w:ascii="Tahoma" w:hAnsi="Tahoma" w:cs="Tahoma"/>
          <w:b/>
          <w:sz w:val="24"/>
          <w:szCs w:val="24"/>
        </w:rPr>
        <w:t>93,1</w:t>
      </w:r>
      <w:r w:rsidRPr="007403CD">
        <w:rPr>
          <w:rFonts w:ascii="Tahoma" w:hAnsi="Tahoma" w:cs="Tahoma"/>
          <w:b/>
          <w:sz w:val="24"/>
          <w:szCs w:val="24"/>
        </w:rPr>
        <w:t>%</w:t>
      </w:r>
      <w:r w:rsidRPr="007403CD">
        <w:rPr>
          <w:rFonts w:ascii="Tahoma" w:hAnsi="Tahoma" w:cs="Tahoma"/>
          <w:sz w:val="24"/>
          <w:szCs w:val="24"/>
        </w:rPr>
        <w:t>.</w:t>
      </w:r>
    </w:p>
    <w:p w:rsidR="00A15043" w:rsidRDefault="00A15043" w:rsidP="00DB2872">
      <w:pPr>
        <w:spacing w:after="240" w:line="276" w:lineRule="auto"/>
        <w:ind w:firstLine="0"/>
        <w:rPr>
          <w:rFonts w:ascii="Tahoma" w:eastAsia="Tahoma" w:hAnsi="Tahoma" w:cs="Tahoma"/>
          <w:sz w:val="24"/>
          <w:szCs w:val="24"/>
        </w:rPr>
      </w:pPr>
      <w:r w:rsidRPr="00A15043">
        <w:rPr>
          <w:rFonts w:ascii="Tahoma" w:eastAsia="Tahoma" w:hAnsi="Tahoma" w:cs="Tahoma"/>
          <w:sz w:val="24"/>
          <w:szCs w:val="24"/>
        </w:rPr>
        <w:t xml:space="preserve">Evoluția acestora a fost susținută de avansul încasărilor din impozitul pe salarii și venit, contribuțiile de </w:t>
      </w:r>
      <w:r w:rsidR="003B3E53">
        <w:rPr>
          <w:rFonts w:ascii="Tahoma" w:eastAsia="Tahoma" w:hAnsi="Tahoma" w:cs="Tahoma"/>
          <w:sz w:val="24"/>
          <w:szCs w:val="24"/>
        </w:rPr>
        <w:t xml:space="preserve">asigurări, impozitul pe profit </w:t>
      </w:r>
      <w:r w:rsidRPr="00A15043">
        <w:rPr>
          <w:rFonts w:ascii="Tahoma" w:eastAsia="Tahoma" w:hAnsi="Tahoma" w:cs="Tahoma"/>
          <w:sz w:val="24"/>
          <w:szCs w:val="24"/>
        </w:rPr>
        <w:t xml:space="preserve">și TVA. </w:t>
      </w:r>
    </w:p>
    <w:p w:rsidR="002E7CD9" w:rsidRPr="007403CD" w:rsidRDefault="004D6D76" w:rsidP="00DB2872">
      <w:pPr>
        <w:spacing w:after="240" w:line="276" w:lineRule="auto"/>
        <w:ind w:firstLine="0"/>
        <w:rPr>
          <w:rFonts w:ascii="Tahoma" w:hAnsi="Tahoma" w:cs="Tahoma"/>
          <w:sz w:val="24"/>
          <w:szCs w:val="24"/>
        </w:rPr>
      </w:pPr>
      <w:r w:rsidRPr="007403CD">
        <w:rPr>
          <w:rFonts w:ascii="Tahoma" w:hAnsi="Tahoma" w:cs="Tahoma"/>
          <w:sz w:val="24"/>
          <w:szCs w:val="24"/>
        </w:rPr>
        <w:lastRenderedPageBreak/>
        <w:t>Veniturile încasate din economia</w:t>
      </w:r>
      <w:r w:rsidR="00563406" w:rsidRPr="007403CD">
        <w:rPr>
          <w:rFonts w:ascii="Tahoma" w:hAnsi="Tahoma" w:cs="Tahoma"/>
          <w:sz w:val="24"/>
          <w:szCs w:val="24"/>
        </w:rPr>
        <w:t xml:space="preserve"> internă, ca procent în PIB, </w:t>
      </w:r>
      <w:r w:rsidR="00EC4B9E" w:rsidRPr="007403CD">
        <w:rPr>
          <w:rFonts w:ascii="Tahoma" w:hAnsi="Tahoma" w:cs="Tahoma"/>
          <w:sz w:val="24"/>
          <w:szCs w:val="24"/>
        </w:rPr>
        <w:t xml:space="preserve">au </w:t>
      </w:r>
      <w:r w:rsidR="00F46375">
        <w:rPr>
          <w:rFonts w:ascii="Tahoma" w:hAnsi="Tahoma" w:cs="Tahoma"/>
          <w:sz w:val="24"/>
          <w:szCs w:val="24"/>
        </w:rPr>
        <w:t>scăzut</w:t>
      </w:r>
      <w:r w:rsidR="00EC4B9E" w:rsidRPr="007403CD">
        <w:rPr>
          <w:rFonts w:ascii="Tahoma" w:hAnsi="Tahoma" w:cs="Tahoma"/>
          <w:sz w:val="24"/>
          <w:szCs w:val="24"/>
        </w:rPr>
        <w:t xml:space="preserve"> cu </w:t>
      </w:r>
      <w:r w:rsidR="00BC4A6F" w:rsidRPr="007403CD">
        <w:rPr>
          <w:rFonts w:ascii="Tahoma" w:hAnsi="Tahoma" w:cs="Tahoma"/>
          <w:sz w:val="24"/>
          <w:szCs w:val="24"/>
        </w:rPr>
        <w:t>0,</w:t>
      </w:r>
      <w:r w:rsidR="00F46375">
        <w:rPr>
          <w:rFonts w:ascii="Tahoma" w:hAnsi="Tahoma" w:cs="Tahoma"/>
          <w:sz w:val="24"/>
          <w:szCs w:val="24"/>
        </w:rPr>
        <w:t>4</w:t>
      </w:r>
      <w:r w:rsidR="00BC4A6F" w:rsidRPr="007403CD">
        <w:rPr>
          <w:rFonts w:ascii="Tahoma" w:hAnsi="Tahoma" w:cs="Tahoma"/>
          <w:sz w:val="24"/>
          <w:szCs w:val="24"/>
        </w:rPr>
        <w:t xml:space="preserve"> </w:t>
      </w:r>
      <w:r w:rsidRPr="007403CD">
        <w:rPr>
          <w:rFonts w:ascii="Tahoma" w:hAnsi="Tahoma" w:cs="Tahoma"/>
          <w:sz w:val="24"/>
          <w:szCs w:val="24"/>
        </w:rPr>
        <w:t xml:space="preserve">puncte procentuale de la </w:t>
      </w:r>
      <w:r w:rsidR="00F46375">
        <w:rPr>
          <w:rFonts w:ascii="Tahoma" w:hAnsi="Tahoma" w:cs="Tahoma"/>
          <w:sz w:val="24"/>
          <w:szCs w:val="24"/>
        </w:rPr>
        <w:t>14,3</w:t>
      </w:r>
      <w:r w:rsidRPr="007403CD">
        <w:rPr>
          <w:rFonts w:ascii="Tahoma" w:hAnsi="Tahoma" w:cs="Tahoma"/>
          <w:sz w:val="24"/>
          <w:szCs w:val="24"/>
        </w:rPr>
        <w:t>% din PIB, cât au reprezentat în semestrul I 20</w:t>
      </w:r>
      <w:r w:rsidR="00EC4B9E" w:rsidRPr="007403CD">
        <w:rPr>
          <w:rFonts w:ascii="Tahoma" w:hAnsi="Tahoma" w:cs="Tahoma"/>
          <w:sz w:val="24"/>
          <w:szCs w:val="24"/>
        </w:rPr>
        <w:t>2</w:t>
      </w:r>
      <w:r w:rsidR="00F46375">
        <w:rPr>
          <w:rFonts w:ascii="Tahoma" w:hAnsi="Tahoma" w:cs="Tahoma"/>
          <w:sz w:val="24"/>
          <w:szCs w:val="24"/>
        </w:rPr>
        <w:t>2</w:t>
      </w:r>
      <w:r w:rsidRPr="007403CD">
        <w:rPr>
          <w:rFonts w:ascii="Tahoma" w:hAnsi="Tahoma" w:cs="Tahoma"/>
          <w:sz w:val="24"/>
          <w:szCs w:val="24"/>
        </w:rPr>
        <w:t xml:space="preserve"> la </w:t>
      </w:r>
      <w:r w:rsidR="00F46375">
        <w:rPr>
          <w:rFonts w:ascii="Tahoma" w:hAnsi="Tahoma" w:cs="Tahoma"/>
          <w:sz w:val="24"/>
          <w:szCs w:val="24"/>
        </w:rPr>
        <w:t>13,9</w:t>
      </w:r>
      <w:r w:rsidRPr="007403CD">
        <w:rPr>
          <w:rFonts w:ascii="Tahoma" w:hAnsi="Tahoma" w:cs="Tahoma"/>
          <w:sz w:val="24"/>
          <w:szCs w:val="24"/>
        </w:rPr>
        <w:t>% din PIB în semestrul I 20</w:t>
      </w:r>
      <w:r w:rsidR="00563406" w:rsidRPr="007403CD">
        <w:rPr>
          <w:rFonts w:ascii="Tahoma" w:hAnsi="Tahoma" w:cs="Tahoma"/>
          <w:sz w:val="24"/>
          <w:szCs w:val="24"/>
        </w:rPr>
        <w:t>2</w:t>
      </w:r>
      <w:r w:rsidR="00F46375">
        <w:rPr>
          <w:rFonts w:ascii="Tahoma" w:hAnsi="Tahoma" w:cs="Tahoma"/>
          <w:sz w:val="24"/>
          <w:szCs w:val="24"/>
        </w:rPr>
        <w:t>3</w:t>
      </w:r>
      <w:r w:rsidRPr="007403CD">
        <w:rPr>
          <w:rFonts w:ascii="Tahoma" w:hAnsi="Tahoma" w:cs="Tahoma"/>
          <w:sz w:val="24"/>
          <w:szCs w:val="24"/>
        </w:rPr>
        <w:t>.</w:t>
      </w:r>
    </w:p>
    <w:p w:rsidR="002F1D42" w:rsidRPr="007403CD" w:rsidRDefault="003B3E53" w:rsidP="002A6579">
      <w:pPr>
        <w:spacing w:line="276" w:lineRule="auto"/>
        <w:ind w:firstLine="0"/>
        <w:rPr>
          <w:rFonts w:ascii="Tahoma" w:hAnsi="Tahoma" w:cs="Tahoma"/>
          <w:sz w:val="24"/>
          <w:szCs w:val="24"/>
        </w:rPr>
      </w:pPr>
      <w:r>
        <w:rPr>
          <w:rFonts w:ascii="Tahoma" w:hAnsi="Tahoma" w:cs="Tahoma"/>
          <w:noProof/>
          <w:sz w:val="24"/>
          <w:szCs w:val="24"/>
          <w:lang w:val="en-US"/>
        </w:rPr>
        <w:object w:dxaOrig="11460" w:dyaOrig="6690">
          <v:shape id="_x0000_i1028" type="#_x0000_t75" style="width:456.7pt;height:250.55pt" o:ole="">
            <v:imagedata r:id="rId16" o:title=""/>
          </v:shape>
          <o:OLEObject Type="Link" ProgID="Excel.Sheet.8" ShapeID="_x0000_i1028" DrawAspect="Content" r:id="rId17" UpdateMode="Always">
            <o:LinkType>EnhancedMetaFile</o:LinkType>
            <o:LockedField>false</o:LockedField>
          </o:OLEObject>
        </w:object>
      </w:r>
    </w:p>
    <w:p w:rsidR="004D6D76" w:rsidRPr="007403CD" w:rsidRDefault="004D6D76" w:rsidP="00B009FE">
      <w:pPr>
        <w:spacing w:before="240" w:line="276" w:lineRule="auto"/>
        <w:ind w:firstLine="0"/>
        <w:rPr>
          <w:rFonts w:ascii="Tahoma" w:hAnsi="Tahoma" w:cs="Tahoma"/>
          <w:sz w:val="24"/>
          <w:szCs w:val="24"/>
        </w:rPr>
      </w:pPr>
      <w:r w:rsidRPr="007403CD">
        <w:rPr>
          <w:rFonts w:ascii="Tahoma" w:hAnsi="Tahoma" w:cs="Tahoma"/>
          <w:b/>
          <w:bCs/>
          <w:sz w:val="24"/>
          <w:szCs w:val="24"/>
        </w:rPr>
        <w:t>Veniturile fiscale</w:t>
      </w:r>
      <w:r w:rsidRPr="007403CD">
        <w:rPr>
          <w:rFonts w:ascii="Tahoma" w:hAnsi="Tahoma" w:cs="Tahoma"/>
          <w:sz w:val="24"/>
          <w:szCs w:val="24"/>
        </w:rPr>
        <w:t xml:space="preserve"> au fost în sumă de </w:t>
      </w:r>
      <w:r w:rsidR="00F46375">
        <w:rPr>
          <w:rFonts w:ascii="Tahoma" w:hAnsi="Tahoma" w:cs="Tahoma"/>
          <w:b/>
          <w:sz w:val="24"/>
          <w:szCs w:val="24"/>
        </w:rPr>
        <w:t>121,37</w:t>
      </w:r>
      <w:r w:rsidR="00EC4B9E" w:rsidRPr="007403CD">
        <w:rPr>
          <w:rFonts w:ascii="Tahoma" w:hAnsi="Tahoma" w:cs="Tahoma"/>
          <w:b/>
          <w:sz w:val="24"/>
          <w:szCs w:val="24"/>
        </w:rPr>
        <w:t xml:space="preserve"> miliarde</w:t>
      </w:r>
      <w:r w:rsidRPr="007403CD">
        <w:rPr>
          <w:rFonts w:ascii="Tahoma" w:hAnsi="Tahoma" w:cs="Tahoma"/>
          <w:b/>
          <w:sz w:val="24"/>
          <w:szCs w:val="24"/>
        </w:rPr>
        <w:t xml:space="preserve"> </w:t>
      </w:r>
      <w:r w:rsidR="003A634F">
        <w:rPr>
          <w:rFonts w:ascii="Tahoma" w:hAnsi="Tahoma" w:cs="Tahoma"/>
          <w:b/>
          <w:sz w:val="24"/>
          <w:szCs w:val="24"/>
        </w:rPr>
        <w:t>lei</w:t>
      </w:r>
      <w:r w:rsidRPr="007403CD">
        <w:rPr>
          <w:rFonts w:ascii="Tahoma" w:hAnsi="Tahoma" w:cs="Tahoma"/>
          <w:sz w:val="24"/>
          <w:szCs w:val="24"/>
        </w:rPr>
        <w:t xml:space="preserve">, cu </w:t>
      </w:r>
      <w:r w:rsidR="00F46375">
        <w:rPr>
          <w:rFonts w:ascii="Tahoma" w:hAnsi="Tahoma" w:cs="Tahoma"/>
          <w:sz w:val="24"/>
          <w:szCs w:val="24"/>
        </w:rPr>
        <w:t>8,9</w:t>
      </w:r>
      <w:r w:rsidR="00563406" w:rsidRPr="007403CD">
        <w:rPr>
          <w:rFonts w:ascii="Tahoma" w:hAnsi="Tahoma" w:cs="Tahoma"/>
          <w:sz w:val="24"/>
          <w:szCs w:val="24"/>
        </w:rPr>
        <w:t>%</w:t>
      </w:r>
      <w:r w:rsidR="009B308F" w:rsidRPr="007403CD">
        <w:rPr>
          <w:rFonts w:ascii="Tahoma" w:hAnsi="Tahoma" w:cs="Tahoma"/>
          <w:sz w:val="24"/>
          <w:szCs w:val="24"/>
        </w:rPr>
        <w:t xml:space="preserve"> </w:t>
      </w:r>
      <w:r w:rsidRPr="007403CD">
        <w:rPr>
          <w:rFonts w:ascii="Tahoma" w:hAnsi="Tahoma" w:cs="Tahoma"/>
          <w:sz w:val="24"/>
          <w:szCs w:val="24"/>
        </w:rPr>
        <w:t xml:space="preserve">mai </w:t>
      </w:r>
      <w:r w:rsidR="00D22C24" w:rsidRPr="007403CD">
        <w:rPr>
          <w:rFonts w:ascii="Tahoma" w:hAnsi="Tahoma" w:cs="Tahoma"/>
          <w:sz w:val="24"/>
          <w:szCs w:val="24"/>
        </w:rPr>
        <w:t>mari</w:t>
      </w:r>
      <w:r w:rsidRPr="007403CD">
        <w:rPr>
          <w:rFonts w:ascii="Tahoma" w:hAnsi="Tahoma" w:cs="Tahoma"/>
          <w:sz w:val="24"/>
          <w:szCs w:val="24"/>
        </w:rPr>
        <w:t xml:space="preserve"> comparativ cu perioada similară din anul precedent și s-au realizat în proporție de </w:t>
      </w:r>
      <w:r w:rsidR="00F25BB4">
        <w:rPr>
          <w:rFonts w:ascii="Tahoma" w:hAnsi="Tahoma" w:cs="Tahoma"/>
          <w:sz w:val="24"/>
          <w:szCs w:val="24"/>
        </w:rPr>
        <w:t>91,4</w:t>
      </w:r>
      <w:r w:rsidRPr="007403CD">
        <w:rPr>
          <w:rFonts w:ascii="Tahoma" w:hAnsi="Tahoma" w:cs="Tahoma"/>
          <w:sz w:val="24"/>
          <w:szCs w:val="24"/>
        </w:rPr>
        <w:t>%.</w:t>
      </w:r>
    </w:p>
    <w:p w:rsidR="004D6D76" w:rsidRPr="007403CD" w:rsidRDefault="004D6D76" w:rsidP="00DB2872">
      <w:pPr>
        <w:spacing w:line="276" w:lineRule="auto"/>
        <w:ind w:firstLine="0"/>
        <w:rPr>
          <w:rFonts w:ascii="Tahoma" w:hAnsi="Tahoma" w:cs="Tahoma"/>
          <w:sz w:val="24"/>
          <w:szCs w:val="24"/>
        </w:rPr>
      </w:pPr>
      <w:r w:rsidRPr="00542D30">
        <w:rPr>
          <w:rFonts w:ascii="Tahoma" w:hAnsi="Tahoma" w:cs="Tahoma"/>
          <w:sz w:val="24"/>
          <w:szCs w:val="24"/>
        </w:rPr>
        <w:t>În structură</w:t>
      </w:r>
      <w:r w:rsidR="009904E3" w:rsidRPr="007403CD">
        <w:rPr>
          <w:rFonts w:ascii="Tahoma" w:hAnsi="Tahoma" w:cs="Tahoma"/>
          <w:sz w:val="24"/>
          <w:szCs w:val="24"/>
        </w:rPr>
        <w:t>,</w:t>
      </w:r>
      <w:r w:rsidRPr="007403CD">
        <w:rPr>
          <w:rFonts w:ascii="Tahoma" w:hAnsi="Tahoma" w:cs="Tahoma"/>
          <w:sz w:val="24"/>
          <w:szCs w:val="24"/>
        </w:rPr>
        <w:t xml:space="preserve"> veniturile fiscale au avut următoarea evoluție:</w:t>
      </w:r>
    </w:p>
    <w:p w:rsidR="008772EA" w:rsidRPr="008772EA" w:rsidRDefault="00575968" w:rsidP="008772EA">
      <w:pPr>
        <w:tabs>
          <w:tab w:val="left" w:pos="284"/>
        </w:tabs>
        <w:autoSpaceDE w:val="0"/>
        <w:autoSpaceDN w:val="0"/>
        <w:adjustRightInd w:val="0"/>
        <w:spacing w:line="276" w:lineRule="auto"/>
        <w:ind w:left="284" w:firstLine="0"/>
        <w:rPr>
          <w:rFonts w:ascii="Tahoma" w:eastAsia="SimSun" w:hAnsi="Tahoma" w:cs="Tahoma"/>
          <w:bCs/>
          <w:noProof/>
          <w:kern w:val="1"/>
          <w:sz w:val="24"/>
          <w:szCs w:val="24"/>
          <w:lang w:eastAsia="ro-RO"/>
        </w:rPr>
      </w:pPr>
      <w:r w:rsidRPr="008772EA">
        <w:rPr>
          <w:rFonts w:ascii="Tahoma" w:hAnsi="Tahoma" w:cs="Tahoma"/>
          <w:b/>
          <w:sz w:val="24"/>
          <w:szCs w:val="24"/>
        </w:rPr>
        <w:t>Încasările din impozitul pe profit</w:t>
      </w:r>
      <w:r w:rsidR="00FF292C" w:rsidRPr="008772EA">
        <w:rPr>
          <w:rFonts w:ascii="Tahoma" w:hAnsi="Tahoma" w:cs="Tahoma"/>
          <w:b/>
          <w:sz w:val="24"/>
          <w:szCs w:val="24"/>
        </w:rPr>
        <w:t xml:space="preserve"> </w:t>
      </w:r>
      <w:r w:rsidR="00D22C24" w:rsidRPr="008772EA">
        <w:rPr>
          <w:rFonts w:ascii="Tahoma" w:hAnsi="Tahoma" w:cs="Tahoma"/>
          <w:sz w:val="24"/>
          <w:szCs w:val="24"/>
        </w:rPr>
        <w:t>pentru semestrul I 202</w:t>
      </w:r>
      <w:r w:rsidR="00542D30" w:rsidRPr="008772EA">
        <w:rPr>
          <w:rFonts w:ascii="Tahoma" w:hAnsi="Tahoma" w:cs="Tahoma"/>
          <w:sz w:val="24"/>
          <w:szCs w:val="24"/>
        </w:rPr>
        <w:t>3</w:t>
      </w:r>
      <w:r w:rsidR="00D22C24" w:rsidRPr="008772EA">
        <w:rPr>
          <w:rFonts w:ascii="Tahoma" w:hAnsi="Tahoma" w:cs="Tahoma"/>
          <w:sz w:val="24"/>
          <w:szCs w:val="24"/>
        </w:rPr>
        <w:t xml:space="preserve"> au totalizat </w:t>
      </w:r>
      <w:r w:rsidR="008772EA" w:rsidRPr="008772EA">
        <w:rPr>
          <w:rFonts w:ascii="Tahoma" w:eastAsia="SimSun" w:hAnsi="Tahoma" w:cs="Tahoma"/>
          <w:bCs/>
          <w:noProof/>
          <w:kern w:val="1"/>
          <w:sz w:val="24"/>
          <w:szCs w:val="24"/>
          <w:lang w:eastAsia="ro-RO"/>
        </w:rPr>
        <w:t xml:space="preserve">12,7 miliarde lei, înregistrează o evoluție pozitivă față de perioada similară a anului 2022 de 18,4% (+2,0 miliarde lei), susținută de avansul încasărilor din impozitul pe profit de la agenții economici cu 23,5% (+2,3 miliarde lei), din care 16,6% (+0,6 miliarde) reprezintă creșterea plăților anticipate de impozit aferent trimestrului I 2023 iar 46,4% (+1,7 miliarde lei) reprezintă creșterea sumelor rămase de plată din </w:t>
      </w:r>
      <w:r w:rsidR="008772EA" w:rsidRPr="008772EA">
        <w:rPr>
          <w:rFonts w:ascii="Tahoma" w:eastAsia="Calibri" w:hAnsi="Tahoma" w:cs="Tahoma"/>
          <w:kern w:val="1"/>
          <w:sz w:val="24"/>
          <w:szCs w:val="24"/>
        </w:rPr>
        <w:t>impozitul pe profit aferent anului fiscal 2022 (O.U.G. nr. 153/2020</w:t>
      </w:r>
      <w:r w:rsidR="008772EA" w:rsidRPr="008772EA">
        <w:rPr>
          <w:rFonts w:ascii="Tahoma" w:eastAsia="Calibri" w:hAnsi="Tahoma" w:cs="Tahoma"/>
          <w:kern w:val="1"/>
          <w:sz w:val="24"/>
          <w:szCs w:val="24"/>
          <w:vertAlign w:val="superscript"/>
        </w:rPr>
        <w:footnoteReference w:id="1"/>
      </w:r>
      <w:r w:rsidR="008772EA" w:rsidRPr="008772EA">
        <w:rPr>
          <w:rFonts w:ascii="Tahoma" w:eastAsia="Calibri" w:hAnsi="Tahoma" w:cs="Tahoma"/>
          <w:kern w:val="1"/>
          <w:sz w:val="24"/>
          <w:szCs w:val="24"/>
        </w:rPr>
        <w:t>).</w:t>
      </w:r>
    </w:p>
    <w:p w:rsidR="008772EA" w:rsidRPr="008772EA" w:rsidRDefault="008772EA" w:rsidP="008772EA">
      <w:pPr>
        <w:tabs>
          <w:tab w:val="left" w:pos="284"/>
        </w:tabs>
        <w:suppressAutoHyphens/>
        <w:autoSpaceDE w:val="0"/>
        <w:autoSpaceDN w:val="0"/>
        <w:adjustRightInd w:val="0"/>
        <w:spacing w:after="120" w:line="276" w:lineRule="auto"/>
        <w:ind w:left="284" w:firstLine="0"/>
        <w:rPr>
          <w:rFonts w:ascii="Tahoma" w:eastAsia="Calibri" w:hAnsi="Tahoma" w:cs="Tahoma"/>
          <w:color w:val="00000A"/>
          <w:kern w:val="1"/>
          <w:sz w:val="24"/>
          <w:szCs w:val="24"/>
        </w:rPr>
      </w:pPr>
      <w:r w:rsidRPr="008772EA">
        <w:rPr>
          <w:rFonts w:ascii="Tahoma" w:eastAsia="Calibri" w:hAnsi="Tahoma" w:cs="Tahoma"/>
          <w:color w:val="00000A"/>
          <w:kern w:val="1"/>
          <w:sz w:val="24"/>
          <w:szCs w:val="24"/>
        </w:rPr>
        <w:t>Gradul de realizare este de 94,9% față de programul stabilit, fiind influențat atât de scăderea încasărilor din impozitul pe profit de la bănci comerciale</w:t>
      </w:r>
      <w:r w:rsidR="00862C96">
        <w:rPr>
          <w:rFonts w:ascii="Tahoma" w:eastAsia="Calibri" w:hAnsi="Tahoma" w:cs="Tahoma"/>
          <w:color w:val="00000A"/>
          <w:kern w:val="1"/>
          <w:sz w:val="24"/>
          <w:szCs w:val="24"/>
        </w:rPr>
        <w:t xml:space="preserve"> </w:t>
      </w:r>
      <w:r w:rsidR="00862C96" w:rsidRPr="00862C96">
        <w:rPr>
          <w:rFonts w:ascii="Tahoma" w:eastAsia="Calibri" w:hAnsi="Tahoma" w:cs="Tahoma"/>
          <w:sz w:val="24"/>
          <w:szCs w:val="24"/>
        </w:rPr>
        <w:t>(-0,7 miliarde lei)</w:t>
      </w:r>
      <w:r w:rsidR="00862C96" w:rsidRPr="00862C96">
        <w:rPr>
          <w:rFonts w:eastAsia="Calibri" w:cstheme="minorHAnsi"/>
          <w:sz w:val="24"/>
          <w:szCs w:val="24"/>
        </w:rPr>
        <w:t xml:space="preserve"> </w:t>
      </w:r>
      <w:r w:rsidRPr="00862C96">
        <w:rPr>
          <w:rFonts w:ascii="Tahoma" w:eastAsia="Calibri" w:hAnsi="Tahoma" w:cs="Tahoma"/>
          <w:kern w:val="1"/>
          <w:sz w:val="24"/>
          <w:szCs w:val="24"/>
        </w:rPr>
        <w:t xml:space="preserve"> </w:t>
      </w:r>
      <w:r w:rsidRPr="008772EA">
        <w:rPr>
          <w:rFonts w:ascii="Tahoma" w:eastAsia="Calibri" w:hAnsi="Tahoma" w:cs="Tahoma"/>
          <w:color w:val="00000A"/>
          <w:kern w:val="1"/>
          <w:sz w:val="24"/>
          <w:szCs w:val="24"/>
        </w:rPr>
        <w:t xml:space="preserve">cât și de </w:t>
      </w:r>
      <w:r w:rsidRPr="008772EA">
        <w:rPr>
          <w:rFonts w:ascii="Tahoma" w:eastAsia="Calibri" w:hAnsi="Tahoma" w:cs="Tahoma"/>
          <w:kern w:val="1"/>
          <w:sz w:val="24"/>
          <w:szCs w:val="24"/>
        </w:rPr>
        <w:t>instituirea măsurii aprobate prin Legea nr. 322/2021</w:t>
      </w:r>
      <w:r w:rsidRPr="008772EA">
        <w:rPr>
          <w:rFonts w:ascii="Tahoma" w:eastAsia="Calibri" w:hAnsi="Tahoma" w:cs="Tahoma"/>
          <w:kern w:val="1"/>
          <w:sz w:val="24"/>
          <w:szCs w:val="24"/>
          <w:vertAlign w:val="superscript"/>
        </w:rPr>
        <w:footnoteReference w:id="2"/>
      </w:r>
      <w:r w:rsidRPr="008772EA">
        <w:rPr>
          <w:rFonts w:ascii="Tahoma" w:eastAsia="Calibri" w:hAnsi="Tahoma" w:cs="Tahoma"/>
          <w:kern w:val="1"/>
          <w:sz w:val="24"/>
          <w:szCs w:val="24"/>
        </w:rPr>
        <w:t xml:space="preserve"> prin care operatorii economici au redirecționat din impozitul pe profit suma de 0,2 miliarde lei pentru efectuarea de sponsorizări și/sau acte de mecenat sau acordarea de burse private</w:t>
      </w:r>
      <w:r w:rsidRPr="008772EA">
        <w:rPr>
          <w:rFonts w:ascii="Tahoma" w:eastAsia="SimSun" w:hAnsi="Tahoma" w:cs="Tahoma"/>
          <w:bCs/>
          <w:noProof/>
          <w:kern w:val="1"/>
          <w:sz w:val="24"/>
          <w:szCs w:val="24"/>
          <w:lang w:eastAsia="ro-RO"/>
        </w:rPr>
        <w:t xml:space="preserve">. </w:t>
      </w:r>
    </w:p>
    <w:p w:rsidR="00542D30" w:rsidRPr="00542D30" w:rsidRDefault="00746146" w:rsidP="008772EA">
      <w:pPr>
        <w:spacing w:after="120" w:line="276" w:lineRule="auto"/>
        <w:ind w:left="284" w:firstLine="0"/>
        <w:rPr>
          <w:rFonts w:ascii="Tahoma" w:hAnsi="Tahoma" w:cs="Tahoma"/>
          <w:sz w:val="24"/>
          <w:szCs w:val="24"/>
        </w:rPr>
      </w:pPr>
      <w:r w:rsidRPr="007403CD">
        <w:rPr>
          <w:rFonts w:ascii="Tahoma" w:hAnsi="Tahoma" w:cs="Tahoma"/>
          <w:b/>
          <w:sz w:val="24"/>
          <w:szCs w:val="24"/>
        </w:rPr>
        <w:lastRenderedPageBreak/>
        <w:t>Încasările din impozitul pe venit</w:t>
      </w:r>
      <w:r w:rsidR="009B308F" w:rsidRPr="007403CD">
        <w:rPr>
          <w:rFonts w:ascii="Tahoma" w:hAnsi="Tahoma" w:cs="Tahoma"/>
          <w:b/>
          <w:sz w:val="24"/>
          <w:szCs w:val="24"/>
        </w:rPr>
        <w:t xml:space="preserve"> </w:t>
      </w:r>
      <w:r w:rsidR="00D22C24" w:rsidRPr="007403CD">
        <w:rPr>
          <w:rFonts w:ascii="Tahoma" w:hAnsi="Tahoma" w:cs="Tahoma"/>
          <w:sz w:val="24"/>
          <w:szCs w:val="24"/>
        </w:rPr>
        <w:t>în primul semestru al anului 202</w:t>
      </w:r>
      <w:r w:rsidR="00542D30">
        <w:rPr>
          <w:rFonts w:ascii="Tahoma" w:hAnsi="Tahoma" w:cs="Tahoma"/>
          <w:sz w:val="24"/>
          <w:szCs w:val="24"/>
        </w:rPr>
        <w:t>3</w:t>
      </w:r>
      <w:r w:rsidR="00D22C24" w:rsidRPr="007403CD">
        <w:rPr>
          <w:rFonts w:ascii="Tahoma" w:hAnsi="Tahoma" w:cs="Tahoma"/>
          <w:sz w:val="24"/>
          <w:szCs w:val="24"/>
        </w:rPr>
        <w:t xml:space="preserve"> au totalizat </w:t>
      </w:r>
      <w:r w:rsidR="00542D30" w:rsidRPr="00542D30">
        <w:rPr>
          <w:rFonts w:ascii="Tahoma" w:hAnsi="Tahoma" w:cs="Tahoma"/>
          <w:sz w:val="24"/>
          <w:szCs w:val="24"/>
        </w:rPr>
        <w:t>20,</w:t>
      </w:r>
      <w:r w:rsidR="003B3E53">
        <w:rPr>
          <w:rFonts w:ascii="Tahoma" w:hAnsi="Tahoma" w:cs="Tahoma"/>
          <w:sz w:val="24"/>
          <w:szCs w:val="24"/>
        </w:rPr>
        <w:t>7</w:t>
      </w:r>
      <w:r w:rsidR="00542D30" w:rsidRPr="00542D30">
        <w:rPr>
          <w:rFonts w:ascii="Tahoma" w:hAnsi="Tahoma" w:cs="Tahoma"/>
          <w:sz w:val="24"/>
          <w:szCs w:val="24"/>
        </w:rPr>
        <w:t xml:space="preserve"> miliarde lei, în creștere cu </w:t>
      </w:r>
      <w:r w:rsidR="008772EA">
        <w:rPr>
          <w:rFonts w:ascii="Tahoma" w:hAnsi="Tahoma" w:cs="Tahoma"/>
          <w:sz w:val="24"/>
          <w:szCs w:val="24"/>
        </w:rPr>
        <w:t>22,3</w:t>
      </w:r>
      <w:r w:rsidR="00542D30" w:rsidRPr="00542D30">
        <w:rPr>
          <w:rFonts w:ascii="Tahoma" w:hAnsi="Tahoma" w:cs="Tahoma"/>
          <w:sz w:val="24"/>
          <w:szCs w:val="24"/>
        </w:rPr>
        <w:t>% comparativ cu aceeași perioadă a anului precedent, cu un gradul de realizare de 108,</w:t>
      </w:r>
      <w:r w:rsidR="008772EA">
        <w:rPr>
          <w:rFonts w:ascii="Tahoma" w:hAnsi="Tahoma" w:cs="Tahoma"/>
          <w:sz w:val="24"/>
          <w:szCs w:val="24"/>
        </w:rPr>
        <w:t>2</w:t>
      </w:r>
      <w:r w:rsidR="00542D30" w:rsidRPr="00542D30">
        <w:rPr>
          <w:rFonts w:ascii="Tahoma" w:hAnsi="Tahoma" w:cs="Tahoma"/>
          <w:sz w:val="24"/>
          <w:szCs w:val="24"/>
        </w:rPr>
        <w:t>% față de programul stabilit.</w:t>
      </w:r>
    </w:p>
    <w:p w:rsidR="00542D30" w:rsidRPr="00542D30" w:rsidRDefault="00542D30" w:rsidP="00542D30">
      <w:pPr>
        <w:spacing w:after="120" w:line="276" w:lineRule="auto"/>
        <w:ind w:left="284" w:firstLine="0"/>
        <w:rPr>
          <w:rFonts w:ascii="Tahoma" w:hAnsi="Tahoma" w:cs="Tahoma"/>
          <w:sz w:val="24"/>
          <w:szCs w:val="24"/>
        </w:rPr>
      </w:pPr>
      <w:r w:rsidRPr="00542D30">
        <w:rPr>
          <w:rFonts w:ascii="Tahoma" w:hAnsi="Tahoma" w:cs="Tahoma"/>
          <w:sz w:val="24"/>
          <w:szCs w:val="24"/>
        </w:rPr>
        <w:t>În structură, încasările din impozitul pe venitul din salarii</w:t>
      </w:r>
      <w:r w:rsidRPr="00542D30">
        <w:rPr>
          <w:rFonts w:ascii="Tahoma" w:hAnsi="Tahoma" w:cs="Tahoma"/>
          <w:sz w:val="24"/>
          <w:szCs w:val="24"/>
          <w:vertAlign w:val="superscript"/>
        </w:rPr>
        <w:footnoteReference w:id="3"/>
      </w:r>
      <w:r w:rsidRPr="00542D30">
        <w:rPr>
          <w:rFonts w:ascii="Tahoma" w:hAnsi="Tahoma" w:cs="Tahoma"/>
          <w:sz w:val="24"/>
          <w:szCs w:val="24"/>
        </w:rPr>
        <w:t xml:space="preserve"> înregistrează față de aceeași perioadă a anului 2022 o dinamică de 9,2%, sub evoluția fondului brut de salarii de 14,9%</w:t>
      </w:r>
      <w:r w:rsidRPr="00542D30">
        <w:rPr>
          <w:rFonts w:ascii="Tahoma" w:hAnsi="Tahoma" w:cs="Tahoma"/>
          <w:sz w:val="24"/>
          <w:szCs w:val="24"/>
          <w:vertAlign w:val="superscript"/>
        </w:rPr>
        <w:footnoteReference w:id="4"/>
      </w:r>
      <w:r w:rsidRPr="00542D30">
        <w:rPr>
          <w:rFonts w:ascii="Tahoma" w:hAnsi="Tahoma" w:cs="Tahoma"/>
          <w:sz w:val="24"/>
          <w:szCs w:val="24"/>
        </w:rPr>
        <w:t>, fiind influențată de măsurile privind extinderea facilităților acordate salariaților din sectorul agricol și industrie alimentară (efect negativ din scutirea de impozit pe venit din salarii,  conform Legii nr. 135/2022</w:t>
      </w:r>
      <w:r w:rsidRPr="00542D30">
        <w:rPr>
          <w:rFonts w:ascii="Tahoma" w:hAnsi="Tahoma" w:cs="Tahoma"/>
          <w:sz w:val="24"/>
          <w:szCs w:val="24"/>
          <w:vertAlign w:val="superscript"/>
        </w:rPr>
        <w:footnoteReference w:id="5"/>
      </w:r>
      <w:r w:rsidR="003B3E53">
        <w:rPr>
          <w:rFonts w:ascii="Tahoma" w:hAnsi="Tahoma" w:cs="Tahoma"/>
          <w:sz w:val="24"/>
          <w:szCs w:val="24"/>
        </w:rPr>
        <w:t xml:space="preserve">), </w:t>
      </w:r>
      <w:r w:rsidRPr="00542D30">
        <w:rPr>
          <w:rFonts w:ascii="Tahoma" w:hAnsi="Tahoma" w:cs="Tahoma"/>
          <w:sz w:val="24"/>
          <w:szCs w:val="24"/>
        </w:rPr>
        <w:t xml:space="preserve">neimpozitarea sumei de 200 lei/lună, reprezentând venituri din salarii și asimilate salariilor pentru anumite categorii de salariați (salariații cu nivelul salariului de bază brut lunar egal cu nivelul salariului minim brut pe </w:t>
      </w:r>
      <w:proofErr w:type="spellStart"/>
      <w:r w:rsidRPr="00542D30">
        <w:rPr>
          <w:rFonts w:ascii="Tahoma" w:hAnsi="Tahoma" w:cs="Tahoma"/>
          <w:sz w:val="24"/>
          <w:szCs w:val="24"/>
        </w:rPr>
        <w:t>ţară</w:t>
      </w:r>
      <w:proofErr w:type="spellEnd"/>
      <w:r w:rsidRPr="00542D30">
        <w:rPr>
          <w:rFonts w:ascii="Tahoma" w:hAnsi="Tahoma" w:cs="Tahoma"/>
          <w:sz w:val="24"/>
          <w:szCs w:val="24"/>
        </w:rPr>
        <w:t xml:space="preserve"> garantat în plată și venitul brut realizat din salarii </w:t>
      </w:r>
      <w:proofErr w:type="spellStart"/>
      <w:r w:rsidRPr="00542D30">
        <w:rPr>
          <w:rFonts w:ascii="Tahoma" w:hAnsi="Tahoma" w:cs="Tahoma"/>
          <w:sz w:val="24"/>
          <w:szCs w:val="24"/>
        </w:rPr>
        <w:t>şi</w:t>
      </w:r>
      <w:proofErr w:type="spellEnd"/>
      <w:r w:rsidRPr="00542D30">
        <w:rPr>
          <w:rFonts w:ascii="Tahoma" w:hAnsi="Tahoma" w:cs="Tahoma"/>
          <w:sz w:val="24"/>
          <w:szCs w:val="24"/>
        </w:rPr>
        <w:t xml:space="preserve"> asimilate salariilor ce nu </w:t>
      </w:r>
      <w:proofErr w:type="spellStart"/>
      <w:r w:rsidRPr="00542D30">
        <w:rPr>
          <w:rFonts w:ascii="Tahoma" w:hAnsi="Tahoma" w:cs="Tahoma"/>
          <w:sz w:val="24"/>
          <w:szCs w:val="24"/>
        </w:rPr>
        <w:t>depăşeşte</w:t>
      </w:r>
      <w:proofErr w:type="spellEnd"/>
      <w:r w:rsidRPr="00542D30">
        <w:rPr>
          <w:rFonts w:ascii="Tahoma" w:hAnsi="Tahoma" w:cs="Tahoma"/>
          <w:sz w:val="24"/>
          <w:szCs w:val="24"/>
        </w:rPr>
        <w:t xml:space="preserve"> nivelul de 4.000 lei inclusiv, conform O.U.G. nr. 168/2022), precum și de noile măsuri fiscale privind modificarea deducerilor personale introduse prin O.G. nr. 16/2022.</w:t>
      </w:r>
    </w:p>
    <w:p w:rsidR="00542D30" w:rsidRPr="00542D30" w:rsidRDefault="00542D30" w:rsidP="00542D30">
      <w:pPr>
        <w:spacing w:after="120" w:line="276" w:lineRule="auto"/>
        <w:ind w:left="284" w:firstLine="0"/>
        <w:rPr>
          <w:rFonts w:ascii="Tahoma" w:hAnsi="Tahoma" w:cs="Tahoma"/>
          <w:b/>
          <w:bCs/>
          <w:sz w:val="24"/>
          <w:szCs w:val="24"/>
        </w:rPr>
      </w:pPr>
      <w:r w:rsidRPr="00542D30">
        <w:rPr>
          <w:rFonts w:ascii="Tahoma" w:hAnsi="Tahoma" w:cs="Tahoma"/>
          <w:sz w:val="24"/>
          <w:szCs w:val="24"/>
        </w:rPr>
        <w:t>O evoluție pozitivă a veniturilor din această sursă a fost susținută în special de sporul încasărilor din impozitul pe veniturile din dividende</w:t>
      </w:r>
      <w:r w:rsidRPr="00542D30">
        <w:rPr>
          <w:rFonts w:ascii="Tahoma" w:hAnsi="Tahoma" w:cs="Tahoma"/>
          <w:sz w:val="24"/>
          <w:szCs w:val="24"/>
          <w:vertAlign w:val="superscript"/>
        </w:rPr>
        <w:footnoteReference w:id="6"/>
      </w:r>
      <w:r w:rsidRPr="00542D30">
        <w:rPr>
          <w:rFonts w:ascii="Tahoma" w:hAnsi="Tahoma" w:cs="Tahoma"/>
          <w:sz w:val="24"/>
          <w:szCs w:val="24"/>
        </w:rPr>
        <w:t xml:space="preserve"> (+1,5 miliarde lei, pe seama creșterii semnificative a dividendelor distribuite în baza situațiilor financiare interimare întocmite în cursul anului 2022, cu reținerea cotei de impozit de 5%, conform art. IV^1 din Legea</w:t>
      </w:r>
      <w:r w:rsidR="008772EA">
        <w:rPr>
          <w:rFonts w:ascii="Tahoma" w:hAnsi="Tahoma" w:cs="Tahoma"/>
          <w:sz w:val="24"/>
          <w:szCs w:val="24"/>
        </w:rPr>
        <w:t xml:space="preserve"> </w:t>
      </w:r>
      <w:r w:rsidRPr="00542D30">
        <w:rPr>
          <w:rFonts w:ascii="Tahoma" w:hAnsi="Tahoma" w:cs="Tahoma"/>
          <w:sz w:val="24"/>
          <w:szCs w:val="24"/>
        </w:rPr>
        <w:t>nr. 370/2022) și impozitul pe veniturile din pensii (+40,3%, creștere în care este inclusă majorarea valorii punctului de pensie cu 12,5%</w:t>
      </w:r>
      <w:r w:rsidRPr="00542D30">
        <w:rPr>
          <w:rFonts w:ascii="Tahoma" w:hAnsi="Tahoma" w:cs="Tahoma"/>
          <w:sz w:val="24"/>
          <w:szCs w:val="24"/>
          <w:vertAlign w:val="superscript"/>
        </w:rPr>
        <w:footnoteReference w:id="7"/>
      </w:r>
      <w:r w:rsidRPr="00542D30">
        <w:rPr>
          <w:rFonts w:ascii="Tahoma" w:hAnsi="Tahoma" w:cs="Tahoma"/>
          <w:sz w:val="24"/>
          <w:szCs w:val="24"/>
        </w:rPr>
        <w:t>).</w:t>
      </w:r>
    </w:p>
    <w:p w:rsidR="00746146" w:rsidRPr="007403CD" w:rsidRDefault="004D6D76" w:rsidP="00542D30">
      <w:pPr>
        <w:spacing w:after="120" w:line="276" w:lineRule="auto"/>
        <w:ind w:left="284" w:firstLine="0"/>
        <w:rPr>
          <w:rFonts w:ascii="Tahoma" w:hAnsi="Tahoma" w:cs="Tahoma"/>
          <w:sz w:val="24"/>
          <w:szCs w:val="24"/>
        </w:rPr>
      </w:pPr>
      <w:r w:rsidRPr="007403CD">
        <w:rPr>
          <w:rFonts w:ascii="Tahoma" w:hAnsi="Tahoma" w:cs="Tahoma"/>
          <w:sz w:val="24"/>
          <w:szCs w:val="24"/>
        </w:rPr>
        <w:t xml:space="preserve">Încasările din </w:t>
      </w:r>
      <w:r w:rsidRPr="007403CD">
        <w:rPr>
          <w:rFonts w:ascii="Tahoma" w:hAnsi="Tahoma" w:cs="Tahoma"/>
          <w:b/>
          <w:sz w:val="24"/>
          <w:szCs w:val="24"/>
        </w:rPr>
        <w:t>impozitele</w:t>
      </w:r>
      <w:r w:rsidR="009B308F" w:rsidRPr="007403CD">
        <w:rPr>
          <w:rFonts w:ascii="Tahoma" w:hAnsi="Tahoma" w:cs="Tahoma"/>
          <w:b/>
          <w:sz w:val="24"/>
          <w:szCs w:val="24"/>
        </w:rPr>
        <w:t xml:space="preserve"> </w:t>
      </w:r>
      <w:r w:rsidRPr="007403CD">
        <w:rPr>
          <w:rFonts w:ascii="Tahoma" w:hAnsi="Tahoma" w:cs="Tahoma"/>
          <w:b/>
          <w:bCs/>
          <w:sz w:val="24"/>
          <w:szCs w:val="24"/>
        </w:rPr>
        <w:t xml:space="preserve">și taxele pe proprietate </w:t>
      </w:r>
      <w:r w:rsidRPr="007403CD">
        <w:rPr>
          <w:rFonts w:ascii="Tahoma" w:hAnsi="Tahoma" w:cs="Tahoma"/>
          <w:bCs/>
          <w:sz w:val="24"/>
          <w:szCs w:val="24"/>
        </w:rPr>
        <w:t xml:space="preserve">au totalizat </w:t>
      </w:r>
      <w:r w:rsidR="00DB2872" w:rsidRPr="007403CD">
        <w:rPr>
          <w:rFonts w:ascii="Tahoma" w:hAnsi="Tahoma" w:cs="Tahoma"/>
          <w:bCs/>
          <w:sz w:val="24"/>
          <w:szCs w:val="24"/>
        </w:rPr>
        <w:t>5,</w:t>
      </w:r>
      <w:r w:rsidR="003B3E53">
        <w:rPr>
          <w:rFonts w:ascii="Tahoma" w:hAnsi="Tahoma" w:cs="Tahoma"/>
          <w:bCs/>
          <w:sz w:val="24"/>
          <w:szCs w:val="24"/>
        </w:rPr>
        <w:t>7</w:t>
      </w:r>
      <w:r w:rsidRPr="007403CD">
        <w:rPr>
          <w:rFonts w:ascii="Tahoma" w:hAnsi="Tahoma" w:cs="Tahoma"/>
          <w:bCs/>
          <w:sz w:val="24"/>
          <w:szCs w:val="24"/>
        </w:rPr>
        <w:t xml:space="preserve"> mili</w:t>
      </w:r>
      <w:r w:rsidR="00D22C24" w:rsidRPr="007403CD">
        <w:rPr>
          <w:rFonts w:ascii="Tahoma" w:hAnsi="Tahoma" w:cs="Tahoma"/>
          <w:bCs/>
          <w:sz w:val="24"/>
          <w:szCs w:val="24"/>
        </w:rPr>
        <w:t>arde</w:t>
      </w:r>
      <w:r w:rsidRPr="007403CD">
        <w:rPr>
          <w:rFonts w:ascii="Tahoma" w:hAnsi="Tahoma" w:cs="Tahoma"/>
          <w:bCs/>
          <w:sz w:val="24"/>
          <w:szCs w:val="24"/>
        </w:rPr>
        <w:t xml:space="preserve"> </w:t>
      </w:r>
      <w:r w:rsidR="003A634F">
        <w:rPr>
          <w:rFonts w:ascii="Tahoma" w:hAnsi="Tahoma" w:cs="Tahoma"/>
          <w:bCs/>
          <w:sz w:val="24"/>
          <w:szCs w:val="24"/>
        </w:rPr>
        <w:t>lei</w:t>
      </w:r>
      <w:r w:rsidRPr="007403CD">
        <w:rPr>
          <w:rFonts w:ascii="Tahoma" w:hAnsi="Tahoma" w:cs="Tahoma"/>
          <w:bCs/>
          <w:sz w:val="24"/>
          <w:szCs w:val="24"/>
        </w:rPr>
        <w:t xml:space="preserve"> (0,4% din PIB) cu </w:t>
      </w:r>
      <w:r w:rsidR="008772EA">
        <w:rPr>
          <w:rFonts w:ascii="Tahoma" w:hAnsi="Tahoma" w:cs="Tahoma"/>
          <w:bCs/>
          <w:sz w:val="24"/>
          <w:szCs w:val="24"/>
        </w:rPr>
        <w:t>7,0</w:t>
      </w:r>
      <w:r w:rsidRPr="007403CD">
        <w:rPr>
          <w:rFonts w:ascii="Tahoma" w:hAnsi="Tahoma" w:cs="Tahoma"/>
          <w:bCs/>
          <w:sz w:val="24"/>
          <w:szCs w:val="24"/>
        </w:rPr>
        <w:t xml:space="preserve">% </w:t>
      </w:r>
      <w:r w:rsidR="00D22C24" w:rsidRPr="007403CD">
        <w:rPr>
          <w:rFonts w:ascii="Tahoma" w:hAnsi="Tahoma" w:cs="Tahoma"/>
          <w:bCs/>
          <w:sz w:val="24"/>
          <w:szCs w:val="24"/>
        </w:rPr>
        <w:t>peste</w:t>
      </w:r>
      <w:r w:rsidR="00746146" w:rsidRPr="007403CD">
        <w:rPr>
          <w:rFonts w:ascii="Tahoma" w:hAnsi="Tahoma" w:cs="Tahoma"/>
          <w:bCs/>
          <w:sz w:val="24"/>
          <w:szCs w:val="24"/>
        </w:rPr>
        <w:t xml:space="preserve"> încasările </w:t>
      </w:r>
      <w:r w:rsidRPr="007403CD">
        <w:rPr>
          <w:rFonts w:ascii="Tahoma" w:hAnsi="Tahoma" w:cs="Tahoma"/>
          <w:sz w:val="24"/>
          <w:szCs w:val="24"/>
        </w:rPr>
        <w:t>semestrul</w:t>
      </w:r>
      <w:r w:rsidR="00746146" w:rsidRPr="007403CD">
        <w:rPr>
          <w:rFonts w:ascii="Tahoma" w:hAnsi="Tahoma" w:cs="Tahoma"/>
          <w:sz w:val="24"/>
          <w:szCs w:val="24"/>
        </w:rPr>
        <w:t>ui</w:t>
      </w:r>
      <w:r w:rsidRPr="007403CD">
        <w:rPr>
          <w:rFonts w:ascii="Tahoma" w:hAnsi="Tahoma" w:cs="Tahoma"/>
          <w:sz w:val="24"/>
          <w:szCs w:val="24"/>
        </w:rPr>
        <w:t xml:space="preserve"> I </w:t>
      </w:r>
      <w:r w:rsidR="00746146" w:rsidRPr="007403CD">
        <w:rPr>
          <w:rFonts w:ascii="Tahoma" w:hAnsi="Tahoma" w:cs="Tahoma"/>
          <w:sz w:val="24"/>
          <w:szCs w:val="24"/>
        </w:rPr>
        <w:t>20</w:t>
      </w:r>
      <w:r w:rsidR="00D22C24" w:rsidRPr="007403CD">
        <w:rPr>
          <w:rFonts w:ascii="Tahoma" w:hAnsi="Tahoma" w:cs="Tahoma"/>
          <w:sz w:val="24"/>
          <w:szCs w:val="24"/>
        </w:rPr>
        <w:t>2</w:t>
      </w:r>
      <w:r w:rsidR="008772EA">
        <w:rPr>
          <w:rFonts w:ascii="Tahoma" w:hAnsi="Tahoma" w:cs="Tahoma"/>
          <w:sz w:val="24"/>
          <w:szCs w:val="24"/>
        </w:rPr>
        <w:t>2</w:t>
      </w:r>
      <w:r w:rsidRPr="007403CD">
        <w:rPr>
          <w:rFonts w:ascii="Tahoma" w:hAnsi="Tahoma" w:cs="Tahoma"/>
          <w:sz w:val="24"/>
          <w:szCs w:val="24"/>
        </w:rPr>
        <w:t xml:space="preserve">, gradul de realizare al programului de încasări fiind de </w:t>
      </w:r>
      <w:r w:rsidR="008772EA">
        <w:rPr>
          <w:rFonts w:ascii="Tahoma" w:hAnsi="Tahoma" w:cs="Tahoma"/>
          <w:sz w:val="24"/>
          <w:szCs w:val="24"/>
        </w:rPr>
        <w:t>75,6</w:t>
      </w:r>
      <w:r w:rsidRPr="007403CD">
        <w:rPr>
          <w:rFonts w:ascii="Tahoma" w:hAnsi="Tahoma" w:cs="Tahoma"/>
          <w:sz w:val="24"/>
          <w:szCs w:val="24"/>
        </w:rPr>
        <w:t xml:space="preserve">%. </w:t>
      </w:r>
    </w:p>
    <w:p w:rsidR="008772EA" w:rsidRPr="008772EA" w:rsidRDefault="008772EA" w:rsidP="008772EA">
      <w:pPr>
        <w:autoSpaceDE w:val="0"/>
        <w:autoSpaceDN w:val="0"/>
        <w:adjustRightInd w:val="0"/>
        <w:spacing w:line="276" w:lineRule="auto"/>
        <w:ind w:left="284" w:firstLine="0"/>
        <w:rPr>
          <w:rFonts w:ascii="Tahoma" w:hAnsi="Tahoma" w:cs="Tahoma"/>
          <w:sz w:val="24"/>
          <w:szCs w:val="24"/>
        </w:rPr>
      </w:pPr>
      <w:r w:rsidRPr="008772EA">
        <w:rPr>
          <w:rFonts w:ascii="Tahoma" w:hAnsi="Tahoma" w:cs="Tahoma"/>
          <w:sz w:val="24"/>
          <w:szCs w:val="24"/>
        </w:rPr>
        <w:t xml:space="preserve">Nerealizarea țintei semestriale se datorează modificărilor legislative aduse impozitului pe proprietate (impozit/taxa pe clădiri și impozit/taxa pe teren) prin Legea nr. 370/2022, față de proiecția veniturilor ce a avut la bază majorarea impozitelor pe proprietate aprobate prin O.G. nr. 16/2022. </w:t>
      </w:r>
    </w:p>
    <w:p w:rsidR="008772EA" w:rsidRPr="00862C96" w:rsidRDefault="00BB23A6" w:rsidP="00862C96">
      <w:pPr>
        <w:autoSpaceDE w:val="0"/>
        <w:autoSpaceDN w:val="0"/>
        <w:adjustRightInd w:val="0"/>
        <w:spacing w:after="120" w:line="276" w:lineRule="auto"/>
        <w:ind w:left="284" w:firstLine="0"/>
        <w:rPr>
          <w:rFonts w:ascii="Tahoma" w:eastAsia="SimSun" w:hAnsi="Tahoma" w:cs="Tahoma"/>
          <w:color w:val="00000A"/>
          <w:kern w:val="1"/>
          <w:sz w:val="24"/>
          <w:szCs w:val="24"/>
        </w:rPr>
      </w:pPr>
      <w:r w:rsidRPr="007403CD">
        <w:rPr>
          <w:rFonts w:ascii="Tahoma" w:hAnsi="Tahoma" w:cs="Tahoma"/>
          <w:b/>
          <w:sz w:val="24"/>
          <w:szCs w:val="24"/>
        </w:rPr>
        <w:t>Încasările din taxa pe valoarea adăugată</w:t>
      </w:r>
      <w:r w:rsidR="009B308F" w:rsidRPr="007403CD">
        <w:rPr>
          <w:rFonts w:ascii="Tahoma" w:hAnsi="Tahoma" w:cs="Tahoma"/>
          <w:b/>
          <w:sz w:val="24"/>
          <w:szCs w:val="24"/>
        </w:rPr>
        <w:t xml:space="preserve"> </w:t>
      </w:r>
      <w:r w:rsidR="008A3D57" w:rsidRPr="007403CD">
        <w:rPr>
          <w:rFonts w:ascii="Tahoma" w:hAnsi="Tahoma" w:cs="Tahoma"/>
          <w:sz w:val="24"/>
          <w:szCs w:val="24"/>
        </w:rPr>
        <w:t xml:space="preserve">au totalizat </w:t>
      </w:r>
      <w:r w:rsidR="008772EA">
        <w:rPr>
          <w:rFonts w:ascii="Tahoma" w:hAnsi="Tahoma" w:cs="Tahoma"/>
          <w:sz w:val="24"/>
          <w:szCs w:val="24"/>
        </w:rPr>
        <w:t>48,</w:t>
      </w:r>
      <w:r w:rsidR="003B3E53">
        <w:rPr>
          <w:rFonts w:ascii="Tahoma" w:hAnsi="Tahoma" w:cs="Tahoma"/>
          <w:sz w:val="24"/>
          <w:szCs w:val="24"/>
        </w:rPr>
        <w:t>7</w:t>
      </w:r>
      <w:r w:rsidR="008A3D57" w:rsidRPr="007403CD">
        <w:rPr>
          <w:rFonts w:ascii="Tahoma" w:hAnsi="Tahoma" w:cs="Tahoma"/>
          <w:sz w:val="24"/>
          <w:szCs w:val="24"/>
        </w:rPr>
        <w:t xml:space="preserve"> miliarde </w:t>
      </w:r>
      <w:r w:rsidR="003A634F">
        <w:rPr>
          <w:rFonts w:ascii="Tahoma" w:hAnsi="Tahoma" w:cs="Tahoma"/>
          <w:sz w:val="24"/>
          <w:szCs w:val="24"/>
        </w:rPr>
        <w:t>lei</w:t>
      </w:r>
      <w:r w:rsidR="008A3D57" w:rsidRPr="007403CD">
        <w:rPr>
          <w:rFonts w:ascii="Tahoma" w:hAnsi="Tahoma" w:cs="Tahoma"/>
          <w:sz w:val="24"/>
          <w:szCs w:val="24"/>
        </w:rPr>
        <w:t xml:space="preserve">, </w:t>
      </w:r>
      <w:r w:rsidR="008772EA" w:rsidRPr="008772EA">
        <w:rPr>
          <w:rFonts w:ascii="Tahoma" w:eastAsia="SimSun" w:hAnsi="Tahoma" w:cs="Tahoma"/>
          <w:color w:val="00000A"/>
          <w:kern w:val="1"/>
          <w:sz w:val="24"/>
          <w:szCs w:val="24"/>
        </w:rPr>
        <w:t>înregistrând o creștere a încasărilor din TVA cu 7,0% (+3,2 miliarde lei), comparativ cu încasările aferente semestrului I 2022, iar gradul de realizare al programului semestrial este de 88,4% (- 6,4 miliarde lei).</w:t>
      </w:r>
      <w:r w:rsidR="00862C96">
        <w:rPr>
          <w:rFonts w:ascii="Tahoma" w:eastAsia="SimSun" w:hAnsi="Tahoma" w:cs="Tahoma"/>
          <w:color w:val="00000A"/>
          <w:kern w:val="1"/>
          <w:sz w:val="24"/>
          <w:szCs w:val="24"/>
        </w:rPr>
        <w:t xml:space="preserve"> </w:t>
      </w:r>
      <w:r w:rsidR="00862C96" w:rsidRPr="00862C96">
        <w:rPr>
          <w:rFonts w:ascii="Tahoma" w:eastAsia="SimSun" w:hAnsi="Tahoma" w:cs="Tahoma"/>
          <w:color w:val="00000A"/>
          <w:kern w:val="1"/>
          <w:sz w:val="24"/>
          <w:szCs w:val="24"/>
        </w:rPr>
        <w:t xml:space="preserve">Decelerarea cifrei de afaceri în comerț, </w:t>
      </w:r>
      <w:r w:rsidR="00862C96" w:rsidRPr="00862C96">
        <w:rPr>
          <w:rFonts w:ascii="Tahoma" w:eastAsia="SimSun" w:hAnsi="Tahoma" w:cs="Tahoma"/>
          <w:color w:val="00000A"/>
          <w:kern w:val="1"/>
          <w:sz w:val="24"/>
          <w:szCs w:val="24"/>
        </w:rPr>
        <w:lastRenderedPageBreak/>
        <w:t>servicii și industrie din primul semestru al anului 2023 coroborată cu majorarea restituirilor de taxă pe valoare adăugată au condus la nerealizarea țintei semestriale.</w:t>
      </w:r>
    </w:p>
    <w:p w:rsidR="008772EA" w:rsidRPr="008772EA" w:rsidRDefault="008772EA" w:rsidP="008772EA">
      <w:pPr>
        <w:spacing w:after="120" w:line="276" w:lineRule="auto"/>
        <w:ind w:left="284" w:firstLine="0"/>
        <w:rPr>
          <w:rFonts w:ascii="Tahoma" w:eastAsia="SimSun" w:hAnsi="Tahoma" w:cs="Tahoma"/>
          <w:color w:val="00000A"/>
          <w:kern w:val="1"/>
          <w:sz w:val="24"/>
          <w:szCs w:val="24"/>
        </w:rPr>
      </w:pPr>
      <w:r w:rsidRPr="008772EA">
        <w:rPr>
          <w:rFonts w:ascii="Tahoma" w:eastAsia="SimSun" w:hAnsi="Tahoma" w:cs="Tahoma"/>
          <w:color w:val="00000A"/>
          <w:kern w:val="1"/>
          <w:sz w:val="24"/>
          <w:szCs w:val="24"/>
        </w:rPr>
        <w:t>În structură, TVA încasată</w:t>
      </w:r>
      <w:r w:rsidRPr="008772EA">
        <w:rPr>
          <w:rFonts w:ascii="Tahoma" w:eastAsia="SimSun" w:hAnsi="Tahoma" w:cs="Tahoma"/>
          <w:color w:val="00000A"/>
          <w:kern w:val="24"/>
          <w:sz w:val="24"/>
          <w:szCs w:val="24"/>
          <w:vertAlign w:val="superscript"/>
        </w:rPr>
        <w:footnoteReference w:id="8"/>
      </w:r>
      <w:r w:rsidRPr="008772EA">
        <w:rPr>
          <w:rFonts w:ascii="Tahoma" w:eastAsia="SimSun" w:hAnsi="Tahoma" w:cs="Tahoma"/>
          <w:color w:val="00000A"/>
          <w:kern w:val="24"/>
          <w:sz w:val="24"/>
          <w:szCs w:val="24"/>
          <w:vertAlign w:val="superscript"/>
        </w:rPr>
        <w:t xml:space="preserve"> </w:t>
      </w:r>
      <w:r w:rsidRPr="008772EA">
        <w:rPr>
          <w:rFonts w:ascii="Tahoma" w:eastAsia="SimSun" w:hAnsi="Tahoma" w:cs="Tahoma"/>
          <w:color w:val="00000A"/>
          <w:kern w:val="1"/>
          <w:sz w:val="24"/>
          <w:szCs w:val="24"/>
        </w:rPr>
        <w:t>s-a majorat cu 8,6% (+5,0 miliarde lei) față de semestrul I al anului 2022</w:t>
      </w:r>
      <w:r w:rsidRPr="008772EA">
        <w:rPr>
          <w:rFonts w:ascii="Tahoma" w:eastAsia="SimSun" w:hAnsi="Tahoma" w:cs="Tahoma"/>
          <w:color w:val="00000A"/>
          <w:kern w:val="24"/>
          <w:sz w:val="24"/>
          <w:szCs w:val="24"/>
          <w:vertAlign w:val="superscript"/>
        </w:rPr>
        <w:footnoteReference w:id="9"/>
      </w:r>
      <w:r w:rsidRPr="008772EA">
        <w:rPr>
          <w:rFonts w:ascii="Tahoma" w:eastAsia="SimSun" w:hAnsi="Tahoma" w:cs="Tahoma"/>
          <w:color w:val="00000A"/>
          <w:kern w:val="1"/>
          <w:sz w:val="24"/>
          <w:szCs w:val="24"/>
        </w:rPr>
        <w:t xml:space="preserve">, în condițiile în care TVA declarat de plată a înregistrat o creștere de 17,7% (+9,2 miliarde lei), iar valoarea restituirilor de taxă pe valoare adăugată a crescut cu 15,6% (-1,9 miliarde lei). </w:t>
      </w:r>
    </w:p>
    <w:p w:rsidR="008772EA" w:rsidRPr="008772EA" w:rsidRDefault="008772EA" w:rsidP="008772EA">
      <w:pPr>
        <w:spacing w:after="120" w:line="276" w:lineRule="auto"/>
        <w:ind w:left="284" w:firstLine="0"/>
        <w:rPr>
          <w:rFonts w:ascii="Tahoma" w:eastAsia="SimSun" w:hAnsi="Tahoma" w:cs="Tahoma"/>
          <w:color w:val="00000A"/>
          <w:kern w:val="1"/>
          <w:sz w:val="24"/>
          <w:szCs w:val="24"/>
        </w:rPr>
      </w:pPr>
      <w:r w:rsidRPr="008772EA">
        <w:rPr>
          <w:rFonts w:ascii="Tahoma" w:eastAsia="SimSun" w:hAnsi="Tahoma" w:cs="Tahoma"/>
          <w:color w:val="00000A"/>
          <w:kern w:val="1"/>
          <w:sz w:val="24"/>
          <w:szCs w:val="24"/>
        </w:rPr>
        <w:t xml:space="preserve">Activitățile economice care au înregistrat creșteri semnificative, comparativ cu celelalte activități economice, au fost </w:t>
      </w:r>
      <w:proofErr w:type="spellStart"/>
      <w:r w:rsidRPr="008772EA">
        <w:rPr>
          <w:rFonts w:ascii="Tahoma" w:eastAsia="SimSun" w:hAnsi="Tahoma" w:cs="Tahoma"/>
          <w:color w:val="00000A"/>
          <w:kern w:val="1"/>
          <w:sz w:val="24"/>
          <w:szCs w:val="24"/>
        </w:rPr>
        <w:t>evidențate</w:t>
      </w:r>
      <w:proofErr w:type="spellEnd"/>
      <w:r w:rsidRPr="008772EA">
        <w:rPr>
          <w:rFonts w:ascii="Tahoma" w:eastAsia="SimSun" w:hAnsi="Tahoma" w:cs="Tahoma"/>
          <w:color w:val="00000A"/>
          <w:kern w:val="1"/>
          <w:sz w:val="24"/>
          <w:szCs w:val="24"/>
        </w:rPr>
        <w:t xml:space="preserve"> pe codurile CAEN 46 (Comerț cu ridicata cu excepția comerțului cu autovehicule și motociclete), CAEN 47 (</w:t>
      </w:r>
      <w:proofErr w:type="spellStart"/>
      <w:r w:rsidRPr="008772EA">
        <w:rPr>
          <w:rFonts w:ascii="Tahoma" w:eastAsia="SimSun" w:hAnsi="Tahoma" w:cs="Tahoma"/>
          <w:color w:val="00000A"/>
          <w:kern w:val="1"/>
          <w:sz w:val="24"/>
          <w:szCs w:val="24"/>
        </w:rPr>
        <w:t>Comerţ</w:t>
      </w:r>
      <w:proofErr w:type="spellEnd"/>
      <w:r w:rsidRPr="008772EA">
        <w:rPr>
          <w:rFonts w:ascii="Tahoma" w:eastAsia="SimSun" w:hAnsi="Tahoma" w:cs="Tahoma"/>
          <w:color w:val="00000A"/>
          <w:kern w:val="1"/>
          <w:sz w:val="24"/>
          <w:szCs w:val="24"/>
        </w:rPr>
        <w:t xml:space="preserve"> cu amănuntul, cu </w:t>
      </w:r>
      <w:proofErr w:type="spellStart"/>
      <w:r w:rsidRPr="008772EA">
        <w:rPr>
          <w:rFonts w:ascii="Tahoma" w:eastAsia="SimSun" w:hAnsi="Tahoma" w:cs="Tahoma"/>
          <w:color w:val="00000A"/>
          <w:kern w:val="1"/>
          <w:sz w:val="24"/>
          <w:szCs w:val="24"/>
        </w:rPr>
        <w:t>excepţia</w:t>
      </w:r>
      <w:proofErr w:type="spellEnd"/>
      <w:r w:rsidRPr="008772EA">
        <w:rPr>
          <w:rFonts w:ascii="Tahoma" w:eastAsia="SimSun" w:hAnsi="Tahoma" w:cs="Tahoma"/>
          <w:color w:val="00000A"/>
          <w:kern w:val="1"/>
          <w:sz w:val="24"/>
          <w:szCs w:val="24"/>
        </w:rPr>
        <w:t xml:space="preserve"> autovehiculelor </w:t>
      </w:r>
      <w:proofErr w:type="spellStart"/>
      <w:r w:rsidRPr="008772EA">
        <w:rPr>
          <w:rFonts w:ascii="Tahoma" w:eastAsia="SimSun" w:hAnsi="Tahoma" w:cs="Tahoma"/>
          <w:color w:val="00000A"/>
          <w:kern w:val="1"/>
          <w:sz w:val="24"/>
          <w:szCs w:val="24"/>
        </w:rPr>
        <w:t>şi</w:t>
      </w:r>
      <w:proofErr w:type="spellEnd"/>
      <w:r w:rsidRPr="008772EA">
        <w:rPr>
          <w:rFonts w:ascii="Tahoma" w:eastAsia="SimSun" w:hAnsi="Tahoma" w:cs="Tahoma"/>
          <w:color w:val="00000A"/>
          <w:kern w:val="1"/>
          <w:sz w:val="24"/>
          <w:szCs w:val="24"/>
        </w:rPr>
        <w:t xml:space="preserve"> motocicletelor), CAEN 19 (Fabricarea produselor de cocserie </w:t>
      </w:r>
      <w:proofErr w:type="spellStart"/>
      <w:r w:rsidRPr="008772EA">
        <w:rPr>
          <w:rFonts w:ascii="Tahoma" w:eastAsia="SimSun" w:hAnsi="Tahoma" w:cs="Tahoma"/>
          <w:color w:val="00000A"/>
          <w:kern w:val="1"/>
          <w:sz w:val="24"/>
          <w:szCs w:val="24"/>
        </w:rPr>
        <w:t>şi</w:t>
      </w:r>
      <w:proofErr w:type="spellEnd"/>
      <w:r w:rsidRPr="008772EA">
        <w:rPr>
          <w:rFonts w:ascii="Tahoma" w:eastAsia="SimSun" w:hAnsi="Tahoma" w:cs="Tahoma"/>
          <w:color w:val="00000A"/>
          <w:kern w:val="1"/>
          <w:sz w:val="24"/>
          <w:szCs w:val="24"/>
        </w:rPr>
        <w:t xml:space="preserve"> a produselor </w:t>
      </w:r>
      <w:proofErr w:type="spellStart"/>
      <w:r w:rsidRPr="008772EA">
        <w:rPr>
          <w:rFonts w:ascii="Tahoma" w:eastAsia="SimSun" w:hAnsi="Tahoma" w:cs="Tahoma"/>
          <w:color w:val="00000A"/>
          <w:kern w:val="1"/>
          <w:sz w:val="24"/>
          <w:szCs w:val="24"/>
        </w:rPr>
        <w:t>obţinute</w:t>
      </w:r>
      <w:proofErr w:type="spellEnd"/>
      <w:r w:rsidRPr="008772EA">
        <w:rPr>
          <w:rFonts w:ascii="Tahoma" w:eastAsia="SimSun" w:hAnsi="Tahoma" w:cs="Tahoma"/>
          <w:color w:val="00000A"/>
          <w:kern w:val="1"/>
          <w:sz w:val="24"/>
          <w:szCs w:val="24"/>
        </w:rPr>
        <w:t xml:space="preserve"> din prelucrarea </w:t>
      </w:r>
      <w:proofErr w:type="spellStart"/>
      <w:r w:rsidRPr="008772EA">
        <w:rPr>
          <w:rFonts w:ascii="Tahoma" w:eastAsia="SimSun" w:hAnsi="Tahoma" w:cs="Tahoma"/>
          <w:color w:val="00000A"/>
          <w:kern w:val="1"/>
          <w:sz w:val="24"/>
          <w:szCs w:val="24"/>
        </w:rPr>
        <w:t>ţiţeiului</w:t>
      </w:r>
      <w:proofErr w:type="spellEnd"/>
      <w:r w:rsidRPr="008772EA">
        <w:rPr>
          <w:rFonts w:ascii="Tahoma" w:eastAsia="SimSun" w:hAnsi="Tahoma" w:cs="Tahoma"/>
          <w:color w:val="00000A"/>
          <w:kern w:val="1"/>
          <w:sz w:val="24"/>
          <w:szCs w:val="24"/>
        </w:rPr>
        <w:t xml:space="preserve"> și CAEN 47 (</w:t>
      </w:r>
      <w:proofErr w:type="spellStart"/>
      <w:r w:rsidRPr="008772EA">
        <w:rPr>
          <w:rFonts w:ascii="Tahoma" w:eastAsia="SimSun" w:hAnsi="Tahoma" w:cs="Tahoma"/>
          <w:color w:val="00000A"/>
          <w:kern w:val="1"/>
          <w:sz w:val="24"/>
          <w:szCs w:val="24"/>
        </w:rPr>
        <w:t>Comerţ</w:t>
      </w:r>
      <w:proofErr w:type="spellEnd"/>
      <w:r w:rsidRPr="008772EA">
        <w:rPr>
          <w:rFonts w:ascii="Tahoma" w:eastAsia="SimSun" w:hAnsi="Tahoma" w:cs="Tahoma"/>
          <w:color w:val="00000A"/>
          <w:kern w:val="1"/>
          <w:sz w:val="24"/>
          <w:szCs w:val="24"/>
        </w:rPr>
        <w:t xml:space="preserve"> cu ridicata </w:t>
      </w:r>
      <w:proofErr w:type="spellStart"/>
      <w:r w:rsidRPr="008772EA">
        <w:rPr>
          <w:rFonts w:ascii="Tahoma" w:eastAsia="SimSun" w:hAnsi="Tahoma" w:cs="Tahoma"/>
          <w:color w:val="00000A"/>
          <w:kern w:val="1"/>
          <w:sz w:val="24"/>
          <w:szCs w:val="24"/>
        </w:rPr>
        <w:t>şi</w:t>
      </w:r>
      <w:proofErr w:type="spellEnd"/>
      <w:r w:rsidRPr="008772EA">
        <w:rPr>
          <w:rFonts w:ascii="Tahoma" w:eastAsia="SimSun" w:hAnsi="Tahoma" w:cs="Tahoma"/>
          <w:color w:val="00000A"/>
          <w:kern w:val="1"/>
          <w:sz w:val="24"/>
          <w:szCs w:val="24"/>
        </w:rPr>
        <w:t xml:space="preserve"> cu amănuntul, </w:t>
      </w:r>
      <w:proofErr w:type="spellStart"/>
      <w:r w:rsidRPr="008772EA">
        <w:rPr>
          <w:rFonts w:ascii="Tahoma" w:eastAsia="SimSun" w:hAnsi="Tahoma" w:cs="Tahoma"/>
          <w:color w:val="00000A"/>
          <w:kern w:val="1"/>
          <w:sz w:val="24"/>
          <w:szCs w:val="24"/>
        </w:rPr>
        <w:t>întreţinerea</w:t>
      </w:r>
      <w:proofErr w:type="spellEnd"/>
      <w:r w:rsidRPr="008772EA">
        <w:rPr>
          <w:rFonts w:ascii="Tahoma" w:eastAsia="SimSun" w:hAnsi="Tahoma" w:cs="Tahoma"/>
          <w:color w:val="00000A"/>
          <w:kern w:val="1"/>
          <w:sz w:val="24"/>
          <w:szCs w:val="24"/>
        </w:rPr>
        <w:t xml:space="preserve"> </w:t>
      </w:r>
      <w:proofErr w:type="spellStart"/>
      <w:r w:rsidRPr="008772EA">
        <w:rPr>
          <w:rFonts w:ascii="Tahoma" w:eastAsia="SimSun" w:hAnsi="Tahoma" w:cs="Tahoma"/>
          <w:color w:val="00000A"/>
          <w:kern w:val="1"/>
          <w:sz w:val="24"/>
          <w:szCs w:val="24"/>
        </w:rPr>
        <w:t>şi</w:t>
      </w:r>
      <w:proofErr w:type="spellEnd"/>
      <w:r w:rsidRPr="008772EA">
        <w:rPr>
          <w:rFonts w:ascii="Tahoma" w:eastAsia="SimSun" w:hAnsi="Tahoma" w:cs="Tahoma"/>
          <w:color w:val="00000A"/>
          <w:kern w:val="1"/>
          <w:sz w:val="24"/>
          <w:szCs w:val="24"/>
        </w:rPr>
        <w:t xml:space="preserve"> repararea autovehiculelor </w:t>
      </w:r>
      <w:proofErr w:type="spellStart"/>
      <w:r w:rsidRPr="008772EA">
        <w:rPr>
          <w:rFonts w:ascii="Tahoma" w:eastAsia="SimSun" w:hAnsi="Tahoma" w:cs="Tahoma"/>
          <w:color w:val="00000A"/>
          <w:kern w:val="1"/>
          <w:sz w:val="24"/>
          <w:szCs w:val="24"/>
        </w:rPr>
        <w:t>şi</w:t>
      </w:r>
      <w:proofErr w:type="spellEnd"/>
      <w:r w:rsidRPr="008772EA">
        <w:rPr>
          <w:rFonts w:ascii="Tahoma" w:eastAsia="SimSun" w:hAnsi="Tahoma" w:cs="Tahoma"/>
          <w:color w:val="00000A"/>
          <w:kern w:val="1"/>
          <w:sz w:val="24"/>
          <w:szCs w:val="24"/>
        </w:rPr>
        <w:t xml:space="preserve"> a motocicletelor). Aceste ramuri economice au reprezentat 59,0% din totalul creșterii înregistrate în perioada analizată. </w:t>
      </w:r>
    </w:p>
    <w:p w:rsidR="008772EA" w:rsidRPr="008772EA" w:rsidRDefault="008772EA" w:rsidP="008772EA">
      <w:pPr>
        <w:suppressAutoHyphens/>
        <w:autoSpaceDE w:val="0"/>
        <w:autoSpaceDN w:val="0"/>
        <w:adjustRightInd w:val="0"/>
        <w:spacing w:after="120" w:line="276" w:lineRule="auto"/>
        <w:ind w:left="284" w:firstLine="0"/>
        <w:rPr>
          <w:rFonts w:ascii="Tahoma" w:eastAsia="SimSun" w:hAnsi="Tahoma" w:cs="Tahoma"/>
          <w:color w:val="00000A"/>
          <w:kern w:val="1"/>
          <w:sz w:val="24"/>
          <w:szCs w:val="24"/>
        </w:rPr>
      </w:pPr>
      <w:r w:rsidRPr="008772EA">
        <w:rPr>
          <w:rFonts w:ascii="Tahoma" w:eastAsia="SimSun" w:hAnsi="Tahoma" w:cs="Tahoma"/>
          <w:color w:val="00000A"/>
          <w:kern w:val="1"/>
          <w:sz w:val="24"/>
          <w:szCs w:val="24"/>
        </w:rPr>
        <w:t>Evoluția volumului cifrei de afaceri din comerțul cu amănuntul</w:t>
      </w:r>
      <w:r w:rsidRPr="008772EA">
        <w:rPr>
          <w:rFonts w:ascii="Tahoma" w:eastAsia="SimSun" w:hAnsi="Tahoma" w:cs="Tahoma"/>
          <w:color w:val="00000A"/>
          <w:kern w:val="24"/>
          <w:sz w:val="24"/>
          <w:szCs w:val="24"/>
          <w:vertAlign w:val="superscript"/>
        </w:rPr>
        <w:footnoteReference w:id="10"/>
      </w:r>
      <w:r w:rsidRPr="008772EA">
        <w:rPr>
          <w:rFonts w:ascii="Tahoma" w:eastAsia="SimSun" w:hAnsi="Tahoma" w:cs="Tahoma"/>
          <w:color w:val="00000A"/>
          <w:kern w:val="24"/>
          <w:sz w:val="24"/>
          <w:szCs w:val="24"/>
          <w:vertAlign w:val="superscript"/>
        </w:rPr>
        <w:t xml:space="preserve"> </w:t>
      </w:r>
      <w:r w:rsidRPr="008772EA">
        <w:rPr>
          <w:rFonts w:ascii="Tahoma" w:eastAsia="SimSun" w:hAnsi="Tahoma" w:cs="Tahoma"/>
          <w:color w:val="00000A"/>
          <w:kern w:val="1"/>
          <w:sz w:val="24"/>
          <w:szCs w:val="24"/>
        </w:rPr>
        <w:t xml:space="preserve">(cu excepția comerțului cu autovehicule și motociclete), serie brută, în perioada 1.I-31.V.2023, comparativ cu perioada 1.I-31.V.2022, a înregistrat o creștere pe ansamblu, cu 3,3%, datorită </w:t>
      </w:r>
      <w:proofErr w:type="spellStart"/>
      <w:r w:rsidRPr="008772EA">
        <w:rPr>
          <w:rFonts w:ascii="Tahoma" w:eastAsia="SimSun" w:hAnsi="Tahoma" w:cs="Tahoma"/>
          <w:color w:val="00000A"/>
          <w:kern w:val="1"/>
          <w:sz w:val="24"/>
          <w:szCs w:val="24"/>
        </w:rPr>
        <w:t>creşterii</w:t>
      </w:r>
      <w:proofErr w:type="spellEnd"/>
      <w:r w:rsidRPr="008772EA">
        <w:rPr>
          <w:rFonts w:ascii="Tahoma" w:eastAsia="SimSun" w:hAnsi="Tahoma" w:cs="Tahoma"/>
          <w:color w:val="00000A"/>
          <w:kern w:val="1"/>
          <w:sz w:val="24"/>
          <w:szCs w:val="24"/>
        </w:rPr>
        <w:t xml:space="preserve"> vânzărilor de produse nealimentare (+4,0%) </w:t>
      </w:r>
      <w:proofErr w:type="spellStart"/>
      <w:r w:rsidRPr="008772EA">
        <w:rPr>
          <w:rFonts w:ascii="Tahoma" w:eastAsia="SimSun" w:hAnsi="Tahoma" w:cs="Tahoma"/>
          <w:color w:val="00000A"/>
          <w:kern w:val="1"/>
          <w:sz w:val="24"/>
          <w:szCs w:val="24"/>
        </w:rPr>
        <w:t>şi</w:t>
      </w:r>
      <w:proofErr w:type="spellEnd"/>
      <w:r w:rsidRPr="008772EA">
        <w:rPr>
          <w:rFonts w:ascii="Tahoma" w:eastAsia="SimSun" w:hAnsi="Tahoma" w:cs="Tahoma"/>
          <w:color w:val="00000A"/>
          <w:kern w:val="1"/>
          <w:sz w:val="24"/>
          <w:szCs w:val="24"/>
        </w:rPr>
        <w:t xml:space="preserve"> a vânzărilor de produse alimentare, băuturi </w:t>
      </w:r>
      <w:proofErr w:type="spellStart"/>
      <w:r w:rsidRPr="008772EA">
        <w:rPr>
          <w:rFonts w:ascii="Tahoma" w:eastAsia="SimSun" w:hAnsi="Tahoma" w:cs="Tahoma"/>
          <w:color w:val="00000A"/>
          <w:kern w:val="1"/>
          <w:sz w:val="24"/>
          <w:szCs w:val="24"/>
        </w:rPr>
        <w:t>şi</w:t>
      </w:r>
      <w:proofErr w:type="spellEnd"/>
      <w:r w:rsidRPr="008772EA">
        <w:rPr>
          <w:rFonts w:ascii="Tahoma" w:eastAsia="SimSun" w:hAnsi="Tahoma" w:cs="Tahoma"/>
          <w:color w:val="00000A"/>
          <w:kern w:val="1"/>
          <w:sz w:val="24"/>
          <w:szCs w:val="24"/>
        </w:rPr>
        <w:t xml:space="preserve"> tutun (+5,1%). </w:t>
      </w:r>
      <w:proofErr w:type="spellStart"/>
      <w:r w:rsidRPr="008772EA">
        <w:rPr>
          <w:rFonts w:ascii="Tahoma" w:eastAsia="SimSun" w:hAnsi="Tahoma" w:cs="Tahoma"/>
          <w:color w:val="00000A"/>
          <w:kern w:val="1"/>
          <w:sz w:val="24"/>
          <w:szCs w:val="24"/>
        </w:rPr>
        <w:t>Comerţul</w:t>
      </w:r>
      <w:proofErr w:type="spellEnd"/>
      <w:r w:rsidRPr="008772EA">
        <w:rPr>
          <w:rFonts w:ascii="Tahoma" w:eastAsia="SimSun" w:hAnsi="Tahoma" w:cs="Tahoma"/>
          <w:color w:val="00000A"/>
          <w:kern w:val="1"/>
          <w:sz w:val="24"/>
          <w:szCs w:val="24"/>
        </w:rPr>
        <w:t xml:space="preserve"> cu amănuntul al </w:t>
      </w:r>
      <w:proofErr w:type="spellStart"/>
      <w:r w:rsidRPr="008772EA">
        <w:rPr>
          <w:rFonts w:ascii="Tahoma" w:eastAsia="SimSun" w:hAnsi="Tahoma" w:cs="Tahoma"/>
          <w:color w:val="00000A"/>
          <w:kern w:val="1"/>
          <w:sz w:val="24"/>
          <w:szCs w:val="24"/>
        </w:rPr>
        <w:t>carburanţilor</w:t>
      </w:r>
      <w:proofErr w:type="spellEnd"/>
      <w:r w:rsidRPr="008772EA">
        <w:rPr>
          <w:rFonts w:ascii="Tahoma" w:eastAsia="SimSun" w:hAnsi="Tahoma" w:cs="Tahoma"/>
          <w:color w:val="00000A"/>
          <w:kern w:val="1"/>
          <w:sz w:val="24"/>
          <w:szCs w:val="24"/>
        </w:rPr>
        <w:t xml:space="preserve"> pentru autovehicule în magazine specializate a scăzut cu 1,0%. Valoarea schimburilor extra comunitare de bunuri </w:t>
      </w:r>
      <w:r w:rsidRPr="008772EA">
        <w:rPr>
          <w:rFonts w:ascii="Tahoma" w:eastAsia="SimSun" w:hAnsi="Tahoma" w:cs="Tahoma"/>
          <w:color w:val="00000A"/>
          <w:kern w:val="24"/>
          <w:sz w:val="24"/>
          <w:szCs w:val="24"/>
          <w:vertAlign w:val="superscript"/>
        </w:rPr>
        <w:footnoteReference w:id="11"/>
      </w:r>
      <w:r w:rsidRPr="008772EA">
        <w:rPr>
          <w:rFonts w:ascii="Tahoma" w:eastAsia="SimSun" w:hAnsi="Tahoma" w:cs="Tahoma"/>
          <w:color w:val="00000A"/>
          <w:kern w:val="24"/>
          <w:sz w:val="24"/>
          <w:szCs w:val="24"/>
          <w:vertAlign w:val="superscript"/>
        </w:rPr>
        <w:t xml:space="preserve"> </w:t>
      </w:r>
      <w:r w:rsidRPr="008772EA">
        <w:rPr>
          <w:rFonts w:ascii="Tahoma" w:eastAsia="SimSun" w:hAnsi="Tahoma" w:cs="Tahoma"/>
          <w:color w:val="00000A"/>
          <w:kern w:val="1"/>
          <w:sz w:val="24"/>
          <w:szCs w:val="24"/>
        </w:rPr>
        <w:t xml:space="preserve">(Extra-UE27) </w:t>
      </w:r>
      <w:r w:rsidR="004E1AB4" w:rsidRPr="008772EA">
        <w:rPr>
          <w:rFonts w:ascii="Tahoma" w:eastAsia="SimSun" w:hAnsi="Tahoma" w:cs="Tahoma"/>
          <w:color w:val="00000A"/>
          <w:kern w:val="1"/>
          <w:sz w:val="24"/>
          <w:szCs w:val="24"/>
        </w:rPr>
        <w:t>a sc</w:t>
      </w:r>
      <w:r w:rsidR="004E1AB4">
        <w:rPr>
          <w:rFonts w:ascii="Tahoma" w:eastAsia="SimSun" w:hAnsi="Tahoma" w:cs="Tahoma"/>
          <w:color w:val="00000A"/>
          <w:kern w:val="1"/>
          <w:sz w:val="24"/>
          <w:szCs w:val="24"/>
        </w:rPr>
        <w:t>ă</w:t>
      </w:r>
      <w:r w:rsidR="004E1AB4" w:rsidRPr="008772EA">
        <w:rPr>
          <w:rFonts w:ascii="Tahoma" w:eastAsia="SimSun" w:hAnsi="Tahoma" w:cs="Tahoma"/>
          <w:color w:val="00000A"/>
          <w:kern w:val="1"/>
          <w:sz w:val="24"/>
          <w:szCs w:val="24"/>
        </w:rPr>
        <w:t xml:space="preserve">zut cu 5,7% </w:t>
      </w:r>
      <w:r w:rsidRPr="008772EA">
        <w:rPr>
          <w:rFonts w:ascii="Tahoma" w:eastAsia="SimSun" w:hAnsi="Tahoma" w:cs="Tahoma"/>
          <w:color w:val="00000A"/>
          <w:kern w:val="1"/>
          <w:sz w:val="24"/>
          <w:szCs w:val="24"/>
        </w:rPr>
        <w:t xml:space="preserve">la importuri și </w:t>
      </w:r>
      <w:r w:rsidR="004E1AB4" w:rsidRPr="004E1AB4">
        <w:rPr>
          <w:rFonts w:ascii="Tahoma" w:eastAsia="SimSun" w:hAnsi="Tahoma" w:cs="Tahoma"/>
          <w:color w:val="00000A"/>
          <w:kern w:val="1"/>
          <w:sz w:val="24"/>
          <w:szCs w:val="24"/>
        </w:rPr>
        <w:t xml:space="preserve">a crescut cu 8,4% </w:t>
      </w:r>
      <w:r w:rsidRPr="008772EA">
        <w:rPr>
          <w:rFonts w:ascii="Tahoma" w:eastAsia="SimSun" w:hAnsi="Tahoma" w:cs="Tahoma"/>
          <w:color w:val="00000A"/>
          <w:kern w:val="1"/>
          <w:sz w:val="24"/>
          <w:szCs w:val="24"/>
        </w:rPr>
        <w:t xml:space="preserve">la exporturi (la valori exprimate în lei) în primele 5 luni ale anului 2023 comparativ cu perioada similară a anului precedent. </w:t>
      </w:r>
    </w:p>
    <w:p w:rsidR="008772EA" w:rsidRPr="008772EA" w:rsidRDefault="008772EA" w:rsidP="008772EA">
      <w:pPr>
        <w:tabs>
          <w:tab w:val="left" w:pos="284"/>
        </w:tabs>
        <w:autoSpaceDE w:val="0"/>
        <w:autoSpaceDN w:val="0"/>
        <w:adjustRightInd w:val="0"/>
        <w:spacing w:after="120" w:line="276" w:lineRule="auto"/>
        <w:ind w:left="284" w:firstLine="0"/>
        <w:rPr>
          <w:rFonts w:ascii="Tahoma" w:hAnsi="Tahoma" w:cs="Tahoma"/>
          <w:sz w:val="24"/>
          <w:szCs w:val="24"/>
        </w:rPr>
      </w:pPr>
      <w:r w:rsidRPr="008772EA">
        <w:rPr>
          <w:rFonts w:ascii="Tahoma" w:hAnsi="Tahoma" w:cs="Tahoma"/>
          <w:b/>
          <w:sz w:val="24"/>
          <w:szCs w:val="24"/>
        </w:rPr>
        <w:t>Veniturile din accize</w:t>
      </w:r>
      <w:r w:rsidRPr="008772EA">
        <w:rPr>
          <w:rFonts w:ascii="Tahoma" w:hAnsi="Tahoma" w:cs="Tahoma"/>
          <w:sz w:val="24"/>
          <w:szCs w:val="24"/>
        </w:rPr>
        <w:t xml:space="preserve"> au însumat 17,7 miliarde lei, în creștere cu 6,4% (+1,1 miliarde lei), comparativ cu aceeași perioadă a anului precedent, influențată de creșterea încasărilor la accizele pentru produsele din tutun de 16,9% (+1,3 miliarde lei), pe fondul unui nivel majorat al accizei la țigarete cu 5,2%</w:t>
      </w:r>
      <w:r w:rsidRPr="008772EA">
        <w:rPr>
          <w:rStyle w:val="FootnoteReference"/>
          <w:rFonts w:ascii="Tahoma" w:hAnsi="Tahoma" w:cs="Tahoma"/>
          <w:sz w:val="24"/>
          <w:szCs w:val="24"/>
        </w:rPr>
        <w:footnoteReference w:id="12"/>
      </w:r>
      <w:r w:rsidRPr="008772EA">
        <w:rPr>
          <w:rFonts w:ascii="Tahoma" w:hAnsi="Tahoma" w:cs="Tahoma"/>
          <w:sz w:val="24"/>
          <w:szCs w:val="24"/>
        </w:rPr>
        <w:t xml:space="preserve"> de la 1 aprilie 2023.</w:t>
      </w:r>
    </w:p>
    <w:p w:rsidR="00862C96" w:rsidRPr="00862C96" w:rsidRDefault="00862C96" w:rsidP="00862C96">
      <w:pPr>
        <w:tabs>
          <w:tab w:val="left" w:pos="284"/>
        </w:tabs>
        <w:autoSpaceDE w:val="0"/>
        <w:autoSpaceDN w:val="0"/>
        <w:adjustRightInd w:val="0"/>
        <w:spacing w:after="120" w:line="276" w:lineRule="auto"/>
        <w:ind w:left="284" w:firstLine="0"/>
        <w:rPr>
          <w:rFonts w:ascii="Tahoma" w:hAnsi="Tahoma" w:cs="Tahoma"/>
          <w:sz w:val="24"/>
          <w:szCs w:val="24"/>
        </w:rPr>
      </w:pPr>
      <w:r w:rsidRPr="00862C96">
        <w:rPr>
          <w:rFonts w:ascii="Tahoma" w:hAnsi="Tahoma" w:cs="Tahoma"/>
          <w:sz w:val="24"/>
          <w:szCs w:val="24"/>
        </w:rPr>
        <w:t xml:space="preserve">Veniturile aferente accizelor încasate din vânzarea produselor energetice înregistrează în perioada analizată o scădere cu 2,7% (din care -0,3 miliarde lei reprezintă scăderea înregistrată la accizele încasate din vânzarea de motorină), pe fondul scăderii cu 1,0% a </w:t>
      </w:r>
      <w:proofErr w:type="spellStart"/>
      <w:r w:rsidRPr="00862C96">
        <w:rPr>
          <w:rFonts w:ascii="Tahoma" w:hAnsi="Tahoma" w:cs="Tahoma"/>
          <w:sz w:val="24"/>
          <w:szCs w:val="24"/>
        </w:rPr>
        <w:t>comerţului</w:t>
      </w:r>
      <w:proofErr w:type="spellEnd"/>
      <w:r w:rsidRPr="00862C96">
        <w:rPr>
          <w:rFonts w:ascii="Tahoma" w:hAnsi="Tahoma" w:cs="Tahoma"/>
          <w:sz w:val="24"/>
          <w:szCs w:val="24"/>
        </w:rPr>
        <w:t xml:space="preserve"> cu amănuntul la </w:t>
      </w:r>
      <w:proofErr w:type="spellStart"/>
      <w:r w:rsidRPr="00862C96">
        <w:rPr>
          <w:rFonts w:ascii="Tahoma" w:hAnsi="Tahoma" w:cs="Tahoma"/>
          <w:sz w:val="24"/>
          <w:szCs w:val="24"/>
        </w:rPr>
        <w:t>carburanţi</w:t>
      </w:r>
      <w:proofErr w:type="spellEnd"/>
      <w:r w:rsidRPr="00862C96">
        <w:rPr>
          <w:rFonts w:ascii="Tahoma" w:hAnsi="Tahoma" w:cs="Tahoma"/>
          <w:sz w:val="24"/>
          <w:szCs w:val="24"/>
        </w:rPr>
        <w:t xml:space="preserve"> pentru autovehicule în magazine specializate. </w:t>
      </w:r>
    </w:p>
    <w:p w:rsidR="00862C96" w:rsidRPr="00862C96" w:rsidRDefault="008772EA" w:rsidP="00862C96">
      <w:pPr>
        <w:tabs>
          <w:tab w:val="left" w:pos="284"/>
        </w:tabs>
        <w:autoSpaceDE w:val="0"/>
        <w:autoSpaceDN w:val="0"/>
        <w:adjustRightInd w:val="0"/>
        <w:spacing w:after="120" w:line="276" w:lineRule="auto"/>
        <w:ind w:left="284" w:firstLine="0"/>
        <w:rPr>
          <w:rFonts w:ascii="Tahoma" w:hAnsi="Tahoma" w:cs="Tahoma"/>
          <w:sz w:val="24"/>
          <w:szCs w:val="24"/>
          <w:lang w:val="en-US"/>
        </w:rPr>
      </w:pPr>
      <w:r w:rsidRPr="008772EA">
        <w:rPr>
          <w:rFonts w:ascii="Tahoma" w:hAnsi="Tahoma" w:cs="Tahoma"/>
          <w:sz w:val="24"/>
          <w:szCs w:val="24"/>
        </w:rPr>
        <w:t>Gradul de realizare din accize față de programul stabilit pentru această perioadă este de 96,0% (-0,7 miliarde lei</w:t>
      </w:r>
      <w:r w:rsidRPr="00862C96">
        <w:rPr>
          <w:rFonts w:ascii="Tahoma" w:hAnsi="Tahoma" w:cs="Tahoma"/>
          <w:sz w:val="24"/>
          <w:szCs w:val="24"/>
        </w:rPr>
        <w:t>).</w:t>
      </w:r>
      <w:r w:rsidR="00862C96" w:rsidRPr="00862C96">
        <w:rPr>
          <w:rFonts w:eastAsia="SimSun" w:cs="Liberation Serif"/>
          <w:color w:val="FF0000"/>
          <w:kern w:val="1"/>
          <w:sz w:val="24"/>
          <w:szCs w:val="24"/>
        </w:rPr>
        <w:t xml:space="preserve"> </w:t>
      </w:r>
      <w:r w:rsidR="00862C96" w:rsidRPr="00862C96">
        <w:rPr>
          <w:rFonts w:ascii="Tahoma" w:hAnsi="Tahoma" w:cs="Tahoma"/>
          <w:sz w:val="24"/>
          <w:szCs w:val="24"/>
        </w:rPr>
        <w:t xml:space="preserve">Evoluția lunară a încasărilor din accize prezintă în </w:t>
      </w:r>
      <w:r w:rsidR="00862C96" w:rsidRPr="00862C96">
        <w:rPr>
          <w:rFonts w:ascii="Tahoma" w:hAnsi="Tahoma" w:cs="Tahoma"/>
          <w:sz w:val="24"/>
          <w:szCs w:val="24"/>
        </w:rPr>
        <w:lastRenderedPageBreak/>
        <w:t>general o volatilitate mai ridicată, determinată de politica operatorilor economici de antrepozitare fiscală a produselor accizabile</w:t>
      </w:r>
      <w:r w:rsidR="00862C96" w:rsidRPr="00862C96">
        <w:rPr>
          <w:rFonts w:ascii="Tahoma" w:hAnsi="Tahoma" w:cs="Tahoma"/>
          <w:sz w:val="24"/>
          <w:szCs w:val="24"/>
          <w:lang w:val="en-US"/>
        </w:rPr>
        <w:t>.</w:t>
      </w:r>
    </w:p>
    <w:p w:rsidR="005B74EC" w:rsidRPr="005B74EC" w:rsidRDefault="004D6D76" w:rsidP="005B74EC">
      <w:pPr>
        <w:autoSpaceDE w:val="0"/>
        <w:autoSpaceDN w:val="0"/>
        <w:adjustRightInd w:val="0"/>
        <w:spacing w:line="276" w:lineRule="auto"/>
        <w:ind w:left="284" w:firstLine="0"/>
        <w:rPr>
          <w:rFonts w:ascii="Tahoma" w:hAnsi="Tahoma" w:cs="Tahoma"/>
          <w:bCs/>
          <w:sz w:val="24"/>
          <w:szCs w:val="24"/>
        </w:rPr>
      </w:pPr>
      <w:r w:rsidRPr="005B74EC">
        <w:rPr>
          <w:rFonts w:ascii="Tahoma" w:hAnsi="Tahoma" w:cs="Tahoma"/>
          <w:b/>
          <w:sz w:val="24"/>
          <w:szCs w:val="24"/>
        </w:rPr>
        <w:t xml:space="preserve">Încasările din alte impozite și taxe pe bunuri și servicii </w:t>
      </w:r>
      <w:r w:rsidR="00B83B89" w:rsidRPr="005B74EC">
        <w:rPr>
          <w:rFonts w:ascii="Tahoma" w:hAnsi="Tahoma" w:cs="Tahoma"/>
          <w:sz w:val="24"/>
          <w:szCs w:val="24"/>
        </w:rPr>
        <w:t xml:space="preserve">în valoare de </w:t>
      </w:r>
      <w:r w:rsidR="00104C14" w:rsidRPr="005B74EC">
        <w:rPr>
          <w:rFonts w:ascii="Tahoma" w:hAnsi="Tahoma" w:cs="Tahoma"/>
          <w:sz w:val="24"/>
          <w:szCs w:val="24"/>
        </w:rPr>
        <w:t>8,</w:t>
      </w:r>
      <w:r w:rsidR="004E72CB">
        <w:rPr>
          <w:rFonts w:ascii="Tahoma" w:hAnsi="Tahoma" w:cs="Tahoma"/>
          <w:sz w:val="24"/>
          <w:szCs w:val="24"/>
        </w:rPr>
        <w:t>3</w:t>
      </w:r>
      <w:r w:rsidR="00B83B89" w:rsidRPr="005B74EC">
        <w:rPr>
          <w:rFonts w:ascii="Tahoma" w:hAnsi="Tahoma" w:cs="Tahoma"/>
          <w:sz w:val="24"/>
          <w:szCs w:val="24"/>
        </w:rPr>
        <w:t xml:space="preserve"> miliarde </w:t>
      </w:r>
      <w:r w:rsidR="003A634F" w:rsidRPr="005B74EC">
        <w:rPr>
          <w:rFonts w:ascii="Tahoma" w:hAnsi="Tahoma" w:cs="Tahoma"/>
          <w:sz w:val="24"/>
          <w:szCs w:val="24"/>
        </w:rPr>
        <w:t>lei</w:t>
      </w:r>
      <w:r w:rsidR="00B83B89" w:rsidRPr="005B74EC">
        <w:rPr>
          <w:rFonts w:ascii="Tahoma" w:hAnsi="Tahoma" w:cs="Tahoma"/>
          <w:sz w:val="24"/>
          <w:szCs w:val="24"/>
        </w:rPr>
        <w:t xml:space="preserve">, </w:t>
      </w:r>
      <w:r w:rsidR="00DC4955" w:rsidRPr="005B74EC">
        <w:rPr>
          <w:rFonts w:ascii="Tahoma" w:hAnsi="Tahoma" w:cs="Tahoma"/>
          <w:bCs/>
          <w:sz w:val="24"/>
          <w:szCs w:val="24"/>
        </w:rPr>
        <w:t xml:space="preserve">au înregistrat o </w:t>
      </w:r>
      <w:r w:rsidR="00104C14" w:rsidRPr="005B74EC">
        <w:rPr>
          <w:rFonts w:ascii="Tahoma" w:hAnsi="Tahoma" w:cs="Tahoma"/>
          <w:bCs/>
          <w:sz w:val="24"/>
          <w:szCs w:val="24"/>
        </w:rPr>
        <w:t>scădere comparativ cu anul precedent cu 10,5%(-0,97 miliarde lei)</w:t>
      </w:r>
      <w:r w:rsidR="00DC4955" w:rsidRPr="005B74EC">
        <w:rPr>
          <w:rFonts w:ascii="Tahoma" w:hAnsi="Tahoma" w:cs="Tahoma"/>
          <w:bCs/>
          <w:sz w:val="24"/>
          <w:szCs w:val="24"/>
        </w:rPr>
        <w:t xml:space="preserve">, pe seama evoluției încasărilor la bugetul de stat </w:t>
      </w:r>
      <w:r w:rsidR="005B74EC" w:rsidRPr="005B74EC">
        <w:rPr>
          <w:rFonts w:ascii="Tahoma" w:hAnsi="Tahoma" w:cs="Tahoma"/>
          <w:bCs/>
          <w:sz w:val="24"/>
          <w:szCs w:val="24"/>
        </w:rPr>
        <w:t>(-18,4% comparativ cu anul anterior) ca urmare a modificărilor legislative privind impozitarea operatorilor economici ce își desfășoară activitatea în domeniul energiei electrice și a gazelor naturale</w:t>
      </w:r>
      <w:r w:rsidR="005B74EC" w:rsidRPr="005B74EC">
        <w:rPr>
          <w:rStyle w:val="FootnoteReference"/>
          <w:rFonts w:ascii="Tahoma" w:hAnsi="Tahoma" w:cs="Tahoma"/>
          <w:bCs/>
          <w:sz w:val="24"/>
          <w:szCs w:val="24"/>
        </w:rPr>
        <w:t xml:space="preserve"> </w:t>
      </w:r>
      <w:r w:rsidR="005B74EC" w:rsidRPr="005B74EC">
        <w:rPr>
          <w:rFonts w:ascii="Tahoma" w:hAnsi="Tahoma" w:cs="Tahoma"/>
          <w:bCs/>
          <w:sz w:val="24"/>
          <w:szCs w:val="24"/>
        </w:rPr>
        <w:t xml:space="preserve">aprobate în cursul anului 2022. Modificări în impozitare și în structură ale acestui capitol bugetar au avut loc prin O.U.G. nr. 119/2022, începând cu 1 septembrie 2022, prin abrogarea impozitului  pe venitul suplimentar realizat de producătorii de energie electrică (instituit prin Legea nr. 259/2021) și instituirea contribuției  la Fondul de tranziție energetică datorată de producătorii de energie electrică, </w:t>
      </w:r>
      <w:proofErr w:type="spellStart"/>
      <w:r w:rsidR="005B74EC" w:rsidRPr="005B74EC">
        <w:rPr>
          <w:rFonts w:ascii="Tahoma" w:hAnsi="Tahoma" w:cs="Tahoma"/>
          <w:bCs/>
          <w:sz w:val="24"/>
          <w:szCs w:val="24"/>
        </w:rPr>
        <w:t>entităţile</w:t>
      </w:r>
      <w:proofErr w:type="spellEnd"/>
      <w:r w:rsidR="005B74EC" w:rsidRPr="005B74EC">
        <w:rPr>
          <w:rFonts w:ascii="Tahoma" w:hAnsi="Tahoma" w:cs="Tahoma"/>
          <w:bCs/>
          <w:sz w:val="24"/>
          <w:szCs w:val="24"/>
        </w:rPr>
        <w:t xml:space="preserve"> agregate de producere a energiei electrice, </w:t>
      </w:r>
      <w:proofErr w:type="spellStart"/>
      <w:r w:rsidR="005B74EC" w:rsidRPr="005B74EC">
        <w:rPr>
          <w:rFonts w:ascii="Tahoma" w:hAnsi="Tahoma" w:cs="Tahoma"/>
          <w:bCs/>
          <w:sz w:val="24"/>
          <w:szCs w:val="24"/>
        </w:rPr>
        <w:t>traderii</w:t>
      </w:r>
      <w:proofErr w:type="spellEnd"/>
      <w:r w:rsidR="005B74EC" w:rsidRPr="005B74EC">
        <w:rPr>
          <w:rFonts w:ascii="Tahoma" w:hAnsi="Tahoma" w:cs="Tahoma"/>
          <w:bCs/>
          <w:sz w:val="24"/>
          <w:szCs w:val="24"/>
        </w:rPr>
        <w:t xml:space="preserve">, furnizorii care </w:t>
      </w:r>
      <w:proofErr w:type="spellStart"/>
      <w:r w:rsidR="005B74EC" w:rsidRPr="005B74EC">
        <w:rPr>
          <w:rFonts w:ascii="Tahoma" w:hAnsi="Tahoma" w:cs="Tahoma"/>
          <w:bCs/>
          <w:sz w:val="24"/>
          <w:szCs w:val="24"/>
        </w:rPr>
        <w:t>desfăşoară</w:t>
      </w:r>
      <w:proofErr w:type="spellEnd"/>
      <w:r w:rsidR="005B74EC" w:rsidRPr="005B74EC">
        <w:rPr>
          <w:rFonts w:ascii="Tahoma" w:hAnsi="Tahoma" w:cs="Tahoma"/>
          <w:bCs/>
          <w:sz w:val="24"/>
          <w:szCs w:val="24"/>
        </w:rPr>
        <w:t xml:space="preserve"> activitatea de </w:t>
      </w:r>
      <w:proofErr w:type="spellStart"/>
      <w:r w:rsidR="005B74EC" w:rsidRPr="005B74EC">
        <w:rPr>
          <w:rFonts w:ascii="Tahoma" w:hAnsi="Tahoma" w:cs="Tahoma"/>
          <w:bCs/>
          <w:sz w:val="24"/>
          <w:szCs w:val="24"/>
        </w:rPr>
        <w:t>trading</w:t>
      </w:r>
      <w:proofErr w:type="spellEnd"/>
      <w:r w:rsidR="005B74EC" w:rsidRPr="005B74EC">
        <w:rPr>
          <w:rFonts w:ascii="Tahoma" w:hAnsi="Tahoma" w:cs="Tahoma"/>
          <w:bCs/>
          <w:sz w:val="24"/>
          <w:szCs w:val="24"/>
        </w:rPr>
        <w:t xml:space="preserve"> </w:t>
      </w:r>
      <w:proofErr w:type="spellStart"/>
      <w:r w:rsidR="005B74EC" w:rsidRPr="005B74EC">
        <w:rPr>
          <w:rFonts w:ascii="Tahoma" w:hAnsi="Tahoma" w:cs="Tahoma"/>
          <w:bCs/>
          <w:sz w:val="24"/>
          <w:szCs w:val="24"/>
        </w:rPr>
        <w:t>şi</w:t>
      </w:r>
      <w:proofErr w:type="spellEnd"/>
      <w:r w:rsidR="005B74EC" w:rsidRPr="005B74EC">
        <w:rPr>
          <w:rFonts w:ascii="Tahoma" w:hAnsi="Tahoma" w:cs="Tahoma"/>
          <w:bCs/>
          <w:sz w:val="24"/>
          <w:szCs w:val="24"/>
        </w:rPr>
        <w:t xml:space="preserve"> agregatorii care </w:t>
      </w:r>
      <w:proofErr w:type="spellStart"/>
      <w:r w:rsidR="005B74EC" w:rsidRPr="005B74EC">
        <w:rPr>
          <w:rFonts w:ascii="Tahoma" w:hAnsi="Tahoma" w:cs="Tahoma"/>
          <w:bCs/>
          <w:sz w:val="24"/>
          <w:szCs w:val="24"/>
        </w:rPr>
        <w:t>tranzacţionează</w:t>
      </w:r>
      <w:proofErr w:type="spellEnd"/>
      <w:r w:rsidR="005B74EC" w:rsidRPr="005B74EC">
        <w:rPr>
          <w:rFonts w:ascii="Tahoma" w:hAnsi="Tahoma" w:cs="Tahoma"/>
          <w:bCs/>
          <w:sz w:val="24"/>
          <w:szCs w:val="24"/>
        </w:rPr>
        <w:t xml:space="preserve"> </w:t>
      </w:r>
      <w:proofErr w:type="spellStart"/>
      <w:r w:rsidR="005B74EC" w:rsidRPr="005B74EC">
        <w:rPr>
          <w:rFonts w:ascii="Tahoma" w:hAnsi="Tahoma" w:cs="Tahoma"/>
          <w:bCs/>
          <w:sz w:val="24"/>
          <w:szCs w:val="24"/>
        </w:rPr>
        <w:t>cantităţi</w:t>
      </w:r>
      <w:proofErr w:type="spellEnd"/>
      <w:r w:rsidR="005B74EC" w:rsidRPr="005B74EC">
        <w:rPr>
          <w:rFonts w:ascii="Tahoma" w:hAnsi="Tahoma" w:cs="Tahoma"/>
          <w:bCs/>
          <w:sz w:val="24"/>
          <w:szCs w:val="24"/>
        </w:rPr>
        <w:t xml:space="preserve"> de energie electrică </w:t>
      </w:r>
      <w:proofErr w:type="spellStart"/>
      <w:r w:rsidR="005B74EC" w:rsidRPr="005B74EC">
        <w:rPr>
          <w:rFonts w:ascii="Tahoma" w:hAnsi="Tahoma" w:cs="Tahoma"/>
          <w:bCs/>
          <w:sz w:val="24"/>
          <w:szCs w:val="24"/>
        </w:rPr>
        <w:t>şi</w:t>
      </w:r>
      <w:proofErr w:type="spellEnd"/>
      <w:r w:rsidR="005B74EC" w:rsidRPr="005B74EC">
        <w:rPr>
          <w:rFonts w:ascii="Tahoma" w:hAnsi="Tahoma" w:cs="Tahoma"/>
          <w:bCs/>
          <w:sz w:val="24"/>
          <w:szCs w:val="24"/>
        </w:rPr>
        <w:t xml:space="preserve">/sau gaze naturale pe </w:t>
      </w:r>
      <w:proofErr w:type="spellStart"/>
      <w:r w:rsidR="005B74EC" w:rsidRPr="005B74EC">
        <w:rPr>
          <w:rFonts w:ascii="Tahoma" w:hAnsi="Tahoma" w:cs="Tahoma"/>
          <w:bCs/>
          <w:sz w:val="24"/>
          <w:szCs w:val="24"/>
        </w:rPr>
        <w:t>piaţa</w:t>
      </w:r>
      <w:proofErr w:type="spellEnd"/>
      <w:r w:rsidR="005B74EC" w:rsidRPr="005B74EC">
        <w:rPr>
          <w:rFonts w:ascii="Tahoma" w:hAnsi="Tahoma" w:cs="Tahoma"/>
          <w:bCs/>
          <w:sz w:val="24"/>
          <w:szCs w:val="24"/>
        </w:rPr>
        <w:t xml:space="preserve"> angro, precum </w:t>
      </w:r>
      <w:proofErr w:type="spellStart"/>
      <w:r w:rsidR="005B74EC" w:rsidRPr="005B74EC">
        <w:rPr>
          <w:rFonts w:ascii="Tahoma" w:hAnsi="Tahoma" w:cs="Tahoma"/>
          <w:bCs/>
          <w:sz w:val="24"/>
          <w:szCs w:val="24"/>
        </w:rPr>
        <w:t>şi</w:t>
      </w:r>
      <w:proofErr w:type="spellEnd"/>
      <w:r w:rsidR="005B74EC" w:rsidRPr="005B74EC">
        <w:rPr>
          <w:rFonts w:ascii="Tahoma" w:hAnsi="Tahoma" w:cs="Tahoma"/>
          <w:bCs/>
          <w:sz w:val="24"/>
          <w:szCs w:val="24"/>
        </w:rPr>
        <w:t xml:space="preserve"> partenerii din contractele financiare de asigurare a riscurilor (contracte de </w:t>
      </w:r>
      <w:proofErr w:type="spellStart"/>
      <w:r w:rsidR="005B74EC" w:rsidRPr="005B74EC">
        <w:rPr>
          <w:rFonts w:ascii="Tahoma" w:hAnsi="Tahoma" w:cs="Tahoma"/>
          <w:bCs/>
          <w:sz w:val="24"/>
          <w:szCs w:val="24"/>
        </w:rPr>
        <w:t>hedging</w:t>
      </w:r>
      <w:proofErr w:type="spellEnd"/>
      <w:r w:rsidR="005B74EC" w:rsidRPr="005B74EC">
        <w:rPr>
          <w:rFonts w:ascii="Tahoma" w:hAnsi="Tahoma" w:cs="Tahoma"/>
          <w:bCs/>
          <w:sz w:val="24"/>
          <w:szCs w:val="24"/>
        </w:rPr>
        <w:t xml:space="preserve">). </w:t>
      </w:r>
    </w:p>
    <w:p w:rsidR="005B74EC" w:rsidRPr="005B74EC" w:rsidRDefault="005B74EC" w:rsidP="005B74EC">
      <w:pPr>
        <w:autoSpaceDE w:val="0"/>
        <w:autoSpaceDN w:val="0"/>
        <w:adjustRightInd w:val="0"/>
        <w:spacing w:line="276" w:lineRule="auto"/>
        <w:ind w:left="284" w:firstLine="0"/>
        <w:rPr>
          <w:rFonts w:ascii="Tahoma" w:hAnsi="Tahoma" w:cs="Tahoma"/>
          <w:bCs/>
          <w:sz w:val="24"/>
          <w:szCs w:val="24"/>
        </w:rPr>
      </w:pPr>
      <w:r w:rsidRPr="005B74EC">
        <w:rPr>
          <w:rFonts w:ascii="Tahoma" w:hAnsi="Tahoma" w:cs="Tahoma"/>
          <w:bCs/>
          <w:sz w:val="24"/>
          <w:szCs w:val="24"/>
        </w:rPr>
        <w:t xml:space="preserve">Gradul de realizare a programului, la bugetul de stat, este de 30,1% (-3,4 miliarde lei). Nerealizarea se datorează în principal impozitului pe veniturile suplimentare obținute ca urmare a </w:t>
      </w:r>
      <w:proofErr w:type="spellStart"/>
      <w:r w:rsidRPr="005B74EC">
        <w:rPr>
          <w:rFonts w:ascii="Tahoma" w:hAnsi="Tahoma" w:cs="Tahoma"/>
          <w:bCs/>
          <w:sz w:val="24"/>
          <w:szCs w:val="24"/>
        </w:rPr>
        <w:t>dereglementării</w:t>
      </w:r>
      <w:proofErr w:type="spellEnd"/>
      <w:r w:rsidRPr="005B74EC">
        <w:rPr>
          <w:rFonts w:ascii="Tahoma" w:hAnsi="Tahoma" w:cs="Tahoma"/>
          <w:bCs/>
          <w:sz w:val="24"/>
          <w:szCs w:val="24"/>
        </w:rPr>
        <w:t xml:space="preserve"> prețurilor din sectorul gazelor naturale, pe fondul modificărilor legislative ale O.U.G. nr. 27/2022 modificată și completată prin O.U.G. nr.119/2022.</w:t>
      </w:r>
    </w:p>
    <w:p w:rsidR="00DC4955" w:rsidRPr="005B74EC" w:rsidRDefault="00DC4955" w:rsidP="005B74EC">
      <w:pPr>
        <w:keepNext/>
        <w:keepLines/>
        <w:spacing w:after="120" w:line="276" w:lineRule="auto"/>
        <w:ind w:left="284" w:firstLine="0"/>
        <w:rPr>
          <w:rFonts w:ascii="Tahoma" w:hAnsi="Tahoma" w:cs="Tahoma"/>
          <w:sz w:val="24"/>
          <w:szCs w:val="24"/>
        </w:rPr>
      </w:pPr>
      <w:r w:rsidRPr="005B74EC">
        <w:rPr>
          <w:rFonts w:ascii="Tahoma" w:hAnsi="Tahoma" w:cs="Tahoma"/>
          <w:b/>
          <w:sz w:val="24"/>
          <w:szCs w:val="24"/>
        </w:rPr>
        <w:t xml:space="preserve">Încasările din taxa pe utilizarea bunurilor, autorizarea utilizării bunurilor sau pe desfășurarea de activități </w:t>
      </w:r>
      <w:r w:rsidRPr="005B74EC">
        <w:rPr>
          <w:rFonts w:ascii="Tahoma" w:hAnsi="Tahoma" w:cs="Tahoma"/>
          <w:sz w:val="24"/>
          <w:szCs w:val="24"/>
        </w:rPr>
        <w:t>au crescut comparativ cu încasările semestrul I 202</w:t>
      </w:r>
      <w:r w:rsidR="005B74EC" w:rsidRPr="005B74EC">
        <w:rPr>
          <w:rFonts w:ascii="Tahoma" w:hAnsi="Tahoma" w:cs="Tahoma"/>
          <w:sz w:val="24"/>
          <w:szCs w:val="24"/>
        </w:rPr>
        <w:t>2</w:t>
      </w:r>
      <w:r w:rsidRPr="005B74EC">
        <w:rPr>
          <w:rFonts w:ascii="Tahoma" w:hAnsi="Tahoma" w:cs="Tahoma"/>
          <w:sz w:val="24"/>
          <w:szCs w:val="24"/>
        </w:rPr>
        <w:t xml:space="preserve"> cu 0,6</w:t>
      </w:r>
      <w:r w:rsidR="005B74EC" w:rsidRPr="005B74EC">
        <w:rPr>
          <w:rFonts w:ascii="Tahoma" w:hAnsi="Tahoma" w:cs="Tahoma"/>
          <w:sz w:val="24"/>
          <w:szCs w:val="24"/>
        </w:rPr>
        <w:t>6</w:t>
      </w:r>
      <w:r w:rsidRPr="005B74EC">
        <w:rPr>
          <w:rFonts w:ascii="Tahoma" w:hAnsi="Tahoma" w:cs="Tahoma"/>
          <w:sz w:val="24"/>
          <w:szCs w:val="24"/>
        </w:rPr>
        <w:t xml:space="preserve"> miliarde </w:t>
      </w:r>
      <w:r w:rsidR="003A634F" w:rsidRPr="005B74EC">
        <w:rPr>
          <w:rFonts w:ascii="Tahoma" w:hAnsi="Tahoma" w:cs="Tahoma"/>
          <w:sz w:val="24"/>
          <w:szCs w:val="24"/>
        </w:rPr>
        <w:t>lei</w:t>
      </w:r>
      <w:r w:rsidR="00FD1630" w:rsidRPr="005B74EC">
        <w:rPr>
          <w:rFonts w:ascii="Tahoma" w:hAnsi="Tahoma" w:cs="Tahoma"/>
          <w:sz w:val="24"/>
          <w:szCs w:val="24"/>
        </w:rPr>
        <w:t xml:space="preserve"> </w:t>
      </w:r>
      <w:r w:rsidRPr="005B74EC">
        <w:rPr>
          <w:rFonts w:ascii="Tahoma" w:hAnsi="Tahoma" w:cs="Tahoma"/>
          <w:sz w:val="24"/>
          <w:szCs w:val="24"/>
        </w:rPr>
        <w:t>(+</w:t>
      </w:r>
      <w:r w:rsidR="005B74EC" w:rsidRPr="005B74EC">
        <w:rPr>
          <w:rFonts w:ascii="Tahoma" w:hAnsi="Tahoma" w:cs="Tahoma"/>
          <w:sz w:val="24"/>
          <w:szCs w:val="24"/>
        </w:rPr>
        <w:t>19,8</w:t>
      </w:r>
      <w:r w:rsidRPr="005B74EC">
        <w:rPr>
          <w:rFonts w:ascii="Tahoma" w:hAnsi="Tahoma" w:cs="Tahoma"/>
          <w:sz w:val="24"/>
          <w:szCs w:val="24"/>
        </w:rPr>
        <w:t xml:space="preserve">%), gradul de realizare al programului trimestrial fiind de </w:t>
      </w:r>
      <w:r w:rsidR="005B74EC" w:rsidRPr="005B74EC">
        <w:rPr>
          <w:rFonts w:ascii="Tahoma" w:hAnsi="Tahoma" w:cs="Tahoma"/>
          <w:sz w:val="24"/>
          <w:szCs w:val="24"/>
        </w:rPr>
        <w:t>104,8</w:t>
      </w:r>
      <w:r w:rsidRPr="005B74EC">
        <w:rPr>
          <w:rFonts w:ascii="Tahoma" w:hAnsi="Tahoma" w:cs="Tahoma"/>
          <w:sz w:val="24"/>
          <w:szCs w:val="24"/>
        </w:rPr>
        <w:t>%.</w:t>
      </w:r>
    </w:p>
    <w:p w:rsidR="005B74EC" w:rsidRPr="005B74EC" w:rsidRDefault="00DC4955" w:rsidP="005B74EC">
      <w:pPr>
        <w:autoSpaceDE w:val="0"/>
        <w:autoSpaceDN w:val="0"/>
        <w:adjustRightInd w:val="0"/>
        <w:spacing w:line="276" w:lineRule="auto"/>
        <w:ind w:left="284" w:firstLine="0"/>
        <w:rPr>
          <w:rFonts w:ascii="Tahoma" w:hAnsi="Tahoma" w:cs="Tahoma"/>
          <w:bCs/>
          <w:sz w:val="24"/>
          <w:szCs w:val="24"/>
        </w:rPr>
      </w:pPr>
      <w:r w:rsidRPr="005B74EC">
        <w:rPr>
          <w:rFonts w:ascii="Tahoma" w:hAnsi="Tahoma" w:cs="Tahoma"/>
          <w:sz w:val="24"/>
          <w:szCs w:val="24"/>
        </w:rPr>
        <w:t xml:space="preserve">Evoluția încasărilor din </w:t>
      </w:r>
      <w:r w:rsidRPr="005B74EC">
        <w:rPr>
          <w:rFonts w:ascii="Tahoma" w:eastAsia="Calibri" w:hAnsi="Tahoma" w:cs="Tahoma"/>
          <w:sz w:val="24"/>
          <w:szCs w:val="24"/>
        </w:rPr>
        <w:t>taxele pe utilizarea bunurilor, autorizarea utilizării bunurilor sau pe desfășurarea de activități</w:t>
      </w:r>
      <w:r w:rsidRPr="005B74EC">
        <w:rPr>
          <w:rFonts w:ascii="Tahoma" w:hAnsi="Tahoma" w:cs="Tahoma"/>
          <w:sz w:val="24"/>
          <w:szCs w:val="24"/>
        </w:rPr>
        <w:t xml:space="preserve"> s-a datorat în principal creșterii înregistrate la bugetul de stat (+</w:t>
      </w:r>
      <w:r w:rsidR="005B74EC" w:rsidRPr="005B74EC">
        <w:rPr>
          <w:rFonts w:ascii="Tahoma" w:hAnsi="Tahoma" w:cs="Tahoma"/>
          <w:sz w:val="24"/>
          <w:szCs w:val="24"/>
        </w:rPr>
        <w:t>30,1</w:t>
      </w:r>
      <w:r w:rsidRPr="005B74EC">
        <w:rPr>
          <w:rFonts w:ascii="Tahoma" w:hAnsi="Tahoma" w:cs="Tahoma"/>
          <w:sz w:val="24"/>
          <w:szCs w:val="24"/>
        </w:rPr>
        <w:t xml:space="preserve">%) </w:t>
      </w:r>
      <w:r w:rsidR="00330AE1" w:rsidRPr="005B74EC">
        <w:rPr>
          <w:rFonts w:ascii="Tahoma" w:eastAsia="Calibri" w:hAnsi="Tahoma" w:cs="Tahoma"/>
          <w:kern w:val="1"/>
          <w:sz w:val="24"/>
          <w:szCs w:val="24"/>
        </w:rPr>
        <w:t>pe seama majorării veniturilor din taxele pentru jocurile de noroc</w:t>
      </w:r>
      <w:r w:rsidR="005B74EC" w:rsidRPr="005B74EC">
        <w:rPr>
          <w:rStyle w:val="FootnoteReference"/>
          <w:rFonts w:ascii="Tahoma" w:hAnsi="Tahoma" w:cs="Tahoma"/>
          <w:bCs/>
          <w:sz w:val="24"/>
          <w:szCs w:val="24"/>
        </w:rPr>
        <w:footnoteReference w:id="13"/>
      </w:r>
      <w:r w:rsidR="00330AE1" w:rsidRPr="005B74EC">
        <w:rPr>
          <w:rFonts w:ascii="Tahoma" w:eastAsia="Calibri" w:hAnsi="Tahoma" w:cs="Tahoma"/>
          <w:kern w:val="1"/>
          <w:sz w:val="24"/>
          <w:szCs w:val="24"/>
        </w:rPr>
        <w:t xml:space="preserve"> (+0,5 miliarde </w:t>
      </w:r>
      <w:r w:rsidR="003A634F" w:rsidRPr="005B74EC">
        <w:rPr>
          <w:rFonts w:ascii="Tahoma" w:eastAsia="Calibri" w:hAnsi="Tahoma" w:cs="Tahoma"/>
          <w:kern w:val="1"/>
          <w:sz w:val="24"/>
          <w:szCs w:val="24"/>
        </w:rPr>
        <w:t>lei</w:t>
      </w:r>
      <w:r w:rsidR="005B74EC" w:rsidRPr="005B74EC">
        <w:rPr>
          <w:rFonts w:ascii="Tahoma" w:eastAsia="Calibri" w:hAnsi="Tahoma" w:cs="Tahoma"/>
          <w:kern w:val="1"/>
          <w:sz w:val="24"/>
          <w:szCs w:val="24"/>
        </w:rPr>
        <w:t>)</w:t>
      </w:r>
      <w:r w:rsidR="00330AE1" w:rsidRPr="005B74EC">
        <w:rPr>
          <w:rFonts w:ascii="Tahoma" w:eastAsia="Calibri" w:hAnsi="Tahoma" w:cs="Tahoma"/>
          <w:kern w:val="1"/>
          <w:sz w:val="24"/>
          <w:szCs w:val="24"/>
        </w:rPr>
        <w:t xml:space="preserve">, </w:t>
      </w:r>
      <w:r w:rsidR="005B74EC" w:rsidRPr="005B74EC">
        <w:rPr>
          <w:rFonts w:ascii="Tahoma" w:hAnsi="Tahoma" w:cs="Tahoma"/>
          <w:bCs/>
          <w:sz w:val="24"/>
          <w:szCs w:val="24"/>
        </w:rPr>
        <w:t>în condițiile unor majorări de taxe aprobate prin O.G nr. 15/2022</w:t>
      </w:r>
      <w:r w:rsidR="005B74EC" w:rsidRPr="005B74EC">
        <w:rPr>
          <w:rFonts w:ascii="Tahoma" w:hAnsi="Tahoma" w:cs="Tahoma"/>
          <w:bCs/>
          <w:sz w:val="24"/>
          <w:szCs w:val="24"/>
          <w:vertAlign w:val="superscript"/>
        </w:rPr>
        <w:footnoteReference w:id="14"/>
      </w:r>
      <w:r w:rsidR="005B74EC" w:rsidRPr="005B74EC">
        <w:rPr>
          <w:rFonts w:ascii="Tahoma" w:hAnsi="Tahoma" w:cs="Tahoma"/>
          <w:bCs/>
          <w:sz w:val="24"/>
          <w:szCs w:val="24"/>
        </w:rPr>
        <w:t>. Gradul de realizare al programului stabilit pentru taxele pentru jocurile de noroc este de 107,4% (+0,1 miliarde lei).</w:t>
      </w:r>
    </w:p>
    <w:p w:rsidR="004D0ED6" w:rsidRPr="004D0ED6" w:rsidRDefault="004D6D76" w:rsidP="004D0ED6">
      <w:pPr>
        <w:autoSpaceDE w:val="0"/>
        <w:autoSpaceDN w:val="0"/>
        <w:adjustRightInd w:val="0"/>
        <w:spacing w:line="276" w:lineRule="auto"/>
        <w:ind w:left="284" w:firstLine="0"/>
        <w:rPr>
          <w:rFonts w:ascii="Tahoma" w:hAnsi="Tahoma" w:cs="Tahoma"/>
          <w:bCs/>
          <w:sz w:val="24"/>
          <w:szCs w:val="24"/>
        </w:rPr>
      </w:pPr>
      <w:r w:rsidRPr="007403CD">
        <w:rPr>
          <w:rFonts w:ascii="Tahoma" w:hAnsi="Tahoma" w:cs="Tahoma"/>
          <w:b/>
          <w:sz w:val="24"/>
          <w:szCs w:val="24"/>
        </w:rPr>
        <w:t>Încasările din</w:t>
      </w:r>
      <w:r w:rsidR="00182ADA" w:rsidRPr="007403CD">
        <w:rPr>
          <w:rFonts w:ascii="Tahoma" w:hAnsi="Tahoma" w:cs="Tahoma"/>
          <w:b/>
          <w:sz w:val="24"/>
          <w:szCs w:val="24"/>
        </w:rPr>
        <w:t xml:space="preserve"> </w:t>
      </w:r>
      <w:r w:rsidRPr="007403CD">
        <w:rPr>
          <w:rFonts w:ascii="Tahoma" w:hAnsi="Tahoma" w:cs="Tahoma"/>
          <w:b/>
          <w:sz w:val="24"/>
          <w:szCs w:val="24"/>
        </w:rPr>
        <w:t xml:space="preserve">impozitul pe comerțul exterior </w:t>
      </w:r>
      <w:r w:rsidR="006E1E76" w:rsidRPr="007403CD">
        <w:rPr>
          <w:rFonts w:ascii="Tahoma" w:hAnsi="Tahoma" w:cs="Tahoma"/>
          <w:b/>
          <w:sz w:val="24"/>
          <w:szCs w:val="24"/>
        </w:rPr>
        <w:t>și</w:t>
      </w:r>
      <w:r w:rsidRPr="007403CD">
        <w:rPr>
          <w:rFonts w:ascii="Tahoma" w:hAnsi="Tahoma" w:cs="Tahoma"/>
          <w:b/>
          <w:sz w:val="24"/>
          <w:szCs w:val="24"/>
        </w:rPr>
        <w:t xml:space="preserve"> tranzacțiile internaționale</w:t>
      </w:r>
      <w:r w:rsidR="00182ADA" w:rsidRPr="007403CD">
        <w:rPr>
          <w:rFonts w:ascii="Tahoma" w:hAnsi="Tahoma" w:cs="Tahoma"/>
          <w:b/>
          <w:sz w:val="24"/>
          <w:szCs w:val="24"/>
        </w:rPr>
        <w:t xml:space="preserve"> </w:t>
      </w:r>
      <w:r w:rsidR="004D0ED6" w:rsidRPr="004D0ED6">
        <w:rPr>
          <w:rFonts w:ascii="Tahoma" w:hAnsi="Tahoma" w:cs="Tahoma"/>
          <w:bCs/>
          <w:sz w:val="24"/>
          <w:szCs w:val="24"/>
        </w:rPr>
        <w:t>în valoare de 0,9 miliarde lei au înregistrat în perioada analizată o scădere cu 9,6% (-0,1 miliarde lei), comparativ cu aceeași perioadă a anului 2022, în condițiile unei scăderi</w:t>
      </w:r>
      <w:r w:rsidR="004D0ED6" w:rsidRPr="004D0ED6">
        <w:rPr>
          <w:rFonts w:ascii="Tahoma" w:hAnsi="Tahoma" w:cs="Tahoma"/>
          <w:sz w:val="24"/>
          <w:szCs w:val="24"/>
          <w:lang w:val="en-US"/>
        </w:rPr>
        <w:t xml:space="preserve"> a </w:t>
      </w:r>
      <w:proofErr w:type="spellStart"/>
      <w:r w:rsidR="004D0ED6" w:rsidRPr="004D0ED6">
        <w:rPr>
          <w:rFonts w:ascii="Tahoma" w:hAnsi="Tahoma" w:cs="Tahoma"/>
          <w:sz w:val="24"/>
          <w:szCs w:val="24"/>
          <w:lang w:val="en-US"/>
        </w:rPr>
        <w:t>importurilor</w:t>
      </w:r>
      <w:proofErr w:type="spellEnd"/>
      <w:r w:rsidR="004D0ED6" w:rsidRPr="004D0ED6">
        <w:rPr>
          <w:rFonts w:ascii="Tahoma" w:hAnsi="Tahoma" w:cs="Tahoma"/>
          <w:sz w:val="24"/>
          <w:szCs w:val="24"/>
          <w:lang w:val="en-US"/>
        </w:rPr>
        <w:t xml:space="preserve"> (Extra-UE27)</w:t>
      </w:r>
      <w:r w:rsidR="004D0ED6" w:rsidRPr="004D0ED6">
        <w:rPr>
          <w:rFonts w:ascii="Tahoma" w:hAnsi="Tahoma" w:cs="Tahoma"/>
          <w:bCs/>
          <w:sz w:val="24"/>
          <w:szCs w:val="24"/>
        </w:rPr>
        <w:t xml:space="preserve"> </w:t>
      </w:r>
      <w:r w:rsidR="004D0ED6" w:rsidRPr="004D0ED6">
        <w:rPr>
          <w:rFonts w:ascii="Tahoma" w:hAnsi="Tahoma" w:cs="Tahoma"/>
          <w:sz w:val="24"/>
          <w:szCs w:val="24"/>
          <w:lang w:val="en-US"/>
        </w:rPr>
        <w:t>cu 5,7%</w:t>
      </w:r>
      <w:r w:rsidR="004D0ED6" w:rsidRPr="004D0ED6">
        <w:rPr>
          <w:rFonts w:ascii="Tahoma" w:hAnsi="Tahoma" w:cs="Tahoma"/>
          <w:sz w:val="24"/>
          <w:szCs w:val="24"/>
          <w:vertAlign w:val="superscript"/>
          <w:lang w:val="en-US"/>
        </w:rPr>
        <w:footnoteReference w:id="15"/>
      </w:r>
      <w:r w:rsidR="004D0ED6" w:rsidRPr="004D0ED6">
        <w:rPr>
          <w:rFonts w:ascii="Tahoma" w:hAnsi="Tahoma" w:cs="Tahoma"/>
          <w:bCs/>
          <w:sz w:val="24"/>
          <w:szCs w:val="24"/>
        </w:rPr>
        <w:t>. Gradul de realizare al acestor venituri este de 74,2% (-0,3 miliarde lei).</w:t>
      </w:r>
    </w:p>
    <w:p w:rsidR="00F6413D" w:rsidRPr="00F6413D" w:rsidRDefault="00B541BA" w:rsidP="00F6413D">
      <w:pPr>
        <w:autoSpaceDE w:val="0"/>
        <w:autoSpaceDN w:val="0"/>
        <w:adjustRightInd w:val="0"/>
        <w:spacing w:after="120" w:line="276" w:lineRule="auto"/>
        <w:ind w:firstLine="0"/>
        <w:rPr>
          <w:rFonts w:ascii="Tahoma" w:eastAsia="Calibri" w:hAnsi="Tahoma" w:cs="Tahoma"/>
          <w:sz w:val="24"/>
          <w:szCs w:val="24"/>
        </w:rPr>
      </w:pPr>
      <w:r w:rsidRPr="007403CD">
        <w:rPr>
          <w:rFonts w:ascii="Tahoma" w:eastAsia="Calibri" w:hAnsi="Tahoma" w:cs="Tahoma"/>
          <w:b/>
          <w:sz w:val="24"/>
          <w:szCs w:val="24"/>
        </w:rPr>
        <w:lastRenderedPageBreak/>
        <w:t>Contribuțiile sociale</w:t>
      </w:r>
      <w:r w:rsidRPr="007403CD">
        <w:rPr>
          <w:rFonts w:ascii="Tahoma" w:eastAsia="Calibri" w:hAnsi="Tahoma" w:cs="Tahoma"/>
          <w:sz w:val="24"/>
          <w:szCs w:val="24"/>
        </w:rPr>
        <w:t xml:space="preserve"> realizate în semestrul I al anului 202</w:t>
      </w:r>
      <w:r w:rsidR="004D0ED6">
        <w:rPr>
          <w:rFonts w:ascii="Tahoma" w:eastAsia="Calibri" w:hAnsi="Tahoma" w:cs="Tahoma"/>
          <w:sz w:val="24"/>
          <w:szCs w:val="24"/>
        </w:rPr>
        <w:t>3</w:t>
      </w:r>
      <w:r w:rsidRPr="007403CD">
        <w:rPr>
          <w:rFonts w:ascii="Tahoma" w:eastAsia="Calibri" w:hAnsi="Tahoma" w:cs="Tahoma"/>
          <w:sz w:val="24"/>
          <w:szCs w:val="24"/>
        </w:rPr>
        <w:t xml:space="preserve"> în sumă de </w:t>
      </w:r>
      <w:r w:rsidR="00F6413D">
        <w:rPr>
          <w:rFonts w:ascii="Tahoma" w:eastAsia="Calibri" w:hAnsi="Tahoma" w:cs="Tahoma"/>
          <w:sz w:val="24"/>
          <w:szCs w:val="24"/>
        </w:rPr>
        <w:t>76,</w:t>
      </w:r>
      <w:r w:rsidR="004E72CB">
        <w:rPr>
          <w:rFonts w:ascii="Tahoma" w:eastAsia="Calibri" w:hAnsi="Tahoma" w:cs="Tahoma"/>
          <w:sz w:val="24"/>
          <w:szCs w:val="24"/>
        </w:rPr>
        <w:t>8</w:t>
      </w:r>
      <w:r w:rsidR="00A7299C" w:rsidRPr="007403CD">
        <w:rPr>
          <w:rFonts w:ascii="Tahoma" w:eastAsia="Calibri" w:hAnsi="Tahoma" w:cs="Tahoma"/>
          <w:sz w:val="24"/>
          <w:szCs w:val="24"/>
        </w:rPr>
        <w:t xml:space="preserve"> miliarde </w:t>
      </w:r>
      <w:r w:rsidR="003A634F">
        <w:rPr>
          <w:rFonts w:ascii="Tahoma" w:eastAsia="Calibri" w:hAnsi="Tahoma" w:cs="Tahoma"/>
          <w:sz w:val="24"/>
          <w:szCs w:val="24"/>
        </w:rPr>
        <w:t>lei</w:t>
      </w:r>
      <w:r w:rsidR="00C77CAD" w:rsidRPr="007403CD">
        <w:rPr>
          <w:rFonts w:ascii="Tahoma" w:eastAsia="Calibri" w:hAnsi="Tahoma" w:cs="Tahoma"/>
          <w:sz w:val="24"/>
          <w:szCs w:val="24"/>
        </w:rPr>
        <w:t xml:space="preserve"> </w:t>
      </w:r>
      <w:r w:rsidR="004D0ED6" w:rsidRPr="004D0ED6">
        <w:rPr>
          <w:rFonts w:ascii="Tahoma" w:eastAsia="Calibri" w:hAnsi="Tahoma" w:cs="Tahoma"/>
          <w:sz w:val="24"/>
          <w:szCs w:val="24"/>
        </w:rPr>
        <w:t>înregistrează, comparativ cu aceeași perioadă a anului precedent, o creștere de 12,1% (+8,3 miliarde lei), sub evoluția fondului brut de salarii la nivel de economie de 14,9%</w:t>
      </w:r>
      <w:r w:rsidR="004D0ED6" w:rsidRPr="004D0ED6">
        <w:rPr>
          <w:rFonts w:ascii="Tahoma" w:eastAsia="Calibri" w:hAnsi="Tahoma" w:cs="Tahoma"/>
          <w:sz w:val="24"/>
          <w:szCs w:val="24"/>
          <w:vertAlign w:val="superscript"/>
        </w:rPr>
        <w:footnoteReference w:id="16"/>
      </w:r>
      <w:r w:rsidR="004D0ED6" w:rsidRPr="004D0ED6">
        <w:rPr>
          <w:rFonts w:ascii="Tahoma" w:eastAsia="Calibri" w:hAnsi="Tahoma" w:cs="Tahoma"/>
          <w:sz w:val="24"/>
          <w:szCs w:val="24"/>
        </w:rPr>
        <w:t>, gradul de realizare a programului fiind de 96,2% (-3,1 miliarde lei).</w:t>
      </w:r>
      <w:r w:rsidR="00862C96" w:rsidRPr="00862C96">
        <w:rPr>
          <w:rFonts w:eastAsia="Calibri" w:cs="Liberation Serif"/>
          <w:i/>
          <w:kern w:val="1"/>
          <w:sz w:val="24"/>
          <w:szCs w:val="24"/>
        </w:rPr>
        <w:t xml:space="preserve"> </w:t>
      </w:r>
      <w:r w:rsidR="00F6413D" w:rsidRPr="00F6413D">
        <w:rPr>
          <w:rFonts w:ascii="Tahoma" w:eastAsia="Calibri" w:hAnsi="Tahoma" w:cs="Tahoma"/>
          <w:sz w:val="24"/>
          <w:szCs w:val="24"/>
        </w:rPr>
        <w:t>Nerealizarea țintei semestriale stabilite se datorează atât evoluției încasărilor din contribuții sociale cu 2,8% sub evoluția fondului brut de salarii la nivel de economie de 14,9%</w:t>
      </w:r>
      <w:r w:rsidR="00F6413D" w:rsidRPr="00F6413D">
        <w:rPr>
          <w:rStyle w:val="FootnoteReference"/>
          <w:rFonts w:ascii="Tahoma" w:eastAsia="Calibri" w:hAnsi="Tahoma" w:cs="Tahoma"/>
          <w:sz w:val="24"/>
          <w:szCs w:val="24"/>
        </w:rPr>
        <w:footnoteReference w:id="17"/>
      </w:r>
      <w:r w:rsidR="00F6413D" w:rsidRPr="00F6413D">
        <w:rPr>
          <w:rFonts w:ascii="Tahoma" w:eastAsia="Calibri" w:hAnsi="Tahoma" w:cs="Tahoma"/>
          <w:sz w:val="24"/>
          <w:szCs w:val="24"/>
        </w:rPr>
        <w:t xml:space="preserve"> (influențată și de extinderea facilităților fiscale aprobate prin Legea nr. 135/2022 și O.U.G. nr. 168/2022), cât și de instituirea măsurii privind încetarea la plată a CASS pentru veniturile din pensii, inclusiv a restituirilor de sume </w:t>
      </w:r>
      <w:proofErr w:type="spellStart"/>
      <w:r w:rsidR="00F6413D" w:rsidRPr="00F6413D">
        <w:rPr>
          <w:rFonts w:ascii="Tahoma" w:eastAsia="Calibri" w:hAnsi="Tahoma" w:cs="Tahoma"/>
          <w:sz w:val="24"/>
          <w:szCs w:val="24"/>
        </w:rPr>
        <w:t>reţinute</w:t>
      </w:r>
      <w:proofErr w:type="spellEnd"/>
      <w:r w:rsidR="00F6413D" w:rsidRPr="00F6413D">
        <w:rPr>
          <w:rFonts w:ascii="Tahoma" w:eastAsia="Calibri" w:hAnsi="Tahoma" w:cs="Tahoma"/>
          <w:sz w:val="24"/>
          <w:szCs w:val="24"/>
        </w:rPr>
        <w:t xml:space="preserve"> cu titlul de CASS din veniturile din pensii (-0,7 miliarde lei în primul semestru al anului 2023, măsură instituită ulterior aprobării prin legi  bugetare anuale</w:t>
      </w:r>
      <w:r w:rsidR="00F6413D" w:rsidRPr="00F6413D">
        <w:rPr>
          <w:rStyle w:val="FootnoteReference"/>
          <w:rFonts w:ascii="Tahoma" w:eastAsia="Calibri" w:hAnsi="Tahoma" w:cs="Tahoma"/>
          <w:sz w:val="24"/>
          <w:szCs w:val="24"/>
        </w:rPr>
        <w:footnoteReference w:id="18"/>
      </w:r>
      <w:r w:rsidR="00F6413D" w:rsidRPr="00F6413D">
        <w:rPr>
          <w:rFonts w:ascii="Tahoma" w:eastAsia="Calibri" w:hAnsi="Tahoma" w:cs="Tahoma"/>
          <w:sz w:val="24"/>
          <w:szCs w:val="24"/>
        </w:rPr>
        <w:t xml:space="preserve"> a programului de venituri).</w:t>
      </w:r>
    </w:p>
    <w:p w:rsidR="004D0ED6" w:rsidRPr="004D0ED6" w:rsidRDefault="004D0ED6" w:rsidP="00F6413D">
      <w:pPr>
        <w:autoSpaceDE w:val="0"/>
        <w:autoSpaceDN w:val="0"/>
        <w:adjustRightInd w:val="0"/>
        <w:spacing w:after="120" w:line="276" w:lineRule="auto"/>
        <w:ind w:firstLine="0"/>
        <w:rPr>
          <w:rFonts w:ascii="Tahoma" w:eastAsia="Calibri" w:hAnsi="Tahoma" w:cs="Tahoma"/>
          <w:sz w:val="24"/>
          <w:szCs w:val="24"/>
        </w:rPr>
      </w:pPr>
      <w:r w:rsidRPr="004D0ED6">
        <w:rPr>
          <w:rFonts w:ascii="Tahoma" w:eastAsia="Calibri" w:hAnsi="Tahoma" w:cs="Tahoma"/>
          <w:sz w:val="24"/>
          <w:szCs w:val="24"/>
        </w:rPr>
        <w:t>Evoluția încasărilor din contribuții sociale în perioada analizată se situează sub evoluția fondului brut de salarii la nivel de economie de 14,9%, ca urmare a efectelor generate în primul semestru al anului 2023 de măsurile privind extinderea facilităților fiscale acordate în sectorul agricol și industrie alimentară (conform prevederilor Legii nr. 135/2022</w:t>
      </w:r>
      <w:r w:rsidRPr="004D0ED6">
        <w:rPr>
          <w:rFonts w:ascii="Tahoma" w:eastAsia="Calibri" w:hAnsi="Tahoma" w:cs="Tahoma"/>
          <w:sz w:val="24"/>
          <w:szCs w:val="24"/>
          <w:vertAlign w:val="superscript"/>
        </w:rPr>
        <w:footnoteReference w:id="19"/>
      </w:r>
      <w:r w:rsidRPr="004D0ED6">
        <w:rPr>
          <w:rFonts w:ascii="Tahoma" w:eastAsia="Calibri" w:hAnsi="Tahoma" w:cs="Tahoma"/>
          <w:sz w:val="24"/>
          <w:szCs w:val="24"/>
        </w:rPr>
        <w:t xml:space="preserve">, cu modificările și completările ulterioare), neincluderea în baza lunară de calcul a contribuțiilor sociale obligatorii a sumei de 200 lei/lună, reprezentând venituri din salarii și asimilate salariilor (pentru salariații cu nivelul salariului de bază brut lunar egal cu nivelul salariului minim brut pe </w:t>
      </w:r>
      <w:proofErr w:type="spellStart"/>
      <w:r w:rsidRPr="004D0ED6">
        <w:rPr>
          <w:rFonts w:ascii="Tahoma" w:eastAsia="Calibri" w:hAnsi="Tahoma" w:cs="Tahoma"/>
          <w:sz w:val="24"/>
          <w:szCs w:val="24"/>
        </w:rPr>
        <w:t>ţară</w:t>
      </w:r>
      <w:proofErr w:type="spellEnd"/>
      <w:r w:rsidRPr="004D0ED6">
        <w:rPr>
          <w:rFonts w:ascii="Tahoma" w:eastAsia="Calibri" w:hAnsi="Tahoma" w:cs="Tahoma"/>
          <w:sz w:val="24"/>
          <w:szCs w:val="24"/>
        </w:rPr>
        <w:t xml:space="preserve"> garantat în plată și venitul brut realizat din salarii </w:t>
      </w:r>
      <w:proofErr w:type="spellStart"/>
      <w:r w:rsidRPr="004D0ED6">
        <w:rPr>
          <w:rFonts w:ascii="Tahoma" w:eastAsia="Calibri" w:hAnsi="Tahoma" w:cs="Tahoma"/>
          <w:sz w:val="24"/>
          <w:szCs w:val="24"/>
        </w:rPr>
        <w:t>şi</w:t>
      </w:r>
      <w:proofErr w:type="spellEnd"/>
      <w:r w:rsidRPr="004D0ED6">
        <w:rPr>
          <w:rFonts w:ascii="Tahoma" w:eastAsia="Calibri" w:hAnsi="Tahoma" w:cs="Tahoma"/>
          <w:sz w:val="24"/>
          <w:szCs w:val="24"/>
        </w:rPr>
        <w:t xml:space="preserve"> asimilate salariilor ce nu </w:t>
      </w:r>
      <w:proofErr w:type="spellStart"/>
      <w:r w:rsidRPr="004D0ED6">
        <w:rPr>
          <w:rFonts w:ascii="Tahoma" w:eastAsia="Calibri" w:hAnsi="Tahoma" w:cs="Tahoma"/>
          <w:sz w:val="24"/>
          <w:szCs w:val="24"/>
        </w:rPr>
        <w:t>depăşeşte</w:t>
      </w:r>
      <w:proofErr w:type="spellEnd"/>
      <w:r w:rsidRPr="004D0ED6">
        <w:rPr>
          <w:rFonts w:ascii="Tahoma" w:eastAsia="Calibri" w:hAnsi="Tahoma" w:cs="Tahoma"/>
          <w:sz w:val="24"/>
          <w:szCs w:val="24"/>
        </w:rPr>
        <w:t xml:space="preserve"> nivelul de 4.000 lei inclusiv, conform O.U.G. nr. 168/2022), încetarea de la plată a CASS pentru veniturile din pensii mai mari de 4.000 lei (în baza Deciziei CCR nr. 650/15.12.2022 privind neconstituționalitatea dispozițiilor O.U.G. nr. 130/2021</w:t>
      </w:r>
      <w:r w:rsidRPr="004D0ED6">
        <w:rPr>
          <w:rFonts w:ascii="Tahoma" w:eastAsia="Calibri" w:hAnsi="Tahoma" w:cs="Tahoma"/>
          <w:sz w:val="24"/>
          <w:szCs w:val="24"/>
          <w:vertAlign w:val="superscript"/>
        </w:rPr>
        <w:footnoteReference w:id="20"/>
      </w:r>
      <w:r w:rsidRPr="004D0ED6">
        <w:rPr>
          <w:rFonts w:ascii="Tahoma" w:eastAsia="Calibri" w:hAnsi="Tahoma" w:cs="Tahoma"/>
          <w:sz w:val="24"/>
          <w:szCs w:val="24"/>
        </w:rPr>
        <w:t xml:space="preserve">) și restituirea (începând cu data de 1 martie 2023) sumei </w:t>
      </w:r>
      <w:proofErr w:type="spellStart"/>
      <w:r w:rsidRPr="004D0ED6">
        <w:rPr>
          <w:rFonts w:ascii="Tahoma" w:eastAsia="Calibri" w:hAnsi="Tahoma" w:cs="Tahoma"/>
          <w:sz w:val="24"/>
          <w:szCs w:val="24"/>
        </w:rPr>
        <w:t>reţinute</w:t>
      </w:r>
      <w:proofErr w:type="spellEnd"/>
      <w:r w:rsidRPr="004D0ED6">
        <w:rPr>
          <w:rFonts w:ascii="Tahoma" w:eastAsia="Calibri" w:hAnsi="Tahoma" w:cs="Tahoma"/>
          <w:sz w:val="24"/>
          <w:szCs w:val="24"/>
        </w:rPr>
        <w:t xml:space="preserve"> cu titlul de CASS din veniturile din pensii (efect bugetar de -0,3 miliarde lei, din aplicarea prevederilor O.U.G. nr.  4/2023</w:t>
      </w:r>
      <w:r w:rsidRPr="004D0ED6">
        <w:rPr>
          <w:rFonts w:ascii="Tahoma" w:eastAsia="Calibri" w:hAnsi="Tahoma" w:cs="Tahoma"/>
          <w:sz w:val="24"/>
          <w:szCs w:val="24"/>
          <w:vertAlign w:val="superscript"/>
        </w:rPr>
        <w:footnoteReference w:id="21"/>
      </w:r>
      <w:r w:rsidRPr="004D0ED6">
        <w:rPr>
          <w:rFonts w:ascii="Tahoma" w:eastAsia="Calibri" w:hAnsi="Tahoma" w:cs="Tahoma"/>
          <w:sz w:val="24"/>
          <w:szCs w:val="24"/>
        </w:rPr>
        <w:t xml:space="preserve">). </w:t>
      </w:r>
    </w:p>
    <w:p w:rsidR="004D0ED6" w:rsidRPr="004D0ED6" w:rsidRDefault="004D0ED6" w:rsidP="00F6413D">
      <w:pPr>
        <w:autoSpaceDE w:val="0"/>
        <w:autoSpaceDN w:val="0"/>
        <w:adjustRightInd w:val="0"/>
        <w:spacing w:after="120" w:line="276" w:lineRule="auto"/>
        <w:ind w:firstLine="0"/>
        <w:rPr>
          <w:rFonts w:ascii="Tahoma" w:eastAsia="Calibri" w:hAnsi="Tahoma" w:cs="Tahoma"/>
          <w:sz w:val="24"/>
          <w:szCs w:val="24"/>
        </w:rPr>
      </w:pPr>
      <w:r w:rsidRPr="004D0ED6">
        <w:rPr>
          <w:rFonts w:ascii="Tahoma" w:eastAsia="Calibri" w:hAnsi="Tahoma" w:cs="Tahoma"/>
          <w:sz w:val="24"/>
          <w:szCs w:val="24"/>
        </w:rPr>
        <w:t xml:space="preserve">Pe bugete, gradul de realizare a programului de încasări stabilit pentru primul semestru al anului 2023, se prezintă astfel: bugetul de stat (96,9%), bugetul asigurărilor sociale de stat (96,7%), bugetul fondului național unic de asigurări sociale de sănătate (95,6%) și bugetul asigurărilor pentru șomaj (85,8%). </w:t>
      </w:r>
    </w:p>
    <w:p w:rsidR="004D0ED6" w:rsidRPr="004D0ED6" w:rsidRDefault="004D0ED6" w:rsidP="00F6413D">
      <w:pPr>
        <w:autoSpaceDE w:val="0"/>
        <w:autoSpaceDN w:val="0"/>
        <w:adjustRightInd w:val="0"/>
        <w:spacing w:after="120" w:line="276" w:lineRule="auto"/>
        <w:ind w:firstLine="0"/>
        <w:rPr>
          <w:rFonts w:ascii="Tahoma" w:eastAsia="Calibri" w:hAnsi="Tahoma" w:cs="Tahoma"/>
          <w:sz w:val="24"/>
          <w:szCs w:val="24"/>
        </w:rPr>
      </w:pPr>
      <w:r w:rsidRPr="004D0ED6">
        <w:rPr>
          <w:rFonts w:ascii="Tahoma" w:eastAsia="Calibri" w:hAnsi="Tahoma" w:cs="Tahoma"/>
          <w:sz w:val="24"/>
          <w:szCs w:val="24"/>
        </w:rPr>
        <w:t>Comparativ cu aceeași perioadă a anului precedent, evoluția veniturilor din contribuții sociale, pe bugete componente, se prezintă astfel: bugetul de stat (+14,5%), bugetul asigurărilor sociale de stat (+13,5%), bugetul Fondului național unic de asigurări sociale de sănătate (+9,5%) și o scădere la bugetul asigurărilor pentru șomaj (-1,7%).</w:t>
      </w:r>
    </w:p>
    <w:p w:rsidR="00962D51" w:rsidRDefault="004D6D76" w:rsidP="00962D51">
      <w:pPr>
        <w:autoSpaceDE w:val="0"/>
        <w:autoSpaceDN w:val="0"/>
        <w:adjustRightInd w:val="0"/>
        <w:spacing w:line="276" w:lineRule="auto"/>
        <w:ind w:firstLine="0"/>
        <w:rPr>
          <w:rFonts w:ascii="Tahoma" w:hAnsi="Tahoma" w:cs="Tahoma"/>
          <w:sz w:val="24"/>
          <w:szCs w:val="24"/>
        </w:rPr>
      </w:pPr>
      <w:r w:rsidRPr="007403CD">
        <w:rPr>
          <w:rFonts w:ascii="Tahoma" w:hAnsi="Tahoma" w:cs="Tahoma"/>
          <w:b/>
          <w:bCs/>
          <w:sz w:val="24"/>
          <w:szCs w:val="24"/>
        </w:rPr>
        <w:lastRenderedPageBreak/>
        <w:t xml:space="preserve">Veniturile nefiscale </w:t>
      </w:r>
      <w:r w:rsidRPr="007403CD">
        <w:rPr>
          <w:rFonts w:ascii="Tahoma" w:hAnsi="Tahoma" w:cs="Tahoma"/>
          <w:sz w:val="24"/>
          <w:szCs w:val="24"/>
        </w:rPr>
        <w:t>încasate în primul semestru al anului 20</w:t>
      </w:r>
      <w:r w:rsidR="00B623BF" w:rsidRPr="007403CD">
        <w:rPr>
          <w:rFonts w:ascii="Tahoma" w:hAnsi="Tahoma" w:cs="Tahoma"/>
          <w:sz w:val="24"/>
          <w:szCs w:val="24"/>
        </w:rPr>
        <w:t>2</w:t>
      </w:r>
      <w:r w:rsidR="004D0ED6">
        <w:rPr>
          <w:rFonts w:ascii="Tahoma" w:hAnsi="Tahoma" w:cs="Tahoma"/>
          <w:sz w:val="24"/>
          <w:szCs w:val="24"/>
        </w:rPr>
        <w:t>3</w:t>
      </w:r>
      <w:r w:rsidRPr="007403CD">
        <w:rPr>
          <w:rFonts w:ascii="Tahoma" w:hAnsi="Tahoma" w:cs="Tahoma"/>
          <w:sz w:val="24"/>
          <w:szCs w:val="24"/>
        </w:rPr>
        <w:t xml:space="preserve"> au totalizat </w:t>
      </w:r>
      <w:r w:rsidR="004D0ED6">
        <w:rPr>
          <w:rFonts w:ascii="Tahoma" w:hAnsi="Tahoma" w:cs="Tahoma"/>
          <w:sz w:val="24"/>
          <w:szCs w:val="24"/>
        </w:rPr>
        <w:t>22,3</w:t>
      </w:r>
      <w:r w:rsidR="00A35B54" w:rsidRPr="007403CD">
        <w:rPr>
          <w:rFonts w:ascii="Tahoma" w:hAnsi="Tahoma" w:cs="Tahoma"/>
          <w:sz w:val="24"/>
          <w:szCs w:val="24"/>
        </w:rPr>
        <w:t xml:space="preserve"> miliarde</w:t>
      </w:r>
      <w:r w:rsidRPr="007403CD">
        <w:rPr>
          <w:rFonts w:ascii="Tahoma" w:hAnsi="Tahoma" w:cs="Tahoma"/>
          <w:sz w:val="24"/>
          <w:szCs w:val="24"/>
        </w:rPr>
        <w:t xml:space="preserve"> </w:t>
      </w:r>
      <w:r w:rsidR="003A634F">
        <w:rPr>
          <w:rFonts w:ascii="Tahoma" w:hAnsi="Tahoma" w:cs="Tahoma"/>
          <w:sz w:val="24"/>
          <w:szCs w:val="24"/>
        </w:rPr>
        <w:t>lei</w:t>
      </w:r>
      <w:r w:rsidRPr="007403CD">
        <w:rPr>
          <w:rFonts w:ascii="Tahoma" w:hAnsi="Tahoma" w:cs="Tahoma"/>
          <w:sz w:val="24"/>
          <w:szCs w:val="24"/>
        </w:rPr>
        <w:t xml:space="preserve"> (1,</w:t>
      </w:r>
      <w:r w:rsidR="004D0ED6">
        <w:rPr>
          <w:rFonts w:ascii="Tahoma" w:hAnsi="Tahoma" w:cs="Tahoma"/>
          <w:sz w:val="24"/>
          <w:szCs w:val="24"/>
        </w:rPr>
        <w:t>4</w:t>
      </w:r>
      <w:r w:rsidRPr="007403CD">
        <w:rPr>
          <w:rFonts w:ascii="Tahoma" w:hAnsi="Tahoma" w:cs="Tahoma"/>
          <w:sz w:val="24"/>
          <w:szCs w:val="24"/>
        </w:rPr>
        <w:t xml:space="preserve">% din PIB), </w:t>
      </w:r>
      <w:r w:rsidR="004D0ED6" w:rsidRPr="007403CD">
        <w:rPr>
          <w:rFonts w:ascii="Tahoma" w:hAnsi="Tahoma" w:cs="Tahoma"/>
          <w:sz w:val="24"/>
          <w:szCs w:val="24"/>
        </w:rPr>
        <w:t xml:space="preserve">cu </w:t>
      </w:r>
      <w:r w:rsidR="004D0ED6">
        <w:rPr>
          <w:rFonts w:ascii="Tahoma" w:hAnsi="Tahoma" w:cs="Tahoma"/>
          <w:sz w:val="24"/>
          <w:szCs w:val="24"/>
        </w:rPr>
        <w:t>4,9</w:t>
      </w:r>
      <w:r w:rsidR="004D0ED6" w:rsidRPr="007403CD">
        <w:rPr>
          <w:rFonts w:ascii="Tahoma" w:hAnsi="Tahoma" w:cs="Tahoma"/>
          <w:sz w:val="24"/>
          <w:szCs w:val="24"/>
        </w:rPr>
        <w:t>% mai mari comparativ cu încasările semestrul I 202</w:t>
      </w:r>
      <w:r w:rsidR="004D0ED6">
        <w:rPr>
          <w:rFonts w:ascii="Tahoma" w:hAnsi="Tahoma" w:cs="Tahoma"/>
          <w:sz w:val="24"/>
          <w:szCs w:val="24"/>
        </w:rPr>
        <w:t>2, gradul de realizare al programului fiind de 92,3%.</w:t>
      </w:r>
    </w:p>
    <w:p w:rsidR="003333EE" w:rsidRPr="003333EE" w:rsidRDefault="004912D2" w:rsidP="00962D51">
      <w:pPr>
        <w:autoSpaceDE w:val="0"/>
        <w:autoSpaceDN w:val="0"/>
        <w:adjustRightInd w:val="0"/>
        <w:spacing w:line="276" w:lineRule="auto"/>
        <w:ind w:firstLine="0"/>
        <w:rPr>
          <w:rFonts w:ascii="Tahoma" w:eastAsia="Tahoma" w:hAnsi="Tahoma" w:cs="Tahoma"/>
          <w:sz w:val="24"/>
          <w:szCs w:val="24"/>
        </w:rPr>
      </w:pPr>
      <w:r w:rsidRPr="003333EE">
        <w:rPr>
          <w:rFonts w:ascii="Tahoma" w:hAnsi="Tahoma" w:cs="Tahoma"/>
          <w:sz w:val="24"/>
          <w:szCs w:val="24"/>
        </w:rPr>
        <w:t xml:space="preserve">Sporul de încasări înregistrat s-a datorat în principal evoluției încasărilor la bugetul de stat care </w:t>
      </w:r>
      <w:r w:rsidRPr="003333EE">
        <w:rPr>
          <w:rFonts w:ascii="Tahoma" w:hAnsi="Tahoma" w:cs="Tahoma"/>
          <w:bCs/>
          <w:sz w:val="24"/>
          <w:szCs w:val="24"/>
        </w:rPr>
        <w:t>înregistrează o creștere semnificativă de +</w:t>
      </w:r>
      <w:r w:rsidR="009228A3" w:rsidRPr="003333EE">
        <w:rPr>
          <w:rFonts w:ascii="Tahoma" w:hAnsi="Tahoma" w:cs="Tahoma"/>
          <w:bCs/>
          <w:sz w:val="24"/>
          <w:szCs w:val="24"/>
        </w:rPr>
        <w:t>1</w:t>
      </w:r>
      <w:r w:rsidRPr="003333EE">
        <w:rPr>
          <w:rFonts w:ascii="Tahoma" w:hAnsi="Tahoma" w:cs="Tahoma"/>
          <w:bCs/>
          <w:sz w:val="24"/>
          <w:szCs w:val="24"/>
        </w:rPr>
        <w:t xml:space="preserve">,8 miliarde </w:t>
      </w:r>
      <w:r w:rsidR="003A634F" w:rsidRPr="003333EE">
        <w:rPr>
          <w:rFonts w:ascii="Tahoma" w:hAnsi="Tahoma" w:cs="Tahoma"/>
          <w:bCs/>
          <w:sz w:val="24"/>
          <w:szCs w:val="24"/>
        </w:rPr>
        <w:t>lei</w:t>
      </w:r>
      <w:r w:rsidR="003333EE">
        <w:rPr>
          <w:rFonts w:ascii="Tahoma" w:hAnsi="Tahoma" w:cs="Tahoma"/>
          <w:bCs/>
          <w:sz w:val="24"/>
          <w:szCs w:val="24"/>
        </w:rPr>
        <w:t>(+16,7%)</w:t>
      </w:r>
      <w:r w:rsidRPr="003333EE">
        <w:rPr>
          <w:rFonts w:ascii="Tahoma" w:hAnsi="Tahoma" w:cs="Tahoma"/>
          <w:bCs/>
          <w:sz w:val="24"/>
          <w:szCs w:val="24"/>
        </w:rPr>
        <w:t>, comparativ cu acee</w:t>
      </w:r>
      <w:r w:rsidR="003333EE" w:rsidRPr="003333EE">
        <w:rPr>
          <w:rFonts w:ascii="Tahoma" w:hAnsi="Tahoma" w:cs="Tahoma"/>
          <w:bCs/>
          <w:sz w:val="24"/>
          <w:szCs w:val="24"/>
        </w:rPr>
        <w:t>ași perioadă a anului precedent.</w:t>
      </w:r>
      <w:r w:rsidRPr="003333EE">
        <w:rPr>
          <w:rFonts w:ascii="Tahoma" w:hAnsi="Tahoma" w:cs="Tahoma"/>
          <w:bCs/>
          <w:sz w:val="24"/>
          <w:szCs w:val="24"/>
        </w:rPr>
        <w:t xml:space="preserve"> </w:t>
      </w:r>
      <w:r w:rsidR="003333EE" w:rsidRPr="003333EE">
        <w:rPr>
          <w:rFonts w:ascii="Tahoma" w:eastAsia="Tahoma" w:hAnsi="Tahoma" w:cs="Tahoma"/>
          <w:sz w:val="24"/>
          <w:szCs w:val="24"/>
        </w:rPr>
        <w:t xml:space="preserve">Evoluția pozitivă a acestora a fost influențată de sumele din vânzarea certificatelor de emisii de gaze cu efect de seră și veniturile din dividende. </w:t>
      </w:r>
    </w:p>
    <w:p w:rsidR="003333EE" w:rsidRPr="003333EE" w:rsidRDefault="003333EE" w:rsidP="003333EE">
      <w:pPr>
        <w:autoSpaceDE w:val="0"/>
        <w:autoSpaceDN w:val="0"/>
        <w:adjustRightInd w:val="0"/>
        <w:spacing w:line="276" w:lineRule="auto"/>
        <w:ind w:firstLine="0"/>
        <w:rPr>
          <w:rFonts w:ascii="Tahoma" w:hAnsi="Tahoma" w:cs="Tahoma"/>
          <w:bCs/>
          <w:sz w:val="24"/>
          <w:szCs w:val="24"/>
        </w:rPr>
      </w:pPr>
      <w:r w:rsidRPr="003333EE">
        <w:rPr>
          <w:rFonts w:ascii="Tahoma" w:hAnsi="Tahoma" w:cs="Tahoma"/>
          <w:bCs/>
          <w:sz w:val="24"/>
          <w:szCs w:val="24"/>
        </w:rPr>
        <w:t xml:space="preserve">În structură, vărsămintele din veniturile nete ale B.N.R. scad față de aceeași perioadă a anului precedent cu 1,1 miliarde lei, pe seama compensării vărsămintelor obligațiilor curente cu vărsămintele efectuate în anul 2022, ca urmare a scăderii rezultatelor financiare înregistrate la </w:t>
      </w:r>
      <w:proofErr w:type="spellStart"/>
      <w:r w:rsidRPr="003333EE">
        <w:rPr>
          <w:rFonts w:ascii="Tahoma" w:hAnsi="Tahoma" w:cs="Tahoma"/>
          <w:bCs/>
          <w:sz w:val="24"/>
          <w:szCs w:val="24"/>
        </w:rPr>
        <w:t>sfârsitul</w:t>
      </w:r>
      <w:proofErr w:type="spellEnd"/>
      <w:r w:rsidRPr="003333EE">
        <w:rPr>
          <w:rFonts w:ascii="Tahoma" w:hAnsi="Tahoma" w:cs="Tahoma"/>
          <w:bCs/>
          <w:sz w:val="24"/>
          <w:szCs w:val="24"/>
        </w:rPr>
        <w:t xml:space="preserve"> anului 2022. Veniturile din concesiuni și închirieri au scăzut cu 33,9% (-0,7 miliarde lei) în perioada analizată ca urmare a diminuării încasărilor din redevențe petroliere și miniere. Veniturile din dividende s-au majorat cu 10,3% (+0,4 miliarde lei) față de aceeași perioadă a anului precedent, iar gradul de realizare a programului semestrial este de 88,2% (-0,6 miliarde lei). </w:t>
      </w:r>
    </w:p>
    <w:p w:rsidR="004D6D76" w:rsidRPr="007403CD" w:rsidRDefault="004D6D76" w:rsidP="006E1B94">
      <w:pPr>
        <w:suppressAutoHyphens/>
        <w:autoSpaceDE w:val="0"/>
        <w:autoSpaceDN w:val="0"/>
        <w:adjustRightInd w:val="0"/>
        <w:spacing w:after="120" w:line="276" w:lineRule="auto"/>
        <w:ind w:firstLine="0"/>
        <w:rPr>
          <w:rFonts w:ascii="Tahoma" w:hAnsi="Tahoma" w:cs="Tahoma"/>
          <w:sz w:val="24"/>
          <w:szCs w:val="24"/>
        </w:rPr>
      </w:pPr>
      <w:r w:rsidRPr="007403CD">
        <w:rPr>
          <w:rFonts w:ascii="Tahoma" w:hAnsi="Tahoma" w:cs="Tahoma"/>
          <w:b/>
          <w:sz w:val="24"/>
          <w:szCs w:val="24"/>
        </w:rPr>
        <w:t>Sumele rambursate de Uniunea Europeană în contul plăților efectuate</w:t>
      </w:r>
      <w:r w:rsidR="0063517C" w:rsidRPr="007403CD">
        <w:rPr>
          <w:rFonts w:ascii="Tahoma" w:hAnsi="Tahoma" w:cs="Tahoma"/>
          <w:b/>
          <w:sz w:val="24"/>
          <w:szCs w:val="24"/>
        </w:rPr>
        <w:t>,</w:t>
      </w:r>
      <w:r w:rsidRPr="007403CD">
        <w:rPr>
          <w:rFonts w:ascii="Tahoma" w:hAnsi="Tahoma" w:cs="Tahoma"/>
          <w:b/>
          <w:sz w:val="24"/>
          <w:szCs w:val="24"/>
        </w:rPr>
        <w:t xml:space="preserve"> </w:t>
      </w:r>
      <w:r w:rsidRPr="00FD1630">
        <w:rPr>
          <w:rFonts w:ascii="Tahoma" w:hAnsi="Tahoma" w:cs="Tahoma"/>
          <w:b/>
          <w:sz w:val="24"/>
          <w:szCs w:val="24"/>
        </w:rPr>
        <w:t xml:space="preserve">donații </w:t>
      </w:r>
      <w:r w:rsidR="0063517C" w:rsidRPr="00FD1630">
        <w:rPr>
          <w:rFonts w:ascii="Tahoma" w:hAnsi="Tahoma" w:cs="Tahoma"/>
          <w:b/>
          <w:sz w:val="24"/>
          <w:szCs w:val="24"/>
        </w:rPr>
        <w:t>și</w:t>
      </w:r>
      <w:r w:rsidR="0063517C" w:rsidRPr="007403CD">
        <w:rPr>
          <w:rFonts w:ascii="Tahoma" w:hAnsi="Tahoma" w:cs="Tahoma"/>
          <w:sz w:val="24"/>
          <w:szCs w:val="24"/>
        </w:rPr>
        <w:t xml:space="preserve"> </w:t>
      </w:r>
      <w:r w:rsidR="0063517C" w:rsidRPr="007403CD">
        <w:rPr>
          <w:rFonts w:ascii="Tahoma" w:eastAsia="Times New Roman" w:hAnsi="Tahoma" w:cs="Tahoma"/>
          <w:b/>
          <w:bCs/>
          <w:sz w:val="24"/>
          <w:szCs w:val="24"/>
        </w:rPr>
        <w:t>sume aferente asistentei financiare nerambursabile alocate pentru PNRR</w:t>
      </w:r>
      <w:r w:rsidR="0063517C" w:rsidRPr="007403CD">
        <w:rPr>
          <w:rFonts w:ascii="Tahoma" w:eastAsia="Times New Roman" w:hAnsi="Tahoma" w:cs="Tahoma"/>
          <w:bCs/>
          <w:sz w:val="24"/>
          <w:szCs w:val="24"/>
        </w:rPr>
        <w:t xml:space="preserve"> </w:t>
      </w:r>
      <w:r w:rsidRPr="007403CD">
        <w:rPr>
          <w:rFonts w:ascii="Tahoma" w:hAnsi="Tahoma" w:cs="Tahoma"/>
          <w:sz w:val="24"/>
          <w:szCs w:val="24"/>
        </w:rPr>
        <w:t xml:space="preserve">au totalizat </w:t>
      </w:r>
      <w:r w:rsidR="009228A3">
        <w:rPr>
          <w:rFonts w:ascii="Tahoma" w:hAnsi="Tahoma" w:cs="Tahoma"/>
          <w:b/>
          <w:bCs/>
          <w:sz w:val="24"/>
          <w:szCs w:val="24"/>
        </w:rPr>
        <w:t>21,7</w:t>
      </w:r>
      <w:r w:rsidR="00364FD9" w:rsidRPr="007403CD">
        <w:rPr>
          <w:rFonts w:ascii="Tahoma" w:hAnsi="Tahoma" w:cs="Tahoma"/>
          <w:b/>
          <w:bCs/>
          <w:sz w:val="24"/>
          <w:szCs w:val="24"/>
        </w:rPr>
        <w:t xml:space="preserve"> miliarde</w:t>
      </w:r>
      <w:r w:rsidRPr="007403CD">
        <w:rPr>
          <w:rFonts w:ascii="Tahoma" w:hAnsi="Tahoma" w:cs="Tahoma"/>
          <w:sz w:val="24"/>
          <w:szCs w:val="24"/>
        </w:rPr>
        <w:t xml:space="preserve"> </w:t>
      </w:r>
      <w:r w:rsidR="003A634F">
        <w:rPr>
          <w:rFonts w:ascii="Tahoma" w:hAnsi="Tahoma" w:cs="Tahoma"/>
          <w:sz w:val="24"/>
          <w:szCs w:val="24"/>
        </w:rPr>
        <w:t>lei</w:t>
      </w:r>
      <w:r w:rsidRPr="007403CD">
        <w:rPr>
          <w:rFonts w:ascii="Tahoma" w:hAnsi="Tahoma" w:cs="Tahoma"/>
          <w:sz w:val="24"/>
          <w:szCs w:val="24"/>
        </w:rPr>
        <w:t xml:space="preserve"> (</w:t>
      </w:r>
      <w:r w:rsidR="00364FD9" w:rsidRPr="007403CD">
        <w:rPr>
          <w:rFonts w:ascii="Tahoma" w:hAnsi="Tahoma" w:cs="Tahoma"/>
          <w:sz w:val="24"/>
          <w:szCs w:val="24"/>
        </w:rPr>
        <w:t>1,</w:t>
      </w:r>
      <w:r w:rsidR="009228A3">
        <w:rPr>
          <w:rFonts w:ascii="Tahoma" w:hAnsi="Tahoma" w:cs="Tahoma"/>
          <w:sz w:val="24"/>
          <w:szCs w:val="24"/>
        </w:rPr>
        <w:t>4</w:t>
      </w:r>
      <w:r w:rsidRPr="007403CD">
        <w:rPr>
          <w:rFonts w:ascii="Tahoma" w:hAnsi="Tahoma" w:cs="Tahoma"/>
          <w:sz w:val="24"/>
          <w:szCs w:val="24"/>
        </w:rPr>
        <w:t xml:space="preserve">% din PIB), cu </w:t>
      </w:r>
      <w:r w:rsidR="009228A3">
        <w:rPr>
          <w:rFonts w:ascii="Tahoma" w:hAnsi="Tahoma" w:cs="Tahoma"/>
          <w:sz w:val="24"/>
          <w:szCs w:val="24"/>
        </w:rPr>
        <w:t>45,</w:t>
      </w:r>
      <w:r w:rsidR="00CA1E5F">
        <w:rPr>
          <w:rFonts w:ascii="Tahoma" w:hAnsi="Tahoma" w:cs="Tahoma"/>
          <w:sz w:val="24"/>
          <w:szCs w:val="24"/>
        </w:rPr>
        <w:t>7</w:t>
      </w:r>
      <w:r w:rsidRPr="007403CD">
        <w:rPr>
          <w:rFonts w:ascii="Tahoma" w:hAnsi="Tahoma" w:cs="Tahoma"/>
          <w:sz w:val="24"/>
          <w:szCs w:val="24"/>
        </w:rPr>
        <w:t>% mai mari comparativ cu semestrul I 20</w:t>
      </w:r>
      <w:r w:rsidR="00364FD9" w:rsidRPr="007403CD">
        <w:rPr>
          <w:rFonts w:ascii="Tahoma" w:hAnsi="Tahoma" w:cs="Tahoma"/>
          <w:sz w:val="24"/>
          <w:szCs w:val="24"/>
        </w:rPr>
        <w:t>2</w:t>
      </w:r>
      <w:r w:rsidR="009228A3">
        <w:rPr>
          <w:rFonts w:ascii="Tahoma" w:hAnsi="Tahoma" w:cs="Tahoma"/>
          <w:sz w:val="24"/>
          <w:szCs w:val="24"/>
        </w:rPr>
        <w:t>2</w:t>
      </w:r>
      <w:r w:rsidRPr="007403CD">
        <w:rPr>
          <w:rFonts w:ascii="Tahoma" w:hAnsi="Tahoma" w:cs="Tahoma"/>
          <w:sz w:val="24"/>
          <w:szCs w:val="24"/>
        </w:rPr>
        <w:t xml:space="preserve">. </w:t>
      </w:r>
      <w:r w:rsidR="006F7F65" w:rsidRPr="007403CD">
        <w:rPr>
          <w:rFonts w:ascii="Tahoma" w:hAnsi="Tahoma" w:cs="Tahoma"/>
          <w:sz w:val="24"/>
          <w:szCs w:val="24"/>
        </w:rPr>
        <w:t>Gradul de realizare al programului semestrial a fost d</w:t>
      </w:r>
      <w:r w:rsidR="00220441" w:rsidRPr="007403CD">
        <w:rPr>
          <w:rFonts w:ascii="Tahoma" w:hAnsi="Tahoma" w:cs="Tahoma"/>
          <w:sz w:val="24"/>
          <w:szCs w:val="24"/>
        </w:rPr>
        <w:t xml:space="preserve">e </w:t>
      </w:r>
      <w:r w:rsidR="009228A3">
        <w:rPr>
          <w:rFonts w:ascii="Tahoma" w:hAnsi="Tahoma" w:cs="Tahoma"/>
          <w:sz w:val="24"/>
          <w:szCs w:val="24"/>
        </w:rPr>
        <w:t>58,4</w:t>
      </w:r>
      <w:r w:rsidR="00220441" w:rsidRPr="007403CD">
        <w:rPr>
          <w:rFonts w:ascii="Tahoma" w:hAnsi="Tahoma" w:cs="Tahoma"/>
          <w:sz w:val="24"/>
          <w:szCs w:val="24"/>
        </w:rPr>
        <w:t xml:space="preserve">%. </w:t>
      </w:r>
    </w:p>
    <w:p w:rsidR="00262BE1" w:rsidRDefault="006F7F65" w:rsidP="006E1B94">
      <w:pPr>
        <w:spacing w:after="120" w:line="276" w:lineRule="auto"/>
        <w:ind w:right="-57" w:firstLine="0"/>
        <w:rPr>
          <w:rFonts w:ascii="Tahoma" w:hAnsi="Tahoma" w:cs="Tahoma"/>
          <w:sz w:val="24"/>
          <w:szCs w:val="24"/>
        </w:rPr>
      </w:pPr>
      <w:r w:rsidRPr="007403CD">
        <w:rPr>
          <w:rFonts w:ascii="Tahoma" w:hAnsi="Tahoma" w:cs="Tahoma"/>
          <w:bCs/>
          <w:sz w:val="24"/>
          <w:szCs w:val="24"/>
        </w:rPr>
        <w:t>Ca procent în PIB</w:t>
      </w:r>
      <w:r w:rsidR="00EB1916" w:rsidRPr="007403CD">
        <w:rPr>
          <w:rFonts w:ascii="Tahoma" w:hAnsi="Tahoma" w:cs="Tahoma"/>
          <w:bCs/>
          <w:sz w:val="24"/>
          <w:szCs w:val="24"/>
        </w:rPr>
        <w:t>,</w:t>
      </w:r>
      <w:r w:rsidRPr="007403CD">
        <w:rPr>
          <w:rFonts w:ascii="Tahoma" w:hAnsi="Tahoma" w:cs="Tahoma"/>
          <w:bCs/>
          <w:sz w:val="24"/>
          <w:szCs w:val="24"/>
        </w:rPr>
        <w:t xml:space="preserve"> </w:t>
      </w:r>
      <w:r w:rsidR="0063517C" w:rsidRPr="007403CD">
        <w:rPr>
          <w:rFonts w:ascii="Tahoma" w:hAnsi="Tahoma" w:cs="Tahoma"/>
          <w:sz w:val="24"/>
          <w:szCs w:val="24"/>
        </w:rPr>
        <w:t xml:space="preserve">sumele rambursate de Uniunea Europeană în contul plăților efectuate, donații și </w:t>
      </w:r>
      <w:r w:rsidR="0063517C" w:rsidRPr="007403CD">
        <w:rPr>
          <w:rFonts w:ascii="Tahoma" w:eastAsia="Times New Roman" w:hAnsi="Tahoma" w:cs="Tahoma"/>
          <w:bCs/>
          <w:sz w:val="24"/>
          <w:szCs w:val="24"/>
        </w:rPr>
        <w:t>sume aferente asistentei financiare nerambursabile alocate pentru PNRR</w:t>
      </w:r>
      <w:r w:rsidRPr="007403CD">
        <w:rPr>
          <w:rFonts w:ascii="Tahoma" w:hAnsi="Tahoma" w:cs="Tahoma"/>
          <w:sz w:val="24"/>
          <w:szCs w:val="24"/>
        </w:rPr>
        <w:t xml:space="preserve"> </w:t>
      </w:r>
      <w:r w:rsidR="00262BE1">
        <w:rPr>
          <w:rFonts w:ascii="Tahoma" w:hAnsi="Tahoma" w:cs="Tahoma"/>
          <w:sz w:val="24"/>
          <w:szCs w:val="24"/>
        </w:rPr>
        <w:t>au crescut cu 0,3 puncte procentuale de la 1,06 di</w:t>
      </w:r>
      <w:r w:rsidR="00CA1E5F">
        <w:rPr>
          <w:rFonts w:ascii="Tahoma" w:hAnsi="Tahoma" w:cs="Tahoma"/>
          <w:sz w:val="24"/>
          <w:szCs w:val="24"/>
        </w:rPr>
        <w:t>n</w:t>
      </w:r>
      <w:r w:rsidR="00262BE1">
        <w:rPr>
          <w:rFonts w:ascii="Tahoma" w:hAnsi="Tahoma" w:cs="Tahoma"/>
          <w:sz w:val="24"/>
          <w:szCs w:val="24"/>
        </w:rPr>
        <w:t xml:space="preserve"> PIB în semestrul I 2022 la</w:t>
      </w:r>
      <w:r w:rsidR="00CA1E5F">
        <w:rPr>
          <w:rFonts w:ascii="Tahoma" w:hAnsi="Tahoma" w:cs="Tahoma"/>
          <w:sz w:val="24"/>
          <w:szCs w:val="24"/>
        </w:rPr>
        <w:t xml:space="preserve"> </w:t>
      </w:r>
      <w:r w:rsidR="00262BE1">
        <w:rPr>
          <w:rFonts w:ascii="Tahoma" w:hAnsi="Tahoma" w:cs="Tahoma"/>
          <w:sz w:val="24"/>
          <w:szCs w:val="24"/>
        </w:rPr>
        <w:t>1,36 din PIB în semestrul I 2023.</w:t>
      </w:r>
    </w:p>
    <w:p w:rsidR="00262BE1" w:rsidRDefault="00CA1E5F" w:rsidP="006E1B94">
      <w:pPr>
        <w:spacing w:after="120" w:line="276" w:lineRule="auto"/>
        <w:ind w:right="-57" w:firstLine="0"/>
        <w:rPr>
          <w:rFonts w:ascii="Tahoma" w:hAnsi="Tahoma" w:cs="Tahoma"/>
          <w:sz w:val="24"/>
          <w:szCs w:val="24"/>
        </w:rPr>
      </w:pPr>
      <w:r>
        <w:rPr>
          <w:rFonts w:ascii="Tahoma" w:hAnsi="Tahoma" w:cs="Tahoma"/>
          <w:sz w:val="24"/>
          <w:szCs w:val="24"/>
        </w:rPr>
        <w:t>În structură pondere</w:t>
      </w:r>
      <w:r w:rsidR="00262BE1">
        <w:rPr>
          <w:rFonts w:ascii="Tahoma" w:hAnsi="Tahoma" w:cs="Tahoma"/>
          <w:sz w:val="24"/>
          <w:szCs w:val="24"/>
        </w:rPr>
        <w:t xml:space="preserve">a ce a mai mare în totalul </w:t>
      </w:r>
      <w:r w:rsidR="00262BE1" w:rsidRPr="00262BE1">
        <w:rPr>
          <w:rFonts w:ascii="Tahoma" w:hAnsi="Tahoma" w:cs="Tahoma"/>
          <w:sz w:val="24"/>
          <w:szCs w:val="24"/>
        </w:rPr>
        <w:t xml:space="preserve">sumelor rambursate de Uniunea Europeană în contul plăților efectuate, donații și </w:t>
      </w:r>
      <w:r w:rsidR="00262BE1" w:rsidRPr="00262BE1">
        <w:rPr>
          <w:rFonts w:ascii="Tahoma" w:hAnsi="Tahoma" w:cs="Tahoma"/>
          <w:bCs/>
          <w:sz w:val="24"/>
          <w:szCs w:val="24"/>
        </w:rPr>
        <w:t xml:space="preserve">sume aferente asistentei financiare nerambursabile alocate pentru PNRR </w:t>
      </w:r>
      <w:r w:rsidR="00262BE1">
        <w:rPr>
          <w:rFonts w:ascii="Tahoma" w:hAnsi="Tahoma" w:cs="Tahoma"/>
          <w:sz w:val="24"/>
          <w:szCs w:val="24"/>
        </w:rPr>
        <w:t xml:space="preserve">o reprezintă </w:t>
      </w:r>
      <w:r>
        <w:rPr>
          <w:rFonts w:ascii="Tahoma" w:hAnsi="Tahoma" w:cs="Tahoma"/>
          <w:sz w:val="24"/>
          <w:szCs w:val="24"/>
        </w:rPr>
        <w:t>sumele</w:t>
      </w:r>
      <w:r w:rsidR="00262BE1">
        <w:rPr>
          <w:rFonts w:ascii="Tahoma" w:hAnsi="Tahoma" w:cs="Tahoma"/>
          <w:sz w:val="24"/>
          <w:szCs w:val="24"/>
        </w:rPr>
        <w:t xml:space="preserve"> aferente cadrului financiar 2014-2020 cu o pondere de 91,8%, urmate de sumele aferente cadrului financiar 2007-2014 și 2021-2027 </w:t>
      </w:r>
      <w:r>
        <w:rPr>
          <w:rFonts w:ascii="Tahoma" w:hAnsi="Tahoma" w:cs="Tahoma"/>
          <w:sz w:val="24"/>
          <w:szCs w:val="24"/>
        </w:rPr>
        <w:t xml:space="preserve">cu o pondere de 5,1% din PIB </w:t>
      </w:r>
      <w:r w:rsidR="00262BE1">
        <w:rPr>
          <w:rFonts w:ascii="Tahoma" w:hAnsi="Tahoma" w:cs="Tahoma"/>
          <w:sz w:val="24"/>
          <w:szCs w:val="24"/>
        </w:rPr>
        <w:t>și sumele aferente asistenței financiare nerambursabile a PNRR cu o pondere de 2,9%</w:t>
      </w:r>
      <w:r>
        <w:rPr>
          <w:rFonts w:ascii="Tahoma" w:hAnsi="Tahoma" w:cs="Tahoma"/>
          <w:sz w:val="24"/>
          <w:szCs w:val="24"/>
        </w:rPr>
        <w:t xml:space="preserve"> din PIB</w:t>
      </w:r>
      <w:r w:rsidR="00262BE1">
        <w:rPr>
          <w:rFonts w:ascii="Tahoma" w:hAnsi="Tahoma" w:cs="Tahoma"/>
          <w:sz w:val="24"/>
          <w:szCs w:val="24"/>
        </w:rPr>
        <w:t>.</w:t>
      </w:r>
    </w:p>
    <w:p w:rsidR="004D6D76" w:rsidRPr="007403CD" w:rsidRDefault="004D6D76" w:rsidP="00262BE1">
      <w:pPr>
        <w:pageBreakBefore/>
        <w:shd w:val="clear" w:color="auto" w:fill="D5DCE4" w:themeFill="text2" w:themeFillTint="33"/>
        <w:spacing w:after="360" w:line="276" w:lineRule="auto"/>
        <w:ind w:firstLine="0"/>
        <w:rPr>
          <w:rFonts w:ascii="Tahoma" w:hAnsi="Tahoma" w:cs="Tahoma"/>
          <w:sz w:val="24"/>
          <w:szCs w:val="24"/>
        </w:rPr>
      </w:pPr>
      <w:r w:rsidRPr="007403CD">
        <w:rPr>
          <w:rFonts w:ascii="Tahoma" w:hAnsi="Tahoma" w:cs="Tahoma"/>
          <w:b/>
          <w:bCs/>
          <w:sz w:val="24"/>
          <w:szCs w:val="24"/>
          <w:u w:val="single"/>
        </w:rPr>
        <w:lastRenderedPageBreak/>
        <w:t>Cheltuielile bugetului general consolidat</w:t>
      </w:r>
      <w:r w:rsidR="00CF2AF0" w:rsidRPr="007403CD">
        <w:rPr>
          <w:rFonts w:ascii="Tahoma" w:hAnsi="Tahoma" w:cs="Tahoma"/>
          <w:b/>
          <w:bCs/>
          <w:sz w:val="24"/>
          <w:szCs w:val="24"/>
          <w:u w:val="single"/>
        </w:rPr>
        <w:t xml:space="preserve"> </w:t>
      </w:r>
      <w:r w:rsidRPr="007403CD">
        <w:rPr>
          <w:rFonts w:ascii="Tahoma" w:hAnsi="Tahoma" w:cs="Tahoma"/>
          <w:sz w:val="24"/>
          <w:szCs w:val="24"/>
        </w:rPr>
        <w:t xml:space="preserve">în sumă de </w:t>
      </w:r>
      <w:r w:rsidR="00262BE1">
        <w:rPr>
          <w:rFonts w:ascii="Tahoma" w:hAnsi="Tahoma" w:cs="Tahoma"/>
          <w:b/>
          <w:sz w:val="24"/>
          <w:szCs w:val="24"/>
        </w:rPr>
        <w:t>279,96</w:t>
      </w:r>
      <w:r w:rsidR="00364FD9" w:rsidRPr="007403CD">
        <w:rPr>
          <w:rFonts w:ascii="Tahoma" w:hAnsi="Tahoma" w:cs="Tahoma"/>
          <w:b/>
          <w:sz w:val="24"/>
          <w:szCs w:val="24"/>
        </w:rPr>
        <w:t xml:space="preserve"> miliarde</w:t>
      </w:r>
      <w:r w:rsidR="00CF2AF0" w:rsidRPr="007403CD">
        <w:rPr>
          <w:rFonts w:ascii="Tahoma" w:hAnsi="Tahoma" w:cs="Tahoma"/>
          <w:b/>
          <w:sz w:val="24"/>
          <w:szCs w:val="24"/>
        </w:rPr>
        <w:t xml:space="preserve"> </w:t>
      </w:r>
      <w:r w:rsidR="003A634F">
        <w:rPr>
          <w:rFonts w:ascii="Tahoma" w:hAnsi="Tahoma" w:cs="Tahoma"/>
          <w:b/>
          <w:sz w:val="24"/>
          <w:szCs w:val="24"/>
        </w:rPr>
        <w:t>lei</w:t>
      </w:r>
      <w:r w:rsidRPr="007403CD">
        <w:rPr>
          <w:rFonts w:ascii="Tahoma" w:hAnsi="Tahoma" w:cs="Tahoma"/>
          <w:b/>
          <w:sz w:val="24"/>
          <w:szCs w:val="24"/>
        </w:rPr>
        <w:t xml:space="preserve"> (</w:t>
      </w:r>
      <w:r w:rsidR="00183E8F" w:rsidRPr="007403CD">
        <w:rPr>
          <w:rFonts w:ascii="Tahoma" w:hAnsi="Tahoma" w:cs="Tahoma"/>
          <w:b/>
          <w:sz w:val="24"/>
          <w:szCs w:val="24"/>
        </w:rPr>
        <w:t>17,</w:t>
      </w:r>
      <w:r w:rsidR="00262BE1">
        <w:rPr>
          <w:rFonts w:ascii="Tahoma" w:hAnsi="Tahoma" w:cs="Tahoma"/>
          <w:b/>
          <w:sz w:val="24"/>
          <w:szCs w:val="24"/>
        </w:rPr>
        <w:t>6</w:t>
      </w:r>
      <w:r w:rsidRPr="007403CD">
        <w:rPr>
          <w:rFonts w:ascii="Tahoma" w:hAnsi="Tahoma" w:cs="Tahoma"/>
          <w:b/>
          <w:sz w:val="24"/>
          <w:szCs w:val="24"/>
        </w:rPr>
        <w:t>% din PIB)</w:t>
      </w:r>
      <w:r w:rsidRPr="007403CD">
        <w:rPr>
          <w:rFonts w:ascii="Tahoma" w:hAnsi="Tahoma" w:cs="Tahoma"/>
          <w:sz w:val="24"/>
          <w:szCs w:val="24"/>
        </w:rPr>
        <w:t xml:space="preserve">, au crescut în termeni nominali cu </w:t>
      </w:r>
      <w:r w:rsidR="00262BE1">
        <w:rPr>
          <w:rFonts w:ascii="Tahoma" w:hAnsi="Tahoma" w:cs="Tahoma"/>
          <w:sz w:val="24"/>
          <w:szCs w:val="24"/>
        </w:rPr>
        <w:t>16,5</w:t>
      </w:r>
      <w:r w:rsidRPr="007403CD">
        <w:rPr>
          <w:rFonts w:ascii="Tahoma" w:hAnsi="Tahoma" w:cs="Tahoma"/>
          <w:sz w:val="24"/>
          <w:szCs w:val="24"/>
        </w:rPr>
        <w:t xml:space="preserve">% față de aceeași perioadă a anului precedent, gradul de realizare al acestora fiind de </w:t>
      </w:r>
      <w:r w:rsidR="00262BE1">
        <w:rPr>
          <w:rFonts w:ascii="Tahoma" w:hAnsi="Tahoma" w:cs="Tahoma"/>
          <w:sz w:val="24"/>
          <w:szCs w:val="24"/>
        </w:rPr>
        <w:t>87,4</w:t>
      </w:r>
      <w:r w:rsidRPr="007403CD">
        <w:rPr>
          <w:rFonts w:ascii="Tahoma" w:hAnsi="Tahoma" w:cs="Tahoma"/>
          <w:sz w:val="24"/>
          <w:szCs w:val="24"/>
        </w:rPr>
        <w:t>%.</w:t>
      </w:r>
    </w:p>
    <w:p w:rsidR="001B5B69" w:rsidRPr="007403CD" w:rsidRDefault="00044376" w:rsidP="002A6579">
      <w:pPr>
        <w:spacing w:after="240" w:line="276" w:lineRule="auto"/>
        <w:ind w:firstLine="0"/>
        <w:rPr>
          <w:rFonts w:ascii="Tahoma" w:hAnsi="Tahoma" w:cs="Tahoma"/>
          <w:bCs/>
          <w:sz w:val="24"/>
          <w:szCs w:val="24"/>
        </w:rPr>
      </w:pPr>
      <w:r>
        <w:rPr>
          <w:rFonts w:ascii="Tahoma" w:hAnsi="Tahoma" w:cs="Tahoma"/>
          <w:bCs/>
          <w:noProof/>
          <w:sz w:val="24"/>
          <w:szCs w:val="24"/>
          <w:lang w:val="en-US"/>
        </w:rPr>
        <w:object w:dxaOrig="13290" w:dyaOrig="6540">
          <v:shape id="_x0000_i1029" type="#_x0000_t75" style="width:456.5pt;height:232.8pt" o:ole="">
            <v:imagedata r:id="rId18" o:title=""/>
          </v:shape>
          <o:OLEObject Type="Link" ProgID="Excel.Sheet.8" ShapeID="_x0000_i1029" DrawAspect="Content" r:id="rId19" UpdateMode="Always">
            <o:LinkType>EnhancedMetaFile</o:LinkType>
            <o:LockedField>false</o:LockedField>
          </o:OLEObject>
        </w:object>
      </w:r>
    </w:p>
    <w:p w:rsidR="00C62BCE" w:rsidRPr="007403CD" w:rsidRDefault="00C62BCE" w:rsidP="00262BE1">
      <w:pPr>
        <w:spacing w:after="360" w:line="276" w:lineRule="auto"/>
        <w:ind w:firstLine="0"/>
        <w:rPr>
          <w:rFonts w:ascii="Tahoma" w:hAnsi="Tahoma" w:cs="Tahoma"/>
          <w:bCs/>
          <w:sz w:val="24"/>
          <w:szCs w:val="24"/>
        </w:rPr>
      </w:pPr>
      <w:r w:rsidRPr="007403CD">
        <w:rPr>
          <w:rFonts w:ascii="Tahoma" w:hAnsi="Tahoma" w:cs="Tahoma"/>
          <w:bCs/>
          <w:sz w:val="24"/>
          <w:szCs w:val="24"/>
        </w:rPr>
        <w:t xml:space="preserve">Acestea, ca pondere în PIB, </w:t>
      </w:r>
      <w:r w:rsidR="00262BE1">
        <w:rPr>
          <w:rFonts w:ascii="Tahoma" w:hAnsi="Tahoma" w:cs="Tahoma"/>
          <w:bCs/>
          <w:sz w:val="24"/>
          <w:szCs w:val="24"/>
        </w:rPr>
        <w:t xml:space="preserve">au crescut </w:t>
      </w:r>
      <w:r w:rsidRPr="007403CD">
        <w:rPr>
          <w:rFonts w:ascii="Tahoma" w:hAnsi="Tahoma" w:cs="Tahoma"/>
          <w:bCs/>
          <w:sz w:val="24"/>
          <w:szCs w:val="24"/>
        </w:rPr>
        <w:t>cu 0,</w:t>
      </w:r>
      <w:r w:rsidR="00262BE1">
        <w:rPr>
          <w:rFonts w:ascii="Tahoma" w:hAnsi="Tahoma" w:cs="Tahoma"/>
          <w:bCs/>
          <w:sz w:val="24"/>
          <w:szCs w:val="24"/>
        </w:rPr>
        <w:t>6</w:t>
      </w:r>
      <w:r w:rsidRPr="007403CD">
        <w:rPr>
          <w:rFonts w:ascii="Tahoma" w:hAnsi="Tahoma" w:cs="Tahoma"/>
          <w:bCs/>
          <w:sz w:val="24"/>
          <w:szCs w:val="24"/>
        </w:rPr>
        <w:t xml:space="preserve"> puncte procentuale de la 17,</w:t>
      </w:r>
      <w:r w:rsidR="00262BE1">
        <w:rPr>
          <w:rFonts w:ascii="Tahoma" w:hAnsi="Tahoma" w:cs="Tahoma"/>
          <w:bCs/>
          <w:sz w:val="24"/>
          <w:szCs w:val="24"/>
        </w:rPr>
        <w:t>0</w:t>
      </w:r>
      <w:r w:rsidRPr="007403CD">
        <w:rPr>
          <w:rFonts w:ascii="Tahoma" w:hAnsi="Tahoma" w:cs="Tahoma"/>
          <w:bCs/>
          <w:sz w:val="24"/>
          <w:szCs w:val="24"/>
        </w:rPr>
        <w:t>% din PIB în semestrul I 202</w:t>
      </w:r>
      <w:r w:rsidR="00262BE1">
        <w:rPr>
          <w:rFonts w:ascii="Tahoma" w:hAnsi="Tahoma" w:cs="Tahoma"/>
          <w:bCs/>
          <w:sz w:val="24"/>
          <w:szCs w:val="24"/>
        </w:rPr>
        <w:t>2</w:t>
      </w:r>
      <w:r w:rsidRPr="007403CD">
        <w:rPr>
          <w:rFonts w:ascii="Tahoma" w:hAnsi="Tahoma" w:cs="Tahoma"/>
          <w:bCs/>
          <w:sz w:val="24"/>
          <w:szCs w:val="24"/>
        </w:rPr>
        <w:t xml:space="preserve"> la 17,</w:t>
      </w:r>
      <w:r w:rsidR="00262BE1">
        <w:rPr>
          <w:rFonts w:ascii="Tahoma" w:hAnsi="Tahoma" w:cs="Tahoma"/>
          <w:bCs/>
          <w:sz w:val="24"/>
          <w:szCs w:val="24"/>
        </w:rPr>
        <w:t>6</w:t>
      </w:r>
      <w:r w:rsidRPr="007403CD">
        <w:rPr>
          <w:rFonts w:ascii="Tahoma" w:hAnsi="Tahoma" w:cs="Tahoma"/>
          <w:bCs/>
          <w:sz w:val="24"/>
          <w:szCs w:val="24"/>
        </w:rPr>
        <w:t>% din PIB în semestrul I 202</w:t>
      </w:r>
      <w:r w:rsidR="00262BE1">
        <w:rPr>
          <w:rFonts w:ascii="Tahoma" w:hAnsi="Tahoma" w:cs="Tahoma"/>
          <w:bCs/>
          <w:sz w:val="24"/>
          <w:szCs w:val="24"/>
        </w:rPr>
        <w:t>3</w:t>
      </w:r>
      <w:r w:rsidRPr="007403CD">
        <w:rPr>
          <w:rFonts w:ascii="Tahoma" w:hAnsi="Tahoma" w:cs="Tahoma"/>
          <w:bCs/>
          <w:sz w:val="24"/>
          <w:szCs w:val="24"/>
        </w:rPr>
        <w:t>.</w:t>
      </w:r>
    </w:p>
    <w:p w:rsidR="0044034D" w:rsidRPr="007403CD" w:rsidRDefault="006A0743" w:rsidP="002A6579">
      <w:pPr>
        <w:spacing w:line="276" w:lineRule="auto"/>
        <w:ind w:right="-57" w:firstLine="0"/>
        <w:rPr>
          <w:rFonts w:ascii="Tahoma" w:hAnsi="Tahoma" w:cs="Tahoma"/>
          <w:bCs/>
          <w:sz w:val="24"/>
          <w:szCs w:val="24"/>
        </w:rPr>
      </w:pPr>
      <w:r>
        <w:rPr>
          <w:rFonts w:ascii="Tahoma" w:hAnsi="Tahoma" w:cs="Tahoma"/>
          <w:bCs/>
          <w:noProof/>
          <w:sz w:val="24"/>
          <w:szCs w:val="24"/>
          <w:lang w:val="en-US"/>
        </w:rPr>
        <w:object w:dxaOrig="12450" w:dyaOrig="6930">
          <v:shape id="_x0000_i1030" type="#_x0000_t75" style="width:456.3pt;height:251.9pt" o:ole="">
            <v:imagedata r:id="rId20" o:title=""/>
          </v:shape>
          <o:OLEObject Type="Link" ProgID="Excel.Sheet.8" ShapeID="_x0000_i1030" DrawAspect="Content" r:id="rId21" UpdateMode="Always">
            <o:LinkType>EnhancedMetaFile</o:LinkType>
            <o:LockedField>false</o:LockedField>
          </o:OLEObject>
        </w:object>
      </w:r>
    </w:p>
    <w:p w:rsidR="004D6D76" w:rsidRPr="007403CD" w:rsidRDefault="004D6D76" w:rsidP="00C62BCE">
      <w:pPr>
        <w:spacing w:before="240" w:line="276" w:lineRule="auto"/>
        <w:ind w:firstLine="0"/>
        <w:rPr>
          <w:rFonts w:ascii="Tahoma" w:hAnsi="Tahoma" w:cs="Tahoma"/>
          <w:bCs/>
          <w:sz w:val="24"/>
          <w:szCs w:val="24"/>
        </w:rPr>
      </w:pPr>
      <w:r w:rsidRPr="007403CD">
        <w:rPr>
          <w:rFonts w:ascii="Tahoma" w:hAnsi="Tahoma" w:cs="Tahoma"/>
          <w:b/>
          <w:sz w:val="24"/>
          <w:szCs w:val="24"/>
        </w:rPr>
        <w:t>Cheltuielile de personal</w:t>
      </w:r>
      <w:r w:rsidRPr="007403CD">
        <w:rPr>
          <w:rFonts w:ascii="Tahoma" w:hAnsi="Tahoma" w:cs="Tahoma"/>
          <w:bCs/>
          <w:sz w:val="24"/>
          <w:szCs w:val="24"/>
        </w:rPr>
        <w:t xml:space="preserve"> au fost în sumă de </w:t>
      </w:r>
      <w:r w:rsidR="005641A3">
        <w:rPr>
          <w:rFonts w:ascii="Tahoma" w:hAnsi="Tahoma" w:cs="Tahoma"/>
          <w:bCs/>
          <w:sz w:val="24"/>
          <w:szCs w:val="24"/>
        </w:rPr>
        <w:t>63,</w:t>
      </w:r>
      <w:r w:rsidR="00CA1E5F">
        <w:rPr>
          <w:rFonts w:ascii="Tahoma" w:hAnsi="Tahoma" w:cs="Tahoma"/>
          <w:bCs/>
          <w:sz w:val="24"/>
          <w:szCs w:val="24"/>
        </w:rPr>
        <w:t>1</w:t>
      </w:r>
      <w:r w:rsidR="001C38E5" w:rsidRPr="007403CD">
        <w:rPr>
          <w:rFonts w:ascii="Tahoma" w:hAnsi="Tahoma" w:cs="Tahoma"/>
          <w:bCs/>
          <w:sz w:val="24"/>
          <w:szCs w:val="24"/>
        </w:rPr>
        <w:t xml:space="preserve"> miliarde </w:t>
      </w:r>
      <w:r w:rsidR="003A634F">
        <w:rPr>
          <w:rFonts w:ascii="Tahoma" w:hAnsi="Tahoma" w:cs="Tahoma"/>
          <w:bCs/>
          <w:sz w:val="24"/>
          <w:szCs w:val="24"/>
        </w:rPr>
        <w:t>lei</w:t>
      </w:r>
      <w:r w:rsidRPr="007403CD">
        <w:rPr>
          <w:rFonts w:ascii="Tahoma" w:hAnsi="Tahoma" w:cs="Tahoma"/>
          <w:bCs/>
          <w:sz w:val="24"/>
          <w:szCs w:val="24"/>
        </w:rPr>
        <w:t xml:space="preserve"> în creștere cu </w:t>
      </w:r>
      <w:r w:rsidR="005641A3">
        <w:rPr>
          <w:rFonts w:ascii="Tahoma" w:hAnsi="Tahoma" w:cs="Tahoma"/>
          <w:bCs/>
          <w:sz w:val="24"/>
          <w:szCs w:val="24"/>
        </w:rPr>
        <w:t>8,1</w:t>
      </w:r>
      <w:r w:rsidRPr="007403CD">
        <w:rPr>
          <w:rFonts w:ascii="Tahoma" w:hAnsi="Tahoma" w:cs="Tahoma"/>
          <w:bCs/>
          <w:sz w:val="24"/>
          <w:szCs w:val="24"/>
        </w:rPr>
        <w:t>% comparativ cu semestru I 20</w:t>
      </w:r>
      <w:r w:rsidR="001C38E5" w:rsidRPr="007403CD">
        <w:rPr>
          <w:rFonts w:ascii="Tahoma" w:hAnsi="Tahoma" w:cs="Tahoma"/>
          <w:bCs/>
          <w:sz w:val="24"/>
          <w:szCs w:val="24"/>
        </w:rPr>
        <w:t>2</w:t>
      </w:r>
      <w:r w:rsidR="005641A3">
        <w:rPr>
          <w:rFonts w:ascii="Tahoma" w:hAnsi="Tahoma" w:cs="Tahoma"/>
          <w:bCs/>
          <w:sz w:val="24"/>
          <w:szCs w:val="24"/>
        </w:rPr>
        <w:t>2</w:t>
      </w:r>
      <w:r w:rsidRPr="007403CD">
        <w:rPr>
          <w:rFonts w:ascii="Tahoma" w:hAnsi="Tahoma" w:cs="Tahoma"/>
          <w:bCs/>
          <w:sz w:val="24"/>
          <w:szCs w:val="24"/>
        </w:rPr>
        <w:t xml:space="preserve">, fiind realizate în proporție de </w:t>
      </w:r>
      <w:r w:rsidR="005641A3">
        <w:rPr>
          <w:rFonts w:ascii="Tahoma" w:hAnsi="Tahoma" w:cs="Tahoma"/>
          <w:bCs/>
          <w:sz w:val="24"/>
          <w:szCs w:val="24"/>
        </w:rPr>
        <w:t>95,6</w:t>
      </w:r>
      <w:r w:rsidRPr="007403CD">
        <w:rPr>
          <w:rFonts w:ascii="Tahoma" w:hAnsi="Tahoma" w:cs="Tahoma"/>
          <w:bCs/>
          <w:sz w:val="24"/>
          <w:szCs w:val="24"/>
        </w:rPr>
        <w:t xml:space="preserve">%. </w:t>
      </w:r>
    </w:p>
    <w:p w:rsidR="004D6D76" w:rsidRPr="007403CD" w:rsidRDefault="004D6D76" w:rsidP="00C62BCE">
      <w:pPr>
        <w:spacing w:line="276" w:lineRule="auto"/>
        <w:ind w:firstLine="0"/>
        <w:rPr>
          <w:rFonts w:ascii="Tahoma" w:hAnsi="Tahoma" w:cs="Tahoma"/>
          <w:bCs/>
          <w:sz w:val="24"/>
          <w:szCs w:val="24"/>
        </w:rPr>
      </w:pPr>
      <w:r w:rsidRPr="007403CD">
        <w:rPr>
          <w:rFonts w:ascii="Tahoma" w:hAnsi="Tahoma" w:cs="Tahoma"/>
          <w:bCs/>
          <w:sz w:val="24"/>
          <w:szCs w:val="24"/>
        </w:rPr>
        <w:lastRenderedPageBreak/>
        <w:t xml:space="preserve">Cheltuielile de personal, ca procent în PIB, </w:t>
      </w:r>
      <w:r w:rsidR="005641A3">
        <w:rPr>
          <w:rFonts w:ascii="Tahoma" w:hAnsi="Tahoma" w:cs="Tahoma"/>
          <w:bCs/>
          <w:sz w:val="24"/>
          <w:szCs w:val="24"/>
        </w:rPr>
        <w:t xml:space="preserve">s-au redus </w:t>
      </w:r>
      <w:r w:rsidRPr="007403CD">
        <w:rPr>
          <w:rFonts w:ascii="Tahoma" w:hAnsi="Tahoma" w:cs="Tahoma"/>
          <w:bCs/>
          <w:sz w:val="24"/>
          <w:szCs w:val="24"/>
        </w:rPr>
        <w:t>cu 0,</w:t>
      </w:r>
      <w:r w:rsidR="005641A3">
        <w:rPr>
          <w:rFonts w:ascii="Tahoma" w:hAnsi="Tahoma" w:cs="Tahoma"/>
          <w:bCs/>
          <w:sz w:val="24"/>
          <w:szCs w:val="24"/>
        </w:rPr>
        <w:t>1</w:t>
      </w:r>
      <w:r w:rsidR="00B07E4B" w:rsidRPr="007403CD">
        <w:rPr>
          <w:rFonts w:ascii="Tahoma" w:hAnsi="Tahoma" w:cs="Tahoma"/>
          <w:bCs/>
          <w:sz w:val="24"/>
          <w:szCs w:val="24"/>
        </w:rPr>
        <w:t xml:space="preserve"> </w:t>
      </w:r>
      <w:r w:rsidRPr="007403CD">
        <w:rPr>
          <w:rFonts w:ascii="Tahoma" w:hAnsi="Tahoma" w:cs="Tahoma"/>
          <w:bCs/>
          <w:sz w:val="24"/>
          <w:szCs w:val="24"/>
        </w:rPr>
        <w:t xml:space="preserve">puncte procentuale de la </w:t>
      </w:r>
      <w:r w:rsidR="005641A3">
        <w:rPr>
          <w:rFonts w:ascii="Tahoma" w:hAnsi="Tahoma" w:cs="Tahoma"/>
          <w:bCs/>
          <w:sz w:val="24"/>
          <w:szCs w:val="24"/>
        </w:rPr>
        <w:t>4,1</w:t>
      </w:r>
      <w:r w:rsidRPr="007403CD">
        <w:rPr>
          <w:rFonts w:ascii="Tahoma" w:hAnsi="Tahoma" w:cs="Tahoma"/>
          <w:bCs/>
          <w:sz w:val="24"/>
          <w:szCs w:val="24"/>
        </w:rPr>
        <w:t>% din PIB cât au fost în semestrul I 20</w:t>
      </w:r>
      <w:r w:rsidR="00E401A6" w:rsidRPr="007403CD">
        <w:rPr>
          <w:rFonts w:ascii="Tahoma" w:hAnsi="Tahoma" w:cs="Tahoma"/>
          <w:bCs/>
          <w:sz w:val="24"/>
          <w:szCs w:val="24"/>
        </w:rPr>
        <w:t>2</w:t>
      </w:r>
      <w:r w:rsidR="005641A3">
        <w:rPr>
          <w:rFonts w:ascii="Tahoma" w:hAnsi="Tahoma" w:cs="Tahoma"/>
          <w:bCs/>
          <w:sz w:val="24"/>
          <w:szCs w:val="24"/>
        </w:rPr>
        <w:t>2</w:t>
      </w:r>
      <w:r w:rsidRPr="007403CD">
        <w:rPr>
          <w:rFonts w:ascii="Tahoma" w:hAnsi="Tahoma" w:cs="Tahoma"/>
          <w:bCs/>
          <w:sz w:val="24"/>
          <w:szCs w:val="24"/>
        </w:rPr>
        <w:t xml:space="preserve"> la 4,</w:t>
      </w:r>
      <w:r w:rsidR="005641A3">
        <w:rPr>
          <w:rFonts w:ascii="Tahoma" w:hAnsi="Tahoma" w:cs="Tahoma"/>
          <w:bCs/>
          <w:sz w:val="24"/>
          <w:szCs w:val="24"/>
        </w:rPr>
        <w:t>0</w:t>
      </w:r>
      <w:r w:rsidRPr="007403CD">
        <w:rPr>
          <w:rFonts w:ascii="Tahoma" w:hAnsi="Tahoma" w:cs="Tahoma"/>
          <w:bCs/>
          <w:sz w:val="24"/>
          <w:szCs w:val="24"/>
        </w:rPr>
        <w:t xml:space="preserve"> % din PIB în semestrul I 20</w:t>
      </w:r>
      <w:r w:rsidR="000C4F84" w:rsidRPr="007403CD">
        <w:rPr>
          <w:rFonts w:ascii="Tahoma" w:hAnsi="Tahoma" w:cs="Tahoma"/>
          <w:bCs/>
          <w:sz w:val="24"/>
          <w:szCs w:val="24"/>
        </w:rPr>
        <w:t>2</w:t>
      </w:r>
      <w:r w:rsidR="005641A3">
        <w:rPr>
          <w:rFonts w:ascii="Tahoma" w:hAnsi="Tahoma" w:cs="Tahoma"/>
          <w:bCs/>
          <w:sz w:val="24"/>
          <w:szCs w:val="24"/>
        </w:rPr>
        <w:t>3</w:t>
      </w:r>
      <w:r w:rsidRPr="007403CD">
        <w:rPr>
          <w:rFonts w:ascii="Tahoma" w:hAnsi="Tahoma" w:cs="Tahoma"/>
          <w:bCs/>
          <w:sz w:val="24"/>
          <w:szCs w:val="24"/>
        </w:rPr>
        <w:t>.</w:t>
      </w:r>
    </w:p>
    <w:p w:rsidR="00C62BCE" w:rsidRPr="00204819" w:rsidRDefault="00EA36E7" w:rsidP="00C62BCE">
      <w:pPr>
        <w:spacing w:before="120" w:after="120" w:line="276" w:lineRule="auto"/>
        <w:ind w:firstLine="0"/>
        <w:rPr>
          <w:rFonts w:ascii="Tahoma" w:eastAsia="Calibri" w:hAnsi="Tahoma" w:cs="Tahoma"/>
          <w:bCs/>
          <w:sz w:val="24"/>
          <w:szCs w:val="24"/>
        </w:rPr>
      </w:pPr>
      <w:r w:rsidRPr="00204819">
        <w:rPr>
          <w:rFonts w:ascii="Tahoma" w:eastAsia="Calibri" w:hAnsi="Tahoma" w:cs="Tahoma"/>
          <w:bCs/>
          <w:sz w:val="24"/>
          <w:szCs w:val="24"/>
        </w:rPr>
        <w:t>Creșterea</w:t>
      </w:r>
      <w:r w:rsidR="00C62BCE" w:rsidRPr="00204819">
        <w:rPr>
          <w:rFonts w:ascii="Tahoma" w:eastAsia="Calibri" w:hAnsi="Tahoma" w:cs="Tahoma"/>
          <w:bCs/>
          <w:sz w:val="24"/>
          <w:szCs w:val="24"/>
        </w:rPr>
        <w:t>,</w:t>
      </w:r>
      <w:r w:rsidRPr="00204819">
        <w:rPr>
          <w:rFonts w:ascii="Tahoma" w:eastAsia="Calibri" w:hAnsi="Tahoma" w:cs="Tahoma"/>
          <w:bCs/>
          <w:sz w:val="24"/>
          <w:szCs w:val="24"/>
        </w:rPr>
        <w:t xml:space="preserve"> în termen</w:t>
      </w:r>
      <w:r w:rsidR="004C2007" w:rsidRPr="00204819">
        <w:rPr>
          <w:rFonts w:ascii="Tahoma" w:eastAsia="Calibri" w:hAnsi="Tahoma" w:cs="Tahoma"/>
          <w:bCs/>
          <w:sz w:val="24"/>
          <w:szCs w:val="24"/>
        </w:rPr>
        <w:t>i</w:t>
      </w:r>
      <w:r w:rsidRPr="00204819">
        <w:rPr>
          <w:rFonts w:ascii="Tahoma" w:eastAsia="Calibri" w:hAnsi="Tahoma" w:cs="Tahoma"/>
          <w:bCs/>
          <w:sz w:val="24"/>
          <w:szCs w:val="24"/>
        </w:rPr>
        <w:t xml:space="preserve"> nominal</w:t>
      </w:r>
      <w:r w:rsidR="004C2007" w:rsidRPr="00204819">
        <w:rPr>
          <w:rFonts w:ascii="Tahoma" w:eastAsia="Calibri" w:hAnsi="Tahoma" w:cs="Tahoma"/>
          <w:bCs/>
          <w:sz w:val="24"/>
          <w:szCs w:val="24"/>
        </w:rPr>
        <w:t>i</w:t>
      </w:r>
      <w:r w:rsidR="00C62BCE" w:rsidRPr="00204819">
        <w:rPr>
          <w:rFonts w:ascii="Tahoma" w:eastAsia="Calibri" w:hAnsi="Tahoma" w:cs="Tahoma"/>
          <w:bCs/>
          <w:sz w:val="24"/>
          <w:szCs w:val="24"/>
        </w:rPr>
        <w:t>,</w:t>
      </w:r>
      <w:r w:rsidRPr="00204819">
        <w:rPr>
          <w:rFonts w:ascii="Tahoma" w:eastAsia="Calibri" w:hAnsi="Tahoma" w:cs="Tahoma"/>
          <w:bCs/>
          <w:sz w:val="24"/>
          <w:szCs w:val="24"/>
        </w:rPr>
        <w:t xml:space="preserve"> a cheltuielilor de personal comparativ cu semestrul I 202</w:t>
      </w:r>
      <w:r w:rsidR="008131F9" w:rsidRPr="00204819">
        <w:rPr>
          <w:rFonts w:ascii="Tahoma" w:eastAsia="Calibri" w:hAnsi="Tahoma" w:cs="Tahoma"/>
          <w:bCs/>
          <w:sz w:val="24"/>
          <w:szCs w:val="24"/>
        </w:rPr>
        <w:t>2 a fost determinată de creșterile salariale din sectorul bugetar acordate începând cu 1 ianuarie 2023 conform prevederilor Ordonanței de urgență a Guvernului nr.168/2022</w:t>
      </w:r>
      <w:r w:rsidR="008131F9" w:rsidRPr="00204819">
        <w:rPr>
          <w:rStyle w:val="FootnoteReference"/>
          <w:rFonts w:ascii="Tahoma" w:eastAsia="Calibri" w:hAnsi="Tahoma" w:cs="Tahoma"/>
          <w:bCs/>
          <w:sz w:val="24"/>
          <w:szCs w:val="24"/>
        </w:rPr>
        <w:footnoteReference w:id="22"/>
      </w:r>
      <w:r w:rsidR="008131F9" w:rsidRPr="00204819">
        <w:rPr>
          <w:rFonts w:ascii="Tahoma" w:eastAsia="Calibri" w:hAnsi="Tahoma" w:cs="Tahoma"/>
          <w:bCs/>
          <w:sz w:val="24"/>
          <w:szCs w:val="24"/>
        </w:rPr>
        <w:t>.</w:t>
      </w:r>
    </w:p>
    <w:p w:rsidR="005641A3" w:rsidRDefault="004D6D76" w:rsidP="00A1506E">
      <w:pPr>
        <w:spacing w:after="120" w:line="276" w:lineRule="auto"/>
        <w:ind w:firstLine="0"/>
        <w:rPr>
          <w:rFonts w:ascii="Tahoma" w:hAnsi="Tahoma" w:cs="Tahoma"/>
          <w:bCs/>
          <w:sz w:val="24"/>
          <w:szCs w:val="24"/>
        </w:rPr>
      </w:pPr>
      <w:r w:rsidRPr="007403CD">
        <w:rPr>
          <w:rFonts w:ascii="Tahoma" w:hAnsi="Tahoma" w:cs="Tahoma"/>
          <w:b/>
          <w:bCs/>
          <w:sz w:val="24"/>
          <w:szCs w:val="24"/>
        </w:rPr>
        <w:t xml:space="preserve">Cheltuielile cu bunuri </w:t>
      </w:r>
      <w:r w:rsidR="00247A3D" w:rsidRPr="007403CD">
        <w:rPr>
          <w:rFonts w:ascii="Tahoma" w:hAnsi="Tahoma" w:cs="Tahoma"/>
          <w:b/>
          <w:bCs/>
          <w:sz w:val="24"/>
          <w:szCs w:val="24"/>
        </w:rPr>
        <w:t>și</w:t>
      </w:r>
      <w:r w:rsidRPr="007403CD">
        <w:rPr>
          <w:rFonts w:ascii="Tahoma" w:hAnsi="Tahoma" w:cs="Tahoma"/>
          <w:b/>
          <w:bCs/>
          <w:sz w:val="24"/>
          <w:szCs w:val="24"/>
        </w:rPr>
        <w:t xml:space="preserve"> servicii </w:t>
      </w:r>
      <w:r w:rsidRPr="007403CD">
        <w:rPr>
          <w:rFonts w:ascii="Tahoma" w:hAnsi="Tahoma" w:cs="Tahoma"/>
          <w:bCs/>
          <w:sz w:val="24"/>
          <w:szCs w:val="24"/>
        </w:rPr>
        <w:t xml:space="preserve">au totalizat </w:t>
      </w:r>
      <w:r w:rsidR="005641A3">
        <w:rPr>
          <w:rFonts w:ascii="Tahoma" w:hAnsi="Tahoma" w:cs="Tahoma"/>
          <w:bCs/>
          <w:sz w:val="24"/>
          <w:szCs w:val="24"/>
        </w:rPr>
        <w:t>36,</w:t>
      </w:r>
      <w:r w:rsidR="00CA1E5F">
        <w:rPr>
          <w:rFonts w:ascii="Tahoma" w:hAnsi="Tahoma" w:cs="Tahoma"/>
          <w:bCs/>
          <w:sz w:val="24"/>
          <w:szCs w:val="24"/>
        </w:rPr>
        <w:t>1</w:t>
      </w:r>
      <w:r w:rsidR="00E401A6" w:rsidRPr="007403CD">
        <w:rPr>
          <w:rFonts w:ascii="Tahoma" w:hAnsi="Tahoma" w:cs="Tahoma"/>
          <w:bCs/>
          <w:sz w:val="24"/>
          <w:szCs w:val="24"/>
        </w:rPr>
        <w:t xml:space="preserve"> miliarde </w:t>
      </w:r>
      <w:r w:rsidR="003A634F">
        <w:rPr>
          <w:rFonts w:ascii="Tahoma" w:hAnsi="Tahoma" w:cs="Tahoma"/>
          <w:bCs/>
          <w:sz w:val="24"/>
          <w:szCs w:val="24"/>
        </w:rPr>
        <w:t>lei</w:t>
      </w:r>
      <w:r w:rsidRPr="007403CD">
        <w:rPr>
          <w:rFonts w:ascii="Tahoma" w:hAnsi="Tahoma" w:cs="Tahoma"/>
          <w:bCs/>
          <w:sz w:val="24"/>
          <w:szCs w:val="24"/>
        </w:rPr>
        <w:t xml:space="preserve"> în creștere cu </w:t>
      </w:r>
      <w:r w:rsidR="005641A3">
        <w:rPr>
          <w:rFonts w:ascii="Tahoma" w:hAnsi="Tahoma" w:cs="Tahoma"/>
          <w:bCs/>
          <w:sz w:val="24"/>
          <w:szCs w:val="24"/>
        </w:rPr>
        <w:t>12,8</w:t>
      </w:r>
      <w:r w:rsidRPr="007403CD">
        <w:rPr>
          <w:rFonts w:ascii="Tahoma" w:hAnsi="Tahoma" w:cs="Tahoma"/>
          <w:bCs/>
          <w:sz w:val="24"/>
          <w:szCs w:val="24"/>
        </w:rPr>
        <w:t xml:space="preserve">% față de aceeași perioadă a anului precedent </w:t>
      </w:r>
      <w:r w:rsidR="00247A3D" w:rsidRPr="007403CD">
        <w:rPr>
          <w:rFonts w:ascii="Tahoma" w:hAnsi="Tahoma" w:cs="Tahoma"/>
          <w:bCs/>
          <w:sz w:val="24"/>
          <w:szCs w:val="24"/>
        </w:rPr>
        <w:t>și</w:t>
      </w:r>
      <w:r w:rsidRPr="007403CD">
        <w:rPr>
          <w:rFonts w:ascii="Tahoma" w:hAnsi="Tahoma" w:cs="Tahoma"/>
          <w:bCs/>
          <w:sz w:val="24"/>
          <w:szCs w:val="24"/>
        </w:rPr>
        <w:t xml:space="preserve"> s-au realizat în proporție de </w:t>
      </w:r>
      <w:r w:rsidR="005641A3">
        <w:rPr>
          <w:rFonts w:ascii="Tahoma" w:hAnsi="Tahoma" w:cs="Tahoma"/>
          <w:bCs/>
          <w:sz w:val="24"/>
          <w:szCs w:val="24"/>
        </w:rPr>
        <w:t>99,1</w:t>
      </w:r>
      <w:r w:rsidRPr="007403CD">
        <w:rPr>
          <w:rFonts w:ascii="Tahoma" w:hAnsi="Tahoma" w:cs="Tahoma"/>
          <w:bCs/>
          <w:sz w:val="24"/>
          <w:szCs w:val="24"/>
        </w:rPr>
        <w:t>%.</w:t>
      </w:r>
      <w:r w:rsidR="00CA1E5F">
        <w:rPr>
          <w:rFonts w:ascii="Tahoma" w:hAnsi="Tahoma" w:cs="Tahoma"/>
          <w:bCs/>
          <w:sz w:val="24"/>
          <w:szCs w:val="24"/>
        </w:rPr>
        <w:t xml:space="preserve"> </w:t>
      </w:r>
      <w:r w:rsidR="00C62BCE" w:rsidRPr="007403CD">
        <w:rPr>
          <w:rFonts w:ascii="Tahoma" w:hAnsi="Tahoma" w:cs="Tahoma"/>
          <w:bCs/>
          <w:sz w:val="24"/>
          <w:szCs w:val="24"/>
        </w:rPr>
        <w:t xml:space="preserve">Ca procent în PIB cheltuielile cu bunuri și servicii </w:t>
      </w:r>
      <w:r w:rsidR="005641A3">
        <w:rPr>
          <w:rFonts w:ascii="Tahoma" w:hAnsi="Tahoma" w:cs="Tahoma"/>
          <w:bCs/>
          <w:sz w:val="24"/>
          <w:szCs w:val="24"/>
        </w:rPr>
        <w:t>s-</w:t>
      </w:r>
      <w:r w:rsidR="00C62BCE" w:rsidRPr="007403CD">
        <w:rPr>
          <w:rFonts w:ascii="Tahoma" w:hAnsi="Tahoma" w:cs="Tahoma"/>
          <w:bCs/>
          <w:sz w:val="24"/>
          <w:szCs w:val="24"/>
        </w:rPr>
        <w:t xml:space="preserve">au </w:t>
      </w:r>
      <w:r w:rsidR="005641A3">
        <w:rPr>
          <w:rFonts w:ascii="Tahoma" w:hAnsi="Tahoma" w:cs="Tahoma"/>
          <w:bCs/>
          <w:sz w:val="24"/>
          <w:szCs w:val="24"/>
        </w:rPr>
        <w:t xml:space="preserve">menținut la același nivel înregistrat în semestrul I 2022 de 2,3% din PIB. </w:t>
      </w:r>
    </w:p>
    <w:p w:rsidR="00A1506E" w:rsidRPr="007403CD" w:rsidRDefault="00A1506E" w:rsidP="00A1506E">
      <w:pPr>
        <w:spacing w:after="120" w:line="276" w:lineRule="auto"/>
        <w:ind w:firstLine="0"/>
        <w:rPr>
          <w:rFonts w:ascii="Tahoma" w:hAnsi="Tahoma" w:cs="Tahoma"/>
          <w:bCs/>
          <w:sz w:val="24"/>
          <w:szCs w:val="24"/>
        </w:rPr>
      </w:pPr>
      <w:r w:rsidRPr="007403CD">
        <w:rPr>
          <w:rFonts w:ascii="Tahoma" w:hAnsi="Tahoma" w:cs="Tahoma"/>
          <w:bCs/>
          <w:sz w:val="24"/>
          <w:szCs w:val="24"/>
        </w:rPr>
        <w:t>Creșterea cheltuielilor cu bunuri și servicii s-a manifestat în cazul majorității bugetelor componente ale bugetului general consolidat pe fondul presiunilor inflaționiste înregistrate în anul 2022</w:t>
      </w:r>
      <w:r w:rsidR="005641A3">
        <w:rPr>
          <w:rFonts w:ascii="Tahoma" w:hAnsi="Tahoma" w:cs="Tahoma"/>
          <w:bCs/>
          <w:sz w:val="24"/>
          <w:szCs w:val="24"/>
        </w:rPr>
        <w:t xml:space="preserve"> și 2023 cu excepția bugetului de stat acolo unde acestea s-au redus comparativ cu anul anterior cu 10,0%</w:t>
      </w:r>
      <w:r w:rsidRPr="007403CD">
        <w:rPr>
          <w:rFonts w:ascii="Tahoma" w:hAnsi="Tahoma" w:cs="Tahoma"/>
          <w:bCs/>
          <w:sz w:val="24"/>
          <w:szCs w:val="24"/>
        </w:rPr>
        <w:t>.</w:t>
      </w:r>
    </w:p>
    <w:p w:rsidR="008131F9" w:rsidRPr="002A4C14" w:rsidRDefault="004D6D76" w:rsidP="008131F9">
      <w:pPr>
        <w:spacing w:line="276" w:lineRule="auto"/>
        <w:ind w:firstLine="0"/>
        <w:rPr>
          <w:rFonts w:ascii="Tahoma" w:hAnsi="Tahoma" w:cs="Tahoma"/>
          <w:color w:val="000000"/>
          <w:sz w:val="24"/>
          <w:szCs w:val="24"/>
        </w:rPr>
      </w:pPr>
      <w:r w:rsidRPr="007403CD">
        <w:rPr>
          <w:rFonts w:ascii="Tahoma" w:hAnsi="Tahoma" w:cs="Tahoma"/>
          <w:b/>
          <w:sz w:val="24"/>
          <w:szCs w:val="24"/>
        </w:rPr>
        <w:t>Cheltui</w:t>
      </w:r>
      <w:r w:rsidRPr="007403CD">
        <w:rPr>
          <w:rFonts w:ascii="Tahoma" w:hAnsi="Tahoma" w:cs="Tahoma"/>
          <w:b/>
          <w:bCs/>
          <w:sz w:val="24"/>
          <w:szCs w:val="24"/>
        </w:rPr>
        <w:t xml:space="preserve">elile cu dobânzile </w:t>
      </w:r>
      <w:r w:rsidRPr="007403CD">
        <w:rPr>
          <w:rFonts w:ascii="Tahoma" w:hAnsi="Tahoma" w:cs="Tahoma"/>
          <w:sz w:val="24"/>
          <w:szCs w:val="24"/>
        </w:rPr>
        <w:t xml:space="preserve">au </w:t>
      </w:r>
      <w:r w:rsidR="00D26FEC" w:rsidRPr="007403CD">
        <w:rPr>
          <w:rFonts w:ascii="Tahoma" w:hAnsi="Tahoma" w:cs="Tahoma"/>
          <w:sz w:val="24"/>
          <w:szCs w:val="24"/>
        </w:rPr>
        <w:t xml:space="preserve">fost în sumă de </w:t>
      </w:r>
      <w:r w:rsidR="00CA1E5F">
        <w:rPr>
          <w:rFonts w:ascii="Tahoma" w:hAnsi="Tahoma" w:cs="Tahoma"/>
          <w:sz w:val="24"/>
          <w:szCs w:val="24"/>
        </w:rPr>
        <w:t>16,0</w:t>
      </w:r>
      <w:r w:rsidR="00D26FEC" w:rsidRPr="007403CD">
        <w:rPr>
          <w:rFonts w:ascii="Tahoma" w:hAnsi="Tahoma" w:cs="Tahoma"/>
          <w:sz w:val="24"/>
          <w:szCs w:val="24"/>
        </w:rPr>
        <w:t xml:space="preserve"> miliarde </w:t>
      </w:r>
      <w:r w:rsidR="003A634F">
        <w:rPr>
          <w:rFonts w:ascii="Tahoma" w:hAnsi="Tahoma" w:cs="Tahoma"/>
          <w:sz w:val="24"/>
          <w:szCs w:val="24"/>
        </w:rPr>
        <w:t>lei</w:t>
      </w:r>
      <w:r w:rsidR="00B07E4B" w:rsidRPr="007403CD">
        <w:rPr>
          <w:rFonts w:ascii="Tahoma" w:hAnsi="Tahoma" w:cs="Tahoma"/>
          <w:sz w:val="24"/>
          <w:szCs w:val="24"/>
        </w:rPr>
        <w:t xml:space="preserve"> </w:t>
      </w:r>
      <w:r w:rsidR="00D26FEC" w:rsidRPr="007403CD">
        <w:rPr>
          <w:rFonts w:ascii="Tahoma" w:hAnsi="Tahoma" w:cs="Tahoma"/>
          <w:sz w:val="24"/>
          <w:szCs w:val="24"/>
        </w:rPr>
        <w:t>(</w:t>
      </w:r>
      <w:r w:rsidR="00A1506E" w:rsidRPr="007403CD">
        <w:rPr>
          <w:rFonts w:ascii="Tahoma" w:hAnsi="Tahoma" w:cs="Tahoma"/>
          <w:sz w:val="24"/>
          <w:szCs w:val="24"/>
        </w:rPr>
        <w:t>1,0</w:t>
      </w:r>
      <w:r w:rsidR="00D26FEC" w:rsidRPr="007403CD">
        <w:rPr>
          <w:rFonts w:ascii="Tahoma" w:hAnsi="Tahoma" w:cs="Tahoma"/>
          <w:sz w:val="24"/>
          <w:szCs w:val="24"/>
        </w:rPr>
        <w:t xml:space="preserve">% din PIB) </w:t>
      </w:r>
      <w:r w:rsidRPr="007403CD">
        <w:rPr>
          <w:rFonts w:ascii="Tahoma" w:hAnsi="Tahoma" w:cs="Tahoma"/>
          <w:bCs/>
          <w:sz w:val="24"/>
          <w:szCs w:val="24"/>
        </w:rPr>
        <w:t xml:space="preserve">cu </w:t>
      </w:r>
      <w:r w:rsidR="005641A3">
        <w:rPr>
          <w:rFonts w:ascii="Tahoma" w:hAnsi="Tahoma" w:cs="Tahoma"/>
          <w:bCs/>
          <w:sz w:val="24"/>
          <w:szCs w:val="24"/>
        </w:rPr>
        <w:t>21,6</w:t>
      </w:r>
      <w:r w:rsidRPr="007403CD">
        <w:rPr>
          <w:rFonts w:ascii="Tahoma" w:hAnsi="Tahoma" w:cs="Tahoma"/>
          <w:bCs/>
          <w:sz w:val="24"/>
          <w:szCs w:val="24"/>
        </w:rPr>
        <w:t xml:space="preserve">% </w:t>
      </w:r>
      <w:r w:rsidR="00AF6727" w:rsidRPr="007403CD">
        <w:rPr>
          <w:rFonts w:ascii="Tahoma" w:hAnsi="Tahoma" w:cs="Tahoma"/>
          <w:bCs/>
          <w:sz w:val="24"/>
          <w:szCs w:val="24"/>
        </w:rPr>
        <w:t xml:space="preserve">mai mari </w:t>
      </w:r>
      <w:r w:rsidRPr="007403CD">
        <w:rPr>
          <w:rFonts w:ascii="Tahoma" w:hAnsi="Tahoma" w:cs="Tahoma"/>
          <w:bCs/>
          <w:sz w:val="24"/>
          <w:szCs w:val="24"/>
        </w:rPr>
        <w:t>comparativ cu primul semestru al anului 20</w:t>
      </w:r>
      <w:r w:rsidR="00AF6727" w:rsidRPr="007403CD">
        <w:rPr>
          <w:rFonts w:ascii="Tahoma" w:hAnsi="Tahoma" w:cs="Tahoma"/>
          <w:bCs/>
          <w:sz w:val="24"/>
          <w:szCs w:val="24"/>
        </w:rPr>
        <w:t>2</w:t>
      </w:r>
      <w:r w:rsidR="005641A3">
        <w:rPr>
          <w:rFonts w:ascii="Tahoma" w:hAnsi="Tahoma" w:cs="Tahoma"/>
          <w:bCs/>
          <w:sz w:val="24"/>
          <w:szCs w:val="24"/>
        </w:rPr>
        <w:t>2</w:t>
      </w:r>
      <w:r w:rsidRPr="007403CD">
        <w:rPr>
          <w:rFonts w:ascii="Tahoma" w:hAnsi="Tahoma" w:cs="Tahoma"/>
          <w:bCs/>
          <w:sz w:val="24"/>
          <w:szCs w:val="24"/>
        </w:rPr>
        <w:t xml:space="preserve">, gradul de realizare </w:t>
      </w:r>
      <w:r w:rsidR="00AF6727" w:rsidRPr="007403CD">
        <w:rPr>
          <w:rFonts w:ascii="Tahoma" w:hAnsi="Tahoma" w:cs="Tahoma"/>
          <w:bCs/>
          <w:sz w:val="24"/>
          <w:szCs w:val="24"/>
        </w:rPr>
        <w:t xml:space="preserve">al cheltuielilor programate </w:t>
      </w:r>
      <w:r w:rsidRPr="007403CD">
        <w:rPr>
          <w:rFonts w:ascii="Tahoma" w:hAnsi="Tahoma" w:cs="Tahoma"/>
          <w:bCs/>
          <w:sz w:val="24"/>
          <w:szCs w:val="24"/>
        </w:rPr>
        <w:t>pe</w:t>
      </w:r>
      <w:r w:rsidR="00AF6727" w:rsidRPr="007403CD">
        <w:rPr>
          <w:rFonts w:ascii="Tahoma" w:hAnsi="Tahoma" w:cs="Tahoma"/>
          <w:bCs/>
          <w:sz w:val="24"/>
          <w:szCs w:val="24"/>
        </w:rPr>
        <w:t xml:space="preserve">ntru </w:t>
      </w:r>
      <w:r w:rsidRPr="007403CD">
        <w:rPr>
          <w:rFonts w:ascii="Tahoma" w:hAnsi="Tahoma" w:cs="Tahoma"/>
          <w:bCs/>
          <w:sz w:val="24"/>
          <w:szCs w:val="24"/>
        </w:rPr>
        <w:t>semestrul I 20</w:t>
      </w:r>
      <w:r w:rsidR="001B5DB9" w:rsidRPr="007403CD">
        <w:rPr>
          <w:rFonts w:ascii="Tahoma" w:hAnsi="Tahoma" w:cs="Tahoma"/>
          <w:bCs/>
          <w:sz w:val="24"/>
          <w:szCs w:val="24"/>
        </w:rPr>
        <w:t>2</w:t>
      </w:r>
      <w:r w:rsidR="005641A3">
        <w:rPr>
          <w:rFonts w:ascii="Tahoma" w:hAnsi="Tahoma" w:cs="Tahoma"/>
          <w:bCs/>
          <w:sz w:val="24"/>
          <w:szCs w:val="24"/>
        </w:rPr>
        <w:t>3</w:t>
      </w:r>
      <w:r w:rsidRPr="007403CD">
        <w:rPr>
          <w:rFonts w:ascii="Tahoma" w:hAnsi="Tahoma" w:cs="Tahoma"/>
          <w:bCs/>
          <w:sz w:val="24"/>
          <w:szCs w:val="24"/>
        </w:rPr>
        <w:t xml:space="preserve"> fiind de </w:t>
      </w:r>
      <w:r w:rsidR="005641A3">
        <w:rPr>
          <w:rFonts w:ascii="Tahoma" w:hAnsi="Tahoma" w:cs="Tahoma"/>
          <w:bCs/>
          <w:sz w:val="24"/>
          <w:szCs w:val="24"/>
        </w:rPr>
        <w:t>85</w:t>
      </w:r>
      <w:r w:rsidR="00A1506E" w:rsidRPr="007403CD">
        <w:rPr>
          <w:rFonts w:ascii="Tahoma" w:hAnsi="Tahoma" w:cs="Tahoma"/>
          <w:bCs/>
          <w:sz w:val="24"/>
          <w:szCs w:val="24"/>
        </w:rPr>
        <w:t>,5</w:t>
      </w:r>
      <w:r w:rsidRPr="007403CD">
        <w:rPr>
          <w:rFonts w:ascii="Tahoma" w:hAnsi="Tahoma" w:cs="Tahoma"/>
          <w:bCs/>
          <w:sz w:val="24"/>
          <w:szCs w:val="24"/>
        </w:rPr>
        <w:t>%.</w:t>
      </w:r>
      <w:r w:rsidR="00ED73F0" w:rsidRPr="007403CD">
        <w:rPr>
          <w:rFonts w:ascii="Tahoma" w:hAnsi="Tahoma" w:cs="Tahoma"/>
          <w:bCs/>
          <w:sz w:val="24"/>
          <w:szCs w:val="24"/>
        </w:rPr>
        <w:t xml:space="preserve"> </w:t>
      </w:r>
      <w:r w:rsidR="00A1506E" w:rsidRPr="007403CD">
        <w:rPr>
          <w:rFonts w:ascii="Tahoma" w:hAnsi="Tahoma" w:cs="Tahoma"/>
          <w:bCs/>
          <w:sz w:val="24"/>
          <w:szCs w:val="24"/>
        </w:rPr>
        <w:t>Cheltuielile cu dobânzile au crescut cu 0,</w:t>
      </w:r>
      <w:r w:rsidR="005641A3">
        <w:rPr>
          <w:rFonts w:ascii="Tahoma" w:hAnsi="Tahoma" w:cs="Tahoma"/>
          <w:bCs/>
          <w:sz w:val="24"/>
          <w:szCs w:val="24"/>
        </w:rPr>
        <w:t>1</w:t>
      </w:r>
      <w:r w:rsidR="00A1506E" w:rsidRPr="007403CD">
        <w:rPr>
          <w:rFonts w:ascii="Tahoma" w:hAnsi="Tahoma" w:cs="Tahoma"/>
          <w:bCs/>
          <w:sz w:val="24"/>
          <w:szCs w:val="24"/>
        </w:rPr>
        <w:t xml:space="preserve"> puncte procentuale ca raport în PIB de la 0,</w:t>
      </w:r>
      <w:r w:rsidR="005641A3">
        <w:rPr>
          <w:rFonts w:ascii="Tahoma" w:hAnsi="Tahoma" w:cs="Tahoma"/>
          <w:bCs/>
          <w:sz w:val="24"/>
          <w:szCs w:val="24"/>
        </w:rPr>
        <w:t>9</w:t>
      </w:r>
      <w:r w:rsidR="00A1506E" w:rsidRPr="007403CD">
        <w:rPr>
          <w:rFonts w:ascii="Tahoma" w:hAnsi="Tahoma" w:cs="Tahoma"/>
          <w:bCs/>
          <w:sz w:val="24"/>
          <w:szCs w:val="24"/>
        </w:rPr>
        <w:t>% din PIB în semestrul I 202</w:t>
      </w:r>
      <w:r w:rsidR="005641A3">
        <w:rPr>
          <w:rFonts w:ascii="Tahoma" w:hAnsi="Tahoma" w:cs="Tahoma"/>
          <w:bCs/>
          <w:sz w:val="24"/>
          <w:szCs w:val="24"/>
        </w:rPr>
        <w:t>2</w:t>
      </w:r>
      <w:r w:rsidR="00A1506E" w:rsidRPr="007403CD">
        <w:rPr>
          <w:rFonts w:ascii="Tahoma" w:hAnsi="Tahoma" w:cs="Tahoma"/>
          <w:bCs/>
          <w:sz w:val="24"/>
          <w:szCs w:val="24"/>
        </w:rPr>
        <w:t xml:space="preserve"> la 1% din PIB în semestrul I 202</w:t>
      </w:r>
      <w:r w:rsidR="005641A3">
        <w:rPr>
          <w:rFonts w:ascii="Tahoma" w:hAnsi="Tahoma" w:cs="Tahoma"/>
          <w:bCs/>
          <w:sz w:val="24"/>
          <w:szCs w:val="24"/>
        </w:rPr>
        <w:t>3</w:t>
      </w:r>
      <w:r w:rsidR="00A1506E" w:rsidRPr="007403CD">
        <w:rPr>
          <w:rFonts w:ascii="Tahoma" w:hAnsi="Tahoma" w:cs="Tahoma"/>
          <w:bCs/>
          <w:sz w:val="24"/>
          <w:szCs w:val="24"/>
        </w:rPr>
        <w:t>.</w:t>
      </w:r>
      <w:r w:rsidR="00BE024F" w:rsidRPr="007403CD">
        <w:rPr>
          <w:rFonts w:ascii="Tahoma" w:hAnsi="Tahoma" w:cs="Tahoma"/>
          <w:sz w:val="24"/>
          <w:szCs w:val="24"/>
        </w:rPr>
        <w:t xml:space="preserve"> </w:t>
      </w:r>
      <w:r w:rsidR="00BE024F" w:rsidRPr="008131F9">
        <w:rPr>
          <w:rFonts w:ascii="Tahoma" w:hAnsi="Tahoma" w:cs="Tahoma"/>
          <w:sz w:val="24"/>
          <w:szCs w:val="24"/>
        </w:rPr>
        <w:t xml:space="preserve">Evoluția cheltuielilor cu dobânzile s-a datorat </w:t>
      </w:r>
      <w:proofErr w:type="spellStart"/>
      <w:r w:rsidR="008131F9" w:rsidRPr="008131F9">
        <w:rPr>
          <w:rFonts w:ascii="Tahoma" w:hAnsi="Tahoma" w:cs="Tahoma"/>
          <w:sz w:val="24"/>
          <w:szCs w:val="24"/>
        </w:rPr>
        <w:t>prefinanțării</w:t>
      </w:r>
      <w:proofErr w:type="spellEnd"/>
      <w:r w:rsidR="008131F9" w:rsidRPr="008131F9">
        <w:rPr>
          <w:rFonts w:ascii="Tahoma" w:hAnsi="Tahoma" w:cs="Tahoma"/>
          <w:sz w:val="24"/>
          <w:szCs w:val="24"/>
        </w:rPr>
        <w:t xml:space="preserve"> în primele 6 luni a necesarului brut de </w:t>
      </w:r>
      <w:r w:rsidR="008131F9" w:rsidRPr="008F5C12">
        <w:rPr>
          <w:rFonts w:ascii="Tahoma" w:hAnsi="Tahoma" w:cs="Tahoma"/>
          <w:color w:val="000000"/>
          <w:sz w:val="24"/>
          <w:szCs w:val="24"/>
        </w:rPr>
        <w:t xml:space="preserve">finanțare pentru anul 2023. Astfel, </w:t>
      </w:r>
      <w:proofErr w:type="spellStart"/>
      <w:r w:rsidR="008131F9" w:rsidRPr="008F5C12">
        <w:rPr>
          <w:rFonts w:ascii="Tahoma" w:hAnsi="Tahoma" w:cs="Tahoma"/>
          <w:color w:val="000000"/>
          <w:sz w:val="24"/>
          <w:szCs w:val="24"/>
        </w:rPr>
        <w:t>dupa</w:t>
      </w:r>
      <w:proofErr w:type="spellEnd"/>
      <w:r w:rsidR="008131F9" w:rsidRPr="008F5C12">
        <w:rPr>
          <w:rFonts w:ascii="Tahoma" w:hAnsi="Tahoma" w:cs="Tahoma"/>
          <w:color w:val="000000"/>
          <w:sz w:val="24"/>
          <w:szCs w:val="24"/>
        </w:rPr>
        <w:t xml:space="preserve"> primele 6 luni ale anului, în contextul unui apetit crescut al mediilor investiționale interne și externe pentru titlurile de stat, este asigurat deja 64,5% din necesarul brut de finanțare pentru anul 2023.</w:t>
      </w:r>
    </w:p>
    <w:p w:rsidR="00204819" w:rsidRPr="00204819" w:rsidRDefault="004D6D76" w:rsidP="00204819">
      <w:pPr>
        <w:spacing w:before="120" w:after="120" w:line="276" w:lineRule="auto"/>
        <w:ind w:firstLine="0"/>
        <w:rPr>
          <w:rFonts w:ascii="Tahoma" w:eastAsia="Calibri" w:hAnsi="Tahoma" w:cs="Tahoma"/>
          <w:sz w:val="24"/>
          <w:szCs w:val="24"/>
        </w:rPr>
      </w:pPr>
      <w:r w:rsidRPr="007403CD">
        <w:rPr>
          <w:rFonts w:ascii="Tahoma" w:hAnsi="Tahoma" w:cs="Tahoma"/>
          <w:b/>
          <w:bCs/>
          <w:sz w:val="24"/>
          <w:szCs w:val="24"/>
        </w:rPr>
        <w:t xml:space="preserve">Cheltuielile cu subvențiile </w:t>
      </w:r>
      <w:r w:rsidRPr="007403CD">
        <w:rPr>
          <w:rFonts w:ascii="Tahoma" w:hAnsi="Tahoma" w:cs="Tahoma"/>
          <w:bCs/>
          <w:sz w:val="24"/>
          <w:szCs w:val="24"/>
        </w:rPr>
        <w:t xml:space="preserve">au însumat </w:t>
      </w:r>
      <w:r w:rsidR="00DC6FB0">
        <w:rPr>
          <w:rFonts w:ascii="Tahoma" w:hAnsi="Tahoma" w:cs="Tahoma"/>
          <w:bCs/>
          <w:sz w:val="24"/>
          <w:szCs w:val="24"/>
        </w:rPr>
        <w:t>9,0</w:t>
      </w:r>
      <w:r w:rsidRPr="007403CD">
        <w:rPr>
          <w:rFonts w:ascii="Tahoma" w:hAnsi="Tahoma" w:cs="Tahoma"/>
          <w:bCs/>
          <w:sz w:val="24"/>
          <w:szCs w:val="24"/>
        </w:rPr>
        <w:t xml:space="preserve"> mili</w:t>
      </w:r>
      <w:r w:rsidR="00AF6727" w:rsidRPr="007403CD">
        <w:rPr>
          <w:rFonts w:ascii="Tahoma" w:hAnsi="Tahoma" w:cs="Tahoma"/>
          <w:bCs/>
          <w:sz w:val="24"/>
          <w:szCs w:val="24"/>
        </w:rPr>
        <w:t>arde</w:t>
      </w:r>
      <w:r w:rsidRPr="007403CD">
        <w:rPr>
          <w:rFonts w:ascii="Tahoma" w:hAnsi="Tahoma" w:cs="Tahoma"/>
          <w:bCs/>
          <w:sz w:val="24"/>
          <w:szCs w:val="24"/>
        </w:rPr>
        <w:t xml:space="preserve"> </w:t>
      </w:r>
      <w:r w:rsidR="003A634F">
        <w:rPr>
          <w:rFonts w:ascii="Tahoma" w:hAnsi="Tahoma" w:cs="Tahoma"/>
          <w:bCs/>
          <w:sz w:val="24"/>
          <w:szCs w:val="24"/>
        </w:rPr>
        <w:t>lei</w:t>
      </w:r>
      <w:r w:rsidRPr="007403CD">
        <w:rPr>
          <w:rFonts w:ascii="Tahoma" w:hAnsi="Tahoma" w:cs="Tahoma"/>
          <w:bCs/>
          <w:sz w:val="24"/>
          <w:szCs w:val="24"/>
        </w:rPr>
        <w:t xml:space="preserve"> (0,</w:t>
      </w:r>
      <w:r w:rsidR="00204819">
        <w:rPr>
          <w:rFonts w:ascii="Tahoma" w:hAnsi="Tahoma" w:cs="Tahoma"/>
          <w:bCs/>
          <w:sz w:val="24"/>
          <w:szCs w:val="24"/>
        </w:rPr>
        <w:t>6</w:t>
      </w:r>
      <w:r w:rsidRPr="007403CD">
        <w:rPr>
          <w:rFonts w:ascii="Tahoma" w:hAnsi="Tahoma" w:cs="Tahoma"/>
          <w:bCs/>
          <w:sz w:val="24"/>
          <w:szCs w:val="24"/>
        </w:rPr>
        <w:t xml:space="preserve">% din PIB) cu </w:t>
      </w:r>
      <w:r w:rsidR="003A0A0C">
        <w:rPr>
          <w:rFonts w:ascii="Tahoma" w:hAnsi="Tahoma" w:cs="Tahoma"/>
          <w:bCs/>
          <w:sz w:val="24"/>
          <w:szCs w:val="24"/>
        </w:rPr>
        <w:t>58,6</w:t>
      </w:r>
      <w:r w:rsidRPr="007403CD">
        <w:rPr>
          <w:rFonts w:ascii="Tahoma" w:hAnsi="Tahoma" w:cs="Tahoma"/>
          <w:bCs/>
          <w:sz w:val="24"/>
          <w:szCs w:val="24"/>
        </w:rPr>
        <w:t xml:space="preserve">% mai </w:t>
      </w:r>
      <w:r w:rsidR="00742FB9" w:rsidRPr="007403CD">
        <w:rPr>
          <w:rFonts w:ascii="Tahoma" w:hAnsi="Tahoma" w:cs="Tahoma"/>
          <w:bCs/>
          <w:sz w:val="24"/>
          <w:szCs w:val="24"/>
        </w:rPr>
        <w:t>mari</w:t>
      </w:r>
      <w:r w:rsidRPr="007403CD">
        <w:rPr>
          <w:rFonts w:ascii="Tahoma" w:hAnsi="Tahoma" w:cs="Tahoma"/>
          <w:bCs/>
          <w:sz w:val="24"/>
          <w:szCs w:val="24"/>
        </w:rPr>
        <w:t xml:space="preserve"> comparativ cu aceeași perioadă a anului anterior, </w:t>
      </w:r>
      <w:r w:rsidR="00583D0F" w:rsidRPr="007403CD">
        <w:rPr>
          <w:rFonts w:ascii="Tahoma" w:hAnsi="Tahoma" w:cs="Tahoma"/>
          <w:bCs/>
          <w:sz w:val="24"/>
          <w:szCs w:val="24"/>
        </w:rPr>
        <w:t xml:space="preserve">gradul de realizare </w:t>
      </w:r>
      <w:r w:rsidR="00AF6727" w:rsidRPr="007403CD">
        <w:rPr>
          <w:rFonts w:ascii="Tahoma" w:hAnsi="Tahoma" w:cs="Tahoma"/>
          <w:bCs/>
          <w:sz w:val="24"/>
          <w:szCs w:val="24"/>
        </w:rPr>
        <w:t>al cheltuielilor programate pentru semestrul I 202</w:t>
      </w:r>
      <w:r w:rsidR="003A0A0C">
        <w:rPr>
          <w:rFonts w:ascii="Tahoma" w:hAnsi="Tahoma" w:cs="Tahoma"/>
          <w:bCs/>
          <w:sz w:val="24"/>
          <w:szCs w:val="24"/>
        </w:rPr>
        <w:t>3</w:t>
      </w:r>
      <w:r w:rsidR="00AF6727" w:rsidRPr="007403CD">
        <w:rPr>
          <w:rFonts w:ascii="Tahoma" w:hAnsi="Tahoma" w:cs="Tahoma"/>
          <w:bCs/>
          <w:sz w:val="24"/>
          <w:szCs w:val="24"/>
        </w:rPr>
        <w:t xml:space="preserve"> fiind de </w:t>
      </w:r>
      <w:r w:rsidR="003A0A0C">
        <w:rPr>
          <w:rFonts w:ascii="Tahoma" w:hAnsi="Tahoma" w:cs="Tahoma"/>
          <w:bCs/>
          <w:sz w:val="24"/>
          <w:szCs w:val="24"/>
        </w:rPr>
        <w:t>93,9</w:t>
      </w:r>
      <w:r w:rsidR="00AF6727" w:rsidRPr="007403CD">
        <w:rPr>
          <w:rFonts w:ascii="Tahoma" w:hAnsi="Tahoma" w:cs="Tahoma"/>
          <w:bCs/>
          <w:sz w:val="24"/>
          <w:szCs w:val="24"/>
        </w:rPr>
        <w:t>%</w:t>
      </w:r>
      <w:r w:rsidRPr="007403CD">
        <w:rPr>
          <w:rFonts w:ascii="Tahoma" w:hAnsi="Tahoma" w:cs="Tahoma"/>
          <w:bCs/>
          <w:sz w:val="24"/>
          <w:szCs w:val="24"/>
        </w:rPr>
        <w:t>.</w:t>
      </w:r>
      <w:r w:rsidR="001B5DB9" w:rsidRPr="007403CD">
        <w:rPr>
          <w:rFonts w:ascii="Tahoma" w:hAnsi="Tahoma" w:cs="Tahoma"/>
          <w:sz w:val="24"/>
          <w:szCs w:val="24"/>
        </w:rPr>
        <w:t xml:space="preserve"> C</w:t>
      </w:r>
      <w:r w:rsidR="001B5DB9" w:rsidRPr="007403CD">
        <w:rPr>
          <w:rFonts w:ascii="Tahoma" w:hAnsi="Tahoma" w:cs="Tahoma"/>
          <w:bCs/>
          <w:sz w:val="24"/>
          <w:szCs w:val="24"/>
        </w:rPr>
        <w:t>ea mai mare parte dintre aceste cheltuieli au reprezentat alocări către sectorul agrico</w:t>
      </w:r>
      <w:r w:rsidR="00EB1916" w:rsidRPr="007403CD">
        <w:rPr>
          <w:rFonts w:ascii="Tahoma" w:hAnsi="Tahoma" w:cs="Tahoma"/>
          <w:bCs/>
          <w:sz w:val="24"/>
          <w:szCs w:val="24"/>
        </w:rPr>
        <w:t>l și transporturi, respectiv subv</w:t>
      </w:r>
      <w:r w:rsidR="001B5DB9" w:rsidRPr="007403CD">
        <w:rPr>
          <w:rFonts w:ascii="Tahoma" w:hAnsi="Tahoma" w:cs="Tahoma"/>
          <w:bCs/>
          <w:sz w:val="24"/>
          <w:szCs w:val="24"/>
        </w:rPr>
        <w:t>enții pentru sprijinirea pro</w:t>
      </w:r>
      <w:r w:rsidR="00A35247" w:rsidRPr="007403CD">
        <w:rPr>
          <w:rFonts w:ascii="Tahoma" w:hAnsi="Tahoma" w:cs="Tahoma"/>
          <w:bCs/>
          <w:sz w:val="24"/>
          <w:szCs w:val="24"/>
        </w:rPr>
        <w:t>ducătorilor agricoli</w:t>
      </w:r>
      <w:r w:rsidR="00B07E4B" w:rsidRPr="007403CD">
        <w:rPr>
          <w:rFonts w:ascii="Tahoma" w:hAnsi="Tahoma" w:cs="Tahoma"/>
          <w:bCs/>
          <w:sz w:val="24"/>
          <w:szCs w:val="24"/>
        </w:rPr>
        <w:t xml:space="preserve"> </w:t>
      </w:r>
      <w:r w:rsidR="00A35247" w:rsidRPr="007403CD">
        <w:rPr>
          <w:rFonts w:ascii="Tahoma" w:hAnsi="Tahoma" w:cs="Tahoma"/>
          <w:bCs/>
          <w:sz w:val="24"/>
          <w:szCs w:val="24"/>
        </w:rPr>
        <w:t xml:space="preserve">și </w:t>
      </w:r>
      <w:r w:rsidR="001B5DB9" w:rsidRPr="007403CD">
        <w:rPr>
          <w:rFonts w:ascii="Tahoma" w:hAnsi="Tahoma" w:cs="Tahoma"/>
          <w:bCs/>
          <w:sz w:val="24"/>
          <w:szCs w:val="24"/>
        </w:rPr>
        <w:t>pentru transportul călătorilor</w:t>
      </w:r>
      <w:r w:rsidR="008A5E1F" w:rsidRPr="007403CD">
        <w:rPr>
          <w:rFonts w:ascii="Tahoma" w:hAnsi="Tahoma" w:cs="Tahoma"/>
          <w:bCs/>
          <w:sz w:val="24"/>
          <w:szCs w:val="24"/>
        </w:rPr>
        <w:t>,</w:t>
      </w:r>
      <w:r w:rsidR="008A5E1F" w:rsidRPr="007403CD">
        <w:rPr>
          <w:rFonts w:ascii="Tahoma" w:eastAsia="Calibri" w:hAnsi="Tahoma" w:cs="Tahoma"/>
          <w:sz w:val="24"/>
          <w:szCs w:val="24"/>
        </w:rPr>
        <w:t xml:space="preserve"> precum și pentru schema de compensare pentru consumul de energie electrica și gaze naturale al consumatorilor </w:t>
      </w:r>
      <w:proofErr w:type="spellStart"/>
      <w:r w:rsidR="008A5E1F" w:rsidRPr="007403CD">
        <w:rPr>
          <w:rFonts w:ascii="Tahoma" w:eastAsia="Calibri" w:hAnsi="Tahoma" w:cs="Tahoma"/>
          <w:sz w:val="24"/>
          <w:szCs w:val="24"/>
        </w:rPr>
        <w:t>noncasnici</w:t>
      </w:r>
      <w:proofErr w:type="spellEnd"/>
      <w:r w:rsidR="008A5E1F" w:rsidRPr="007403CD">
        <w:rPr>
          <w:rFonts w:ascii="Tahoma" w:eastAsia="Calibri" w:hAnsi="Tahoma" w:cs="Tahoma"/>
          <w:sz w:val="24"/>
          <w:szCs w:val="24"/>
        </w:rPr>
        <w:t xml:space="preserve"> </w:t>
      </w:r>
      <w:r w:rsidR="00204819" w:rsidRPr="00204819">
        <w:rPr>
          <w:rFonts w:ascii="Tahoma" w:eastAsia="Calibri" w:hAnsi="Tahoma" w:cs="Tahoma"/>
          <w:sz w:val="24"/>
          <w:szCs w:val="24"/>
        </w:rPr>
        <w:t>(2,51 mld lei) care reprezintă 28,05% din total subvenții</w:t>
      </w:r>
      <w:r w:rsidR="00204819">
        <w:rPr>
          <w:rFonts w:ascii="Tahoma" w:eastAsia="Calibri" w:hAnsi="Tahoma" w:cs="Tahoma"/>
          <w:sz w:val="24"/>
          <w:szCs w:val="24"/>
        </w:rPr>
        <w:t>.</w:t>
      </w:r>
      <w:r w:rsidR="00204819" w:rsidRPr="00204819">
        <w:rPr>
          <w:rFonts w:ascii="Tahoma" w:eastAsia="Calibri" w:hAnsi="Tahoma" w:cs="Tahoma"/>
          <w:sz w:val="24"/>
          <w:szCs w:val="24"/>
        </w:rPr>
        <w:t xml:space="preserve"> </w:t>
      </w:r>
    </w:p>
    <w:p w:rsidR="00EC61E9" w:rsidRPr="007403CD" w:rsidRDefault="001B5DB9" w:rsidP="00742FB9">
      <w:pPr>
        <w:spacing w:before="240" w:line="276" w:lineRule="auto"/>
        <w:ind w:firstLine="0"/>
        <w:contextualSpacing/>
        <w:rPr>
          <w:rFonts w:ascii="Tahoma" w:hAnsi="Tahoma" w:cs="Tahoma"/>
          <w:bCs/>
          <w:sz w:val="24"/>
          <w:szCs w:val="24"/>
        </w:rPr>
      </w:pPr>
      <w:r w:rsidRPr="007403CD">
        <w:rPr>
          <w:rFonts w:ascii="Tahoma" w:hAnsi="Tahoma" w:cs="Tahoma"/>
          <w:b/>
          <w:bCs/>
          <w:sz w:val="24"/>
          <w:szCs w:val="24"/>
        </w:rPr>
        <w:t>Cheltuielile cu asistența socială</w:t>
      </w:r>
      <w:r w:rsidRPr="007403CD">
        <w:rPr>
          <w:rFonts w:ascii="Tahoma" w:hAnsi="Tahoma" w:cs="Tahoma"/>
          <w:bCs/>
          <w:sz w:val="24"/>
          <w:szCs w:val="24"/>
        </w:rPr>
        <w:t xml:space="preserve"> au fost de </w:t>
      </w:r>
      <w:r w:rsidR="003A0A0C">
        <w:rPr>
          <w:rFonts w:ascii="Tahoma" w:hAnsi="Tahoma" w:cs="Tahoma"/>
          <w:bCs/>
          <w:sz w:val="24"/>
          <w:szCs w:val="24"/>
        </w:rPr>
        <w:t>97,</w:t>
      </w:r>
      <w:r w:rsidR="00DC6FB0">
        <w:rPr>
          <w:rFonts w:ascii="Tahoma" w:hAnsi="Tahoma" w:cs="Tahoma"/>
          <w:bCs/>
          <w:sz w:val="24"/>
          <w:szCs w:val="24"/>
        </w:rPr>
        <w:t>8</w:t>
      </w:r>
      <w:r w:rsidR="00742FB9" w:rsidRPr="007403CD">
        <w:rPr>
          <w:rFonts w:ascii="Tahoma" w:hAnsi="Tahoma" w:cs="Tahoma"/>
          <w:bCs/>
          <w:sz w:val="24"/>
          <w:szCs w:val="24"/>
        </w:rPr>
        <w:t xml:space="preserve"> </w:t>
      </w:r>
      <w:r w:rsidR="00AF6727" w:rsidRPr="007403CD">
        <w:rPr>
          <w:rFonts w:ascii="Tahoma" w:hAnsi="Tahoma" w:cs="Tahoma"/>
          <w:bCs/>
          <w:sz w:val="24"/>
          <w:szCs w:val="24"/>
        </w:rPr>
        <w:t>miliarde</w:t>
      </w:r>
      <w:r w:rsidR="00742FB9" w:rsidRPr="007403CD">
        <w:rPr>
          <w:rFonts w:ascii="Tahoma" w:hAnsi="Tahoma" w:cs="Tahoma"/>
          <w:bCs/>
          <w:sz w:val="24"/>
          <w:szCs w:val="24"/>
        </w:rPr>
        <w:t xml:space="preserve"> </w:t>
      </w:r>
      <w:r w:rsidR="003A634F">
        <w:rPr>
          <w:rFonts w:ascii="Tahoma" w:hAnsi="Tahoma" w:cs="Tahoma"/>
          <w:bCs/>
          <w:sz w:val="24"/>
          <w:szCs w:val="24"/>
        </w:rPr>
        <w:t>lei</w:t>
      </w:r>
      <w:r w:rsidR="00AF6727" w:rsidRPr="007403CD">
        <w:rPr>
          <w:rFonts w:ascii="Tahoma" w:hAnsi="Tahoma" w:cs="Tahoma"/>
          <w:bCs/>
          <w:sz w:val="24"/>
          <w:szCs w:val="24"/>
        </w:rPr>
        <w:t xml:space="preserve"> (6</w:t>
      </w:r>
      <w:r w:rsidR="00742FB9" w:rsidRPr="007403CD">
        <w:rPr>
          <w:rFonts w:ascii="Tahoma" w:hAnsi="Tahoma" w:cs="Tahoma"/>
          <w:bCs/>
          <w:sz w:val="24"/>
          <w:szCs w:val="24"/>
        </w:rPr>
        <w:t>,</w:t>
      </w:r>
      <w:r w:rsidR="003A0A0C">
        <w:rPr>
          <w:rFonts w:ascii="Tahoma" w:hAnsi="Tahoma" w:cs="Tahoma"/>
          <w:bCs/>
          <w:sz w:val="24"/>
          <w:szCs w:val="24"/>
        </w:rPr>
        <w:t>1</w:t>
      </w:r>
      <w:r w:rsidR="00AF6727" w:rsidRPr="007403CD">
        <w:rPr>
          <w:rFonts w:ascii="Tahoma" w:hAnsi="Tahoma" w:cs="Tahoma"/>
          <w:bCs/>
          <w:sz w:val="24"/>
          <w:szCs w:val="24"/>
        </w:rPr>
        <w:t>% din PIB)</w:t>
      </w:r>
      <w:r w:rsidRPr="007403CD">
        <w:rPr>
          <w:rFonts w:ascii="Tahoma" w:hAnsi="Tahoma" w:cs="Tahoma"/>
          <w:bCs/>
          <w:sz w:val="24"/>
          <w:szCs w:val="24"/>
        </w:rPr>
        <w:t xml:space="preserve"> în creștere cu </w:t>
      </w:r>
      <w:r w:rsidR="003A0A0C">
        <w:rPr>
          <w:rFonts w:ascii="Tahoma" w:hAnsi="Tahoma" w:cs="Tahoma"/>
          <w:bCs/>
          <w:sz w:val="24"/>
          <w:szCs w:val="24"/>
        </w:rPr>
        <w:t>11,3</w:t>
      </w:r>
      <w:r w:rsidRPr="007403CD">
        <w:rPr>
          <w:rFonts w:ascii="Tahoma" w:hAnsi="Tahoma" w:cs="Tahoma"/>
          <w:bCs/>
          <w:sz w:val="24"/>
          <w:szCs w:val="24"/>
        </w:rPr>
        <w:t>% comparativ cu aceeași perioadă a anului precedent</w:t>
      </w:r>
      <w:r w:rsidR="00EC61E9" w:rsidRPr="007403CD">
        <w:rPr>
          <w:rFonts w:ascii="Tahoma" w:hAnsi="Tahoma" w:cs="Tahoma"/>
          <w:bCs/>
          <w:sz w:val="24"/>
          <w:szCs w:val="24"/>
        </w:rPr>
        <w:t xml:space="preserve"> și s-au efectuat în proporție de </w:t>
      </w:r>
      <w:r w:rsidR="00AF6727" w:rsidRPr="007403CD">
        <w:rPr>
          <w:rFonts w:ascii="Tahoma" w:hAnsi="Tahoma" w:cs="Tahoma"/>
          <w:bCs/>
          <w:sz w:val="24"/>
          <w:szCs w:val="24"/>
        </w:rPr>
        <w:t>9</w:t>
      </w:r>
      <w:r w:rsidR="003A0A0C">
        <w:rPr>
          <w:rFonts w:ascii="Tahoma" w:hAnsi="Tahoma" w:cs="Tahoma"/>
          <w:bCs/>
          <w:sz w:val="24"/>
          <w:szCs w:val="24"/>
        </w:rPr>
        <w:t>9</w:t>
      </w:r>
      <w:r w:rsidR="00AF6727" w:rsidRPr="007403CD">
        <w:rPr>
          <w:rFonts w:ascii="Tahoma" w:hAnsi="Tahoma" w:cs="Tahoma"/>
          <w:bCs/>
          <w:sz w:val="24"/>
          <w:szCs w:val="24"/>
        </w:rPr>
        <w:t>,</w:t>
      </w:r>
      <w:r w:rsidR="00742FB9" w:rsidRPr="007403CD">
        <w:rPr>
          <w:rFonts w:ascii="Tahoma" w:hAnsi="Tahoma" w:cs="Tahoma"/>
          <w:bCs/>
          <w:sz w:val="24"/>
          <w:szCs w:val="24"/>
        </w:rPr>
        <w:t>6</w:t>
      </w:r>
      <w:r w:rsidR="00EC61E9" w:rsidRPr="007403CD">
        <w:rPr>
          <w:rFonts w:ascii="Tahoma" w:hAnsi="Tahoma" w:cs="Tahoma"/>
          <w:bCs/>
          <w:sz w:val="24"/>
          <w:szCs w:val="24"/>
        </w:rPr>
        <w:t>% comparativ cu programul semestrial.</w:t>
      </w:r>
    </w:p>
    <w:p w:rsidR="003A0A0C" w:rsidRPr="003A0A0C" w:rsidRDefault="00742FB9" w:rsidP="003A0A0C">
      <w:pPr>
        <w:spacing w:line="276" w:lineRule="auto"/>
        <w:ind w:firstLine="0"/>
        <w:rPr>
          <w:rFonts w:ascii="Tahoma" w:hAnsi="Tahoma" w:cs="Tahoma"/>
          <w:bCs/>
          <w:sz w:val="24"/>
          <w:szCs w:val="24"/>
          <w:lang w:val="es-ES"/>
        </w:rPr>
      </w:pPr>
      <w:r w:rsidRPr="007403CD">
        <w:rPr>
          <w:rFonts w:ascii="Tahoma" w:hAnsi="Tahoma" w:cs="Tahoma"/>
          <w:sz w:val="24"/>
          <w:szCs w:val="24"/>
        </w:rPr>
        <w:t xml:space="preserve">Evoluția cheltuielilor cu asistența socială a fost influențată, în principal, </w:t>
      </w:r>
      <w:r w:rsidR="003A0A0C" w:rsidRPr="003A0A0C">
        <w:rPr>
          <w:rFonts w:ascii="Tahoma" w:hAnsi="Tahoma" w:cs="Tahoma"/>
          <w:bCs/>
          <w:sz w:val="24"/>
          <w:szCs w:val="24"/>
          <w:lang w:val="es-ES"/>
        </w:rPr>
        <w:t xml:space="preserve">de </w:t>
      </w:r>
      <w:proofErr w:type="spellStart"/>
      <w:r w:rsidR="003A0A0C" w:rsidRPr="003A0A0C">
        <w:rPr>
          <w:rFonts w:ascii="Tahoma" w:hAnsi="Tahoma" w:cs="Tahoma"/>
          <w:bCs/>
          <w:sz w:val="24"/>
          <w:szCs w:val="24"/>
          <w:lang w:val="es-ES"/>
        </w:rPr>
        <w:t>majorarea</w:t>
      </w:r>
      <w:proofErr w:type="spellEnd"/>
      <w:r w:rsidR="003A0A0C" w:rsidRPr="003A0A0C">
        <w:rPr>
          <w:rFonts w:ascii="Tahoma" w:hAnsi="Tahoma" w:cs="Tahoma"/>
          <w:bCs/>
          <w:sz w:val="24"/>
          <w:szCs w:val="24"/>
          <w:lang w:val="es-ES"/>
        </w:rPr>
        <w:t xml:space="preserve"> de la 1 </w:t>
      </w:r>
      <w:proofErr w:type="spellStart"/>
      <w:r w:rsidR="003A0A0C" w:rsidRPr="003A0A0C">
        <w:rPr>
          <w:rFonts w:ascii="Tahoma" w:hAnsi="Tahoma" w:cs="Tahoma"/>
          <w:bCs/>
          <w:sz w:val="24"/>
          <w:szCs w:val="24"/>
          <w:lang w:val="es-ES"/>
        </w:rPr>
        <w:t>ianuarie</w:t>
      </w:r>
      <w:proofErr w:type="spellEnd"/>
      <w:r w:rsidR="003A0A0C" w:rsidRPr="003A0A0C">
        <w:rPr>
          <w:rFonts w:ascii="Tahoma" w:hAnsi="Tahoma" w:cs="Tahoma"/>
          <w:bCs/>
          <w:sz w:val="24"/>
          <w:szCs w:val="24"/>
          <w:lang w:val="es-ES"/>
        </w:rPr>
        <w:t xml:space="preserve"> 2023, a </w:t>
      </w:r>
      <w:proofErr w:type="spellStart"/>
      <w:r w:rsidR="003A0A0C" w:rsidRPr="003A0A0C">
        <w:rPr>
          <w:rFonts w:ascii="Tahoma" w:hAnsi="Tahoma" w:cs="Tahoma"/>
          <w:bCs/>
          <w:sz w:val="24"/>
          <w:szCs w:val="24"/>
          <w:lang w:val="es-ES"/>
        </w:rPr>
        <w:t>punctului</w:t>
      </w:r>
      <w:proofErr w:type="spellEnd"/>
      <w:r w:rsidR="003A0A0C" w:rsidRPr="003A0A0C">
        <w:rPr>
          <w:rFonts w:ascii="Tahoma" w:hAnsi="Tahoma" w:cs="Tahoma"/>
          <w:bCs/>
          <w:sz w:val="24"/>
          <w:szCs w:val="24"/>
          <w:lang w:val="es-ES"/>
        </w:rPr>
        <w:t xml:space="preserve"> de </w:t>
      </w:r>
      <w:proofErr w:type="spellStart"/>
      <w:r w:rsidR="003A0A0C" w:rsidRPr="003A0A0C">
        <w:rPr>
          <w:rFonts w:ascii="Tahoma" w:hAnsi="Tahoma" w:cs="Tahoma"/>
          <w:bCs/>
          <w:sz w:val="24"/>
          <w:szCs w:val="24"/>
          <w:lang w:val="es-ES"/>
        </w:rPr>
        <w:t>pensie</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cu</w:t>
      </w:r>
      <w:proofErr w:type="spellEnd"/>
      <w:r w:rsidR="003A0A0C" w:rsidRPr="003A0A0C">
        <w:rPr>
          <w:rFonts w:ascii="Tahoma" w:hAnsi="Tahoma" w:cs="Tahoma"/>
          <w:bCs/>
          <w:sz w:val="24"/>
          <w:szCs w:val="24"/>
          <w:lang w:val="es-ES"/>
        </w:rPr>
        <w:t xml:space="preserve"> 12,5%, </w:t>
      </w:r>
      <w:proofErr w:type="spellStart"/>
      <w:r w:rsidR="003A0A0C" w:rsidRPr="003A0A0C">
        <w:rPr>
          <w:rFonts w:ascii="Tahoma" w:hAnsi="Tahoma" w:cs="Tahoma"/>
          <w:bCs/>
          <w:sz w:val="24"/>
          <w:szCs w:val="24"/>
          <w:lang w:val="es-ES"/>
        </w:rPr>
        <w:t>în</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conformitate</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cu</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prevederile</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Ordonanței</w:t>
      </w:r>
      <w:proofErr w:type="spellEnd"/>
      <w:r w:rsidR="003A0A0C" w:rsidRPr="003A0A0C">
        <w:rPr>
          <w:rFonts w:ascii="Tahoma" w:hAnsi="Tahoma" w:cs="Tahoma"/>
          <w:bCs/>
          <w:sz w:val="24"/>
          <w:szCs w:val="24"/>
          <w:lang w:val="es-ES"/>
        </w:rPr>
        <w:t xml:space="preserve"> de </w:t>
      </w:r>
      <w:proofErr w:type="spellStart"/>
      <w:r w:rsidR="003A0A0C" w:rsidRPr="003A0A0C">
        <w:rPr>
          <w:rFonts w:ascii="Tahoma" w:hAnsi="Tahoma" w:cs="Tahoma"/>
          <w:bCs/>
          <w:sz w:val="24"/>
          <w:szCs w:val="24"/>
          <w:lang w:val="es-ES"/>
        </w:rPr>
        <w:t>urgență</w:t>
      </w:r>
      <w:proofErr w:type="spellEnd"/>
      <w:r w:rsidR="003A0A0C" w:rsidRPr="003A0A0C">
        <w:rPr>
          <w:rFonts w:ascii="Tahoma" w:hAnsi="Tahoma" w:cs="Tahoma"/>
          <w:bCs/>
          <w:sz w:val="24"/>
          <w:szCs w:val="24"/>
          <w:lang w:val="es-ES"/>
        </w:rPr>
        <w:t xml:space="preserve"> a </w:t>
      </w:r>
      <w:proofErr w:type="spellStart"/>
      <w:r w:rsidR="003A0A0C" w:rsidRPr="003A0A0C">
        <w:rPr>
          <w:rFonts w:ascii="Tahoma" w:hAnsi="Tahoma" w:cs="Tahoma"/>
          <w:bCs/>
          <w:sz w:val="24"/>
          <w:szCs w:val="24"/>
          <w:lang w:val="es-ES"/>
        </w:rPr>
        <w:t>Guvernului</w:t>
      </w:r>
      <w:proofErr w:type="spellEnd"/>
      <w:r w:rsidR="003A0A0C" w:rsidRPr="003A0A0C">
        <w:rPr>
          <w:rFonts w:ascii="Tahoma" w:hAnsi="Tahoma" w:cs="Tahoma"/>
          <w:bCs/>
          <w:sz w:val="24"/>
          <w:szCs w:val="24"/>
          <w:lang w:val="es-ES"/>
        </w:rPr>
        <w:t xml:space="preserve"> nr.168/2022 </w:t>
      </w:r>
      <w:proofErr w:type="spellStart"/>
      <w:r w:rsidR="003A0A0C" w:rsidRPr="003A0A0C">
        <w:rPr>
          <w:rFonts w:ascii="Tahoma" w:hAnsi="Tahoma" w:cs="Tahoma"/>
          <w:bCs/>
          <w:sz w:val="24"/>
          <w:szCs w:val="24"/>
          <w:lang w:val="es-ES"/>
        </w:rPr>
        <w:t>privind</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unele</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măsuri</w:t>
      </w:r>
      <w:proofErr w:type="spellEnd"/>
      <w:r w:rsidR="003A0A0C" w:rsidRPr="003A0A0C">
        <w:rPr>
          <w:rFonts w:ascii="Tahoma" w:hAnsi="Tahoma" w:cs="Tahoma"/>
          <w:bCs/>
          <w:sz w:val="24"/>
          <w:szCs w:val="24"/>
          <w:lang w:val="es-ES"/>
        </w:rPr>
        <w:t xml:space="preserve"> fiscal-</w:t>
      </w:r>
      <w:proofErr w:type="spellStart"/>
      <w:r w:rsidR="003A0A0C" w:rsidRPr="003A0A0C">
        <w:rPr>
          <w:rFonts w:ascii="Tahoma" w:hAnsi="Tahoma" w:cs="Tahoma"/>
          <w:bCs/>
          <w:sz w:val="24"/>
          <w:szCs w:val="24"/>
          <w:lang w:val="es-ES"/>
        </w:rPr>
        <w:t>bugetare</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lastRenderedPageBreak/>
        <w:t>prorogarea</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unor</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termene</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precum</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și</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pentru</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modificarea</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și</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completarea</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unor</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acte</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normative</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respectiv</w:t>
      </w:r>
      <w:proofErr w:type="spellEnd"/>
      <w:r w:rsidR="003A0A0C" w:rsidRPr="003A0A0C">
        <w:rPr>
          <w:rFonts w:ascii="Tahoma" w:hAnsi="Tahoma" w:cs="Tahoma"/>
          <w:bCs/>
          <w:sz w:val="24"/>
          <w:szCs w:val="24"/>
          <w:lang w:val="es-ES"/>
        </w:rPr>
        <w:t xml:space="preserve"> de la 1.586 </w:t>
      </w:r>
      <w:proofErr w:type="spellStart"/>
      <w:r w:rsidR="003A0A0C" w:rsidRPr="003A0A0C">
        <w:rPr>
          <w:rFonts w:ascii="Tahoma" w:hAnsi="Tahoma" w:cs="Tahoma"/>
          <w:bCs/>
          <w:sz w:val="24"/>
          <w:szCs w:val="24"/>
          <w:lang w:val="es-ES"/>
        </w:rPr>
        <w:t>lei</w:t>
      </w:r>
      <w:proofErr w:type="spellEnd"/>
      <w:r w:rsidR="003A0A0C" w:rsidRPr="003A0A0C">
        <w:rPr>
          <w:rFonts w:ascii="Tahoma" w:hAnsi="Tahoma" w:cs="Tahoma"/>
          <w:bCs/>
          <w:sz w:val="24"/>
          <w:szCs w:val="24"/>
          <w:lang w:val="es-ES"/>
        </w:rPr>
        <w:t xml:space="preserve"> la 1.785 </w:t>
      </w:r>
      <w:proofErr w:type="spellStart"/>
      <w:r w:rsidR="003A0A0C" w:rsidRPr="003A0A0C">
        <w:rPr>
          <w:rFonts w:ascii="Tahoma" w:hAnsi="Tahoma" w:cs="Tahoma"/>
          <w:bCs/>
          <w:sz w:val="24"/>
          <w:szCs w:val="24"/>
          <w:lang w:val="es-ES"/>
        </w:rPr>
        <w:t>lei</w:t>
      </w:r>
      <w:proofErr w:type="spellEnd"/>
      <w:r w:rsidR="003A0A0C" w:rsidRPr="003A0A0C">
        <w:rPr>
          <w:rFonts w:ascii="Tahoma" w:hAnsi="Tahoma" w:cs="Tahoma"/>
          <w:bCs/>
          <w:sz w:val="24"/>
          <w:szCs w:val="24"/>
          <w:lang w:val="es-ES"/>
        </w:rPr>
        <w:t xml:space="preserve">, a </w:t>
      </w:r>
      <w:proofErr w:type="spellStart"/>
      <w:r w:rsidR="003A0A0C" w:rsidRPr="003A0A0C">
        <w:rPr>
          <w:rFonts w:ascii="Tahoma" w:hAnsi="Tahoma" w:cs="Tahoma"/>
          <w:bCs/>
          <w:sz w:val="24"/>
          <w:szCs w:val="24"/>
          <w:lang w:val="es-ES"/>
        </w:rPr>
        <w:t>nivelului</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îndemnizației</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sociale</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pentru</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pensionari</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pensia</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minimă</w:t>
      </w:r>
      <w:proofErr w:type="spellEnd"/>
      <w:r w:rsidR="003A0A0C" w:rsidRPr="003A0A0C">
        <w:rPr>
          <w:rFonts w:ascii="Tahoma" w:hAnsi="Tahoma" w:cs="Tahoma"/>
          <w:bCs/>
          <w:sz w:val="24"/>
          <w:szCs w:val="24"/>
          <w:lang w:val="es-ES"/>
        </w:rPr>
        <w:t xml:space="preserve">) de la 1.000 </w:t>
      </w:r>
      <w:proofErr w:type="spellStart"/>
      <w:r w:rsidR="003A0A0C" w:rsidRPr="003A0A0C">
        <w:rPr>
          <w:rFonts w:ascii="Tahoma" w:hAnsi="Tahoma" w:cs="Tahoma"/>
          <w:bCs/>
          <w:sz w:val="24"/>
          <w:szCs w:val="24"/>
          <w:lang w:val="es-ES"/>
        </w:rPr>
        <w:t>lei</w:t>
      </w:r>
      <w:proofErr w:type="spellEnd"/>
      <w:r w:rsidR="003A0A0C" w:rsidRPr="003A0A0C">
        <w:rPr>
          <w:rFonts w:ascii="Tahoma" w:hAnsi="Tahoma" w:cs="Tahoma"/>
          <w:bCs/>
          <w:sz w:val="24"/>
          <w:szCs w:val="24"/>
          <w:lang w:val="es-ES"/>
        </w:rPr>
        <w:t xml:space="preserve"> la 1.125 </w:t>
      </w:r>
      <w:proofErr w:type="spellStart"/>
      <w:r w:rsidR="003A0A0C" w:rsidRPr="003A0A0C">
        <w:rPr>
          <w:rFonts w:ascii="Tahoma" w:hAnsi="Tahoma" w:cs="Tahoma"/>
          <w:bCs/>
          <w:sz w:val="24"/>
          <w:szCs w:val="24"/>
          <w:lang w:val="es-ES"/>
        </w:rPr>
        <w:t>lei</w:t>
      </w:r>
      <w:proofErr w:type="spellEnd"/>
      <w:r w:rsidR="003A0A0C" w:rsidRPr="003A0A0C">
        <w:rPr>
          <w:rFonts w:ascii="Tahoma" w:hAnsi="Tahoma" w:cs="Tahoma"/>
          <w:bCs/>
          <w:sz w:val="24"/>
          <w:szCs w:val="24"/>
          <w:lang w:val="es-ES"/>
        </w:rPr>
        <w:t xml:space="preserve">, de </w:t>
      </w:r>
      <w:proofErr w:type="spellStart"/>
      <w:r w:rsidR="003A0A0C" w:rsidRPr="003A0A0C">
        <w:rPr>
          <w:rFonts w:ascii="Tahoma" w:hAnsi="Tahoma" w:cs="Tahoma"/>
          <w:bCs/>
          <w:sz w:val="24"/>
          <w:szCs w:val="24"/>
          <w:lang w:val="es-ES"/>
        </w:rPr>
        <w:t>acordarea</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unui</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ajutor</w:t>
      </w:r>
      <w:proofErr w:type="spellEnd"/>
      <w:r w:rsidR="003A0A0C" w:rsidRPr="003A0A0C">
        <w:rPr>
          <w:rFonts w:ascii="Tahoma" w:hAnsi="Tahoma" w:cs="Tahoma"/>
          <w:bCs/>
          <w:sz w:val="24"/>
          <w:szCs w:val="24"/>
          <w:lang w:val="es-ES"/>
        </w:rPr>
        <w:t xml:space="preserve"> financiar </w:t>
      </w:r>
      <w:proofErr w:type="spellStart"/>
      <w:r w:rsidR="003A0A0C" w:rsidRPr="003A0A0C">
        <w:rPr>
          <w:rFonts w:ascii="Tahoma" w:hAnsi="Tahoma" w:cs="Tahoma"/>
          <w:bCs/>
          <w:sz w:val="24"/>
          <w:szCs w:val="24"/>
          <w:lang w:val="es-ES"/>
        </w:rPr>
        <w:t>pensionarilor</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sistemului</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public</w:t>
      </w:r>
      <w:proofErr w:type="spellEnd"/>
      <w:r w:rsidR="003A0A0C" w:rsidRPr="003A0A0C">
        <w:rPr>
          <w:rFonts w:ascii="Tahoma" w:hAnsi="Tahoma" w:cs="Tahoma"/>
          <w:bCs/>
          <w:sz w:val="24"/>
          <w:szCs w:val="24"/>
          <w:lang w:val="es-ES"/>
        </w:rPr>
        <w:t xml:space="preserve"> de </w:t>
      </w:r>
      <w:proofErr w:type="spellStart"/>
      <w:r w:rsidR="003A0A0C" w:rsidRPr="003A0A0C">
        <w:rPr>
          <w:rFonts w:ascii="Tahoma" w:hAnsi="Tahoma" w:cs="Tahoma"/>
          <w:bCs/>
          <w:sz w:val="24"/>
          <w:szCs w:val="24"/>
          <w:lang w:val="es-ES"/>
        </w:rPr>
        <w:t>pensii</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pensionarilor</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din</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sistemul</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pensiilor</w:t>
      </w:r>
      <w:proofErr w:type="spellEnd"/>
      <w:r w:rsidR="003A0A0C" w:rsidRPr="003A0A0C">
        <w:rPr>
          <w:rFonts w:ascii="Tahoma" w:hAnsi="Tahoma" w:cs="Tahoma"/>
          <w:bCs/>
          <w:sz w:val="24"/>
          <w:szCs w:val="24"/>
          <w:lang w:val="es-ES"/>
        </w:rPr>
        <w:t xml:space="preserve"> militare de </w:t>
      </w:r>
      <w:proofErr w:type="spellStart"/>
      <w:r w:rsidR="003A0A0C" w:rsidRPr="003A0A0C">
        <w:rPr>
          <w:rFonts w:ascii="Tahoma" w:hAnsi="Tahoma" w:cs="Tahoma"/>
          <w:bCs/>
          <w:sz w:val="24"/>
          <w:szCs w:val="24"/>
          <w:lang w:val="es-ES"/>
        </w:rPr>
        <w:t>stat</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şi</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beneficiarilor</w:t>
      </w:r>
      <w:proofErr w:type="spellEnd"/>
      <w:r w:rsidR="003A0A0C" w:rsidRPr="003A0A0C">
        <w:rPr>
          <w:rFonts w:ascii="Tahoma" w:hAnsi="Tahoma" w:cs="Tahoma"/>
          <w:bCs/>
          <w:sz w:val="24"/>
          <w:szCs w:val="24"/>
          <w:lang w:val="es-ES"/>
        </w:rPr>
        <w:t xml:space="preserve"> de </w:t>
      </w:r>
      <w:proofErr w:type="spellStart"/>
      <w:r w:rsidR="003A0A0C" w:rsidRPr="003A0A0C">
        <w:rPr>
          <w:rFonts w:ascii="Tahoma" w:hAnsi="Tahoma" w:cs="Tahoma"/>
          <w:bCs/>
          <w:sz w:val="24"/>
          <w:szCs w:val="24"/>
          <w:lang w:val="es-ES"/>
        </w:rPr>
        <w:t>drepturi</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prevăzute</w:t>
      </w:r>
      <w:proofErr w:type="spellEnd"/>
      <w:r w:rsidR="003A0A0C" w:rsidRPr="003A0A0C">
        <w:rPr>
          <w:rFonts w:ascii="Tahoma" w:hAnsi="Tahoma" w:cs="Tahoma"/>
          <w:bCs/>
          <w:sz w:val="24"/>
          <w:szCs w:val="24"/>
          <w:lang w:val="es-ES"/>
        </w:rPr>
        <w:t xml:space="preserve"> de </w:t>
      </w:r>
      <w:proofErr w:type="spellStart"/>
      <w:r w:rsidR="003A0A0C" w:rsidRPr="003A0A0C">
        <w:rPr>
          <w:rFonts w:ascii="Tahoma" w:hAnsi="Tahoma" w:cs="Tahoma"/>
          <w:bCs/>
          <w:sz w:val="24"/>
          <w:szCs w:val="24"/>
          <w:lang w:val="es-ES"/>
        </w:rPr>
        <w:t>legi</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cu</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caracter</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special</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plătite</w:t>
      </w:r>
      <w:proofErr w:type="spellEnd"/>
      <w:r w:rsidR="003A0A0C" w:rsidRPr="003A0A0C">
        <w:rPr>
          <w:rFonts w:ascii="Tahoma" w:hAnsi="Tahoma" w:cs="Tahoma"/>
          <w:bCs/>
          <w:sz w:val="24"/>
          <w:szCs w:val="24"/>
          <w:lang w:val="es-ES"/>
        </w:rPr>
        <w:t xml:space="preserve"> de </w:t>
      </w:r>
      <w:proofErr w:type="spellStart"/>
      <w:r w:rsidR="003A0A0C" w:rsidRPr="003A0A0C">
        <w:rPr>
          <w:rFonts w:ascii="Tahoma" w:hAnsi="Tahoma" w:cs="Tahoma"/>
          <w:bCs/>
          <w:sz w:val="24"/>
          <w:szCs w:val="24"/>
          <w:lang w:val="es-ES"/>
        </w:rPr>
        <w:t>casele</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teritoriale</w:t>
      </w:r>
      <w:proofErr w:type="spellEnd"/>
      <w:r w:rsidR="003A0A0C" w:rsidRPr="003A0A0C">
        <w:rPr>
          <w:rFonts w:ascii="Tahoma" w:hAnsi="Tahoma" w:cs="Tahoma"/>
          <w:bCs/>
          <w:sz w:val="24"/>
          <w:szCs w:val="24"/>
          <w:lang w:val="es-ES"/>
        </w:rPr>
        <w:t xml:space="preserve"> de </w:t>
      </w:r>
      <w:proofErr w:type="spellStart"/>
      <w:r w:rsidR="003A0A0C" w:rsidRPr="003A0A0C">
        <w:rPr>
          <w:rFonts w:ascii="Tahoma" w:hAnsi="Tahoma" w:cs="Tahoma"/>
          <w:bCs/>
          <w:sz w:val="24"/>
          <w:szCs w:val="24"/>
          <w:lang w:val="es-ES"/>
        </w:rPr>
        <w:t>pensii</w:t>
      </w:r>
      <w:proofErr w:type="spellEnd"/>
      <w:r w:rsidR="003A0A0C" w:rsidRPr="003A0A0C">
        <w:rPr>
          <w:rFonts w:ascii="Tahoma" w:hAnsi="Tahoma" w:cs="Tahoma"/>
          <w:bCs/>
          <w:sz w:val="24"/>
          <w:szCs w:val="24"/>
          <w:lang w:val="es-ES"/>
        </w:rPr>
        <w:t>/</w:t>
      </w:r>
      <w:proofErr w:type="spellStart"/>
      <w:r w:rsidR="003A0A0C" w:rsidRPr="003A0A0C">
        <w:rPr>
          <w:rFonts w:ascii="Tahoma" w:hAnsi="Tahoma" w:cs="Tahoma"/>
          <w:bCs/>
          <w:sz w:val="24"/>
          <w:szCs w:val="24"/>
          <w:lang w:val="es-ES"/>
        </w:rPr>
        <w:t>casele</w:t>
      </w:r>
      <w:proofErr w:type="spellEnd"/>
      <w:r w:rsidR="003A0A0C" w:rsidRPr="003A0A0C">
        <w:rPr>
          <w:rFonts w:ascii="Tahoma" w:hAnsi="Tahoma" w:cs="Tahoma"/>
          <w:bCs/>
          <w:sz w:val="24"/>
          <w:szCs w:val="24"/>
          <w:lang w:val="es-ES"/>
        </w:rPr>
        <w:t xml:space="preserve"> de </w:t>
      </w:r>
      <w:proofErr w:type="spellStart"/>
      <w:r w:rsidR="003A0A0C" w:rsidRPr="003A0A0C">
        <w:rPr>
          <w:rFonts w:ascii="Tahoma" w:hAnsi="Tahoma" w:cs="Tahoma"/>
          <w:bCs/>
          <w:sz w:val="24"/>
          <w:szCs w:val="24"/>
          <w:lang w:val="es-ES"/>
        </w:rPr>
        <w:t>pensii</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sectoriale</w:t>
      </w:r>
      <w:proofErr w:type="spellEnd"/>
      <w:r w:rsidR="003A0A0C" w:rsidRPr="003A0A0C">
        <w:rPr>
          <w:rFonts w:ascii="Tahoma" w:hAnsi="Tahoma" w:cs="Tahoma"/>
          <w:bCs/>
          <w:sz w:val="24"/>
          <w:szCs w:val="24"/>
          <w:lang w:val="es-ES"/>
        </w:rPr>
        <w:t xml:space="preserve"> ale </w:t>
      </w:r>
      <w:proofErr w:type="spellStart"/>
      <w:r w:rsidR="003A0A0C" w:rsidRPr="003A0A0C">
        <w:rPr>
          <w:rFonts w:ascii="Tahoma" w:hAnsi="Tahoma" w:cs="Tahoma"/>
          <w:bCs/>
          <w:sz w:val="24"/>
          <w:szCs w:val="24"/>
          <w:lang w:val="es-ES"/>
        </w:rPr>
        <w:t>căror</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venituri</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lunare</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sunt</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mai</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mici</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sau</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egale</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cu</w:t>
      </w:r>
      <w:proofErr w:type="spellEnd"/>
      <w:r w:rsidR="003A0A0C" w:rsidRPr="003A0A0C">
        <w:rPr>
          <w:rFonts w:ascii="Tahoma" w:hAnsi="Tahoma" w:cs="Tahoma"/>
          <w:bCs/>
          <w:sz w:val="24"/>
          <w:szCs w:val="24"/>
          <w:lang w:val="es-ES"/>
        </w:rPr>
        <w:t xml:space="preserve"> 3.000 </w:t>
      </w:r>
      <w:proofErr w:type="spellStart"/>
      <w:r w:rsidR="003A0A0C" w:rsidRPr="003A0A0C">
        <w:rPr>
          <w:rFonts w:ascii="Tahoma" w:hAnsi="Tahoma" w:cs="Tahoma"/>
          <w:bCs/>
          <w:sz w:val="24"/>
          <w:szCs w:val="24"/>
          <w:lang w:val="es-ES"/>
        </w:rPr>
        <w:t>lei</w:t>
      </w:r>
      <w:proofErr w:type="spellEnd"/>
      <w:r w:rsidR="003A0A0C" w:rsidRPr="003A0A0C">
        <w:rPr>
          <w:rFonts w:ascii="Tahoma" w:hAnsi="Tahoma" w:cs="Tahoma"/>
          <w:bCs/>
          <w:sz w:val="24"/>
          <w:szCs w:val="24"/>
          <w:lang w:val="es-ES"/>
        </w:rPr>
        <w:t xml:space="preserve">, de </w:t>
      </w:r>
      <w:proofErr w:type="spellStart"/>
      <w:r w:rsidR="003A0A0C" w:rsidRPr="003A0A0C">
        <w:rPr>
          <w:rFonts w:ascii="Tahoma" w:hAnsi="Tahoma" w:cs="Tahoma"/>
          <w:bCs/>
          <w:sz w:val="24"/>
          <w:szCs w:val="24"/>
          <w:lang w:val="es-ES"/>
        </w:rPr>
        <w:t>acordarea</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celei</w:t>
      </w:r>
      <w:proofErr w:type="spellEnd"/>
      <w:r w:rsidR="003A0A0C" w:rsidRPr="003A0A0C">
        <w:rPr>
          <w:rFonts w:ascii="Tahoma" w:hAnsi="Tahoma" w:cs="Tahoma"/>
          <w:bCs/>
          <w:sz w:val="24"/>
          <w:szCs w:val="24"/>
          <w:lang w:val="es-ES"/>
        </w:rPr>
        <w:t xml:space="preserve"> de-a 13-a </w:t>
      </w:r>
      <w:proofErr w:type="spellStart"/>
      <w:r w:rsidR="003A0A0C" w:rsidRPr="003A0A0C">
        <w:rPr>
          <w:rFonts w:ascii="Tahoma" w:hAnsi="Tahoma" w:cs="Tahoma"/>
          <w:bCs/>
          <w:sz w:val="24"/>
          <w:szCs w:val="24"/>
          <w:lang w:val="es-ES"/>
        </w:rPr>
        <w:t>îndemnizaţii</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pentru</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persoanele</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cu</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dizabilităţi</w:t>
      </w:r>
      <w:proofErr w:type="spellEnd"/>
      <w:r w:rsidR="003A0A0C" w:rsidRPr="003A0A0C">
        <w:rPr>
          <w:rFonts w:ascii="Tahoma" w:hAnsi="Tahoma" w:cs="Tahoma"/>
          <w:bCs/>
          <w:sz w:val="24"/>
          <w:szCs w:val="24"/>
          <w:lang w:val="es-ES"/>
        </w:rPr>
        <w:t xml:space="preserve"> sub forma </w:t>
      </w:r>
      <w:proofErr w:type="spellStart"/>
      <w:r w:rsidR="003A0A0C" w:rsidRPr="003A0A0C">
        <w:rPr>
          <w:rFonts w:ascii="Tahoma" w:hAnsi="Tahoma" w:cs="Tahoma"/>
          <w:bCs/>
          <w:sz w:val="24"/>
          <w:szCs w:val="24"/>
          <w:lang w:val="es-ES"/>
        </w:rPr>
        <w:t>unei</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îndemnizaţii</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compensatorii</w:t>
      </w:r>
      <w:proofErr w:type="spellEnd"/>
      <w:r w:rsid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precum</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și</w:t>
      </w:r>
      <w:proofErr w:type="spellEnd"/>
      <w:r w:rsidR="003A0A0C">
        <w:rPr>
          <w:rFonts w:ascii="Tahoma" w:hAnsi="Tahoma" w:cs="Tahoma"/>
          <w:bCs/>
          <w:sz w:val="24"/>
          <w:szCs w:val="24"/>
          <w:lang w:val="es-ES"/>
        </w:rPr>
        <w:t xml:space="preserve"> de </w:t>
      </w:r>
      <w:proofErr w:type="spellStart"/>
      <w:r w:rsidR="003A0A0C" w:rsidRPr="003A0A0C">
        <w:rPr>
          <w:rFonts w:ascii="Tahoma" w:hAnsi="Tahoma" w:cs="Tahoma"/>
          <w:bCs/>
          <w:sz w:val="24"/>
          <w:szCs w:val="24"/>
          <w:lang w:val="es-ES"/>
        </w:rPr>
        <w:t>majorarea</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alocațiilor</w:t>
      </w:r>
      <w:proofErr w:type="spellEnd"/>
      <w:r w:rsidR="003A0A0C" w:rsidRPr="003A0A0C">
        <w:rPr>
          <w:rFonts w:ascii="Tahoma" w:hAnsi="Tahoma" w:cs="Tahoma"/>
          <w:bCs/>
          <w:sz w:val="24"/>
          <w:szCs w:val="24"/>
          <w:lang w:val="es-ES"/>
        </w:rPr>
        <w:t xml:space="preserve"> de </w:t>
      </w:r>
      <w:proofErr w:type="spellStart"/>
      <w:r w:rsidR="003A0A0C" w:rsidRPr="003A0A0C">
        <w:rPr>
          <w:rFonts w:ascii="Tahoma" w:hAnsi="Tahoma" w:cs="Tahoma"/>
          <w:bCs/>
          <w:sz w:val="24"/>
          <w:szCs w:val="24"/>
          <w:lang w:val="es-ES"/>
        </w:rPr>
        <w:t>stat</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pentru</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copii</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începând</w:t>
      </w:r>
      <w:proofErr w:type="spellEnd"/>
      <w:r w:rsidR="003A0A0C" w:rsidRPr="003A0A0C">
        <w:rPr>
          <w:rFonts w:ascii="Tahoma" w:hAnsi="Tahoma" w:cs="Tahoma"/>
          <w:bCs/>
          <w:sz w:val="24"/>
          <w:szCs w:val="24"/>
          <w:lang w:val="es-ES"/>
        </w:rPr>
        <w:t xml:space="preserve"> </w:t>
      </w:r>
      <w:proofErr w:type="spellStart"/>
      <w:r w:rsidR="003A0A0C" w:rsidRPr="003A0A0C">
        <w:rPr>
          <w:rFonts w:ascii="Tahoma" w:hAnsi="Tahoma" w:cs="Tahoma"/>
          <w:bCs/>
          <w:sz w:val="24"/>
          <w:szCs w:val="24"/>
          <w:lang w:val="es-ES"/>
        </w:rPr>
        <w:t>cu</w:t>
      </w:r>
      <w:proofErr w:type="spellEnd"/>
      <w:r w:rsidR="003A0A0C" w:rsidRPr="003A0A0C">
        <w:rPr>
          <w:rFonts w:ascii="Tahoma" w:hAnsi="Tahoma" w:cs="Tahoma"/>
          <w:bCs/>
          <w:sz w:val="24"/>
          <w:szCs w:val="24"/>
          <w:lang w:val="es-ES"/>
        </w:rPr>
        <w:t xml:space="preserve"> 1 </w:t>
      </w:r>
      <w:proofErr w:type="spellStart"/>
      <w:r w:rsidR="003A0A0C" w:rsidRPr="003A0A0C">
        <w:rPr>
          <w:rFonts w:ascii="Tahoma" w:hAnsi="Tahoma" w:cs="Tahoma"/>
          <w:bCs/>
          <w:sz w:val="24"/>
          <w:szCs w:val="24"/>
          <w:lang w:val="es-ES"/>
        </w:rPr>
        <w:t>ianuarie</w:t>
      </w:r>
      <w:proofErr w:type="spellEnd"/>
      <w:r w:rsidR="003A0A0C" w:rsidRPr="003A0A0C">
        <w:rPr>
          <w:rFonts w:ascii="Tahoma" w:hAnsi="Tahoma" w:cs="Tahoma"/>
          <w:bCs/>
          <w:sz w:val="24"/>
          <w:szCs w:val="24"/>
          <w:lang w:val="es-ES"/>
        </w:rPr>
        <w:t xml:space="preserve"> 2023.</w:t>
      </w:r>
    </w:p>
    <w:p w:rsidR="00742FB9" w:rsidRPr="007403CD" w:rsidRDefault="008A5E1F" w:rsidP="003A0A0C">
      <w:pPr>
        <w:spacing w:line="276" w:lineRule="auto"/>
        <w:ind w:firstLine="0"/>
        <w:rPr>
          <w:rFonts w:ascii="Tahoma" w:hAnsi="Tahoma" w:cs="Tahoma"/>
          <w:sz w:val="24"/>
          <w:szCs w:val="24"/>
        </w:rPr>
      </w:pPr>
      <w:r w:rsidRPr="007403CD">
        <w:rPr>
          <w:rFonts w:ascii="Tahoma" w:hAnsi="Tahoma" w:cs="Tahoma"/>
          <w:sz w:val="24"/>
          <w:szCs w:val="24"/>
        </w:rPr>
        <w:t xml:space="preserve">Cheltuielile cu asistența socială au fost influențate și de plățile suportate de la bugetul de stat pentru compensarea facturilor pentru energie electrică și gaze naturale, </w:t>
      </w:r>
      <w:r w:rsidR="00ED73F0" w:rsidRPr="007403CD">
        <w:rPr>
          <w:rFonts w:ascii="Tahoma" w:hAnsi="Tahoma" w:cs="Tahoma"/>
          <w:sz w:val="24"/>
          <w:szCs w:val="24"/>
        </w:rPr>
        <w:t>care</w:t>
      </w:r>
      <w:r w:rsidRPr="007403CD">
        <w:rPr>
          <w:rFonts w:ascii="Tahoma" w:hAnsi="Tahoma" w:cs="Tahoma"/>
          <w:sz w:val="24"/>
          <w:szCs w:val="24"/>
        </w:rPr>
        <w:t xml:space="preserve"> până la finele lunii iunie 202</w:t>
      </w:r>
      <w:r w:rsidR="003A0A0C">
        <w:rPr>
          <w:rFonts w:ascii="Tahoma" w:hAnsi="Tahoma" w:cs="Tahoma"/>
          <w:sz w:val="24"/>
          <w:szCs w:val="24"/>
        </w:rPr>
        <w:t>3</w:t>
      </w:r>
      <w:r w:rsidRPr="007403CD">
        <w:rPr>
          <w:rFonts w:ascii="Tahoma" w:hAnsi="Tahoma" w:cs="Tahoma"/>
          <w:sz w:val="24"/>
          <w:szCs w:val="24"/>
        </w:rPr>
        <w:t xml:space="preserve">, au fost în sumă de </w:t>
      </w:r>
      <w:r w:rsidR="003A0A0C" w:rsidRPr="003A0A0C">
        <w:rPr>
          <w:rFonts w:ascii="Tahoma" w:hAnsi="Tahoma" w:cs="Tahoma"/>
          <w:bCs/>
          <w:sz w:val="24"/>
          <w:szCs w:val="24"/>
          <w:lang w:val="es-ES"/>
        </w:rPr>
        <w:t xml:space="preserve">2,23 </w:t>
      </w:r>
      <w:r w:rsidR="00487959" w:rsidRPr="007403CD">
        <w:rPr>
          <w:rFonts w:ascii="Tahoma" w:hAnsi="Tahoma" w:cs="Tahoma"/>
          <w:sz w:val="24"/>
          <w:szCs w:val="24"/>
        </w:rPr>
        <w:t xml:space="preserve">miliarde </w:t>
      </w:r>
      <w:r w:rsidR="003A634F">
        <w:rPr>
          <w:rFonts w:ascii="Tahoma" w:hAnsi="Tahoma" w:cs="Tahoma"/>
          <w:sz w:val="24"/>
          <w:szCs w:val="24"/>
        </w:rPr>
        <w:t>lei</w:t>
      </w:r>
      <w:r w:rsidRPr="007403CD">
        <w:rPr>
          <w:rFonts w:ascii="Tahoma" w:hAnsi="Tahoma" w:cs="Tahoma"/>
          <w:sz w:val="24"/>
          <w:szCs w:val="24"/>
        </w:rPr>
        <w:t>.</w:t>
      </w:r>
    </w:p>
    <w:p w:rsidR="00781BE6" w:rsidRPr="007403CD" w:rsidRDefault="004D6D76" w:rsidP="008A5E1F">
      <w:pPr>
        <w:spacing w:before="120" w:after="120" w:line="276" w:lineRule="auto"/>
        <w:ind w:firstLine="0"/>
        <w:rPr>
          <w:rFonts w:ascii="Tahoma" w:eastAsia="Times New Roman" w:hAnsi="Tahoma" w:cs="Tahoma"/>
          <w:bCs/>
          <w:sz w:val="24"/>
          <w:szCs w:val="24"/>
        </w:rPr>
      </w:pPr>
      <w:r w:rsidRPr="007403CD">
        <w:rPr>
          <w:rFonts w:ascii="Tahoma" w:eastAsia="Arial" w:hAnsi="Tahoma" w:cs="Tahoma"/>
          <w:b/>
          <w:sz w:val="24"/>
          <w:szCs w:val="24"/>
          <w:shd w:val="clear" w:color="auto" w:fill="FFFFFF"/>
        </w:rPr>
        <w:t>Cheltuielile cu alte transferuri</w:t>
      </w:r>
      <w:r w:rsidRPr="007403CD">
        <w:rPr>
          <w:rFonts w:ascii="Tahoma" w:eastAsia="Arial" w:hAnsi="Tahoma" w:cs="Tahoma"/>
          <w:sz w:val="24"/>
          <w:szCs w:val="24"/>
          <w:shd w:val="clear" w:color="auto" w:fill="FFFFFF"/>
        </w:rPr>
        <w:t xml:space="preserve"> au fost în sumă de </w:t>
      </w:r>
      <w:r w:rsidR="00DC6FB0">
        <w:rPr>
          <w:rFonts w:ascii="Tahoma" w:eastAsia="Arial" w:hAnsi="Tahoma" w:cs="Tahoma"/>
          <w:sz w:val="24"/>
          <w:szCs w:val="24"/>
          <w:shd w:val="clear" w:color="auto" w:fill="FFFFFF"/>
        </w:rPr>
        <w:t>13,4</w:t>
      </w:r>
      <w:r w:rsidR="00B07E4B" w:rsidRPr="007403CD">
        <w:rPr>
          <w:rFonts w:ascii="Tahoma" w:eastAsia="Arial" w:hAnsi="Tahoma" w:cs="Tahoma"/>
          <w:sz w:val="24"/>
          <w:szCs w:val="24"/>
          <w:shd w:val="clear" w:color="auto" w:fill="FFFFFF"/>
        </w:rPr>
        <w:t xml:space="preserve"> </w:t>
      </w:r>
      <w:r w:rsidR="009C7DAD" w:rsidRPr="007403CD">
        <w:rPr>
          <w:rFonts w:ascii="Tahoma" w:eastAsia="Arial" w:hAnsi="Tahoma" w:cs="Tahoma"/>
          <w:sz w:val="24"/>
          <w:szCs w:val="24"/>
          <w:shd w:val="clear" w:color="auto" w:fill="FFFFFF"/>
        </w:rPr>
        <w:t xml:space="preserve">miliarde </w:t>
      </w:r>
      <w:r w:rsidR="003A634F">
        <w:rPr>
          <w:rFonts w:ascii="Tahoma" w:eastAsia="Arial" w:hAnsi="Tahoma" w:cs="Tahoma"/>
          <w:sz w:val="24"/>
          <w:szCs w:val="24"/>
          <w:shd w:val="clear" w:color="auto" w:fill="FFFFFF"/>
        </w:rPr>
        <w:t>lei</w:t>
      </w:r>
      <w:r w:rsidRPr="007403CD">
        <w:rPr>
          <w:rFonts w:ascii="Tahoma" w:eastAsia="Arial" w:hAnsi="Tahoma" w:cs="Tahoma"/>
          <w:sz w:val="24"/>
          <w:szCs w:val="24"/>
          <w:shd w:val="clear" w:color="auto" w:fill="FFFFFF"/>
        </w:rPr>
        <w:t xml:space="preserve"> (</w:t>
      </w:r>
      <w:r w:rsidR="008A5E1F" w:rsidRPr="007403CD">
        <w:rPr>
          <w:rFonts w:ascii="Tahoma" w:eastAsia="Arial" w:hAnsi="Tahoma" w:cs="Tahoma"/>
          <w:sz w:val="24"/>
          <w:szCs w:val="24"/>
          <w:shd w:val="clear" w:color="auto" w:fill="FFFFFF"/>
        </w:rPr>
        <w:t>0,</w:t>
      </w:r>
      <w:r w:rsidR="003A0A0C">
        <w:rPr>
          <w:rFonts w:ascii="Tahoma" w:eastAsia="Arial" w:hAnsi="Tahoma" w:cs="Tahoma"/>
          <w:sz w:val="24"/>
          <w:szCs w:val="24"/>
          <w:shd w:val="clear" w:color="auto" w:fill="FFFFFF"/>
        </w:rPr>
        <w:t>8</w:t>
      </w:r>
      <w:r w:rsidRPr="007403CD">
        <w:rPr>
          <w:rFonts w:ascii="Tahoma" w:eastAsia="Arial" w:hAnsi="Tahoma" w:cs="Tahoma"/>
          <w:sz w:val="24"/>
          <w:szCs w:val="24"/>
          <w:shd w:val="clear" w:color="auto" w:fill="FFFFFF"/>
        </w:rPr>
        <w:t>% din PIB</w:t>
      </w:r>
      <w:r w:rsidR="00781BE6" w:rsidRPr="007403CD">
        <w:rPr>
          <w:rFonts w:ascii="Tahoma" w:eastAsia="Arial" w:hAnsi="Tahoma" w:cs="Tahoma"/>
          <w:sz w:val="24"/>
          <w:szCs w:val="24"/>
          <w:shd w:val="clear" w:color="auto" w:fill="FFFFFF"/>
        </w:rPr>
        <w:t xml:space="preserve">) au fost cu </w:t>
      </w:r>
      <w:r w:rsidR="003A0A0C">
        <w:rPr>
          <w:rFonts w:ascii="Tahoma" w:eastAsia="Arial" w:hAnsi="Tahoma" w:cs="Tahoma"/>
          <w:sz w:val="24"/>
          <w:szCs w:val="24"/>
          <w:shd w:val="clear" w:color="auto" w:fill="FFFFFF"/>
        </w:rPr>
        <w:t>4</w:t>
      </w:r>
      <w:r w:rsidRPr="007403CD">
        <w:rPr>
          <w:rFonts w:ascii="Tahoma" w:eastAsia="Arial" w:hAnsi="Tahoma" w:cs="Tahoma"/>
          <w:sz w:val="24"/>
          <w:szCs w:val="24"/>
          <w:shd w:val="clear" w:color="auto" w:fill="FFFFFF"/>
        </w:rPr>
        <w:t>% mai mari decât plățile efectuate în semestrul I 20</w:t>
      </w:r>
      <w:r w:rsidR="00D148DD" w:rsidRPr="007403CD">
        <w:rPr>
          <w:rFonts w:ascii="Tahoma" w:eastAsia="Arial" w:hAnsi="Tahoma" w:cs="Tahoma"/>
          <w:sz w:val="24"/>
          <w:szCs w:val="24"/>
          <w:shd w:val="clear" w:color="auto" w:fill="FFFFFF"/>
        </w:rPr>
        <w:t>2</w:t>
      </w:r>
      <w:r w:rsidR="003A0A0C">
        <w:rPr>
          <w:rFonts w:ascii="Tahoma" w:eastAsia="Arial" w:hAnsi="Tahoma" w:cs="Tahoma"/>
          <w:sz w:val="24"/>
          <w:szCs w:val="24"/>
          <w:shd w:val="clear" w:color="auto" w:fill="FFFFFF"/>
        </w:rPr>
        <w:t>2</w:t>
      </w:r>
      <w:r w:rsidRPr="007403CD">
        <w:rPr>
          <w:rFonts w:ascii="Tahoma" w:eastAsia="Arial" w:hAnsi="Tahoma" w:cs="Tahoma"/>
          <w:sz w:val="24"/>
          <w:szCs w:val="24"/>
          <w:shd w:val="clear" w:color="auto" w:fill="FFFFFF"/>
        </w:rPr>
        <w:t>. Comparativ cu nivelul pr</w:t>
      </w:r>
      <w:r w:rsidR="00781BE6" w:rsidRPr="007403CD">
        <w:rPr>
          <w:rFonts w:ascii="Tahoma" w:eastAsia="Arial" w:hAnsi="Tahoma" w:cs="Tahoma"/>
          <w:sz w:val="24"/>
          <w:szCs w:val="24"/>
          <w:shd w:val="clear" w:color="auto" w:fill="FFFFFF"/>
        </w:rPr>
        <w:t>ogramat a se efectua pe primul semestru</w:t>
      </w:r>
      <w:r w:rsidRPr="007403CD">
        <w:rPr>
          <w:rFonts w:ascii="Tahoma" w:eastAsia="Arial" w:hAnsi="Tahoma" w:cs="Tahoma"/>
          <w:sz w:val="24"/>
          <w:szCs w:val="24"/>
          <w:shd w:val="clear" w:color="auto" w:fill="FFFFFF"/>
        </w:rPr>
        <w:t xml:space="preserve"> cheltuielile cu alte transferuri s-au efectuat în proporție de </w:t>
      </w:r>
      <w:r w:rsidR="003A0A0C">
        <w:rPr>
          <w:rFonts w:ascii="Tahoma" w:eastAsia="Arial" w:hAnsi="Tahoma" w:cs="Tahoma"/>
          <w:sz w:val="24"/>
          <w:szCs w:val="24"/>
          <w:shd w:val="clear" w:color="auto" w:fill="FFFFFF"/>
        </w:rPr>
        <w:t>75,6</w:t>
      </w:r>
      <w:r w:rsidRPr="007403CD">
        <w:rPr>
          <w:rFonts w:ascii="Tahoma" w:eastAsia="Arial" w:hAnsi="Tahoma" w:cs="Tahoma"/>
          <w:sz w:val="24"/>
          <w:szCs w:val="24"/>
          <w:shd w:val="clear" w:color="auto" w:fill="FFFFFF"/>
        </w:rPr>
        <w:t>%.</w:t>
      </w:r>
    </w:p>
    <w:p w:rsidR="002F2E52" w:rsidRPr="007403CD" w:rsidRDefault="000104AF" w:rsidP="008A5E1F">
      <w:pPr>
        <w:spacing w:before="120" w:after="120" w:line="276" w:lineRule="auto"/>
        <w:ind w:firstLine="0"/>
        <w:rPr>
          <w:rFonts w:ascii="Tahoma" w:eastAsia="Arial" w:hAnsi="Tahoma" w:cs="Tahoma"/>
          <w:sz w:val="24"/>
          <w:szCs w:val="24"/>
          <w:shd w:val="clear" w:color="auto" w:fill="FFFFFF"/>
        </w:rPr>
      </w:pPr>
      <w:r w:rsidRPr="007403CD">
        <w:rPr>
          <w:rFonts w:ascii="Tahoma" w:eastAsia="Arial" w:hAnsi="Tahoma" w:cs="Tahoma"/>
          <w:b/>
          <w:sz w:val="24"/>
          <w:szCs w:val="24"/>
          <w:shd w:val="clear" w:color="auto" w:fill="FFFFFF"/>
        </w:rPr>
        <w:t>Cheltuielile privind proiectele finanțate din fonduri externe nerambursabile</w:t>
      </w:r>
      <w:r w:rsidRPr="007403CD">
        <w:rPr>
          <w:rFonts w:ascii="Tahoma" w:eastAsia="Arial" w:hAnsi="Tahoma" w:cs="Tahoma"/>
          <w:sz w:val="24"/>
          <w:szCs w:val="24"/>
          <w:shd w:val="clear" w:color="auto" w:fill="FFFFFF"/>
        </w:rPr>
        <w:t xml:space="preserve"> (inclusiv subvențiile de la Uniunea Europeană aferente agriculturii</w:t>
      </w:r>
      <w:r w:rsidR="0063517C" w:rsidRPr="007403CD">
        <w:rPr>
          <w:rFonts w:ascii="Tahoma" w:eastAsia="Arial" w:hAnsi="Tahoma" w:cs="Tahoma"/>
          <w:sz w:val="24"/>
          <w:szCs w:val="24"/>
          <w:shd w:val="clear" w:color="auto" w:fill="FFFFFF"/>
        </w:rPr>
        <w:t xml:space="preserve"> și cheltuielile cu proiectele cu </w:t>
      </w:r>
      <w:r w:rsidR="003D5C26" w:rsidRPr="007403CD">
        <w:rPr>
          <w:rFonts w:ascii="Tahoma" w:eastAsia="Arial" w:hAnsi="Tahoma" w:cs="Tahoma"/>
          <w:sz w:val="24"/>
          <w:szCs w:val="24"/>
          <w:shd w:val="clear" w:color="auto" w:fill="FFFFFF"/>
        </w:rPr>
        <w:t>finanțare</w:t>
      </w:r>
      <w:r w:rsidR="0063517C" w:rsidRPr="007403CD">
        <w:rPr>
          <w:rFonts w:ascii="Tahoma" w:eastAsia="Arial" w:hAnsi="Tahoma" w:cs="Tahoma"/>
          <w:sz w:val="24"/>
          <w:szCs w:val="24"/>
          <w:shd w:val="clear" w:color="auto" w:fill="FFFFFF"/>
        </w:rPr>
        <w:t xml:space="preserve"> din sumele </w:t>
      </w:r>
      <w:r w:rsidR="003D5C26" w:rsidRPr="007403CD">
        <w:rPr>
          <w:rFonts w:ascii="Tahoma" w:eastAsia="Arial" w:hAnsi="Tahoma" w:cs="Tahoma"/>
          <w:sz w:val="24"/>
          <w:szCs w:val="24"/>
          <w:shd w:val="clear" w:color="auto" w:fill="FFFFFF"/>
        </w:rPr>
        <w:t>reprezentând</w:t>
      </w:r>
      <w:r w:rsidR="0063517C" w:rsidRPr="007403CD">
        <w:rPr>
          <w:rFonts w:ascii="Tahoma" w:eastAsia="Arial" w:hAnsi="Tahoma" w:cs="Tahoma"/>
          <w:sz w:val="24"/>
          <w:szCs w:val="24"/>
          <w:shd w:val="clear" w:color="auto" w:fill="FFFFFF"/>
        </w:rPr>
        <w:t xml:space="preserve"> asi</w:t>
      </w:r>
      <w:r w:rsidR="003D5C26">
        <w:rPr>
          <w:rFonts w:ascii="Tahoma" w:eastAsia="Arial" w:hAnsi="Tahoma" w:cs="Tahoma"/>
          <w:sz w:val="24"/>
          <w:szCs w:val="24"/>
          <w:shd w:val="clear" w:color="auto" w:fill="FFFFFF"/>
        </w:rPr>
        <w:t>stenta financiara nerambursabilă</w:t>
      </w:r>
      <w:r w:rsidR="0063517C" w:rsidRPr="007403CD">
        <w:rPr>
          <w:rFonts w:ascii="Tahoma" w:eastAsia="Arial" w:hAnsi="Tahoma" w:cs="Tahoma"/>
          <w:sz w:val="24"/>
          <w:szCs w:val="24"/>
          <w:shd w:val="clear" w:color="auto" w:fill="FFFFFF"/>
        </w:rPr>
        <w:t xml:space="preserve"> aferenta PNRR</w:t>
      </w:r>
      <w:r w:rsidRPr="007403CD">
        <w:rPr>
          <w:rFonts w:ascii="Tahoma" w:eastAsia="Arial" w:hAnsi="Tahoma" w:cs="Tahoma"/>
          <w:sz w:val="24"/>
          <w:szCs w:val="24"/>
          <w:shd w:val="clear" w:color="auto" w:fill="FFFFFF"/>
        </w:rPr>
        <w:t xml:space="preserve">) au fost de </w:t>
      </w:r>
      <w:r w:rsidR="00DC6FB0">
        <w:rPr>
          <w:rFonts w:ascii="Tahoma" w:eastAsia="Arial" w:hAnsi="Tahoma" w:cs="Tahoma"/>
          <w:sz w:val="24"/>
          <w:szCs w:val="24"/>
          <w:shd w:val="clear" w:color="auto" w:fill="FFFFFF"/>
        </w:rPr>
        <w:t>25,0</w:t>
      </w:r>
      <w:r w:rsidR="0063517C" w:rsidRPr="007403CD">
        <w:rPr>
          <w:rFonts w:ascii="Tahoma" w:eastAsia="Arial" w:hAnsi="Tahoma" w:cs="Tahoma"/>
          <w:sz w:val="24"/>
          <w:szCs w:val="24"/>
          <w:shd w:val="clear" w:color="auto" w:fill="FFFFFF"/>
        </w:rPr>
        <w:t xml:space="preserve"> </w:t>
      </w:r>
      <w:r w:rsidR="000C2870" w:rsidRPr="007403CD">
        <w:rPr>
          <w:rFonts w:ascii="Tahoma" w:eastAsia="Arial" w:hAnsi="Tahoma" w:cs="Tahoma"/>
          <w:sz w:val="24"/>
          <w:szCs w:val="24"/>
          <w:shd w:val="clear" w:color="auto" w:fill="FFFFFF"/>
        </w:rPr>
        <w:t>miliarde</w:t>
      </w:r>
      <w:r w:rsidRPr="007403CD">
        <w:rPr>
          <w:rFonts w:ascii="Tahoma" w:eastAsia="Arial" w:hAnsi="Tahoma" w:cs="Tahoma"/>
          <w:sz w:val="24"/>
          <w:szCs w:val="24"/>
          <w:shd w:val="clear" w:color="auto" w:fill="FFFFFF"/>
        </w:rPr>
        <w:t xml:space="preserve"> </w:t>
      </w:r>
      <w:r w:rsidR="003A634F">
        <w:rPr>
          <w:rFonts w:ascii="Tahoma" w:eastAsia="Arial" w:hAnsi="Tahoma" w:cs="Tahoma"/>
          <w:sz w:val="24"/>
          <w:szCs w:val="24"/>
          <w:shd w:val="clear" w:color="auto" w:fill="FFFFFF"/>
        </w:rPr>
        <w:t>lei</w:t>
      </w:r>
      <w:r w:rsidR="0063517C" w:rsidRPr="007403CD">
        <w:rPr>
          <w:rFonts w:ascii="Tahoma" w:eastAsia="Arial" w:hAnsi="Tahoma" w:cs="Tahoma"/>
          <w:sz w:val="24"/>
          <w:szCs w:val="24"/>
          <w:shd w:val="clear" w:color="auto" w:fill="FFFFFF"/>
        </w:rPr>
        <w:t xml:space="preserve"> </w:t>
      </w:r>
      <w:r w:rsidR="00D148DD" w:rsidRPr="007403CD">
        <w:rPr>
          <w:rFonts w:ascii="Tahoma" w:eastAsia="Arial" w:hAnsi="Tahoma" w:cs="Tahoma"/>
          <w:sz w:val="24"/>
          <w:szCs w:val="24"/>
          <w:shd w:val="clear" w:color="auto" w:fill="FFFFFF"/>
        </w:rPr>
        <w:t>(1,</w:t>
      </w:r>
      <w:r w:rsidR="003A0A0C">
        <w:rPr>
          <w:rFonts w:ascii="Tahoma" w:eastAsia="Arial" w:hAnsi="Tahoma" w:cs="Tahoma"/>
          <w:sz w:val="24"/>
          <w:szCs w:val="24"/>
          <w:shd w:val="clear" w:color="auto" w:fill="FFFFFF"/>
        </w:rPr>
        <w:t>6</w:t>
      </w:r>
      <w:r w:rsidR="00D148DD" w:rsidRPr="007403CD">
        <w:rPr>
          <w:rFonts w:ascii="Tahoma" w:eastAsia="Arial" w:hAnsi="Tahoma" w:cs="Tahoma"/>
          <w:sz w:val="24"/>
          <w:szCs w:val="24"/>
          <w:shd w:val="clear" w:color="auto" w:fill="FFFFFF"/>
        </w:rPr>
        <w:t>% din PIB)</w:t>
      </w:r>
      <w:r w:rsidRPr="007403CD">
        <w:rPr>
          <w:rFonts w:ascii="Tahoma" w:eastAsia="Arial" w:hAnsi="Tahoma" w:cs="Tahoma"/>
          <w:sz w:val="24"/>
          <w:szCs w:val="24"/>
          <w:shd w:val="clear" w:color="auto" w:fill="FFFFFF"/>
        </w:rPr>
        <w:t xml:space="preserve">, cu </w:t>
      </w:r>
      <w:r w:rsidR="00C15AD8">
        <w:rPr>
          <w:rFonts w:ascii="Tahoma" w:eastAsia="Arial" w:hAnsi="Tahoma" w:cs="Tahoma"/>
          <w:sz w:val="24"/>
          <w:szCs w:val="24"/>
          <w:shd w:val="clear" w:color="auto" w:fill="FFFFFF"/>
        </w:rPr>
        <w:t>55,4</w:t>
      </w:r>
      <w:r w:rsidRPr="007403CD">
        <w:rPr>
          <w:rFonts w:ascii="Tahoma" w:eastAsia="Arial" w:hAnsi="Tahoma" w:cs="Tahoma"/>
          <w:sz w:val="24"/>
          <w:szCs w:val="24"/>
          <w:shd w:val="clear" w:color="auto" w:fill="FFFFFF"/>
        </w:rPr>
        <w:t>% mai mari comparativ cu aceeași perioadă a anului precedent.</w:t>
      </w:r>
      <w:r w:rsidR="0010647A" w:rsidRPr="007403CD">
        <w:rPr>
          <w:rFonts w:ascii="Tahoma" w:eastAsia="Arial" w:hAnsi="Tahoma" w:cs="Tahoma"/>
          <w:sz w:val="24"/>
          <w:szCs w:val="24"/>
          <w:shd w:val="clear" w:color="auto" w:fill="FFFFFF"/>
        </w:rPr>
        <w:t xml:space="preserve"> Cheltuielile privind proiectele finanțate din fonduri externe nerambursabile s-au efectuat în proporție de </w:t>
      </w:r>
      <w:r w:rsidR="0063517C" w:rsidRPr="007403CD">
        <w:rPr>
          <w:rFonts w:ascii="Tahoma" w:eastAsia="Arial" w:hAnsi="Tahoma" w:cs="Tahoma"/>
          <w:sz w:val="24"/>
          <w:szCs w:val="24"/>
          <w:shd w:val="clear" w:color="auto" w:fill="FFFFFF"/>
        </w:rPr>
        <w:t>5</w:t>
      </w:r>
      <w:r w:rsidR="003A0A0C">
        <w:rPr>
          <w:rFonts w:ascii="Tahoma" w:eastAsia="Arial" w:hAnsi="Tahoma" w:cs="Tahoma"/>
          <w:sz w:val="24"/>
          <w:szCs w:val="24"/>
          <w:shd w:val="clear" w:color="auto" w:fill="FFFFFF"/>
        </w:rPr>
        <w:t>9</w:t>
      </w:r>
      <w:r w:rsidR="0010647A" w:rsidRPr="007403CD">
        <w:rPr>
          <w:rFonts w:ascii="Tahoma" w:eastAsia="Arial" w:hAnsi="Tahoma" w:cs="Tahoma"/>
          <w:sz w:val="24"/>
          <w:szCs w:val="24"/>
          <w:shd w:val="clear" w:color="auto" w:fill="FFFFFF"/>
        </w:rPr>
        <w:t>,</w:t>
      </w:r>
      <w:r w:rsidR="003A0A0C">
        <w:rPr>
          <w:rFonts w:ascii="Tahoma" w:eastAsia="Arial" w:hAnsi="Tahoma" w:cs="Tahoma"/>
          <w:sz w:val="24"/>
          <w:szCs w:val="24"/>
          <w:shd w:val="clear" w:color="auto" w:fill="FFFFFF"/>
        </w:rPr>
        <w:t>4</w:t>
      </w:r>
      <w:r w:rsidR="0010647A" w:rsidRPr="007403CD">
        <w:rPr>
          <w:rFonts w:ascii="Tahoma" w:eastAsia="Arial" w:hAnsi="Tahoma" w:cs="Tahoma"/>
          <w:sz w:val="24"/>
          <w:szCs w:val="24"/>
          <w:shd w:val="clear" w:color="auto" w:fill="FFFFFF"/>
        </w:rPr>
        <w:t>% din nivelul programat pentru perioada analizată.</w:t>
      </w:r>
    </w:p>
    <w:p w:rsidR="00C15AD8" w:rsidRDefault="00C15AD8" w:rsidP="00231E72">
      <w:pPr>
        <w:spacing w:after="120" w:line="276" w:lineRule="auto"/>
        <w:ind w:firstLine="0"/>
        <w:rPr>
          <w:rFonts w:ascii="Tahoma" w:eastAsia="Arial" w:hAnsi="Tahoma" w:cs="Tahoma"/>
          <w:sz w:val="24"/>
          <w:szCs w:val="24"/>
          <w:shd w:val="clear" w:color="auto" w:fill="FFFFFF"/>
        </w:rPr>
      </w:pPr>
      <w:r>
        <w:rPr>
          <w:rFonts w:ascii="Tahoma" w:eastAsia="Arial" w:hAnsi="Tahoma" w:cs="Tahoma"/>
          <w:sz w:val="24"/>
          <w:szCs w:val="24"/>
          <w:shd w:val="clear" w:color="auto" w:fill="FFFFFF"/>
        </w:rPr>
        <w:t>În</w:t>
      </w:r>
      <w:r w:rsidRPr="00C15AD8">
        <w:rPr>
          <w:rFonts w:ascii="Tahoma" w:eastAsia="Arial" w:hAnsi="Tahoma" w:cs="Tahoma"/>
          <w:sz w:val="24"/>
          <w:szCs w:val="24"/>
          <w:shd w:val="clear" w:color="auto" w:fill="FFFFFF"/>
        </w:rPr>
        <w:t xml:space="preserve"> totalul cheltuielilor cu proiectele finanțate din fonduri externe nerambursabile ponderea cea mai ridicată au avut-o cheltuielile </w:t>
      </w:r>
      <w:r>
        <w:rPr>
          <w:rFonts w:ascii="Tahoma" w:eastAsia="Arial" w:hAnsi="Tahoma" w:cs="Tahoma"/>
          <w:sz w:val="24"/>
          <w:szCs w:val="24"/>
          <w:shd w:val="clear" w:color="auto" w:fill="FFFFFF"/>
        </w:rPr>
        <w:t xml:space="preserve">cu </w:t>
      </w:r>
      <w:r w:rsidRPr="00C15AD8">
        <w:rPr>
          <w:rFonts w:ascii="Tahoma" w:eastAsia="Arial" w:hAnsi="Tahoma" w:cs="Tahoma"/>
          <w:sz w:val="24"/>
          <w:szCs w:val="24"/>
          <w:shd w:val="clear" w:color="auto" w:fill="FFFFFF"/>
        </w:rPr>
        <w:t>proiectel</w:t>
      </w:r>
      <w:r>
        <w:rPr>
          <w:rFonts w:ascii="Tahoma" w:eastAsia="Arial" w:hAnsi="Tahoma" w:cs="Tahoma"/>
          <w:sz w:val="24"/>
          <w:szCs w:val="24"/>
          <w:shd w:val="clear" w:color="auto" w:fill="FFFFFF"/>
        </w:rPr>
        <w:t>e</w:t>
      </w:r>
      <w:r w:rsidRPr="00C15AD8">
        <w:rPr>
          <w:rFonts w:ascii="Tahoma" w:eastAsia="Arial" w:hAnsi="Tahoma" w:cs="Tahoma"/>
          <w:sz w:val="24"/>
          <w:szCs w:val="24"/>
          <w:shd w:val="clear" w:color="auto" w:fill="FFFFFF"/>
        </w:rPr>
        <w:t xml:space="preserve"> finanțate din fondurile aferente perioadei de programare 2014-2020 </w:t>
      </w:r>
      <w:r>
        <w:rPr>
          <w:rFonts w:ascii="Tahoma" w:eastAsia="Arial" w:hAnsi="Tahoma" w:cs="Tahoma"/>
          <w:sz w:val="24"/>
          <w:szCs w:val="24"/>
          <w:shd w:val="clear" w:color="auto" w:fill="FFFFFF"/>
        </w:rPr>
        <w:t xml:space="preserve">cu o pondere de </w:t>
      </w:r>
      <w:r w:rsidRPr="00C15AD8">
        <w:rPr>
          <w:rFonts w:ascii="Tahoma" w:eastAsia="Arial" w:hAnsi="Tahoma" w:cs="Tahoma"/>
          <w:sz w:val="24"/>
          <w:szCs w:val="24"/>
          <w:shd w:val="clear" w:color="auto" w:fill="FFFFFF"/>
        </w:rPr>
        <w:t>89,5%</w:t>
      </w:r>
      <w:r>
        <w:rPr>
          <w:rFonts w:ascii="Tahoma" w:eastAsia="Arial" w:hAnsi="Tahoma" w:cs="Tahoma"/>
          <w:sz w:val="24"/>
          <w:szCs w:val="24"/>
          <w:shd w:val="clear" w:color="auto" w:fill="FFFFFF"/>
        </w:rPr>
        <w:t xml:space="preserve">, cele alocate proiectelor finanțate din fonduri aferente perioadelor de programare 2007-2013 și respectiv 2021-2027 cu o pondere de 7,5% și respectiv </w:t>
      </w:r>
      <w:r w:rsidR="00DC6FB0">
        <w:rPr>
          <w:rFonts w:ascii="Tahoma" w:eastAsia="Arial" w:hAnsi="Tahoma" w:cs="Tahoma"/>
          <w:sz w:val="24"/>
          <w:szCs w:val="24"/>
          <w:shd w:val="clear" w:color="auto" w:fill="FFFFFF"/>
        </w:rPr>
        <w:t xml:space="preserve">cele alocate </w:t>
      </w:r>
      <w:r>
        <w:rPr>
          <w:rFonts w:ascii="Tahoma" w:eastAsia="Arial" w:hAnsi="Tahoma" w:cs="Tahoma"/>
          <w:sz w:val="24"/>
          <w:szCs w:val="24"/>
          <w:shd w:val="clear" w:color="auto" w:fill="FFFFFF"/>
        </w:rPr>
        <w:t>proiectelor finanțate din fonduri aferente asistenței financiare nerambursabile a PNRR cu o pondere de 2,9%.</w:t>
      </w:r>
    </w:p>
    <w:p w:rsidR="007B08BF" w:rsidRPr="007403CD" w:rsidRDefault="004D6D76" w:rsidP="00231E72">
      <w:pPr>
        <w:spacing w:after="120" w:line="276" w:lineRule="auto"/>
        <w:ind w:firstLine="0"/>
        <w:rPr>
          <w:rFonts w:ascii="Tahoma" w:eastAsia="Arial" w:hAnsi="Tahoma" w:cs="Tahoma"/>
          <w:sz w:val="24"/>
          <w:szCs w:val="24"/>
          <w:shd w:val="clear" w:color="auto" w:fill="FFFFFF"/>
        </w:rPr>
      </w:pPr>
      <w:r w:rsidRPr="007403CD">
        <w:rPr>
          <w:rFonts w:ascii="Tahoma" w:eastAsia="Arial" w:hAnsi="Tahoma" w:cs="Tahoma"/>
          <w:b/>
          <w:sz w:val="24"/>
          <w:szCs w:val="24"/>
          <w:shd w:val="clear" w:color="auto" w:fill="FFFFFF"/>
        </w:rPr>
        <w:t>Cheltuielile pentru investiții</w:t>
      </w:r>
      <w:r w:rsidRPr="007403CD">
        <w:rPr>
          <w:rFonts w:ascii="Tahoma" w:eastAsia="Arial" w:hAnsi="Tahoma" w:cs="Tahoma"/>
          <w:sz w:val="24"/>
          <w:szCs w:val="24"/>
          <w:shd w:val="clear" w:color="auto" w:fill="FFFFFF"/>
        </w:rPr>
        <w:t xml:space="preserve">, care includ cheltuielile de capital, precum și cele aferente programelor de dezvoltare finanțate din surse interne și externe, au însumat </w:t>
      </w:r>
      <w:r w:rsidR="00C15AD8">
        <w:rPr>
          <w:rFonts w:ascii="Tahoma" w:eastAsia="Arial" w:hAnsi="Tahoma" w:cs="Tahoma"/>
          <w:sz w:val="24"/>
          <w:szCs w:val="24"/>
          <w:shd w:val="clear" w:color="auto" w:fill="FFFFFF"/>
        </w:rPr>
        <w:t>32,8</w:t>
      </w:r>
      <w:r w:rsidR="00F80F55" w:rsidRPr="007403CD">
        <w:rPr>
          <w:rFonts w:ascii="Tahoma" w:eastAsia="Arial" w:hAnsi="Tahoma" w:cs="Tahoma"/>
          <w:sz w:val="24"/>
          <w:szCs w:val="24"/>
          <w:shd w:val="clear" w:color="auto" w:fill="FFFFFF"/>
        </w:rPr>
        <w:t xml:space="preserve"> miliarde </w:t>
      </w:r>
      <w:r w:rsidR="003A634F">
        <w:rPr>
          <w:rFonts w:ascii="Tahoma" w:eastAsia="Arial" w:hAnsi="Tahoma" w:cs="Tahoma"/>
          <w:sz w:val="24"/>
          <w:szCs w:val="24"/>
          <w:shd w:val="clear" w:color="auto" w:fill="FFFFFF"/>
        </w:rPr>
        <w:t>lei</w:t>
      </w:r>
      <w:r w:rsidR="00F80F55" w:rsidRPr="007403CD">
        <w:rPr>
          <w:rFonts w:ascii="Tahoma" w:eastAsia="Arial" w:hAnsi="Tahoma" w:cs="Tahoma"/>
          <w:sz w:val="24"/>
          <w:szCs w:val="24"/>
          <w:shd w:val="clear" w:color="auto" w:fill="FFFFFF"/>
        </w:rPr>
        <w:t xml:space="preserve"> (</w:t>
      </w:r>
      <w:r w:rsidR="00C15AD8">
        <w:rPr>
          <w:rFonts w:ascii="Tahoma" w:eastAsia="Arial" w:hAnsi="Tahoma" w:cs="Tahoma"/>
          <w:sz w:val="24"/>
          <w:szCs w:val="24"/>
          <w:shd w:val="clear" w:color="auto" w:fill="FFFFFF"/>
        </w:rPr>
        <w:t>2,1</w:t>
      </w:r>
      <w:r w:rsidR="00F80F55" w:rsidRPr="007403CD">
        <w:rPr>
          <w:rFonts w:ascii="Tahoma" w:eastAsia="Arial" w:hAnsi="Tahoma" w:cs="Tahoma"/>
          <w:sz w:val="24"/>
          <w:szCs w:val="24"/>
          <w:shd w:val="clear" w:color="auto" w:fill="FFFFFF"/>
        </w:rPr>
        <w:t>% din PIB</w:t>
      </w:r>
      <w:r w:rsidR="003D5C26">
        <w:rPr>
          <w:rFonts w:ascii="Tahoma" w:eastAsia="Arial" w:hAnsi="Tahoma" w:cs="Tahoma"/>
          <w:sz w:val="24"/>
          <w:szCs w:val="24"/>
          <w:shd w:val="clear" w:color="auto" w:fill="FFFFFF"/>
        </w:rPr>
        <w:t>).</w:t>
      </w:r>
      <w:r w:rsidR="00F80F55" w:rsidRPr="007403CD">
        <w:rPr>
          <w:rFonts w:ascii="Tahoma" w:eastAsia="Arial" w:hAnsi="Tahoma" w:cs="Tahoma"/>
          <w:sz w:val="24"/>
          <w:szCs w:val="24"/>
          <w:shd w:val="clear" w:color="auto" w:fill="FFFFFF"/>
        </w:rPr>
        <w:t xml:space="preserve"> </w:t>
      </w:r>
      <w:r w:rsidR="007B08BF" w:rsidRPr="007403CD">
        <w:rPr>
          <w:rFonts w:ascii="Tahoma" w:eastAsia="Arial" w:hAnsi="Tahoma" w:cs="Tahoma"/>
          <w:sz w:val="24"/>
          <w:szCs w:val="24"/>
          <w:shd w:val="clear" w:color="auto" w:fill="FFFFFF"/>
        </w:rPr>
        <w:t xml:space="preserve">De asemenea, se observă o creștere mai accentuată a </w:t>
      </w:r>
      <w:r w:rsidR="00231E72" w:rsidRPr="007403CD">
        <w:rPr>
          <w:rFonts w:ascii="Tahoma" w:eastAsia="Arial" w:hAnsi="Tahoma" w:cs="Tahoma"/>
          <w:sz w:val="24"/>
          <w:szCs w:val="24"/>
          <w:shd w:val="clear" w:color="auto" w:fill="FFFFFF"/>
        </w:rPr>
        <w:t>proiectelor de investiții</w:t>
      </w:r>
      <w:r w:rsidR="007B08BF" w:rsidRPr="007403CD">
        <w:rPr>
          <w:rFonts w:ascii="Tahoma" w:eastAsia="Arial" w:hAnsi="Tahoma" w:cs="Tahoma"/>
          <w:sz w:val="24"/>
          <w:szCs w:val="24"/>
          <w:shd w:val="clear" w:color="auto" w:fill="FFFFFF"/>
        </w:rPr>
        <w:t xml:space="preserve"> finanțate din fonduri externe nerambursabile </w:t>
      </w:r>
      <w:proofErr w:type="spellStart"/>
      <w:r w:rsidR="007B08BF" w:rsidRPr="007403CD">
        <w:rPr>
          <w:rFonts w:ascii="Tahoma" w:eastAsia="Arial" w:hAnsi="Tahoma" w:cs="Tahoma"/>
          <w:sz w:val="24"/>
          <w:szCs w:val="24"/>
          <w:shd w:val="clear" w:color="auto" w:fill="FFFFFF"/>
        </w:rPr>
        <w:t>postaderare</w:t>
      </w:r>
      <w:proofErr w:type="spellEnd"/>
      <w:r w:rsidR="007B08BF" w:rsidRPr="007403CD">
        <w:rPr>
          <w:rFonts w:ascii="Tahoma" w:eastAsia="Arial" w:hAnsi="Tahoma" w:cs="Tahoma"/>
          <w:sz w:val="24"/>
          <w:szCs w:val="24"/>
          <w:shd w:val="clear" w:color="auto" w:fill="FFFFFF"/>
        </w:rPr>
        <w:t xml:space="preserve">, acestea reprezentând </w:t>
      </w:r>
      <w:r w:rsidR="00C15AD8">
        <w:rPr>
          <w:rFonts w:ascii="Tahoma" w:eastAsia="Arial" w:hAnsi="Tahoma" w:cs="Tahoma"/>
          <w:sz w:val="24"/>
          <w:szCs w:val="24"/>
          <w:shd w:val="clear" w:color="auto" w:fill="FFFFFF"/>
        </w:rPr>
        <w:t>58,9</w:t>
      </w:r>
      <w:r w:rsidR="007B08BF" w:rsidRPr="007403CD">
        <w:rPr>
          <w:rFonts w:ascii="Tahoma" w:eastAsia="Arial" w:hAnsi="Tahoma" w:cs="Tahoma"/>
          <w:sz w:val="24"/>
          <w:szCs w:val="24"/>
          <w:shd w:val="clear" w:color="auto" w:fill="FFFFFF"/>
        </w:rPr>
        <w:t>% din totalul cheltuielilor pentru investiții pe primele șase luni ale anului 202</w:t>
      </w:r>
      <w:r w:rsidR="00C15AD8">
        <w:rPr>
          <w:rFonts w:ascii="Tahoma" w:eastAsia="Arial" w:hAnsi="Tahoma" w:cs="Tahoma"/>
          <w:sz w:val="24"/>
          <w:szCs w:val="24"/>
          <w:shd w:val="clear" w:color="auto" w:fill="FFFFFF"/>
        </w:rPr>
        <w:t>3</w:t>
      </w:r>
      <w:r w:rsidR="00231E72" w:rsidRPr="007403CD">
        <w:rPr>
          <w:rFonts w:ascii="Tahoma" w:eastAsia="Arial" w:hAnsi="Tahoma" w:cs="Tahoma"/>
          <w:sz w:val="24"/>
          <w:szCs w:val="24"/>
          <w:shd w:val="clear" w:color="auto" w:fill="FFFFFF"/>
        </w:rPr>
        <w:t>.</w:t>
      </w:r>
      <w:r w:rsidR="007B08BF" w:rsidRPr="007403CD">
        <w:rPr>
          <w:rFonts w:ascii="Tahoma" w:eastAsia="Arial" w:hAnsi="Tahoma" w:cs="Tahoma"/>
          <w:sz w:val="24"/>
          <w:szCs w:val="24"/>
          <w:shd w:val="clear" w:color="auto" w:fill="FFFFFF"/>
        </w:rPr>
        <w:t xml:space="preserve"> </w:t>
      </w:r>
    </w:p>
    <w:p w:rsidR="002355F0" w:rsidRPr="007403CD" w:rsidRDefault="002355F0" w:rsidP="008A5E1F">
      <w:pPr>
        <w:spacing w:after="120" w:line="276" w:lineRule="auto"/>
        <w:ind w:right="11" w:firstLine="0"/>
        <w:rPr>
          <w:rFonts w:ascii="Tahoma" w:hAnsi="Tahoma" w:cs="Tahoma"/>
          <w:sz w:val="24"/>
          <w:szCs w:val="24"/>
        </w:rPr>
      </w:pPr>
      <w:r w:rsidRPr="007403CD">
        <w:rPr>
          <w:rFonts w:ascii="Tahoma" w:hAnsi="Tahoma" w:cs="Tahoma"/>
          <w:sz w:val="24"/>
          <w:szCs w:val="24"/>
        </w:rPr>
        <w:t>Principalele obiective de investiții distincte pentru care s-au efectuat plăți în semestrul I al anului 202</w:t>
      </w:r>
      <w:r w:rsidR="00C15AD8">
        <w:rPr>
          <w:rFonts w:ascii="Tahoma" w:hAnsi="Tahoma" w:cs="Tahoma"/>
          <w:sz w:val="24"/>
          <w:szCs w:val="24"/>
        </w:rPr>
        <w:t>3</w:t>
      </w:r>
      <w:r w:rsidRPr="007403CD">
        <w:rPr>
          <w:rFonts w:ascii="Tahoma" w:hAnsi="Tahoma" w:cs="Tahoma"/>
          <w:sz w:val="24"/>
          <w:szCs w:val="24"/>
        </w:rPr>
        <w:t xml:space="preserve"> sunt:</w:t>
      </w:r>
    </w:p>
    <w:p w:rsidR="00C15AD8" w:rsidRPr="00C15AD8" w:rsidRDefault="002355F0" w:rsidP="00C15AD8">
      <w:pPr>
        <w:spacing w:after="120" w:line="276" w:lineRule="auto"/>
        <w:ind w:left="1134" w:hanging="567"/>
        <w:rPr>
          <w:rFonts w:ascii="Tahoma" w:hAnsi="Tahoma" w:cs="Tahoma"/>
          <w:sz w:val="24"/>
          <w:szCs w:val="24"/>
        </w:rPr>
      </w:pPr>
      <w:r w:rsidRPr="007403CD">
        <w:rPr>
          <w:rFonts w:ascii="Tahoma" w:hAnsi="Tahoma" w:cs="Tahoma"/>
          <w:sz w:val="24"/>
          <w:szCs w:val="24"/>
        </w:rPr>
        <w:t>●</w:t>
      </w:r>
      <w:r w:rsidR="00C15AD8">
        <w:rPr>
          <w:rFonts w:ascii="Tahoma" w:hAnsi="Tahoma" w:cs="Tahoma"/>
          <w:sz w:val="24"/>
          <w:szCs w:val="24"/>
        </w:rPr>
        <w:tab/>
      </w:r>
      <w:r w:rsidR="00C15AD8" w:rsidRPr="00C15AD8">
        <w:rPr>
          <w:rFonts w:ascii="Tahoma" w:hAnsi="Tahoma" w:cs="Tahoma"/>
          <w:sz w:val="24"/>
          <w:szCs w:val="24"/>
        </w:rPr>
        <w:t xml:space="preserve">Autostrada Brașov – Târgu Mureș – Cluj - Oradea – </w:t>
      </w:r>
      <w:r w:rsidR="00A914EC">
        <w:rPr>
          <w:rFonts w:ascii="Tahoma" w:hAnsi="Tahoma" w:cs="Tahoma"/>
          <w:sz w:val="24"/>
          <w:szCs w:val="24"/>
        </w:rPr>
        <w:t>0,75 miliarde lei;</w:t>
      </w:r>
    </w:p>
    <w:p w:rsidR="00C15AD8" w:rsidRPr="00C15AD8" w:rsidRDefault="00C15AD8" w:rsidP="00C15AD8">
      <w:pPr>
        <w:spacing w:after="120" w:line="276" w:lineRule="auto"/>
        <w:ind w:left="1134" w:hanging="567"/>
        <w:rPr>
          <w:rFonts w:ascii="Tahoma" w:hAnsi="Tahoma" w:cs="Tahoma"/>
          <w:sz w:val="24"/>
          <w:szCs w:val="24"/>
        </w:rPr>
      </w:pPr>
      <w:r w:rsidRPr="00C15AD8">
        <w:rPr>
          <w:rFonts w:ascii="Tahoma" w:hAnsi="Tahoma" w:cs="Tahoma"/>
          <w:sz w:val="24"/>
          <w:szCs w:val="24"/>
        </w:rPr>
        <w:lastRenderedPageBreak/>
        <w:t>●</w:t>
      </w:r>
      <w:r w:rsidR="00A914EC">
        <w:rPr>
          <w:rFonts w:ascii="Tahoma" w:hAnsi="Tahoma" w:cs="Tahoma"/>
          <w:sz w:val="24"/>
          <w:szCs w:val="24"/>
        </w:rPr>
        <w:tab/>
      </w:r>
      <w:r w:rsidRPr="00C15AD8">
        <w:rPr>
          <w:rFonts w:ascii="Tahoma" w:hAnsi="Tahoma" w:cs="Tahoma"/>
          <w:sz w:val="24"/>
          <w:szCs w:val="24"/>
        </w:rPr>
        <w:t xml:space="preserve">Autostrada de Centură București - Sector Centură Sud km.52+700 - km 100+900 </w:t>
      </w:r>
      <w:r w:rsidR="00A914EC">
        <w:rPr>
          <w:rFonts w:ascii="Tahoma" w:hAnsi="Tahoma" w:cs="Tahoma"/>
          <w:sz w:val="24"/>
          <w:szCs w:val="24"/>
        </w:rPr>
        <w:t>-0,</w:t>
      </w:r>
      <w:r w:rsidRPr="00C15AD8">
        <w:rPr>
          <w:rFonts w:ascii="Tahoma" w:hAnsi="Tahoma" w:cs="Tahoma"/>
          <w:sz w:val="24"/>
          <w:szCs w:val="24"/>
        </w:rPr>
        <w:t>59</w:t>
      </w:r>
      <w:r w:rsidR="00A914EC">
        <w:rPr>
          <w:rFonts w:ascii="Tahoma" w:hAnsi="Tahoma" w:cs="Tahoma"/>
          <w:sz w:val="24"/>
          <w:szCs w:val="24"/>
        </w:rPr>
        <w:t xml:space="preserve"> miliarde lei;</w:t>
      </w:r>
    </w:p>
    <w:p w:rsidR="00C15AD8" w:rsidRPr="00C15AD8" w:rsidRDefault="00A914EC" w:rsidP="00C15AD8">
      <w:pPr>
        <w:spacing w:after="120" w:line="276" w:lineRule="auto"/>
        <w:ind w:left="1134" w:hanging="567"/>
        <w:rPr>
          <w:rFonts w:ascii="Tahoma" w:hAnsi="Tahoma" w:cs="Tahoma"/>
          <w:sz w:val="24"/>
          <w:szCs w:val="24"/>
        </w:rPr>
      </w:pPr>
      <w:r>
        <w:rPr>
          <w:rFonts w:ascii="Tahoma" w:hAnsi="Tahoma" w:cs="Tahoma"/>
          <w:sz w:val="24"/>
          <w:szCs w:val="24"/>
        </w:rPr>
        <w:t>●</w:t>
      </w:r>
      <w:r>
        <w:rPr>
          <w:rFonts w:ascii="Tahoma" w:hAnsi="Tahoma" w:cs="Tahoma"/>
          <w:sz w:val="24"/>
          <w:szCs w:val="24"/>
        </w:rPr>
        <w:tab/>
      </w:r>
      <w:r w:rsidR="00C15AD8" w:rsidRPr="00C15AD8">
        <w:rPr>
          <w:rFonts w:ascii="Tahoma" w:hAnsi="Tahoma" w:cs="Tahoma"/>
          <w:sz w:val="24"/>
          <w:szCs w:val="24"/>
        </w:rPr>
        <w:t xml:space="preserve">Pod suspendat peste Dunăre în zona Brăila – </w:t>
      </w:r>
      <w:r>
        <w:rPr>
          <w:rFonts w:ascii="Tahoma" w:hAnsi="Tahoma" w:cs="Tahoma"/>
          <w:sz w:val="24"/>
          <w:szCs w:val="24"/>
        </w:rPr>
        <w:t>0,55 miliarde lei;</w:t>
      </w:r>
    </w:p>
    <w:p w:rsidR="00C15AD8" w:rsidRPr="00C15AD8" w:rsidRDefault="00A914EC" w:rsidP="00C15AD8">
      <w:pPr>
        <w:spacing w:after="120" w:line="276" w:lineRule="auto"/>
        <w:ind w:left="1134" w:hanging="567"/>
        <w:rPr>
          <w:rFonts w:ascii="Tahoma" w:hAnsi="Tahoma" w:cs="Tahoma"/>
          <w:sz w:val="24"/>
          <w:szCs w:val="24"/>
        </w:rPr>
      </w:pPr>
      <w:r>
        <w:rPr>
          <w:rFonts w:ascii="Tahoma" w:hAnsi="Tahoma" w:cs="Tahoma"/>
          <w:sz w:val="24"/>
          <w:szCs w:val="24"/>
        </w:rPr>
        <w:t>●</w:t>
      </w:r>
      <w:r>
        <w:rPr>
          <w:rFonts w:ascii="Tahoma" w:hAnsi="Tahoma" w:cs="Tahoma"/>
          <w:sz w:val="24"/>
          <w:szCs w:val="24"/>
        </w:rPr>
        <w:tab/>
      </w:r>
      <w:r w:rsidR="00C15AD8" w:rsidRPr="00C15AD8">
        <w:rPr>
          <w:rFonts w:ascii="Tahoma" w:hAnsi="Tahoma" w:cs="Tahoma"/>
          <w:sz w:val="24"/>
          <w:szCs w:val="24"/>
        </w:rPr>
        <w:t xml:space="preserve">Autostrada de Centură a municipiului București - Sector Centură Nord km.0+000 - km 52+770 – </w:t>
      </w:r>
      <w:r>
        <w:rPr>
          <w:rFonts w:ascii="Tahoma" w:hAnsi="Tahoma" w:cs="Tahoma"/>
          <w:sz w:val="24"/>
          <w:szCs w:val="24"/>
        </w:rPr>
        <w:t>0,</w:t>
      </w:r>
      <w:r w:rsidR="00C15AD8" w:rsidRPr="00C15AD8">
        <w:rPr>
          <w:rFonts w:ascii="Tahoma" w:hAnsi="Tahoma" w:cs="Tahoma"/>
          <w:sz w:val="24"/>
          <w:szCs w:val="24"/>
        </w:rPr>
        <w:t>49</w:t>
      </w:r>
      <w:r>
        <w:rPr>
          <w:rFonts w:ascii="Tahoma" w:hAnsi="Tahoma" w:cs="Tahoma"/>
          <w:sz w:val="24"/>
          <w:szCs w:val="24"/>
        </w:rPr>
        <w:t xml:space="preserve"> miliarde lei;</w:t>
      </w:r>
    </w:p>
    <w:p w:rsidR="00C15AD8" w:rsidRPr="00C15AD8" w:rsidRDefault="00A914EC" w:rsidP="00C15AD8">
      <w:pPr>
        <w:spacing w:after="120" w:line="276" w:lineRule="auto"/>
        <w:ind w:left="1134" w:hanging="567"/>
        <w:rPr>
          <w:rFonts w:ascii="Tahoma" w:hAnsi="Tahoma" w:cs="Tahoma"/>
          <w:sz w:val="24"/>
          <w:szCs w:val="24"/>
        </w:rPr>
      </w:pPr>
      <w:r>
        <w:rPr>
          <w:rFonts w:ascii="Tahoma" w:hAnsi="Tahoma" w:cs="Tahoma"/>
          <w:sz w:val="24"/>
          <w:szCs w:val="24"/>
        </w:rPr>
        <w:t>●</w:t>
      </w:r>
      <w:r>
        <w:rPr>
          <w:rFonts w:ascii="Tahoma" w:hAnsi="Tahoma" w:cs="Tahoma"/>
          <w:sz w:val="24"/>
          <w:szCs w:val="24"/>
        </w:rPr>
        <w:tab/>
      </w:r>
      <w:r w:rsidR="00C15AD8" w:rsidRPr="00C15AD8">
        <w:rPr>
          <w:rFonts w:ascii="Tahoma" w:hAnsi="Tahoma" w:cs="Tahoma"/>
          <w:sz w:val="24"/>
          <w:szCs w:val="24"/>
        </w:rPr>
        <w:t xml:space="preserve">Autostrada Sibiu – Pitești – </w:t>
      </w:r>
      <w:r>
        <w:rPr>
          <w:rFonts w:ascii="Tahoma" w:hAnsi="Tahoma" w:cs="Tahoma"/>
          <w:sz w:val="24"/>
          <w:szCs w:val="24"/>
        </w:rPr>
        <w:t>0,</w:t>
      </w:r>
      <w:r w:rsidR="00C15AD8" w:rsidRPr="00C15AD8">
        <w:rPr>
          <w:rFonts w:ascii="Tahoma" w:hAnsi="Tahoma" w:cs="Tahoma"/>
          <w:sz w:val="24"/>
          <w:szCs w:val="24"/>
        </w:rPr>
        <w:t>45</w:t>
      </w:r>
      <w:r>
        <w:rPr>
          <w:rFonts w:ascii="Tahoma" w:hAnsi="Tahoma" w:cs="Tahoma"/>
          <w:sz w:val="24"/>
          <w:szCs w:val="24"/>
        </w:rPr>
        <w:t xml:space="preserve"> miliarde lei;</w:t>
      </w:r>
    </w:p>
    <w:p w:rsidR="00A914EC" w:rsidRDefault="00A914EC" w:rsidP="00C15AD8">
      <w:pPr>
        <w:spacing w:after="120" w:line="276" w:lineRule="auto"/>
        <w:ind w:left="1134" w:hanging="567"/>
        <w:rPr>
          <w:rFonts w:ascii="Tahoma" w:hAnsi="Tahoma" w:cs="Tahoma"/>
          <w:sz w:val="24"/>
          <w:szCs w:val="24"/>
        </w:rPr>
      </w:pPr>
      <w:r>
        <w:rPr>
          <w:rFonts w:ascii="Tahoma" w:hAnsi="Tahoma" w:cs="Tahoma"/>
          <w:sz w:val="24"/>
          <w:szCs w:val="24"/>
        </w:rPr>
        <w:t>●</w:t>
      </w:r>
      <w:r>
        <w:rPr>
          <w:rFonts w:ascii="Tahoma" w:hAnsi="Tahoma" w:cs="Tahoma"/>
          <w:sz w:val="24"/>
          <w:szCs w:val="24"/>
        </w:rPr>
        <w:tab/>
      </w:r>
      <w:r w:rsidR="00C15AD8" w:rsidRPr="00C15AD8">
        <w:rPr>
          <w:rFonts w:ascii="Tahoma" w:hAnsi="Tahoma" w:cs="Tahoma"/>
          <w:sz w:val="24"/>
          <w:szCs w:val="24"/>
        </w:rPr>
        <w:t xml:space="preserve">Reabilitarea liniei C.F. Frontiera - Curtici - Simeria, parte componenta a Coridorului IV Pan-European pentru </w:t>
      </w:r>
      <w:proofErr w:type="spellStart"/>
      <w:r w:rsidR="00C15AD8" w:rsidRPr="00C15AD8">
        <w:rPr>
          <w:rFonts w:ascii="Tahoma" w:hAnsi="Tahoma" w:cs="Tahoma"/>
          <w:sz w:val="24"/>
          <w:szCs w:val="24"/>
        </w:rPr>
        <w:t>circulatia</w:t>
      </w:r>
      <w:proofErr w:type="spellEnd"/>
      <w:r w:rsidR="00C15AD8" w:rsidRPr="00C15AD8">
        <w:rPr>
          <w:rFonts w:ascii="Tahoma" w:hAnsi="Tahoma" w:cs="Tahoma"/>
          <w:sz w:val="24"/>
          <w:szCs w:val="24"/>
        </w:rPr>
        <w:t xml:space="preserve"> trenurilor cu viteza maxima de 160 km/h; Tronsonul 2: km 614 - Gurasada si Tronsonul 3: Gurasada - Simeria – </w:t>
      </w:r>
      <w:r>
        <w:rPr>
          <w:rFonts w:ascii="Tahoma" w:hAnsi="Tahoma" w:cs="Tahoma"/>
          <w:sz w:val="24"/>
          <w:szCs w:val="24"/>
        </w:rPr>
        <w:t>0,</w:t>
      </w:r>
      <w:r w:rsidR="00C15AD8" w:rsidRPr="00C15AD8">
        <w:rPr>
          <w:rFonts w:ascii="Tahoma" w:hAnsi="Tahoma" w:cs="Tahoma"/>
          <w:sz w:val="24"/>
          <w:szCs w:val="24"/>
        </w:rPr>
        <w:t>28</w:t>
      </w:r>
      <w:r>
        <w:rPr>
          <w:rFonts w:ascii="Tahoma" w:hAnsi="Tahoma" w:cs="Tahoma"/>
          <w:sz w:val="24"/>
          <w:szCs w:val="24"/>
        </w:rPr>
        <w:t xml:space="preserve"> miliarde lei;</w:t>
      </w:r>
    </w:p>
    <w:p w:rsidR="00C15AD8" w:rsidRPr="00C15AD8" w:rsidRDefault="00A914EC" w:rsidP="00C15AD8">
      <w:pPr>
        <w:spacing w:after="120" w:line="276" w:lineRule="auto"/>
        <w:ind w:left="1134" w:hanging="567"/>
        <w:rPr>
          <w:rFonts w:ascii="Tahoma" w:hAnsi="Tahoma" w:cs="Tahoma"/>
          <w:sz w:val="24"/>
          <w:szCs w:val="24"/>
        </w:rPr>
      </w:pPr>
      <w:r>
        <w:rPr>
          <w:rFonts w:ascii="Tahoma" w:hAnsi="Tahoma" w:cs="Tahoma"/>
          <w:sz w:val="24"/>
          <w:szCs w:val="24"/>
        </w:rPr>
        <w:t>●</w:t>
      </w:r>
      <w:r>
        <w:rPr>
          <w:rFonts w:ascii="Tahoma" w:hAnsi="Tahoma" w:cs="Tahoma"/>
          <w:sz w:val="24"/>
          <w:szCs w:val="24"/>
        </w:rPr>
        <w:tab/>
      </w:r>
      <w:r w:rsidR="00C15AD8" w:rsidRPr="00C15AD8">
        <w:rPr>
          <w:rFonts w:ascii="Tahoma" w:hAnsi="Tahoma" w:cs="Tahoma"/>
          <w:sz w:val="24"/>
          <w:szCs w:val="24"/>
        </w:rPr>
        <w:t xml:space="preserve">Autostrada Buzău - Focșani – </w:t>
      </w:r>
      <w:r>
        <w:rPr>
          <w:rFonts w:ascii="Tahoma" w:hAnsi="Tahoma" w:cs="Tahoma"/>
          <w:sz w:val="24"/>
          <w:szCs w:val="24"/>
        </w:rPr>
        <w:t>0,</w:t>
      </w:r>
      <w:r w:rsidR="00C15AD8" w:rsidRPr="00C15AD8">
        <w:rPr>
          <w:rFonts w:ascii="Tahoma" w:hAnsi="Tahoma" w:cs="Tahoma"/>
          <w:sz w:val="24"/>
          <w:szCs w:val="24"/>
        </w:rPr>
        <w:t>2</w:t>
      </w:r>
      <w:r>
        <w:rPr>
          <w:rFonts w:ascii="Tahoma" w:hAnsi="Tahoma" w:cs="Tahoma"/>
          <w:sz w:val="24"/>
          <w:szCs w:val="24"/>
        </w:rPr>
        <w:t>8 miliarde lei;</w:t>
      </w:r>
    </w:p>
    <w:p w:rsidR="00C15AD8" w:rsidRPr="00C15AD8" w:rsidRDefault="00A914EC" w:rsidP="00C15AD8">
      <w:pPr>
        <w:spacing w:after="120" w:line="276" w:lineRule="auto"/>
        <w:ind w:left="1134" w:hanging="567"/>
        <w:rPr>
          <w:rFonts w:ascii="Tahoma" w:hAnsi="Tahoma" w:cs="Tahoma"/>
          <w:sz w:val="24"/>
          <w:szCs w:val="24"/>
        </w:rPr>
      </w:pPr>
      <w:r>
        <w:rPr>
          <w:rFonts w:ascii="Tahoma" w:hAnsi="Tahoma" w:cs="Tahoma"/>
          <w:sz w:val="24"/>
          <w:szCs w:val="24"/>
        </w:rPr>
        <w:t>●</w:t>
      </w:r>
      <w:r>
        <w:rPr>
          <w:rFonts w:ascii="Tahoma" w:hAnsi="Tahoma" w:cs="Tahoma"/>
          <w:sz w:val="24"/>
          <w:szCs w:val="24"/>
        </w:rPr>
        <w:tab/>
      </w:r>
      <w:r w:rsidR="00C15AD8" w:rsidRPr="00C15AD8">
        <w:rPr>
          <w:rFonts w:ascii="Tahoma" w:hAnsi="Tahoma" w:cs="Tahoma"/>
          <w:sz w:val="24"/>
          <w:szCs w:val="24"/>
        </w:rPr>
        <w:t xml:space="preserve">Electrificarea și reabilitarea liniei de cale ferată Cluj-Napoca - Oradea - Episcopia Bihor – </w:t>
      </w:r>
      <w:r w:rsidR="00E90A6B">
        <w:rPr>
          <w:rFonts w:ascii="Tahoma" w:hAnsi="Tahoma" w:cs="Tahoma"/>
          <w:sz w:val="24"/>
          <w:szCs w:val="24"/>
        </w:rPr>
        <w:t>0,17 miliarde lei;</w:t>
      </w:r>
    </w:p>
    <w:p w:rsidR="00C15AD8" w:rsidRPr="00C15AD8" w:rsidRDefault="00A914EC" w:rsidP="00C15AD8">
      <w:pPr>
        <w:spacing w:after="120" w:line="276" w:lineRule="auto"/>
        <w:ind w:left="1134" w:hanging="567"/>
        <w:rPr>
          <w:rFonts w:ascii="Tahoma" w:hAnsi="Tahoma" w:cs="Tahoma"/>
          <w:sz w:val="24"/>
          <w:szCs w:val="24"/>
        </w:rPr>
      </w:pPr>
      <w:r>
        <w:rPr>
          <w:rFonts w:ascii="Tahoma" w:hAnsi="Tahoma" w:cs="Tahoma"/>
          <w:sz w:val="24"/>
          <w:szCs w:val="24"/>
        </w:rPr>
        <w:t>●</w:t>
      </w:r>
      <w:r>
        <w:rPr>
          <w:rFonts w:ascii="Tahoma" w:hAnsi="Tahoma" w:cs="Tahoma"/>
          <w:sz w:val="24"/>
          <w:szCs w:val="24"/>
        </w:rPr>
        <w:tab/>
      </w:r>
      <w:r w:rsidR="00C15AD8" w:rsidRPr="00C15AD8">
        <w:rPr>
          <w:rFonts w:ascii="Tahoma" w:hAnsi="Tahoma" w:cs="Tahoma"/>
          <w:sz w:val="24"/>
          <w:szCs w:val="24"/>
        </w:rPr>
        <w:t xml:space="preserve">Autostrada Ploiești - Buzău – </w:t>
      </w:r>
      <w:r w:rsidR="00E90A6B">
        <w:rPr>
          <w:rFonts w:ascii="Tahoma" w:hAnsi="Tahoma" w:cs="Tahoma"/>
          <w:sz w:val="24"/>
          <w:szCs w:val="24"/>
        </w:rPr>
        <w:t>0,</w:t>
      </w:r>
      <w:r w:rsidR="00C15AD8" w:rsidRPr="00C15AD8">
        <w:rPr>
          <w:rFonts w:ascii="Tahoma" w:hAnsi="Tahoma" w:cs="Tahoma"/>
          <w:sz w:val="24"/>
          <w:szCs w:val="24"/>
        </w:rPr>
        <w:t>15</w:t>
      </w:r>
      <w:r w:rsidR="00E90A6B">
        <w:rPr>
          <w:rFonts w:ascii="Tahoma" w:hAnsi="Tahoma" w:cs="Tahoma"/>
          <w:sz w:val="24"/>
          <w:szCs w:val="24"/>
        </w:rPr>
        <w:t xml:space="preserve"> miliarde </w:t>
      </w:r>
      <w:r w:rsidR="00C15AD8" w:rsidRPr="00C15AD8">
        <w:rPr>
          <w:rFonts w:ascii="Tahoma" w:hAnsi="Tahoma" w:cs="Tahoma"/>
          <w:sz w:val="24"/>
          <w:szCs w:val="24"/>
        </w:rPr>
        <w:t>lei</w:t>
      </w:r>
      <w:r w:rsidR="00E90A6B">
        <w:rPr>
          <w:rFonts w:ascii="Tahoma" w:hAnsi="Tahoma" w:cs="Tahoma"/>
          <w:sz w:val="24"/>
          <w:szCs w:val="24"/>
        </w:rPr>
        <w:t>;</w:t>
      </w:r>
    </w:p>
    <w:p w:rsidR="00C15AD8" w:rsidRPr="00C15AD8" w:rsidRDefault="00A914EC" w:rsidP="00C15AD8">
      <w:pPr>
        <w:spacing w:after="120" w:line="276" w:lineRule="auto"/>
        <w:ind w:left="1134" w:hanging="567"/>
        <w:rPr>
          <w:rFonts w:ascii="Tahoma" w:hAnsi="Tahoma" w:cs="Tahoma"/>
          <w:sz w:val="24"/>
          <w:szCs w:val="24"/>
        </w:rPr>
      </w:pPr>
      <w:r>
        <w:rPr>
          <w:rFonts w:ascii="Tahoma" w:hAnsi="Tahoma" w:cs="Tahoma"/>
          <w:sz w:val="24"/>
          <w:szCs w:val="24"/>
        </w:rPr>
        <w:t>●</w:t>
      </w:r>
      <w:r>
        <w:rPr>
          <w:rFonts w:ascii="Tahoma" w:hAnsi="Tahoma" w:cs="Tahoma"/>
          <w:sz w:val="24"/>
          <w:szCs w:val="24"/>
        </w:rPr>
        <w:tab/>
      </w:r>
      <w:r w:rsidR="00C15AD8" w:rsidRPr="00C15AD8">
        <w:rPr>
          <w:rFonts w:ascii="Tahoma" w:hAnsi="Tahoma" w:cs="Tahoma"/>
          <w:sz w:val="24"/>
          <w:szCs w:val="24"/>
        </w:rPr>
        <w:t xml:space="preserve">Reabilitarea liniei de cale ferată Brașov-Simeria, </w:t>
      </w:r>
      <w:proofErr w:type="spellStart"/>
      <w:r w:rsidR="00C15AD8" w:rsidRPr="00C15AD8">
        <w:rPr>
          <w:rFonts w:ascii="Tahoma" w:hAnsi="Tahoma" w:cs="Tahoma"/>
          <w:sz w:val="24"/>
          <w:szCs w:val="24"/>
        </w:rPr>
        <w:t>componentã</w:t>
      </w:r>
      <w:proofErr w:type="spellEnd"/>
      <w:r w:rsidR="00C15AD8" w:rsidRPr="00C15AD8">
        <w:rPr>
          <w:rFonts w:ascii="Tahoma" w:hAnsi="Tahoma" w:cs="Tahoma"/>
          <w:sz w:val="24"/>
          <w:szCs w:val="24"/>
        </w:rPr>
        <w:t xml:space="preserve"> a Coridorului Rin-</w:t>
      </w:r>
      <w:proofErr w:type="spellStart"/>
      <w:r w:rsidR="00C15AD8" w:rsidRPr="00C15AD8">
        <w:rPr>
          <w:rFonts w:ascii="Tahoma" w:hAnsi="Tahoma" w:cs="Tahoma"/>
          <w:sz w:val="24"/>
          <w:szCs w:val="24"/>
        </w:rPr>
        <w:t>Dunare</w:t>
      </w:r>
      <w:proofErr w:type="spellEnd"/>
      <w:r w:rsidR="00C15AD8" w:rsidRPr="00C15AD8">
        <w:rPr>
          <w:rFonts w:ascii="Tahoma" w:hAnsi="Tahoma" w:cs="Tahoma"/>
          <w:sz w:val="24"/>
          <w:szCs w:val="24"/>
        </w:rPr>
        <w:t xml:space="preserve">, pentru circulația trenurilor cu viteza maximă de 160 km/h, tronsonul Brașov-Sighișoara – </w:t>
      </w:r>
      <w:r w:rsidR="00E90A6B">
        <w:rPr>
          <w:rFonts w:ascii="Tahoma" w:hAnsi="Tahoma" w:cs="Tahoma"/>
          <w:sz w:val="24"/>
          <w:szCs w:val="24"/>
        </w:rPr>
        <w:t>0,15 miliarde lei;</w:t>
      </w:r>
    </w:p>
    <w:p w:rsidR="00C15AD8" w:rsidRPr="00C15AD8" w:rsidRDefault="00A914EC" w:rsidP="00C15AD8">
      <w:pPr>
        <w:spacing w:after="120" w:line="276" w:lineRule="auto"/>
        <w:ind w:left="1134" w:hanging="567"/>
        <w:rPr>
          <w:rFonts w:ascii="Tahoma" w:hAnsi="Tahoma" w:cs="Tahoma"/>
          <w:sz w:val="24"/>
          <w:szCs w:val="24"/>
        </w:rPr>
      </w:pPr>
      <w:r>
        <w:rPr>
          <w:rFonts w:ascii="Tahoma" w:hAnsi="Tahoma" w:cs="Tahoma"/>
          <w:sz w:val="24"/>
          <w:szCs w:val="24"/>
        </w:rPr>
        <w:t>●</w:t>
      </w:r>
      <w:r>
        <w:rPr>
          <w:rFonts w:ascii="Tahoma" w:hAnsi="Tahoma" w:cs="Tahoma"/>
          <w:sz w:val="24"/>
          <w:szCs w:val="24"/>
        </w:rPr>
        <w:tab/>
      </w:r>
      <w:r w:rsidR="00C15AD8" w:rsidRPr="00C15AD8">
        <w:rPr>
          <w:rFonts w:ascii="Tahoma" w:hAnsi="Tahoma" w:cs="Tahoma"/>
          <w:sz w:val="24"/>
          <w:szCs w:val="24"/>
        </w:rPr>
        <w:t xml:space="preserve">Modernizarea liniei feroviare Caransebeș - Timișoara - Arad – </w:t>
      </w:r>
      <w:r w:rsidR="00E90A6B">
        <w:rPr>
          <w:rFonts w:ascii="Tahoma" w:hAnsi="Tahoma" w:cs="Tahoma"/>
          <w:sz w:val="24"/>
          <w:szCs w:val="24"/>
        </w:rPr>
        <w:t>0,12 miliarde lei;</w:t>
      </w:r>
    </w:p>
    <w:p w:rsidR="00C15AD8" w:rsidRPr="00C15AD8" w:rsidRDefault="00A914EC" w:rsidP="00C15AD8">
      <w:pPr>
        <w:spacing w:after="120" w:line="276" w:lineRule="auto"/>
        <w:ind w:left="1134" w:hanging="567"/>
        <w:rPr>
          <w:rFonts w:ascii="Tahoma" w:hAnsi="Tahoma" w:cs="Tahoma"/>
          <w:sz w:val="24"/>
          <w:szCs w:val="24"/>
        </w:rPr>
      </w:pPr>
      <w:r>
        <w:rPr>
          <w:rFonts w:ascii="Tahoma" w:hAnsi="Tahoma" w:cs="Tahoma"/>
          <w:sz w:val="24"/>
          <w:szCs w:val="24"/>
        </w:rPr>
        <w:t>●</w:t>
      </w:r>
      <w:r>
        <w:rPr>
          <w:rFonts w:ascii="Tahoma" w:hAnsi="Tahoma" w:cs="Tahoma"/>
          <w:sz w:val="24"/>
          <w:szCs w:val="24"/>
        </w:rPr>
        <w:tab/>
      </w:r>
      <w:r w:rsidR="00C15AD8" w:rsidRPr="00C15AD8">
        <w:rPr>
          <w:rFonts w:ascii="Tahoma" w:hAnsi="Tahoma" w:cs="Tahoma"/>
          <w:sz w:val="24"/>
          <w:szCs w:val="24"/>
        </w:rPr>
        <w:t xml:space="preserve">Lărgire la 4 benzi Centura București Sud între A2 km 23+600 și A1 km 55+520 – </w:t>
      </w:r>
      <w:r w:rsidR="00E90A6B">
        <w:rPr>
          <w:rFonts w:ascii="Tahoma" w:hAnsi="Tahoma" w:cs="Tahoma"/>
          <w:sz w:val="24"/>
          <w:szCs w:val="24"/>
        </w:rPr>
        <w:t>0,09 miliarde lei;</w:t>
      </w:r>
    </w:p>
    <w:p w:rsidR="00C15AD8" w:rsidRPr="00C15AD8" w:rsidRDefault="00A914EC" w:rsidP="00C15AD8">
      <w:pPr>
        <w:spacing w:after="120" w:line="276" w:lineRule="auto"/>
        <w:ind w:left="1134" w:hanging="567"/>
        <w:rPr>
          <w:rFonts w:ascii="Tahoma" w:hAnsi="Tahoma" w:cs="Tahoma"/>
          <w:sz w:val="24"/>
          <w:szCs w:val="24"/>
        </w:rPr>
      </w:pPr>
      <w:r>
        <w:rPr>
          <w:rFonts w:ascii="Tahoma" w:hAnsi="Tahoma" w:cs="Tahoma"/>
          <w:sz w:val="24"/>
          <w:szCs w:val="24"/>
        </w:rPr>
        <w:t>●</w:t>
      </w:r>
      <w:r>
        <w:rPr>
          <w:rFonts w:ascii="Tahoma" w:hAnsi="Tahoma" w:cs="Tahoma"/>
          <w:sz w:val="24"/>
          <w:szCs w:val="24"/>
        </w:rPr>
        <w:tab/>
      </w:r>
      <w:r w:rsidR="00C15AD8" w:rsidRPr="00C15AD8">
        <w:rPr>
          <w:rFonts w:ascii="Tahoma" w:hAnsi="Tahoma" w:cs="Tahoma"/>
          <w:sz w:val="24"/>
          <w:szCs w:val="24"/>
        </w:rPr>
        <w:t xml:space="preserve">Drum expres Craiova Pitești și legăturile la drumurile existente – </w:t>
      </w:r>
      <w:r w:rsidR="00E90A6B">
        <w:rPr>
          <w:rFonts w:ascii="Tahoma" w:hAnsi="Tahoma" w:cs="Tahoma"/>
          <w:sz w:val="24"/>
          <w:szCs w:val="24"/>
        </w:rPr>
        <w:t>0,06 miliarde lei;</w:t>
      </w:r>
    </w:p>
    <w:p w:rsidR="00C15AD8" w:rsidRPr="00C15AD8" w:rsidRDefault="00A914EC" w:rsidP="00C15AD8">
      <w:pPr>
        <w:spacing w:after="120" w:line="276" w:lineRule="auto"/>
        <w:ind w:left="1134" w:hanging="567"/>
        <w:rPr>
          <w:rFonts w:ascii="Tahoma" w:hAnsi="Tahoma" w:cs="Tahoma"/>
          <w:sz w:val="24"/>
          <w:szCs w:val="24"/>
        </w:rPr>
      </w:pPr>
      <w:r>
        <w:rPr>
          <w:rFonts w:ascii="Tahoma" w:hAnsi="Tahoma" w:cs="Tahoma"/>
          <w:sz w:val="24"/>
          <w:szCs w:val="24"/>
        </w:rPr>
        <w:t>●</w:t>
      </w:r>
      <w:r>
        <w:rPr>
          <w:rFonts w:ascii="Tahoma" w:hAnsi="Tahoma" w:cs="Tahoma"/>
          <w:sz w:val="24"/>
          <w:szCs w:val="24"/>
        </w:rPr>
        <w:tab/>
      </w:r>
      <w:r w:rsidR="00C15AD8" w:rsidRPr="00C15AD8">
        <w:rPr>
          <w:rFonts w:ascii="Tahoma" w:hAnsi="Tahoma" w:cs="Tahoma"/>
          <w:sz w:val="24"/>
          <w:szCs w:val="24"/>
        </w:rPr>
        <w:t xml:space="preserve">Autostrada Sebeș - Turda – </w:t>
      </w:r>
      <w:r w:rsidR="00E85279">
        <w:rPr>
          <w:rFonts w:ascii="Tahoma" w:hAnsi="Tahoma" w:cs="Tahoma"/>
          <w:sz w:val="24"/>
          <w:szCs w:val="24"/>
        </w:rPr>
        <w:t>0,05 miliarde lei;</w:t>
      </w:r>
    </w:p>
    <w:p w:rsidR="00C15AD8" w:rsidRPr="00C15AD8" w:rsidRDefault="00A914EC" w:rsidP="00C15AD8">
      <w:pPr>
        <w:spacing w:after="120" w:line="276" w:lineRule="auto"/>
        <w:ind w:left="1134" w:hanging="567"/>
        <w:rPr>
          <w:rFonts w:ascii="Tahoma" w:hAnsi="Tahoma" w:cs="Tahoma"/>
          <w:sz w:val="24"/>
          <w:szCs w:val="24"/>
        </w:rPr>
      </w:pPr>
      <w:r>
        <w:rPr>
          <w:rFonts w:ascii="Tahoma" w:hAnsi="Tahoma" w:cs="Tahoma"/>
          <w:sz w:val="24"/>
          <w:szCs w:val="24"/>
        </w:rPr>
        <w:t>●</w:t>
      </w:r>
      <w:r>
        <w:rPr>
          <w:rFonts w:ascii="Tahoma" w:hAnsi="Tahoma" w:cs="Tahoma"/>
          <w:sz w:val="24"/>
          <w:szCs w:val="24"/>
        </w:rPr>
        <w:tab/>
      </w:r>
      <w:r w:rsidR="00C15AD8" w:rsidRPr="00C15AD8">
        <w:rPr>
          <w:rFonts w:ascii="Tahoma" w:hAnsi="Tahoma" w:cs="Tahoma"/>
          <w:sz w:val="24"/>
          <w:szCs w:val="24"/>
        </w:rPr>
        <w:t xml:space="preserve">Varianta de ocolire Târgu Jiu – </w:t>
      </w:r>
      <w:r w:rsidR="00E85279">
        <w:rPr>
          <w:rFonts w:ascii="Tahoma" w:hAnsi="Tahoma" w:cs="Tahoma"/>
          <w:sz w:val="24"/>
          <w:szCs w:val="24"/>
        </w:rPr>
        <w:t>0,05 miliarde lei;</w:t>
      </w:r>
    </w:p>
    <w:p w:rsidR="00C15AD8" w:rsidRPr="00C15AD8" w:rsidRDefault="00A914EC" w:rsidP="00C15AD8">
      <w:pPr>
        <w:spacing w:after="120" w:line="276" w:lineRule="auto"/>
        <w:ind w:left="1134" w:hanging="567"/>
        <w:rPr>
          <w:rFonts w:ascii="Tahoma" w:hAnsi="Tahoma" w:cs="Tahoma"/>
          <w:sz w:val="24"/>
          <w:szCs w:val="24"/>
        </w:rPr>
      </w:pPr>
      <w:r>
        <w:rPr>
          <w:rFonts w:ascii="Tahoma" w:hAnsi="Tahoma" w:cs="Tahoma"/>
          <w:sz w:val="24"/>
          <w:szCs w:val="24"/>
        </w:rPr>
        <w:t>●</w:t>
      </w:r>
      <w:r>
        <w:rPr>
          <w:rFonts w:ascii="Tahoma" w:hAnsi="Tahoma" w:cs="Tahoma"/>
          <w:sz w:val="24"/>
          <w:szCs w:val="24"/>
        </w:rPr>
        <w:tab/>
      </w:r>
      <w:r w:rsidR="00C15AD8" w:rsidRPr="00C15AD8">
        <w:rPr>
          <w:rFonts w:ascii="Tahoma" w:hAnsi="Tahoma" w:cs="Tahoma"/>
          <w:sz w:val="24"/>
          <w:szCs w:val="24"/>
        </w:rPr>
        <w:t xml:space="preserve">Varianta de ocolire a municipiului Sfântu Gheorghe – </w:t>
      </w:r>
      <w:r w:rsidR="00E85279">
        <w:rPr>
          <w:rFonts w:ascii="Tahoma" w:hAnsi="Tahoma" w:cs="Tahoma"/>
          <w:sz w:val="24"/>
          <w:szCs w:val="24"/>
        </w:rPr>
        <w:t>0,04 miliarde lei;</w:t>
      </w:r>
    </w:p>
    <w:p w:rsidR="00C15AD8" w:rsidRPr="00C15AD8" w:rsidRDefault="00A914EC" w:rsidP="00C15AD8">
      <w:pPr>
        <w:spacing w:after="120" w:line="276" w:lineRule="auto"/>
        <w:ind w:left="1134" w:hanging="567"/>
        <w:rPr>
          <w:rFonts w:ascii="Tahoma" w:hAnsi="Tahoma" w:cs="Tahoma"/>
          <w:sz w:val="24"/>
          <w:szCs w:val="24"/>
        </w:rPr>
      </w:pPr>
      <w:r>
        <w:rPr>
          <w:rFonts w:ascii="Tahoma" w:hAnsi="Tahoma" w:cs="Tahoma"/>
          <w:sz w:val="24"/>
          <w:szCs w:val="24"/>
        </w:rPr>
        <w:t>●</w:t>
      </w:r>
      <w:r>
        <w:rPr>
          <w:rFonts w:ascii="Tahoma" w:hAnsi="Tahoma" w:cs="Tahoma"/>
          <w:sz w:val="24"/>
          <w:szCs w:val="24"/>
        </w:rPr>
        <w:tab/>
      </w:r>
      <w:r w:rsidR="00C15AD8" w:rsidRPr="00C15AD8">
        <w:rPr>
          <w:rFonts w:ascii="Tahoma" w:hAnsi="Tahoma" w:cs="Tahoma"/>
          <w:sz w:val="24"/>
          <w:szCs w:val="24"/>
        </w:rPr>
        <w:t xml:space="preserve">Varianta de ocolire a municipiului Satu Mare – </w:t>
      </w:r>
      <w:r w:rsidR="00E85279" w:rsidRPr="00E85279">
        <w:rPr>
          <w:rFonts w:ascii="Tahoma" w:hAnsi="Tahoma" w:cs="Tahoma"/>
          <w:sz w:val="24"/>
          <w:szCs w:val="24"/>
        </w:rPr>
        <w:t>0,04 miliarde lei;</w:t>
      </w:r>
    </w:p>
    <w:p w:rsidR="00E85279" w:rsidRDefault="00A914EC" w:rsidP="00C15AD8">
      <w:pPr>
        <w:spacing w:after="120" w:line="276" w:lineRule="auto"/>
        <w:ind w:left="1134" w:hanging="567"/>
        <w:rPr>
          <w:rFonts w:ascii="Tahoma" w:hAnsi="Tahoma" w:cs="Tahoma"/>
          <w:sz w:val="24"/>
          <w:szCs w:val="24"/>
        </w:rPr>
      </w:pPr>
      <w:r>
        <w:rPr>
          <w:rFonts w:ascii="Tahoma" w:hAnsi="Tahoma" w:cs="Tahoma"/>
          <w:sz w:val="24"/>
          <w:szCs w:val="24"/>
        </w:rPr>
        <w:t>●</w:t>
      </w:r>
      <w:r>
        <w:rPr>
          <w:rFonts w:ascii="Tahoma" w:hAnsi="Tahoma" w:cs="Tahoma"/>
          <w:sz w:val="24"/>
          <w:szCs w:val="24"/>
        </w:rPr>
        <w:tab/>
      </w:r>
      <w:r w:rsidR="00C15AD8" w:rsidRPr="00C15AD8">
        <w:rPr>
          <w:rFonts w:ascii="Tahoma" w:hAnsi="Tahoma" w:cs="Tahoma"/>
          <w:sz w:val="24"/>
          <w:szCs w:val="24"/>
        </w:rPr>
        <w:t xml:space="preserve">Pasaj denivelat superior pe DN 21 km 105+500 – </w:t>
      </w:r>
      <w:r w:rsidR="00E85279" w:rsidRPr="00E85279">
        <w:rPr>
          <w:rFonts w:ascii="Tahoma" w:hAnsi="Tahoma" w:cs="Tahoma"/>
          <w:sz w:val="24"/>
          <w:szCs w:val="24"/>
        </w:rPr>
        <w:t>0,04 miliarde lei;</w:t>
      </w:r>
    </w:p>
    <w:p w:rsidR="00C15AD8" w:rsidRPr="00C15AD8" w:rsidRDefault="00A914EC" w:rsidP="00C15AD8">
      <w:pPr>
        <w:spacing w:after="120" w:line="276" w:lineRule="auto"/>
        <w:ind w:left="1134" w:hanging="567"/>
        <w:rPr>
          <w:rFonts w:ascii="Tahoma" w:hAnsi="Tahoma" w:cs="Tahoma"/>
          <w:sz w:val="24"/>
          <w:szCs w:val="24"/>
        </w:rPr>
      </w:pPr>
      <w:r>
        <w:rPr>
          <w:rFonts w:ascii="Tahoma" w:hAnsi="Tahoma" w:cs="Tahoma"/>
          <w:sz w:val="24"/>
          <w:szCs w:val="24"/>
        </w:rPr>
        <w:t>●</w:t>
      </w:r>
      <w:r>
        <w:rPr>
          <w:rFonts w:ascii="Tahoma" w:hAnsi="Tahoma" w:cs="Tahoma"/>
          <w:sz w:val="24"/>
          <w:szCs w:val="24"/>
        </w:rPr>
        <w:tab/>
      </w:r>
      <w:r w:rsidR="00C15AD8" w:rsidRPr="00C15AD8">
        <w:rPr>
          <w:rFonts w:ascii="Tahoma" w:hAnsi="Tahoma" w:cs="Tahoma"/>
          <w:sz w:val="24"/>
          <w:szCs w:val="24"/>
        </w:rPr>
        <w:t xml:space="preserve">Modernizare DN 29D Botoșani - </w:t>
      </w:r>
      <w:proofErr w:type="spellStart"/>
      <w:r w:rsidR="00C15AD8" w:rsidRPr="00C15AD8">
        <w:rPr>
          <w:rFonts w:ascii="Tahoma" w:hAnsi="Tahoma" w:cs="Tahoma"/>
          <w:sz w:val="24"/>
          <w:szCs w:val="24"/>
        </w:rPr>
        <w:t>Ștefanești</w:t>
      </w:r>
      <w:proofErr w:type="spellEnd"/>
      <w:r w:rsidR="00C15AD8" w:rsidRPr="00C15AD8">
        <w:rPr>
          <w:rFonts w:ascii="Tahoma" w:hAnsi="Tahoma" w:cs="Tahoma"/>
          <w:sz w:val="24"/>
          <w:szCs w:val="24"/>
        </w:rPr>
        <w:t xml:space="preserve">, km 2+800 - km 18+500 si km 21+800 - km 48+146 – </w:t>
      </w:r>
      <w:r w:rsidR="00E85279">
        <w:rPr>
          <w:rFonts w:ascii="Tahoma" w:hAnsi="Tahoma" w:cs="Tahoma"/>
          <w:sz w:val="24"/>
          <w:szCs w:val="24"/>
        </w:rPr>
        <w:t>0,03 miliarde lei;</w:t>
      </w:r>
    </w:p>
    <w:p w:rsidR="00E85279" w:rsidRPr="00E85279" w:rsidRDefault="00A914EC" w:rsidP="00E85279">
      <w:pPr>
        <w:spacing w:after="120" w:line="276" w:lineRule="auto"/>
        <w:ind w:left="1134" w:hanging="567"/>
        <w:rPr>
          <w:rFonts w:ascii="Tahoma" w:hAnsi="Tahoma" w:cs="Tahoma"/>
          <w:sz w:val="24"/>
          <w:szCs w:val="24"/>
        </w:rPr>
      </w:pPr>
      <w:r>
        <w:rPr>
          <w:rFonts w:ascii="Tahoma" w:hAnsi="Tahoma" w:cs="Tahoma"/>
          <w:sz w:val="24"/>
          <w:szCs w:val="24"/>
        </w:rPr>
        <w:t>●</w:t>
      </w:r>
      <w:r>
        <w:rPr>
          <w:rFonts w:ascii="Tahoma" w:hAnsi="Tahoma" w:cs="Tahoma"/>
          <w:sz w:val="24"/>
          <w:szCs w:val="24"/>
        </w:rPr>
        <w:tab/>
      </w:r>
      <w:r w:rsidR="00C15AD8" w:rsidRPr="00C15AD8">
        <w:rPr>
          <w:rFonts w:ascii="Tahoma" w:hAnsi="Tahoma" w:cs="Tahoma"/>
          <w:sz w:val="24"/>
          <w:szCs w:val="24"/>
        </w:rPr>
        <w:t xml:space="preserve">Modernizare DN 2L Soveja - Lepșa km 60+145 - km 76+277 – </w:t>
      </w:r>
      <w:r w:rsidR="00E85279">
        <w:rPr>
          <w:rFonts w:ascii="Tahoma" w:hAnsi="Tahoma" w:cs="Tahoma"/>
          <w:sz w:val="24"/>
          <w:szCs w:val="24"/>
        </w:rPr>
        <w:t>0,03 miliarde lei.</w:t>
      </w:r>
    </w:p>
    <w:p w:rsidR="009A693D" w:rsidRDefault="00045D55" w:rsidP="00243F7D">
      <w:pPr>
        <w:spacing w:after="120" w:line="276" w:lineRule="auto"/>
        <w:ind w:left="1134" w:hanging="1134"/>
        <w:rPr>
          <w:noProof/>
          <w:lang w:val="en-US"/>
        </w:rPr>
      </w:pPr>
      <w:r>
        <w:rPr>
          <w:noProof/>
          <w:lang w:val="en-US"/>
        </w:rPr>
        <w:object w:dxaOrig="7335" w:dyaOrig="8040">
          <v:shape id="_x0000_i1034" type="#_x0000_t75" style="width:447.8pt;height:272.95pt" o:ole="">
            <v:imagedata r:id="rId22" o:title=""/>
          </v:shape>
          <o:OLEObject Type="Link" ProgID="Excel.Sheet.8" ShapeID="_x0000_i1034" DrawAspect="Content" r:id="rId23" UpdateMode="Always">
            <o:LinkType>EnhancedMetaFile</o:LinkType>
            <o:LockedField>false</o:LockedField>
          </o:OLEObject>
        </w:object>
      </w:r>
      <w:bookmarkStart w:id="22" w:name="_GoBack"/>
      <w:bookmarkEnd w:id="22"/>
    </w:p>
    <w:p w:rsidR="009A693D" w:rsidRDefault="004D6D76" w:rsidP="009A693D">
      <w:pPr>
        <w:spacing w:before="360" w:after="240" w:line="276" w:lineRule="auto"/>
        <w:ind w:firstLine="0"/>
        <w:rPr>
          <w:noProof/>
          <w:lang w:val="en-US"/>
        </w:rPr>
      </w:pPr>
      <w:r w:rsidRPr="007403CD">
        <w:rPr>
          <w:rFonts w:ascii="Tahoma" w:hAnsi="Tahoma" w:cs="Tahoma"/>
          <w:b/>
          <w:sz w:val="24"/>
          <w:szCs w:val="24"/>
        </w:rPr>
        <w:t>Stocul plăților restante</w:t>
      </w:r>
      <w:r w:rsidRPr="007403CD">
        <w:rPr>
          <w:rFonts w:ascii="Tahoma" w:hAnsi="Tahoma" w:cs="Tahoma"/>
          <w:sz w:val="24"/>
          <w:szCs w:val="24"/>
        </w:rPr>
        <w:t xml:space="preserve"> raportate la data de 30 iunie 20</w:t>
      </w:r>
      <w:r w:rsidR="00F326AB" w:rsidRPr="007403CD">
        <w:rPr>
          <w:rFonts w:ascii="Tahoma" w:hAnsi="Tahoma" w:cs="Tahoma"/>
          <w:sz w:val="24"/>
          <w:szCs w:val="24"/>
        </w:rPr>
        <w:t>2</w:t>
      </w:r>
      <w:r w:rsidR="00926188">
        <w:rPr>
          <w:rFonts w:ascii="Tahoma" w:hAnsi="Tahoma" w:cs="Tahoma"/>
          <w:sz w:val="24"/>
          <w:szCs w:val="24"/>
        </w:rPr>
        <w:t>3</w:t>
      </w:r>
      <w:r w:rsidRPr="007403CD">
        <w:rPr>
          <w:rFonts w:ascii="Tahoma" w:hAnsi="Tahoma" w:cs="Tahoma"/>
          <w:sz w:val="24"/>
          <w:szCs w:val="24"/>
        </w:rPr>
        <w:t xml:space="preserve"> a fost în sumă totală de </w:t>
      </w:r>
      <w:r w:rsidR="003F3604" w:rsidRPr="007403CD">
        <w:rPr>
          <w:rFonts w:ascii="Tahoma" w:hAnsi="Tahoma" w:cs="Tahoma"/>
          <w:sz w:val="24"/>
          <w:szCs w:val="24"/>
        </w:rPr>
        <w:t>1.</w:t>
      </w:r>
      <w:r w:rsidR="00100F91">
        <w:rPr>
          <w:rFonts w:ascii="Tahoma" w:hAnsi="Tahoma" w:cs="Tahoma"/>
          <w:sz w:val="24"/>
          <w:szCs w:val="24"/>
        </w:rPr>
        <w:t>915,1</w:t>
      </w:r>
      <w:r w:rsidRPr="007403CD">
        <w:rPr>
          <w:rFonts w:ascii="Tahoma" w:hAnsi="Tahoma" w:cs="Tahoma"/>
          <w:sz w:val="24"/>
          <w:szCs w:val="24"/>
        </w:rPr>
        <w:t xml:space="preserve"> milioane </w:t>
      </w:r>
      <w:r w:rsidR="003A634F">
        <w:rPr>
          <w:rFonts w:ascii="Tahoma" w:hAnsi="Tahoma" w:cs="Tahoma"/>
          <w:sz w:val="24"/>
          <w:szCs w:val="24"/>
        </w:rPr>
        <w:t>lei</w:t>
      </w:r>
      <w:r w:rsidRPr="007403CD">
        <w:rPr>
          <w:rFonts w:ascii="Tahoma" w:hAnsi="Tahoma" w:cs="Tahoma"/>
          <w:sz w:val="24"/>
          <w:szCs w:val="24"/>
        </w:rPr>
        <w:t xml:space="preserve">, cu </w:t>
      </w:r>
      <w:r w:rsidR="00100F91">
        <w:rPr>
          <w:rFonts w:ascii="Tahoma" w:hAnsi="Tahoma" w:cs="Tahoma"/>
          <w:sz w:val="24"/>
          <w:szCs w:val="24"/>
        </w:rPr>
        <w:t>59,7</w:t>
      </w:r>
      <w:r w:rsidRPr="007403CD">
        <w:rPr>
          <w:rFonts w:ascii="Tahoma" w:hAnsi="Tahoma" w:cs="Tahoma"/>
          <w:sz w:val="24"/>
          <w:szCs w:val="24"/>
        </w:rPr>
        <w:t xml:space="preserve">% </w:t>
      </w:r>
      <w:r w:rsidR="00100F91">
        <w:rPr>
          <w:rFonts w:ascii="Tahoma" w:hAnsi="Tahoma" w:cs="Tahoma"/>
          <w:sz w:val="24"/>
          <w:szCs w:val="24"/>
        </w:rPr>
        <w:t>peste</w:t>
      </w:r>
      <w:r w:rsidRPr="007403CD">
        <w:rPr>
          <w:rFonts w:ascii="Tahoma" w:hAnsi="Tahoma" w:cs="Tahoma"/>
          <w:sz w:val="24"/>
          <w:szCs w:val="24"/>
        </w:rPr>
        <w:t xml:space="preserve"> nivelul înregistrat la data de 30 iunie 20</w:t>
      </w:r>
      <w:r w:rsidR="007414A5" w:rsidRPr="007403CD">
        <w:rPr>
          <w:rFonts w:ascii="Tahoma" w:hAnsi="Tahoma" w:cs="Tahoma"/>
          <w:sz w:val="24"/>
          <w:szCs w:val="24"/>
        </w:rPr>
        <w:t>2</w:t>
      </w:r>
      <w:r w:rsidR="00100F91">
        <w:rPr>
          <w:rFonts w:ascii="Tahoma" w:hAnsi="Tahoma" w:cs="Tahoma"/>
          <w:sz w:val="24"/>
          <w:szCs w:val="24"/>
        </w:rPr>
        <w:t>2</w:t>
      </w:r>
      <w:r w:rsidRPr="007403CD">
        <w:rPr>
          <w:rFonts w:ascii="Tahoma" w:hAnsi="Tahoma" w:cs="Tahoma"/>
          <w:sz w:val="24"/>
          <w:szCs w:val="24"/>
        </w:rPr>
        <w:t xml:space="preserve">, pe fondul </w:t>
      </w:r>
      <w:r w:rsidR="00926188">
        <w:rPr>
          <w:rFonts w:ascii="Tahoma" w:hAnsi="Tahoma" w:cs="Tahoma"/>
          <w:sz w:val="24"/>
          <w:szCs w:val="24"/>
        </w:rPr>
        <w:t>creșterii</w:t>
      </w:r>
      <w:r w:rsidRPr="007403CD">
        <w:rPr>
          <w:rFonts w:ascii="Tahoma" w:hAnsi="Tahoma" w:cs="Tahoma"/>
          <w:sz w:val="24"/>
          <w:szCs w:val="24"/>
        </w:rPr>
        <w:t xml:space="preserve"> plăților restante în administrația locală cu </w:t>
      </w:r>
      <w:r w:rsidR="00926188">
        <w:rPr>
          <w:rFonts w:ascii="Tahoma" w:hAnsi="Tahoma" w:cs="Tahoma"/>
          <w:sz w:val="24"/>
          <w:szCs w:val="24"/>
        </w:rPr>
        <w:t>39</w:t>
      </w:r>
      <w:r w:rsidR="003F3604" w:rsidRPr="007403CD">
        <w:rPr>
          <w:rFonts w:ascii="Tahoma" w:hAnsi="Tahoma" w:cs="Tahoma"/>
          <w:sz w:val="24"/>
          <w:szCs w:val="24"/>
        </w:rPr>
        <w:t>,7</w:t>
      </w:r>
      <w:r w:rsidRPr="007403CD">
        <w:rPr>
          <w:rFonts w:ascii="Tahoma" w:hAnsi="Tahoma" w:cs="Tahoma"/>
          <w:sz w:val="24"/>
          <w:szCs w:val="24"/>
        </w:rPr>
        <w:t>%</w:t>
      </w:r>
      <w:r w:rsidR="00926188">
        <w:rPr>
          <w:rFonts w:ascii="Tahoma" w:hAnsi="Tahoma" w:cs="Tahoma"/>
          <w:sz w:val="24"/>
          <w:szCs w:val="24"/>
        </w:rPr>
        <w:t>(+400,9 milioane lei),</w:t>
      </w:r>
      <w:r w:rsidR="003F3604" w:rsidRPr="007403CD">
        <w:rPr>
          <w:rFonts w:ascii="Tahoma" w:hAnsi="Tahoma" w:cs="Tahoma"/>
          <w:sz w:val="24"/>
          <w:szCs w:val="24"/>
        </w:rPr>
        <w:t xml:space="preserve"> </w:t>
      </w:r>
      <w:r w:rsidR="00926188">
        <w:rPr>
          <w:rFonts w:ascii="Tahoma" w:hAnsi="Tahoma" w:cs="Tahoma"/>
          <w:sz w:val="24"/>
          <w:szCs w:val="24"/>
        </w:rPr>
        <w:t>l</w:t>
      </w:r>
      <w:r w:rsidR="00926188" w:rsidRPr="007403CD">
        <w:rPr>
          <w:rFonts w:ascii="Tahoma" w:hAnsi="Tahoma" w:cs="Tahoma"/>
          <w:sz w:val="24"/>
          <w:szCs w:val="24"/>
        </w:rPr>
        <w:t>a nivelul administrației centrale</w:t>
      </w:r>
      <w:r w:rsidR="00926188">
        <w:rPr>
          <w:rFonts w:ascii="Tahoma" w:hAnsi="Tahoma" w:cs="Tahoma"/>
          <w:sz w:val="24"/>
          <w:szCs w:val="24"/>
        </w:rPr>
        <w:t xml:space="preserve"> cu 99,9%(+180,8 milioane lei)</w:t>
      </w:r>
      <w:r w:rsidR="00926188" w:rsidRPr="007403CD">
        <w:rPr>
          <w:rFonts w:ascii="Tahoma" w:hAnsi="Tahoma" w:cs="Tahoma"/>
          <w:sz w:val="24"/>
          <w:szCs w:val="24"/>
        </w:rPr>
        <w:t xml:space="preserve"> </w:t>
      </w:r>
      <w:r w:rsidR="003F3604" w:rsidRPr="007403CD">
        <w:rPr>
          <w:rFonts w:ascii="Tahoma" w:hAnsi="Tahoma" w:cs="Tahoma"/>
          <w:sz w:val="24"/>
          <w:szCs w:val="24"/>
        </w:rPr>
        <w:t xml:space="preserve">și la nivelul bugetului asigurărilor sociale cu </w:t>
      </w:r>
      <w:r w:rsidR="00926188">
        <w:rPr>
          <w:rFonts w:ascii="Tahoma" w:hAnsi="Tahoma" w:cs="Tahoma"/>
          <w:sz w:val="24"/>
          <w:szCs w:val="24"/>
        </w:rPr>
        <w:t>133,9 milioane lei</w:t>
      </w:r>
      <w:r w:rsidR="003F3604" w:rsidRPr="007403CD">
        <w:rPr>
          <w:rFonts w:ascii="Tahoma" w:hAnsi="Tahoma" w:cs="Tahoma"/>
          <w:sz w:val="24"/>
          <w:szCs w:val="24"/>
        </w:rPr>
        <w:t>.</w:t>
      </w:r>
      <w:r w:rsidR="00C068A6" w:rsidRPr="00C068A6">
        <w:rPr>
          <w:rFonts w:ascii="Tahoma" w:hAnsi="Tahoma" w:cs="Tahoma"/>
          <w:sz w:val="24"/>
          <w:szCs w:val="24"/>
        </w:rPr>
        <w:t xml:space="preserve"> </w:t>
      </w:r>
      <w:r w:rsidR="00C068A6">
        <w:rPr>
          <w:rFonts w:ascii="Tahoma" w:hAnsi="Tahoma" w:cs="Tahoma"/>
          <w:sz w:val="24"/>
          <w:szCs w:val="24"/>
        </w:rPr>
        <w:t>Plățile restante</w:t>
      </w:r>
      <w:r w:rsidR="00C068A6" w:rsidRPr="00C068A6">
        <w:rPr>
          <w:rFonts w:ascii="Tahoma" w:hAnsi="Tahoma" w:cs="Tahoma"/>
          <w:sz w:val="24"/>
          <w:szCs w:val="24"/>
        </w:rPr>
        <w:t xml:space="preserve"> din administrația locală au reprezentat </w:t>
      </w:r>
      <w:r w:rsidR="00C068A6">
        <w:rPr>
          <w:rFonts w:ascii="Tahoma" w:hAnsi="Tahoma" w:cs="Tahoma"/>
          <w:sz w:val="24"/>
          <w:szCs w:val="24"/>
        </w:rPr>
        <w:t>73,7</w:t>
      </w:r>
      <w:r w:rsidR="00C068A6" w:rsidRPr="00C068A6">
        <w:rPr>
          <w:rFonts w:ascii="Tahoma" w:hAnsi="Tahoma" w:cs="Tahoma"/>
          <w:sz w:val="24"/>
          <w:szCs w:val="24"/>
        </w:rPr>
        <w:t xml:space="preserve">% din totalul </w:t>
      </w:r>
      <w:r w:rsidR="00C068A6">
        <w:rPr>
          <w:rFonts w:ascii="Tahoma" w:hAnsi="Tahoma" w:cs="Tahoma"/>
          <w:sz w:val="24"/>
          <w:szCs w:val="24"/>
        </w:rPr>
        <w:t>plăților restante</w:t>
      </w:r>
      <w:r w:rsidR="00C068A6" w:rsidRPr="00C068A6">
        <w:rPr>
          <w:rFonts w:ascii="Tahoma" w:hAnsi="Tahoma" w:cs="Tahoma"/>
          <w:sz w:val="24"/>
          <w:szCs w:val="24"/>
        </w:rPr>
        <w:t xml:space="preserve"> înregistrate la 30 iunie 2023.</w:t>
      </w:r>
      <w:r w:rsidR="009A693D">
        <w:rPr>
          <w:noProof/>
          <w:lang w:val="en-US"/>
        </w:rPr>
        <w:fldChar w:fldCharType="begin"/>
      </w:r>
      <w:r w:rsidR="009A693D">
        <w:rPr>
          <w:noProof/>
          <w:lang w:val="en-US"/>
        </w:rPr>
        <w:instrText xml:space="preserve"> LINK Excel.Sheet.12 "\\\\MFP1934\\retea on 10.236.1.89\\Executii\\Executii 2023\\Rapoarte LRF 2023\\RAPORT SEMESTRIAL 2023\\RAPORT SEM I 2023\\CALCULE\\Arierate 2021-2022.xlsx!pt rap sem I 2023!R6C2:R14C10" "" \a \p </w:instrText>
      </w:r>
      <w:r w:rsidR="009A693D">
        <w:rPr>
          <w:noProof/>
          <w:lang w:val="en-US"/>
        </w:rPr>
        <w:fldChar w:fldCharType="separate"/>
      </w:r>
      <w:r w:rsidR="00045D55">
        <w:rPr>
          <w:noProof/>
          <w:lang w:val="en-US"/>
        </w:rPr>
        <w:object w:dxaOrig="10820" w:dyaOrig="4008">
          <v:shape id="_x0000_i1032" type="#_x0000_t75" style="width:451.2pt;height:156.3pt" o:ole="">
            <v:imagedata r:id="rId24" o:title=""/>
          </v:shape>
        </w:object>
      </w:r>
      <w:r w:rsidR="009A693D">
        <w:rPr>
          <w:noProof/>
          <w:lang w:val="en-US"/>
        </w:rPr>
        <w:fldChar w:fldCharType="end"/>
      </w:r>
    </w:p>
    <w:p w:rsidR="009A693D" w:rsidRDefault="004D6D76" w:rsidP="009A693D">
      <w:pPr>
        <w:spacing w:before="360" w:after="0" w:line="276" w:lineRule="auto"/>
        <w:ind w:firstLine="0"/>
        <w:rPr>
          <w:rFonts w:ascii="Tahoma" w:hAnsi="Tahoma" w:cs="Tahoma"/>
          <w:sz w:val="24"/>
          <w:szCs w:val="24"/>
        </w:rPr>
      </w:pPr>
      <w:r w:rsidRPr="007403CD">
        <w:rPr>
          <w:rFonts w:ascii="Tahoma" w:hAnsi="Tahoma" w:cs="Tahoma"/>
          <w:b/>
          <w:sz w:val="24"/>
          <w:szCs w:val="24"/>
        </w:rPr>
        <w:t>Arieratele</w:t>
      </w:r>
      <w:r w:rsidRPr="007403CD">
        <w:rPr>
          <w:rFonts w:ascii="Tahoma" w:hAnsi="Tahoma" w:cs="Tahoma"/>
          <w:sz w:val="24"/>
          <w:szCs w:val="24"/>
        </w:rPr>
        <w:t xml:space="preserve"> (plățile restante peste 90 de zile) înregistrate la data de 30 iunie 20</w:t>
      </w:r>
      <w:r w:rsidR="005F757C" w:rsidRPr="007403CD">
        <w:rPr>
          <w:rFonts w:ascii="Tahoma" w:hAnsi="Tahoma" w:cs="Tahoma"/>
          <w:sz w:val="24"/>
          <w:szCs w:val="24"/>
        </w:rPr>
        <w:t>2</w:t>
      </w:r>
      <w:r w:rsidR="00926188">
        <w:rPr>
          <w:rFonts w:ascii="Tahoma" w:hAnsi="Tahoma" w:cs="Tahoma"/>
          <w:sz w:val="24"/>
          <w:szCs w:val="24"/>
        </w:rPr>
        <w:t>3</w:t>
      </w:r>
      <w:r w:rsidRPr="007403CD">
        <w:rPr>
          <w:rFonts w:ascii="Tahoma" w:hAnsi="Tahoma" w:cs="Tahoma"/>
          <w:sz w:val="24"/>
          <w:szCs w:val="24"/>
        </w:rPr>
        <w:t xml:space="preserve"> au fost în sumă de </w:t>
      </w:r>
      <w:r w:rsidR="00926188">
        <w:rPr>
          <w:rFonts w:ascii="Tahoma" w:hAnsi="Tahoma" w:cs="Tahoma"/>
          <w:sz w:val="24"/>
          <w:szCs w:val="24"/>
        </w:rPr>
        <w:t>339,8</w:t>
      </w:r>
      <w:r w:rsidRPr="007403CD">
        <w:rPr>
          <w:rFonts w:ascii="Tahoma" w:hAnsi="Tahoma" w:cs="Tahoma"/>
          <w:sz w:val="24"/>
          <w:szCs w:val="24"/>
        </w:rPr>
        <w:t xml:space="preserve"> milioane </w:t>
      </w:r>
      <w:r w:rsidR="003A634F">
        <w:rPr>
          <w:rFonts w:ascii="Tahoma" w:hAnsi="Tahoma" w:cs="Tahoma"/>
          <w:sz w:val="24"/>
          <w:szCs w:val="24"/>
        </w:rPr>
        <w:t>lei</w:t>
      </w:r>
      <w:r w:rsidRPr="007403CD">
        <w:rPr>
          <w:rFonts w:ascii="Tahoma" w:hAnsi="Tahoma" w:cs="Tahoma"/>
          <w:sz w:val="24"/>
          <w:szCs w:val="24"/>
        </w:rPr>
        <w:t xml:space="preserve">, </w:t>
      </w:r>
      <w:r w:rsidR="003F3604" w:rsidRPr="007403CD">
        <w:rPr>
          <w:rFonts w:ascii="Tahoma" w:hAnsi="Tahoma" w:cs="Tahoma"/>
          <w:sz w:val="24"/>
          <w:szCs w:val="24"/>
        </w:rPr>
        <w:t xml:space="preserve">ceea ce reprezintă o </w:t>
      </w:r>
      <w:r w:rsidR="00926188">
        <w:rPr>
          <w:rFonts w:ascii="Tahoma" w:hAnsi="Tahoma" w:cs="Tahoma"/>
          <w:sz w:val="24"/>
          <w:szCs w:val="24"/>
        </w:rPr>
        <w:t>creștere</w:t>
      </w:r>
      <w:r w:rsidR="003F3604" w:rsidRPr="007403CD">
        <w:rPr>
          <w:rFonts w:ascii="Tahoma" w:hAnsi="Tahoma" w:cs="Tahoma"/>
          <w:sz w:val="24"/>
          <w:szCs w:val="24"/>
        </w:rPr>
        <w:t xml:space="preserve"> </w:t>
      </w:r>
      <w:r w:rsidRPr="007403CD">
        <w:rPr>
          <w:rFonts w:ascii="Tahoma" w:hAnsi="Tahoma" w:cs="Tahoma"/>
          <w:sz w:val="24"/>
          <w:szCs w:val="24"/>
        </w:rPr>
        <w:t xml:space="preserve">cu </w:t>
      </w:r>
      <w:r w:rsidR="00926188">
        <w:rPr>
          <w:rFonts w:ascii="Tahoma" w:hAnsi="Tahoma" w:cs="Tahoma"/>
          <w:sz w:val="24"/>
          <w:szCs w:val="24"/>
        </w:rPr>
        <w:t>67,5</w:t>
      </w:r>
      <w:r w:rsidR="003F3604" w:rsidRPr="007403CD">
        <w:rPr>
          <w:rFonts w:ascii="Tahoma" w:hAnsi="Tahoma" w:cs="Tahoma"/>
          <w:sz w:val="24"/>
          <w:szCs w:val="24"/>
        </w:rPr>
        <w:t>%</w:t>
      </w:r>
      <w:r w:rsidRPr="007403CD">
        <w:rPr>
          <w:rFonts w:ascii="Tahoma" w:hAnsi="Tahoma" w:cs="Tahoma"/>
          <w:sz w:val="24"/>
          <w:szCs w:val="24"/>
        </w:rPr>
        <w:t xml:space="preserve"> comparativ cu cele înregistrate la data de 30 iunie 20</w:t>
      </w:r>
      <w:r w:rsidR="00FE2F7D" w:rsidRPr="007403CD">
        <w:rPr>
          <w:rFonts w:ascii="Tahoma" w:hAnsi="Tahoma" w:cs="Tahoma"/>
          <w:sz w:val="24"/>
          <w:szCs w:val="24"/>
        </w:rPr>
        <w:t>2</w:t>
      </w:r>
      <w:r w:rsidR="00926188">
        <w:rPr>
          <w:rFonts w:ascii="Tahoma" w:hAnsi="Tahoma" w:cs="Tahoma"/>
          <w:sz w:val="24"/>
          <w:szCs w:val="24"/>
        </w:rPr>
        <w:t>2</w:t>
      </w:r>
      <w:r w:rsidRPr="007403CD">
        <w:rPr>
          <w:rFonts w:ascii="Tahoma" w:hAnsi="Tahoma" w:cs="Tahoma"/>
          <w:sz w:val="24"/>
          <w:szCs w:val="24"/>
        </w:rPr>
        <w:t xml:space="preserve"> pe fondul </w:t>
      </w:r>
      <w:r w:rsidR="00926188">
        <w:rPr>
          <w:rFonts w:ascii="Tahoma" w:hAnsi="Tahoma" w:cs="Tahoma"/>
          <w:sz w:val="24"/>
          <w:szCs w:val="24"/>
        </w:rPr>
        <w:t xml:space="preserve">creșterii </w:t>
      </w:r>
      <w:r w:rsidRPr="007403CD">
        <w:rPr>
          <w:rFonts w:ascii="Tahoma" w:hAnsi="Tahoma" w:cs="Tahoma"/>
          <w:sz w:val="24"/>
          <w:szCs w:val="24"/>
        </w:rPr>
        <w:t xml:space="preserve">arieratelor </w:t>
      </w:r>
      <w:r w:rsidR="00FE2F7D" w:rsidRPr="007403CD">
        <w:rPr>
          <w:rFonts w:ascii="Tahoma" w:hAnsi="Tahoma" w:cs="Tahoma"/>
          <w:sz w:val="24"/>
          <w:szCs w:val="24"/>
        </w:rPr>
        <w:t xml:space="preserve">în administrația locală cu </w:t>
      </w:r>
      <w:r w:rsidR="00926188">
        <w:rPr>
          <w:rFonts w:ascii="Tahoma" w:hAnsi="Tahoma" w:cs="Tahoma"/>
          <w:sz w:val="24"/>
          <w:szCs w:val="24"/>
        </w:rPr>
        <w:t>73,3</w:t>
      </w:r>
      <w:r w:rsidR="00FE2F7D" w:rsidRPr="007403CD">
        <w:rPr>
          <w:rFonts w:ascii="Tahoma" w:hAnsi="Tahoma" w:cs="Tahoma"/>
          <w:sz w:val="24"/>
          <w:szCs w:val="24"/>
        </w:rPr>
        <w:t>%</w:t>
      </w:r>
      <w:r w:rsidR="003F3604" w:rsidRPr="007403CD">
        <w:rPr>
          <w:rFonts w:ascii="Tahoma" w:hAnsi="Tahoma" w:cs="Tahoma"/>
          <w:sz w:val="24"/>
          <w:szCs w:val="24"/>
        </w:rPr>
        <w:t xml:space="preserve"> </w:t>
      </w:r>
      <w:r w:rsidR="00FE2F7D" w:rsidRPr="007403CD">
        <w:rPr>
          <w:rFonts w:ascii="Tahoma" w:hAnsi="Tahoma" w:cs="Tahoma"/>
          <w:sz w:val="24"/>
          <w:szCs w:val="24"/>
        </w:rPr>
        <w:t xml:space="preserve">în timp ce </w:t>
      </w:r>
      <w:r w:rsidRPr="007403CD">
        <w:rPr>
          <w:rFonts w:ascii="Tahoma" w:hAnsi="Tahoma" w:cs="Tahoma"/>
          <w:sz w:val="24"/>
          <w:szCs w:val="24"/>
        </w:rPr>
        <w:t>la nivelul administrației centrale</w:t>
      </w:r>
      <w:r w:rsidR="00FE2F7D" w:rsidRPr="007403CD">
        <w:rPr>
          <w:rFonts w:ascii="Tahoma" w:hAnsi="Tahoma" w:cs="Tahoma"/>
          <w:sz w:val="24"/>
          <w:szCs w:val="24"/>
        </w:rPr>
        <w:t xml:space="preserve"> se constată o </w:t>
      </w:r>
      <w:r w:rsidR="003F3604" w:rsidRPr="007403CD">
        <w:rPr>
          <w:rFonts w:ascii="Tahoma" w:hAnsi="Tahoma" w:cs="Tahoma"/>
          <w:sz w:val="24"/>
          <w:szCs w:val="24"/>
        </w:rPr>
        <w:t>creștere</w:t>
      </w:r>
      <w:r w:rsidR="00FE2F7D" w:rsidRPr="007403CD">
        <w:rPr>
          <w:rFonts w:ascii="Tahoma" w:hAnsi="Tahoma" w:cs="Tahoma"/>
          <w:sz w:val="24"/>
          <w:szCs w:val="24"/>
        </w:rPr>
        <w:t xml:space="preserve"> cu </w:t>
      </w:r>
      <w:r w:rsidR="004357CE" w:rsidRPr="007403CD">
        <w:rPr>
          <w:rFonts w:ascii="Tahoma" w:hAnsi="Tahoma" w:cs="Tahoma"/>
          <w:sz w:val="24"/>
          <w:szCs w:val="24"/>
        </w:rPr>
        <w:t>5,</w:t>
      </w:r>
      <w:r w:rsidR="00926188">
        <w:rPr>
          <w:rFonts w:ascii="Tahoma" w:hAnsi="Tahoma" w:cs="Tahoma"/>
          <w:sz w:val="24"/>
          <w:szCs w:val="24"/>
        </w:rPr>
        <w:t>7</w:t>
      </w:r>
      <w:r w:rsidR="00FE2F7D" w:rsidRPr="007403CD">
        <w:rPr>
          <w:rFonts w:ascii="Tahoma" w:hAnsi="Tahoma" w:cs="Tahoma"/>
          <w:sz w:val="24"/>
          <w:szCs w:val="24"/>
        </w:rPr>
        <w:t>%</w:t>
      </w:r>
      <w:r w:rsidRPr="007403CD">
        <w:rPr>
          <w:rFonts w:ascii="Tahoma" w:hAnsi="Tahoma" w:cs="Tahoma"/>
          <w:sz w:val="24"/>
          <w:szCs w:val="24"/>
        </w:rPr>
        <w:t xml:space="preserve">. Arieratele din administrația locală au reprezentat </w:t>
      </w:r>
      <w:r w:rsidR="00926188">
        <w:rPr>
          <w:rFonts w:ascii="Tahoma" w:hAnsi="Tahoma" w:cs="Tahoma"/>
          <w:sz w:val="24"/>
          <w:szCs w:val="24"/>
        </w:rPr>
        <w:t>94,6</w:t>
      </w:r>
      <w:r w:rsidRPr="007403CD">
        <w:rPr>
          <w:rFonts w:ascii="Tahoma" w:hAnsi="Tahoma" w:cs="Tahoma"/>
          <w:sz w:val="24"/>
          <w:szCs w:val="24"/>
        </w:rPr>
        <w:t>% din totalul arieratelor înregistrate la 30 iunie 20</w:t>
      </w:r>
      <w:r w:rsidR="005F757C" w:rsidRPr="007403CD">
        <w:rPr>
          <w:rFonts w:ascii="Tahoma" w:hAnsi="Tahoma" w:cs="Tahoma"/>
          <w:sz w:val="24"/>
          <w:szCs w:val="24"/>
        </w:rPr>
        <w:t>2</w:t>
      </w:r>
      <w:r w:rsidR="00926188">
        <w:rPr>
          <w:rFonts w:ascii="Tahoma" w:hAnsi="Tahoma" w:cs="Tahoma"/>
          <w:sz w:val="24"/>
          <w:szCs w:val="24"/>
        </w:rPr>
        <w:t>3</w:t>
      </w:r>
      <w:r w:rsidRPr="007403CD">
        <w:rPr>
          <w:rFonts w:ascii="Tahoma" w:hAnsi="Tahoma" w:cs="Tahoma"/>
          <w:sz w:val="24"/>
          <w:szCs w:val="24"/>
        </w:rPr>
        <w:t>.</w:t>
      </w:r>
    </w:p>
    <w:p w:rsidR="007C4F03" w:rsidRPr="007403CD" w:rsidRDefault="008A700D" w:rsidP="009A693D">
      <w:pPr>
        <w:spacing w:before="360" w:after="240" w:line="276" w:lineRule="auto"/>
        <w:ind w:firstLine="0"/>
        <w:rPr>
          <w:rFonts w:ascii="Tahoma" w:hAnsi="Tahoma" w:cs="Tahoma"/>
          <w:sz w:val="24"/>
          <w:szCs w:val="24"/>
        </w:rPr>
      </w:pPr>
      <w:r w:rsidRPr="007403CD">
        <w:rPr>
          <w:rFonts w:ascii="Tahoma" w:hAnsi="Tahoma" w:cs="Tahoma"/>
          <w:sz w:val="24"/>
          <w:szCs w:val="24"/>
        </w:rPr>
        <w:br w:type="page"/>
      </w:r>
    </w:p>
    <w:p w:rsidR="00155F43" w:rsidRPr="007403CD" w:rsidRDefault="00433503" w:rsidP="003C22B5">
      <w:pPr>
        <w:pStyle w:val="ListParagraph"/>
        <w:keepNext/>
        <w:keepLines/>
        <w:spacing w:after="240" w:line="276" w:lineRule="auto"/>
        <w:ind w:left="567"/>
        <w:contextualSpacing w:val="0"/>
        <w:outlineLvl w:val="0"/>
        <w:rPr>
          <w:rFonts w:ascii="Tahoma" w:hAnsi="Tahoma" w:cs="Tahoma"/>
          <w:b/>
          <w:sz w:val="24"/>
          <w:szCs w:val="24"/>
        </w:rPr>
      </w:pPr>
      <w:bookmarkStart w:id="23" w:name="_Toc140151609"/>
      <w:r w:rsidRPr="007403CD">
        <w:rPr>
          <w:rFonts w:ascii="Tahoma" w:hAnsi="Tahoma" w:cs="Tahoma"/>
          <w:b/>
          <w:sz w:val="24"/>
          <w:szCs w:val="24"/>
        </w:rPr>
        <w:lastRenderedPageBreak/>
        <w:t>IV</w:t>
      </w:r>
      <w:r w:rsidR="00C43AD2" w:rsidRPr="007403CD">
        <w:rPr>
          <w:rFonts w:ascii="Tahoma" w:hAnsi="Tahoma" w:cs="Tahoma"/>
          <w:b/>
          <w:sz w:val="24"/>
          <w:szCs w:val="24"/>
        </w:rPr>
        <w:t xml:space="preserve">. Finanțarea deficitului bugetar </w:t>
      </w:r>
      <w:r w:rsidR="00E771E4" w:rsidRPr="007403CD">
        <w:rPr>
          <w:rFonts w:ascii="Tahoma" w:hAnsi="Tahoma" w:cs="Tahoma"/>
          <w:b/>
          <w:sz w:val="24"/>
          <w:szCs w:val="24"/>
        </w:rPr>
        <w:t>și</w:t>
      </w:r>
      <w:r w:rsidR="00C43AD2" w:rsidRPr="007403CD">
        <w:rPr>
          <w:rFonts w:ascii="Tahoma" w:hAnsi="Tahoma" w:cs="Tahoma"/>
          <w:b/>
          <w:sz w:val="24"/>
          <w:szCs w:val="24"/>
        </w:rPr>
        <w:t xml:space="preserve"> datoria publică</w:t>
      </w:r>
      <w:bookmarkEnd w:id="23"/>
    </w:p>
    <w:p w:rsidR="00D31CEE" w:rsidRPr="007403CD" w:rsidRDefault="00433503" w:rsidP="009A693D">
      <w:pPr>
        <w:widowControl w:val="0"/>
        <w:spacing w:after="120" w:line="276" w:lineRule="auto"/>
        <w:ind w:left="1134" w:hanging="1134"/>
        <w:rPr>
          <w:rFonts w:ascii="Tahoma" w:hAnsi="Tahoma" w:cs="Tahoma"/>
          <w:b/>
          <w:bCs/>
          <w:sz w:val="24"/>
          <w:szCs w:val="24"/>
        </w:rPr>
      </w:pPr>
      <w:bookmarkStart w:id="24" w:name="RANGE!B1:I9"/>
      <w:bookmarkEnd w:id="24"/>
      <w:r w:rsidRPr="007403CD">
        <w:rPr>
          <w:rFonts w:ascii="Tahoma" w:hAnsi="Tahoma" w:cs="Tahoma"/>
          <w:b/>
          <w:bCs/>
          <w:sz w:val="24"/>
          <w:szCs w:val="24"/>
        </w:rPr>
        <w:t>IV</w:t>
      </w:r>
      <w:r w:rsidR="00D31CEE" w:rsidRPr="007403CD">
        <w:rPr>
          <w:rFonts w:ascii="Tahoma" w:hAnsi="Tahoma" w:cs="Tahoma"/>
          <w:b/>
          <w:bCs/>
          <w:sz w:val="24"/>
          <w:szCs w:val="24"/>
        </w:rPr>
        <w:t>.1 Datoria publică</w:t>
      </w:r>
    </w:p>
    <w:p w:rsidR="00E67CE1" w:rsidRPr="00E67CE1" w:rsidRDefault="00E67CE1" w:rsidP="00E67CE1">
      <w:pPr>
        <w:widowControl w:val="0"/>
        <w:spacing w:before="240" w:after="240" w:line="276" w:lineRule="auto"/>
        <w:ind w:firstLine="0"/>
        <w:rPr>
          <w:rFonts w:ascii="Tahoma" w:eastAsia="Calibri" w:hAnsi="Tahoma" w:cs="Tahoma"/>
          <w:sz w:val="24"/>
          <w:szCs w:val="24"/>
        </w:rPr>
      </w:pPr>
      <w:r w:rsidRPr="00E67CE1">
        <w:rPr>
          <w:rFonts w:ascii="Tahoma" w:eastAsia="Calibri" w:hAnsi="Tahoma" w:cs="Tahoma"/>
          <w:sz w:val="24"/>
          <w:szCs w:val="24"/>
        </w:rPr>
        <w:t xml:space="preserve">Datoria guvernamentală conform metodologiei UE s-a situat la data de 31 mai 2023 la un nivel de 50,1% din PIB sub plafonul de 60% stabilit prin Tratatul de la Maastricht. Datoria internă a administrației publice a reprezentat 24,0% din PIB, iar datoria externă 26,1% din PIB. </w:t>
      </w:r>
    </w:p>
    <w:p w:rsidR="00E67CE1" w:rsidRPr="00E67CE1" w:rsidRDefault="00E67CE1" w:rsidP="00E67CE1">
      <w:pPr>
        <w:widowControl w:val="0"/>
        <w:spacing w:before="240" w:after="240" w:line="276" w:lineRule="auto"/>
        <w:ind w:firstLine="0"/>
        <w:rPr>
          <w:rFonts w:ascii="Tahoma" w:eastAsia="Calibri" w:hAnsi="Tahoma" w:cs="Tahoma"/>
          <w:sz w:val="24"/>
          <w:szCs w:val="24"/>
        </w:rPr>
      </w:pPr>
      <w:r w:rsidRPr="00E67CE1">
        <w:rPr>
          <w:rFonts w:ascii="Tahoma" w:eastAsia="Calibri" w:hAnsi="Tahoma" w:cs="Tahoma"/>
          <w:sz w:val="24"/>
          <w:szCs w:val="24"/>
        </w:rPr>
        <w:t>Conform datelor publicate de EUROSTAT , la sfârșitul trimestrului I 2023, România s-a situat pe locul 16 între statele membre UE cu un nivel de îndatorare de 49,0% din PIB, media datoriei guvernamentale pentru zona euro (EA 19) fiind de 91,3% din PIB, iar cea pentru UE27 de 83,7% din PIB.</w:t>
      </w:r>
    </w:p>
    <w:p w:rsidR="00E67CE1" w:rsidRDefault="00E67CE1" w:rsidP="00E67CE1">
      <w:pPr>
        <w:widowControl w:val="0"/>
        <w:spacing w:before="240" w:after="240" w:line="276" w:lineRule="auto"/>
        <w:ind w:firstLine="0"/>
        <w:rPr>
          <w:rFonts w:ascii="Tahoma" w:eastAsia="Calibri" w:hAnsi="Tahoma" w:cs="Tahoma"/>
          <w:sz w:val="24"/>
          <w:szCs w:val="24"/>
        </w:rPr>
      </w:pPr>
      <w:r w:rsidRPr="00E67CE1">
        <w:rPr>
          <w:rFonts w:ascii="Tahoma" w:eastAsia="Calibri" w:hAnsi="Tahoma" w:cs="Tahoma"/>
          <w:sz w:val="24"/>
          <w:szCs w:val="24"/>
        </w:rPr>
        <w:t xml:space="preserve">Un număr de 13 state membre au înregistrat, la finele anului 2022, un nivel al datoriei publice guvernamentale PIB de peste 60% din PIB, cele mai ridicate niveluri înregistrându-se în Grecia (168,3%), Italia (143,5%), Portugalia (113,8%), Spania (112,8%), Franța (112,4%) și Belgia (107,4%). </w:t>
      </w:r>
    </w:p>
    <w:p w:rsidR="00D31CEE" w:rsidRPr="007403CD" w:rsidRDefault="00433503" w:rsidP="00E67CE1">
      <w:pPr>
        <w:widowControl w:val="0"/>
        <w:spacing w:before="240" w:after="240" w:line="276" w:lineRule="auto"/>
        <w:ind w:firstLine="0"/>
        <w:rPr>
          <w:rFonts w:ascii="Tahoma" w:eastAsia="MS Mincho" w:hAnsi="Tahoma" w:cs="Tahoma"/>
          <w:sz w:val="24"/>
          <w:szCs w:val="24"/>
          <w:lang w:eastAsia="ja-JP"/>
        </w:rPr>
      </w:pPr>
      <w:r w:rsidRPr="007403CD">
        <w:rPr>
          <w:rFonts w:ascii="Tahoma" w:hAnsi="Tahoma" w:cs="Tahoma"/>
          <w:b/>
          <w:bCs/>
          <w:sz w:val="24"/>
          <w:szCs w:val="24"/>
        </w:rPr>
        <w:t>IV</w:t>
      </w:r>
      <w:r w:rsidR="00D31CEE" w:rsidRPr="007403CD">
        <w:rPr>
          <w:rFonts w:ascii="Tahoma" w:hAnsi="Tahoma" w:cs="Tahoma"/>
          <w:b/>
          <w:bCs/>
          <w:sz w:val="24"/>
          <w:szCs w:val="24"/>
        </w:rPr>
        <w:t xml:space="preserve">.2 Finanțarea deficitului bugetar </w:t>
      </w:r>
    </w:p>
    <w:p w:rsidR="00E67CE1" w:rsidRPr="00E67CE1" w:rsidRDefault="00E67CE1" w:rsidP="00E67CE1">
      <w:pPr>
        <w:spacing w:after="0" w:line="276" w:lineRule="auto"/>
        <w:ind w:firstLine="0"/>
        <w:rPr>
          <w:rFonts w:ascii="Tahoma" w:eastAsia="MS Mincho" w:hAnsi="Tahoma" w:cs="Tahoma"/>
          <w:sz w:val="24"/>
          <w:szCs w:val="24"/>
          <w:lang w:val="en-US" w:eastAsia="ja-JP"/>
        </w:rPr>
      </w:pPr>
      <w:proofErr w:type="spellStart"/>
      <w:r w:rsidRPr="00E67CE1">
        <w:rPr>
          <w:rFonts w:ascii="Tahoma" w:eastAsia="MS Mincho" w:hAnsi="Tahoma" w:cs="Tahoma"/>
          <w:sz w:val="24"/>
          <w:szCs w:val="24"/>
          <w:lang w:val="en-US" w:eastAsia="ja-JP"/>
        </w:rPr>
        <w:t>În</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semestrul</w:t>
      </w:r>
      <w:proofErr w:type="spellEnd"/>
      <w:r w:rsidRPr="00E67CE1">
        <w:rPr>
          <w:rFonts w:ascii="Tahoma" w:eastAsia="MS Mincho" w:hAnsi="Tahoma" w:cs="Tahoma"/>
          <w:sz w:val="24"/>
          <w:szCs w:val="24"/>
          <w:lang w:val="en-US" w:eastAsia="ja-JP"/>
        </w:rPr>
        <w:t xml:space="preserve"> I 2023 </w:t>
      </w:r>
      <w:proofErr w:type="spellStart"/>
      <w:r w:rsidRPr="00E67CE1">
        <w:rPr>
          <w:rFonts w:ascii="Tahoma" w:eastAsia="MS Mincho" w:hAnsi="Tahoma" w:cs="Tahoma"/>
          <w:sz w:val="24"/>
          <w:szCs w:val="24"/>
          <w:lang w:val="en-US" w:eastAsia="ja-JP"/>
        </w:rPr>
        <w:t>finanțarea</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deficitului</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bugetar</w:t>
      </w:r>
      <w:proofErr w:type="spellEnd"/>
      <w:r w:rsidRPr="00E67CE1">
        <w:rPr>
          <w:rFonts w:ascii="Tahoma" w:eastAsia="MS Mincho" w:hAnsi="Tahoma" w:cs="Tahoma"/>
          <w:sz w:val="24"/>
          <w:szCs w:val="24"/>
          <w:lang w:val="en-US" w:eastAsia="ja-JP"/>
        </w:rPr>
        <w:t xml:space="preserve"> s-a </w:t>
      </w:r>
      <w:proofErr w:type="spellStart"/>
      <w:r w:rsidRPr="00E67CE1">
        <w:rPr>
          <w:rFonts w:ascii="Tahoma" w:eastAsia="MS Mincho" w:hAnsi="Tahoma" w:cs="Tahoma"/>
          <w:sz w:val="24"/>
          <w:szCs w:val="24"/>
          <w:lang w:val="en-US" w:eastAsia="ja-JP"/>
        </w:rPr>
        <w:t>realizat</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în</w:t>
      </w:r>
      <w:proofErr w:type="spellEnd"/>
      <w:r w:rsidRPr="00E67CE1">
        <w:rPr>
          <w:rFonts w:ascii="Tahoma" w:eastAsia="MS Mincho" w:hAnsi="Tahoma" w:cs="Tahoma"/>
          <w:sz w:val="24"/>
          <w:szCs w:val="24"/>
          <w:lang w:val="en-US" w:eastAsia="ja-JP"/>
        </w:rPr>
        <w:t xml:space="preserve"> principal </w:t>
      </w:r>
      <w:proofErr w:type="spellStart"/>
      <w:r w:rsidRPr="00E67CE1">
        <w:rPr>
          <w:rFonts w:ascii="Tahoma" w:eastAsia="MS Mincho" w:hAnsi="Tahoma" w:cs="Tahoma"/>
          <w:sz w:val="24"/>
          <w:szCs w:val="24"/>
          <w:lang w:val="en-US" w:eastAsia="ja-JP"/>
        </w:rPr>
        <w:t>prin</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emisiuni</w:t>
      </w:r>
      <w:proofErr w:type="spellEnd"/>
      <w:r w:rsidRPr="00E67CE1">
        <w:rPr>
          <w:rFonts w:ascii="Tahoma" w:eastAsia="MS Mincho" w:hAnsi="Tahoma" w:cs="Tahoma"/>
          <w:sz w:val="24"/>
          <w:szCs w:val="24"/>
          <w:lang w:val="en-US" w:eastAsia="ja-JP"/>
        </w:rPr>
        <w:t xml:space="preserve"> de </w:t>
      </w:r>
      <w:proofErr w:type="spellStart"/>
      <w:r w:rsidRPr="00E67CE1">
        <w:rPr>
          <w:rFonts w:ascii="Tahoma" w:eastAsia="MS Mincho" w:hAnsi="Tahoma" w:cs="Tahoma"/>
          <w:sz w:val="24"/>
          <w:szCs w:val="24"/>
          <w:lang w:val="en-US" w:eastAsia="ja-JP"/>
        </w:rPr>
        <w:t>titluri</w:t>
      </w:r>
      <w:proofErr w:type="spellEnd"/>
      <w:r w:rsidRPr="00E67CE1">
        <w:rPr>
          <w:rFonts w:ascii="Tahoma" w:eastAsia="MS Mincho" w:hAnsi="Tahoma" w:cs="Tahoma"/>
          <w:sz w:val="24"/>
          <w:szCs w:val="24"/>
          <w:lang w:val="en-US" w:eastAsia="ja-JP"/>
        </w:rPr>
        <w:t xml:space="preserve"> de stat </w:t>
      </w:r>
      <w:proofErr w:type="spellStart"/>
      <w:r w:rsidRPr="00E67CE1">
        <w:rPr>
          <w:rFonts w:ascii="Tahoma" w:eastAsia="MS Mincho" w:hAnsi="Tahoma" w:cs="Tahoma"/>
          <w:sz w:val="24"/>
          <w:szCs w:val="24"/>
          <w:lang w:val="en-US" w:eastAsia="ja-JP"/>
        </w:rPr>
        <w:t>lansate</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pe</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piața</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internă</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și</w:t>
      </w:r>
      <w:proofErr w:type="spellEnd"/>
      <w:r w:rsidRPr="00E67CE1">
        <w:rPr>
          <w:rFonts w:ascii="Tahoma" w:eastAsia="MS Mincho" w:hAnsi="Tahoma" w:cs="Tahoma"/>
          <w:sz w:val="24"/>
          <w:szCs w:val="24"/>
          <w:lang w:val="en-US" w:eastAsia="ja-JP"/>
        </w:rPr>
        <w:t xml:space="preserve"> din </w:t>
      </w:r>
      <w:proofErr w:type="spellStart"/>
      <w:r w:rsidRPr="00E67CE1">
        <w:rPr>
          <w:rFonts w:ascii="Tahoma" w:eastAsia="MS Mincho" w:hAnsi="Tahoma" w:cs="Tahoma"/>
          <w:sz w:val="24"/>
          <w:szCs w:val="24"/>
          <w:lang w:val="en-US" w:eastAsia="ja-JP"/>
        </w:rPr>
        <w:t>surse</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externe</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Sursele</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necesare</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refinanțării</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datoriei</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publice</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guvernamentale</w:t>
      </w:r>
      <w:proofErr w:type="spellEnd"/>
      <w:r w:rsidRPr="00E67CE1">
        <w:rPr>
          <w:rFonts w:ascii="Tahoma" w:eastAsia="MS Mincho" w:hAnsi="Tahoma" w:cs="Tahoma"/>
          <w:sz w:val="24"/>
          <w:szCs w:val="24"/>
          <w:lang w:val="en-US" w:eastAsia="ja-JP"/>
        </w:rPr>
        <w:t xml:space="preserve"> s-au </w:t>
      </w:r>
      <w:proofErr w:type="spellStart"/>
      <w:r w:rsidRPr="00E67CE1">
        <w:rPr>
          <w:rFonts w:ascii="Tahoma" w:eastAsia="MS Mincho" w:hAnsi="Tahoma" w:cs="Tahoma"/>
          <w:sz w:val="24"/>
          <w:szCs w:val="24"/>
          <w:lang w:val="en-US" w:eastAsia="ja-JP"/>
        </w:rPr>
        <w:t>asigurat</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în</w:t>
      </w:r>
      <w:proofErr w:type="spellEnd"/>
      <w:r w:rsidRPr="00E67CE1">
        <w:rPr>
          <w:rFonts w:ascii="Tahoma" w:eastAsia="MS Mincho" w:hAnsi="Tahoma" w:cs="Tahoma"/>
          <w:sz w:val="24"/>
          <w:szCs w:val="24"/>
          <w:lang w:val="en-US" w:eastAsia="ja-JP"/>
        </w:rPr>
        <w:t xml:space="preserve"> principal de </w:t>
      </w:r>
      <w:proofErr w:type="spellStart"/>
      <w:r w:rsidRPr="00E67CE1">
        <w:rPr>
          <w:rFonts w:ascii="Tahoma" w:eastAsia="MS Mincho" w:hAnsi="Tahoma" w:cs="Tahoma"/>
          <w:sz w:val="24"/>
          <w:szCs w:val="24"/>
          <w:lang w:val="en-US" w:eastAsia="ja-JP"/>
        </w:rPr>
        <w:t>pe</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piețele</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pe</w:t>
      </w:r>
      <w:proofErr w:type="spellEnd"/>
      <w:r w:rsidRPr="00E67CE1">
        <w:rPr>
          <w:rFonts w:ascii="Tahoma" w:eastAsia="MS Mincho" w:hAnsi="Tahoma" w:cs="Tahoma"/>
          <w:sz w:val="24"/>
          <w:szCs w:val="24"/>
          <w:lang w:val="en-US" w:eastAsia="ja-JP"/>
        </w:rPr>
        <w:t xml:space="preserve"> care s-au </w:t>
      </w:r>
      <w:proofErr w:type="spellStart"/>
      <w:r w:rsidRPr="00E67CE1">
        <w:rPr>
          <w:rFonts w:ascii="Tahoma" w:eastAsia="MS Mincho" w:hAnsi="Tahoma" w:cs="Tahoma"/>
          <w:sz w:val="24"/>
          <w:szCs w:val="24"/>
          <w:lang w:val="en-US" w:eastAsia="ja-JP"/>
        </w:rPr>
        <w:t>emis</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aceste</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datorii</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şi</w:t>
      </w:r>
      <w:proofErr w:type="spellEnd"/>
      <w:r w:rsidRPr="00E67CE1">
        <w:rPr>
          <w:rFonts w:ascii="Tahoma" w:eastAsia="MS Mincho" w:hAnsi="Tahoma" w:cs="Tahoma"/>
          <w:sz w:val="24"/>
          <w:szCs w:val="24"/>
          <w:lang w:val="en-US" w:eastAsia="ja-JP"/>
        </w:rPr>
        <w:t xml:space="preserve"> din </w:t>
      </w:r>
      <w:proofErr w:type="spellStart"/>
      <w:r w:rsidRPr="00E67CE1">
        <w:rPr>
          <w:rFonts w:ascii="Tahoma" w:eastAsia="MS Mincho" w:hAnsi="Tahoma" w:cs="Tahoma"/>
          <w:sz w:val="24"/>
          <w:szCs w:val="24"/>
          <w:lang w:val="en-US" w:eastAsia="ja-JP"/>
        </w:rPr>
        <w:t>rezerva</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financiară</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în</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valută</w:t>
      </w:r>
      <w:proofErr w:type="spellEnd"/>
      <w:r w:rsidRPr="00E67CE1">
        <w:rPr>
          <w:rFonts w:ascii="Tahoma" w:eastAsia="MS Mincho" w:hAnsi="Tahoma" w:cs="Tahoma"/>
          <w:sz w:val="24"/>
          <w:szCs w:val="24"/>
          <w:lang w:val="en-US" w:eastAsia="ja-JP"/>
        </w:rPr>
        <w:t xml:space="preserve"> la </w:t>
      </w:r>
      <w:proofErr w:type="spellStart"/>
      <w:r w:rsidRPr="00E67CE1">
        <w:rPr>
          <w:rFonts w:ascii="Tahoma" w:eastAsia="MS Mincho" w:hAnsi="Tahoma" w:cs="Tahoma"/>
          <w:sz w:val="24"/>
          <w:szCs w:val="24"/>
          <w:lang w:val="en-US" w:eastAsia="ja-JP"/>
        </w:rPr>
        <w:t>dispoziția</w:t>
      </w:r>
      <w:proofErr w:type="spellEnd"/>
      <w:r w:rsidRPr="00E67CE1">
        <w:rPr>
          <w:rFonts w:ascii="Tahoma" w:eastAsia="MS Mincho" w:hAnsi="Tahoma" w:cs="Tahoma"/>
          <w:sz w:val="24"/>
          <w:szCs w:val="24"/>
          <w:lang w:val="en-US" w:eastAsia="ja-JP"/>
        </w:rPr>
        <w:t xml:space="preserve"> MF.</w:t>
      </w:r>
    </w:p>
    <w:p w:rsidR="00E67CE1" w:rsidRPr="00E67CE1" w:rsidRDefault="00E67CE1" w:rsidP="00E67CE1">
      <w:pPr>
        <w:spacing w:after="0" w:line="276" w:lineRule="auto"/>
        <w:ind w:firstLine="0"/>
        <w:rPr>
          <w:rFonts w:ascii="Tahoma" w:eastAsia="MS Mincho" w:hAnsi="Tahoma" w:cs="Tahoma"/>
          <w:sz w:val="24"/>
          <w:szCs w:val="24"/>
          <w:lang w:val="en-US" w:eastAsia="ja-JP"/>
        </w:rPr>
      </w:pPr>
      <w:proofErr w:type="spellStart"/>
      <w:r w:rsidRPr="00E67CE1">
        <w:rPr>
          <w:rFonts w:ascii="Tahoma" w:eastAsia="MS Mincho" w:hAnsi="Tahoma" w:cs="Tahoma"/>
          <w:sz w:val="24"/>
          <w:szCs w:val="24"/>
          <w:lang w:val="en-US" w:eastAsia="ja-JP"/>
        </w:rPr>
        <w:t>Instrumentele</w:t>
      </w:r>
      <w:proofErr w:type="spellEnd"/>
      <w:r w:rsidRPr="00E67CE1">
        <w:rPr>
          <w:rFonts w:ascii="Tahoma" w:eastAsia="MS Mincho" w:hAnsi="Tahoma" w:cs="Tahoma"/>
          <w:sz w:val="24"/>
          <w:szCs w:val="24"/>
          <w:lang w:val="en-US" w:eastAsia="ja-JP"/>
        </w:rPr>
        <w:t xml:space="preserve"> de </w:t>
      </w:r>
      <w:proofErr w:type="spellStart"/>
      <w:r w:rsidRPr="00E67CE1">
        <w:rPr>
          <w:rFonts w:ascii="Tahoma" w:eastAsia="MS Mincho" w:hAnsi="Tahoma" w:cs="Tahoma"/>
          <w:sz w:val="24"/>
          <w:szCs w:val="24"/>
          <w:lang w:val="en-US" w:eastAsia="ja-JP"/>
        </w:rPr>
        <w:t>datorie</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utilizate</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pentru</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finanțarea</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deficitului</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bugetar</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şi</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refinanțarea</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datoriei</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publice</w:t>
      </w:r>
      <w:proofErr w:type="spellEnd"/>
      <w:r w:rsidRPr="00E67CE1">
        <w:rPr>
          <w:rFonts w:ascii="Tahoma" w:eastAsia="MS Mincho" w:hAnsi="Tahoma" w:cs="Tahoma"/>
          <w:sz w:val="24"/>
          <w:szCs w:val="24"/>
          <w:lang w:val="en-US" w:eastAsia="ja-JP"/>
        </w:rPr>
        <w:t xml:space="preserve"> au </w:t>
      </w:r>
      <w:proofErr w:type="spellStart"/>
      <w:r w:rsidRPr="00E67CE1">
        <w:rPr>
          <w:rFonts w:ascii="Tahoma" w:eastAsia="MS Mincho" w:hAnsi="Tahoma" w:cs="Tahoma"/>
          <w:sz w:val="24"/>
          <w:szCs w:val="24"/>
          <w:lang w:val="en-US" w:eastAsia="ja-JP"/>
        </w:rPr>
        <w:t>fost</w:t>
      </w:r>
      <w:proofErr w:type="spellEnd"/>
      <w:r w:rsidRPr="00E67CE1">
        <w:rPr>
          <w:rFonts w:ascii="Tahoma" w:eastAsia="MS Mincho" w:hAnsi="Tahoma" w:cs="Tahoma"/>
          <w:sz w:val="24"/>
          <w:szCs w:val="24"/>
          <w:lang w:val="en-US" w:eastAsia="ja-JP"/>
        </w:rPr>
        <w:t xml:space="preserve"> </w:t>
      </w:r>
      <w:proofErr w:type="spellStart"/>
      <w:r w:rsidRPr="00E67CE1">
        <w:rPr>
          <w:rFonts w:ascii="Tahoma" w:eastAsia="MS Mincho" w:hAnsi="Tahoma" w:cs="Tahoma"/>
          <w:sz w:val="24"/>
          <w:szCs w:val="24"/>
          <w:lang w:val="en-US" w:eastAsia="ja-JP"/>
        </w:rPr>
        <w:t>următoarele</w:t>
      </w:r>
      <w:proofErr w:type="spellEnd"/>
      <w:r w:rsidRPr="00E67CE1">
        <w:rPr>
          <w:rFonts w:ascii="Tahoma" w:eastAsia="MS Mincho" w:hAnsi="Tahoma" w:cs="Tahoma"/>
          <w:sz w:val="24"/>
          <w:szCs w:val="24"/>
          <w:lang w:val="en-US" w:eastAsia="ja-JP"/>
        </w:rPr>
        <w:t xml:space="preserve">: </w:t>
      </w:r>
    </w:p>
    <w:p w:rsidR="00E67CE1" w:rsidRPr="00E67CE1" w:rsidRDefault="00E67CE1" w:rsidP="00E67CE1">
      <w:pPr>
        <w:suppressAutoHyphens/>
        <w:spacing w:after="0" w:line="276" w:lineRule="auto"/>
        <w:ind w:firstLine="0"/>
        <w:rPr>
          <w:rFonts w:ascii="Tahoma" w:eastAsia="SimSun" w:hAnsi="Tahoma" w:cs="Tahoma"/>
          <w:color w:val="00000A"/>
          <w:kern w:val="1"/>
          <w:sz w:val="24"/>
          <w:szCs w:val="24"/>
          <w:lang w:eastAsia="zh-CN"/>
        </w:rPr>
      </w:pPr>
    </w:p>
    <w:p w:rsidR="00E67CE1" w:rsidRPr="00E67CE1" w:rsidRDefault="00E67CE1" w:rsidP="00E67CE1">
      <w:pPr>
        <w:numPr>
          <w:ilvl w:val="0"/>
          <w:numId w:val="3"/>
        </w:numPr>
        <w:suppressAutoHyphens/>
        <w:spacing w:after="0" w:line="276" w:lineRule="auto"/>
        <w:ind w:left="360"/>
        <w:jc w:val="left"/>
        <w:rPr>
          <w:rFonts w:ascii="Tahoma" w:eastAsia="Times New Roman" w:hAnsi="Tahoma" w:cs="Tahoma"/>
          <w:sz w:val="24"/>
          <w:szCs w:val="24"/>
          <w:u w:val="single"/>
          <w:lang w:eastAsia="zh-CN"/>
        </w:rPr>
      </w:pPr>
      <w:r w:rsidRPr="00E67CE1">
        <w:rPr>
          <w:rFonts w:ascii="Tahoma" w:eastAsia="Times New Roman" w:hAnsi="Tahoma" w:cs="Tahoma"/>
          <w:sz w:val="24"/>
          <w:szCs w:val="24"/>
          <w:u w:val="single"/>
          <w:lang w:eastAsia="zh-CN"/>
        </w:rPr>
        <w:t xml:space="preserve">Piața internă: </w:t>
      </w:r>
    </w:p>
    <w:p w:rsidR="00E67CE1" w:rsidRPr="00E67CE1" w:rsidRDefault="00E67CE1" w:rsidP="00E67CE1">
      <w:pPr>
        <w:suppressAutoHyphens/>
        <w:spacing w:after="0" w:line="276" w:lineRule="auto"/>
        <w:ind w:left="360" w:firstLine="0"/>
        <w:rPr>
          <w:rFonts w:ascii="Tahoma" w:eastAsia="Times New Roman" w:hAnsi="Tahoma" w:cs="Tahoma"/>
          <w:sz w:val="24"/>
          <w:szCs w:val="24"/>
          <w:u w:val="single"/>
          <w:lang w:eastAsia="zh-CN"/>
        </w:rPr>
      </w:pPr>
    </w:p>
    <w:p w:rsidR="00E67CE1" w:rsidRPr="00E67CE1" w:rsidRDefault="00E67CE1" w:rsidP="00E67CE1">
      <w:pPr>
        <w:numPr>
          <w:ilvl w:val="1"/>
          <w:numId w:val="3"/>
        </w:numPr>
        <w:suppressAutoHyphens/>
        <w:spacing w:after="0" w:line="276" w:lineRule="auto"/>
        <w:ind w:left="1080"/>
        <w:jc w:val="left"/>
        <w:rPr>
          <w:rFonts w:ascii="Tahoma" w:eastAsia="Times New Roman" w:hAnsi="Tahoma" w:cs="Tahoma"/>
          <w:sz w:val="24"/>
          <w:szCs w:val="24"/>
          <w:lang w:eastAsia="zh-CN"/>
        </w:rPr>
      </w:pPr>
      <w:r w:rsidRPr="00E67CE1">
        <w:rPr>
          <w:rFonts w:ascii="Tahoma" w:eastAsia="Times New Roman" w:hAnsi="Tahoma" w:cs="Tahoma"/>
          <w:sz w:val="24"/>
          <w:szCs w:val="24"/>
          <w:lang w:eastAsia="zh-CN"/>
        </w:rPr>
        <w:t>Licitații de titluri de stat pe piața interbancară</w:t>
      </w:r>
      <w:r w:rsidRPr="00E67CE1">
        <w:rPr>
          <w:rFonts w:ascii="Tahoma" w:eastAsia="Times New Roman" w:hAnsi="Tahoma" w:cs="Tahoma"/>
          <w:sz w:val="24"/>
          <w:szCs w:val="24"/>
          <w:lang w:val="en-US" w:eastAsia="zh-CN"/>
        </w:rPr>
        <w:t>:</w:t>
      </w:r>
      <w:r w:rsidRPr="00E67CE1">
        <w:rPr>
          <w:rFonts w:ascii="Tahoma" w:eastAsia="Times New Roman" w:hAnsi="Tahoma" w:cs="Tahoma"/>
          <w:color w:val="FF0000"/>
          <w:sz w:val="24"/>
          <w:szCs w:val="24"/>
          <w:lang w:val="en-US" w:eastAsia="zh-CN"/>
        </w:rPr>
        <w:t xml:space="preserve"> </w:t>
      </w:r>
      <w:r w:rsidRPr="00E67CE1">
        <w:rPr>
          <w:rFonts w:ascii="Tahoma" w:eastAsia="Times New Roman" w:hAnsi="Tahoma" w:cs="Tahoma"/>
          <w:sz w:val="24"/>
          <w:szCs w:val="24"/>
          <w:lang w:eastAsia="zh-CN"/>
        </w:rPr>
        <w:t>a fost adjudecată suma de 63,8 mld. RON</w:t>
      </w:r>
      <w:r w:rsidRPr="00E67CE1">
        <w:rPr>
          <w:rFonts w:ascii="Tahoma" w:eastAsia="Times New Roman" w:hAnsi="Tahoma" w:cs="Tahoma"/>
          <w:sz w:val="24"/>
          <w:szCs w:val="24"/>
          <w:vertAlign w:val="superscript"/>
          <w:lang w:eastAsia="zh-CN"/>
        </w:rPr>
        <w:footnoteReference w:id="23"/>
      </w:r>
      <w:r w:rsidRPr="00E67CE1">
        <w:rPr>
          <w:rFonts w:ascii="Tahoma" w:eastAsia="Times New Roman" w:hAnsi="Tahoma" w:cs="Tahoma"/>
          <w:sz w:val="24"/>
          <w:szCs w:val="24"/>
          <w:lang w:eastAsia="zh-CN"/>
        </w:rPr>
        <w:t xml:space="preserve"> , din care:</w:t>
      </w:r>
    </w:p>
    <w:p w:rsidR="00E67CE1" w:rsidRPr="00E67CE1" w:rsidRDefault="00E67CE1" w:rsidP="00E67CE1">
      <w:pPr>
        <w:numPr>
          <w:ilvl w:val="1"/>
          <w:numId w:val="2"/>
        </w:numPr>
        <w:suppressAutoHyphens/>
        <w:spacing w:after="0" w:line="276" w:lineRule="auto"/>
        <w:jc w:val="left"/>
        <w:rPr>
          <w:rFonts w:ascii="Tahoma" w:eastAsia="Times New Roman" w:hAnsi="Tahoma" w:cs="Tahoma"/>
          <w:sz w:val="24"/>
          <w:szCs w:val="24"/>
          <w:lang w:eastAsia="zh-CN"/>
        </w:rPr>
      </w:pPr>
      <w:r w:rsidRPr="00E67CE1">
        <w:rPr>
          <w:rFonts w:ascii="Tahoma" w:eastAsia="Times New Roman" w:hAnsi="Tahoma" w:cs="Tahoma"/>
          <w:sz w:val="24"/>
          <w:szCs w:val="24"/>
          <w:lang w:eastAsia="zh-CN"/>
        </w:rPr>
        <w:t xml:space="preserve">3,2 % - emisiuni de certificate de trezorerie cu </w:t>
      </w:r>
      <w:proofErr w:type="spellStart"/>
      <w:r w:rsidRPr="00E67CE1">
        <w:rPr>
          <w:rFonts w:ascii="Tahoma" w:eastAsia="Times New Roman" w:hAnsi="Tahoma" w:cs="Tahoma"/>
          <w:sz w:val="24"/>
          <w:szCs w:val="24"/>
          <w:lang w:eastAsia="zh-CN"/>
        </w:rPr>
        <w:t>discont</w:t>
      </w:r>
      <w:proofErr w:type="spellEnd"/>
      <w:r w:rsidRPr="00E67CE1">
        <w:rPr>
          <w:rFonts w:ascii="Tahoma" w:eastAsia="Times New Roman" w:hAnsi="Tahoma" w:cs="Tahoma"/>
          <w:sz w:val="24"/>
          <w:szCs w:val="24"/>
          <w:lang w:eastAsia="zh-CN"/>
        </w:rPr>
        <w:t xml:space="preserve"> cu maturitate de până la 12 luni și emisiuni de obligațiuni de tip </w:t>
      </w:r>
      <w:proofErr w:type="spellStart"/>
      <w:r w:rsidRPr="00E67CE1">
        <w:rPr>
          <w:rFonts w:ascii="Tahoma" w:eastAsia="Times New Roman" w:hAnsi="Tahoma" w:cs="Tahoma"/>
          <w:sz w:val="24"/>
          <w:szCs w:val="24"/>
          <w:lang w:eastAsia="zh-CN"/>
        </w:rPr>
        <w:t>benchmark</w:t>
      </w:r>
      <w:proofErr w:type="spellEnd"/>
      <w:r w:rsidRPr="00E67CE1">
        <w:rPr>
          <w:rFonts w:ascii="Tahoma" w:eastAsia="Times New Roman" w:hAnsi="Tahoma" w:cs="Tahoma"/>
          <w:sz w:val="24"/>
          <w:szCs w:val="24"/>
          <w:lang w:eastAsia="zh-CN"/>
        </w:rPr>
        <w:t xml:space="preserve"> cu maturități reziduale până la 1 an;</w:t>
      </w:r>
    </w:p>
    <w:p w:rsidR="00E67CE1" w:rsidRPr="00E67CE1" w:rsidRDefault="00E67CE1" w:rsidP="00E67CE1">
      <w:pPr>
        <w:numPr>
          <w:ilvl w:val="1"/>
          <w:numId w:val="2"/>
        </w:numPr>
        <w:suppressAutoHyphens/>
        <w:spacing w:after="0" w:line="276" w:lineRule="auto"/>
        <w:jc w:val="left"/>
        <w:rPr>
          <w:rFonts w:ascii="Tahoma" w:eastAsia="Times New Roman" w:hAnsi="Tahoma" w:cs="Tahoma"/>
          <w:sz w:val="24"/>
          <w:szCs w:val="24"/>
          <w:lang w:eastAsia="zh-CN"/>
        </w:rPr>
      </w:pPr>
      <w:r w:rsidRPr="00E67CE1">
        <w:rPr>
          <w:rFonts w:ascii="Tahoma" w:eastAsia="Times New Roman" w:hAnsi="Tahoma" w:cs="Tahoma"/>
          <w:sz w:val="24"/>
          <w:szCs w:val="24"/>
          <w:lang w:eastAsia="zh-CN"/>
        </w:rPr>
        <w:t xml:space="preserve">24,9 % - emisiuni de obligațiuni de tip </w:t>
      </w:r>
      <w:proofErr w:type="spellStart"/>
      <w:r w:rsidRPr="00E67CE1">
        <w:rPr>
          <w:rFonts w:ascii="Tahoma" w:eastAsia="Times New Roman" w:hAnsi="Tahoma" w:cs="Tahoma"/>
          <w:sz w:val="24"/>
          <w:szCs w:val="24"/>
          <w:lang w:eastAsia="zh-CN"/>
        </w:rPr>
        <w:t>benchmark</w:t>
      </w:r>
      <w:proofErr w:type="spellEnd"/>
      <w:r w:rsidRPr="00E67CE1">
        <w:rPr>
          <w:rFonts w:ascii="Tahoma" w:eastAsia="Times New Roman" w:hAnsi="Tahoma" w:cs="Tahoma"/>
          <w:sz w:val="24"/>
          <w:szCs w:val="24"/>
          <w:lang w:eastAsia="zh-CN"/>
        </w:rPr>
        <w:t xml:space="preserve"> cu maturități reziduale între 1 și 5 ani; și </w:t>
      </w:r>
    </w:p>
    <w:p w:rsidR="00E67CE1" w:rsidRPr="00E67CE1" w:rsidRDefault="00E67CE1" w:rsidP="00095BDD">
      <w:pPr>
        <w:numPr>
          <w:ilvl w:val="1"/>
          <w:numId w:val="2"/>
        </w:numPr>
        <w:suppressAutoHyphens/>
        <w:spacing w:after="240" w:line="276" w:lineRule="auto"/>
        <w:ind w:left="1434" w:hanging="357"/>
        <w:jc w:val="left"/>
        <w:rPr>
          <w:rFonts w:ascii="Tahoma" w:eastAsia="Times New Roman" w:hAnsi="Tahoma" w:cs="Tahoma"/>
          <w:sz w:val="24"/>
          <w:szCs w:val="24"/>
          <w:lang w:eastAsia="zh-CN"/>
        </w:rPr>
      </w:pPr>
      <w:r w:rsidRPr="00E67CE1">
        <w:rPr>
          <w:rFonts w:ascii="Tahoma" w:eastAsia="Times New Roman" w:hAnsi="Tahoma" w:cs="Tahoma"/>
          <w:sz w:val="24"/>
          <w:szCs w:val="24"/>
          <w:lang w:eastAsia="zh-CN"/>
        </w:rPr>
        <w:t xml:space="preserve">71,9 % - emisiuni de obligațiuni de tip </w:t>
      </w:r>
      <w:proofErr w:type="spellStart"/>
      <w:r w:rsidRPr="00E67CE1">
        <w:rPr>
          <w:rFonts w:ascii="Tahoma" w:eastAsia="Times New Roman" w:hAnsi="Tahoma" w:cs="Tahoma"/>
          <w:sz w:val="24"/>
          <w:szCs w:val="24"/>
          <w:lang w:eastAsia="zh-CN"/>
        </w:rPr>
        <w:t>benchmark</w:t>
      </w:r>
      <w:proofErr w:type="spellEnd"/>
      <w:r w:rsidRPr="00E67CE1">
        <w:rPr>
          <w:rFonts w:ascii="Tahoma" w:eastAsia="Times New Roman" w:hAnsi="Tahoma" w:cs="Tahoma"/>
          <w:sz w:val="24"/>
          <w:szCs w:val="24"/>
          <w:lang w:eastAsia="zh-CN"/>
        </w:rPr>
        <w:t xml:space="preserve"> cu maturități reziduale între 5 și 15 ani.</w:t>
      </w:r>
    </w:p>
    <w:p w:rsidR="00E67CE1" w:rsidRPr="00E67CE1" w:rsidRDefault="00E67CE1" w:rsidP="00095BDD">
      <w:pPr>
        <w:numPr>
          <w:ilvl w:val="1"/>
          <w:numId w:val="3"/>
        </w:numPr>
        <w:suppressAutoHyphens/>
        <w:spacing w:after="240" w:line="276" w:lineRule="auto"/>
        <w:ind w:left="1077"/>
        <w:jc w:val="left"/>
        <w:rPr>
          <w:rFonts w:ascii="Tahoma" w:eastAsia="Times New Roman" w:hAnsi="Tahoma" w:cs="Tahoma"/>
          <w:sz w:val="24"/>
          <w:szCs w:val="24"/>
          <w:lang w:eastAsia="zh-CN"/>
        </w:rPr>
      </w:pPr>
      <w:r w:rsidRPr="00E67CE1">
        <w:rPr>
          <w:rFonts w:ascii="Tahoma" w:eastAsia="Times New Roman" w:hAnsi="Tahoma" w:cs="Tahoma"/>
          <w:sz w:val="24"/>
          <w:szCs w:val="24"/>
          <w:lang w:eastAsia="zh-CN"/>
        </w:rPr>
        <w:t xml:space="preserve">Titluri de stat pentru populație: au fost lansate de titluri de stat destinate populației prin programele TEZAUR și FIDELIS în valoare totală de 7,3 mld. </w:t>
      </w:r>
      <w:r w:rsidRPr="00E67CE1">
        <w:rPr>
          <w:rFonts w:ascii="Tahoma" w:eastAsia="Times New Roman" w:hAnsi="Tahoma" w:cs="Tahoma"/>
          <w:sz w:val="24"/>
          <w:szCs w:val="24"/>
          <w:lang w:eastAsia="zh-CN"/>
        </w:rPr>
        <w:lastRenderedPageBreak/>
        <w:t>RON, din care</w:t>
      </w:r>
      <w:r w:rsidRPr="00E67CE1">
        <w:rPr>
          <w:rFonts w:ascii="Tahoma" w:eastAsia="Times New Roman" w:hAnsi="Tahoma" w:cs="Tahoma"/>
          <w:sz w:val="24"/>
          <w:szCs w:val="24"/>
          <w:lang w:val="en-US" w:eastAsia="zh-CN"/>
        </w:rPr>
        <w:t xml:space="preserve">: </w:t>
      </w:r>
      <w:r w:rsidRPr="00E67CE1">
        <w:rPr>
          <w:rFonts w:ascii="Tahoma" w:eastAsia="Times New Roman" w:hAnsi="Tahoma" w:cs="Tahoma"/>
          <w:sz w:val="24"/>
          <w:szCs w:val="24"/>
          <w:lang w:eastAsia="zh-CN"/>
        </w:rPr>
        <w:t>prin programul TEZAUR a fost atrasă suma de 4,2 mld. RON prin intermediul a 14 emisiuni cu maturități cuprinse între 1 si 3 ani, iar prin programul FIDELIS, au fost atrase 0,7 mld. RON și 473,2 mil. EUR, prin intermediul a 4 emisiuni cu maturități de 1 și 3 ani (RON) și respectiv 1 și 5 ani (EUR).</w:t>
      </w:r>
    </w:p>
    <w:p w:rsidR="00E67CE1" w:rsidRPr="00E67CE1" w:rsidRDefault="00E67CE1" w:rsidP="00E67CE1">
      <w:pPr>
        <w:numPr>
          <w:ilvl w:val="0"/>
          <w:numId w:val="3"/>
        </w:numPr>
        <w:suppressAutoHyphens/>
        <w:spacing w:after="0" w:line="276" w:lineRule="auto"/>
        <w:ind w:left="360"/>
        <w:jc w:val="left"/>
        <w:rPr>
          <w:rFonts w:ascii="Tahoma" w:eastAsia="Times New Roman" w:hAnsi="Tahoma" w:cs="Tahoma"/>
          <w:sz w:val="24"/>
          <w:szCs w:val="24"/>
          <w:lang w:val="it-IT" w:eastAsia="zh-CN"/>
        </w:rPr>
      </w:pPr>
      <w:r w:rsidRPr="00E67CE1">
        <w:rPr>
          <w:rFonts w:ascii="Tahoma" w:eastAsia="Times New Roman" w:hAnsi="Tahoma" w:cs="Tahoma"/>
          <w:sz w:val="24"/>
          <w:szCs w:val="24"/>
          <w:u w:val="single"/>
          <w:lang w:eastAsia="zh-CN"/>
        </w:rPr>
        <w:t>Piața externă: a</w:t>
      </w:r>
      <w:r w:rsidRPr="00E67CE1">
        <w:rPr>
          <w:rFonts w:ascii="Tahoma" w:eastAsia="Times New Roman" w:hAnsi="Tahoma" w:cs="Tahoma"/>
          <w:sz w:val="24"/>
          <w:szCs w:val="24"/>
          <w:lang w:val="it-IT" w:eastAsia="zh-CN"/>
        </w:rPr>
        <w:t xml:space="preserve"> fost atrasă suma 6,2 mld. echivalent EUR, prin două emisiuni  de euroobligațiuni și cinci plasamente private, astfel</w:t>
      </w:r>
      <w:r w:rsidRPr="00E67CE1">
        <w:rPr>
          <w:rFonts w:ascii="Tahoma" w:eastAsia="Times New Roman" w:hAnsi="Tahoma" w:cs="Tahoma"/>
          <w:sz w:val="24"/>
          <w:szCs w:val="24"/>
          <w:lang w:val="en-US" w:eastAsia="zh-CN"/>
        </w:rPr>
        <w:t>:</w:t>
      </w:r>
      <w:r w:rsidRPr="00E67CE1">
        <w:rPr>
          <w:rFonts w:ascii="Tahoma" w:eastAsia="Times New Roman" w:hAnsi="Tahoma" w:cs="Tahoma"/>
          <w:sz w:val="24"/>
          <w:szCs w:val="24"/>
          <w:lang w:val="it-IT" w:eastAsia="zh-CN"/>
        </w:rPr>
        <w:t xml:space="preserve"> </w:t>
      </w:r>
    </w:p>
    <w:p w:rsidR="00E67CE1" w:rsidRPr="00E67CE1" w:rsidRDefault="00E67CE1" w:rsidP="00E67CE1">
      <w:pPr>
        <w:suppressAutoHyphens/>
        <w:spacing w:after="0" w:line="276" w:lineRule="auto"/>
        <w:ind w:left="360" w:firstLine="0"/>
        <w:rPr>
          <w:rFonts w:ascii="Tahoma" w:eastAsia="Times New Roman" w:hAnsi="Tahoma" w:cs="Tahoma"/>
          <w:sz w:val="24"/>
          <w:szCs w:val="24"/>
          <w:lang w:val="it-IT" w:eastAsia="zh-CN"/>
        </w:rPr>
      </w:pPr>
    </w:p>
    <w:tbl>
      <w:tblPr>
        <w:tblW w:w="47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986"/>
        <w:gridCol w:w="1986"/>
        <w:gridCol w:w="2055"/>
        <w:gridCol w:w="1058"/>
      </w:tblGrid>
      <w:tr w:rsidR="00D062D1" w:rsidRPr="00E67CE1" w:rsidTr="00095BDD">
        <w:trPr>
          <w:trHeight w:val="440"/>
          <w:jc w:val="center"/>
        </w:trPr>
        <w:tc>
          <w:tcPr>
            <w:tcW w:w="901" w:type="pct"/>
            <w:shd w:val="clear" w:color="auto" w:fill="E2EFD9" w:themeFill="accent6" w:themeFillTint="33"/>
            <w:vAlign w:val="center"/>
          </w:tcPr>
          <w:p w:rsidR="00E67CE1" w:rsidRPr="00E67CE1" w:rsidRDefault="00E67CE1" w:rsidP="00243F7D">
            <w:pPr>
              <w:spacing w:after="0" w:line="276" w:lineRule="auto"/>
              <w:ind w:firstLine="0"/>
              <w:jc w:val="center"/>
              <w:rPr>
                <w:rFonts w:ascii="Tahoma" w:eastAsia="Calibri" w:hAnsi="Tahoma" w:cs="Tahoma"/>
                <w:b/>
                <w:color w:val="000000"/>
                <w:sz w:val="24"/>
                <w:szCs w:val="24"/>
                <w:lang w:val="en-US"/>
              </w:rPr>
            </w:pPr>
            <w:r w:rsidRPr="00E67CE1">
              <w:rPr>
                <w:rFonts w:ascii="Tahoma" w:eastAsia="Calibri" w:hAnsi="Tahoma" w:cs="Tahoma"/>
                <w:b/>
                <w:color w:val="000000"/>
                <w:sz w:val="24"/>
                <w:szCs w:val="24"/>
                <w:lang w:val="en-US"/>
              </w:rPr>
              <w:t>Luna</w:t>
            </w:r>
          </w:p>
        </w:tc>
        <w:tc>
          <w:tcPr>
            <w:tcW w:w="1149" w:type="pct"/>
            <w:shd w:val="clear" w:color="auto" w:fill="E2EFD9" w:themeFill="accent6" w:themeFillTint="33"/>
            <w:vAlign w:val="center"/>
          </w:tcPr>
          <w:p w:rsidR="00E67CE1" w:rsidRPr="00E67CE1" w:rsidRDefault="00E67CE1" w:rsidP="00243F7D">
            <w:pPr>
              <w:spacing w:after="0" w:line="276" w:lineRule="auto"/>
              <w:ind w:firstLine="0"/>
              <w:jc w:val="center"/>
              <w:rPr>
                <w:rFonts w:ascii="Tahoma" w:eastAsia="Calibri" w:hAnsi="Tahoma" w:cs="Tahoma"/>
                <w:b/>
                <w:color w:val="000000"/>
                <w:sz w:val="24"/>
                <w:szCs w:val="24"/>
                <w:lang w:val="en-US"/>
              </w:rPr>
            </w:pPr>
            <w:proofErr w:type="spellStart"/>
            <w:r w:rsidRPr="00E67CE1">
              <w:rPr>
                <w:rFonts w:ascii="Tahoma" w:eastAsia="Calibri" w:hAnsi="Tahoma" w:cs="Tahoma"/>
                <w:b/>
                <w:color w:val="000000"/>
                <w:sz w:val="24"/>
                <w:szCs w:val="24"/>
                <w:lang w:val="en-US"/>
              </w:rPr>
              <w:t>Valoare</w:t>
            </w:r>
            <w:proofErr w:type="spellEnd"/>
            <w:r w:rsidRPr="00E67CE1">
              <w:rPr>
                <w:rFonts w:ascii="Tahoma" w:eastAsia="Calibri" w:hAnsi="Tahoma" w:cs="Tahoma"/>
                <w:b/>
                <w:color w:val="000000"/>
                <w:sz w:val="24"/>
                <w:szCs w:val="24"/>
                <w:lang w:val="en-US"/>
              </w:rPr>
              <w:t xml:space="preserve"> </w:t>
            </w:r>
            <w:proofErr w:type="spellStart"/>
            <w:r w:rsidRPr="00E67CE1">
              <w:rPr>
                <w:rFonts w:ascii="Tahoma" w:eastAsia="Calibri" w:hAnsi="Tahoma" w:cs="Tahoma"/>
                <w:b/>
                <w:color w:val="000000"/>
                <w:sz w:val="24"/>
                <w:szCs w:val="24"/>
                <w:lang w:val="en-US"/>
              </w:rPr>
              <w:t>totală</w:t>
            </w:r>
            <w:proofErr w:type="spellEnd"/>
          </w:p>
        </w:tc>
        <w:tc>
          <w:tcPr>
            <w:tcW w:w="1149" w:type="pct"/>
            <w:shd w:val="clear" w:color="auto" w:fill="E2EFD9" w:themeFill="accent6" w:themeFillTint="33"/>
            <w:vAlign w:val="center"/>
          </w:tcPr>
          <w:p w:rsidR="00E67CE1" w:rsidRPr="00E67CE1" w:rsidRDefault="00E67CE1" w:rsidP="00243F7D">
            <w:pPr>
              <w:spacing w:after="0" w:line="276" w:lineRule="auto"/>
              <w:ind w:firstLine="0"/>
              <w:jc w:val="center"/>
              <w:rPr>
                <w:rFonts w:ascii="Tahoma" w:eastAsia="Calibri" w:hAnsi="Tahoma" w:cs="Tahoma"/>
                <w:b/>
                <w:color w:val="000000"/>
                <w:sz w:val="24"/>
                <w:szCs w:val="24"/>
                <w:lang w:val="en-US"/>
              </w:rPr>
            </w:pPr>
            <w:proofErr w:type="spellStart"/>
            <w:r w:rsidRPr="00E67CE1">
              <w:rPr>
                <w:rFonts w:ascii="Tahoma" w:eastAsia="Calibri" w:hAnsi="Tahoma" w:cs="Tahoma"/>
                <w:b/>
                <w:color w:val="000000"/>
                <w:sz w:val="24"/>
                <w:szCs w:val="24"/>
                <w:lang w:val="en-US"/>
              </w:rPr>
              <w:t>Maturitate</w:t>
            </w:r>
            <w:proofErr w:type="spellEnd"/>
          </w:p>
        </w:tc>
        <w:tc>
          <w:tcPr>
            <w:tcW w:w="1189" w:type="pct"/>
            <w:shd w:val="clear" w:color="auto" w:fill="E2EFD9" w:themeFill="accent6" w:themeFillTint="33"/>
            <w:vAlign w:val="center"/>
          </w:tcPr>
          <w:p w:rsidR="00E67CE1" w:rsidRPr="00E67CE1" w:rsidRDefault="00E67CE1" w:rsidP="00243F7D">
            <w:pPr>
              <w:spacing w:after="0" w:line="276" w:lineRule="auto"/>
              <w:ind w:firstLine="0"/>
              <w:jc w:val="center"/>
              <w:rPr>
                <w:rFonts w:ascii="Tahoma" w:eastAsia="Calibri" w:hAnsi="Tahoma" w:cs="Tahoma"/>
                <w:b/>
                <w:color w:val="000000"/>
                <w:sz w:val="24"/>
                <w:szCs w:val="24"/>
                <w:lang w:val="en-US"/>
              </w:rPr>
            </w:pPr>
            <w:proofErr w:type="spellStart"/>
            <w:r w:rsidRPr="00E67CE1">
              <w:rPr>
                <w:rFonts w:ascii="Tahoma" w:eastAsia="Calibri" w:hAnsi="Tahoma" w:cs="Tahoma"/>
                <w:b/>
                <w:color w:val="000000"/>
                <w:sz w:val="24"/>
                <w:szCs w:val="24"/>
                <w:lang w:val="en-US"/>
              </w:rPr>
              <w:t>Valoare</w:t>
            </w:r>
            <w:proofErr w:type="spellEnd"/>
          </w:p>
        </w:tc>
        <w:tc>
          <w:tcPr>
            <w:tcW w:w="612" w:type="pct"/>
            <w:shd w:val="clear" w:color="auto" w:fill="E2EFD9" w:themeFill="accent6" w:themeFillTint="33"/>
            <w:vAlign w:val="center"/>
          </w:tcPr>
          <w:p w:rsidR="00E67CE1" w:rsidRPr="00E67CE1" w:rsidRDefault="00E67CE1" w:rsidP="00243F7D">
            <w:pPr>
              <w:spacing w:after="0" w:line="276" w:lineRule="auto"/>
              <w:ind w:firstLine="0"/>
              <w:jc w:val="center"/>
              <w:rPr>
                <w:rFonts w:ascii="Tahoma" w:eastAsia="Calibri" w:hAnsi="Tahoma" w:cs="Tahoma"/>
                <w:b/>
                <w:color w:val="000000"/>
                <w:sz w:val="24"/>
                <w:szCs w:val="24"/>
                <w:lang w:val="en-US"/>
              </w:rPr>
            </w:pPr>
            <w:proofErr w:type="spellStart"/>
            <w:r w:rsidRPr="00E67CE1">
              <w:rPr>
                <w:rFonts w:ascii="Tahoma" w:eastAsia="Calibri" w:hAnsi="Tahoma" w:cs="Tahoma"/>
                <w:b/>
                <w:color w:val="000000"/>
                <w:sz w:val="24"/>
                <w:szCs w:val="24"/>
                <w:lang w:val="en-US"/>
              </w:rPr>
              <w:t>Cupon</w:t>
            </w:r>
            <w:proofErr w:type="spellEnd"/>
          </w:p>
        </w:tc>
      </w:tr>
      <w:tr w:rsidR="00E67CE1" w:rsidRPr="00E67CE1" w:rsidTr="00095BDD">
        <w:trPr>
          <w:trHeight w:val="341"/>
          <w:jc w:val="center"/>
        </w:trPr>
        <w:tc>
          <w:tcPr>
            <w:tcW w:w="901"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rPr>
                <w:rFonts w:ascii="Tahoma" w:eastAsia="Calibri" w:hAnsi="Tahoma" w:cs="Tahoma"/>
                <w:color w:val="000000"/>
                <w:sz w:val="24"/>
                <w:szCs w:val="24"/>
                <w:lang w:val="en-US"/>
              </w:rPr>
            </w:pPr>
            <w:proofErr w:type="spellStart"/>
            <w:r w:rsidRPr="00E67CE1">
              <w:rPr>
                <w:rFonts w:ascii="Tahoma" w:eastAsia="Calibri" w:hAnsi="Tahoma" w:cs="Tahoma"/>
                <w:color w:val="000000"/>
                <w:sz w:val="24"/>
                <w:szCs w:val="24"/>
                <w:lang w:val="en-US"/>
              </w:rPr>
              <w:t>Ianuarie</w:t>
            </w:r>
            <w:proofErr w:type="spellEnd"/>
            <w:r w:rsidRPr="00E67CE1">
              <w:rPr>
                <w:rFonts w:ascii="Tahoma" w:eastAsia="Calibri" w:hAnsi="Tahoma" w:cs="Tahoma"/>
                <w:color w:val="000000"/>
                <w:sz w:val="24"/>
                <w:szCs w:val="24"/>
                <w:lang w:val="en-US"/>
              </w:rPr>
              <w:t xml:space="preserve"> 2023</w:t>
            </w:r>
          </w:p>
        </w:tc>
        <w:tc>
          <w:tcPr>
            <w:tcW w:w="1149"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jc w:val="center"/>
              <w:rPr>
                <w:rFonts w:ascii="Tahoma" w:eastAsia="Calibri" w:hAnsi="Tahoma" w:cs="Tahoma"/>
                <w:b/>
                <w:color w:val="000000"/>
                <w:sz w:val="24"/>
                <w:szCs w:val="24"/>
                <w:lang w:val="en-US"/>
              </w:rPr>
            </w:pPr>
            <w:r w:rsidRPr="00E67CE1">
              <w:rPr>
                <w:rFonts w:ascii="Tahoma" w:eastAsia="Calibri" w:hAnsi="Tahoma" w:cs="Tahoma"/>
                <w:b/>
                <w:color w:val="000000"/>
                <w:sz w:val="24"/>
                <w:szCs w:val="24"/>
                <w:lang w:val="en-US"/>
              </w:rPr>
              <w:t xml:space="preserve">3,99 </w:t>
            </w:r>
            <w:proofErr w:type="spellStart"/>
            <w:r w:rsidRPr="00E67CE1">
              <w:rPr>
                <w:rFonts w:ascii="Tahoma" w:eastAsia="Calibri" w:hAnsi="Tahoma" w:cs="Tahoma"/>
                <w:b/>
                <w:color w:val="000000"/>
                <w:sz w:val="24"/>
                <w:szCs w:val="24"/>
                <w:lang w:val="en-US"/>
              </w:rPr>
              <w:t>mld</w:t>
            </w:r>
            <w:proofErr w:type="spellEnd"/>
            <w:r w:rsidRPr="00E67CE1">
              <w:rPr>
                <w:rFonts w:ascii="Tahoma" w:eastAsia="Calibri" w:hAnsi="Tahoma" w:cs="Tahoma"/>
                <w:b/>
                <w:color w:val="000000"/>
                <w:sz w:val="24"/>
                <w:szCs w:val="24"/>
                <w:lang w:val="en-US"/>
              </w:rPr>
              <w:t>. USD</w:t>
            </w:r>
          </w:p>
        </w:tc>
        <w:tc>
          <w:tcPr>
            <w:tcW w:w="1149"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rPr>
                <w:rFonts w:ascii="Tahoma" w:eastAsia="Calibri" w:hAnsi="Tahoma" w:cs="Tahoma"/>
                <w:color w:val="000000"/>
                <w:sz w:val="24"/>
                <w:szCs w:val="24"/>
                <w:lang w:val="en-US"/>
              </w:rPr>
            </w:pPr>
            <w:r w:rsidRPr="00E67CE1">
              <w:rPr>
                <w:rFonts w:ascii="Tahoma" w:eastAsia="Calibri" w:hAnsi="Tahoma" w:cs="Tahoma"/>
                <w:color w:val="000000"/>
                <w:sz w:val="24"/>
                <w:szCs w:val="24"/>
                <w:lang w:val="en-US"/>
              </w:rPr>
              <w:t xml:space="preserve">5 </w:t>
            </w:r>
            <w:proofErr w:type="spellStart"/>
            <w:r w:rsidRPr="00E67CE1">
              <w:rPr>
                <w:rFonts w:ascii="Tahoma" w:eastAsia="Calibri" w:hAnsi="Tahoma" w:cs="Tahoma"/>
                <w:color w:val="000000"/>
                <w:sz w:val="24"/>
                <w:szCs w:val="24"/>
                <w:lang w:val="en-US"/>
              </w:rPr>
              <w:t>ani</w:t>
            </w:r>
            <w:proofErr w:type="spellEnd"/>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rPr>
                <w:rFonts w:ascii="Tahoma" w:eastAsia="Calibri" w:hAnsi="Tahoma" w:cs="Tahoma"/>
                <w:color w:val="000000"/>
                <w:sz w:val="24"/>
                <w:szCs w:val="24"/>
                <w:lang w:val="en-US"/>
              </w:rPr>
            </w:pPr>
            <w:r w:rsidRPr="00E67CE1">
              <w:rPr>
                <w:rFonts w:ascii="Tahoma" w:eastAsia="Calibri" w:hAnsi="Tahoma" w:cs="Tahoma"/>
                <w:color w:val="000000"/>
                <w:sz w:val="24"/>
                <w:szCs w:val="24"/>
                <w:lang w:val="en-US"/>
              </w:rPr>
              <w:t xml:space="preserve">1,24 </w:t>
            </w:r>
            <w:proofErr w:type="spellStart"/>
            <w:r w:rsidRPr="00E67CE1">
              <w:rPr>
                <w:rFonts w:ascii="Tahoma" w:eastAsia="Calibri" w:hAnsi="Tahoma" w:cs="Tahoma"/>
                <w:color w:val="000000"/>
                <w:sz w:val="24"/>
                <w:szCs w:val="24"/>
                <w:lang w:val="en-US"/>
              </w:rPr>
              <w:t>mld</w:t>
            </w:r>
            <w:proofErr w:type="spellEnd"/>
            <w:r w:rsidRPr="00E67CE1">
              <w:rPr>
                <w:rFonts w:ascii="Tahoma" w:eastAsia="Calibri" w:hAnsi="Tahoma" w:cs="Tahoma"/>
                <w:color w:val="000000"/>
                <w:sz w:val="24"/>
                <w:szCs w:val="24"/>
                <w:lang w:val="en-US"/>
              </w:rPr>
              <w:t>. USD</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rPr>
                <w:rFonts w:ascii="Tahoma" w:eastAsia="Calibri" w:hAnsi="Tahoma" w:cs="Tahoma"/>
                <w:color w:val="000000"/>
                <w:sz w:val="24"/>
                <w:szCs w:val="24"/>
                <w:lang w:val="en-US"/>
              </w:rPr>
            </w:pPr>
            <w:r w:rsidRPr="00E67CE1">
              <w:rPr>
                <w:rFonts w:ascii="Tahoma" w:eastAsia="Calibri" w:hAnsi="Tahoma" w:cs="Tahoma"/>
                <w:color w:val="000000"/>
                <w:sz w:val="24"/>
                <w:szCs w:val="24"/>
                <w:lang w:val="en-US"/>
              </w:rPr>
              <w:t>6.625%</w:t>
            </w:r>
          </w:p>
        </w:tc>
      </w:tr>
      <w:tr w:rsidR="00E67CE1" w:rsidRPr="00E67CE1" w:rsidTr="00095BDD">
        <w:trPr>
          <w:trHeight w:val="287"/>
          <w:jc w:val="center"/>
        </w:trPr>
        <w:tc>
          <w:tcPr>
            <w:tcW w:w="901"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rPr>
                <w:rFonts w:ascii="Tahoma" w:eastAsia="Calibri" w:hAnsi="Tahoma" w:cs="Tahoma"/>
                <w:color w:val="000000"/>
                <w:sz w:val="24"/>
                <w:szCs w:val="24"/>
                <w:lang w:val="en-US"/>
              </w:rPr>
            </w:pPr>
          </w:p>
        </w:tc>
        <w:tc>
          <w:tcPr>
            <w:tcW w:w="1149"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jc w:val="center"/>
              <w:rPr>
                <w:rFonts w:ascii="Tahoma" w:eastAsia="Calibri" w:hAnsi="Tahoma" w:cs="Tahoma"/>
                <w:b/>
                <w:color w:val="000000"/>
                <w:sz w:val="24"/>
                <w:szCs w:val="24"/>
                <w:lang w:val="en-US"/>
              </w:rPr>
            </w:pPr>
          </w:p>
        </w:tc>
        <w:tc>
          <w:tcPr>
            <w:tcW w:w="1149"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jc w:val="left"/>
              <w:rPr>
                <w:rFonts w:ascii="Tahoma" w:eastAsia="Calibri" w:hAnsi="Tahoma" w:cs="Tahoma"/>
                <w:color w:val="000000"/>
                <w:sz w:val="24"/>
                <w:szCs w:val="24"/>
                <w:lang w:val="en-US"/>
              </w:rPr>
            </w:pPr>
            <w:r w:rsidRPr="00E67CE1">
              <w:rPr>
                <w:rFonts w:ascii="Tahoma" w:eastAsia="Calibri" w:hAnsi="Tahoma" w:cs="Tahoma"/>
                <w:color w:val="000000"/>
                <w:sz w:val="24"/>
                <w:szCs w:val="24"/>
                <w:lang w:val="en-US"/>
              </w:rPr>
              <w:t xml:space="preserve">10 </w:t>
            </w:r>
            <w:proofErr w:type="spellStart"/>
            <w:r w:rsidRPr="00E67CE1">
              <w:rPr>
                <w:rFonts w:ascii="Tahoma" w:eastAsia="Calibri" w:hAnsi="Tahoma" w:cs="Tahoma"/>
                <w:color w:val="000000"/>
                <w:sz w:val="24"/>
                <w:szCs w:val="24"/>
                <w:lang w:val="en-US"/>
              </w:rPr>
              <w:t>ani</w:t>
            </w:r>
            <w:proofErr w:type="spellEnd"/>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rPr>
                <w:rFonts w:ascii="Tahoma" w:eastAsia="Calibri" w:hAnsi="Tahoma" w:cs="Tahoma"/>
                <w:color w:val="000000"/>
                <w:sz w:val="24"/>
                <w:szCs w:val="24"/>
                <w:lang w:val="en-US"/>
              </w:rPr>
            </w:pPr>
            <w:r w:rsidRPr="00E67CE1">
              <w:rPr>
                <w:rFonts w:ascii="Tahoma" w:eastAsia="Calibri" w:hAnsi="Tahoma" w:cs="Tahoma"/>
                <w:color w:val="000000"/>
                <w:sz w:val="24"/>
                <w:szCs w:val="24"/>
                <w:lang w:val="en-US"/>
              </w:rPr>
              <w:t xml:space="preserve">1,5 </w:t>
            </w:r>
            <w:proofErr w:type="spellStart"/>
            <w:r w:rsidRPr="00E67CE1">
              <w:rPr>
                <w:rFonts w:ascii="Tahoma" w:eastAsia="Calibri" w:hAnsi="Tahoma" w:cs="Tahoma"/>
                <w:color w:val="000000"/>
                <w:sz w:val="24"/>
                <w:szCs w:val="24"/>
                <w:lang w:val="en-US"/>
              </w:rPr>
              <w:t>mld</w:t>
            </w:r>
            <w:proofErr w:type="spellEnd"/>
            <w:r w:rsidRPr="00E67CE1">
              <w:rPr>
                <w:rFonts w:ascii="Tahoma" w:eastAsia="Calibri" w:hAnsi="Tahoma" w:cs="Tahoma"/>
                <w:color w:val="000000"/>
                <w:sz w:val="24"/>
                <w:szCs w:val="24"/>
                <w:lang w:val="en-US"/>
              </w:rPr>
              <w:t>. USD</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rPr>
                <w:rFonts w:ascii="Tahoma" w:eastAsia="Calibri" w:hAnsi="Tahoma" w:cs="Tahoma"/>
                <w:color w:val="000000"/>
                <w:sz w:val="24"/>
                <w:szCs w:val="24"/>
                <w:lang w:val="en-US"/>
              </w:rPr>
            </w:pPr>
            <w:r w:rsidRPr="00E67CE1">
              <w:rPr>
                <w:rFonts w:ascii="Tahoma" w:eastAsia="Calibri" w:hAnsi="Tahoma" w:cs="Tahoma"/>
                <w:color w:val="000000"/>
                <w:sz w:val="24"/>
                <w:szCs w:val="24"/>
                <w:lang w:val="en-US"/>
              </w:rPr>
              <w:t>7,125%</w:t>
            </w:r>
          </w:p>
        </w:tc>
      </w:tr>
      <w:tr w:rsidR="00E67CE1" w:rsidRPr="00E67CE1" w:rsidTr="00095BDD">
        <w:trPr>
          <w:trHeight w:val="341"/>
          <w:jc w:val="center"/>
        </w:trPr>
        <w:tc>
          <w:tcPr>
            <w:tcW w:w="901"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rPr>
                <w:rFonts w:ascii="Tahoma" w:eastAsia="Calibri" w:hAnsi="Tahoma" w:cs="Tahoma"/>
                <w:color w:val="000000"/>
                <w:sz w:val="24"/>
                <w:szCs w:val="24"/>
                <w:lang w:val="en-US"/>
              </w:rPr>
            </w:pPr>
          </w:p>
        </w:tc>
        <w:tc>
          <w:tcPr>
            <w:tcW w:w="1149"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jc w:val="center"/>
              <w:rPr>
                <w:rFonts w:ascii="Tahoma" w:eastAsia="Calibri" w:hAnsi="Tahoma" w:cs="Tahoma"/>
                <w:b/>
                <w:color w:val="000000"/>
                <w:sz w:val="24"/>
                <w:szCs w:val="24"/>
                <w:lang w:val="en-US"/>
              </w:rPr>
            </w:pPr>
          </w:p>
        </w:tc>
        <w:tc>
          <w:tcPr>
            <w:tcW w:w="1149"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jc w:val="left"/>
              <w:rPr>
                <w:rFonts w:ascii="Tahoma" w:eastAsia="Calibri" w:hAnsi="Tahoma" w:cs="Tahoma"/>
                <w:color w:val="000000"/>
                <w:sz w:val="24"/>
                <w:szCs w:val="24"/>
                <w:lang w:val="en-US"/>
              </w:rPr>
            </w:pPr>
            <w:r w:rsidRPr="00E67CE1">
              <w:rPr>
                <w:rFonts w:ascii="Tahoma" w:eastAsia="Calibri" w:hAnsi="Tahoma" w:cs="Tahoma"/>
                <w:color w:val="000000"/>
                <w:sz w:val="24"/>
                <w:szCs w:val="24"/>
                <w:lang w:val="en-US"/>
              </w:rPr>
              <w:t xml:space="preserve">30 </w:t>
            </w:r>
            <w:proofErr w:type="spellStart"/>
            <w:r w:rsidRPr="00E67CE1">
              <w:rPr>
                <w:rFonts w:ascii="Tahoma" w:eastAsia="Calibri" w:hAnsi="Tahoma" w:cs="Tahoma"/>
                <w:color w:val="000000"/>
                <w:sz w:val="24"/>
                <w:szCs w:val="24"/>
                <w:lang w:val="en-US"/>
              </w:rPr>
              <w:t>ani</w:t>
            </w:r>
            <w:proofErr w:type="spellEnd"/>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rPr>
                <w:rFonts w:ascii="Tahoma" w:eastAsia="Calibri" w:hAnsi="Tahoma" w:cs="Tahoma"/>
                <w:color w:val="000000"/>
                <w:sz w:val="24"/>
                <w:szCs w:val="24"/>
                <w:lang w:val="en-US"/>
              </w:rPr>
            </w:pPr>
            <w:r w:rsidRPr="00E67CE1">
              <w:rPr>
                <w:rFonts w:ascii="Tahoma" w:eastAsia="Calibri" w:hAnsi="Tahoma" w:cs="Tahoma"/>
                <w:color w:val="000000"/>
                <w:sz w:val="24"/>
                <w:szCs w:val="24"/>
                <w:lang w:val="en-US"/>
              </w:rPr>
              <w:t xml:space="preserve">1,25 </w:t>
            </w:r>
            <w:proofErr w:type="spellStart"/>
            <w:r w:rsidRPr="00E67CE1">
              <w:rPr>
                <w:rFonts w:ascii="Tahoma" w:eastAsia="Calibri" w:hAnsi="Tahoma" w:cs="Tahoma"/>
                <w:color w:val="000000"/>
                <w:sz w:val="24"/>
                <w:szCs w:val="24"/>
                <w:lang w:val="en-US"/>
              </w:rPr>
              <w:t>mld</w:t>
            </w:r>
            <w:proofErr w:type="spellEnd"/>
            <w:r w:rsidRPr="00E67CE1">
              <w:rPr>
                <w:rFonts w:ascii="Tahoma" w:eastAsia="Calibri" w:hAnsi="Tahoma" w:cs="Tahoma"/>
                <w:color w:val="000000"/>
                <w:sz w:val="24"/>
                <w:szCs w:val="24"/>
                <w:lang w:val="en-US"/>
              </w:rPr>
              <w:t>. USD</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rPr>
                <w:rFonts w:ascii="Tahoma" w:eastAsia="Calibri" w:hAnsi="Tahoma" w:cs="Tahoma"/>
                <w:color w:val="000000"/>
                <w:sz w:val="24"/>
                <w:szCs w:val="24"/>
                <w:lang w:val="en-US"/>
              </w:rPr>
            </w:pPr>
            <w:r w:rsidRPr="00E67CE1">
              <w:rPr>
                <w:rFonts w:ascii="Tahoma" w:eastAsia="Calibri" w:hAnsi="Tahoma" w:cs="Tahoma"/>
                <w:color w:val="000000"/>
                <w:sz w:val="24"/>
                <w:szCs w:val="24"/>
                <w:lang w:val="en-US"/>
              </w:rPr>
              <w:t>7,625%</w:t>
            </w:r>
          </w:p>
        </w:tc>
      </w:tr>
      <w:tr w:rsidR="00E67CE1" w:rsidRPr="00E67CE1" w:rsidTr="00095BDD">
        <w:trPr>
          <w:trHeight w:val="503"/>
          <w:jc w:val="center"/>
        </w:trPr>
        <w:tc>
          <w:tcPr>
            <w:tcW w:w="901"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rPr>
                <w:rFonts w:ascii="Tahoma" w:eastAsia="Calibri" w:hAnsi="Tahoma" w:cs="Tahoma"/>
                <w:color w:val="000000"/>
                <w:sz w:val="24"/>
                <w:szCs w:val="24"/>
                <w:lang w:val="en-US"/>
              </w:rPr>
            </w:pPr>
            <w:proofErr w:type="spellStart"/>
            <w:r w:rsidRPr="00E67CE1">
              <w:rPr>
                <w:rFonts w:ascii="Tahoma" w:eastAsia="Calibri" w:hAnsi="Tahoma" w:cs="Tahoma"/>
                <w:color w:val="000000"/>
                <w:sz w:val="24"/>
                <w:szCs w:val="24"/>
                <w:lang w:val="en-US"/>
              </w:rPr>
              <w:t>Februarie</w:t>
            </w:r>
            <w:proofErr w:type="spellEnd"/>
            <w:r w:rsidRPr="00E67CE1">
              <w:rPr>
                <w:rFonts w:ascii="Tahoma" w:eastAsia="Calibri" w:hAnsi="Tahoma" w:cs="Tahoma"/>
                <w:color w:val="000000"/>
                <w:sz w:val="24"/>
                <w:szCs w:val="24"/>
                <w:lang w:val="en-US"/>
              </w:rPr>
              <w:t xml:space="preserve"> 2023</w:t>
            </w:r>
          </w:p>
        </w:tc>
        <w:tc>
          <w:tcPr>
            <w:tcW w:w="1149"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jc w:val="center"/>
              <w:rPr>
                <w:rFonts w:ascii="Tahoma" w:eastAsia="Calibri" w:hAnsi="Tahoma" w:cs="Tahoma"/>
                <w:b/>
                <w:color w:val="000000"/>
                <w:sz w:val="24"/>
                <w:szCs w:val="24"/>
                <w:lang w:val="en-US"/>
              </w:rPr>
            </w:pPr>
            <w:r w:rsidRPr="00E67CE1">
              <w:rPr>
                <w:rFonts w:ascii="Tahoma" w:eastAsia="Calibri" w:hAnsi="Tahoma" w:cs="Tahoma"/>
                <w:b/>
                <w:color w:val="000000"/>
                <w:sz w:val="24"/>
                <w:szCs w:val="24"/>
                <w:lang w:val="en-US"/>
              </w:rPr>
              <w:t xml:space="preserve">2 </w:t>
            </w:r>
            <w:proofErr w:type="spellStart"/>
            <w:r w:rsidRPr="00E67CE1">
              <w:rPr>
                <w:rFonts w:ascii="Tahoma" w:eastAsia="Calibri" w:hAnsi="Tahoma" w:cs="Tahoma"/>
                <w:b/>
                <w:color w:val="000000"/>
                <w:sz w:val="24"/>
                <w:szCs w:val="24"/>
                <w:lang w:val="en-US"/>
              </w:rPr>
              <w:t>mld</w:t>
            </w:r>
            <w:proofErr w:type="spellEnd"/>
            <w:r w:rsidRPr="00E67CE1">
              <w:rPr>
                <w:rFonts w:ascii="Tahoma" w:eastAsia="Calibri" w:hAnsi="Tahoma" w:cs="Tahoma"/>
                <w:b/>
                <w:color w:val="000000"/>
                <w:sz w:val="24"/>
                <w:szCs w:val="24"/>
                <w:lang w:val="en-US"/>
              </w:rPr>
              <w:t>. EUR</w:t>
            </w:r>
          </w:p>
        </w:tc>
        <w:tc>
          <w:tcPr>
            <w:tcW w:w="1149" w:type="pct"/>
            <w:tcBorders>
              <w:top w:val="single" w:sz="4" w:space="0" w:color="auto"/>
              <w:left w:val="single" w:sz="4" w:space="0" w:color="auto"/>
              <w:bottom w:val="single" w:sz="4" w:space="0" w:color="auto"/>
              <w:right w:val="single" w:sz="4" w:space="0" w:color="auto"/>
            </w:tcBorders>
            <w:shd w:val="clear" w:color="auto" w:fill="auto"/>
          </w:tcPr>
          <w:p w:rsidR="00243F7D" w:rsidRDefault="00E67CE1" w:rsidP="00243F7D">
            <w:pPr>
              <w:spacing w:after="0" w:line="276" w:lineRule="auto"/>
              <w:ind w:firstLine="0"/>
              <w:jc w:val="left"/>
              <w:rPr>
                <w:rFonts w:ascii="Tahoma" w:eastAsia="Calibri" w:hAnsi="Tahoma" w:cs="Tahoma"/>
                <w:color w:val="000000"/>
                <w:sz w:val="24"/>
                <w:szCs w:val="24"/>
                <w:lang w:val="en-US"/>
              </w:rPr>
            </w:pPr>
            <w:r w:rsidRPr="00E67CE1">
              <w:rPr>
                <w:rFonts w:ascii="Tahoma" w:eastAsia="Calibri" w:hAnsi="Tahoma" w:cs="Tahoma"/>
                <w:color w:val="000000"/>
                <w:sz w:val="24"/>
                <w:szCs w:val="24"/>
                <w:lang w:val="en-US"/>
              </w:rPr>
              <w:t xml:space="preserve">3 </w:t>
            </w:r>
            <w:proofErr w:type="spellStart"/>
            <w:r w:rsidRPr="00E67CE1">
              <w:rPr>
                <w:rFonts w:ascii="Tahoma" w:eastAsia="Calibri" w:hAnsi="Tahoma" w:cs="Tahoma"/>
                <w:color w:val="000000"/>
                <w:sz w:val="24"/>
                <w:szCs w:val="24"/>
                <w:lang w:val="en-US"/>
              </w:rPr>
              <w:t>ani</w:t>
            </w:r>
            <w:proofErr w:type="spellEnd"/>
            <w:r w:rsidRPr="00E67CE1">
              <w:rPr>
                <w:rFonts w:ascii="Tahoma" w:eastAsia="Calibri" w:hAnsi="Tahoma" w:cs="Tahoma"/>
                <w:color w:val="000000"/>
                <w:sz w:val="24"/>
                <w:szCs w:val="24"/>
                <w:lang w:val="en-US"/>
              </w:rPr>
              <w:t xml:space="preserve"> </w:t>
            </w:r>
          </w:p>
          <w:p w:rsidR="00E67CE1" w:rsidRPr="00E67CE1" w:rsidRDefault="00E67CE1" w:rsidP="00243F7D">
            <w:pPr>
              <w:spacing w:after="0" w:line="276" w:lineRule="auto"/>
              <w:ind w:firstLine="0"/>
              <w:jc w:val="left"/>
              <w:rPr>
                <w:rFonts w:ascii="Tahoma" w:eastAsia="Calibri" w:hAnsi="Tahoma" w:cs="Tahoma"/>
                <w:color w:val="000000"/>
                <w:sz w:val="24"/>
                <w:szCs w:val="24"/>
                <w:lang w:val="en-US"/>
              </w:rPr>
            </w:pPr>
            <w:r w:rsidRPr="00E67CE1">
              <w:rPr>
                <w:rFonts w:ascii="Tahoma" w:eastAsia="Calibri" w:hAnsi="Tahoma" w:cs="Tahoma"/>
                <w:color w:val="000000"/>
                <w:sz w:val="24"/>
                <w:szCs w:val="24"/>
                <w:lang w:val="en-US"/>
              </w:rPr>
              <w:t xml:space="preserve">(mat. </w:t>
            </w:r>
            <w:proofErr w:type="spellStart"/>
            <w:r w:rsidRPr="00E67CE1">
              <w:rPr>
                <w:rFonts w:ascii="Tahoma" w:eastAsia="Calibri" w:hAnsi="Tahoma" w:cs="Tahoma"/>
                <w:color w:val="000000"/>
                <w:sz w:val="24"/>
                <w:szCs w:val="24"/>
                <w:lang w:val="en-US"/>
              </w:rPr>
              <w:t>reziduală</w:t>
            </w:r>
            <w:proofErr w:type="spellEnd"/>
            <w:r w:rsidRPr="00E67CE1">
              <w:rPr>
                <w:rFonts w:ascii="Tahoma" w:eastAsia="Calibri" w:hAnsi="Tahoma" w:cs="Tahoma"/>
                <w:color w:val="000000"/>
                <w:sz w:val="24"/>
                <w:szCs w:val="24"/>
                <w:lang w:val="en-US"/>
              </w:rPr>
              <w:t>)</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rPr>
                <w:rFonts w:ascii="Tahoma" w:eastAsia="Calibri" w:hAnsi="Tahoma" w:cs="Tahoma"/>
                <w:color w:val="000000"/>
                <w:sz w:val="24"/>
                <w:szCs w:val="24"/>
                <w:lang w:val="en-US"/>
              </w:rPr>
            </w:pPr>
            <w:r w:rsidRPr="00E67CE1">
              <w:rPr>
                <w:rFonts w:ascii="Tahoma" w:eastAsia="Calibri" w:hAnsi="Tahoma" w:cs="Tahoma"/>
                <w:color w:val="000000"/>
                <w:sz w:val="24"/>
                <w:szCs w:val="24"/>
                <w:lang w:val="en-US"/>
              </w:rPr>
              <w:t xml:space="preserve">0,6 </w:t>
            </w:r>
            <w:proofErr w:type="spellStart"/>
            <w:r w:rsidRPr="00E67CE1">
              <w:rPr>
                <w:rFonts w:ascii="Tahoma" w:eastAsia="Calibri" w:hAnsi="Tahoma" w:cs="Tahoma"/>
                <w:color w:val="000000"/>
                <w:sz w:val="24"/>
                <w:szCs w:val="24"/>
                <w:lang w:val="en-US"/>
              </w:rPr>
              <w:t>mld</w:t>
            </w:r>
            <w:proofErr w:type="spellEnd"/>
            <w:r w:rsidRPr="00E67CE1">
              <w:rPr>
                <w:rFonts w:ascii="Tahoma" w:eastAsia="Calibri" w:hAnsi="Tahoma" w:cs="Tahoma"/>
                <w:color w:val="000000"/>
                <w:sz w:val="24"/>
                <w:szCs w:val="24"/>
                <w:lang w:val="en-US"/>
              </w:rPr>
              <w:t>. EUR</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rPr>
                <w:rFonts w:ascii="Tahoma" w:eastAsia="Calibri" w:hAnsi="Tahoma" w:cs="Tahoma"/>
                <w:color w:val="000000"/>
                <w:sz w:val="24"/>
                <w:szCs w:val="24"/>
                <w:lang w:val="en-US"/>
              </w:rPr>
            </w:pPr>
            <w:r w:rsidRPr="00E67CE1">
              <w:rPr>
                <w:rFonts w:ascii="Tahoma" w:eastAsia="Calibri" w:hAnsi="Tahoma" w:cs="Tahoma"/>
                <w:color w:val="000000"/>
                <w:sz w:val="24"/>
                <w:szCs w:val="24"/>
                <w:lang w:val="en-US"/>
              </w:rPr>
              <w:t>5,000%</w:t>
            </w:r>
          </w:p>
        </w:tc>
      </w:tr>
      <w:tr w:rsidR="00E67CE1" w:rsidRPr="00E67CE1" w:rsidTr="00095BDD">
        <w:trPr>
          <w:trHeight w:val="530"/>
          <w:jc w:val="center"/>
        </w:trPr>
        <w:tc>
          <w:tcPr>
            <w:tcW w:w="901"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rPr>
                <w:rFonts w:ascii="Tahoma" w:eastAsia="Calibri" w:hAnsi="Tahoma" w:cs="Tahoma"/>
                <w:color w:val="000000"/>
                <w:sz w:val="24"/>
                <w:szCs w:val="24"/>
                <w:lang w:val="en-US"/>
              </w:rPr>
            </w:pPr>
          </w:p>
        </w:tc>
        <w:tc>
          <w:tcPr>
            <w:tcW w:w="1149"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jc w:val="center"/>
              <w:rPr>
                <w:rFonts w:ascii="Tahoma" w:eastAsia="Calibri" w:hAnsi="Tahoma" w:cs="Tahoma"/>
                <w:b/>
                <w:color w:val="000000"/>
                <w:sz w:val="24"/>
                <w:szCs w:val="24"/>
                <w:lang w:val="en-US"/>
              </w:rPr>
            </w:pPr>
          </w:p>
        </w:tc>
        <w:tc>
          <w:tcPr>
            <w:tcW w:w="1149"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jc w:val="left"/>
              <w:rPr>
                <w:rFonts w:ascii="Tahoma" w:eastAsia="Calibri" w:hAnsi="Tahoma" w:cs="Tahoma"/>
                <w:color w:val="000000"/>
                <w:sz w:val="24"/>
                <w:szCs w:val="24"/>
                <w:lang w:val="en-US"/>
              </w:rPr>
            </w:pPr>
            <w:r w:rsidRPr="00E67CE1">
              <w:rPr>
                <w:rFonts w:ascii="Tahoma" w:eastAsia="Calibri" w:hAnsi="Tahoma" w:cs="Tahoma"/>
                <w:color w:val="000000"/>
                <w:sz w:val="24"/>
                <w:szCs w:val="24"/>
                <w:lang w:val="en-US"/>
              </w:rPr>
              <w:t xml:space="preserve">6 </w:t>
            </w:r>
            <w:proofErr w:type="spellStart"/>
            <w:r w:rsidRPr="00E67CE1">
              <w:rPr>
                <w:rFonts w:ascii="Tahoma" w:eastAsia="Calibri" w:hAnsi="Tahoma" w:cs="Tahoma"/>
                <w:color w:val="000000"/>
                <w:sz w:val="24"/>
                <w:szCs w:val="24"/>
                <w:lang w:val="en-US"/>
              </w:rPr>
              <w:t>ani</w:t>
            </w:r>
            <w:proofErr w:type="spellEnd"/>
            <w:r w:rsidRPr="00E67CE1">
              <w:rPr>
                <w:rFonts w:ascii="Tahoma" w:eastAsia="Calibri" w:hAnsi="Tahoma" w:cs="Tahoma"/>
                <w:color w:val="000000"/>
                <w:sz w:val="24"/>
                <w:szCs w:val="24"/>
                <w:lang w:val="en-US"/>
              </w:rPr>
              <w:t xml:space="preserve"> </w:t>
            </w:r>
          </w:p>
          <w:p w:rsidR="00E67CE1" w:rsidRPr="00E67CE1" w:rsidRDefault="00E67CE1" w:rsidP="00E67CE1">
            <w:pPr>
              <w:spacing w:after="0" w:line="276" w:lineRule="auto"/>
              <w:ind w:firstLine="0"/>
              <w:jc w:val="left"/>
              <w:rPr>
                <w:rFonts w:ascii="Tahoma" w:eastAsia="Calibri" w:hAnsi="Tahoma" w:cs="Tahoma"/>
                <w:color w:val="000000"/>
                <w:sz w:val="24"/>
                <w:szCs w:val="24"/>
                <w:lang w:val="en-US"/>
              </w:rPr>
            </w:pPr>
            <w:r w:rsidRPr="00E67CE1">
              <w:rPr>
                <w:rFonts w:ascii="Tahoma" w:eastAsia="Calibri" w:hAnsi="Tahoma" w:cs="Tahoma"/>
                <w:color w:val="000000"/>
                <w:sz w:val="24"/>
                <w:szCs w:val="24"/>
                <w:lang w:val="en-US"/>
              </w:rPr>
              <w:t xml:space="preserve">(mat. </w:t>
            </w:r>
            <w:proofErr w:type="spellStart"/>
            <w:r w:rsidRPr="00E67CE1">
              <w:rPr>
                <w:rFonts w:ascii="Tahoma" w:eastAsia="Calibri" w:hAnsi="Tahoma" w:cs="Tahoma"/>
                <w:color w:val="000000"/>
                <w:sz w:val="24"/>
                <w:szCs w:val="24"/>
                <w:lang w:val="en-US"/>
              </w:rPr>
              <w:t>reziduală</w:t>
            </w:r>
            <w:proofErr w:type="spellEnd"/>
            <w:r w:rsidRPr="00E67CE1">
              <w:rPr>
                <w:rFonts w:ascii="Tahoma" w:eastAsia="Calibri" w:hAnsi="Tahoma" w:cs="Tahoma"/>
                <w:color w:val="000000"/>
                <w:sz w:val="24"/>
                <w:szCs w:val="24"/>
                <w:lang w:val="en-US"/>
              </w:rPr>
              <w:t>)</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rPr>
                <w:rFonts w:ascii="Tahoma" w:eastAsia="Calibri" w:hAnsi="Tahoma" w:cs="Tahoma"/>
                <w:color w:val="000000"/>
                <w:sz w:val="24"/>
                <w:szCs w:val="24"/>
                <w:lang w:val="en-US"/>
              </w:rPr>
            </w:pPr>
            <w:r w:rsidRPr="00E67CE1">
              <w:rPr>
                <w:rFonts w:ascii="Tahoma" w:eastAsia="Calibri" w:hAnsi="Tahoma" w:cs="Tahoma"/>
                <w:color w:val="000000"/>
                <w:sz w:val="24"/>
                <w:szCs w:val="24"/>
                <w:lang w:val="en-US"/>
              </w:rPr>
              <w:t xml:space="preserve">1,4 </w:t>
            </w:r>
            <w:proofErr w:type="spellStart"/>
            <w:r w:rsidRPr="00E67CE1">
              <w:rPr>
                <w:rFonts w:ascii="Tahoma" w:eastAsia="Calibri" w:hAnsi="Tahoma" w:cs="Tahoma"/>
                <w:color w:val="000000"/>
                <w:sz w:val="24"/>
                <w:szCs w:val="24"/>
                <w:lang w:val="en-US"/>
              </w:rPr>
              <w:t>mld</w:t>
            </w:r>
            <w:proofErr w:type="spellEnd"/>
            <w:r w:rsidRPr="00E67CE1">
              <w:rPr>
                <w:rFonts w:ascii="Tahoma" w:eastAsia="Calibri" w:hAnsi="Tahoma" w:cs="Tahoma"/>
                <w:color w:val="000000"/>
                <w:sz w:val="24"/>
                <w:szCs w:val="24"/>
                <w:lang w:val="en-US"/>
              </w:rPr>
              <w:t>. EUR</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E67CE1" w:rsidRPr="00E67CE1" w:rsidRDefault="00E67CE1" w:rsidP="00E67CE1">
            <w:pPr>
              <w:spacing w:after="0" w:line="276" w:lineRule="auto"/>
              <w:ind w:firstLine="0"/>
              <w:rPr>
                <w:rFonts w:ascii="Tahoma" w:eastAsia="Calibri" w:hAnsi="Tahoma" w:cs="Tahoma"/>
                <w:color w:val="000000"/>
                <w:sz w:val="24"/>
                <w:szCs w:val="24"/>
              </w:rPr>
            </w:pPr>
            <w:r w:rsidRPr="00E67CE1">
              <w:rPr>
                <w:rFonts w:ascii="Tahoma" w:eastAsia="Calibri" w:hAnsi="Tahoma" w:cs="Tahoma"/>
                <w:color w:val="000000"/>
                <w:sz w:val="24"/>
                <w:szCs w:val="24"/>
                <w:lang w:val="en-US"/>
              </w:rPr>
              <w:t>6,625</w:t>
            </w:r>
            <w:r w:rsidRPr="00E67CE1">
              <w:rPr>
                <w:rFonts w:ascii="Tahoma" w:eastAsia="Calibri" w:hAnsi="Tahoma" w:cs="Tahoma"/>
                <w:color w:val="000000"/>
                <w:sz w:val="24"/>
                <w:szCs w:val="24"/>
              </w:rPr>
              <w:t>%</w:t>
            </w:r>
          </w:p>
        </w:tc>
      </w:tr>
    </w:tbl>
    <w:p w:rsidR="00E67CE1" w:rsidRPr="00E67CE1" w:rsidRDefault="00E67CE1" w:rsidP="00E67CE1">
      <w:pPr>
        <w:spacing w:after="0" w:line="276" w:lineRule="auto"/>
        <w:ind w:firstLine="0"/>
        <w:rPr>
          <w:rFonts w:ascii="Tahoma" w:eastAsia="Times New Roman" w:hAnsi="Tahoma" w:cs="Tahoma"/>
          <w:sz w:val="24"/>
          <w:szCs w:val="24"/>
          <w:lang w:val="it-IT" w:eastAsia="zh-CN"/>
        </w:rPr>
      </w:pPr>
    </w:p>
    <w:p w:rsidR="00E67CE1" w:rsidRPr="00E67CE1" w:rsidRDefault="00E67CE1" w:rsidP="00095BDD">
      <w:pPr>
        <w:spacing w:after="0" w:line="276" w:lineRule="auto"/>
        <w:ind w:left="227" w:firstLine="0"/>
        <w:rPr>
          <w:rFonts w:ascii="Tahoma" w:eastAsia="Times New Roman" w:hAnsi="Tahoma" w:cs="Tahoma"/>
          <w:sz w:val="24"/>
          <w:szCs w:val="24"/>
          <w:lang w:val="it-IT" w:eastAsia="zh-CN"/>
        </w:rPr>
      </w:pPr>
      <w:r w:rsidRPr="00E67CE1">
        <w:rPr>
          <w:rFonts w:ascii="Tahoma" w:eastAsia="Times New Roman" w:hAnsi="Tahoma" w:cs="Tahoma"/>
          <w:sz w:val="24"/>
          <w:szCs w:val="24"/>
          <w:lang w:val="it-IT" w:eastAsia="zh-CN"/>
        </w:rPr>
        <w:t>Prin utilizarea unor împrumuturi sub forma plasamentelor private s-a avut în vedere completarea finanțării de pe piețele financiare internaționale.</w:t>
      </w:r>
    </w:p>
    <w:p w:rsidR="00E67CE1" w:rsidRPr="00E67CE1" w:rsidRDefault="00E67CE1" w:rsidP="00095BDD">
      <w:pPr>
        <w:suppressAutoHyphens/>
        <w:spacing w:before="120" w:after="120" w:line="276" w:lineRule="auto"/>
        <w:ind w:left="227" w:firstLine="0"/>
        <w:rPr>
          <w:rFonts w:ascii="Tahoma" w:eastAsia="Times New Roman" w:hAnsi="Tahoma" w:cs="Tahoma"/>
          <w:sz w:val="24"/>
          <w:szCs w:val="24"/>
          <w:lang w:val="it-IT" w:eastAsia="zh-CN"/>
        </w:rPr>
      </w:pPr>
      <w:r w:rsidRPr="00E67CE1">
        <w:rPr>
          <w:rFonts w:ascii="Tahoma" w:eastAsia="Times New Roman" w:hAnsi="Tahoma" w:cs="Tahoma"/>
          <w:sz w:val="24"/>
          <w:szCs w:val="24"/>
          <w:lang w:val="it-IT" w:eastAsia="zh-CN"/>
        </w:rPr>
        <w:t>Tragerile aferente împrumuturilor contractate de la instituțiile financiare internaționale au fost de cca. 153,5 mil. EUR.</w:t>
      </w:r>
    </w:p>
    <w:p w:rsidR="00E67CE1" w:rsidRPr="00E67CE1" w:rsidRDefault="00E67CE1" w:rsidP="00095BDD">
      <w:pPr>
        <w:suppressAutoHyphens/>
        <w:spacing w:after="120" w:line="276" w:lineRule="auto"/>
        <w:ind w:left="227" w:firstLine="0"/>
        <w:rPr>
          <w:rFonts w:ascii="Tahoma" w:eastAsia="Times New Roman" w:hAnsi="Tahoma" w:cs="Tahoma"/>
          <w:bCs/>
          <w:sz w:val="24"/>
          <w:szCs w:val="24"/>
        </w:rPr>
      </w:pPr>
      <w:r w:rsidRPr="00E67CE1">
        <w:rPr>
          <w:rFonts w:ascii="Tahoma" w:eastAsia="Times New Roman" w:hAnsi="Tahoma" w:cs="Tahoma"/>
          <w:bCs/>
          <w:sz w:val="24"/>
          <w:szCs w:val="24"/>
        </w:rPr>
        <w:t>Pentru îmbunătățirea managementului datoriei publice și evitarea presiunilor sezoniere în asigurarea surselor de finanțare a deficitului bugetar și de refinanțare a datoriei publice guvernamentale, în vederea reducerii riscului de refinanțare și de lichiditate, Ministerul Finanțelor a consolidat rezerva financiară (buffer) în valută la dispoziția Trezoreriei Statului, în valoare echivalentă acoperirii necesităților de finanțare a deficitului bugetar și refinanțării datoriei publice de până la 4 luni.</w:t>
      </w:r>
    </w:p>
    <w:p w:rsidR="00E67CE1" w:rsidRPr="00E67CE1" w:rsidRDefault="00E67CE1" w:rsidP="00095BDD">
      <w:pPr>
        <w:suppressAutoHyphens/>
        <w:spacing w:after="240" w:line="276" w:lineRule="auto"/>
        <w:ind w:firstLine="0"/>
        <w:rPr>
          <w:rFonts w:ascii="Tahoma" w:eastAsia="Times New Roman" w:hAnsi="Tahoma" w:cs="Tahoma"/>
          <w:bCs/>
          <w:sz w:val="24"/>
          <w:szCs w:val="24"/>
        </w:rPr>
      </w:pPr>
      <w:r w:rsidRPr="00E67CE1">
        <w:rPr>
          <w:rFonts w:ascii="Tahoma" w:eastAsia="Times New Roman" w:hAnsi="Tahoma" w:cs="Tahoma"/>
          <w:b/>
          <w:bCs/>
          <w:sz w:val="24"/>
          <w:szCs w:val="24"/>
        </w:rPr>
        <w:t xml:space="preserve">Garanțiile de stat acordate în cadrul programelor guvernamentale </w:t>
      </w:r>
      <w:r w:rsidRPr="00E67CE1">
        <w:rPr>
          <w:rFonts w:ascii="Tahoma" w:eastAsia="Times New Roman" w:hAnsi="Tahoma" w:cs="Tahoma"/>
          <w:bCs/>
          <w:sz w:val="24"/>
          <w:szCs w:val="24"/>
        </w:rPr>
        <w:t>IMM Invest Plus (OUG 99/2022) și Noua casă (OUG 60/2009),</w:t>
      </w:r>
      <w:r w:rsidRPr="00E67CE1">
        <w:rPr>
          <w:rFonts w:ascii="Tahoma" w:eastAsia="Times New Roman" w:hAnsi="Tahoma" w:cs="Tahoma"/>
          <w:bCs/>
          <w:color w:val="FF0000"/>
          <w:sz w:val="24"/>
          <w:szCs w:val="24"/>
        </w:rPr>
        <w:t xml:space="preserve"> </w:t>
      </w:r>
      <w:r w:rsidRPr="00E67CE1">
        <w:rPr>
          <w:rFonts w:ascii="Tahoma" w:eastAsia="Times New Roman" w:hAnsi="Tahoma" w:cs="Tahoma"/>
          <w:bCs/>
          <w:sz w:val="24"/>
          <w:szCs w:val="24"/>
        </w:rPr>
        <w:t>au fost în sumă de cca 7,83 mld. lei, în limita plafonului de 40 mld. lei stabilit prin Legea nr.360/2022 pentru aprobarea plafoanelor unor indicatori specificați în cadrul fiscal-bugetar pe anul 2023.</w:t>
      </w:r>
    </w:p>
    <w:p w:rsidR="00B10B85" w:rsidRPr="00E67CE1" w:rsidRDefault="00433503" w:rsidP="00E67CE1">
      <w:pPr>
        <w:suppressAutoHyphens/>
        <w:spacing w:before="120" w:after="120" w:line="276" w:lineRule="auto"/>
        <w:ind w:firstLine="0"/>
        <w:rPr>
          <w:rFonts w:ascii="Tahoma" w:eastAsia="Calibri" w:hAnsi="Tahoma" w:cs="Tahoma"/>
          <w:b/>
          <w:bCs/>
          <w:sz w:val="24"/>
          <w:szCs w:val="24"/>
        </w:rPr>
      </w:pPr>
      <w:r w:rsidRPr="00E67CE1">
        <w:rPr>
          <w:rFonts w:ascii="Tahoma" w:eastAsia="Calibri" w:hAnsi="Tahoma" w:cs="Tahoma"/>
          <w:b/>
          <w:bCs/>
          <w:sz w:val="24"/>
          <w:szCs w:val="24"/>
        </w:rPr>
        <w:t>IV</w:t>
      </w:r>
      <w:r w:rsidR="0057284B" w:rsidRPr="00E67CE1">
        <w:rPr>
          <w:rFonts w:ascii="Tahoma" w:eastAsia="Calibri" w:hAnsi="Tahoma" w:cs="Tahoma"/>
          <w:b/>
          <w:bCs/>
          <w:sz w:val="24"/>
          <w:szCs w:val="24"/>
        </w:rPr>
        <w:t>.3 Datoria publică locală</w:t>
      </w:r>
    </w:p>
    <w:p w:rsidR="00E67CE1" w:rsidRPr="00E67CE1" w:rsidRDefault="00E67CE1" w:rsidP="00E67CE1">
      <w:pPr>
        <w:suppressAutoHyphens/>
        <w:spacing w:before="100" w:beforeAutospacing="1" w:after="100" w:afterAutospacing="1" w:line="276" w:lineRule="auto"/>
        <w:ind w:firstLine="0"/>
        <w:rPr>
          <w:rFonts w:ascii="Tahoma" w:eastAsia="MS Mincho" w:hAnsi="Tahoma" w:cs="Tahoma"/>
          <w:noProof/>
          <w:sz w:val="24"/>
          <w:szCs w:val="24"/>
          <w:lang w:eastAsia="ja-JP"/>
        </w:rPr>
      </w:pPr>
      <w:r w:rsidRPr="00E67CE1">
        <w:rPr>
          <w:rFonts w:ascii="Tahoma" w:eastAsia="MS Mincho" w:hAnsi="Tahoma" w:cs="Tahoma"/>
          <w:noProof/>
          <w:sz w:val="24"/>
          <w:szCs w:val="24"/>
          <w:lang w:eastAsia="ja-JP"/>
        </w:rPr>
        <w:t xml:space="preserve">În primul semestru al anului 2023, tragerile autorizate din finanțările rambursabile contractate sau care urmau să fie contractate de către unitățile/subdiviziunile administrativ-teritoriale au fost în sumă de 2 mld. lei, iar finanțările rambursabile autorizate pentru a fi contractate de unitățile/subdiviziunile administrativ-teritoriale pentru realizarea de investiții publice de interes local au fost în valoare de cca. 1,1 mld. </w:t>
      </w:r>
      <w:r w:rsidRPr="00E67CE1">
        <w:rPr>
          <w:rFonts w:ascii="Tahoma" w:eastAsia="MS Mincho" w:hAnsi="Tahoma" w:cs="Tahoma"/>
          <w:noProof/>
          <w:sz w:val="24"/>
          <w:szCs w:val="24"/>
          <w:lang w:eastAsia="ja-JP"/>
        </w:rPr>
        <w:lastRenderedPageBreak/>
        <w:t>lei, în limita plafoanelor anuale aprobate prin Legea nr. 360/2022 pentru aprobarea plafoanelor unor indicatori specificați în cadrul fiscal-bugetar pe anul 2023.</w:t>
      </w:r>
    </w:p>
    <w:p w:rsidR="00E67CE1" w:rsidRDefault="00E67CE1" w:rsidP="00E67CE1">
      <w:pPr>
        <w:suppressAutoHyphens/>
        <w:spacing w:before="100" w:beforeAutospacing="1" w:after="100" w:afterAutospacing="1" w:line="276" w:lineRule="auto"/>
        <w:ind w:firstLine="0"/>
        <w:rPr>
          <w:rFonts w:ascii="Tahoma" w:eastAsia="MS Mincho" w:hAnsi="Tahoma" w:cs="Tahoma"/>
          <w:noProof/>
          <w:sz w:val="24"/>
          <w:szCs w:val="24"/>
          <w:lang w:eastAsia="ja-JP"/>
        </w:rPr>
      </w:pPr>
      <w:r w:rsidRPr="00E67CE1">
        <w:rPr>
          <w:rFonts w:ascii="Tahoma" w:eastAsia="MS Mincho" w:hAnsi="Tahoma" w:cs="Tahoma"/>
          <w:noProof/>
          <w:sz w:val="24"/>
          <w:szCs w:val="24"/>
          <w:lang w:eastAsia="ja-JP"/>
        </w:rPr>
        <w:t>De asemenea, au fost autorizate finanțări rambursabile, în sumă totală de cca. 797 mil. lei, pentru a fi contractate de unitățile/subdiviziunile administrativ-teritoriale în vederea prefinanțării și/sau cofinanțării de proiecte care beneficiază de fonduri externe nerambursabile de la Uniunea Europeană, iar în baza art. 1 din Ordonanța de urgență a Guvernului nr. 24/2023 privind unele măsuri fiscal-bugetare destinate acordării unor împrumuturi din Trezoreria Statului, au fost autorizate împrumuturi în sumă totală de cca. 155 mil. lei destinate cofinanțării proiectelor finanțate din fonduri externe nerambursabile de la Uniunea Europeană și de la donatori europeni în cadrul programelor interguvernamentale, inclusiv pentru cheltuielile neeligibile asociate proiectelor.</w:t>
      </w:r>
    </w:p>
    <w:p w:rsidR="00C60107" w:rsidRPr="007403CD" w:rsidRDefault="00C60107" w:rsidP="002A6579">
      <w:pPr>
        <w:pStyle w:val="Heading1"/>
        <w:pageBreakBefore/>
        <w:spacing w:after="240" w:line="276" w:lineRule="auto"/>
        <w:ind w:hanging="360"/>
        <w:rPr>
          <w:rFonts w:ascii="Tahoma" w:eastAsia="MS Mincho" w:hAnsi="Tahoma" w:cs="Tahoma"/>
          <w:b/>
          <w:noProof/>
          <w:sz w:val="24"/>
          <w:szCs w:val="24"/>
          <w:lang w:eastAsia="ja-JP"/>
        </w:rPr>
      </w:pPr>
      <w:r w:rsidRPr="007403CD">
        <w:rPr>
          <w:rFonts w:ascii="Tahoma" w:eastAsia="MS Mincho" w:hAnsi="Tahoma" w:cs="Tahoma"/>
          <w:b/>
          <w:noProof/>
          <w:sz w:val="24"/>
          <w:szCs w:val="24"/>
          <w:lang w:eastAsia="ja-JP"/>
        </w:rPr>
        <w:lastRenderedPageBreak/>
        <w:tab/>
      </w:r>
      <w:bookmarkStart w:id="25" w:name="_Toc140151610"/>
      <w:r w:rsidR="007D49B8" w:rsidRPr="007403CD">
        <w:rPr>
          <w:rFonts w:ascii="Tahoma" w:eastAsia="MS Mincho" w:hAnsi="Tahoma" w:cs="Tahoma"/>
          <w:b/>
          <w:noProof/>
          <w:color w:val="auto"/>
          <w:sz w:val="24"/>
          <w:szCs w:val="24"/>
          <w:lang w:eastAsia="ja-JP"/>
        </w:rPr>
        <w:t xml:space="preserve">V. </w:t>
      </w:r>
      <w:r w:rsidRPr="007403CD">
        <w:rPr>
          <w:rFonts w:ascii="Tahoma" w:eastAsia="MS Mincho" w:hAnsi="Tahoma" w:cs="Tahoma"/>
          <w:b/>
          <w:noProof/>
          <w:color w:val="auto"/>
          <w:sz w:val="24"/>
          <w:szCs w:val="24"/>
          <w:lang w:eastAsia="ja-JP"/>
        </w:rPr>
        <w:t>Absorbția fondurilor externe nerambursabile</w:t>
      </w:r>
      <w:bookmarkEnd w:id="25"/>
    </w:p>
    <w:p w:rsidR="0015078D" w:rsidRPr="0015078D" w:rsidRDefault="0015078D" w:rsidP="002615A2">
      <w:pPr>
        <w:spacing w:after="120" w:line="276" w:lineRule="auto"/>
        <w:ind w:firstLine="0"/>
        <w:rPr>
          <w:rFonts w:ascii="Tahoma" w:eastAsia="Calibri" w:hAnsi="Tahoma" w:cs="Tahoma"/>
          <w:sz w:val="24"/>
          <w:szCs w:val="24"/>
          <w:lang w:val="en-US"/>
        </w:rPr>
      </w:pPr>
      <w:bookmarkStart w:id="26" w:name="_Toc425320862"/>
      <w:bookmarkStart w:id="27" w:name="_Toc456256938"/>
      <w:bookmarkStart w:id="28" w:name="_Toc456257462"/>
      <w:bookmarkStart w:id="29" w:name="_Toc456258320"/>
      <w:bookmarkStart w:id="30" w:name="_Toc456258425"/>
      <w:proofErr w:type="spellStart"/>
      <w:r w:rsidRPr="0015078D">
        <w:rPr>
          <w:rFonts w:ascii="Tahoma" w:eastAsia="Calibri" w:hAnsi="Tahoma" w:cs="Tahoma"/>
          <w:sz w:val="24"/>
          <w:szCs w:val="24"/>
          <w:lang w:val="en-US"/>
        </w:rPr>
        <w:t>Pentru</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perioada</w:t>
      </w:r>
      <w:proofErr w:type="spellEnd"/>
      <w:r w:rsidRPr="0015078D">
        <w:rPr>
          <w:rFonts w:ascii="Tahoma" w:eastAsia="Calibri" w:hAnsi="Tahoma" w:cs="Tahoma"/>
          <w:sz w:val="24"/>
          <w:szCs w:val="24"/>
          <w:lang w:val="en-US"/>
        </w:rPr>
        <w:t xml:space="preserve"> de </w:t>
      </w:r>
      <w:proofErr w:type="spellStart"/>
      <w:r w:rsidRPr="0015078D">
        <w:rPr>
          <w:rFonts w:ascii="Tahoma" w:eastAsia="Calibri" w:hAnsi="Tahoma" w:cs="Tahoma"/>
          <w:sz w:val="24"/>
          <w:szCs w:val="24"/>
          <w:lang w:val="en-US"/>
        </w:rPr>
        <w:t>programare</w:t>
      </w:r>
      <w:proofErr w:type="spellEnd"/>
      <w:r w:rsidRPr="0015078D">
        <w:rPr>
          <w:rFonts w:ascii="Tahoma" w:eastAsia="Calibri" w:hAnsi="Tahoma" w:cs="Tahoma"/>
          <w:sz w:val="24"/>
          <w:szCs w:val="24"/>
          <w:lang w:val="en-US"/>
        </w:rPr>
        <w:t xml:space="preserve"> 2021-2027, </w:t>
      </w:r>
      <w:proofErr w:type="spellStart"/>
      <w:r w:rsidRPr="0015078D">
        <w:rPr>
          <w:rFonts w:ascii="Tahoma" w:eastAsia="Calibri" w:hAnsi="Tahoma" w:cs="Tahoma"/>
          <w:sz w:val="24"/>
          <w:szCs w:val="24"/>
          <w:lang w:val="en-US"/>
        </w:rPr>
        <w:t>România</w:t>
      </w:r>
      <w:proofErr w:type="spellEnd"/>
      <w:r w:rsidRPr="0015078D">
        <w:rPr>
          <w:rFonts w:ascii="Tahoma" w:eastAsia="Calibri" w:hAnsi="Tahoma" w:cs="Tahoma"/>
          <w:sz w:val="24"/>
          <w:szCs w:val="24"/>
          <w:lang w:val="en-US"/>
        </w:rPr>
        <w:t xml:space="preserve"> are o </w:t>
      </w:r>
      <w:proofErr w:type="spellStart"/>
      <w:r w:rsidRPr="0015078D">
        <w:rPr>
          <w:rFonts w:ascii="Tahoma" w:eastAsia="Calibri" w:hAnsi="Tahoma" w:cs="Tahoma"/>
          <w:sz w:val="24"/>
          <w:szCs w:val="24"/>
          <w:lang w:val="en-US"/>
        </w:rPr>
        <w:t>alocare</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totală</w:t>
      </w:r>
      <w:proofErr w:type="spellEnd"/>
      <w:r w:rsidRPr="0015078D">
        <w:rPr>
          <w:rFonts w:ascii="Tahoma" w:eastAsia="Calibri" w:hAnsi="Tahoma" w:cs="Tahoma"/>
          <w:sz w:val="24"/>
          <w:szCs w:val="24"/>
          <w:lang w:val="en-US"/>
        </w:rPr>
        <w:t xml:space="preserve">, de </w:t>
      </w:r>
      <w:proofErr w:type="spellStart"/>
      <w:r w:rsidRPr="0015078D">
        <w:rPr>
          <w:rFonts w:ascii="Tahoma" w:eastAsia="Calibri" w:hAnsi="Tahoma" w:cs="Tahoma"/>
          <w:sz w:val="24"/>
          <w:szCs w:val="24"/>
          <w:lang w:val="en-US"/>
        </w:rPr>
        <w:t>cca</w:t>
      </w:r>
      <w:proofErr w:type="spellEnd"/>
      <w:r w:rsidRPr="0015078D">
        <w:rPr>
          <w:rFonts w:ascii="Tahoma" w:eastAsia="Calibri" w:hAnsi="Tahoma" w:cs="Tahoma"/>
          <w:sz w:val="24"/>
          <w:szCs w:val="24"/>
          <w:lang w:val="en-US"/>
        </w:rPr>
        <w:t xml:space="preserve">. 80 </w:t>
      </w:r>
      <w:proofErr w:type="spellStart"/>
      <w:r w:rsidRPr="0015078D">
        <w:rPr>
          <w:rFonts w:ascii="Tahoma" w:eastAsia="Calibri" w:hAnsi="Tahoma" w:cs="Tahoma"/>
          <w:sz w:val="24"/>
          <w:szCs w:val="24"/>
          <w:lang w:val="en-US"/>
        </w:rPr>
        <w:t>mld</w:t>
      </w:r>
      <w:proofErr w:type="spellEnd"/>
      <w:r w:rsidRPr="0015078D">
        <w:rPr>
          <w:rFonts w:ascii="Tahoma" w:eastAsia="Calibri" w:hAnsi="Tahoma" w:cs="Tahoma"/>
          <w:sz w:val="24"/>
          <w:szCs w:val="24"/>
          <w:lang w:val="en-US"/>
        </w:rPr>
        <w:t xml:space="preserve">. euro, din </w:t>
      </w:r>
      <w:proofErr w:type="spellStart"/>
      <w:r w:rsidRPr="0015078D">
        <w:rPr>
          <w:rFonts w:ascii="Tahoma" w:eastAsia="Calibri" w:hAnsi="Tahoma" w:cs="Tahoma"/>
          <w:sz w:val="24"/>
          <w:szCs w:val="24"/>
          <w:lang w:val="en-US"/>
        </w:rPr>
        <w:t>fonduri</w:t>
      </w:r>
      <w:proofErr w:type="spellEnd"/>
      <w:r w:rsidRPr="0015078D">
        <w:rPr>
          <w:rFonts w:ascii="Tahoma" w:eastAsia="Calibri" w:hAnsi="Tahoma" w:cs="Tahoma"/>
          <w:sz w:val="24"/>
          <w:szCs w:val="24"/>
          <w:lang w:val="en-US"/>
        </w:rPr>
        <w:t xml:space="preserve"> UE, </w:t>
      </w:r>
      <w:proofErr w:type="spellStart"/>
      <w:r w:rsidRPr="0015078D">
        <w:rPr>
          <w:rFonts w:ascii="Tahoma" w:eastAsia="Calibri" w:hAnsi="Tahoma" w:cs="Tahoma"/>
          <w:sz w:val="24"/>
          <w:szCs w:val="24"/>
          <w:lang w:val="en-US"/>
        </w:rPr>
        <w:t>împărțită</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astfel</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b/>
          <w:sz w:val="24"/>
          <w:szCs w:val="24"/>
          <w:lang w:val="en-US"/>
        </w:rPr>
        <w:t>pentru</w:t>
      </w:r>
      <w:proofErr w:type="spellEnd"/>
      <w:r w:rsidRPr="0015078D">
        <w:rPr>
          <w:rFonts w:ascii="Tahoma" w:eastAsia="Calibri" w:hAnsi="Tahoma" w:cs="Tahoma"/>
          <w:b/>
          <w:sz w:val="24"/>
          <w:szCs w:val="24"/>
          <w:lang w:val="en-US"/>
        </w:rPr>
        <w:t xml:space="preserve"> CFM 2021-2027: </w:t>
      </w:r>
      <w:r w:rsidRPr="0015078D">
        <w:rPr>
          <w:rFonts w:ascii="Tahoma" w:eastAsia="Calibri" w:hAnsi="Tahoma" w:cs="Tahoma"/>
          <w:sz w:val="24"/>
          <w:szCs w:val="24"/>
          <w:lang w:val="en-US"/>
        </w:rPr>
        <w:t xml:space="preserve">51,17 </w:t>
      </w:r>
      <w:proofErr w:type="spellStart"/>
      <w:r w:rsidRPr="0015078D">
        <w:rPr>
          <w:rFonts w:ascii="Tahoma" w:eastAsia="Calibri" w:hAnsi="Tahoma" w:cs="Tahoma"/>
          <w:sz w:val="24"/>
          <w:szCs w:val="24"/>
          <w:lang w:val="en-US"/>
        </w:rPr>
        <w:t>mld</w:t>
      </w:r>
      <w:proofErr w:type="spellEnd"/>
      <w:r w:rsidRPr="0015078D">
        <w:rPr>
          <w:rFonts w:ascii="Tahoma" w:eastAsia="Calibri" w:hAnsi="Tahoma" w:cs="Tahoma"/>
          <w:sz w:val="24"/>
          <w:szCs w:val="24"/>
          <w:lang w:val="en-US"/>
        </w:rPr>
        <w:t xml:space="preserve">. euro (din care 30,6 </w:t>
      </w:r>
      <w:proofErr w:type="spellStart"/>
      <w:r w:rsidRPr="0015078D">
        <w:rPr>
          <w:rFonts w:ascii="Tahoma" w:eastAsia="Calibri" w:hAnsi="Tahoma" w:cs="Tahoma"/>
          <w:sz w:val="24"/>
          <w:szCs w:val="24"/>
          <w:lang w:val="en-US"/>
        </w:rPr>
        <w:t>mld</w:t>
      </w:r>
      <w:proofErr w:type="spellEnd"/>
      <w:r w:rsidRPr="0015078D">
        <w:rPr>
          <w:rFonts w:ascii="Tahoma" w:eastAsia="Calibri" w:hAnsi="Tahoma" w:cs="Tahoma"/>
          <w:sz w:val="24"/>
          <w:szCs w:val="24"/>
          <w:lang w:val="en-US"/>
        </w:rPr>
        <w:t xml:space="preserve">. euro, </w:t>
      </w:r>
      <w:proofErr w:type="spellStart"/>
      <w:r w:rsidRPr="0015078D">
        <w:rPr>
          <w:rFonts w:ascii="Tahoma" w:eastAsia="Calibri" w:hAnsi="Tahoma" w:cs="Tahoma"/>
          <w:sz w:val="24"/>
          <w:szCs w:val="24"/>
          <w:lang w:val="en-US"/>
        </w:rPr>
        <w:t>alocați</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pentru</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Politica</w:t>
      </w:r>
      <w:proofErr w:type="spellEnd"/>
      <w:r w:rsidRPr="0015078D">
        <w:rPr>
          <w:rFonts w:ascii="Tahoma" w:eastAsia="Calibri" w:hAnsi="Tahoma" w:cs="Tahoma"/>
          <w:sz w:val="24"/>
          <w:szCs w:val="24"/>
          <w:lang w:val="en-US"/>
        </w:rPr>
        <w:t xml:space="preserve"> de </w:t>
      </w:r>
      <w:proofErr w:type="spellStart"/>
      <w:r w:rsidRPr="0015078D">
        <w:rPr>
          <w:rFonts w:ascii="Tahoma" w:eastAsia="Calibri" w:hAnsi="Tahoma" w:cs="Tahoma"/>
          <w:sz w:val="24"/>
          <w:szCs w:val="24"/>
          <w:lang w:val="en-US"/>
        </w:rPr>
        <w:t>coeziune</w:t>
      </w:r>
      <w:proofErr w:type="spellEnd"/>
      <w:r w:rsidRPr="0015078D">
        <w:rPr>
          <w:rFonts w:ascii="Tahoma" w:eastAsia="Calibri" w:hAnsi="Tahoma" w:cs="Tahoma"/>
          <w:sz w:val="24"/>
          <w:szCs w:val="24"/>
          <w:lang w:val="en-US"/>
        </w:rPr>
        <w:t xml:space="preserve"> (PC) </w:t>
      </w:r>
      <w:proofErr w:type="spellStart"/>
      <w:r w:rsidRPr="0015078D">
        <w:rPr>
          <w:rFonts w:ascii="Tahoma" w:eastAsia="Calibri" w:hAnsi="Tahoma" w:cs="Tahoma"/>
          <w:sz w:val="24"/>
          <w:szCs w:val="24"/>
          <w:lang w:val="en-US"/>
        </w:rPr>
        <w:t>și</w:t>
      </w:r>
      <w:proofErr w:type="spellEnd"/>
      <w:r w:rsidRPr="0015078D">
        <w:rPr>
          <w:rFonts w:ascii="Tahoma" w:eastAsia="Calibri" w:hAnsi="Tahoma" w:cs="Tahoma"/>
          <w:sz w:val="24"/>
          <w:szCs w:val="24"/>
          <w:lang w:val="en-US"/>
        </w:rPr>
        <w:t xml:space="preserve"> 19,19 </w:t>
      </w:r>
      <w:proofErr w:type="spellStart"/>
      <w:r w:rsidRPr="0015078D">
        <w:rPr>
          <w:rFonts w:ascii="Tahoma" w:eastAsia="Calibri" w:hAnsi="Tahoma" w:cs="Tahoma"/>
          <w:sz w:val="24"/>
          <w:szCs w:val="24"/>
          <w:lang w:val="en-US"/>
        </w:rPr>
        <w:t>mld</w:t>
      </w:r>
      <w:proofErr w:type="spellEnd"/>
      <w:r w:rsidRPr="0015078D">
        <w:rPr>
          <w:rFonts w:ascii="Tahoma" w:eastAsia="Calibri" w:hAnsi="Tahoma" w:cs="Tahoma"/>
          <w:sz w:val="24"/>
          <w:szCs w:val="24"/>
          <w:lang w:val="en-US"/>
        </w:rPr>
        <w:t xml:space="preserve">. euro, </w:t>
      </w:r>
      <w:proofErr w:type="spellStart"/>
      <w:r w:rsidRPr="0015078D">
        <w:rPr>
          <w:rFonts w:ascii="Tahoma" w:eastAsia="Calibri" w:hAnsi="Tahoma" w:cs="Tahoma"/>
          <w:sz w:val="24"/>
          <w:szCs w:val="24"/>
          <w:lang w:val="en-US"/>
        </w:rPr>
        <w:t>alocați</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pentru</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Politica</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agricola</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comuna</w:t>
      </w:r>
      <w:proofErr w:type="spellEnd"/>
      <w:r w:rsidRPr="0015078D">
        <w:rPr>
          <w:rFonts w:ascii="Tahoma" w:eastAsia="Calibri" w:hAnsi="Tahoma" w:cs="Tahoma"/>
          <w:sz w:val="24"/>
          <w:szCs w:val="24"/>
          <w:lang w:val="en-US"/>
        </w:rPr>
        <w:t xml:space="preserve"> (PAC)) </w:t>
      </w:r>
      <w:proofErr w:type="spellStart"/>
      <w:r w:rsidRPr="0015078D">
        <w:rPr>
          <w:rFonts w:ascii="Tahoma" w:eastAsia="Calibri" w:hAnsi="Tahoma" w:cs="Tahoma"/>
          <w:sz w:val="24"/>
          <w:szCs w:val="24"/>
          <w:lang w:val="en-US"/>
        </w:rPr>
        <w:t>și</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b/>
          <w:sz w:val="24"/>
          <w:szCs w:val="24"/>
          <w:lang w:val="en-US"/>
        </w:rPr>
        <w:t>pentru</w:t>
      </w:r>
      <w:proofErr w:type="spellEnd"/>
      <w:r w:rsidRPr="0015078D">
        <w:rPr>
          <w:rFonts w:ascii="Tahoma" w:eastAsia="Calibri" w:hAnsi="Tahoma" w:cs="Tahoma"/>
          <w:sz w:val="24"/>
          <w:szCs w:val="24"/>
          <w:lang w:val="en-US"/>
        </w:rPr>
        <w:t xml:space="preserve"> </w:t>
      </w:r>
      <w:r w:rsidRPr="0015078D">
        <w:rPr>
          <w:rFonts w:ascii="Tahoma" w:eastAsia="Calibri" w:hAnsi="Tahoma" w:cs="Tahoma"/>
          <w:b/>
          <w:sz w:val="24"/>
          <w:szCs w:val="24"/>
          <w:lang w:val="en-US"/>
        </w:rPr>
        <w:t>Next Generation EU/NGUE</w:t>
      </w:r>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instrumentul</w:t>
      </w:r>
      <w:proofErr w:type="spellEnd"/>
      <w:r w:rsidRPr="0015078D">
        <w:rPr>
          <w:rFonts w:ascii="Tahoma" w:eastAsia="Calibri" w:hAnsi="Tahoma" w:cs="Tahoma"/>
          <w:sz w:val="24"/>
          <w:szCs w:val="24"/>
          <w:lang w:val="en-US"/>
        </w:rPr>
        <w:t xml:space="preserve"> de </w:t>
      </w:r>
      <w:proofErr w:type="spellStart"/>
      <w:r w:rsidRPr="0015078D">
        <w:rPr>
          <w:rFonts w:ascii="Tahoma" w:eastAsia="Calibri" w:hAnsi="Tahoma" w:cs="Tahoma"/>
          <w:sz w:val="24"/>
          <w:szCs w:val="24"/>
          <w:lang w:val="en-US"/>
        </w:rPr>
        <w:t>redresare</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economică</w:t>
      </w:r>
      <w:proofErr w:type="spellEnd"/>
      <w:r w:rsidRPr="0015078D">
        <w:rPr>
          <w:rFonts w:ascii="Tahoma" w:eastAsia="Calibri" w:hAnsi="Tahoma" w:cs="Tahoma"/>
          <w:sz w:val="24"/>
          <w:szCs w:val="24"/>
          <w:lang w:val="en-US"/>
        </w:rPr>
        <w:t xml:space="preserve">) – 29.2 </w:t>
      </w:r>
      <w:proofErr w:type="spellStart"/>
      <w:r w:rsidRPr="0015078D">
        <w:rPr>
          <w:rFonts w:ascii="Tahoma" w:eastAsia="Calibri" w:hAnsi="Tahoma" w:cs="Tahoma"/>
          <w:sz w:val="24"/>
          <w:szCs w:val="24"/>
          <w:lang w:val="en-US"/>
        </w:rPr>
        <w:t>mld</w:t>
      </w:r>
      <w:proofErr w:type="spellEnd"/>
      <w:r w:rsidRPr="0015078D">
        <w:rPr>
          <w:rFonts w:ascii="Tahoma" w:eastAsia="Calibri" w:hAnsi="Tahoma" w:cs="Tahoma"/>
          <w:sz w:val="24"/>
          <w:szCs w:val="24"/>
          <w:lang w:val="en-US"/>
        </w:rPr>
        <w:t xml:space="preserve">. euro (din care </w:t>
      </w:r>
      <w:proofErr w:type="spellStart"/>
      <w:r w:rsidRPr="0015078D">
        <w:rPr>
          <w:rFonts w:ascii="Tahoma" w:eastAsia="Calibri" w:hAnsi="Tahoma" w:cs="Tahoma"/>
          <w:sz w:val="24"/>
          <w:szCs w:val="24"/>
          <w:lang w:val="en-US"/>
        </w:rPr>
        <w:t>asistență</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financiară</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nerambursabilă</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în</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valoare</w:t>
      </w:r>
      <w:proofErr w:type="spellEnd"/>
      <w:r w:rsidRPr="0015078D">
        <w:rPr>
          <w:rFonts w:ascii="Tahoma" w:eastAsia="Calibri" w:hAnsi="Tahoma" w:cs="Tahoma"/>
          <w:sz w:val="24"/>
          <w:szCs w:val="24"/>
          <w:lang w:val="en-US"/>
        </w:rPr>
        <w:t xml:space="preserve"> de 14.3 </w:t>
      </w:r>
      <w:proofErr w:type="spellStart"/>
      <w:r w:rsidRPr="0015078D">
        <w:rPr>
          <w:rFonts w:ascii="Tahoma" w:eastAsia="Calibri" w:hAnsi="Tahoma" w:cs="Tahoma"/>
          <w:sz w:val="24"/>
          <w:szCs w:val="24"/>
          <w:lang w:val="en-US"/>
        </w:rPr>
        <w:t>mld</w:t>
      </w:r>
      <w:proofErr w:type="spellEnd"/>
      <w:r w:rsidRPr="0015078D">
        <w:rPr>
          <w:rFonts w:ascii="Tahoma" w:eastAsia="Calibri" w:hAnsi="Tahoma" w:cs="Tahoma"/>
          <w:sz w:val="24"/>
          <w:szCs w:val="24"/>
          <w:lang w:val="en-US"/>
        </w:rPr>
        <w:t xml:space="preserve">. euro, </w:t>
      </w:r>
      <w:proofErr w:type="spellStart"/>
      <w:r w:rsidRPr="0015078D">
        <w:rPr>
          <w:rFonts w:ascii="Tahoma" w:eastAsia="Calibri" w:hAnsi="Tahoma" w:cs="Tahoma"/>
          <w:sz w:val="24"/>
          <w:szCs w:val="24"/>
          <w:lang w:val="en-US"/>
        </w:rPr>
        <w:t>alocați</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pentru</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Mecanismul</w:t>
      </w:r>
      <w:proofErr w:type="spellEnd"/>
      <w:r w:rsidRPr="0015078D">
        <w:rPr>
          <w:rFonts w:ascii="Tahoma" w:eastAsia="Calibri" w:hAnsi="Tahoma" w:cs="Tahoma"/>
          <w:sz w:val="24"/>
          <w:szCs w:val="24"/>
          <w:lang w:val="en-US"/>
        </w:rPr>
        <w:t xml:space="preserve"> de </w:t>
      </w:r>
      <w:proofErr w:type="spellStart"/>
      <w:r w:rsidRPr="0015078D">
        <w:rPr>
          <w:rFonts w:ascii="Tahoma" w:eastAsia="Calibri" w:hAnsi="Tahoma" w:cs="Tahoma"/>
          <w:sz w:val="24"/>
          <w:szCs w:val="24"/>
          <w:lang w:val="en-US"/>
        </w:rPr>
        <w:t>Recuperare</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și</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Reziliență</w:t>
      </w:r>
      <w:proofErr w:type="spellEnd"/>
      <w:r w:rsidRPr="0015078D">
        <w:rPr>
          <w:rFonts w:ascii="Tahoma" w:eastAsia="Calibri" w:hAnsi="Tahoma" w:cs="Tahoma"/>
          <w:sz w:val="24"/>
          <w:szCs w:val="24"/>
          <w:lang w:val="en-US"/>
        </w:rPr>
        <w:t xml:space="preserve"> (MRR) </w:t>
      </w:r>
      <w:proofErr w:type="spellStart"/>
      <w:r w:rsidRPr="0015078D">
        <w:rPr>
          <w:rFonts w:ascii="Tahoma" w:eastAsia="Calibri" w:hAnsi="Tahoma" w:cs="Tahoma"/>
          <w:sz w:val="24"/>
          <w:szCs w:val="24"/>
          <w:lang w:val="en-US"/>
        </w:rPr>
        <w:t>și</w:t>
      </w:r>
      <w:proofErr w:type="spellEnd"/>
      <w:r w:rsidRPr="0015078D">
        <w:rPr>
          <w:rFonts w:ascii="Tahoma" w:eastAsia="Calibri" w:hAnsi="Tahoma" w:cs="Tahoma"/>
          <w:sz w:val="24"/>
          <w:szCs w:val="24"/>
          <w:lang w:val="en-US"/>
        </w:rPr>
        <w:t xml:space="preserve"> 14,9 </w:t>
      </w:r>
      <w:proofErr w:type="spellStart"/>
      <w:r w:rsidRPr="0015078D">
        <w:rPr>
          <w:rFonts w:ascii="Tahoma" w:eastAsia="Calibri" w:hAnsi="Tahoma" w:cs="Tahoma"/>
          <w:sz w:val="24"/>
          <w:szCs w:val="24"/>
          <w:lang w:val="en-US"/>
        </w:rPr>
        <w:t>mld</w:t>
      </w:r>
      <w:proofErr w:type="spellEnd"/>
      <w:r w:rsidRPr="0015078D">
        <w:rPr>
          <w:rFonts w:ascii="Tahoma" w:eastAsia="Calibri" w:hAnsi="Tahoma" w:cs="Tahoma"/>
          <w:sz w:val="24"/>
          <w:szCs w:val="24"/>
          <w:lang w:val="en-US"/>
        </w:rPr>
        <w:t xml:space="preserve">. euro din </w:t>
      </w:r>
      <w:proofErr w:type="spellStart"/>
      <w:r w:rsidRPr="0015078D">
        <w:rPr>
          <w:rFonts w:ascii="Tahoma" w:eastAsia="Calibri" w:hAnsi="Tahoma" w:cs="Tahoma"/>
          <w:sz w:val="24"/>
          <w:szCs w:val="24"/>
          <w:lang w:val="en-US"/>
        </w:rPr>
        <w:t>componenta</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împrumut</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aferentă</w:t>
      </w:r>
      <w:proofErr w:type="spellEnd"/>
      <w:r w:rsidRPr="0015078D">
        <w:rPr>
          <w:rFonts w:ascii="Tahoma" w:eastAsia="Calibri" w:hAnsi="Tahoma" w:cs="Tahoma"/>
          <w:sz w:val="24"/>
          <w:szCs w:val="24"/>
          <w:lang w:val="en-US"/>
        </w:rPr>
        <w:t xml:space="preserve"> MRR. </w:t>
      </w:r>
    </w:p>
    <w:p w:rsidR="0015078D" w:rsidRPr="0015078D" w:rsidRDefault="0015078D" w:rsidP="002615A2">
      <w:pPr>
        <w:spacing w:after="120" w:line="276" w:lineRule="auto"/>
        <w:ind w:firstLine="0"/>
        <w:rPr>
          <w:rFonts w:ascii="Tahoma" w:eastAsia="Calibri" w:hAnsi="Tahoma" w:cs="Tahoma"/>
          <w:sz w:val="24"/>
          <w:szCs w:val="24"/>
          <w:lang w:val="en-US"/>
        </w:rPr>
      </w:pPr>
      <w:r w:rsidRPr="0015078D">
        <w:rPr>
          <w:rFonts w:ascii="Tahoma" w:eastAsia="Calibri" w:hAnsi="Tahoma" w:cs="Tahoma"/>
          <w:sz w:val="24"/>
          <w:szCs w:val="24"/>
          <w:lang w:val="en-US"/>
        </w:rPr>
        <w:t xml:space="preserve">Din </w:t>
      </w:r>
      <w:proofErr w:type="spellStart"/>
      <w:r w:rsidRPr="0015078D">
        <w:rPr>
          <w:rFonts w:ascii="Tahoma" w:eastAsia="Calibri" w:hAnsi="Tahoma" w:cs="Tahoma"/>
          <w:sz w:val="24"/>
          <w:szCs w:val="24"/>
          <w:lang w:val="en-US"/>
        </w:rPr>
        <w:t>alocarea</w:t>
      </w:r>
      <w:proofErr w:type="spellEnd"/>
      <w:r w:rsidRPr="0015078D">
        <w:rPr>
          <w:rFonts w:ascii="Tahoma" w:eastAsia="Calibri" w:hAnsi="Tahoma" w:cs="Tahoma"/>
          <w:sz w:val="24"/>
          <w:szCs w:val="24"/>
          <w:lang w:val="en-US"/>
        </w:rPr>
        <w:t xml:space="preserve"> MRR, </w:t>
      </w:r>
      <w:proofErr w:type="spellStart"/>
      <w:r w:rsidRPr="0015078D">
        <w:rPr>
          <w:rFonts w:ascii="Tahoma" w:eastAsia="Calibri" w:hAnsi="Tahoma" w:cs="Tahoma"/>
          <w:sz w:val="24"/>
          <w:szCs w:val="24"/>
          <w:lang w:val="en-US"/>
        </w:rPr>
        <w:t>România</w:t>
      </w:r>
      <w:proofErr w:type="spellEnd"/>
      <w:r w:rsidRPr="0015078D">
        <w:rPr>
          <w:rFonts w:ascii="Tahoma" w:eastAsia="Calibri" w:hAnsi="Tahoma" w:cs="Tahoma"/>
          <w:sz w:val="24"/>
          <w:szCs w:val="24"/>
          <w:lang w:val="en-US"/>
        </w:rPr>
        <w:t xml:space="preserve"> a </w:t>
      </w:r>
      <w:proofErr w:type="spellStart"/>
      <w:r w:rsidR="00A93ECA">
        <w:rPr>
          <w:rFonts w:ascii="Tahoma" w:eastAsia="Calibri" w:hAnsi="Tahoma" w:cs="Tahoma"/>
          <w:sz w:val="24"/>
          <w:szCs w:val="24"/>
          <w:lang w:val="en-US"/>
        </w:rPr>
        <w:t>î</w:t>
      </w:r>
      <w:r w:rsidRPr="0015078D">
        <w:rPr>
          <w:rFonts w:ascii="Tahoma" w:eastAsia="Calibri" w:hAnsi="Tahoma" w:cs="Tahoma"/>
          <w:sz w:val="24"/>
          <w:szCs w:val="24"/>
          <w:lang w:val="en-US"/>
        </w:rPr>
        <w:t>ncasat</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până</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în</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prezent</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prefina</w:t>
      </w:r>
      <w:r w:rsidRPr="0015078D">
        <w:rPr>
          <w:rFonts w:ascii="Tahoma" w:eastAsia="Calibri" w:hAnsi="Tahoma" w:cs="Tahoma"/>
          <w:sz w:val="24"/>
          <w:szCs w:val="24"/>
        </w:rPr>
        <w:t>țarea</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în</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valoare</w:t>
      </w:r>
      <w:proofErr w:type="spellEnd"/>
      <w:r w:rsidRPr="0015078D">
        <w:rPr>
          <w:rFonts w:ascii="Tahoma" w:eastAsia="Calibri" w:hAnsi="Tahoma" w:cs="Tahoma"/>
          <w:sz w:val="24"/>
          <w:szCs w:val="24"/>
          <w:lang w:val="en-US"/>
        </w:rPr>
        <w:t xml:space="preserve"> de 1,9 </w:t>
      </w:r>
      <w:proofErr w:type="spellStart"/>
      <w:r w:rsidRPr="0015078D">
        <w:rPr>
          <w:rFonts w:ascii="Tahoma" w:eastAsia="Calibri" w:hAnsi="Tahoma" w:cs="Tahoma"/>
          <w:sz w:val="24"/>
          <w:szCs w:val="24"/>
          <w:lang w:val="en-US"/>
        </w:rPr>
        <w:t>mld</w:t>
      </w:r>
      <w:proofErr w:type="spellEnd"/>
      <w:r w:rsidRPr="0015078D">
        <w:rPr>
          <w:rFonts w:ascii="Tahoma" w:eastAsia="Calibri" w:hAnsi="Tahoma" w:cs="Tahoma"/>
          <w:sz w:val="24"/>
          <w:szCs w:val="24"/>
          <w:lang w:val="en-US"/>
        </w:rPr>
        <w:t xml:space="preserve">. euro </w:t>
      </w:r>
      <w:proofErr w:type="spellStart"/>
      <w:r w:rsidRPr="0015078D">
        <w:rPr>
          <w:rFonts w:ascii="Tahoma" w:eastAsia="Calibri" w:hAnsi="Tahoma" w:cs="Tahoma"/>
          <w:sz w:val="24"/>
          <w:szCs w:val="24"/>
          <w:lang w:val="en-US"/>
        </w:rPr>
        <w:t>în</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cadrul</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componentei</w:t>
      </w:r>
      <w:proofErr w:type="spellEnd"/>
      <w:r w:rsidRPr="0015078D">
        <w:rPr>
          <w:rFonts w:ascii="Tahoma" w:eastAsia="Calibri" w:hAnsi="Tahoma" w:cs="Tahoma"/>
          <w:sz w:val="24"/>
          <w:szCs w:val="24"/>
          <w:lang w:val="en-US"/>
        </w:rPr>
        <w:t xml:space="preserve"> de </w:t>
      </w:r>
      <w:proofErr w:type="spellStart"/>
      <w:r w:rsidRPr="0015078D">
        <w:rPr>
          <w:rFonts w:ascii="Tahoma" w:eastAsia="Calibri" w:hAnsi="Tahoma" w:cs="Tahoma"/>
          <w:sz w:val="24"/>
          <w:szCs w:val="24"/>
          <w:lang w:val="en-US"/>
        </w:rPr>
        <w:t>împrumut</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și</w:t>
      </w:r>
      <w:proofErr w:type="spellEnd"/>
      <w:r w:rsidRPr="0015078D">
        <w:rPr>
          <w:rFonts w:ascii="Tahoma" w:eastAsia="Calibri" w:hAnsi="Tahoma" w:cs="Tahoma"/>
          <w:sz w:val="24"/>
          <w:szCs w:val="24"/>
          <w:lang w:val="en-US"/>
        </w:rPr>
        <w:t xml:space="preserve"> 1,8 </w:t>
      </w:r>
      <w:proofErr w:type="spellStart"/>
      <w:r w:rsidRPr="0015078D">
        <w:rPr>
          <w:rFonts w:ascii="Tahoma" w:eastAsia="Calibri" w:hAnsi="Tahoma" w:cs="Tahoma"/>
          <w:sz w:val="24"/>
          <w:szCs w:val="24"/>
          <w:lang w:val="en-US"/>
        </w:rPr>
        <w:t>mld</w:t>
      </w:r>
      <w:proofErr w:type="spellEnd"/>
      <w:r w:rsidRPr="0015078D">
        <w:rPr>
          <w:rFonts w:ascii="Tahoma" w:eastAsia="Calibri" w:hAnsi="Tahoma" w:cs="Tahoma"/>
          <w:sz w:val="24"/>
          <w:szCs w:val="24"/>
          <w:lang w:val="en-US"/>
        </w:rPr>
        <w:t xml:space="preserve">. euro sub </w:t>
      </w:r>
      <w:proofErr w:type="spellStart"/>
      <w:r w:rsidRPr="0015078D">
        <w:rPr>
          <w:rFonts w:ascii="Tahoma" w:eastAsia="Calibri" w:hAnsi="Tahoma" w:cs="Tahoma"/>
          <w:sz w:val="24"/>
          <w:szCs w:val="24"/>
          <w:lang w:val="en-US"/>
        </w:rPr>
        <w:t>formă</w:t>
      </w:r>
      <w:proofErr w:type="spellEnd"/>
      <w:r w:rsidRPr="0015078D">
        <w:rPr>
          <w:rFonts w:ascii="Tahoma" w:eastAsia="Calibri" w:hAnsi="Tahoma" w:cs="Tahoma"/>
          <w:sz w:val="24"/>
          <w:szCs w:val="24"/>
          <w:lang w:val="en-US"/>
        </w:rPr>
        <w:t xml:space="preserve"> de </w:t>
      </w:r>
      <w:proofErr w:type="spellStart"/>
      <w:r w:rsidRPr="0015078D">
        <w:rPr>
          <w:rFonts w:ascii="Tahoma" w:eastAsia="Calibri" w:hAnsi="Tahoma" w:cs="Tahoma"/>
          <w:sz w:val="24"/>
          <w:szCs w:val="24"/>
          <w:lang w:val="en-US"/>
        </w:rPr>
        <w:t>granturi</w:t>
      </w:r>
      <w:proofErr w:type="spellEnd"/>
      <w:r w:rsidRPr="0015078D">
        <w:rPr>
          <w:rFonts w:ascii="Tahoma" w:eastAsia="Calibri" w:hAnsi="Tahoma" w:cs="Tahoma"/>
          <w:sz w:val="24"/>
          <w:szCs w:val="24"/>
          <w:lang w:val="en-US"/>
        </w:rPr>
        <w:t>.</w:t>
      </w:r>
    </w:p>
    <w:p w:rsidR="0015078D" w:rsidRPr="0015078D" w:rsidRDefault="0015078D" w:rsidP="002615A2">
      <w:pPr>
        <w:spacing w:after="120" w:line="276" w:lineRule="auto"/>
        <w:ind w:firstLine="0"/>
        <w:rPr>
          <w:rFonts w:ascii="Tahoma" w:eastAsia="Calibri" w:hAnsi="Tahoma" w:cs="Tahoma"/>
          <w:sz w:val="24"/>
          <w:szCs w:val="24"/>
          <w:lang w:val="en-US" w:eastAsia="ro-RO"/>
        </w:rPr>
      </w:pPr>
      <w:proofErr w:type="spellStart"/>
      <w:r w:rsidRPr="0015078D">
        <w:rPr>
          <w:rFonts w:ascii="Tahoma" w:eastAsia="Calibri" w:hAnsi="Tahoma" w:cs="Tahoma"/>
          <w:sz w:val="24"/>
          <w:szCs w:val="24"/>
          <w:lang w:val="en-US"/>
        </w:rPr>
        <w:t>În</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luna</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octombrie</w:t>
      </w:r>
      <w:proofErr w:type="spellEnd"/>
      <w:r w:rsidRPr="0015078D">
        <w:rPr>
          <w:rFonts w:ascii="Tahoma" w:eastAsia="Calibri" w:hAnsi="Tahoma" w:cs="Tahoma"/>
          <w:sz w:val="24"/>
          <w:szCs w:val="24"/>
          <w:lang w:val="en-US"/>
        </w:rPr>
        <w:t xml:space="preserve"> 2022, Romania a </w:t>
      </w:r>
      <w:proofErr w:type="spellStart"/>
      <w:r w:rsidRPr="0015078D">
        <w:rPr>
          <w:rFonts w:ascii="Tahoma" w:eastAsia="Calibri" w:hAnsi="Tahoma" w:cs="Tahoma"/>
          <w:sz w:val="24"/>
          <w:szCs w:val="24"/>
          <w:lang w:val="en-US"/>
        </w:rPr>
        <w:t>încasat</w:t>
      </w:r>
      <w:proofErr w:type="spellEnd"/>
      <w:r w:rsidRPr="0015078D">
        <w:rPr>
          <w:rFonts w:ascii="Tahoma" w:eastAsia="Calibri" w:hAnsi="Tahoma" w:cs="Tahoma"/>
          <w:sz w:val="24"/>
          <w:szCs w:val="24"/>
          <w:lang w:val="en-US"/>
        </w:rPr>
        <w:t xml:space="preserve"> prima </w:t>
      </w:r>
      <w:proofErr w:type="spellStart"/>
      <w:r w:rsidRPr="0015078D">
        <w:rPr>
          <w:rFonts w:ascii="Tahoma" w:eastAsia="Calibri" w:hAnsi="Tahoma" w:cs="Tahoma"/>
          <w:sz w:val="24"/>
          <w:szCs w:val="24"/>
          <w:lang w:val="en-US"/>
        </w:rPr>
        <w:t>cerere</w:t>
      </w:r>
      <w:proofErr w:type="spellEnd"/>
      <w:r w:rsidRPr="0015078D">
        <w:rPr>
          <w:rFonts w:ascii="Tahoma" w:eastAsia="Calibri" w:hAnsi="Tahoma" w:cs="Tahoma"/>
          <w:sz w:val="24"/>
          <w:szCs w:val="24"/>
          <w:lang w:val="en-US"/>
        </w:rPr>
        <w:t xml:space="preserve"> de </w:t>
      </w:r>
      <w:proofErr w:type="spellStart"/>
      <w:r w:rsidRPr="0015078D">
        <w:rPr>
          <w:rFonts w:ascii="Tahoma" w:eastAsia="Calibri" w:hAnsi="Tahoma" w:cs="Tahoma"/>
          <w:sz w:val="24"/>
          <w:szCs w:val="24"/>
          <w:lang w:val="en-US"/>
        </w:rPr>
        <w:t>plată</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în</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valoare</w:t>
      </w:r>
      <w:proofErr w:type="spellEnd"/>
      <w:r w:rsidRPr="0015078D">
        <w:rPr>
          <w:rFonts w:ascii="Tahoma" w:eastAsia="Calibri" w:hAnsi="Tahoma" w:cs="Tahoma"/>
          <w:sz w:val="24"/>
          <w:szCs w:val="24"/>
          <w:lang w:val="en-US"/>
        </w:rPr>
        <w:t xml:space="preserve"> de 1.8 </w:t>
      </w:r>
      <w:proofErr w:type="spellStart"/>
      <w:r w:rsidRPr="0015078D">
        <w:rPr>
          <w:rFonts w:ascii="Tahoma" w:eastAsia="Calibri" w:hAnsi="Tahoma" w:cs="Tahoma"/>
          <w:sz w:val="24"/>
          <w:szCs w:val="24"/>
          <w:lang w:val="en-US"/>
        </w:rPr>
        <w:t>mld</w:t>
      </w:r>
      <w:proofErr w:type="spellEnd"/>
      <w:r w:rsidRPr="0015078D">
        <w:rPr>
          <w:rFonts w:ascii="Tahoma" w:eastAsia="Calibri" w:hAnsi="Tahoma" w:cs="Tahoma"/>
          <w:sz w:val="24"/>
          <w:szCs w:val="24"/>
          <w:lang w:val="en-US"/>
        </w:rPr>
        <w:t xml:space="preserve">. euro sub forma de </w:t>
      </w:r>
      <w:proofErr w:type="spellStart"/>
      <w:r w:rsidRPr="0015078D">
        <w:rPr>
          <w:rFonts w:ascii="Tahoma" w:eastAsia="Calibri" w:hAnsi="Tahoma" w:cs="Tahoma"/>
          <w:sz w:val="24"/>
          <w:szCs w:val="24"/>
          <w:lang w:val="en-US"/>
        </w:rPr>
        <w:t>granturi</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și</w:t>
      </w:r>
      <w:proofErr w:type="spellEnd"/>
      <w:r w:rsidRPr="0015078D">
        <w:rPr>
          <w:rFonts w:ascii="Tahoma" w:eastAsia="Calibri" w:hAnsi="Tahoma" w:cs="Tahoma"/>
          <w:sz w:val="24"/>
          <w:szCs w:val="24"/>
          <w:lang w:val="en-US"/>
        </w:rPr>
        <w:t xml:space="preserve"> 0.8 </w:t>
      </w:r>
      <w:proofErr w:type="spellStart"/>
      <w:r w:rsidRPr="0015078D">
        <w:rPr>
          <w:rFonts w:ascii="Tahoma" w:eastAsia="Calibri" w:hAnsi="Tahoma" w:cs="Tahoma"/>
          <w:sz w:val="24"/>
          <w:szCs w:val="24"/>
          <w:lang w:val="en-US"/>
        </w:rPr>
        <w:t>mld</w:t>
      </w:r>
      <w:proofErr w:type="spellEnd"/>
      <w:r w:rsidRPr="0015078D">
        <w:rPr>
          <w:rFonts w:ascii="Tahoma" w:eastAsia="Calibri" w:hAnsi="Tahoma" w:cs="Tahoma"/>
          <w:sz w:val="24"/>
          <w:szCs w:val="24"/>
          <w:lang w:val="en-US"/>
        </w:rPr>
        <w:t xml:space="preserve">. euro sub forma de </w:t>
      </w:r>
      <w:proofErr w:type="spellStart"/>
      <w:r w:rsidRPr="0015078D">
        <w:rPr>
          <w:rFonts w:ascii="Tahoma" w:eastAsia="Calibri" w:hAnsi="Tahoma" w:cs="Tahoma"/>
          <w:sz w:val="24"/>
          <w:szCs w:val="24"/>
          <w:lang w:val="en-US"/>
        </w:rPr>
        <w:t>împrumut</w:t>
      </w:r>
      <w:proofErr w:type="spellEnd"/>
      <w:r w:rsidRPr="0015078D">
        <w:rPr>
          <w:rFonts w:ascii="Tahoma" w:eastAsia="Calibri" w:hAnsi="Tahoma" w:cs="Tahoma"/>
          <w:sz w:val="24"/>
          <w:szCs w:val="24"/>
          <w:lang w:val="en-US"/>
        </w:rPr>
        <w:t>.</w:t>
      </w:r>
      <w:r w:rsidRPr="0015078D">
        <w:rPr>
          <w:rFonts w:ascii="Tahoma" w:eastAsia="Calibri" w:hAnsi="Tahoma" w:cs="Tahoma"/>
          <w:sz w:val="24"/>
          <w:szCs w:val="24"/>
          <w:lang w:val="en-US" w:eastAsia="ro-RO"/>
        </w:rPr>
        <w:t xml:space="preserve"> </w:t>
      </w:r>
    </w:p>
    <w:p w:rsidR="0015078D" w:rsidRPr="0015078D" w:rsidRDefault="0015078D" w:rsidP="002615A2">
      <w:pPr>
        <w:spacing w:after="120" w:line="276" w:lineRule="auto"/>
        <w:ind w:firstLine="0"/>
        <w:rPr>
          <w:rFonts w:ascii="Tahoma" w:eastAsia="Calibri" w:hAnsi="Tahoma" w:cs="Tahoma"/>
          <w:sz w:val="24"/>
          <w:szCs w:val="24"/>
          <w:lang w:val="en-US" w:eastAsia="ro-RO"/>
        </w:rPr>
      </w:pPr>
      <w:proofErr w:type="spellStart"/>
      <w:r w:rsidRPr="0015078D">
        <w:rPr>
          <w:rFonts w:ascii="Tahoma" w:eastAsia="Calibri" w:hAnsi="Tahoma" w:cs="Tahoma"/>
          <w:sz w:val="24"/>
          <w:szCs w:val="24"/>
          <w:lang w:val="en-US" w:eastAsia="ro-RO"/>
        </w:rPr>
        <w:t>În</w:t>
      </w:r>
      <w:proofErr w:type="spellEnd"/>
      <w:r w:rsidRPr="0015078D">
        <w:rPr>
          <w:rFonts w:ascii="Tahoma" w:eastAsia="Calibri" w:hAnsi="Tahoma" w:cs="Tahoma"/>
          <w:sz w:val="24"/>
          <w:szCs w:val="24"/>
          <w:lang w:val="en-US" w:eastAsia="ro-RO"/>
        </w:rPr>
        <w:t xml:space="preserve"> </w:t>
      </w:r>
      <w:proofErr w:type="spellStart"/>
      <w:r w:rsidRPr="0015078D">
        <w:rPr>
          <w:rFonts w:ascii="Tahoma" w:eastAsia="Calibri" w:hAnsi="Tahoma" w:cs="Tahoma"/>
          <w:sz w:val="24"/>
          <w:szCs w:val="24"/>
          <w:lang w:val="en-US" w:eastAsia="ro-RO"/>
        </w:rPr>
        <w:t>luna</w:t>
      </w:r>
      <w:proofErr w:type="spellEnd"/>
      <w:r w:rsidRPr="0015078D">
        <w:rPr>
          <w:rFonts w:ascii="Tahoma" w:eastAsia="Calibri" w:hAnsi="Tahoma" w:cs="Tahoma"/>
          <w:sz w:val="24"/>
          <w:szCs w:val="24"/>
          <w:lang w:val="en-US" w:eastAsia="ro-RO"/>
        </w:rPr>
        <w:t xml:space="preserve"> </w:t>
      </w:r>
      <w:proofErr w:type="spellStart"/>
      <w:r w:rsidRPr="0015078D">
        <w:rPr>
          <w:rFonts w:ascii="Tahoma" w:eastAsia="Calibri" w:hAnsi="Tahoma" w:cs="Tahoma"/>
          <w:sz w:val="24"/>
          <w:szCs w:val="24"/>
          <w:lang w:val="en-US" w:eastAsia="ro-RO"/>
        </w:rPr>
        <w:t>decembrie</w:t>
      </w:r>
      <w:proofErr w:type="spellEnd"/>
      <w:r w:rsidRPr="0015078D">
        <w:rPr>
          <w:rFonts w:ascii="Tahoma" w:eastAsia="Calibri" w:hAnsi="Tahoma" w:cs="Tahoma"/>
          <w:sz w:val="24"/>
          <w:szCs w:val="24"/>
          <w:lang w:val="en-US" w:eastAsia="ro-RO"/>
        </w:rPr>
        <w:t xml:space="preserve"> 2022, </w:t>
      </w:r>
      <w:proofErr w:type="spellStart"/>
      <w:r w:rsidRPr="0015078D">
        <w:rPr>
          <w:rFonts w:ascii="Tahoma" w:eastAsia="Calibri" w:hAnsi="Tahoma" w:cs="Tahoma"/>
          <w:sz w:val="24"/>
          <w:szCs w:val="24"/>
          <w:lang w:val="en-US" w:eastAsia="ro-RO"/>
        </w:rPr>
        <w:t>România</w:t>
      </w:r>
      <w:proofErr w:type="spellEnd"/>
      <w:r w:rsidRPr="0015078D">
        <w:rPr>
          <w:rFonts w:ascii="Tahoma" w:eastAsia="Calibri" w:hAnsi="Tahoma" w:cs="Tahoma"/>
          <w:sz w:val="24"/>
          <w:szCs w:val="24"/>
          <w:lang w:val="en-US" w:eastAsia="ro-RO"/>
        </w:rPr>
        <w:t xml:space="preserve"> a </w:t>
      </w:r>
      <w:proofErr w:type="spellStart"/>
      <w:r w:rsidRPr="0015078D">
        <w:rPr>
          <w:rFonts w:ascii="Tahoma" w:eastAsia="Calibri" w:hAnsi="Tahoma" w:cs="Tahoma"/>
          <w:sz w:val="24"/>
          <w:szCs w:val="24"/>
          <w:lang w:val="en-US" w:eastAsia="ro-RO"/>
        </w:rPr>
        <w:t>transmis</w:t>
      </w:r>
      <w:proofErr w:type="spellEnd"/>
      <w:r w:rsidRPr="0015078D">
        <w:rPr>
          <w:rFonts w:ascii="Tahoma" w:eastAsia="Calibri" w:hAnsi="Tahoma" w:cs="Tahoma"/>
          <w:sz w:val="24"/>
          <w:szCs w:val="24"/>
          <w:lang w:val="en-US" w:eastAsia="ro-RO"/>
        </w:rPr>
        <w:t xml:space="preserve"> COM, </w:t>
      </w:r>
      <w:proofErr w:type="spellStart"/>
      <w:r w:rsidRPr="0015078D">
        <w:rPr>
          <w:rFonts w:ascii="Tahoma" w:eastAsia="Calibri" w:hAnsi="Tahoma" w:cs="Tahoma"/>
          <w:sz w:val="24"/>
          <w:szCs w:val="24"/>
          <w:lang w:val="en-US" w:eastAsia="ro-RO"/>
        </w:rPr>
        <w:t>două</w:t>
      </w:r>
      <w:proofErr w:type="spellEnd"/>
      <w:r w:rsidRPr="0015078D">
        <w:rPr>
          <w:rFonts w:ascii="Tahoma" w:eastAsia="Calibri" w:hAnsi="Tahoma" w:cs="Tahoma"/>
          <w:sz w:val="24"/>
          <w:szCs w:val="24"/>
          <w:lang w:val="en-US" w:eastAsia="ro-RO"/>
        </w:rPr>
        <w:t xml:space="preserve"> </w:t>
      </w:r>
      <w:proofErr w:type="spellStart"/>
      <w:r w:rsidRPr="0015078D">
        <w:rPr>
          <w:rFonts w:ascii="Tahoma" w:eastAsia="Calibri" w:hAnsi="Tahoma" w:cs="Tahoma"/>
          <w:sz w:val="24"/>
          <w:szCs w:val="24"/>
          <w:lang w:val="en-US" w:eastAsia="ro-RO"/>
        </w:rPr>
        <w:t>cereri</w:t>
      </w:r>
      <w:proofErr w:type="spellEnd"/>
      <w:r w:rsidRPr="0015078D">
        <w:rPr>
          <w:rFonts w:ascii="Tahoma" w:eastAsia="Calibri" w:hAnsi="Tahoma" w:cs="Tahoma"/>
          <w:sz w:val="24"/>
          <w:szCs w:val="24"/>
          <w:lang w:val="en-US" w:eastAsia="ro-RO"/>
        </w:rPr>
        <w:t xml:space="preserve"> de </w:t>
      </w:r>
      <w:proofErr w:type="spellStart"/>
      <w:r w:rsidRPr="0015078D">
        <w:rPr>
          <w:rFonts w:ascii="Tahoma" w:eastAsia="Calibri" w:hAnsi="Tahoma" w:cs="Tahoma"/>
          <w:sz w:val="24"/>
          <w:szCs w:val="24"/>
          <w:lang w:val="en-US" w:eastAsia="ro-RO"/>
        </w:rPr>
        <w:t>plată</w:t>
      </w:r>
      <w:proofErr w:type="spellEnd"/>
      <w:r w:rsidRPr="0015078D">
        <w:rPr>
          <w:rFonts w:ascii="Tahoma" w:eastAsia="Calibri" w:hAnsi="Tahoma" w:cs="Tahoma"/>
          <w:sz w:val="24"/>
          <w:szCs w:val="24"/>
          <w:lang w:val="en-US" w:eastAsia="ro-RO"/>
        </w:rPr>
        <w:t xml:space="preserve">, </w:t>
      </w:r>
      <w:proofErr w:type="spellStart"/>
      <w:r w:rsidRPr="0015078D">
        <w:rPr>
          <w:rFonts w:ascii="Tahoma" w:eastAsia="Calibri" w:hAnsi="Tahoma" w:cs="Tahoma"/>
          <w:sz w:val="24"/>
          <w:szCs w:val="24"/>
          <w:lang w:val="en-US" w:eastAsia="ro-RO"/>
        </w:rPr>
        <w:t>în</w:t>
      </w:r>
      <w:proofErr w:type="spellEnd"/>
      <w:r w:rsidRPr="0015078D">
        <w:rPr>
          <w:rFonts w:ascii="Tahoma" w:eastAsia="Calibri" w:hAnsi="Tahoma" w:cs="Tahoma"/>
          <w:sz w:val="24"/>
          <w:szCs w:val="24"/>
          <w:lang w:val="en-US" w:eastAsia="ro-RO"/>
        </w:rPr>
        <w:t xml:space="preserve"> </w:t>
      </w:r>
      <w:proofErr w:type="spellStart"/>
      <w:r w:rsidRPr="0015078D">
        <w:rPr>
          <w:rFonts w:ascii="Tahoma" w:eastAsia="Calibri" w:hAnsi="Tahoma" w:cs="Tahoma"/>
          <w:sz w:val="24"/>
          <w:szCs w:val="24"/>
          <w:lang w:val="en-US" w:eastAsia="ro-RO"/>
        </w:rPr>
        <w:t>valoare</w:t>
      </w:r>
      <w:proofErr w:type="spellEnd"/>
      <w:r w:rsidRPr="0015078D">
        <w:rPr>
          <w:rFonts w:ascii="Tahoma" w:eastAsia="Calibri" w:hAnsi="Tahoma" w:cs="Tahoma"/>
          <w:sz w:val="24"/>
          <w:szCs w:val="24"/>
          <w:lang w:val="en-US" w:eastAsia="ro-RO"/>
        </w:rPr>
        <w:t xml:space="preserve"> de 1.9 </w:t>
      </w:r>
      <w:proofErr w:type="spellStart"/>
      <w:r w:rsidRPr="0015078D">
        <w:rPr>
          <w:rFonts w:ascii="Tahoma" w:eastAsia="Calibri" w:hAnsi="Tahoma" w:cs="Tahoma"/>
          <w:sz w:val="24"/>
          <w:szCs w:val="24"/>
          <w:lang w:val="en-US" w:eastAsia="ro-RO"/>
        </w:rPr>
        <w:t>mld</w:t>
      </w:r>
      <w:proofErr w:type="spellEnd"/>
      <w:r w:rsidRPr="0015078D">
        <w:rPr>
          <w:rFonts w:ascii="Tahoma" w:eastAsia="Calibri" w:hAnsi="Tahoma" w:cs="Tahoma"/>
          <w:sz w:val="24"/>
          <w:szCs w:val="24"/>
          <w:lang w:val="en-US" w:eastAsia="ro-RO"/>
        </w:rPr>
        <w:t xml:space="preserve">. euro sub forma de </w:t>
      </w:r>
      <w:proofErr w:type="spellStart"/>
      <w:r w:rsidRPr="0015078D">
        <w:rPr>
          <w:rFonts w:ascii="Tahoma" w:eastAsia="Calibri" w:hAnsi="Tahoma" w:cs="Tahoma"/>
          <w:sz w:val="24"/>
          <w:szCs w:val="24"/>
          <w:lang w:val="en-US" w:eastAsia="ro-RO"/>
        </w:rPr>
        <w:t>granturi</w:t>
      </w:r>
      <w:proofErr w:type="spellEnd"/>
      <w:r w:rsidRPr="0015078D">
        <w:rPr>
          <w:rFonts w:ascii="Tahoma" w:eastAsia="Calibri" w:hAnsi="Tahoma" w:cs="Tahoma"/>
          <w:sz w:val="24"/>
          <w:szCs w:val="24"/>
          <w:lang w:val="en-US" w:eastAsia="ro-RO"/>
        </w:rPr>
        <w:t xml:space="preserve"> </w:t>
      </w:r>
      <w:proofErr w:type="spellStart"/>
      <w:r w:rsidRPr="0015078D">
        <w:rPr>
          <w:rFonts w:ascii="Tahoma" w:eastAsia="Calibri" w:hAnsi="Tahoma" w:cs="Tahoma"/>
          <w:sz w:val="24"/>
          <w:szCs w:val="24"/>
          <w:lang w:val="en-US" w:eastAsia="ro-RO"/>
        </w:rPr>
        <w:t>și</w:t>
      </w:r>
      <w:proofErr w:type="spellEnd"/>
      <w:r w:rsidRPr="0015078D">
        <w:rPr>
          <w:rFonts w:ascii="Tahoma" w:eastAsia="Calibri" w:hAnsi="Tahoma" w:cs="Tahoma"/>
          <w:sz w:val="24"/>
          <w:szCs w:val="24"/>
          <w:lang w:val="en-US" w:eastAsia="ro-RO"/>
        </w:rPr>
        <w:t xml:space="preserve"> respectiv 0.9 </w:t>
      </w:r>
      <w:proofErr w:type="spellStart"/>
      <w:r w:rsidRPr="0015078D">
        <w:rPr>
          <w:rFonts w:ascii="Tahoma" w:eastAsia="Calibri" w:hAnsi="Tahoma" w:cs="Tahoma"/>
          <w:sz w:val="24"/>
          <w:szCs w:val="24"/>
          <w:lang w:val="en-US" w:eastAsia="ro-RO"/>
        </w:rPr>
        <w:t>mld</w:t>
      </w:r>
      <w:proofErr w:type="spellEnd"/>
      <w:r w:rsidRPr="0015078D">
        <w:rPr>
          <w:rFonts w:ascii="Tahoma" w:eastAsia="Calibri" w:hAnsi="Tahoma" w:cs="Tahoma"/>
          <w:sz w:val="24"/>
          <w:szCs w:val="24"/>
          <w:lang w:val="en-US" w:eastAsia="ro-RO"/>
        </w:rPr>
        <w:t xml:space="preserve">. euro sub </w:t>
      </w:r>
      <w:proofErr w:type="spellStart"/>
      <w:r w:rsidRPr="0015078D">
        <w:rPr>
          <w:rFonts w:ascii="Tahoma" w:eastAsia="Calibri" w:hAnsi="Tahoma" w:cs="Tahoma"/>
          <w:sz w:val="24"/>
          <w:szCs w:val="24"/>
          <w:lang w:val="en-US" w:eastAsia="ro-RO"/>
        </w:rPr>
        <w:t>formă</w:t>
      </w:r>
      <w:proofErr w:type="spellEnd"/>
      <w:r w:rsidRPr="0015078D">
        <w:rPr>
          <w:rFonts w:ascii="Tahoma" w:eastAsia="Calibri" w:hAnsi="Tahoma" w:cs="Tahoma"/>
          <w:sz w:val="24"/>
          <w:szCs w:val="24"/>
          <w:lang w:val="en-US" w:eastAsia="ro-RO"/>
        </w:rPr>
        <w:t xml:space="preserve"> de </w:t>
      </w:r>
      <w:proofErr w:type="spellStart"/>
      <w:r w:rsidRPr="0015078D">
        <w:rPr>
          <w:rFonts w:ascii="Tahoma" w:eastAsia="Calibri" w:hAnsi="Tahoma" w:cs="Tahoma"/>
          <w:sz w:val="24"/>
          <w:szCs w:val="24"/>
          <w:lang w:val="en-US" w:eastAsia="ro-RO"/>
        </w:rPr>
        <w:t>împrumut</w:t>
      </w:r>
      <w:proofErr w:type="spellEnd"/>
      <w:r w:rsidRPr="0015078D">
        <w:rPr>
          <w:rFonts w:ascii="Tahoma" w:eastAsia="Calibri" w:hAnsi="Tahoma" w:cs="Tahoma"/>
          <w:sz w:val="24"/>
          <w:szCs w:val="24"/>
          <w:lang w:val="en-US" w:eastAsia="ro-RO"/>
        </w:rPr>
        <w:t xml:space="preserve">. Plata </w:t>
      </w:r>
      <w:proofErr w:type="spellStart"/>
      <w:r w:rsidRPr="0015078D">
        <w:rPr>
          <w:rFonts w:ascii="Tahoma" w:eastAsia="Calibri" w:hAnsi="Tahoma" w:cs="Tahoma"/>
          <w:sz w:val="24"/>
          <w:szCs w:val="24"/>
          <w:lang w:val="en-US" w:eastAsia="ro-RO"/>
        </w:rPr>
        <w:t>urmează</w:t>
      </w:r>
      <w:proofErr w:type="spellEnd"/>
      <w:r w:rsidRPr="0015078D">
        <w:rPr>
          <w:rFonts w:ascii="Tahoma" w:eastAsia="Calibri" w:hAnsi="Tahoma" w:cs="Tahoma"/>
          <w:sz w:val="24"/>
          <w:szCs w:val="24"/>
          <w:lang w:val="en-US" w:eastAsia="ro-RO"/>
        </w:rPr>
        <w:t xml:space="preserve"> </w:t>
      </w:r>
      <w:proofErr w:type="spellStart"/>
      <w:r w:rsidRPr="0015078D">
        <w:rPr>
          <w:rFonts w:ascii="Tahoma" w:eastAsia="Calibri" w:hAnsi="Tahoma" w:cs="Tahoma"/>
          <w:sz w:val="24"/>
          <w:szCs w:val="24"/>
          <w:lang w:val="en-US" w:eastAsia="ro-RO"/>
        </w:rPr>
        <w:t>să</w:t>
      </w:r>
      <w:proofErr w:type="spellEnd"/>
      <w:r w:rsidRPr="0015078D">
        <w:rPr>
          <w:rFonts w:ascii="Tahoma" w:eastAsia="Calibri" w:hAnsi="Tahoma" w:cs="Tahoma"/>
          <w:sz w:val="24"/>
          <w:szCs w:val="24"/>
          <w:lang w:val="en-US" w:eastAsia="ro-RO"/>
        </w:rPr>
        <w:t xml:space="preserve"> fie </w:t>
      </w:r>
      <w:proofErr w:type="spellStart"/>
      <w:r w:rsidRPr="0015078D">
        <w:rPr>
          <w:rFonts w:ascii="Tahoma" w:eastAsia="Calibri" w:hAnsi="Tahoma" w:cs="Tahoma"/>
          <w:sz w:val="24"/>
          <w:szCs w:val="24"/>
          <w:lang w:val="en-US" w:eastAsia="ro-RO"/>
        </w:rPr>
        <w:t>rambursată</w:t>
      </w:r>
      <w:proofErr w:type="spellEnd"/>
      <w:r w:rsidRPr="0015078D">
        <w:rPr>
          <w:rFonts w:ascii="Tahoma" w:eastAsia="Calibri" w:hAnsi="Tahoma" w:cs="Tahoma"/>
          <w:sz w:val="24"/>
          <w:szCs w:val="24"/>
          <w:lang w:val="en-US" w:eastAsia="ro-RO"/>
        </w:rPr>
        <w:t xml:space="preserve"> </w:t>
      </w:r>
      <w:proofErr w:type="spellStart"/>
      <w:r w:rsidRPr="0015078D">
        <w:rPr>
          <w:rFonts w:ascii="Tahoma" w:eastAsia="Calibri" w:hAnsi="Tahoma" w:cs="Tahoma"/>
          <w:sz w:val="24"/>
          <w:szCs w:val="24"/>
          <w:lang w:val="en-US" w:eastAsia="ro-RO"/>
        </w:rPr>
        <w:t>României</w:t>
      </w:r>
      <w:proofErr w:type="spellEnd"/>
      <w:r w:rsidRPr="0015078D">
        <w:rPr>
          <w:rFonts w:ascii="Tahoma" w:eastAsia="Calibri" w:hAnsi="Tahoma" w:cs="Tahoma"/>
          <w:sz w:val="24"/>
          <w:szCs w:val="24"/>
          <w:lang w:val="en-US" w:eastAsia="ro-RO"/>
        </w:rPr>
        <w:t xml:space="preserve"> </w:t>
      </w:r>
      <w:proofErr w:type="spellStart"/>
      <w:r w:rsidRPr="0015078D">
        <w:rPr>
          <w:rFonts w:ascii="Tahoma" w:eastAsia="Calibri" w:hAnsi="Tahoma" w:cs="Tahoma"/>
          <w:sz w:val="24"/>
          <w:szCs w:val="24"/>
          <w:lang w:val="en-US" w:eastAsia="ro-RO"/>
        </w:rPr>
        <w:t>după</w:t>
      </w:r>
      <w:proofErr w:type="spellEnd"/>
      <w:r w:rsidRPr="0015078D">
        <w:rPr>
          <w:rFonts w:ascii="Tahoma" w:eastAsia="Calibri" w:hAnsi="Tahoma" w:cs="Tahoma"/>
          <w:sz w:val="24"/>
          <w:szCs w:val="24"/>
          <w:lang w:val="en-US" w:eastAsia="ro-RO"/>
        </w:rPr>
        <w:t xml:space="preserve"> </w:t>
      </w:r>
      <w:proofErr w:type="spellStart"/>
      <w:r w:rsidRPr="0015078D">
        <w:rPr>
          <w:rFonts w:ascii="Tahoma" w:eastAsia="Calibri" w:hAnsi="Tahoma" w:cs="Tahoma"/>
          <w:sz w:val="24"/>
          <w:szCs w:val="24"/>
          <w:lang w:val="en-US" w:eastAsia="ro-RO"/>
        </w:rPr>
        <w:t>ce</w:t>
      </w:r>
      <w:proofErr w:type="spellEnd"/>
      <w:r w:rsidRPr="0015078D">
        <w:rPr>
          <w:rFonts w:ascii="Tahoma" w:eastAsia="Calibri" w:hAnsi="Tahoma" w:cs="Tahoma"/>
          <w:sz w:val="24"/>
          <w:szCs w:val="24"/>
          <w:lang w:val="en-US" w:eastAsia="ro-RO"/>
        </w:rPr>
        <w:t xml:space="preserve"> COM </w:t>
      </w:r>
      <w:proofErr w:type="spellStart"/>
      <w:r w:rsidRPr="0015078D">
        <w:rPr>
          <w:rFonts w:ascii="Tahoma" w:eastAsia="Calibri" w:hAnsi="Tahoma" w:cs="Tahoma"/>
          <w:sz w:val="24"/>
          <w:szCs w:val="24"/>
          <w:lang w:val="en-US" w:eastAsia="ro-RO"/>
        </w:rPr>
        <w:t>finalizează</w:t>
      </w:r>
      <w:proofErr w:type="spellEnd"/>
      <w:r w:rsidRPr="0015078D">
        <w:rPr>
          <w:rFonts w:ascii="Tahoma" w:eastAsia="Calibri" w:hAnsi="Tahoma" w:cs="Tahoma"/>
          <w:sz w:val="24"/>
          <w:szCs w:val="24"/>
          <w:lang w:val="en-US" w:eastAsia="ro-RO"/>
        </w:rPr>
        <w:t xml:space="preserve"> </w:t>
      </w:r>
      <w:proofErr w:type="spellStart"/>
      <w:r w:rsidRPr="0015078D">
        <w:rPr>
          <w:rFonts w:ascii="Tahoma" w:eastAsia="Calibri" w:hAnsi="Tahoma" w:cs="Tahoma"/>
          <w:sz w:val="24"/>
          <w:szCs w:val="24"/>
          <w:lang w:val="en-US" w:eastAsia="ro-RO"/>
        </w:rPr>
        <w:t>evaluarea</w:t>
      </w:r>
      <w:proofErr w:type="spellEnd"/>
      <w:r w:rsidRPr="0015078D">
        <w:rPr>
          <w:rFonts w:ascii="Tahoma" w:eastAsia="Calibri" w:hAnsi="Tahoma" w:cs="Tahoma"/>
          <w:sz w:val="24"/>
          <w:szCs w:val="24"/>
          <w:lang w:val="en-US" w:eastAsia="ro-RO"/>
        </w:rPr>
        <w:t xml:space="preserve">. </w:t>
      </w:r>
    </w:p>
    <w:p w:rsidR="0015078D" w:rsidRPr="0015078D" w:rsidRDefault="0015078D" w:rsidP="002615A2">
      <w:pPr>
        <w:spacing w:after="120" w:line="276" w:lineRule="auto"/>
        <w:ind w:firstLine="0"/>
        <w:rPr>
          <w:rFonts w:ascii="Tahoma" w:eastAsia="Calibri" w:hAnsi="Tahoma" w:cs="Tahoma"/>
          <w:sz w:val="24"/>
          <w:szCs w:val="24"/>
          <w:lang w:val="en-US"/>
        </w:rPr>
      </w:pPr>
      <w:proofErr w:type="spellStart"/>
      <w:r w:rsidRPr="0015078D">
        <w:rPr>
          <w:rFonts w:ascii="Tahoma" w:eastAsia="Calibri" w:hAnsi="Tahoma" w:cs="Tahoma"/>
          <w:sz w:val="24"/>
          <w:szCs w:val="24"/>
          <w:lang w:val="en-US"/>
        </w:rPr>
        <w:t>În</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ceea</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ce</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privește</w:t>
      </w:r>
      <w:proofErr w:type="spellEnd"/>
      <w:r w:rsidRPr="0015078D">
        <w:rPr>
          <w:rFonts w:ascii="Tahoma" w:eastAsia="Calibri" w:hAnsi="Tahoma" w:cs="Tahoma"/>
          <w:sz w:val="24"/>
          <w:szCs w:val="24"/>
          <w:lang w:val="en-US"/>
        </w:rPr>
        <w:t xml:space="preserve"> </w:t>
      </w:r>
      <w:r w:rsidRPr="0015078D">
        <w:rPr>
          <w:rFonts w:ascii="Tahoma" w:eastAsia="Calibri" w:hAnsi="Tahoma" w:cs="Tahoma"/>
          <w:b/>
          <w:sz w:val="24"/>
          <w:szCs w:val="24"/>
          <w:lang w:val="en-US"/>
        </w:rPr>
        <w:t>CFM 2021-2027</w:t>
      </w:r>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sumele</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primite</w:t>
      </w:r>
      <w:proofErr w:type="spellEnd"/>
      <w:r w:rsidRPr="0015078D">
        <w:rPr>
          <w:rFonts w:ascii="Tahoma" w:eastAsia="Calibri" w:hAnsi="Tahoma" w:cs="Tahoma"/>
          <w:sz w:val="24"/>
          <w:szCs w:val="24"/>
          <w:lang w:val="en-US"/>
        </w:rPr>
        <w:t xml:space="preserve"> de </w:t>
      </w:r>
      <w:proofErr w:type="spellStart"/>
      <w:r w:rsidRPr="0015078D">
        <w:rPr>
          <w:rFonts w:ascii="Tahoma" w:eastAsia="Calibri" w:hAnsi="Tahoma" w:cs="Tahoma"/>
          <w:sz w:val="24"/>
          <w:szCs w:val="24"/>
          <w:lang w:val="en-US"/>
        </w:rPr>
        <w:t>România</w:t>
      </w:r>
      <w:proofErr w:type="spellEnd"/>
      <w:r w:rsidRPr="0015078D">
        <w:rPr>
          <w:rFonts w:ascii="Tahoma" w:eastAsia="Calibri" w:hAnsi="Tahoma" w:cs="Tahoma"/>
          <w:sz w:val="24"/>
          <w:szCs w:val="24"/>
          <w:lang w:val="en-US"/>
        </w:rPr>
        <w:t xml:space="preserve"> de la </w:t>
      </w:r>
      <w:proofErr w:type="spellStart"/>
      <w:r w:rsidRPr="0015078D">
        <w:rPr>
          <w:rFonts w:ascii="Tahoma" w:eastAsia="Calibri" w:hAnsi="Tahoma" w:cs="Tahoma"/>
          <w:sz w:val="24"/>
          <w:szCs w:val="24"/>
          <w:lang w:val="en-US"/>
        </w:rPr>
        <w:t>bugetul</w:t>
      </w:r>
      <w:proofErr w:type="spellEnd"/>
      <w:r w:rsidRPr="0015078D">
        <w:rPr>
          <w:rFonts w:ascii="Tahoma" w:eastAsia="Calibri" w:hAnsi="Tahoma" w:cs="Tahoma"/>
          <w:sz w:val="24"/>
          <w:szCs w:val="24"/>
          <w:lang w:val="en-US"/>
        </w:rPr>
        <w:t xml:space="preserve"> UE, </w:t>
      </w:r>
      <w:proofErr w:type="spellStart"/>
      <w:r w:rsidRPr="0015078D">
        <w:rPr>
          <w:rFonts w:ascii="Tahoma" w:eastAsia="Calibri" w:hAnsi="Tahoma" w:cs="Tahoma"/>
          <w:sz w:val="24"/>
          <w:szCs w:val="24"/>
          <w:lang w:val="en-US"/>
        </w:rPr>
        <w:t>în</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primul</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semestru</w:t>
      </w:r>
      <w:proofErr w:type="spellEnd"/>
      <w:r w:rsidRPr="0015078D">
        <w:rPr>
          <w:rFonts w:ascii="Tahoma" w:eastAsia="Calibri" w:hAnsi="Tahoma" w:cs="Tahoma"/>
          <w:sz w:val="24"/>
          <w:szCs w:val="24"/>
          <w:lang w:val="en-US"/>
        </w:rPr>
        <w:t xml:space="preserve"> al </w:t>
      </w:r>
      <w:proofErr w:type="spellStart"/>
      <w:r w:rsidRPr="0015078D">
        <w:rPr>
          <w:rFonts w:ascii="Tahoma" w:eastAsia="Calibri" w:hAnsi="Tahoma" w:cs="Tahoma"/>
          <w:sz w:val="24"/>
          <w:szCs w:val="24"/>
          <w:lang w:val="en-US"/>
        </w:rPr>
        <w:t>anului</w:t>
      </w:r>
      <w:proofErr w:type="spellEnd"/>
      <w:r w:rsidRPr="0015078D">
        <w:rPr>
          <w:rFonts w:ascii="Tahoma" w:eastAsia="Calibri" w:hAnsi="Tahoma" w:cs="Tahoma"/>
          <w:sz w:val="24"/>
          <w:szCs w:val="24"/>
          <w:lang w:val="en-US"/>
        </w:rPr>
        <w:t xml:space="preserve"> 2023, </w:t>
      </w:r>
      <w:proofErr w:type="spellStart"/>
      <w:r w:rsidRPr="0015078D">
        <w:rPr>
          <w:rFonts w:ascii="Tahoma" w:eastAsia="Calibri" w:hAnsi="Tahoma" w:cs="Tahoma"/>
          <w:sz w:val="24"/>
          <w:szCs w:val="24"/>
          <w:lang w:val="en-US"/>
        </w:rPr>
        <w:t>sunt</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în</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sumă</w:t>
      </w:r>
      <w:proofErr w:type="spellEnd"/>
      <w:r w:rsidRPr="0015078D">
        <w:rPr>
          <w:rFonts w:ascii="Tahoma" w:eastAsia="Calibri" w:hAnsi="Tahoma" w:cs="Tahoma"/>
          <w:sz w:val="24"/>
          <w:szCs w:val="24"/>
          <w:lang w:val="en-US"/>
        </w:rPr>
        <w:t xml:space="preserve"> 0,57 </w:t>
      </w:r>
      <w:proofErr w:type="spellStart"/>
      <w:r w:rsidRPr="0015078D">
        <w:rPr>
          <w:rFonts w:ascii="Tahoma" w:eastAsia="Calibri" w:hAnsi="Tahoma" w:cs="Tahoma"/>
          <w:sz w:val="24"/>
          <w:szCs w:val="24"/>
          <w:lang w:val="en-US"/>
        </w:rPr>
        <w:t>mld</w:t>
      </w:r>
      <w:proofErr w:type="spellEnd"/>
      <w:r w:rsidRPr="0015078D">
        <w:rPr>
          <w:rFonts w:ascii="Tahoma" w:eastAsia="Calibri" w:hAnsi="Tahoma" w:cs="Tahoma"/>
          <w:sz w:val="24"/>
          <w:szCs w:val="24"/>
          <w:lang w:val="en-US"/>
        </w:rPr>
        <w:t xml:space="preserve">. euro, din care 0,51 </w:t>
      </w:r>
      <w:proofErr w:type="spellStart"/>
      <w:r w:rsidRPr="0015078D">
        <w:rPr>
          <w:rFonts w:ascii="Tahoma" w:eastAsia="Calibri" w:hAnsi="Tahoma" w:cs="Tahoma"/>
          <w:sz w:val="24"/>
          <w:szCs w:val="24"/>
          <w:lang w:val="en-US"/>
        </w:rPr>
        <w:t>mld</w:t>
      </w:r>
      <w:proofErr w:type="spellEnd"/>
      <w:r w:rsidRPr="0015078D">
        <w:rPr>
          <w:rFonts w:ascii="Tahoma" w:eastAsia="Calibri" w:hAnsi="Tahoma" w:cs="Tahoma"/>
          <w:sz w:val="24"/>
          <w:szCs w:val="24"/>
          <w:lang w:val="en-US"/>
        </w:rPr>
        <w:t xml:space="preserve">. euro </w:t>
      </w:r>
      <w:proofErr w:type="spellStart"/>
      <w:r w:rsidRPr="0015078D">
        <w:rPr>
          <w:rFonts w:ascii="Tahoma" w:eastAsia="Calibri" w:hAnsi="Tahoma" w:cs="Tahoma"/>
          <w:sz w:val="24"/>
          <w:szCs w:val="24"/>
          <w:lang w:val="en-US"/>
        </w:rPr>
        <w:t>reprezintă</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avansuri</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iar</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rambursările</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sunt</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în</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sumă</w:t>
      </w:r>
      <w:proofErr w:type="spellEnd"/>
      <w:r w:rsidRPr="0015078D">
        <w:rPr>
          <w:rFonts w:ascii="Tahoma" w:eastAsia="Calibri" w:hAnsi="Tahoma" w:cs="Tahoma"/>
          <w:sz w:val="24"/>
          <w:szCs w:val="24"/>
          <w:lang w:val="en-US"/>
        </w:rPr>
        <w:t xml:space="preserve"> de 0.06 </w:t>
      </w:r>
      <w:proofErr w:type="spellStart"/>
      <w:r w:rsidRPr="0015078D">
        <w:rPr>
          <w:rFonts w:ascii="Tahoma" w:eastAsia="Calibri" w:hAnsi="Tahoma" w:cs="Tahoma"/>
          <w:sz w:val="24"/>
          <w:szCs w:val="24"/>
          <w:lang w:val="en-US"/>
        </w:rPr>
        <w:t>mld</w:t>
      </w:r>
      <w:proofErr w:type="spellEnd"/>
      <w:r w:rsidRPr="0015078D">
        <w:rPr>
          <w:rFonts w:ascii="Tahoma" w:eastAsia="Calibri" w:hAnsi="Tahoma" w:cs="Tahoma"/>
          <w:sz w:val="24"/>
          <w:szCs w:val="24"/>
          <w:lang w:val="en-US"/>
        </w:rPr>
        <w:t>. euro.</w:t>
      </w:r>
    </w:p>
    <w:p w:rsidR="0015078D" w:rsidRPr="0015078D" w:rsidRDefault="0015078D" w:rsidP="002615A2">
      <w:pPr>
        <w:spacing w:after="120" w:line="276" w:lineRule="auto"/>
        <w:ind w:firstLine="0"/>
        <w:rPr>
          <w:rFonts w:ascii="Tahoma" w:eastAsia="Calibri" w:hAnsi="Tahoma" w:cs="Tahoma"/>
          <w:sz w:val="24"/>
          <w:szCs w:val="24"/>
          <w:lang w:val="en-US"/>
        </w:rPr>
      </w:pPr>
      <w:proofErr w:type="spellStart"/>
      <w:r w:rsidRPr="0015078D">
        <w:rPr>
          <w:rFonts w:ascii="Tahoma" w:eastAsia="Calibri" w:hAnsi="Tahoma" w:cs="Tahoma"/>
          <w:sz w:val="24"/>
          <w:szCs w:val="24"/>
          <w:lang w:val="en-US"/>
        </w:rPr>
        <w:t>Referitor</w:t>
      </w:r>
      <w:proofErr w:type="spellEnd"/>
      <w:r w:rsidRPr="0015078D">
        <w:rPr>
          <w:rFonts w:ascii="Tahoma" w:eastAsia="Calibri" w:hAnsi="Tahoma" w:cs="Tahoma"/>
          <w:sz w:val="24"/>
          <w:szCs w:val="24"/>
          <w:lang w:val="en-US"/>
        </w:rPr>
        <w:t xml:space="preserve"> la </w:t>
      </w:r>
      <w:r w:rsidRPr="0015078D">
        <w:rPr>
          <w:rFonts w:ascii="Tahoma" w:eastAsia="Calibri" w:hAnsi="Tahoma" w:cs="Tahoma"/>
          <w:b/>
          <w:sz w:val="24"/>
          <w:szCs w:val="24"/>
          <w:lang w:val="en-US"/>
        </w:rPr>
        <w:t>CFM 2014-2020</w:t>
      </w:r>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sumele</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primite</w:t>
      </w:r>
      <w:proofErr w:type="spellEnd"/>
      <w:r w:rsidRPr="0015078D">
        <w:rPr>
          <w:rFonts w:ascii="Tahoma" w:eastAsia="Calibri" w:hAnsi="Tahoma" w:cs="Tahoma"/>
          <w:sz w:val="24"/>
          <w:szCs w:val="24"/>
          <w:lang w:val="en-US"/>
        </w:rPr>
        <w:t xml:space="preserve"> de </w:t>
      </w:r>
      <w:proofErr w:type="spellStart"/>
      <w:r w:rsidRPr="0015078D">
        <w:rPr>
          <w:rFonts w:ascii="Tahoma" w:eastAsia="Calibri" w:hAnsi="Tahoma" w:cs="Tahoma"/>
          <w:sz w:val="24"/>
          <w:szCs w:val="24"/>
          <w:lang w:val="en-US"/>
        </w:rPr>
        <w:t>România</w:t>
      </w:r>
      <w:proofErr w:type="spellEnd"/>
      <w:r w:rsidRPr="0015078D">
        <w:rPr>
          <w:rFonts w:ascii="Tahoma" w:eastAsia="Calibri" w:hAnsi="Tahoma" w:cs="Tahoma"/>
          <w:sz w:val="24"/>
          <w:szCs w:val="24"/>
          <w:lang w:val="en-US"/>
        </w:rPr>
        <w:t xml:space="preserve"> de la </w:t>
      </w:r>
      <w:proofErr w:type="spellStart"/>
      <w:r w:rsidRPr="0015078D">
        <w:rPr>
          <w:rFonts w:ascii="Tahoma" w:eastAsia="Calibri" w:hAnsi="Tahoma" w:cs="Tahoma"/>
          <w:sz w:val="24"/>
          <w:szCs w:val="24"/>
          <w:lang w:val="en-US"/>
        </w:rPr>
        <w:t>bugetul</w:t>
      </w:r>
      <w:proofErr w:type="spellEnd"/>
      <w:r w:rsidRPr="0015078D">
        <w:rPr>
          <w:rFonts w:ascii="Tahoma" w:eastAsia="Calibri" w:hAnsi="Tahoma" w:cs="Tahoma"/>
          <w:sz w:val="24"/>
          <w:szCs w:val="24"/>
          <w:lang w:val="en-US"/>
        </w:rPr>
        <w:t xml:space="preserve"> UE, </w:t>
      </w:r>
      <w:proofErr w:type="spellStart"/>
      <w:r w:rsidRPr="0015078D">
        <w:rPr>
          <w:rFonts w:ascii="Tahoma" w:eastAsia="Calibri" w:hAnsi="Tahoma" w:cs="Tahoma"/>
          <w:sz w:val="24"/>
          <w:szCs w:val="24"/>
          <w:lang w:val="en-US"/>
        </w:rPr>
        <w:t>în</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primul</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semestru</w:t>
      </w:r>
      <w:proofErr w:type="spellEnd"/>
      <w:r w:rsidRPr="0015078D">
        <w:rPr>
          <w:rFonts w:ascii="Tahoma" w:eastAsia="Calibri" w:hAnsi="Tahoma" w:cs="Tahoma"/>
          <w:sz w:val="24"/>
          <w:szCs w:val="24"/>
          <w:lang w:val="en-US"/>
        </w:rPr>
        <w:t xml:space="preserve"> al </w:t>
      </w:r>
      <w:proofErr w:type="spellStart"/>
      <w:r w:rsidRPr="0015078D">
        <w:rPr>
          <w:rFonts w:ascii="Tahoma" w:eastAsia="Calibri" w:hAnsi="Tahoma" w:cs="Tahoma"/>
          <w:sz w:val="24"/>
          <w:szCs w:val="24"/>
          <w:lang w:val="en-US"/>
        </w:rPr>
        <w:t>anului</w:t>
      </w:r>
      <w:proofErr w:type="spellEnd"/>
      <w:r w:rsidRPr="0015078D">
        <w:rPr>
          <w:rFonts w:ascii="Tahoma" w:eastAsia="Calibri" w:hAnsi="Tahoma" w:cs="Tahoma"/>
          <w:sz w:val="24"/>
          <w:szCs w:val="24"/>
          <w:lang w:val="en-US"/>
        </w:rPr>
        <w:t xml:space="preserve"> 2023, </w:t>
      </w:r>
      <w:proofErr w:type="spellStart"/>
      <w:r w:rsidRPr="0015078D">
        <w:rPr>
          <w:rFonts w:ascii="Tahoma" w:eastAsia="Calibri" w:hAnsi="Tahoma" w:cs="Tahoma"/>
          <w:sz w:val="24"/>
          <w:szCs w:val="24"/>
          <w:lang w:val="en-US"/>
        </w:rPr>
        <w:t>sunt</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în</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sumă</w:t>
      </w:r>
      <w:proofErr w:type="spellEnd"/>
      <w:r w:rsidRPr="0015078D">
        <w:rPr>
          <w:rFonts w:ascii="Tahoma" w:eastAsia="Calibri" w:hAnsi="Tahoma" w:cs="Tahoma"/>
          <w:sz w:val="24"/>
          <w:szCs w:val="24"/>
          <w:lang w:val="en-US"/>
        </w:rPr>
        <w:t xml:space="preserve"> de 3,82 </w:t>
      </w:r>
      <w:proofErr w:type="spellStart"/>
      <w:r w:rsidRPr="0015078D">
        <w:rPr>
          <w:rFonts w:ascii="Tahoma" w:eastAsia="Calibri" w:hAnsi="Tahoma" w:cs="Tahoma"/>
          <w:sz w:val="24"/>
          <w:szCs w:val="24"/>
          <w:lang w:val="en-US"/>
        </w:rPr>
        <w:t>mld</w:t>
      </w:r>
      <w:proofErr w:type="spellEnd"/>
      <w:r w:rsidRPr="0015078D">
        <w:rPr>
          <w:rFonts w:ascii="Tahoma" w:eastAsia="Calibri" w:hAnsi="Tahoma" w:cs="Tahoma"/>
          <w:sz w:val="24"/>
          <w:szCs w:val="24"/>
          <w:lang w:val="en-US"/>
        </w:rPr>
        <w:t xml:space="preserve">. euro, din care 0,36 </w:t>
      </w:r>
      <w:proofErr w:type="spellStart"/>
      <w:r w:rsidRPr="0015078D">
        <w:rPr>
          <w:rFonts w:ascii="Tahoma" w:eastAsia="Calibri" w:hAnsi="Tahoma" w:cs="Tahoma"/>
          <w:sz w:val="24"/>
          <w:szCs w:val="24"/>
          <w:lang w:val="en-US"/>
        </w:rPr>
        <w:t>mld</w:t>
      </w:r>
      <w:proofErr w:type="spellEnd"/>
      <w:r w:rsidRPr="0015078D">
        <w:rPr>
          <w:rFonts w:ascii="Tahoma" w:eastAsia="Calibri" w:hAnsi="Tahoma" w:cs="Tahoma"/>
          <w:sz w:val="24"/>
          <w:szCs w:val="24"/>
          <w:lang w:val="en-US"/>
        </w:rPr>
        <w:t xml:space="preserve">. euro </w:t>
      </w:r>
      <w:proofErr w:type="spellStart"/>
      <w:r w:rsidRPr="0015078D">
        <w:rPr>
          <w:rFonts w:ascii="Tahoma" w:eastAsia="Calibri" w:hAnsi="Tahoma" w:cs="Tahoma"/>
          <w:sz w:val="24"/>
          <w:szCs w:val="24"/>
          <w:lang w:val="en-US"/>
        </w:rPr>
        <w:t>reprezintă</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avansuri</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iar</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rambursările</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inclusiv</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sumele</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primite</w:t>
      </w:r>
      <w:proofErr w:type="spellEnd"/>
      <w:r w:rsidRPr="0015078D">
        <w:rPr>
          <w:rFonts w:ascii="Tahoma" w:eastAsia="Calibri" w:hAnsi="Tahoma" w:cs="Tahoma"/>
          <w:sz w:val="24"/>
          <w:szCs w:val="24"/>
          <w:lang w:val="en-US"/>
        </w:rPr>
        <w:t xml:space="preserve"> din FEGA) </w:t>
      </w:r>
      <w:proofErr w:type="spellStart"/>
      <w:r w:rsidRPr="0015078D">
        <w:rPr>
          <w:rFonts w:ascii="Tahoma" w:eastAsia="Calibri" w:hAnsi="Tahoma" w:cs="Tahoma"/>
          <w:sz w:val="24"/>
          <w:szCs w:val="24"/>
          <w:lang w:val="en-US"/>
        </w:rPr>
        <w:t>sunt</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în</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sumă</w:t>
      </w:r>
      <w:proofErr w:type="spellEnd"/>
      <w:r w:rsidRPr="0015078D">
        <w:rPr>
          <w:rFonts w:ascii="Tahoma" w:eastAsia="Calibri" w:hAnsi="Tahoma" w:cs="Tahoma"/>
          <w:sz w:val="24"/>
          <w:szCs w:val="24"/>
          <w:lang w:val="en-US"/>
        </w:rPr>
        <w:t xml:space="preserve"> de 3,46 </w:t>
      </w:r>
      <w:proofErr w:type="spellStart"/>
      <w:r w:rsidRPr="0015078D">
        <w:rPr>
          <w:rFonts w:ascii="Tahoma" w:eastAsia="Calibri" w:hAnsi="Tahoma" w:cs="Tahoma"/>
          <w:sz w:val="24"/>
          <w:szCs w:val="24"/>
          <w:lang w:val="en-US"/>
        </w:rPr>
        <w:t>mld</w:t>
      </w:r>
      <w:proofErr w:type="spellEnd"/>
      <w:r w:rsidRPr="0015078D">
        <w:rPr>
          <w:rFonts w:ascii="Tahoma" w:eastAsia="Calibri" w:hAnsi="Tahoma" w:cs="Tahoma"/>
          <w:sz w:val="24"/>
          <w:szCs w:val="24"/>
          <w:lang w:val="en-US"/>
        </w:rPr>
        <w:t xml:space="preserve">. euro. Din </w:t>
      </w:r>
      <w:proofErr w:type="spellStart"/>
      <w:r w:rsidRPr="0015078D">
        <w:rPr>
          <w:rFonts w:ascii="Tahoma" w:eastAsia="Calibri" w:hAnsi="Tahoma" w:cs="Tahoma"/>
          <w:sz w:val="24"/>
          <w:szCs w:val="24"/>
          <w:lang w:val="en-US"/>
        </w:rPr>
        <w:t>punct</w:t>
      </w:r>
      <w:proofErr w:type="spellEnd"/>
      <w:r w:rsidRPr="0015078D">
        <w:rPr>
          <w:rFonts w:ascii="Tahoma" w:eastAsia="Calibri" w:hAnsi="Tahoma" w:cs="Tahoma"/>
          <w:sz w:val="24"/>
          <w:szCs w:val="24"/>
          <w:lang w:val="en-US"/>
        </w:rPr>
        <w:t xml:space="preserve"> de </w:t>
      </w:r>
      <w:proofErr w:type="spellStart"/>
      <w:r w:rsidRPr="0015078D">
        <w:rPr>
          <w:rFonts w:ascii="Tahoma" w:eastAsia="Calibri" w:hAnsi="Tahoma" w:cs="Tahoma"/>
          <w:sz w:val="24"/>
          <w:szCs w:val="24"/>
          <w:lang w:val="en-US"/>
        </w:rPr>
        <w:t>vedere</w:t>
      </w:r>
      <w:proofErr w:type="spellEnd"/>
      <w:r w:rsidRPr="0015078D">
        <w:rPr>
          <w:rFonts w:ascii="Tahoma" w:eastAsia="Calibri" w:hAnsi="Tahoma" w:cs="Tahoma"/>
          <w:sz w:val="24"/>
          <w:szCs w:val="24"/>
          <w:lang w:val="en-US"/>
        </w:rPr>
        <w:t xml:space="preserve"> al </w:t>
      </w:r>
      <w:proofErr w:type="spellStart"/>
      <w:r w:rsidRPr="0015078D">
        <w:rPr>
          <w:rFonts w:ascii="Tahoma" w:eastAsia="Calibri" w:hAnsi="Tahoma" w:cs="Tahoma"/>
          <w:sz w:val="24"/>
          <w:szCs w:val="24"/>
          <w:lang w:val="en-US"/>
        </w:rPr>
        <w:t>absorbţiei</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pentru</w:t>
      </w:r>
      <w:proofErr w:type="spellEnd"/>
      <w:r w:rsidRPr="0015078D">
        <w:rPr>
          <w:rFonts w:ascii="Tahoma" w:eastAsia="Calibri" w:hAnsi="Tahoma" w:cs="Tahoma"/>
          <w:sz w:val="24"/>
          <w:szCs w:val="24"/>
          <w:lang w:val="en-US"/>
        </w:rPr>
        <w:t xml:space="preserve"> CFM 2014-2020, </w:t>
      </w:r>
      <w:proofErr w:type="spellStart"/>
      <w:r w:rsidRPr="0015078D">
        <w:rPr>
          <w:rFonts w:ascii="Tahoma" w:eastAsia="Calibri" w:hAnsi="Tahoma" w:cs="Tahoma"/>
          <w:sz w:val="24"/>
          <w:szCs w:val="24"/>
          <w:lang w:val="en-US"/>
        </w:rPr>
        <w:t>în</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anul</w:t>
      </w:r>
      <w:proofErr w:type="spellEnd"/>
      <w:r w:rsidRPr="0015078D">
        <w:rPr>
          <w:rFonts w:ascii="Tahoma" w:eastAsia="Calibri" w:hAnsi="Tahoma" w:cs="Tahoma"/>
          <w:sz w:val="24"/>
          <w:szCs w:val="24"/>
          <w:lang w:val="en-US"/>
        </w:rPr>
        <w:t xml:space="preserve"> 2023, </w:t>
      </w:r>
      <w:proofErr w:type="spellStart"/>
      <w:r w:rsidRPr="0015078D">
        <w:rPr>
          <w:rFonts w:ascii="Tahoma" w:eastAsia="Calibri" w:hAnsi="Tahoma" w:cs="Tahoma"/>
          <w:sz w:val="24"/>
          <w:szCs w:val="24"/>
          <w:lang w:val="en-US"/>
        </w:rPr>
        <w:t>cele</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mai</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bune</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rezultate</w:t>
      </w:r>
      <w:proofErr w:type="spellEnd"/>
      <w:r w:rsidRPr="0015078D">
        <w:rPr>
          <w:rFonts w:ascii="Tahoma" w:eastAsia="Calibri" w:hAnsi="Tahoma" w:cs="Tahoma"/>
          <w:sz w:val="24"/>
          <w:szCs w:val="24"/>
          <w:lang w:val="en-US"/>
        </w:rPr>
        <w:t xml:space="preserve"> au </w:t>
      </w:r>
      <w:proofErr w:type="spellStart"/>
      <w:r w:rsidRPr="0015078D">
        <w:rPr>
          <w:rFonts w:ascii="Tahoma" w:eastAsia="Calibri" w:hAnsi="Tahoma" w:cs="Tahoma"/>
          <w:sz w:val="24"/>
          <w:szCs w:val="24"/>
          <w:lang w:val="en-US"/>
        </w:rPr>
        <w:t>fost</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înregistrate</w:t>
      </w:r>
      <w:proofErr w:type="spellEnd"/>
      <w:r w:rsidRPr="0015078D">
        <w:rPr>
          <w:rFonts w:ascii="Tahoma" w:eastAsia="Calibri" w:hAnsi="Tahoma" w:cs="Tahoma"/>
          <w:sz w:val="24"/>
          <w:szCs w:val="24"/>
          <w:lang w:val="en-US"/>
        </w:rPr>
        <w:t xml:space="preserve"> de </w:t>
      </w:r>
      <w:proofErr w:type="spellStart"/>
      <w:r w:rsidRPr="0015078D">
        <w:rPr>
          <w:rFonts w:ascii="Tahoma" w:eastAsia="Calibri" w:hAnsi="Tahoma" w:cs="Tahoma"/>
          <w:sz w:val="24"/>
          <w:szCs w:val="24"/>
          <w:lang w:val="en-US"/>
        </w:rPr>
        <w:t>Fondul</w:t>
      </w:r>
      <w:proofErr w:type="spellEnd"/>
      <w:r w:rsidRPr="0015078D">
        <w:rPr>
          <w:rFonts w:ascii="Tahoma" w:eastAsia="Calibri" w:hAnsi="Tahoma" w:cs="Tahoma"/>
          <w:sz w:val="24"/>
          <w:szCs w:val="24"/>
          <w:lang w:val="en-US"/>
        </w:rPr>
        <w:t xml:space="preserve"> European </w:t>
      </w:r>
      <w:proofErr w:type="spellStart"/>
      <w:r w:rsidRPr="0015078D">
        <w:rPr>
          <w:rFonts w:ascii="Tahoma" w:eastAsia="Calibri" w:hAnsi="Tahoma" w:cs="Tahoma"/>
          <w:sz w:val="24"/>
          <w:szCs w:val="24"/>
          <w:lang w:val="en-US"/>
        </w:rPr>
        <w:t>pentru</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Garantare</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Agricolă</w:t>
      </w:r>
      <w:proofErr w:type="spellEnd"/>
      <w:r w:rsidRPr="0015078D">
        <w:rPr>
          <w:rFonts w:ascii="Tahoma" w:eastAsia="Calibri" w:hAnsi="Tahoma" w:cs="Tahoma"/>
          <w:sz w:val="24"/>
          <w:szCs w:val="24"/>
          <w:lang w:val="en-US"/>
        </w:rPr>
        <w:t xml:space="preserve"> (FEGA) </w:t>
      </w:r>
      <w:proofErr w:type="spellStart"/>
      <w:r w:rsidRPr="0015078D">
        <w:rPr>
          <w:rFonts w:ascii="Tahoma" w:eastAsia="Calibri" w:hAnsi="Tahoma" w:cs="Tahoma"/>
          <w:sz w:val="24"/>
          <w:szCs w:val="24"/>
          <w:lang w:val="en-US"/>
        </w:rPr>
        <w:t>prin</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intermediul</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căruia</w:t>
      </w:r>
      <w:proofErr w:type="spellEnd"/>
      <w:r w:rsidRPr="0015078D">
        <w:rPr>
          <w:rFonts w:ascii="Tahoma" w:eastAsia="Calibri" w:hAnsi="Tahoma" w:cs="Tahoma"/>
          <w:sz w:val="24"/>
          <w:szCs w:val="24"/>
          <w:lang w:val="en-US"/>
        </w:rPr>
        <w:t xml:space="preserve"> s-au </w:t>
      </w:r>
      <w:proofErr w:type="spellStart"/>
      <w:r w:rsidRPr="0015078D">
        <w:rPr>
          <w:rFonts w:ascii="Tahoma" w:eastAsia="Calibri" w:hAnsi="Tahoma" w:cs="Tahoma"/>
          <w:sz w:val="24"/>
          <w:szCs w:val="24"/>
          <w:lang w:val="en-US"/>
        </w:rPr>
        <w:t>atras</w:t>
      </w:r>
      <w:proofErr w:type="spellEnd"/>
      <w:r w:rsidRPr="0015078D">
        <w:rPr>
          <w:rFonts w:ascii="Tahoma" w:eastAsia="Calibri" w:hAnsi="Tahoma" w:cs="Tahoma"/>
          <w:sz w:val="24"/>
          <w:szCs w:val="24"/>
          <w:lang w:val="en-US"/>
        </w:rPr>
        <w:t xml:space="preserve"> 1,74 </w:t>
      </w:r>
      <w:proofErr w:type="spellStart"/>
      <w:r w:rsidRPr="0015078D">
        <w:rPr>
          <w:rFonts w:ascii="Tahoma" w:eastAsia="Calibri" w:hAnsi="Tahoma" w:cs="Tahoma"/>
          <w:sz w:val="24"/>
          <w:szCs w:val="24"/>
          <w:lang w:val="en-US"/>
        </w:rPr>
        <w:t>mld</w:t>
      </w:r>
      <w:proofErr w:type="spellEnd"/>
      <w:r w:rsidRPr="0015078D">
        <w:rPr>
          <w:rFonts w:ascii="Tahoma" w:eastAsia="Calibri" w:hAnsi="Tahoma" w:cs="Tahoma"/>
          <w:sz w:val="24"/>
          <w:szCs w:val="24"/>
          <w:lang w:val="en-US"/>
        </w:rPr>
        <w:t xml:space="preserve">. euro (95,77% din </w:t>
      </w:r>
      <w:proofErr w:type="spellStart"/>
      <w:r w:rsidRPr="0015078D">
        <w:rPr>
          <w:rFonts w:ascii="Tahoma" w:eastAsia="Calibri" w:hAnsi="Tahoma" w:cs="Tahoma"/>
          <w:sz w:val="24"/>
          <w:szCs w:val="24"/>
          <w:lang w:val="en-US"/>
        </w:rPr>
        <w:t>suma</w:t>
      </w:r>
      <w:proofErr w:type="spellEnd"/>
      <w:r w:rsidRPr="0015078D">
        <w:rPr>
          <w:rFonts w:ascii="Tahoma" w:eastAsia="Calibri" w:hAnsi="Tahoma" w:cs="Tahoma"/>
          <w:sz w:val="24"/>
          <w:szCs w:val="24"/>
          <w:lang w:val="en-US"/>
        </w:rPr>
        <w:t xml:space="preserve"> </w:t>
      </w:r>
      <w:proofErr w:type="spellStart"/>
      <w:r w:rsidRPr="0015078D">
        <w:rPr>
          <w:rFonts w:ascii="Tahoma" w:eastAsia="Calibri" w:hAnsi="Tahoma" w:cs="Tahoma"/>
          <w:sz w:val="24"/>
          <w:szCs w:val="24"/>
          <w:lang w:val="en-US"/>
        </w:rPr>
        <w:t>estimată</w:t>
      </w:r>
      <w:proofErr w:type="spellEnd"/>
      <w:r w:rsidRPr="0015078D">
        <w:rPr>
          <w:rFonts w:ascii="Tahoma" w:eastAsia="Calibri" w:hAnsi="Tahoma" w:cs="Tahoma"/>
          <w:sz w:val="24"/>
          <w:szCs w:val="24"/>
          <w:lang w:val="en-US"/>
        </w:rPr>
        <w:t xml:space="preserve"> de 1,82 </w:t>
      </w:r>
      <w:proofErr w:type="spellStart"/>
      <w:r w:rsidRPr="0015078D">
        <w:rPr>
          <w:rFonts w:ascii="Tahoma" w:eastAsia="Calibri" w:hAnsi="Tahoma" w:cs="Tahoma"/>
          <w:sz w:val="24"/>
          <w:szCs w:val="24"/>
          <w:lang w:val="en-US"/>
        </w:rPr>
        <w:t>mld</w:t>
      </w:r>
      <w:proofErr w:type="spellEnd"/>
      <w:r w:rsidRPr="0015078D">
        <w:rPr>
          <w:rFonts w:ascii="Tahoma" w:eastAsia="Calibri" w:hAnsi="Tahoma" w:cs="Tahoma"/>
          <w:sz w:val="24"/>
          <w:szCs w:val="24"/>
          <w:lang w:val="en-US"/>
        </w:rPr>
        <w:t>. euro).</w:t>
      </w:r>
    </w:p>
    <w:p w:rsidR="0015078D" w:rsidRPr="0015078D" w:rsidRDefault="0015078D" w:rsidP="002615A2">
      <w:pPr>
        <w:spacing w:after="160" w:line="276" w:lineRule="auto"/>
        <w:ind w:firstLine="0"/>
        <w:rPr>
          <w:rFonts w:ascii="Arial" w:eastAsia="Calibri" w:hAnsi="Arial" w:cs="Arial"/>
          <w:sz w:val="24"/>
          <w:szCs w:val="24"/>
          <w:lang w:val="en-US"/>
        </w:rPr>
      </w:pPr>
    </w:p>
    <w:p w:rsidR="005335C0" w:rsidRPr="007403CD" w:rsidRDefault="00A93ECA" w:rsidP="00A93ECA">
      <w:pPr>
        <w:spacing w:after="160" w:line="259" w:lineRule="auto"/>
        <w:ind w:firstLine="0"/>
        <w:rPr>
          <w:rFonts w:ascii="Tahoma" w:eastAsiaTheme="majorEastAsia" w:hAnsi="Tahoma" w:cs="Tahoma"/>
          <w:b/>
          <w:sz w:val="24"/>
          <w:szCs w:val="24"/>
        </w:rPr>
      </w:pPr>
      <w:r w:rsidRPr="00A93ECA">
        <w:rPr>
          <w:noProof/>
          <w:lang w:val="en-US"/>
        </w:rPr>
        <w:lastRenderedPageBreak/>
        <w:drawing>
          <wp:inline distT="0" distB="0" distL="0" distR="0">
            <wp:extent cx="5759839" cy="845388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9216" cy="8467649"/>
                    </a:xfrm>
                    <a:prstGeom prst="rect">
                      <a:avLst/>
                    </a:prstGeom>
                    <a:noFill/>
                    <a:ln>
                      <a:noFill/>
                    </a:ln>
                  </pic:spPr>
                </pic:pic>
              </a:graphicData>
            </a:graphic>
          </wp:inline>
        </w:drawing>
      </w:r>
      <w:r w:rsidR="005335C0" w:rsidRPr="007403CD">
        <w:rPr>
          <w:rFonts w:ascii="Tahoma" w:hAnsi="Tahoma" w:cs="Tahoma"/>
          <w:b/>
          <w:sz w:val="24"/>
          <w:szCs w:val="24"/>
        </w:rPr>
        <w:br w:type="page"/>
      </w:r>
    </w:p>
    <w:p w:rsidR="00C60107" w:rsidRPr="007403CD" w:rsidRDefault="00C60107" w:rsidP="002A6579">
      <w:pPr>
        <w:pStyle w:val="Heading1"/>
        <w:spacing w:after="360" w:line="276" w:lineRule="auto"/>
        <w:ind w:left="374" w:firstLine="706"/>
        <w:rPr>
          <w:rFonts w:ascii="Tahoma" w:hAnsi="Tahoma" w:cs="Tahoma"/>
          <w:b/>
          <w:color w:val="auto"/>
          <w:sz w:val="24"/>
          <w:szCs w:val="24"/>
        </w:rPr>
      </w:pPr>
      <w:bookmarkStart w:id="31" w:name="_Toc140151611"/>
      <w:r w:rsidRPr="007403CD">
        <w:rPr>
          <w:rFonts w:ascii="Tahoma" w:hAnsi="Tahoma" w:cs="Tahoma"/>
          <w:b/>
          <w:color w:val="auto"/>
          <w:sz w:val="24"/>
          <w:szCs w:val="24"/>
        </w:rPr>
        <w:lastRenderedPageBreak/>
        <w:t>Concluzii</w:t>
      </w:r>
      <w:bookmarkEnd w:id="31"/>
    </w:p>
    <w:p w:rsidR="00095E25" w:rsidRPr="007403CD" w:rsidRDefault="00C60107" w:rsidP="004C0DCD">
      <w:pPr>
        <w:pStyle w:val="ListParagraph"/>
        <w:numPr>
          <w:ilvl w:val="1"/>
          <w:numId w:val="12"/>
        </w:numPr>
        <w:spacing w:before="120" w:after="120" w:line="276" w:lineRule="auto"/>
        <w:ind w:left="641" w:hanging="357"/>
        <w:contextualSpacing w:val="0"/>
        <w:rPr>
          <w:rFonts w:ascii="Tahoma" w:eastAsia="Times New Roman" w:hAnsi="Tahoma" w:cs="Tahoma"/>
          <w:sz w:val="24"/>
          <w:szCs w:val="24"/>
        </w:rPr>
      </w:pPr>
      <w:r w:rsidRPr="007403CD">
        <w:rPr>
          <w:rFonts w:ascii="Tahoma" w:eastAsia="Times New Roman" w:hAnsi="Tahoma" w:cs="Tahoma"/>
          <w:sz w:val="24"/>
          <w:szCs w:val="24"/>
        </w:rPr>
        <w:t>Soldul bugetului general consolidat la semestrul I 20</w:t>
      </w:r>
      <w:r w:rsidR="000D44BC" w:rsidRPr="007403CD">
        <w:rPr>
          <w:rFonts w:ascii="Tahoma" w:eastAsia="Times New Roman" w:hAnsi="Tahoma" w:cs="Tahoma"/>
          <w:sz w:val="24"/>
          <w:szCs w:val="24"/>
        </w:rPr>
        <w:t>2</w:t>
      </w:r>
      <w:r w:rsidR="00DB1C15">
        <w:rPr>
          <w:rFonts w:ascii="Tahoma" w:eastAsia="Times New Roman" w:hAnsi="Tahoma" w:cs="Tahoma"/>
          <w:sz w:val="24"/>
          <w:szCs w:val="24"/>
        </w:rPr>
        <w:t>3</w:t>
      </w:r>
      <w:r w:rsidRPr="007403CD">
        <w:rPr>
          <w:rFonts w:ascii="Tahoma" w:eastAsia="Times New Roman" w:hAnsi="Tahoma" w:cs="Tahoma"/>
          <w:sz w:val="24"/>
          <w:szCs w:val="24"/>
        </w:rPr>
        <w:t xml:space="preserve"> s-a încadrat în ținta stabilită.</w:t>
      </w:r>
      <w:r w:rsidR="009C7DAD" w:rsidRPr="007403CD">
        <w:rPr>
          <w:rFonts w:ascii="Tahoma" w:hAnsi="Tahoma" w:cs="Tahoma"/>
          <w:sz w:val="24"/>
          <w:szCs w:val="24"/>
        </w:rPr>
        <w:t xml:space="preserve"> D</w:t>
      </w:r>
      <w:r w:rsidR="00095E25" w:rsidRPr="007403CD">
        <w:rPr>
          <w:rFonts w:ascii="Tahoma" w:eastAsia="Times New Roman" w:hAnsi="Tahoma" w:cs="Tahoma"/>
          <w:sz w:val="24"/>
          <w:szCs w:val="24"/>
        </w:rPr>
        <w:t xml:space="preserve">eficitul înregistrat a fost </w:t>
      </w:r>
      <w:r w:rsidR="002E13BC" w:rsidRPr="007403CD">
        <w:rPr>
          <w:rFonts w:ascii="Tahoma" w:eastAsia="Times New Roman" w:hAnsi="Tahoma" w:cs="Tahoma"/>
          <w:sz w:val="24"/>
          <w:szCs w:val="24"/>
        </w:rPr>
        <w:t xml:space="preserve">influențat </w:t>
      </w:r>
      <w:r w:rsidR="00DB1C15">
        <w:rPr>
          <w:rFonts w:ascii="Tahoma" w:eastAsia="Times New Roman" w:hAnsi="Tahoma" w:cs="Tahoma"/>
          <w:sz w:val="24"/>
          <w:szCs w:val="24"/>
        </w:rPr>
        <w:t xml:space="preserve">pozitiv </w:t>
      </w:r>
      <w:r w:rsidR="00095E25" w:rsidRPr="007403CD">
        <w:rPr>
          <w:rFonts w:ascii="Tahoma" w:eastAsia="Times New Roman" w:hAnsi="Tahoma" w:cs="Tahoma"/>
          <w:sz w:val="24"/>
          <w:szCs w:val="24"/>
        </w:rPr>
        <w:t xml:space="preserve">de </w:t>
      </w:r>
      <w:r w:rsidR="00B10B85" w:rsidRPr="007403CD">
        <w:rPr>
          <w:rFonts w:ascii="Tahoma" w:eastAsia="Times New Roman" w:hAnsi="Tahoma" w:cs="Tahoma"/>
          <w:sz w:val="24"/>
          <w:szCs w:val="24"/>
        </w:rPr>
        <w:t>nerealizarea cheltuielilor programate pentru primul semestru al anului 202</w:t>
      </w:r>
      <w:r w:rsidR="00DB1C15">
        <w:rPr>
          <w:rFonts w:ascii="Tahoma" w:eastAsia="Times New Roman" w:hAnsi="Tahoma" w:cs="Tahoma"/>
          <w:sz w:val="24"/>
          <w:szCs w:val="24"/>
        </w:rPr>
        <w:t>3</w:t>
      </w:r>
      <w:r w:rsidR="00B10B85" w:rsidRPr="007403CD">
        <w:rPr>
          <w:rFonts w:ascii="Tahoma" w:eastAsia="Times New Roman" w:hAnsi="Tahoma" w:cs="Tahoma"/>
          <w:sz w:val="24"/>
          <w:szCs w:val="24"/>
        </w:rPr>
        <w:t xml:space="preserve"> și </w:t>
      </w:r>
      <w:r w:rsidR="00DB1C15">
        <w:rPr>
          <w:rFonts w:ascii="Tahoma" w:eastAsia="Times New Roman" w:hAnsi="Tahoma" w:cs="Tahoma"/>
          <w:sz w:val="24"/>
          <w:szCs w:val="24"/>
        </w:rPr>
        <w:t xml:space="preserve">negativ </w:t>
      </w:r>
      <w:r w:rsidR="00B10B85" w:rsidRPr="007403CD">
        <w:rPr>
          <w:rFonts w:ascii="Tahoma" w:eastAsia="Times New Roman" w:hAnsi="Tahoma" w:cs="Tahoma"/>
          <w:sz w:val="24"/>
          <w:szCs w:val="24"/>
        </w:rPr>
        <w:t xml:space="preserve">de încasările bugetare </w:t>
      </w:r>
      <w:r w:rsidR="00DB1C15">
        <w:rPr>
          <w:rFonts w:ascii="Tahoma" w:eastAsia="Times New Roman" w:hAnsi="Tahoma" w:cs="Tahoma"/>
          <w:sz w:val="24"/>
          <w:szCs w:val="24"/>
        </w:rPr>
        <w:t>infe</w:t>
      </w:r>
      <w:r w:rsidR="00B10B85" w:rsidRPr="007403CD">
        <w:rPr>
          <w:rFonts w:ascii="Tahoma" w:eastAsia="Times New Roman" w:hAnsi="Tahoma" w:cs="Tahoma"/>
          <w:sz w:val="24"/>
          <w:szCs w:val="24"/>
        </w:rPr>
        <w:t xml:space="preserve">rioare nivelului programat. </w:t>
      </w:r>
    </w:p>
    <w:p w:rsidR="00DB1C15" w:rsidRPr="00DB1C15" w:rsidRDefault="00DB1C15" w:rsidP="00DB1C15">
      <w:pPr>
        <w:pStyle w:val="ListParagraph"/>
        <w:widowControl w:val="0"/>
        <w:numPr>
          <w:ilvl w:val="0"/>
          <w:numId w:val="12"/>
        </w:numPr>
        <w:spacing w:before="240" w:after="240" w:line="276" w:lineRule="auto"/>
        <w:ind w:left="714" w:hanging="357"/>
        <w:contextualSpacing w:val="0"/>
        <w:rPr>
          <w:rFonts w:ascii="Tahoma" w:eastAsia="Calibri" w:hAnsi="Tahoma" w:cs="Tahoma"/>
          <w:sz w:val="24"/>
          <w:szCs w:val="24"/>
        </w:rPr>
      </w:pPr>
      <w:r w:rsidRPr="00DB1C15">
        <w:rPr>
          <w:rFonts w:ascii="Tahoma" w:eastAsia="Calibri" w:hAnsi="Tahoma" w:cs="Tahoma"/>
          <w:sz w:val="24"/>
          <w:szCs w:val="24"/>
        </w:rPr>
        <w:t xml:space="preserve">Datoria guvernamentală conform metodologiei UE s-a situat la data de 31 mai 2023 la un nivel de 50,1% din PIB sub plafonul de 60% stabilit prin Tratatul de la Maastricht. Datoria internă a administrației publice a reprezentat 24,0% din PIB, iar datoria externă 26,1% din PIB. </w:t>
      </w:r>
    </w:p>
    <w:p w:rsidR="00C60107" w:rsidRPr="007403CD" w:rsidRDefault="00C60107" w:rsidP="004C0DCD">
      <w:pPr>
        <w:pStyle w:val="ListParagraph"/>
        <w:widowControl w:val="0"/>
        <w:numPr>
          <w:ilvl w:val="1"/>
          <w:numId w:val="12"/>
        </w:numPr>
        <w:spacing w:before="120" w:after="120" w:line="276" w:lineRule="auto"/>
        <w:ind w:left="641" w:hanging="357"/>
        <w:contextualSpacing w:val="0"/>
        <w:rPr>
          <w:rFonts w:ascii="Tahoma" w:hAnsi="Tahoma" w:cs="Tahoma"/>
          <w:sz w:val="24"/>
          <w:szCs w:val="24"/>
        </w:rPr>
      </w:pPr>
      <w:r w:rsidRPr="007403CD">
        <w:rPr>
          <w:rFonts w:ascii="Tahoma" w:hAnsi="Tahoma" w:cs="Tahoma"/>
          <w:sz w:val="24"/>
          <w:szCs w:val="24"/>
        </w:rPr>
        <w:t xml:space="preserve">Veniturile bugetului general consolidat au fost </w:t>
      </w:r>
      <w:r w:rsidR="002E13BC" w:rsidRPr="007403CD">
        <w:rPr>
          <w:rFonts w:ascii="Tahoma" w:hAnsi="Tahoma" w:cs="Tahoma"/>
          <w:sz w:val="24"/>
          <w:szCs w:val="24"/>
        </w:rPr>
        <w:t xml:space="preserve">superioare </w:t>
      </w:r>
      <w:r w:rsidRPr="007403CD">
        <w:rPr>
          <w:rFonts w:ascii="Tahoma" w:hAnsi="Tahoma" w:cs="Tahoma"/>
          <w:sz w:val="24"/>
          <w:szCs w:val="24"/>
        </w:rPr>
        <w:t>încasărilor din perioada similară a anului anterior, în termeni nominali</w:t>
      </w:r>
      <w:r w:rsidR="00B76831" w:rsidRPr="007403CD">
        <w:rPr>
          <w:rFonts w:ascii="Tahoma" w:hAnsi="Tahoma" w:cs="Tahoma"/>
          <w:sz w:val="24"/>
          <w:szCs w:val="24"/>
        </w:rPr>
        <w:t>,</w:t>
      </w:r>
      <w:r w:rsidR="00BA087F" w:rsidRPr="007403CD">
        <w:rPr>
          <w:rFonts w:ascii="Tahoma" w:hAnsi="Tahoma" w:cs="Tahoma"/>
          <w:sz w:val="24"/>
          <w:szCs w:val="24"/>
        </w:rPr>
        <w:t xml:space="preserve"> </w:t>
      </w:r>
      <w:r w:rsidR="005C6BB9">
        <w:rPr>
          <w:rFonts w:ascii="Tahoma" w:hAnsi="Tahoma" w:cs="Tahoma"/>
          <w:sz w:val="24"/>
          <w:szCs w:val="24"/>
        </w:rPr>
        <w:t xml:space="preserve">dar nu au mai atins nivelurile de creștere din anul anterior pe fondul scăderii </w:t>
      </w:r>
      <w:r w:rsidR="005C6BB9" w:rsidRPr="007403CD">
        <w:rPr>
          <w:rFonts w:ascii="Tahoma" w:hAnsi="Tahoma" w:cs="Tahoma"/>
          <w:sz w:val="24"/>
          <w:szCs w:val="24"/>
        </w:rPr>
        <w:t>presiunilor inflaționiste</w:t>
      </w:r>
      <w:r w:rsidR="005C6BB9">
        <w:rPr>
          <w:rFonts w:ascii="Tahoma" w:hAnsi="Tahoma" w:cs="Tahoma"/>
          <w:sz w:val="24"/>
          <w:szCs w:val="24"/>
        </w:rPr>
        <w:t xml:space="preserve"> și a creșterii economice mai reduse din prima parte a anului. Evoluția veniturile bugetului general consolidat comparativ cu anul anterior a fost determinată și de creșterea </w:t>
      </w:r>
      <w:proofErr w:type="spellStart"/>
      <w:r w:rsidR="005C6BB9">
        <w:rPr>
          <w:rFonts w:ascii="Tahoma" w:hAnsi="Tahoma" w:cs="Tahoma"/>
          <w:sz w:val="24"/>
          <w:szCs w:val="24"/>
        </w:rPr>
        <w:t>semnificațivă</w:t>
      </w:r>
      <w:proofErr w:type="spellEnd"/>
      <w:r w:rsidR="005C6BB9">
        <w:rPr>
          <w:rFonts w:ascii="Tahoma" w:hAnsi="Tahoma" w:cs="Tahoma"/>
          <w:sz w:val="24"/>
          <w:szCs w:val="24"/>
        </w:rPr>
        <w:t xml:space="preserve"> a veniturilor provenite din fondurile externe nerambursabile a căror evoluție a</w:t>
      </w:r>
      <w:r w:rsidR="002615A2">
        <w:rPr>
          <w:rFonts w:ascii="Tahoma" w:hAnsi="Tahoma" w:cs="Tahoma"/>
          <w:sz w:val="24"/>
          <w:szCs w:val="24"/>
        </w:rPr>
        <w:t xml:space="preserve"> fost superioară celor din econ</w:t>
      </w:r>
      <w:r w:rsidR="005C6BB9">
        <w:rPr>
          <w:rFonts w:ascii="Tahoma" w:hAnsi="Tahoma" w:cs="Tahoma"/>
          <w:sz w:val="24"/>
          <w:szCs w:val="24"/>
        </w:rPr>
        <w:t xml:space="preserve">omia internă. </w:t>
      </w:r>
    </w:p>
    <w:p w:rsidR="00C60107" w:rsidRPr="007403CD" w:rsidRDefault="00C60107" w:rsidP="004C0DCD">
      <w:pPr>
        <w:pStyle w:val="ListParagraph"/>
        <w:numPr>
          <w:ilvl w:val="0"/>
          <w:numId w:val="12"/>
        </w:numPr>
        <w:spacing w:before="120" w:after="120" w:line="276" w:lineRule="auto"/>
        <w:ind w:left="641" w:hanging="357"/>
        <w:contextualSpacing w:val="0"/>
        <w:rPr>
          <w:rFonts w:ascii="Tahoma" w:hAnsi="Tahoma" w:cs="Tahoma"/>
          <w:sz w:val="24"/>
          <w:szCs w:val="24"/>
        </w:rPr>
      </w:pPr>
      <w:r w:rsidRPr="007403CD">
        <w:rPr>
          <w:rFonts w:ascii="Tahoma" w:hAnsi="Tahoma" w:cs="Tahoma"/>
          <w:sz w:val="24"/>
          <w:szCs w:val="24"/>
        </w:rPr>
        <w:t xml:space="preserve">Cheltuielile bugetului general consolidat au fost cu </w:t>
      </w:r>
      <w:r w:rsidR="005C6BB9">
        <w:rPr>
          <w:rFonts w:ascii="Tahoma" w:hAnsi="Tahoma" w:cs="Tahoma"/>
          <w:sz w:val="24"/>
          <w:szCs w:val="24"/>
        </w:rPr>
        <w:t>16,5</w:t>
      </w:r>
      <w:r w:rsidRPr="007403CD">
        <w:rPr>
          <w:rFonts w:ascii="Tahoma" w:hAnsi="Tahoma" w:cs="Tahoma"/>
          <w:sz w:val="24"/>
          <w:szCs w:val="24"/>
        </w:rPr>
        <w:t>% mai mari comparativ cu aceeași perioadă a anului anterior, situându-se sub nivelul programat.</w:t>
      </w:r>
      <w:r w:rsidR="00F66D63">
        <w:rPr>
          <w:rFonts w:ascii="Tahoma" w:hAnsi="Tahoma" w:cs="Tahoma"/>
          <w:sz w:val="24"/>
          <w:szCs w:val="24"/>
        </w:rPr>
        <w:t xml:space="preserve"> Menționăm că pe parcursul anului 2023 au fost adoptate </w:t>
      </w:r>
      <w:r w:rsidR="00082003">
        <w:rPr>
          <w:rFonts w:ascii="Tahoma" w:hAnsi="Tahoma" w:cs="Tahoma"/>
          <w:sz w:val="24"/>
          <w:szCs w:val="24"/>
        </w:rPr>
        <w:t xml:space="preserve">o serie de </w:t>
      </w:r>
      <w:r w:rsidR="00F66D63">
        <w:rPr>
          <w:rFonts w:ascii="Tahoma" w:hAnsi="Tahoma" w:cs="Tahoma"/>
          <w:sz w:val="24"/>
          <w:szCs w:val="24"/>
        </w:rPr>
        <w:t xml:space="preserve">acte normative </w:t>
      </w:r>
      <w:r w:rsidR="00082003">
        <w:rPr>
          <w:rFonts w:ascii="Tahoma" w:hAnsi="Tahoma" w:cs="Tahoma"/>
          <w:sz w:val="24"/>
          <w:szCs w:val="24"/>
        </w:rPr>
        <w:t xml:space="preserve">ce au vizat majorarea unor cheltuieli de personal pentru unele categorii de salariați dar și de cheltuieli de capital </w:t>
      </w:r>
      <w:r w:rsidR="00F66D63">
        <w:rPr>
          <w:rFonts w:ascii="Tahoma" w:hAnsi="Tahoma" w:cs="Tahoma"/>
          <w:sz w:val="24"/>
          <w:szCs w:val="24"/>
        </w:rPr>
        <w:t>cu impact asupra cheltuielilor programate pentru anul 2023 în valoare de 6,6 miliarde lei</w:t>
      </w:r>
      <w:r w:rsidR="00082003">
        <w:rPr>
          <w:rFonts w:ascii="Tahoma" w:hAnsi="Tahoma" w:cs="Tahoma"/>
          <w:sz w:val="24"/>
          <w:szCs w:val="24"/>
        </w:rPr>
        <w:t xml:space="preserve">. </w:t>
      </w:r>
    </w:p>
    <w:p w:rsidR="00E940C4" w:rsidRPr="00332878" w:rsidRDefault="00C60107" w:rsidP="004C0DCD">
      <w:pPr>
        <w:pStyle w:val="ListParagraph"/>
        <w:numPr>
          <w:ilvl w:val="0"/>
          <w:numId w:val="12"/>
        </w:numPr>
        <w:spacing w:before="240" w:after="120" w:line="276" w:lineRule="auto"/>
        <w:ind w:left="641" w:hanging="357"/>
        <w:contextualSpacing w:val="0"/>
        <w:rPr>
          <w:rFonts w:ascii="Tahoma" w:hAnsi="Tahoma" w:cs="Tahoma"/>
          <w:sz w:val="24"/>
          <w:szCs w:val="24"/>
        </w:rPr>
      </w:pPr>
      <w:r w:rsidRPr="007403CD">
        <w:rPr>
          <w:rFonts w:ascii="Tahoma" w:hAnsi="Tahoma" w:cs="Tahoma"/>
          <w:sz w:val="24"/>
          <w:szCs w:val="24"/>
        </w:rPr>
        <w:t xml:space="preserve">Cheltuielile pentru investiții </w:t>
      </w:r>
      <w:bookmarkEnd w:id="26"/>
      <w:bookmarkEnd w:id="27"/>
      <w:bookmarkEnd w:id="28"/>
      <w:bookmarkEnd w:id="29"/>
      <w:bookmarkEnd w:id="30"/>
      <w:r w:rsidR="00154267">
        <w:rPr>
          <w:rFonts w:ascii="Tahoma" w:hAnsi="Tahoma" w:cs="Tahoma"/>
          <w:sz w:val="24"/>
          <w:szCs w:val="24"/>
        </w:rPr>
        <w:t xml:space="preserve">au înregistrat o creștere accentuată comparativ cu </w:t>
      </w:r>
      <w:proofErr w:type="spellStart"/>
      <w:r w:rsidR="00154267">
        <w:rPr>
          <w:rFonts w:ascii="Tahoma" w:hAnsi="Tahoma" w:cs="Tahoma"/>
          <w:sz w:val="24"/>
          <w:szCs w:val="24"/>
        </w:rPr>
        <w:t>cu</w:t>
      </w:r>
      <w:proofErr w:type="spellEnd"/>
      <w:r w:rsidR="00154267">
        <w:rPr>
          <w:rFonts w:ascii="Tahoma" w:hAnsi="Tahoma" w:cs="Tahoma"/>
          <w:sz w:val="24"/>
          <w:szCs w:val="24"/>
        </w:rPr>
        <w:t xml:space="preserve"> semestrul I 2022 (+56,7%) alocările fiind efectuate </w:t>
      </w:r>
      <w:r w:rsidR="006E0ADC" w:rsidRPr="007403CD">
        <w:rPr>
          <w:rFonts w:ascii="Tahoma" w:hAnsi="Tahoma" w:cs="Tahoma"/>
          <w:sz w:val="24"/>
          <w:szCs w:val="24"/>
        </w:rPr>
        <w:t xml:space="preserve">în principal </w:t>
      </w:r>
      <w:r w:rsidR="00631554" w:rsidRPr="007403CD">
        <w:rPr>
          <w:rFonts w:ascii="Tahoma" w:eastAsia="Arial" w:hAnsi="Tahoma" w:cs="Tahoma"/>
          <w:sz w:val="24"/>
          <w:szCs w:val="24"/>
          <w:shd w:val="clear" w:color="auto" w:fill="FFFFFF"/>
        </w:rPr>
        <w:t>pentru</w:t>
      </w:r>
      <w:r w:rsidR="00E940C4" w:rsidRPr="007403CD">
        <w:rPr>
          <w:rFonts w:ascii="Tahoma" w:eastAsia="Arial" w:hAnsi="Tahoma" w:cs="Tahoma"/>
          <w:sz w:val="24"/>
          <w:szCs w:val="24"/>
          <w:shd w:val="clear" w:color="auto" w:fill="FFFFFF"/>
        </w:rPr>
        <w:t xml:space="preserve"> </w:t>
      </w:r>
      <w:r w:rsidR="006E0ADC" w:rsidRPr="007403CD">
        <w:rPr>
          <w:rFonts w:ascii="Tahoma" w:eastAsia="Arial" w:hAnsi="Tahoma" w:cs="Tahoma"/>
          <w:sz w:val="24"/>
          <w:szCs w:val="24"/>
          <w:shd w:val="clear" w:color="auto" w:fill="FFFFFF"/>
        </w:rPr>
        <w:t>proiectel</w:t>
      </w:r>
      <w:r w:rsidR="00E940C4" w:rsidRPr="007403CD">
        <w:rPr>
          <w:rFonts w:ascii="Tahoma" w:eastAsia="Arial" w:hAnsi="Tahoma" w:cs="Tahoma"/>
          <w:sz w:val="24"/>
          <w:szCs w:val="24"/>
          <w:shd w:val="clear" w:color="auto" w:fill="FFFFFF"/>
        </w:rPr>
        <w:t>e</w:t>
      </w:r>
      <w:r w:rsidR="006E0ADC" w:rsidRPr="007403CD">
        <w:rPr>
          <w:rFonts w:ascii="Tahoma" w:eastAsia="Arial" w:hAnsi="Tahoma" w:cs="Tahoma"/>
          <w:sz w:val="24"/>
          <w:szCs w:val="24"/>
          <w:shd w:val="clear" w:color="auto" w:fill="FFFFFF"/>
        </w:rPr>
        <w:t xml:space="preserve"> finanțate din fonduri externe nerambursabile </w:t>
      </w:r>
      <w:proofErr w:type="spellStart"/>
      <w:r w:rsidR="006E0ADC" w:rsidRPr="007403CD">
        <w:rPr>
          <w:rFonts w:ascii="Tahoma" w:eastAsia="Arial" w:hAnsi="Tahoma" w:cs="Tahoma"/>
          <w:sz w:val="24"/>
          <w:szCs w:val="24"/>
          <w:shd w:val="clear" w:color="auto" w:fill="FFFFFF"/>
        </w:rPr>
        <w:t>postaderare</w:t>
      </w:r>
      <w:proofErr w:type="spellEnd"/>
      <w:r w:rsidR="006E0ADC" w:rsidRPr="007403CD">
        <w:rPr>
          <w:rFonts w:ascii="Tahoma" w:eastAsia="Arial" w:hAnsi="Tahoma" w:cs="Tahoma"/>
          <w:sz w:val="24"/>
          <w:szCs w:val="24"/>
          <w:shd w:val="clear" w:color="auto" w:fill="FFFFFF"/>
        </w:rPr>
        <w:t xml:space="preserve">, acestea reprezentând </w:t>
      </w:r>
      <w:r w:rsidR="00154267">
        <w:rPr>
          <w:rFonts w:ascii="Tahoma" w:eastAsia="Arial" w:hAnsi="Tahoma" w:cs="Tahoma"/>
          <w:sz w:val="24"/>
          <w:szCs w:val="24"/>
          <w:shd w:val="clear" w:color="auto" w:fill="FFFFFF"/>
        </w:rPr>
        <w:t>58,9</w:t>
      </w:r>
      <w:r w:rsidR="006E0ADC" w:rsidRPr="007403CD">
        <w:rPr>
          <w:rFonts w:ascii="Tahoma" w:eastAsia="Arial" w:hAnsi="Tahoma" w:cs="Tahoma"/>
          <w:sz w:val="24"/>
          <w:szCs w:val="24"/>
          <w:shd w:val="clear" w:color="auto" w:fill="FFFFFF"/>
        </w:rPr>
        <w:t>% din totalul cheltuielilor pentru investiții pe primele șase luni ale anului 202</w:t>
      </w:r>
      <w:r w:rsidR="00154267">
        <w:rPr>
          <w:rFonts w:ascii="Tahoma" w:eastAsia="Arial" w:hAnsi="Tahoma" w:cs="Tahoma"/>
          <w:sz w:val="24"/>
          <w:szCs w:val="24"/>
          <w:shd w:val="clear" w:color="auto" w:fill="FFFFFF"/>
        </w:rPr>
        <w:t>3</w:t>
      </w:r>
      <w:r w:rsidR="00E940C4" w:rsidRPr="007403CD">
        <w:rPr>
          <w:rFonts w:ascii="Tahoma" w:eastAsia="Arial" w:hAnsi="Tahoma" w:cs="Tahoma"/>
          <w:sz w:val="24"/>
          <w:szCs w:val="24"/>
          <w:shd w:val="clear" w:color="auto" w:fill="FFFFFF"/>
        </w:rPr>
        <w:t>.</w:t>
      </w:r>
    </w:p>
    <w:p w:rsidR="00332878" w:rsidRPr="00641607" w:rsidRDefault="00332878" w:rsidP="00332878">
      <w:pPr>
        <w:pStyle w:val="ListParagraph"/>
        <w:numPr>
          <w:ilvl w:val="1"/>
          <w:numId w:val="12"/>
        </w:numPr>
        <w:spacing w:before="120" w:after="120" w:line="276" w:lineRule="auto"/>
        <w:ind w:left="641" w:hanging="357"/>
        <w:contextualSpacing w:val="0"/>
        <w:rPr>
          <w:rFonts w:ascii="Tahoma" w:eastAsia="Times New Roman" w:hAnsi="Tahoma" w:cs="Tahoma"/>
          <w:sz w:val="24"/>
          <w:szCs w:val="24"/>
        </w:rPr>
      </w:pPr>
      <w:r w:rsidRPr="00641607">
        <w:rPr>
          <w:rFonts w:ascii="Tahoma" w:eastAsia="Times New Roman" w:hAnsi="Tahoma" w:cs="Tahoma"/>
          <w:sz w:val="24"/>
          <w:szCs w:val="24"/>
        </w:rPr>
        <w:t>Absorbția fondurilor externe nerambursabile reprezintă o prioritate pentru România și deși sumele din fonduri externe nerambursabile încasate în semestrul I 2023 au fost considerabil mai mari comparativ cu semestrul I 2022 totuși acestea s-au situat la un nivel redus față de cel programat(58,4%) pentru perioada analizată. Ca urmare este necesar ca în partea a doua a anului 2023 să se intensifice eforturile de absorbție a acestor fonduri.</w:t>
      </w:r>
    </w:p>
    <w:p w:rsidR="00D41B5E" w:rsidRPr="00D41B5E" w:rsidRDefault="00D90007" w:rsidP="004C0DCD">
      <w:pPr>
        <w:pStyle w:val="ListParagraph"/>
        <w:numPr>
          <w:ilvl w:val="0"/>
          <w:numId w:val="12"/>
        </w:numPr>
        <w:spacing w:before="240" w:after="120" w:line="276" w:lineRule="auto"/>
        <w:ind w:left="641" w:hanging="357"/>
        <w:contextualSpacing w:val="0"/>
        <w:rPr>
          <w:rFonts w:ascii="Tahoma" w:hAnsi="Tahoma" w:cs="Tahoma"/>
          <w:sz w:val="24"/>
          <w:szCs w:val="24"/>
        </w:rPr>
      </w:pPr>
      <w:r w:rsidRPr="007403CD">
        <w:rPr>
          <w:rFonts w:ascii="Tahoma" w:hAnsi="Tahoma" w:cs="Tahoma"/>
          <w:bCs/>
          <w:sz w:val="24"/>
          <w:szCs w:val="24"/>
        </w:rPr>
        <w:t>Având în vedere execuția bugetară din primul semestru al anului 202</w:t>
      </w:r>
      <w:r w:rsidR="00154267">
        <w:rPr>
          <w:rFonts w:ascii="Tahoma" w:hAnsi="Tahoma" w:cs="Tahoma"/>
          <w:bCs/>
          <w:sz w:val="24"/>
          <w:szCs w:val="24"/>
        </w:rPr>
        <w:t>3</w:t>
      </w:r>
      <w:r w:rsidRPr="007403CD">
        <w:rPr>
          <w:rFonts w:ascii="Tahoma" w:hAnsi="Tahoma" w:cs="Tahoma"/>
          <w:bCs/>
          <w:sz w:val="24"/>
          <w:szCs w:val="24"/>
        </w:rPr>
        <w:t xml:space="preserve"> </w:t>
      </w:r>
      <w:r w:rsidR="00F66D63">
        <w:rPr>
          <w:rFonts w:ascii="Tahoma" w:hAnsi="Tahoma" w:cs="Tahoma"/>
          <w:bCs/>
          <w:sz w:val="24"/>
          <w:szCs w:val="24"/>
        </w:rPr>
        <w:t xml:space="preserve">și ținând cont de actele normative adoptate pe parcursul anului 2023 </w:t>
      </w:r>
      <w:r w:rsidRPr="007403CD">
        <w:rPr>
          <w:rFonts w:ascii="Tahoma" w:hAnsi="Tahoma" w:cs="Tahoma"/>
          <w:bCs/>
          <w:sz w:val="24"/>
          <w:szCs w:val="24"/>
        </w:rPr>
        <w:t xml:space="preserve">apreciem că </w:t>
      </w:r>
      <w:r w:rsidR="008B5A4A">
        <w:rPr>
          <w:rFonts w:ascii="Tahoma" w:hAnsi="Tahoma" w:cs="Tahoma"/>
          <w:bCs/>
          <w:sz w:val="24"/>
          <w:szCs w:val="24"/>
        </w:rPr>
        <w:t xml:space="preserve">pentru atingerea țintei de deficit stabilite pentru anul 2023 este necesară intensificarea eforturilor pentru o colectare cât mai bună a veniturilor bugetare în vederea </w:t>
      </w:r>
      <w:r w:rsidR="008B5A4A">
        <w:rPr>
          <w:rFonts w:ascii="Tahoma" w:hAnsi="Tahoma" w:cs="Tahoma"/>
          <w:bCs/>
          <w:sz w:val="24"/>
          <w:szCs w:val="24"/>
        </w:rPr>
        <w:lastRenderedPageBreak/>
        <w:t xml:space="preserve">recuperării în cât mai mare măsură a decalajului dintre veniturile colectate și cele programate </w:t>
      </w:r>
      <w:proofErr w:type="spellStart"/>
      <w:r w:rsidR="008B5A4A">
        <w:rPr>
          <w:rFonts w:ascii="Tahoma" w:hAnsi="Tahoma" w:cs="Tahoma"/>
          <w:bCs/>
          <w:sz w:val="24"/>
          <w:szCs w:val="24"/>
        </w:rPr>
        <w:t>întregistrat</w:t>
      </w:r>
      <w:proofErr w:type="spellEnd"/>
      <w:r w:rsidR="008B5A4A">
        <w:rPr>
          <w:rFonts w:ascii="Tahoma" w:hAnsi="Tahoma" w:cs="Tahoma"/>
          <w:bCs/>
          <w:sz w:val="24"/>
          <w:szCs w:val="24"/>
        </w:rPr>
        <w:t xml:space="preserve"> în perioada analizată. </w:t>
      </w:r>
    </w:p>
    <w:p w:rsidR="008B5A4A" w:rsidRPr="00332878" w:rsidRDefault="008B5A4A" w:rsidP="004C0DCD">
      <w:pPr>
        <w:pStyle w:val="ListParagraph"/>
        <w:numPr>
          <w:ilvl w:val="0"/>
          <w:numId w:val="12"/>
        </w:numPr>
        <w:spacing w:before="240" w:after="120" w:line="276" w:lineRule="auto"/>
        <w:ind w:left="641" w:hanging="357"/>
        <w:contextualSpacing w:val="0"/>
        <w:rPr>
          <w:rFonts w:ascii="Tahoma" w:hAnsi="Tahoma" w:cs="Tahoma"/>
          <w:sz w:val="24"/>
          <w:szCs w:val="24"/>
        </w:rPr>
      </w:pPr>
      <w:r>
        <w:rPr>
          <w:rFonts w:ascii="Tahoma" w:hAnsi="Tahoma" w:cs="Tahoma"/>
          <w:bCs/>
          <w:sz w:val="24"/>
          <w:szCs w:val="24"/>
        </w:rPr>
        <w:t>Totodată în cazul cheltuielilor bugetare se recomandă prudență în angajarea de noi cheltuieli</w:t>
      </w:r>
      <w:r w:rsidR="00D41B5E">
        <w:rPr>
          <w:rFonts w:ascii="Tahoma" w:hAnsi="Tahoma" w:cs="Tahoma"/>
          <w:bCs/>
          <w:sz w:val="24"/>
          <w:szCs w:val="24"/>
        </w:rPr>
        <w:t xml:space="preserve"> </w:t>
      </w:r>
      <w:r>
        <w:rPr>
          <w:rFonts w:ascii="Tahoma" w:hAnsi="Tahoma" w:cs="Tahoma"/>
          <w:bCs/>
          <w:sz w:val="24"/>
          <w:szCs w:val="24"/>
        </w:rPr>
        <w:t>precum și o analiză riguroasă a cheltuielilor programate astfel încât să fie identificate eventuale sume ce pot fi economisite</w:t>
      </w:r>
      <w:r w:rsidR="00F66D63">
        <w:rPr>
          <w:rFonts w:ascii="Tahoma" w:hAnsi="Tahoma" w:cs="Tahoma"/>
          <w:bCs/>
          <w:sz w:val="24"/>
          <w:szCs w:val="24"/>
        </w:rPr>
        <w:t xml:space="preserve"> astfel</w:t>
      </w:r>
      <w:r w:rsidR="002960BD">
        <w:rPr>
          <w:rFonts w:ascii="Tahoma" w:hAnsi="Tahoma" w:cs="Tahoma"/>
          <w:bCs/>
          <w:sz w:val="24"/>
          <w:szCs w:val="24"/>
        </w:rPr>
        <w:t xml:space="preserve"> încât majorările de cheltui</w:t>
      </w:r>
      <w:r w:rsidR="00F66D63">
        <w:rPr>
          <w:rFonts w:ascii="Tahoma" w:hAnsi="Tahoma" w:cs="Tahoma"/>
          <w:bCs/>
          <w:sz w:val="24"/>
          <w:szCs w:val="24"/>
        </w:rPr>
        <w:t>eli rezultate</w:t>
      </w:r>
      <w:r w:rsidR="002960BD">
        <w:rPr>
          <w:rFonts w:ascii="Tahoma" w:hAnsi="Tahoma" w:cs="Tahoma"/>
          <w:bCs/>
          <w:sz w:val="24"/>
          <w:szCs w:val="24"/>
        </w:rPr>
        <w:t xml:space="preserve"> </w:t>
      </w:r>
      <w:r w:rsidR="00F66D63">
        <w:rPr>
          <w:rFonts w:ascii="Tahoma" w:hAnsi="Tahoma" w:cs="Tahoma"/>
          <w:bCs/>
          <w:sz w:val="24"/>
          <w:szCs w:val="24"/>
        </w:rPr>
        <w:t>în urma adoptării unor acte normative în per</w:t>
      </w:r>
      <w:r w:rsidR="002960BD">
        <w:rPr>
          <w:rFonts w:ascii="Tahoma" w:hAnsi="Tahoma" w:cs="Tahoma"/>
          <w:bCs/>
          <w:sz w:val="24"/>
          <w:szCs w:val="24"/>
        </w:rPr>
        <w:t xml:space="preserve">ioada analizată să nu </w:t>
      </w:r>
      <w:proofErr w:type="spellStart"/>
      <w:r w:rsidR="002960BD">
        <w:rPr>
          <w:rFonts w:ascii="Tahoma" w:hAnsi="Tahoma" w:cs="Tahoma"/>
          <w:bCs/>
          <w:sz w:val="24"/>
          <w:szCs w:val="24"/>
        </w:rPr>
        <w:t>impacteze</w:t>
      </w:r>
      <w:proofErr w:type="spellEnd"/>
      <w:r w:rsidR="002960BD">
        <w:rPr>
          <w:rFonts w:ascii="Tahoma" w:hAnsi="Tahoma" w:cs="Tahoma"/>
          <w:bCs/>
          <w:sz w:val="24"/>
          <w:szCs w:val="24"/>
        </w:rPr>
        <w:t xml:space="preserve"> negativ ținta de deficit asumată pentru anul 2023</w:t>
      </w:r>
      <w:r>
        <w:rPr>
          <w:rFonts w:ascii="Tahoma" w:hAnsi="Tahoma" w:cs="Tahoma"/>
          <w:bCs/>
          <w:sz w:val="24"/>
          <w:szCs w:val="24"/>
        </w:rPr>
        <w:t>.</w:t>
      </w:r>
    </w:p>
    <w:p w:rsidR="00CA69E5" w:rsidRDefault="00CA69E5" w:rsidP="00CA69E5">
      <w:pPr>
        <w:pStyle w:val="ListParagraph"/>
        <w:widowControl w:val="0"/>
        <w:numPr>
          <w:ilvl w:val="0"/>
          <w:numId w:val="12"/>
        </w:numPr>
        <w:suppressAutoHyphens/>
        <w:rPr>
          <w:rFonts w:ascii="Tahoma" w:hAnsi="Tahoma" w:cs="Tahoma"/>
          <w:bCs/>
          <w:sz w:val="24"/>
          <w:szCs w:val="24"/>
        </w:rPr>
      </w:pPr>
      <w:r w:rsidRPr="00CA69E5">
        <w:rPr>
          <w:rFonts w:ascii="Tahoma" w:hAnsi="Tahoma" w:cs="Tahoma"/>
          <w:bCs/>
          <w:sz w:val="24"/>
          <w:szCs w:val="24"/>
        </w:rPr>
        <w:t>În prezent, pentru România a fost declanșată procedura de deficit excesiv întrucât deficitul ESA a depășit pragul stabilit de reglementările europene de 3% din PIB în anul 2019.</w:t>
      </w:r>
      <w:r w:rsidR="003004BF">
        <w:rPr>
          <w:rFonts w:ascii="Tahoma" w:hAnsi="Tahoma" w:cs="Tahoma"/>
          <w:bCs/>
          <w:sz w:val="24"/>
          <w:szCs w:val="24"/>
        </w:rPr>
        <w:t xml:space="preserve"> </w:t>
      </w:r>
      <w:r w:rsidR="001B5F05">
        <w:rPr>
          <w:rFonts w:ascii="Tahoma" w:hAnsi="Tahoma" w:cs="Tahoma"/>
          <w:bCs/>
          <w:sz w:val="24"/>
          <w:szCs w:val="24"/>
        </w:rPr>
        <w:t xml:space="preserve"> </w:t>
      </w:r>
      <w:r w:rsidRPr="00CA69E5">
        <w:rPr>
          <w:rFonts w:ascii="Tahoma" w:hAnsi="Tahoma" w:cs="Tahoma"/>
          <w:bCs/>
          <w:sz w:val="24"/>
          <w:szCs w:val="24"/>
        </w:rPr>
        <w:t xml:space="preserve">Traiectoria de ajustare asumată de țara noastră prin intermediul Programului de convergență 2022-2025 prevede ca deficitul bugetar pentru anul 2023 să nu depășească 4,4% din produsul intern brut. </w:t>
      </w:r>
    </w:p>
    <w:p w:rsidR="00CA69E5" w:rsidRPr="00CA69E5" w:rsidRDefault="00CA69E5" w:rsidP="00172482">
      <w:pPr>
        <w:pStyle w:val="ListParagraph"/>
        <w:widowControl w:val="0"/>
        <w:suppressAutoHyphens/>
        <w:ind w:firstLine="0"/>
        <w:rPr>
          <w:rFonts w:ascii="Tahoma" w:hAnsi="Tahoma" w:cs="Tahoma"/>
          <w:bCs/>
          <w:sz w:val="24"/>
          <w:szCs w:val="24"/>
        </w:rPr>
      </w:pPr>
    </w:p>
    <w:p w:rsidR="00332878" w:rsidRPr="00332878" w:rsidRDefault="00332878" w:rsidP="00332878">
      <w:pPr>
        <w:pStyle w:val="ListParagraph"/>
        <w:widowControl w:val="0"/>
        <w:numPr>
          <w:ilvl w:val="0"/>
          <w:numId w:val="12"/>
        </w:numPr>
        <w:suppressAutoHyphens/>
        <w:rPr>
          <w:rFonts w:ascii="Tahoma" w:hAnsi="Tahoma" w:cs="Tahoma"/>
          <w:bCs/>
          <w:sz w:val="24"/>
          <w:szCs w:val="24"/>
        </w:rPr>
      </w:pPr>
      <w:r w:rsidRPr="00332878">
        <w:rPr>
          <w:rFonts w:ascii="Tahoma" w:hAnsi="Tahoma" w:cs="Tahoma"/>
          <w:bCs/>
          <w:sz w:val="24"/>
          <w:szCs w:val="24"/>
        </w:rPr>
        <w:t>În lipsa unor măsuri bugetare adoptate de urgență, care să conducă la limitarea și diminuarea cheltuielilor bugetare pe perioada rămasă până la sfârșitul acestui an, ținta de deficit asumată poate fi depășită, cu consecințe imediate asupra creșterii costurilor finanțării deficitului bugetar dar și asupra fondurilor alocate pentru investiții în cadrul Politicii de Coeziune cât și asupra fondurilor alocate prin Planul Național de Redresare și Reziliență.</w:t>
      </w:r>
    </w:p>
    <w:p w:rsidR="00332878" w:rsidRPr="00332878" w:rsidRDefault="00332878" w:rsidP="00332878">
      <w:pPr>
        <w:spacing w:before="240" w:after="120" w:line="276" w:lineRule="auto"/>
        <w:ind w:left="360" w:firstLine="0"/>
        <w:rPr>
          <w:rFonts w:ascii="Tahoma" w:hAnsi="Tahoma" w:cs="Tahoma"/>
          <w:sz w:val="24"/>
          <w:szCs w:val="24"/>
        </w:rPr>
      </w:pPr>
    </w:p>
    <w:p w:rsidR="00D41B5E" w:rsidRPr="00857E54" w:rsidRDefault="00D41B5E" w:rsidP="00A513B0">
      <w:pPr>
        <w:pStyle w:val="ListParagraph"/>
        <w:keepNext/>
        <w:keepLines/>
        <w:spacing w:after="120" w:line="276" w:lineRule="auto"/>
        <w:ind w:firstLine="0"/>
        <w:contextualSpacing w:val="0"/>
        <w:rPr>
          <w:rFonts w:ascii="Arial" w:hAnsi="Arial" w:cs="Arial"/>
          <w:sz w:val="24"/>
          <w:szCs w:val="24"/>
        </w:rPr>
      </w:pPr>
    </w:p>
    <w:p w:rsidR="00D41B5E" w:rsidRPr="008B5A4A" w:rsidRDefault="00D41B5E" w:rsidP="00D41B5E">
      <w:pPr>
        <w:pStyle w:val="ListParagraph"/>
        <w:spacing w:before="240" w:after="120" w:line="276" w:lineRule="auto"/>
        <w:ind w:left="641" w:firstLine="0"/>
        <w:contextualSpacing w:val="0"/>
        <w:rPr>
          <w:rFonts w:ascii="Tahoma" w:hAnsi="Tahoma" w:cs="Tahoma"/>
          <w:sz w:val="24"/>
          <w:szCs w:val="24"/>
        </w:rPr>
      </w:pPr>
    </w:p>
    <w:sectPr w:rsidR="00D41B5E" w:rsidRPr="008B5A4A" w:rsidSect="00B355D9">
      <w:headerReference w:type="default" r:id="rId26"/>
      <w:footerReference w:type="default" r:id="rId27"/>
      <w:pgSz w:w="11906" w:h="16838"/>
      <w:pgMar w:top="1418" w:right="1416"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B5E" w:rsidRDefault="00D41B5E" w:rsidP="007C4F03">
      <w:pPr>
        <w:spacing w:after="0"/>
      </w:pPr>
      <w:r>
        <w:separator/>
      </w:r>
    </w:p>
  </w:endnote>
  <w:endnote w:type="continuationSeparator" w:id="0">
    <w:p w:rsidR="00D41B5E" w:rsidRDefault="00D41B5E" w:rsidP="007C4F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5E" w:rsidRDefault="00D41B5E">
    <w:pPr>
      <w:pStyle w:val="Footer"/>
    </w:pPr>
    <w:r>
      <w:rPr>
        <w:noProof/>
        <w:lang w:val="en-US"/>
      </w:rPr>
      <mc:AlternateContent>
        <mc:Choice Requires="wps">
          <w:drawing>
            <wp:anchor distT="0" distB="0" distL="114300" distR="114300" simplePos="0" relativeHeight="251661824" behindDoc="0" locked="0" layoutInCell="1" allowOverlap="1">
              <wp:simplePos x="0" y="0"/>
              <wp:positionH relativeFrom="column">
                <wp:posOffset>92075</wp:posOffset>
              </wp:positionH>
              <wp:positionV relativeFrom="paragraph">
                <wp:posOffset>-170815</wp:posOffset>
              </wp:positionV>
              <wp:extent cx="5943600" cy="275590"/>
              <wp:effectExtent l="0" t="0" r="0" b="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75590"/>
                      </a:xfrm>
                      <a:prstGeom prst="rect">
                        <a:avLst/>
                      </a:prstGeom>
                      <a:noFill/>
                      <a:ln w="6350">
                        <a:noFill/>
                      </a:ln>
                      <a:effectLst/>
                    </wps:spPr>
                    <wps:txbx>
                      <w:txbxContent>
                        <w:p w:rsidR="00D41B5E" w:rsidRPr="00CC1A7B" w:rsidRDefault="00045D55" w:rsidP="00CC1A7B">
                          <w:pPr>
                            <w:pStyle w:val="Header"/>
                            <w:shd w:val="clear" w:color="auto" w:fill="D5DCE4" w:themeFill="text2" w:themeFillTint="33"/>
                            <w:jc w:val="center"/>
                            <w:rPr>
                              <w:rFonts w:ascii="Tahoma" w:hAnsi="Tahoma" w:cs="Tahoma"/>
                              <w:sz w:val="24"/>
                              <w:szCs w:val="24"/>
                            </w:rPr>
                          </w:pPr>
                          <w:sdt>
                            <w:sdtPr>
                              <w:rPr>
                                <w:rStyle w:val="Emphasis"/>
                                <w:rFonts w:ascii="Tahoma" w:hAnsi="Tahoma" w:cs="Tahoma"/>
                                <w:sz w:val="24"/>
                                <w:szCs w:val="24"/>
                              </w:rPr>
                              <w:alias w:val="Title"/>
                              <w:tag w:val=""/>
                              <w:id w:val="1703739152"/>
                              <w:dataBinding w:prefixMappings="xmlns:ns0='http://purl.org/dc/elements/1.1/' xmlns:ns1='http://schemas.openxmlformats.org/package/2006/metadata/core-properties' " w:xpath="/ns1:coreProperties[1]/ns0:title[1]" w:storeItemID="{6C3C8BC8-F283-45AE-878A-BAB7291924A1}"/>
                              <w:text/>
                            </w:sdtPr>
                            <w:sdtEndPr>
                              <w:rPr>
                                <w:rStyle w:val="Emphasis"/>
                              </w:rPr>
                            </w:sdtEndPr>
                            <w:sdtContent>
                              <w:r w:rsidR="00D41B5E" w:rsidRPr="00CC1A7B">
                                <w:rPr>
                                  <w:rStyle w:val="Emphasis"/>
                                  <w:rFonts w:ascii="Tahoma" w:hAnsi="Tahoma" w:cs="Tahoma"/>
                                  <w:sz w:val="24"/>
                                  <w:szCs w:val="24"/>
                                </w:rPr>
                                <w:t>Raport privind situația economică și bugetară</w:t>
                              </w:r>
                            </w:sdtContent>
                          </w:sdt>
                          <w:r w:rsidR="00D41B5E" w:rsidRPr="00CC1A7B">
                            <w:rPr>
                              <w:rStyle w:val="Emphasis"/>
                              <w:rFonts w:ascii="Tahoma" w:hAnsi="Tahoma" w:cs="Tahoma"/>
                              <w:sz w:val="24"/>
                              <w:szCs w:val="24"/>
                            </w:rPr>
                            <w:t xml:space="preserve"> pe primele șase luni ale anului 2023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 o:spid="_x0000_s1026" type="#_x0000_t202" style="position:absolute;left:0;text-align:left;margin-left:7.25pt;margin-top:-13.45pt;width:468pt;height:2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" filled="f" stroked="f" strokeweight=".5pt">
              <v:path arrowok="t"/>
              <v:textbox style="mso-fit-shape-to-text:t" inset="0,,0">
                <w:txbxContent>
                  <w:p w:rsidR="00D41B5E" w:rsidRPr="00CC1A7B" w:rsidRDefault="00D41B5E" w:rsidP="00CC1A7B">
                    <w:pPr>
                      <w:pStyle w:val="Header"/>
                      <w:shd w:val="clear" w:color="auto" w:fill="D5DCE4" w:themeFill="text2" w:themeFillTint="33"/>
                      <w:jc w:val="center"/>
                      <w:rPr>
                        <w:rFonts w:ascii="Tahoma" w:hAnsi="Tahoma" w:cs="Tahoma"/>
                        <w:sz w:val="24"/>
                        <w:szCs w:val="24"/>
                      </w:rPr>
                    </w:pPr>
                    <w:sdt>
                      <w:sdtPr>
                        <w:rPr>
                          <w:rStyle w:val="Emphasis"/>
                          <w:rFonts w:ascii="Tahoma" w:hAnsi="Tahoma" w:cs="Tahoma"/>
                          <w:sz w:val="24"/>
                          <w:szCs w:val="24"/>
                        </w:rPr>
                        <w:alias w:val="Title"/>
                        <w:tag w:val=""/>
                        <w:id w:val="1703739152"/>
                        <w:dataBinding w:prefixMappings="xmlns:ns0='http://purl.org/dc/elements/1.1/' xmlns:ns1='http://schemas.openxmlformats.org/package/2006/metadata/core-properties' " w:xpath="/ns1:coreProperties[1]/ns0:title[1]" w:storeItemID="{6C3C8BC8-F283-45AE-878A-BAB7291924A1}"/>
                        <w:text/>
                      </w:sdtPr>
                      <w:sdtContent>
                        <w:r w:rsidRPr="00CC1A7B">
                          <w:rPr>
                            <w:rStyle w:val="Emphasis"/>
                            <w:rFonts w:ascii="Tahoma" w:hAnsi="Tahoma" w:cs="Tahoma"/>
                            <w:sz w:val="24"/>
                            <w:szCs w:val="24"/>
                          </w:rPr>
                          <w:t>Raport privind situația economică și bugetară</w:t>
                        </w:r>
                      </w:sdtContent>
                    </w:sdt>
                    <w:r w:rsidRPr="00CC1A7B">
                      <w:rPr>
                        <w:rStyle w:val="Emphasis"/>
                        <w:rFonts w:ascii="Tahoma" w:hAnsi="Tahoma" w:cs="Tahoma"/>
                        <w:sz w:val="24"/>
                        <w:szCs w:val="24"/>
                      </w:rPr>
                      <w:t xml:space="preserve"> pe primele șase luni ale anului 2023</w:t>
                    </w:r>
                  </w:p>
                </w:txbxContent>
              </v:textbox>
            </v:shape>
          </w:pict>
        </mc:Fallback>
      </mc:AlternateContent>
    </w:r>
    <w:r>
      <w:rPr>
        <w:noProof/>
        <w:lang w:val="en-US"/>
      </w:rPr>
      <mc:AlternateContent>
        <mc:Choice Requires="wps">
          <w:drawing>
            <wp:anchor distT="0" distB="0" distL="114300" distR="114300" simplePos="0" relativeHeight="251659776" behindDoc="0" locked="0" layoutInCell="1" allowOverlap="1">
              <wp:simplePos x="0" y="0"/>
              <wp:positionH relativeFrom="column">
                <wp:posOffset>720725</wp:posOffset>
              </wp:positionH>
              <wp:positionV relativeFrom="paragraph">
                <wp:posOffset>29845</wp:posOffset>
              </wp:positionV>
              <wp:extent cx="5943600" cy="274320"/>
              <wp:effectExtent l="0" t="0" r="0" b="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4CEC6B" id="Rectangle 165" o:spid="_x0000_s1026" style="position:absolute;margin-left:56.75pt;margin-top:2.35pt;width:468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" fillcolor="white [3212]" stroked="f" strokeweight="1pt">
              <v:fill opacity="0"/>
              <v:path arrowok="t"/>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B5E" w:rsidRDefault="00D41B5E" w:rsidP="007C4F03">
      <w:pPr>
        <w:spacing w:after="0"/>
      </w:pPr>
      <w:r>
        <w:separator/>
      </w:r>
    </w:p>
  </w:footnote>
  <w:footnote w:type="continuationSeparator" w:id="0">
    <w:p w:rsidR="00D41B5E" w:rsidRDefault="00D41B5E" w:rsidP="007C4F03">
      <w:pPr>
        <w:spacing w:after="0"/>
      </w:pPr>
      <w:r>
        <w:continuationSeparator/>
      </w:r>
    </w:p>
  </w:footnote>
  <w:footnote w:id="1">
    <w:p w:rsidR="00D41B5E" w:rsidRPr="003A5F56" w:rsidRDefault="00D41B5E" w:rsidP="008772EA">
      <w:pPr>
        <w:pStyle w:val="FootnoteText"/>
      </w:pPr>
      <w:r>
        <w:rPr>
          <w:rStyle w:val="FootnoteReference"/>
        </w:rPr>
        <w:footnoteRef/>
      </w:r>
      <w:r>
        <w:t xml:space="preserve"> </w:t>
      </w:r>
      <w:r w:rsidRPr="008772EA">
        <w:rPr>
          <w:rFonts w:ascii="Calibri" w:hAnsi="Calibri" w:cs="Calibri"/>
        </w:rPr>
        <w:t xml:space="preserve">Ordonanța de urgență a Guvernului nr. 153/2020 pentru instituirea unor măsuri fiscale de stimulare a </w:t>
      </w:r>
      <w:proofErr w:type="spellStart"/>
      <w:r w:rsidRPr="008772EA">
        <w:rPr>
          <w:rFonts w:ascii="Calibri" w:hAnsi="Calibri" w:cs="Calibri"/>
        </w:rPr>
        <w:t>menţinerii</w:t>
      </w:r>
      <w:proofErr w:type="spellEnd"/>
      <w:r w:rsidRPr="008772EA">
        <w:rPr>
          <w:rFonts w:ascii="Calibri" w:hAnsi="Calibri" w:cs="Calibri"/>
        </w:rPr>
        <w:t>/</w:t>
      </w:r>
      <w:proofErr w:type="spellStart"/>
      <w:r w:rsidRPr="008772EA">
        <w:rPr>
          <w:rFonts w:ascii="Calibri" w:hAnsi="Calibri" w:cs="Calibri"/>
        </w:rPr>
        <w:t>creşterii</w:t>
      </w:r>
      <w:proofErr w:type="spellEnd"/>
      <w:r w:rsidRPr="008772EA">
        <w:rPr>
          <w:rFonts w:ascii="Calibri" w:hAnsi="Calibri" w:cs="Calibri"/>
        </w:rPr>
        <w:t xml:space="preserve"> capitalurilor proprii, precum </w:t>
      </w:r>
      <w:proofErr w:type="spellStart"/>
      <w:r w:rsidRPr="008772EA">
        <w:rPr>
          <w:rFonts w:ascii="Calibri" w:hAnsi="Calibri" w:cs="Calibri"/>
        </w:rPr>
        <w:t>şi</w:t>
      </w:r>
      <w:proofErr w:type="spellEnd"/>
      <w:r w:rsidRPr="008772EA">
        <w:rPr>
          <w:rFonts w:ascii="Calibri" w:hAnsi="Calibri" w:cs="Calibri"/>
        </w:rPr>
        <w:t xml:space="preserve"> pentru completarea unor acte normative</w:t>
      </w:r>
    </w:p>
  </w:footnote>
  <w:footnote w:id="2">
    <w:p w:rsidR="00D41B5E" w:rsidRPr="008772EA" w:rsidRDefault="00D41B5E" w:rsidP="008772EA">
      <w:pPr>
        <w:autoSpaceDE w:val="0"/>
        <w:autoSpaceDN w:val="0"/>
        <w:adjustRightInd w:val="0"/>
        <w:rPr>
          <w:rFonts w:eastAsia="Calibri" w:cs="Calibri"/>
          <w:sz w:val="20"/>
          <w:szCs w:val="20"/>
        </w:rPr>
      </w:pPr>
      <w:r>
        <w:rPr>
          <w:rStyle w:val="FootnoteReference"/>
        </w:rPr>
        <w:footnoteRef/>
      </w:r>
      <w:r>
        <w:t xml:space="preserve"> </w:t>
      </w:r>
      <w:r w:rsidRPr="008772EA">
        <w:rPr>
          <w:rFonts w:eastAsia="Calibri" w:cs="Calibri"/>
          <w:sz w:val="20"/>
          <w:szCs w:val="20"/>
        </w:rPr>
        <w:t>Legea nr. 322/2021 pentru completarea Legii nr. 227/2015 privind Codul fiscal</w:t>
      </w:r>
    </w:p>
  </w:footnote>
  <w:footnote w:id="3">
    <w:p w:rsidR="00D41B5E" w:rsidRPr="00E9242F" w:rsidRDefault="00D41B5E" w:rsidP="00542D30">
      <w:pPr>
        <w:pStyle w:val="FootnoteText"/>
        <w:rPr>
          <w:rFonts w:asciiTheme="minorHAnsi" w:hAnsiTheme="minorHAnsi" w:cstheme="minorHAnsi"/>
        </w:rPr>
      </w:pPr>
      <w:r w:rsidRPr="00E9242F">
        <w:rPr>
          <w:rStyle w:val="FootnoteReference"/>
          <w:rFonts w:asciiTheme="minorHAnsi" w:hAnsiTheme="minorHAnsi" w:cstheme="minorHAnsi"/>
        </w:rPr>
        <w:footnoteRef/>
      </w:r>
      <w:r w:rsidRPr="00E9242F">
        <w:rPr>
          <w:rFonts w:asciiTheme="minorHAnsi" w:hAnsiTheme="minorHAnsi" w:cstheme="minorHAnsi"/>
        </w:rPr>
        <w:t xml:space="preserve"> </w:t>
      </w:r>
      <w:r w:rsidRPr="00E9242F">
        <w:rPr>
          <w:rFonts w:asciiTheme="minorHAnsi" w:hAnsiTheme="minorHAnsi" w:cstheme="minorHAnsi"/>
        </w:rPr>
        <w:t xml:space="preserve">dețin o pondere de aproximativ </w:t>
      </w:r>
      <w:r>
        <w:rPr>
          <w:rFonts w:asciiTheme="minorHAnsi" w:hAnsiTheme="minorHAnsi" w:cstheme="minorHAnsi"/>
        </w:rPr>
        <w:t>59,8</w:t>
      </w:r>
      <w:r w:rsidRPr="00E9242F">
        <w:rPr>
          <w:rFonts w:asciiTheme="minorHAnsi" w:hAnsiTheme="minorHAnsi" w:cstheme="minorHAnsi"/>
        </w:rPr>
        <w:t>% în această categorie</w:t>
      </w:r>
    </w:p>
  </w:footnote>
  <w:footnote w:id="4">
    <w:p w:rsidR="00D41B5E" w:rsidRPr="00E9242F" w:rsidRDefault="00D41B5E" w:rsidP="00542D30">
      <w:pPr>
        <w:pStyle w:val="FootnoteText"/>
        <w:rPr>
          <w:rFonts w:asciiTheme="minorHAnsi" w:hAnsiTheme="minorHAnsi" w:cstheme="minorHAnsi"/>
        </w:rPr>
      </w:pPr>
      <w:r w:rsidRPr="00E9242F">
        <w:rPr>
          <w:rStyle w:val="FootnoteReference"/>
          <w:rFonts w:asciiTheme="minorHAnsi" w:hAnsiTheme="minorHAnsi" w:cstheme="minorHAnsi"/>
        </w:rPr>
        <w:footnoteRef/>
      </w:r>
      <w:r w:rsidRPr="00E9242F">
        <w:rPr>
          <w:rFonts w:asciiTheme="minorHAnsi" w:hAnsiTheme="minorHAnsi" w:cstheme="minorHAnsi"/>
        </w:rPr>
        <w:t xml:space="preserve"> </w:t>
      </w:r>
      <w:r>
        <w:rPr>
          <w:rFonts w:asciiTheme="minorHAnsi" w:hAnsiTheme="minorHAnsi" w:cstheme="minorHAnsi"/>
        </w:rPr>
        <w:t xml:space="preserve">decembrie 2022-mai </w:t>
      </w:r>
      <w:r w:rsidRPr="00BD6D7C">
        <w:rPr>
          <w:rFonts w:asciiTheme="minorHAnsi" w:hAnsiTheme="minorHAnsi" w:cstheme="minorHAnsi"/>
        </w:rPr>
        <w:t>2023/decembrie 2021-</w:t>
      </w:r>
      <w:r>
        <w:rPr>
          <w:rFonts w:asciiTheme="minorHAnsi" w:hAnsiTheme="minorHAnsi" w:cstheme="minorHAnsi"/>
        </w:rPr>
        <w:t>mai</w:t>
      </w:r>
      <w:r w:rsidRPr="00BD6D7C">
        <w:rPr>
          <w:rFonts w:asciiTheme="minorHAnsi" w:hAnsiTheme="minorHAnsi" w:cstheme="minorHAnsi"/>
        </w:rPr>
        <w:t xml:space="preserve"> 2022</w:t>
      </w:r>
    </w:p>
  </w:footnote>
  <w:footnote w:id="5">
    <w:p w:rsidR="00D41B5E" w:rsidRPr="00E9242F" w:rsidRDefault="00D41B5E" w:rsidP="00542D30">
      <w:pPr>
        <w:autoSpaceDE w:val="0"/>
        <w:autoSpaceDN w:val="0"/>
        <w:adjustRightInd w:val="0"/>
        <w:rPr>
          <w:rFonts w:eastAsia="Calibri" w:cstheme="minorHAnsi"/>
          <w:sz w:val="20"/>
          <w:szCs w:val="20"/>
        </w:rPr>
      </w:pPr>
      <w:r w:rsidRPr="00E9242F">
        <w:rPr>
          <w:rStyle w:val="FootnoteReference"/>
          <w:rFonts w:cstheme="minorHAnsi"/>
          <w:sz w:val="20"/>
          <w:szCs w:val="20"/>
        </w:rPr>
        <w:footnoteRef/>
      </w:r>
      <w:r w:rsidRPr="00E9242F">
        <w:rPr>
          <w:rFonts w:cstheme="minorHAnsi"/>
          <w:sz w:val="20"/>
          <w:szCs w:val="20"/>
        </w:rPr>
        <w:t xml:space="preserve"> </w:t>
      </w:r>
      <w:r w:rsidRPr="00E9242F">
        <w:rPr>
          <w:rFonts w:eastAsia="Calibri" w:cstheme="minorHAnsi"/>
          <w:sz w:val="20"/>
          <w:szCs w:val="20"/>
        </w:rPr>
        <w:t xml:space="preserve">Legea nr. 135/2022 pentru modificarea </w:t>
      </w:r>
      <w:proofErr w:type="spellStart"/>
      <w:r w:rsidRPr="00E9242F">
        <w:rPr>
          <w:rFonts w:eastAsia="Calibri" w:cstheme="minorHAnsi"/>
          <w:sz w:val="20"/>
          <w:szCs w:val="20"/>
        </w:rPr>
        <w:t>şi</w:t>
      </w:r>
      <w:proofErr w:type="spellEnd"/>
      <w:r w:rsidRPr="00E9242F">
        <w:rPr>
          <w:rFonts w:eastAsia="Calibri" w:cstheme="minorHAnsi"/>
          <w:sz w:val="20"/>
          <w:szCs w:val="20"/>
        </w:rPr>
        <w:t xml:space="preserve"> completarea unor acte normative</w:t>
      </w:r>
    </w:p>
  </w:footnote>
  <w:footnote w:id="6">
    <w:p w:rsidR="00D41B5E" w:rsidRPr="005472A5" w:rsidRDefault="00D41B5E" w:rsidP="00542D30">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începând cu</w:t>
      </w:r>
      <w:r w:rsidRPr="00B01C00">
        <w:rPr>
          <w:rFonts w:asciiTheme="minorHAnsi" w:hAnsiTheme="minorHAnsi" w:cstheme="minorHAnsi"/>
        </w:rPr>
        <w:t xml:space="preserve"> 1 ianuarie 2023 cota de impozitare</w:t>
      </w:r>
      <w:r>
        <w:rPr>
          <w:rFonts w:asciiTheme="minorHAnsi" w:hAnsiTheme="minorHAnsi" w:cstheme="minorHAnsi"/>
        </w:rPr>
        <w:t xml:space="preserve"> a dividendelor se majorează</w:t>
      </w:r>
      <w:r w:rsidRPr="00B01C00">
        <w:rPr>
          <w:rFonts w:asciiTheme="minorHAnsi" w:hAnsiTheme="minorHAnsi" w:cstheme="minorHAnsi"/>
        </w:rPr>
        <w:t xml:space="preserve"> de la 5% la 8%</w:t>
      </w:r>
      <w:r w:rsidRPr="00276DD3">
        <w:rPr>
          <w:rFonts w:asciiTheme="minorHAnsi" w:hAnsiTheme="minorHAnsi" w:cstheme="minorHAnsi"/>
        </w:rPr>
        <w:t xml:space="preserve"> </w:t>
      </w:r>
      <w:r>
        <w:rPr>
          <w:rFonts w:asciiTheme="minorHAnsi" w:hAnsiTheme="minorHAnsi" w:cstheme="minorHAnsi"/>
        </w:rPr>
        <w:t>(</w:t>
      </w:r>
      <w:r w:rsidRPr="001A5749">
        <w:rPr>
          <w:rFonts w:asciiTheme="minorHAnsi" w:hAnsiTheme="minorHAnsi" w:cstheme="minorHAnsi"/>
        </w:rPr>
        <w:t xml:space="preserve">Ordonanța </w:t>
      </w:r>
      <w:r w:rsidRPr="005472A5">
        <w:rPr>
          <w:rFonts w:asciiTheme="minorHAnsi" w:hAnsiTheme="minorHAnsi" w:cstheme="minorHAnsi"/>
        </w:rPr>
        <w:t>Guvernului nr. 16/2022 aprobată prin Legea nr. 370/2022)</w:t>
      </w:r>
    </w:p>
  </w:footnote>
  <w:footnote w:id="7">
    <w:p w:rsidR="00D41B5E" w:rsidRPr="00E9242F" w:rsidRDefault="00D41B5E" w:rsidP="00542D30">
      <w:pPr>
        <w:pStyle w:val="FootnoteText"/>
        <w:rPr>
          <w:rFonts w:asciiTheme="minorHAnsi" w:hAnsiTheme="minorHAnsi" w:cstheme="minorHAnsi"/>
        </w:rPr>
      </w:pPr>
      <w:r w:rsidRPr="005472A5">
        <w:rPr>
          <w:rStyle w:val="FootnoteReference"/>
          <w:rFonts w:asciiTheme="minorHAnsi" w:hAnsiTheme="minorHAnsi" w:cstheme="minorHAnsi"/>
        </w:rPr>
        <w:footnoteRef/>
      </w:r>
      <w:r w:rsidRPr="005472A5">
        <w:rPr>
          <w:rFonts w:asciiTheme="minorHAnsi" w:hAnsiTheme="minorHAnsi" w:cstheme="minorHAnsi"/>
        </w:rPr>
        <w:t xml:space="preserve"> </w:t>
      </w:r>
      <w:r w:rsidRPr="005472A5">
        <w:rPr>
          <w:rFonts w:asciiTheme="minorHAnsi" w:hAnsiTheme="minorHAnsi" w:cstheme="minorHAnsi"/>
        </w:rPr>
        <w:t>majorarea valorii punctului de pensie de la 1.586 lei la 1.785 lei, începând cu data de 1 ianuarie 2023, conform Ordonanței</w:t>
      </w:r>
      <w:r w:rsidRPr="00E9242F">
        <w:rPr>
          <w:rFonts w:asciiTheme="minorHAnsi" w:hAnsiTheme="minorHAnsi" w:cstheme="minorHAnsi"/>
        </w:rPr>
        <w:t xml:space="preserve"> de urgență a Guvernului nr. </w:t>
      </w:r>
      <w:r>
        <w:rPr>
          <w:rFonts w:asciiTheme="minorHAnsi" w:hAnsiTheme="minorHAnsi" w:cstheme="minorHAnsi"/>
        </w:rPr>
        <w:t>168</w:t>
      </w:r>
      <w:r w:rsidRPr="00E9242F">
        <w:rPr>
          <w:rFonts w:asciiTheme="minorHAnsi" w:hAnsiTheme="minorHAnsi" w:cstheme="minorHAnsi"/>
        </w:rPr>
        <w:t>/202</w:t>
      </w:r>
      <w:r>
        <w:rPr>
          <w:rFonts w:asciiTheme="minorHAnsi" w:hAnsiTheme="minorHAnsi" w:cstheme="minorHAnsi"/>
        </w:rPr>
        <w:t>2</w:t>
      </w:r>
      <w:r w:rsidRPr="00E9242F">
        <w:rPr>
          <w:rFonts w:asciiTheme="minorHAnsi" w:hAnsiTheme="minorHAnsi" w:cstheme="minorHAnsi"/>
        </w:rPr>
        <w:t xml:space="preserve"> </w:t>
      </w:r>
      <w:r w:rsidRPr="006D0EEE">
        <w:rPr>
          <w:rFonts w:asciiTheme="minorHAnsi" w:hAnsiTheme="minorHAnsi" w:cstheme="minorHAnsi"/>
        </w:rPr>
        <w:t xml:space="preserve">privind unele măsuri fiscal-bugetare, prorogarea unor termene, precum </w:t>
      </w:r>
      <w:proofErr w:type="spellStart"/>
      <w:r w:rsidRPr="006D0EEE">
        <w:rPr>
          <w:rFonts w:asciiTheme="minorHAnsi" w:hAnsiTheme="minorHAnsi" w:cstheme="minorHAnsi"/>
        </w:rPr>
        <w:t>şi</w:t>
      </w:r>
      <w:proofErr w:type="spellEnd"/>
      <w:r w:rsidRPr="006D0EEE">
        <w:rPr>
          <w:rFonts w:asciiTheme="minorHAnsi" w:hAnsiTheme="minorHAnsi" w:cstheme="minorHAnsi"/>
        </w:rPr>
        <w:t xml:space="preserve"> pentru modificarea </w:t>
      </w:r>
      <w:proofErr w:type="spellStart"/>
      <w:r w:rsidRPr="006D0EEE">
        <w:rPr>
          <w:rFonts w:asciiTheme="minorHAnsi" w:hAnsiTheme="minorHAnsi" w:cstheme="minorHAnsi"/>
        </w:rPr>
        <w:t>şi</w:t>
      </w:r>
      <w:proofErr w:type="spellEnd"/>
      <w:r w:rsidRPr="006D0EEE">
        <w:rPr>
          <w:rFonts w:asciiTheme="minorHAnsi" w:hAnsiTheme="minorHAnsi" w:cstheme="minorHAnsi"/>
        </w:rPr>
        <w:t xml:space="preserve"> completarea unor acte normative</w:t>
      </w:r>
    </w:p>
  </w:footnote>
  <w:footnote w:id="8">
    <w:p w:rsidR="00D41B5E" w:rsidRPr="008772EA" w:rsidRDefault="00D41B5E" w:rsidP="008772EA">
      <w:pPr>
        <w:pStyle w:val="FootnoteText"/>
        <w:rPr>
          <w:rFonts w:ascii="Calibri" w:hAnsi="Calibri" w:cs="Calibri"/>
        </w:rPr>
      </w:pPr>
      <w:r w:rsidRPr="008772EA">
        <w:rPr>
          <w:rStyle w:val="FootnoteReference"/>
          <w:rFonts w:cs="Calibri"/>
        </w:rPr>
        <w:footnoteRef/>
      </w:r>
      <w:r w:rsidRPr="008772EA">
        <w:rPr>
          <w:rStyle w:val="FootnoteReference"/>
          <w:rFonts w:cs="Calibri"/>
        </w:rPr>
        <w:t xml:space="preserve"> </w:t>
      </w:r>
      <w:r w:rsidRPr="008772EA">
        <w:rPr>
          <w:rFonts w:ascii="Calibri" w:hAnsi="Calibri" w:cs="Calibri"/>
        </w:rPr>
        <w:t>exclusiv restituiri și majorări de întârziere</w:t>
      </w:r>
    </w:p>
  </w:footnote>
  <w:footnote w:id="9">
    <w:p w:rsidR="00D41B5E" w:rsidRPr="008772EA" w:rsidRDefault="00D41B5E" w:rsidP="008772EA">
      <w:pPr>
        <w:pStyle w:val="FootnoteText"/>
        <w:rPr>
          <w:rFonts w:ascii="Calibri" w:hAnsi="Calibri" w:cs="Calibri"/>
        </w:rPr>
      </w:pPr>
      <w:r w:rsidRPr="008772EA">
        <w:rPr>
          <w:rStyle w:val="FootnoteReference"/>
          <w:rFonts w:cs="Calibri"/>
        </w:rPr>
        <w:footnoteRef/>
      </w:r>
      <w:r w:rsidRPr="008772EA">
        <w:rPr>
          <w:rFonts w:cs="Calibri"/>
        </w:rPr>
        <w:t xml:space="preserve"> </w:t>
      </w:r>
      <w:r w:rsidRPr="008772EA">
        <w:rPr>
          <w:rFonts w:ascii="Calibri" w:hAnsi="Calibri" w:cs="Calibri"/>
        </w:rPr>
        <w:t>TVA din operațiuni interne au crescut cu 11%, iar TVA din importurile de bunuri au scăzut cu 11,4%</w:t>
      </w:r>
    </w:p>
  </w:footnote>
  <w:footnote w:id="10">
    <w:p w:rsidR="00D41B5E" w:rsidRPr="008772EA" w:rsidRDefault="00D41B5E" w:rsidP="008772EA">
      <w:pPr>
        <w:pStyle w:val="FootnoteText"/>
        <w:rPr>
          <w:rFonts w:ascii="Calibri" w:hAnsi="Calibri" w:cs="Calibri"/>
        </w:rPr>
      </w:pPr>
      <w:r w:rsidRPr="008772EA">
        <w:rPr>
          <w:rStyle w:val="FootnoteReference"/>
          <w:rFonts w:cs="Calibri"/>
        </w:rPr>
        <w:footnoteRef/>
      </w:r>
      <w:r w:rsidRPr="008772EA">
        <w:rPr>
          <w:rStyle w:val="FootnoteReference"/>
          <w:rFonts w:cs="Calibri"/>
        </w:rPr>
        <w:t xml:space="preserve"> </w:t>
      </w:r>
      <w:r w:rsidRPr="008772EA">
        <w:rPr>
          <w:rFonts w:ascii="Calibri" w:hAnsi="Calibri" w:cs="Calibri"/>
        </w:rPr>
        <w:t>comunicat de presă INS nr. 171/06 iulie 2023 -  Comerț și servicii</w:t>
      </w:r>
    </w:p>
  </w:footnote>
  <w:footnote w:id="11">
    <w:p w:rsidR="00D41B5E" w:rsidRPr="008772EA" w:rsidRDefault="00D41B5E" w:rsidP="008772EA">
      <w:pPr>
        <w:pStyle w:val="FootnoteText"/>
        <w:rPr>
          <w:rFonts w:ascii="Calibri" w:hAnsi="Calibri" w:cs="Calibri"/>
        </w:rPr>
      </w:pPr>
      <w:r w:rsidRPr="008772EA">
        <w:rPr>
          <w:rStyle w:val="FootnoteReference"/>
          <w:rFonts w:cs="Calibri"/>
        </w:rPr>
        <w:footnoteRef/>
      </w:r>
      <w:r w:rsidRPr="008772EA">
        <w:rPr>
          <w:rFonts w:eastAsia="SimSun" w:cs="Calibri"/>
          <w:color w:val="FF0000"/>
          <w:kern w:val="1"/>
          <w:sz w:val="24"/>
          <w:szCs w:val="24"/>
        </w:rPr>
        <w:t xml:space="preserve"> </w:t>
      </w:r>
      <w:r w:rsidRPr="008772EA">
        <w:rPr>
          <w:rFonts w:ascii="Calibri" w:hAnsi="Calibri" w:cs="Calibri"/>
        </w:rPr>
        <w:t>comunicat de presă INS nr. 175/10  iulie 2023 - Comerț internațional cu bunuri (calcule interne)</w:t>
      </w:r>
    </w:p>
  </w:footnote>
  <w:footnote w:id="12">
    <w:p w:rsidR="00D41B5E" w:rsidRPr="00D206C0" w:rsidRDefault="00D41B5E" w:rsidP="008772EA">
      <w:pPr>
        <w:pStyle w:val="FootnoteText"/>
        <w:rPr>
          <w:rFonts w:asciiTheme="minorHAnsi" w:hAnsiTheme="minorHAnsi" w:cstheme="minorHAnsi"/>
        </w:rPr>
      </w:pPr>
      <w:r>
        <w:rPr>
          <w:rStyle w:val="FootnoteReference"/>
        </w:rPr>
        <w:footnoteRef/>
      </w:r>
      <w:r>
        <w:t xml:space="preserve"> </w:t>
      </w:r>
      <w:r w:rsidRPr="00D206C0">
        <w:rPr>
          <w:rFonts w:asciiTheme="minorHAnsi" w:hAnsiTheme="minorHAnsi" w:cstheme="minorHAnsi"/>
        </w:rPr>
        <w:t xml:space="preserve">de la 594,97 lei/mia de țigarete la 625,97 lei/mia de țigarete </w:t>
      </w:r>
    </w:p>
  </w:footnote>
  <w:footnote w:id="13">
    <w:p w:rsidR="00D41B5E" w:rsidRPr="008647C7" w:rsidRDefault="00D41B5E" w:rsidP="005B74EC">
      <w:pPr>
        <w:pStyle w:val="FootnoteText"/>
      </w:pPr>
      <w:r>
        <w:rPr>
          <w:rStyle w:val="FootnoteReference"/>
        </w:rPr>
        <w:footnoteRef/>
      </w:r>
      <w:r>
        <w:t xml:space="preserve"> </w:t>
      </w:r>
      <w:r w:rsidRPr="00E9242F">
        <w:rPr>
          <w:rFonts w:asciiTheme="minorHAnsi" w:hAnsiTheme="minorHAnsi" w:cstheme="minorHAnsi"/>
        </w:rPr>
        <w:t xml:space="preserve">dețin o pondere de aproximativ </w:t>
      </w:r>
      <w:r>
        <w:rPr>
          <w:rFonts w:asciiTheme="minorHAnsi" w:hAnsiTheme="minorHAnsi" w:cstheme="minorHAnsi"/>
        </w:rPr>
        <w:t>97,6</w:t>
      </w:r>
      <w:r w:rsidRPr="00E9242F">
        <w:rPr>
          <w:rFonts w:asciiTheme="minorHAnsi" w:hAnsiTheme="minorHAnsi" w:cstheme="minorHAnsi"/>
        </w:rPr>
        <w:t>% în această categorie</w:t>
      </w:r>
    </w:p>
  </w:footnote>
  <w:footnote w:id="14">
    <w:p w:rsidR="00D41B5E" w:rsidRPr="006B7DC2" w:rsidRDefault="00D41B5E" w:rsidP="005B74EC">
      <w:pPr>
        <w:autoSpaceDE w:val="0"/>
        <w:autoSpaceDN w:val="0"/>
        <w:adjustRightInd w:val="0"/>
        <w:rPr>
          <w:rFonts w:eastAsia="Calibri" w:cstheme="minorHAnsi"/>
          <w:sz w:val="20"/>
          <w:szCs w:val="20"/>
        </w:rPr>
      </w:pPr>
      <w:r w:rsidRPr="00F6774C">
        <w:rPr>
          <w:rStyle w:val="FootnoteReference"/>
          <w:rFonts w:cstheme="minorHAnsi"/>
          <w:i/>
          <w:sz w:val="16"/>
          <w:szCs w:val="16"/>
        </w:rPr>
        <w:footnoteRef/>
      </w:r>
      <w:r w:rsidRPr="00F6774C">
        <w:rPr>
          <w:rFonts w:cstheme="minorHAnsi"/>
          <w:i/>
          <w:sz w:val="16"/>
          <w:szCs w:val="16"/>
        </w:rPr>
        <w:t xml:space="preserve"> </w:t>
      </w:r>
      <w:r w:rsidRPr="006B7DC2">
        <w:rPr>
          <w:rFonts w:eastAsia="Calibri" w:cstheme="minorHAnsi"/>
          <w:sz w:val="20"/>
          <w:szCs w:val="20"/>
        </w:rPr>
        <w:t xml:space="preserve">OG nr.15/2022 pentru modificarea </w:t>
      </w:r>
      <w:proofErr w:type="spellStart"/>
      <w:r w:rsidRPr="006B7DC2">
        <w:rPr>
          <w:rFonts w:eastAsia="Calibri" w:cstheme="minorHAnsi"/>
          <w:sz w:val="20"/>
          <w:szCs w:val="20"/>
        </w:rPr>
        <w:t>şi</w:t>
      </w:r>
      <w:proofErr w:type="spellEnd"/>
      <w:r w:rsidRPr="006B7DC2">
        <w:rPr>
          <w:rFonts w:eastAsia="Calibri" w:cstheme="minorHAnsi"/>
          <w:sz w:val="20"/>
          <w:szCs w:val="20"/>
        </w:rPr>
        <w:t xml:space="preserve"> completarea OUG nr.77/2009 privind Organizarea </w:t>
      </w:r>
      <w:proofErr w:type="spellStart"/>
      <w:r w:rsidRPr="006B7DC2">
        <w:rPr>
          <w:rFonts w:eastAsia="Calibri" w:cstheme="minorHAnsi"/>
          <w:sz w:val="20"/>
          <w:szCs w:val="20"/>
        </w:rPr>
        <w:t>şi</w:t>
      </w:r>
      <w:proofErr w:type="spellEnd"/>
      <w:r w:rsidRPr="006B7DC2">
        <w:rPr>
          <w:rFonts w:eastAsia="Calibri" w:cstheme="minorHAnsi"/>
          <w:sz w:val="20"/>
          <w:szCs w:val="20"/>
        </w:rPr>
        <w:t xml:space="preserve"> exploatarea jocurilor de noroc</w:t>
      </w:r>
    </w:p>
  </w:footnote>
  <w:footnote w:id="15">
    <w:p w:rsidR="00D41B5E" w:rsidRPr="005D3DCD" w:rsidRDefault="00D41B5E" w:rsidP="004D0ED6">
      <w:pPr>
        <w:pStyle w:val="FootnoteText"/>
        <w:rPr>
          <w:rFonts w:asciiTheme="minorHAnsi" w:hAnsiTheme="minorHAnsi" w:cstheme="minorHAnsi"/>
        </w:rPr>
      </w:pPr>
      <w:r w:rsidRPr="001D006E">
        <w:rPr>
          <w:rStyle w:val="FootnoteReference"/>
        </w:rPr>
        <w:footnoteRef/>
      </w:r>
      <w:r w:rsidRPr="00E41F50">
        <w:rPr>
          <w:rFonts w:asciiTheme="minorHAnsi" w:hAnsiTheme="minorHAnsi" w:cstheme="minorHAnsi"/>
        </w:rPr>
        <w:t>primele 5 luni ale anului 2023</w:t>
      </w:r>
      <w:r>
        <w:rPr>
          <w:rFonts w:asciiTheme="minorHAnsi" w:hAnsiTheme="minorHAnsi" w:cstheme="minorHAnsi"/>
        </w:rPr>
        <w:t>/primele 5 luni ale anului 2022</w:t>
      </w:r>
    </w:p>
  </w:footnote>
  <w:footnote w:id="16">
    <w:p w:rsidR="00D41B5E" w:rsidRPr="00BD6D7C" w:rsidRDefault="00D41B5E" w:rsidP="004D0ED6">
      <w:pPr>
        <w:pStyle w:val="FootnoteText"/>
        <w:rPr>
          <w:rFonts w:asciiTheme="minorHAnsi" w:hAnsiTheme="minorHAnsi" w:cstheme="minorHAnsi"/>
        </w:rPr>
      </w:pPr>
      <w:r w:rsidRPr="00E9242F">
        <w:rPr>
          <w:rStyle w:val="FootnoteReference"/>
          <w:rFonts w:asciiTheme="minorHAnsi" w:hAnsiTheme="minorHAnsi" w:cstheme="minorHAnsi"/>
        </w:rPr>
        <w:footnoteRef/>
      </w:r>
      <w:r w:rsidRPr="00E9242F">
        <w:rPr>
          <w:rFonts w:asciiTheme="minorHAnsi" w:hAnsiTheme="minorHAnsi" w:cstheme="minorHAnsi"/>
        </w:rPr>
        <w:t xml:space="preserve"> </w:t>
      </w:r>
      <w:r>
        <w:rPr>
          <w:rFonts w:asciiTheme="minorHAnsi" w:hAnsiTheme="minorHAnsi" w:cstheme="minorHAnsi"/>
        </w:rPr>
        <w:t xml:space="preserve">decembrie 2022-mai </w:t>
      </w:r>
      <w:r w:rsidRPr="00BD6D7C">
        <w:rPr>
          <w:rFonts w:asciiTheme="minorHAnsi" w:hAnsiTheme="minorHAnsi" w:cstheme="minorHAnsi"/>
        </w:rPr>
        <w:t>2023/decembrie 2021-</w:t>
      </w:r>
      <w:r>
        <w:rPr>
          <w:rFonts w:asciiTheme="minorHAnsi" w:hAnsiTheme="minorHAnsi" w:cstheme="minorHAnsi"/>
        </w:rPr>
        <w:t>mai</w:t>
      </w:r>
      <w:r w:rsidRPr="00BD6D7C">
        <w:rPr>
          <w:rFonts w:asciiTheme="minorHAnsi" w:hAnsiTheme="minorHAnsi" w:cstheme="minorHAnsi"/>
        </w:rPr>
        <w:t xml:space="preserve"> 2022</w:t>
      </w:r>
    </w:p>
  </w:footnote>
  <w:footnote w:id="17">
    <w:p w:rsidR="00D41B5E" w:rsidRPr="00BD6D7C" w:rsidRDefault="00D41B5E" w:rsidP="00F6413D">
      <w:pPr>
        <w:pStyle w:val="FootnoteText"/>
        <w:rPr>
          <w:rFonts w:asciiTheme="minorHAnsi" w:hAnsiTheme="minorHAnsi" w:cstheme="minorHAnsi"/>
        </w:rPr>
      </w:pPr>
      <w:r w:rsidRPr="00E9242F">
        <w:rPr>
          <w:rStyle w:val="FootnoteReference"/>
          <w:rFonts w:asciiTheme="minorHAnsi" w:hAnsiTheme="minorHAnsi" w:cstheme="minorHAnsi"/>
        </w:rPr>
        <w:footnoteRef/>
      </w:r>
      <w:r w:rsidRPr="00E9242F">
        <w:rPr>
          <w:rFonts w:asciiTheme="minorHAnsi" w:hAnsiTheme="minorHAnsi" w:cstheme="minorHAnsi"/>
        </w:rPr>
        <w:t xml:space="preserve"> </w:t>
      </w:r>
      <w:r>
        <w:rPr>
          <w:rFonts w:asciiTheme="minorHAnsi" w:hAnsiTheme="minorHAnsi" w:cstheme="minorHAnsi"/>
        </w:rPr>
        <w:t xml:space="preserve">decembrie 2022-mai </w:t>
      </w:r>
      <w:r w:rsidRPr="00BD6D7C">
        <w:rPr>
          <w:rFonts w:asciiTheme="minorHAnsi" w:hAnsiTheme="minorHAnsi" w:cstheme="minorHAnsi"/>
        </w:rPr>
        <w:t>2023/decembrie 2021-</w:t>
      </w:r>
      <w:r>
        <w:rPr>
          <w:rFonts w:asciiTheme="minorHAnsi" w:hAnsiTheme="minorHAnsi" w:cstheme="minorHAnsi"/>
        </w:rPr>
        <w:t>mai</w:t>
      </w:r>
      <w:r w:rsidRPr="00BD6D7C">
        <w:rPr>
          <w:rFonts w:asciiTheme="minorHAnsi" w:hAnsiTheme="minorHAnsi" w:cstheme="minorHAnsi"/>
        </w:rPr>
        <w:t xml:space="preserve"> 2022</w:t>
      </w:r>
    </w:p>
  </w:footnote>
  <w:footnote w:id="18">
    <w:p w:rsidR="00D41B5E" w:rsidRPr="00746435" w:rsidRDefault="00D41B5E" w:rsidP="00F6413D">
      <w:pPr>
        <w:autoSpaceDE w:val="0"/>
        <w:autoSpaceDN w:val="0"/>
        <w:adjustRightInd w:val="0"/>
      </w:pPr>
      <w:r>
        <w:rPr>
          <w:rStyle w:val="FootnoteReference"/>
        </w:rPr>
        <w:footnoteRef/>
      </w:r>
      <w:r>
        <w:t xml:space="preserve"> </w:t>
      </w:r>
      <w:r w:rsidRPr="00746435">
        <w:rPr>
          <w:rFonts w:eastAsia="Calibri" w:cstheme="minorHAnsi"/>
          <w:sz w:val="20"/>
          <w:szCs w:val="20"/>
        </w:rPr>
        <w:t>Legea nr. 368/2022 și Legea nr. 369/2022</w:t>
      </w:r>
    </w:p>
  </w:footnote>
  <w:footnote w:id="19">
    <w:p w:rsidR="00D41B5E" w:rsidRPr="004C1B3A" w:rsidRDefault="00D41B5E" w:rsidP="004D0ED6">
      <w:pPr>
        <w:autoSpaceDE w:val="0"/>
        <w:autoSpaceDN w:val="0"/>
        <w:adjustRightInd w:val="0"/>
        <w:rPr>
          <w:rFonts w:cstheme="minorHAnsi"/>
        </w:rPr>
      </w:pPr>
      <w:r>
        <w:rPr>
          <w:rStyle w:val="FootnoteReference"/>
        </w:rPr>
        <w:footnoteRef/>
      </w:r>
      <w:r>
        <w:t xml:space="preserve"> </w:t>
      </w:r>
      <w:r>
        <w:rPr>
          <w:rFonts w:eastAsia="Calibri" w:cstheme="minorHAnsi"/>
          <w:sz w:val="20"/>
          <w:szCs w:val="20"/>
        </w:rPr>
        <w:t>Legea</w:t>
      </w:r>
      <w:r w:rsidRPr="00842005">
        <w:rPr>
          <w:rFonts w:eastAsia="Calibri" w:cstheme="minorHAnsi"/>
          <w:sz w:val="20"/>
          <w:szCs w:val="20"/>
        </w:rPr>
        <w:t xml:space="preserve"> nr. 135/2022</w:t>
      </w:r>
      <w:r>
        <w:rPr>
          <w:rFonts w:eastAsia="Calibri"/>
          <w:sz w:val="24"/>
          <w:szCs w:val="24"/>
        </w:rPr>
        <w:t xml:space="preserve"> </w:t>
      </w:r>
      <w:r w:rsidRPr="004C1B3A">
        <w:rPr>
          <w:rFonts w:eastAsia="Calibri" w:cstheme="minorHAnsi"/>
          <w:sz w:val="20"/>
          <w:szCs w:val="20"/>
        </w:rPr>
        <w:t xml:space="preserve">pentru modificarea </w:t>
      </w:r>
      <w:proofErr w:type="spellStart"/>
      <w:r w:rsidRPr="004C1B3A">
        <w:rPr>
          <w:rFonts w:eastAsia="Calibri" w:cstheme="minorHAnsi"/>
          <w:sz w:val="20"/>
          <w:szCs w:val="20"/>
        </w:rPr>
        <w:t>şi</w:t>
      </w:r>
      <w:proofErr w:type="spellEnd"/>
      <w:r w:rsidRPr="004C1B3A">
        <w:rPr>
          <w:rFonts w:eastAsia="Calibri" w:cstheme="minorHAnsi"/>
          <w:sz w:val="20"/>
          <w:szCs w:val="20"/>
        </w:rPr>
        <w:t xml:space="preserve"> completarea unor acte normative</w:t>
      </w:r>
    </w:p>
  </w:footnote>
  <w:footnote w:id="20">
    <w:p w:rsidR="00D41B5E" w:rsidRPr="001F4DC0" w:rsidRDefault="00D41B5E" w:rsidP="004D0ED6">
      <w:pPr>
        <w:pStyle w:val="FootnoteText"/>
        <w:rPr>
          <w:rFonts w:asciiTheme="minorHAnsi" w:hAnsiTheme="minorHAnsi" w:cstheme="minorHAnsi"/>
        </w:rPr>
      </w:pPr>
      <w:r>
        <w:rPr>
          <w:rStyle w:val="FootnoteReference"/>
        </w:rPr>
        <w:footnoteRef/>
      </w:r>
      <w:r>
        <w:t xml:space="preserve"> </w:t>
      </w:r>
      <w:r w:rsidRPr="00842005">
        <w:rPr>
          <w:rFonts w:asciiTheme="minorHAnsi" w:hAnsiTheme="minorHAnsi" w:cstheme="minorHAnsi"/>
        </w:rPr>
        <w:t xml:space="preserve">OUG nr. 130/2021 </w:t>
      </w:r>
      <w:r w:rsidRPr="001F4DC0">
        <w:rPr>
          <w:rFonts w:asciiTheme="minorHAnsi" w:hAnsiTheme="minorHAnsi" w:cstheme="minorHAnsi"/>
        </w:rPr>
        <w:t xml:space="preserve">privind unele măsuri fiscal-bugetare, prorogarea unor termene, precum </w:t>
      </w:r>
      <w:proofErr w:type="spellStart"/>
      <w:r w:rsidRPr="001F4DC0">
        <w:rPr>
          <w:rFonts w:asciiTheme="minorHAnsi" w:hAnsiTheme="minorHAnsi" w:cstheme="minorHAnsi"/>
        </w:rPr>
        <w:t>şi</w:t>
      </w:r>
      <w:proofErr w:type="spellEnd"/>
      <w:r w:rsidRPr="001F4DC0">
        <w:rPr>
          <w:rFonts w:asciiTheme="minorHAnsi" w:hAnsiTheme="minorHAnsi" w:cstheme="minorHAnsi"/>
        </w:rPr>
        <w:t xml:space="preserve"> pentru modificarea </w:t>
      </w:r>
      <w:proofErr w:type="spellStart"/>
      <w:r w:rsidRPr="001F4DC0">
        <w:rPr>
          <w:rFonts w:asciiTheme="minorHAnsi" w:hAnsiTheme="minorHAnsi" w:cstheme="minorHAnsi"/>
        </w:rPr>
        <w:t>şi</w:t>
      </w:r>
      <w:proofErr w:type="spellEnd"/>
      <w:r w:rsidRPr="001F4DC0">
        <w:rPr>
          <w:rFonts w:asciiTheme="minorHAnsi" w:hAnsiTheme="minorHAnsi" w:cstheme="minorHAnsi"/>
        </w:rPr>
        <w:t xml:space="preserve"> completarea unor acte normative sunt neconstituționale</w:t>
      </w:r>
    </w:p>
  </w:footnote>
  <w:footnote w:id="21">
    <w:p w:rsidR="00D41B5E" w:rsidRPr="00E249B4" w:rsidRDefault="00D41B5E" w:rsidP="004D0ED6">
      <w:pPr>
        <w:pStyle w:val="FootnoteText"/>
      </w:pPr>
      <w:r>
        <w:rPr>
          <w:rStyle w:val="FootnoteReference"/>
        </w:rPr>
        <w:footnoteRef/>
      </w:r>
      <w:r>
        <w:t xml:space="preserve"> </w:t>
      </w:r>
      <w:r w:rsidRPr="003B4BE4">
        <w:rPr>
          <w:rFonts w:asciiTheme="minorHAnsi" w:hAnsiTheme="minorHAnsi" w:cstheme="minorHAnsi"/>
        </w:rPr>
        <w:t xml:space="preserve">O.U.G. </w:t>
      </w:r>
      <w:r w:rsidRPr="00B21046">
        <w:rPr>
          <w:rFonts w:asciiTheme="minorHAnsi" w:hAnsiTheme="minorHAnsi" w:cstheme="minorHAnsi"/>
        </w:rPr>
        <w:t xml:space="preserve">privind stabilirea unor măsuri de restituire a unor </w:t>
      </w:r>
      <w:proofErr w:type="spellStart"/>
      <w:r w:rsidRPr="00B21046">
        <w:rPr>
          <w:rFonts w:asciiTheme="minorHAnsi" w:hAnsiTheme="minorHAnsi" w:cstheme="minorHAnsi"/>
        </w:rPr>
        <w:t>contribuţii</w:t>
      </w:r>
      <w:proofErr w:type="spellEnd"/>
      <w:r w:rsidRPr="00B21046">
        <w:rPr>
          <w:rFonts w:asciiTheme="minorHAnsi" w:hAnsiTheme="minorHAnsi" w:cstheme="minorHAnsi"/>
        </w:rPr>
        <w:t xml:space="preserve"> de asigurări sociale de sănătate</w:t>
      </w:r>
    </w:p>
  </w:footnote>
  <w:footnote w:id="22">
    <w:p w:rsidR="00D41B5E" w:rsidRDefault="00D41B5E" w:rsidP="008131F9">
      <w:pPr>
        <w:pStyle w:val="FootnoteText"/>
        <w:ind w:firstLine="0"/>
      </w:pPr>
      <w:r>
        <w:rPr>
          <w:rStyle w:val="FootnoteReference"/>
        </w:rPr>
        <w:footnoteRef/>
      </w:r>
      <w:r>
        <w:t xml:space="preserve"> </w:t>
      </w:r>
      <w:proofErr w:type="spellStart"/>
      <w:r w:rsidRPr="008131F9">
        <w:rPr>
          <w:lang w:val="en-US"/>
        </w:rPr>
        <w:t>privind</w:t>
      </w:r>
      <w:proofErr w:type="spellEnd"/>
      <w:r w:rsidRPr="008131F9">
        <w:rPr>
          <w:lang w:val="en-US"/>
        </w:rPr>
        <w:t xml:space="preserve"> </w:t>
      </w:r>
      <w:proofErr w:type="spellStart"/>
      <w:r w:rsidRPr="008131F9">
        <w:rPr>
          <w:lang w:val="en-US"/>
        </w:rPr>
        <w:t>unele</w:t>
      </w:r>
      <w:proofErr w:type="spellEnd"/>
      <w:r w:rsidRPr="008131F9">
        <w:rPr>
          <w:lang w:val="en-US"/>
        </w:rPr>
        <w:t xml:space="preserve"> </w:t>
      </w:r>
      <w:proofErr w:type="spellStart"/>
      <w:r w:rsidRPr="008131F9">
        <w:rPr>
          <w:lang w:val="en-US"/>
        </w:rPr>
        <w:t>măsuri</w:t>
      </w:r>
      <w:proofErr w:type="spellEnd"/>
      <w:r w:rsidRPr="008131F9">
        <w:rPr>
          <w:lang w:val="en-US"/>
        </w:rPr>
        <w:t xml:space="preserve"> fiscal-</w:t>
      </w:r>
      <w:proofErr w:type="spellStart"/>
      <w:r w:rsidRPr="008131F9">
        <w:rPr>
          <w:lang w:val="en-US"/>
        </w:rPr>
        <w:t>bugetare</w:t>
      </w:r>
      <w:proofErr w:type="spellEnd"/>
      <w:r w:rsidRPr="008131F9">
        <w:rPr>
          <w:lang w:val="en-US"/>
        </w:rPr>
        <w:t xml:space="preserve">, </w:t>
      </w:r>
      <w:proofErr w:type="spellStart"/>
      <w:r w:rsidRPr="008131F9">
        <w:rPr>
          <w:lang w:val="en-US"/>
        </w:rPr>
        <w:t>prorogarea</w:t>
      </w:r>
      <w:proofErr w:type="spellEnd"/>
      <w:r w:rsidRPr="008131F9">
        <w:rPr>
          <w:lang w:val="en-US"/>
        </w:rPr>
        <w:t xml:space="preserve"> </w:t>
      </w:r>
      <w:proofErr w:type="spellStart"/>
      <w:r w:rsidRPr="008131F9">
        <w:rPr>
          <w:lang w:val="en-US"/>
        </w:rPr>
        <w:t>unor</w:t>
      </w:r>
      <w:proofErr w:type="spellEnd"/>
      <w:r w:rsidRPr="008131F9">
        <w:rPr>
          <w:lang w:val="en-US"/>
        </w:rPr>
        <w:t xml:space="preserve"> </w:t>
      </w:r>
      <w:proofErr w:type="spellStart"/>
      <w:r w:rsidRPr="008131F9">
        <w:rPr>
          <w:lang w:val="en-US"/>
        </w:rPr>
        <w:t>termene</w:t>
      </w:r>
      <w:proofErr w:type="spellEnd"/>
      <w:r w:rsidRPr="008131F9">
        <w:rPr>
          <w:lang w:val="en-US"/>
        </w:rPr>
        <w:t xml:space="preserve">, </w:t>
      </w:r>
      <w:proofErr w:type="spellStart"/>
      <w:r w:rsidRPr="008131F9">
        <w:rPr>
          <w:lang w:val="en-US"/>
        </w:rPr>
        <w:t>precum</w:t>
      </w:r>
      <w:proofErr w:type="spellEnd"/>
      <w:r w:rsidRPr="008131F9">
        <w:rPr>
          <w:lang w:val="en-US"/>
        </w:rPr>
        <w:t xml:space="preserve"> </w:t>
      </w:r>
      <w:proofErr w:type="spellStart"/>
      <w:r w:rsidRPr="008131F9">
        <w:rPr>
          <w:lang w:val="en-US"/>
        </w:rPr>
        <w:t>şi</w:t>
      </w:r>
      <w:proofErr w:type="spellEnd"/>
      <w:r w:rsidRPr="008131F9">
        <w:rPr>
          <w:lang w:val="en-US"/>
        </w:rPr>
        <w:t xml:space="preserve"> </w:t>
      </w:r>
      <w:proofErr w:type="spellStart"/>
      <w:r w:rsidRPr="008131F9">
        <w:rPr>
          <w:lang w:val="en-US"/>
        </w:rPr>
        <w:t>pentru</w:t>
      </w:r>
      <w:proofErr w:type="spellEnd"/>
      <w:r w:rsidRPr="008131F9">
        <w:rPr>
          <w:lang w:val="en-US"/>
        </w:rPr>
        <w:t xml:space="preserve"> </w:t>
      </w:r>
      <w:proofErr w:type="spellStart"/>
      <w:r w:rsidRPr="008131F9">
        <w:rPr>
          <w:lang w:val="en-US"/>
        </w:rPr>
        <w:t>modificarea</w:t>
      </w:r>
      <w:proofErr w:type="spellEnd"/>
      <w:r w:rsidRPr="008131F9">
        <w:rPr>
          <w:lang w:val="en-US"/>
        </w:rPr>
        <w:t xml:space="preserve"> </w:t>
      </w:r>
      <w:proofErr w:type="spellStart"/>
      <w:r w:rsidRPr="008131F9">
        <w:rPr>
          <w:lang w:val="en-US"/>
        </w:rPr>
        <w:t>şi</w:t>
      </w:r>
      <w:proofErr w:type="spellEnd"/>
      <w:r w:rsidRPr="008131F9">
        <w:rPr>
          <w:lang w:val="en-US"/>
        </w:rPr>
        <w:t xml:space="preserve"> </w:t>
      </w:r>
      <w:proofErr w:type="spellStart"/>
      <w:r w:rsidRPr="008131F9">
        <w:rPr>
          <w:lang w:val="en-US"/>
        </w:rPr>
        <w:t>completarea</w:t>
      </w:r>
      <w:proofErr w:type="spellEnd"/>
      <w:r w:rsidRPr="008131F9">
        <w:rPr>
          <w:lang w:val="en-US"/>
        </w:rPr>
        <w:t xml:space="preserve"> </w:t>
      </w:r>
      <w:proofErr w:type="spellStart"/>
      <w:r w:rsidRPr="008131F9">
        <w:rPr>
          <w:lang w:val="en-US"/>
        </w:rPr>
        <w:t>unor</w:t>
      </w:r>
      <w:proofErr w:type="spellEnd"/>
      <w:r w:rsidRPr="008131F9">
        <w:rPr>
          <w:lang w:val="en-US"/>
        </w:rPr>
        <w:t xml:space="preserve"> </w:t>
      </w:r>
      <w:proofErr w:type="spellStart"/>
      <w:r w:rsidRPr="008131F9">
        <w:rPr>
          <w:lang w:val="en-US"/>
        </w:rPr>
        <w:t>acte</w:t>
      </w:r>
      <w:proofErr w:type="spellEnd"/>
      <w:r w:rsidRPr="008131F9">
        <w:rPr>
          <w:lang w:val="en-US"/>
        </w:rPr>
        <w:t xml:space="preserve"> normative</w:t>
      </w:r>
    </w:p>
  </w:footnote>
  <w:footnote w:id="23">
    <w:p w:rsidR="00D41B5E" w:rsidRPr="009B1530" w:rsidRDefault="00D41B5E" w:rsidP="00E67CE1">
      <w:pPr>
        <w:pStyle w:val="FootnoteText"/>
      </w:pPr>
      <w:r>
        <w:rPr>
          <w:rStyle w:val="FootnoteReference"/>
        </w:rPr>
        <w:footnoteRef/>
      </w:r>
      <w:r>
        <w:t xml:space="preserve"> </w:t>
      </w:r>
      <w:r w:rsidRPr="009B1530">
        <w:rPr>
          <w:rFonts w:ascii="Trebuchet MS" w:hAnsi="Trebuchet MS"/>
        </w:rPr>
        <w:t>Nu include împrumuturile pe termen scurt utilizate pentru administrarea lichidităților</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82562821"/>
      <w:docPartObj>
        <w:docPartGallery w:val="Page Numbers (Top of Page)"/>
        <w:docPartUnique/>
      </w:docPartObj>
    </w:sdtPr>
    <w:sdtEndPr>
      <w:rPr>
        <w:b/>
        <w:bCs/>
        <w:noProof/>
        <w:color w:val="auto"/>
        <w:spacing w:val="0"/>
      </w:rPr>
    </w:sdtEndPr>
    <w:sdtContent>
      <w:p w:rsidR="00D41B5E" w:rsidRDefault="00D41B5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45D55" w:rsidRPr="00045D55">
          <w:rPr>
            <w:b/>
            <w:bCs/>
            <w:noProof/>
          </w:rPr>
          <w:t>39</w:t>
        </w:r>
        <w:r>
          <w:rPr>
            <w:b/>
            <w:bCs/>
            <w:noProof/>
          </w:rPr>
          <w:fldChar w:fldCharType="end"/>
        </w:r>
      </w:p>
    </w:sdtContent>
  </w:sdt>
  <w:p w:rsidR="00D41B5E" w:rsidRDefault="00D41B5E" w:rsidP="00CC1A7B">
    <w:pPr>
      <w:pStyle w:val="Header"/>
      <w:shd w:val="clear" w:color="auto" w:fill="D5DCE4" w:themeFill="text2" w:themeFillTint="3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EF6C9ADC"/>
    <w:name w:val="WW8Num1"/>
    <w:lvl w:ilvl="0">
      <w:start w:val="1"/>
      <w:numFmt w:val="bullet"/>
      <w:lvlText w:val=""/>
      <w:lvlJc w:val="left"/>
      <w:pPr>
        <w:tabs>
          <w:tab w:val="num" w:pos="0"/>
        </w:tabs>
        <w:ind w:left="794" w:hanging="434"/>
      </w:pPr>
      <w:rPr>
        <w:rFonts w:ascii="Symbol" w:hAnsi="Symbol" w:cs="Symbol" w:hint="default"/>
        <w:color w:val="auto"/>
        <w:sz w:val="24"/>
        <w:szCs w:val="24"/>
        <w:lang w:val="ro-RO" w:eastAsia="ja-JP"/>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OpenSymbol" w:hint="default"/>
        <w:color w:val="000000"/>
        <w:kern w:val="0"/>
        <w:position w:val="0"/>
        <w:sz w:val="20"/>
        <w:szCs w:val="20"/>
        <w:vertAlign w:val="baseline"/>
        <w:lang w:val="it-IT" w:eastAsia="zh-CN"/>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hint="default"/>
        <w:szCs w:val="22"/>
        <w:lang w:val="ro-R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2"/>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2"/>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hint="default"/>
        <w:szCs w:val="22"/>
        <w:lang w:val="ro-RO"/>
      </w:rPr>
    </w:lvl>
    <w:lvl w:ilvl="1">
      <w:start w:val="1"/>
      <w:numFmt w:val="bullet"/>
      <w:lvlText w:val="o"/>
      <w:lvlJc w:val="left"/>
      <w:pPr>
        <w:tabs>
          <w:tab w:val="num" w:pos="0"/>
        </w:tabs>
        <w:ind w:left="1440" w:hanging="360"/>
      </w:pPr>
      <w:rPr>
        <w:rFonts w:ascii="Courier New" w:hAnsi="Courier New" w:cs="Courier New" w:hint="default"/>
        <w:szCs w:val="22"/>
        <w:lang w:val="ro-R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2"/>
        <w:lang w:val="ro-RO"/>
      </w:rPr>
    </w:lvl>
    <w:lvl w:ilvl="4">
      <w:start w:val="1"/>
      <w:numFmt w:val="bullet"/>
      <w:lvlText w:val="o"/>
      <w:lvlJc w:val="left"/>
      <w:pPr>
        <w:tabs>
          <w:tab w:val="num" w:pos="0"/>
        </w:tabs>
        <w:ind w:left="3600" w:hanging="360"/>
      </w:pPr>
      <w:rPr>
        <w:rFonts w:ascii="Courier New" w:hAnsi="Courier New" w:cs="Courier New" w:hint="default"/>
        <w:szCs w:val="22"/>
        <w:lang w:val="ro-RO"/>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2"/>
        <w:lang w:val="ro-RO"/>
      </w:rPr>
    </w:lvl>
    <w:lvl w:ilvl="7">
      <w:start w:val="1"/>
      <w:numFmt w:val="bullet"/>
      <w:lvlText w:val="o"/>
      <w:lvlJc w:val="left"/>
      <w:pPr>
        <w:tabs>
          <w:tab w:val="num" w:pos="0"/>
        </w:tabs>
        <w:ind w:left="5760" w:hanging="360"/>
      </w:pPr>
      <w:rPr>
        <w:rFonts w:ascii="Courier New" w:hAnsi="Courier New" w:cs="Courier New" w:hint="default"/>
        <w:szCs w:val="22"/>
        <w:lang w:val="ro-RO"/>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000000A"/>
    <w:multiLevelType w:val="multilevel"/>
    <w:tmpl w:val="0000000A"/>
    <w:name w:val="WW8Num10"/>
    <w:lvl w:ilvl="0">
      <w:start w:val="1"/>
      <w:numFmt w:val="upperRoman"/>
      <w:lvlText w:val="%1."/>
      <w:lvlJc w:val="left"/>
      <w:pPr>
        <w:tabs>
          <w:tab w:val="num" w:pos="0"/>
        </w:tabs>
        <w:ind w:left="1080" w:hanging="72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E"/>
    <w:multiLevelType w:val="multilevel"/>
    <w:tmpl w:val="0000000E"/>
    <w:name w:val="WW8Num14"/>
    <w:lvl w:ilvl="0">
      <w:start w:val="1"/>
      <w:numFmt w:val="decimal"/>
      <w:suff w:val="space"/>
      <w:lvlText w:val="%1."/>
      <w:lvlJc w:val="left"/>
      <w:pPr>
        <w:tabs>
          <w:tab w:val="num" w:pos="0"/>
        </w:tabs>
        <w:ind w:left="0" w:firstLine="0"/>
      </w:pPr>
      <w:rPr>
        <w:rFonts w:ascii="Calibri" w:eastAsia="Calibri" w:hAnsi="Calibri" w:cs="Calibri"/>
        <w:b/>
        <w:szCs w:val="22"/>
        <w:lang w:val="ro-RO"/>
      </w:rPr>
    </w:lvl>
    <w:lvl w:ilvl="1">
      <w:start w:val="6"/>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8" w15:restartNumberingAfterBreak="0">
    <w:nsid w:val="00000010"/>
    <w:multiLevelType w:val="multilevel"/>
    <w:tmpl w:val="00000010"/>
    <w:name w:val="WW8Num16"/>
    <w:lvl w:ilvl="0">
      <w:start w:val="1"/>
      <w:numFmt w:val="bullet"/>
      <w:lvlText w:val=""/>
      <w:lvlJc w:val="left"/>
      <w:pPr>
        <w:tabs>
          <w:tab w:val="num" w:pos="0"/>
        </w:tabs>
        <w:ind w:left="644" w:hanging="360"/>
      </w:pPr>
      <w:rPr>
        <w:rFonts w:ascii="Wingdings" w:hAnsi="Wingdings" w:cs="OpenSymbol"/>
        <w:szCs w:val="24"/>
      </w:rPr>
    </w:lvl>
    <w:lvl w:ilvl="1">
      <w:start w:val="1"/>
      <w:numFmt w:val="bullet"/>
      <w:lvlText w:val="o"/>
      <w:lvlJc w:val="left"/>
      <w:pPr>
        <w:tabs>
          <w:tab w:val="num" w:pos="0"/>
        </w:tabs>
        <w:ind w:left="1440" w:hanging="360"/>
      </w:pPr>
      <w:rPr>
        <w:rFonts w:ascii="Courier New" w:hAnsi="Courier New" w:cs="Courier New"/>
        <w:sz w:val="24"/>
        <w:szCs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shd w:val="clear" w:color="auto" w:fill="auto"/>
      </w:rPr>
    </w:lvl>
    <w:lvl w:ilvl="4">
      <w:start w:val="1"/>
      <w:numFmt w:val="bullet"/>
      <w:lvlText w:val="o"/>
      <w:lvlJc w:val="left"/>
      <w:pPr>
        <w:tabs>
          <w:tab w:val="num" w:pos="0"/>
        </w:tabs>
        <w:ind w:left="3600" w:hanging="360"/>
      </w:pPr>
      <w:rPr>
        <w:rFonts w:ascii="Courier New" w:hAnsi="Courier New" w:cs="Courier New"/>
        <w:sz w:val="24"/>
        <w:szCs w:val="24"/>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shd w:val="clear" w:color="auto" w:fill="auto"/>
      </w:rPr>
    </w:lvl>
    <w:lvl w:ilvl="7">
      <w:start w:val="1"/>
      <w:numFmt w:val="bullet"/>
      <w:lvlText w:val="o"/>
      <w:lvlJc w:val="left"/>
      <w:pPr>
        <w:tabs>
          <w:tab w:val="num" w:pos="0"/>
        </w:tabs>
        <w:ind w:left="5760" w:hanging="360"/>
      </w:pPr>
      <w:rPr>
        <w:rFonts w:ascii="Courier New" w:hAnsi="Courier New" w:cs="Courier New"/>
        <w:sz w:val="24"/>
        <w:szCs w:val="24"/>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OpenSymbol"/>
        <w:sz w:val="24"/>
        <w:szCs w:val="24"/>
        <w:shd w:val="clear" w:color="auto" w:fill="auto"/>
        <w:lang w:val="ro-RO" w:eastAsia="zh-CN" w:bidi="ar-SA"/>
      </w:rPr>
    </w:lvl>
    <w:lvl w:ilvl="1">
      <w:start w:val="1"/>
      <w:numFmt w:val="bullet"/>
      <w:lvlText w:val=""/>
      <w:lvlJc w:val="left"/>
      <w:pPr>
        <w:tabs>
          <w:tab w:val="num" w:pos="1080"/>
        </w:tabs>
        <w:ind w:left="1080" w:hanging="360"/>
      </w:pPr>
      <w:rPr>
        <w:rFonts w:ascii="Wingdings" w:hAnsi="Wingdings" w:cs="OpenSymbol"/>
        <w:sz w:val="24"/>
        <w:szCs w:val="24"/>
        <w:shd w:val="clear" w:color="auto" w:fill="auto"/>
        <w:lang w:val="ro-RO" w:eastAsia="zh-CN" w:bidi="ar-SA"/>
      </w:rPr>
    </w:lvl>
    <w:lvl w:ilvl="2">
      <w:start w:val="1"/>
      <w:numFmt w:val="bullet"/>
      <w:lvlText w:val=""/>
      <w:lvlJc w:val="left"/>
      <w:pPr>
        <w:tabs>
          <w:tab w:val="num" w:pos="1440"/>
        </w:tabs>
        <w:ind w:left="1440" w:hanging="360"/>
      </w:pPr>
      <w:rPr>
        <w:rFonts w:ascii="Wingdings" w:hAnsi="Wingdings" w:cs="OpenSymbol"/>
        <w:sz w:val="24"/>
        <w:szCs w:val="24"/>
        <w:shd w:val="clear" w:color="auto" w:fill="auto"/>
        <w:lang w:val="ro-RO" w:eastAsia="zh-CN" w:bidi="ar-SA"/>
      </w:rPr>
    </w:lvl>
    <w:lvl w:ilvl="3">
      <w:start w:val="1"/>
      <w:numFmt w:val="bullet"/>
      <w:lvlText w:val=""/>
      <w:lvlJc w:val="left"/>
      <w:pPr>
        <w:tabs>
          <w:tab w:val="num" w:pos="1800"/>
        </w:tabs>
        <w:ind w:left="1800" w:hanging="360"/>
      </w:pPr>
      <w:rPr>
        <w:rFonts w:ascii="Wingdings" w:hAnsi="Wingdings" w:cs="OpenSymbol"/>
        <w:sz w:val="24"/>
        <w:szCs w:val="24"/>
        <w:shd w:val="clear" w:color="auto" w:fill="auto"/>
        <w:lang w:val="ro-RO" w:eastAsia="zh-CN" w:bidi="ar-SA"/>
      </w:rPr>
    </w:lvl>
    <w:lvl w:ilvl="4">
      <w:start w:val="1"/>
      <w:numFmt w:val="bullet"/>
      <w:lvlText w:val=""/>
      <w:lvlJc w:val="left"/>
      <w:pPr>
        <w:tabs>
          <w:tab w:val="num" w:pos="2160"/>
        </w:tabs>
        <w:ind w:left="2160" w:hanging="360"/>
      </w:pPr>
      <w:rPr>
        <w:rFonts w:ascii="Wingdings" w:hAnsi="Wingdings" w:cs="OpenSymbol"/>
        <w:sz w:val="24"/>
        <w:szCs w:val="24"/>
        <w:shd w:val="clear" w:color="auto" w:fill="auto"/>
        <w:lang w:val="ro-RO" w:eastAsia="zh-CN" w:bidi="ar-SA"/>
      </w:rPr>
    </w:lvl>
    <w:lvl w:ilvl="5">
      <w:start w:val="1"/>
      <w:numFmt w:val="bullet"/>
      <w:lvlText w:val=""/>
      <w:lvlJc w:val="left"/>
      <w:pPr>
        <w:tabs>
          <w:tab w:val="num" w:pos="2520"/>
        </w:tabs>
        <w:ind w:left="2520" w:hanging="360"/>
      </w:pPr>
      <w:rPr>
        <w:rFonts w:ascii="Wingdings" w:hAnsi="Wingdings" w:cs="OpenSymbol"/>
        <w:sz w:val="24"/>
        <w:szCs w:val="24"/>
        <w:shd w:val="clear" w:color="auto" w:fill="auto"/>
        <w:lang w:val="ro-RO" w:eastAsia="zh-CN" w:bidi="ar-SA"/>
      </w:rPr>
    </w:lvl>
    <w:lvl w:ilvl="6">
      <w:start w:val="1"/>
      <w:numFmt w:val="bullet"/>
      <w:lvlText w:val=""/>
      <w:lvlJc w:val="left"/>
      <w:pPr>
        <w:tabs>
          <w:tab w:val="num" w:pos="2880"/>
        </w:tabs>
        <w:ind w:left="2880" w:hanging="360"/>
      </w:pPr>
      <w:rPr>
        <w:rFonts w:ascii="Wingdings" w:hAnsi="Wingdings" w:cs="OpenSymbol"/>
        <w:sz w:val="24"/>
        <w:szCs w:val="24"/>
        <w:shd w:val="clear" w:color="auto" w:fill="auto"/>
        <w:lang w:val="ro-RO" w:eastAsia="zh-CN" w:bidi="ar-SA"/>
      </w:rPr>
    </w:lvl>
    <w:lvl w:ilvl="7">
      <w:start w:val="1"/>
      <w:numFmt w:val="bullet"/>
      <w:lvlText w:val=""/>
      <w:lvlJc w:val="left"/>
      <w:pPr>
        <w:tabs>
          <w:tab w:val="num" w:pos="3240"/>
        </w:tabs>
        <w:ind w:left="3240" w:hanging="360"/>
      </w:pPr>
      <w:rPr>
        <w:rFonts w:ascii="Wingdings" w:hAnsi="Wingdings" w:cs="OpenSymbol"/>
        <w:sz w:val="24"/>
        <w:szCs w:val="24"/>
        <w:shd w:val="clear" w:color="auto" w:fill="auto"/>
        <w:lang w:val="ro-RO" w:eastAsia="zh-CN" w:bidi="ar-SA"/>
      </w:rPr>
    </w:lvl>
    <w:lvl w:ilvl="8">
      <w:start w:val="1"/>
      <w:numFmt w:val="bullet"/>
      <w:lvlText w:val=""/>
      <w:lvlJc w:val="left"/>
      <w:pPr>
        <w:tabs>
          <w:tab w:val="num" w:pos="3600"/>
        </w:tabs>
        <w:ind w:left="3600" w:hanging="360"/>
      </w:pPr>
      <w:rPr>
        <w:rFonts w:ascii="Wingdings" w:hAnsi="Wingdings" w:cs="OpenSymbol"/>
        <w:sz w:val="24"/>
        <w:szCs w:val="24"/>
        <w:shd w:val="clear" w:color="auto" w:fill="auto"/>
        <w:lang w:val="ro-RO" w:eastAsia="zh-CN" w:bidi="ar-SA"/>
      </w:rPr>
    </w:lvl>
  </w:abstractNum>
  <w:abstractNum w:abstractNumId="10" w15:restartNumberingAfterBreak="0">
    <w:nsid w:val="0576264E"/>
    <w:multiLevelType w:val="hybridMultilevel"/>
    <w:tmpl w:val="75F842A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E4887"/>
    <w:multiLevelType w:val="multilevel"/>
    <w:tmpl w:val="1396D25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133FCB"/>
    <w:multiLevelType w:val="multilevel"/>
    <w:tmpl w:val="09133FCB"/>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3" w15:restartNumberingAfterBreak="0">
    <w:nsid w:val="140077B5"/>
    <w:multiLevelType w:val="multilevel"/>
    <w:tmpl w:val="140077B5"/>
    <w:lvl w:ilvl="0">
      <w:start w:val="1"/>
      <w:numFmt w:val="bullet"/>
      <w:lvlText w:val=""/>
      <w:lvlJc w:val="left"/>
      <w:pPr>
        <w:ind w:left="619" w:hanging="360"/>
      </w:pPr>
      <w:rPr>
        <w:rFonts w:ascii="Symbol" w:hAnsi="Symbol" w:hint="default"/>
      </w:rPr>
    </w:lvl>
    <w:lvl w:ilvl="1">
      <w:start w:val="1"/>
      <w:numFmt w:val="bullet"/>
      <w:lvlText w:val="o"/>
      <w:lvlJc w:val="left"/>
      <w:pPr>
        <w:ind w:left="1339" w:hanging="360"/>
      </w:pPr>
      <w:rPr>
        <w:rFonts w:ascii="Courier New" w:hAnsi="Courier New" w:cs="Courier New" w:hint="default"/>
      </w:rPr>
    </w:lvl>
    <w:lvl w:ilvl="2">
      <w:start w:val="1"/>
      <w:numFmt w:val="bullet"/>
      <w:lvlText w:val=""/>
      <w:lvlJc w:val="left"/>
      <w:pPr>
        <w:ind w:left="2059" w:hanging="360"/>
      </w:pPr>
      <w:rPr>
        <w:rFonts w:ascii="Wingdings" w:hAnsi="Wingdings" w:hint="default"/>
      </w:rPr>
    </w:lvl>
    <w:lvl w:ilvl="3">
      <w:start w:val="1"/>
      <w:numFmt w:val="bullet"/>
      <w:lvlText w:val=""/>
      <w:lvlJc w:val="left"/>
      <w:pPr>
        <w:ind w:left="2779" w:hanging="360"/>
      </w:pPr>
      <w:rPr>
        <w:rFonts w:ascii="Symbol" w:hAnsi="Symbol" w:hint="default"/>
      </w:rPr>
    </w:lvl>
    <w:lvl w:ilvl="4">
      <w:start w:val="1"/>
      <w:numFmt w:val="bullet"/>
      <w:lvlText w:val="o"/>
      <w:lvlJc w:val="left"/>
      <w:pPr>
        <w:ind w:left="3499" w:hanging="360"/>
      </w:pPr>
      <w:rPr>
        <w:rFonts w:ascii="Courier New" w:hAnsi="Courier New" w:cs="Courier New" w:hint="default"/>
      </w:rPr>
    </w:lvl>
    <w:lvl w:ilvl="5">
      <w:start w:val="1"/>
      <w:numFmt w:val="bullet"/>
      <w:lvlText w:val=""/>
      <w:lvlJc w:val="left"/>
      <w:pPr>
        <w:ind w:left="4219" w:hanging="360"/>
      </w:pPr>
      <w:rPr>
        <w:rFonts w:ascii="Wingdings" w:hAnsi="Wingdings" w:hint="default"/>
      </w:rPr>
    </w:lvl>
    <w:lvl w:ilvl="6">
      <w:start w:val="1"/>
      <w:numFmt w:val="bullet"/>
      <w:lvlText w:val=""/>
      <w:lvlJc w:val="left"/>
      <w:pPr>
        <w:ind w:left="4939" w:hanging="360"/>
      </w:pPr>
      <w:rPr>
        <w:rFonts w:ascii="Symbol" w:hAnsi="Symbol" w:hint="default"/>
      </w:rPr>
    </w:lvl>
    <w:lvl w:ilvl="7">
      <w:start w:val="1"/>
      <w:numFmt w:val="bullet"/>
      <w:lvlText w:val="o"/>
      <w:lvlJc w:val="left"/>
      <w:pPr>
        <w:ind w:left="5659" w:hanging="360"/>
      </w:pPr>
      <w:rPr>
        <w:rFonts w:ascii="Courier New" w:hAnsi="Courier New" w:cs="Courier New" w:hint="default"/>
      </w:rPr>
    </w:lvl>
    <w:lvl w:ilvl="8">
      <w:start w:val="1"/>
      <w:numFmt w:val="bullet"/>
      <w:lvlText w:val=""/>
      <w:lvlJc w:val="left"/>
      <w:pPr>
        <w:ind w:left="6379" w:hanging="360"/>
      </w:pPr>
      <w:rPr>
        <w:rFonts w:ascii="Wingdings" w:hAnsi="Wingdings" w:hint="default"/>
      </w:rPr>
    </w:lvl>
  </w:abstractNum>
  <w:abstractNum w:abstractNumId="14" w15:restartNumberingAfterBreak="0">
    <w:nsid w:val="18CF0133"/>
    <w:multiLevelType w:val="hybridMultilevel"/>
    <w:tmpl w:val="BC20AD52"/>
    <w:lvl w:ilvl="0" w:tplc="041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63F17"/>
    <w:multiLevelType w:val="multilevel"/>
    <w:tmpl w:val="01A0D62A"/>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16" w15:restartNumberingAfterBreak="0">
    <w:nsid w:val="22402830"/>
    <w:multiLevelType w:val="multilevel"/>
    <w:tmpl w:val="22402830"/>
    <w:lvl w:ilvl="0">
      <w:start w:val="1"/>
      <w:numFmt w:val="bullet"/>
      <w:lvlText w:val=""/>
      <w:lvlJc w:val="left"/>
      <w:pPr>
        <w:ind w:left="619" w:hanging="360"/>
      </w:pPr>
      <w:rPr>
        <w:rFonts w:ascii="Wingdings" w:hAnsi="Wingdings" w:hint="default"/>
      </w:rPr>
    </w:lvl>
    <w:lvl w:ilvl="1">
      <w:start w:val="1"/>
      <w:numFmt w:val="bullet"/>
      <w:lvlText w:val="o"/>
      <w:lvlJc w:val="left"/>
      <w:pPr>
        <w:ind w:left="1339" w:hanging="360"/>
      </w:pPr>
      <w:rPr>
        <w:rFonts w:ascii="Courier New" w:hAnsi="Courier New" w:cs="Courier New" w:hint="default"/>
      </w:rPr>
    </w:lvl>
    <w:lvl w:ilvl="2">
      <w:start w:val="1"/>
      <w:numFmt w:val="bullet"/>
      <w:lvlText w:val=""/>
      <w:lvlJc w:val="left"/>
      <w:pPr>
        <w:ind w:left="2059" w:hanging="360"/>
      </w:pPr>
      <w:rPr>
        <w:rFonts w:ascii="Wingdings" w:hAnsi="Wingdings" w:hint="default"/>
      </w:rPr>
    </w:lvl>
    <w:lvl w:ilvl="3">
      <w:start w:val="1"/>
      <w:numFmt w:val="bullet"/>
      <w:lvlText w:val=""/>
      <w:lvlJc w:val="left"/>
      <w:pPr>
        <w:ind w:left="2779" w:hanging="360"/>
      </w:pPr>
      <w:rPr>
        <w:rFonts w:ascii="Symbol" w:hAnsi="Symbol" w:hint="default"/>
      </w:rPr>
    </w:lvl>
    <w:lvl w:ilvl="4">
      <w:start w:val="1"/>
      <w:numFmt w:val="bullet"/>
      <w:lvlText w:val="o"/>
      <w:lvlJc w:val="left"/>
      <w:pPr>
        <w:ind w:left="3499" w:hanging="360"/>
      </w:pPr>
      <w:rPr>
        <w:rFonts w:ascii="Courier New" w:hAnsi="Courier New" w:cs="Courier New" w:hint="default"/>
      </w:rPr>
    </w:lvl>
    <w:lvl w:ilvl="5">
      <w:start w:val="1"/>
      <w:numFmt w:val="bullet"/>
      <w:lvlText w:val=""/>
      <w:lvlJc w:val="left"/>
      <w:pPr>
        <w:ind w:left="4219" w:hanging="360"/>
      </w:pPr>
      <w:rPr>
        <w:rFonts w:ascii="Wingdings" w:hAnsi="Wingdings" w:hint="default"/>
      </w:rPr>
    </w:lvl>
    <w:lvl w:ilvl="6">
      <w:start w:val="1"/>
      <w:numFmt w:val="bullet"/>
      <w:lvlText w:val=""/>
      <w:lvlJc w:val="left"/>
      <w:pPr>
        <w:ind w:left="4939" w:hanging="360"/>
      </w:pPr>
      <w:rPr>
        <w:rFonts w:ascii="Symbol" w:hAnsi="Symbol" w:hint="default"/>
      </w:rPr>
    </w:lvl>
    <w:lvl w:ilvl="7">
      <w:start w:val="1"/>
      <w:numFmt w:val="bullet"/>
      <w:lvlText w:val="o"/>
      <w:lvlJc w:val="left"/>
      <w:pPr>
        <w:ind w:left="5659" w:hanging="360"/>
      </w:pPr>
      <w:rPr>
        <w:rFonts w:ascii="Courier New" w:hAnsi="Courier New" w:cs="Courier New" w:hint="default"/>
      </w:rPr>
    </w:lvl>
    <w:lvl w:ilvl="8">
      <w:start w:val="1"/>
      <w:numFmt w:val="bullet"/>
      <w:lvlText w:val=""/>
      <w:lvlJc w:val="left"/>
      <w:pPr>
        <w:ind w:left="6379" w:hanging="360"/>
      </w:pPr>
      <w:rPr>
        <w:rFonts w:ascii="Wingdings" w:hAnsi="Wingdings" w:hint="default"/>
      </w:rPr>
    </w:lvl>
  </w:abstractNum>
  <w:abstractNum w:abstractNumId="17" w15:restartNumberingAfterBreak="0">
    <w:nsid w:val="23344229"/>
    <w:multiLevelType w:val="multilevel"/>
    <w:tmpl w:val="23344229"/>
    <w:lvl w:ilvl="0">
      <w:start w:val="1"/>
      <w:numFmt w:val="bullet"/>
      <w:lvlText w:val=""/>
      <w:lvlJc w:val="left"/>
      <w:pPr>
        <w:ind w:left="636" w:hanging="360"/>
      </w:pPr>
      <w:rPr>
        <w:rFonts w:ascii="Wingdings" w:hAnsi="Wingdings" w:hint="default"/>
      </w:rPr>
    </w:lvl>
    <w:lvl w:ilvl="1">
      <w:start w:val="1"/>
      <w:numFmt w:val="bullet"/>
      <w:lvlText w:val="o"/>
      <w:lvlJc w:val="left"/>
      <w:pPr>
        <w:ind w:left="1356" w:hanging="360"/>
      </w:pPr>
      <w:rPr>
        <w:rFonts w:ascii="Courier New" w:hAnsi="Courier New" w:cs="Courier New" w:hint="default"/>
      </w:rPr>
    </w:lvl>
    <w:lvl w:ilvl="2">
      <w:start w:val="1"/>
      <w:numFmt w:val="bullet"/>
      <w:lvlText w:val=""/>
      <w:lvlJc w:val="left"/>
      <w:pPr>
        <w:ind w:left="2076" w:hanging="360"/>
      </w:pPr>
      <w:rPr>
        <w:rFonts w:ascii="Wingdings" w:hAnsi="Wingdings" w:hint="default"/>
      </w:rPr>
    </w:lvl>
    <w:lvl w:ilvl="3">
      <w:start w:val="1"/>
      <w:numFmt w:val="bullet"/>
      <w:lvlText w:val=""/>
      <w:lvlJc w:val="left"/>
      <w:pPr>
        <w:ind w:left="2796" w:hanging="360"/>
      </w:pPr>
      <w:rPr>
        <w:rFonts w:ascii="Symbol" w:hAnsi="Symbol" w:hint="default"/>
      </w:rPr>
    </w:lvl>
    <w:lvl w:ilvl="4">
      <w:start w:val="1"/>
      <w:numFmt w:val="bullet"/>
      <w:lvlText w:val="o"/>
      <w:lvlJc w:val="left"/>
      <w:pPr>
        <w:ind w:left="3516" w:hanging="360"/>
      </w:pPr>
      <w:rPr>
        <w:rFonts w:ascii="Courier New" w:hAnsi="Courier New" w:cs="Courier New" w:hint="default"/>
      </w:rPr>
    </w:lvl>
    <w:lvl w:ilvl="5">
      <w:start w:val="1"/>
      <w:numFmt w:val="bullet"/>
      <w:lvlText w:val=""/>
      <w:lvlJc w:val="left"/>
      <w:pPr>
        <w:ind w:left="4236" w:hanging="360"/>
      </w:pPr>
      <w:rPr>
        <w:rFonts w:ascii="Wingdings" w:hAnsi="Wingdings" w:hint="default"/>
      </w:rPr>
    </w:lvl>
    <w:lvl w:ilvl="6">
      <w:start w:val="1"/>
      <w:numFmt w:val="bullet"/>
      <w:lvlText w:val=""/>
      <w:lvlJc w:val="left"/>
      <w:pPr>
        <w:ind w:left="4956" w:hanging="360"/>
      </w:pPr>
      <w:rPr>
        <w:rFonts w:ascii="Symbol" w:hAnsi="Symbol" w:hint="default"/>
      </w:rPr>
    </w:lvl>
    <w:lvl w:ilvl="7">
      <w:start w:val="1"/>
      <w:numFmt w:val="bullet"/>
      <w:lvlText w:val="o"/>
      <w:lvlJc w:val="left"/>
      <w:pPr>
        <w:ind w:left="5676" w:hanging="360"/>
      </w:pPr>
      <w:rPr>
        <w:rFonts w:ascii="Courier New" w:hAnsi="Courier New" w:cs="Courier New" w:hint="default"/>
      </w:rPr>
    </w:lvl>
    <w:lvl w:ilvl="8">
      <w:start w:val="1"/>
      <w:numFmt w:val="bullet"/>
      <w:lvlText w:val=""/>
      <w:lvlJc w:val="left"/>
      <w:pPr>
        <w:ind w:left="6396" w:hanging="360"/>
      </w:pPr>
      <w:rPr>
        <w:rFonts w:ascii="Wingdings" w:hAnsi="Wingdings" w:hint="default"/>
      </w:rPr>
    </w:lvl>
  </w:abstractNum>
  <w:abstractNum w:abstractNumId="18" w15:restartNumberingAfterBreak="0">
    <w:nsid w:val="2FA75A7E"/>
    <w:multiLevelType w:val="multilevel"/>
    <w:tmpl w:val="2FA75A7E"/>
    <w:lvl w:ilvl="0">
      <w:start w:val="1"/>
      <w:numFmt w:val="bullet"/>
      <w:lvlText w:val=""/>
      <w:lvlJc w:val="left"/>
      <w:pPr>
        <w:ind w:left="1350" w:hanging="360"/>
      </w:pPr>
      <w:rPr>
        <w:rFonts w:ascii="Wingdings" w:hAnsi="Wingdings"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9" w15:restartNumberingAfterBreak="0">
    <w:nsid w:val="361626C4"/>
    <w:multiLevelType w:val="hybridMultilevel"/>
    <w:tmpl w:val="10F61514"/>
    <w:lvl w:ilvl="0" w:tplc="0988FA8C">
      <w:start w:val="1"/>
      <w:numFmt w:val="decimal"/>
      <w:lvlText w:val="%1."/>
      <w:lvlJc w:val="left"/>
      <w:pPr>
        <w:ind w:left="360" w:hanging="360"/>
      </w:pPr>
      <w:rPr>
        <w:rFonts w:hint="default"/>
        <w:b w:val="0"/>
        <w:color w:val="auto"/>
        <w:sz w:val="24"/>
        <w:szCs w:val="24"/>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0" w15:restartNumberingAfterBreak="0">
    <w:nsid w:val="3A034794"/>
    <w:multiLevelType w:val="multilevel"/>
    <w:tmpl w:val="3A034794"/>
    <w:lvl w:ilvl="0">
      <w:start w:val="1"/>
      <w:numFmt w:val="bullet"/>
      <w:lvlText w:val=""/>
      <w:lvlJc w:val="left"/>
      <w:pPr>
        <w:ind w:left="692" w:hanging="360"/>
      </w:pPr>
      <w:rPr>
        <w:rFonts w:ascii="Symbol" w:hAnsi="Symbol" w:hint="default"/>
      </w:rPr>
    </w:lvl>
    <w:lvl w:ilvl="1">
      <w:start w:val="1"/>
      <w:numFmt w:val="bullet"/>
      <w:lvlText w:val="o"/>
      <w:lvlJc w:val="left"/>
      <w:pPr>
        <w:ind w:left="1412" w:hanging="360"/>
      </w:pPr>
      <w:rPr>
        <w:rFonts w:ascii="Courier New" w:hAnsi="Courier New" w:cs="Courier New" w:hint="default"/>
      </w:rPr>
    </w:lvl>
    <w:lvl w:ilvl="2">
      <w:start w:val="1"/>
      <w:numFmt w:val="bullet"/>
      <w:lvlText w:val=""/>
      <w:lvlJc w:val="left"/>
      <w:pPr>
        <w:ind w:left="2132" w:hanging="360"/>
      </w:pPr>
      <w:rPr>
        <w:rFonts w:ascii="Wingdings" w:hAnsi="Wingdings" w:hint="default"/>
      </w:rPr>
    </w:lvl>
    <w:lvl w:ilvl="3">
      <w:start w:val="1"/>
      <w:numFmt w:val="bullet"/>
      <w:lvlText w:val=""/>
      <w:lvlJc w:val="left"/>
      <w:pPr>
        <w:ind w:left="2852" w:hanging="360"/>
      </w:pPr>
      <w:rPr>
        <w:rFonts w:ascii="Symbol" w:hAnsi="Symbol" w:hint="default"/>
      </w:rPr>
    </w:lvl>
    <w:lvl w:ilvl="4">
      <w:start w:val="1"/>
      <w:numFmt w:val="bullet"/>
      <w:lvlText w:val="o"/>
      <w:lvlJc w:val="left"/>
      <w:pPr>
        <w:ind w:left="3572" w:hanging="360"/>
      </w:pPr>
      <w:rPr>
        <w:rFonts w:ascii="Courier New" w:hAnsi="Courier New" w:cs="Courier New" w:hint="default"/>
      </w:rPr>
    </w:lvl>
    <w:lvl w:ilvl="5">
      <w:start w:val="1"/>
      <w:numFmt w:val="bullet"/>
      <w:lvlText w:val=""/>
      <w:lvlJc w:val="left"/>
      <w:pPr>
        <w:ind w:left="4292" w:hanging="360"/>
      </w:pPr>
      <w:rPr>
        <w:rFonts w:ascii="Wingdings" w:hAnsi="Wingdings" w:hint="default"/>
      </w:rPr>
    </w:lvl>
    <w:lvl w:ilvl="6">
      <w:start w:val="1"/>
      <w:numFmt w:val="bullet"/>
      <w:lvlText w:val=""/>
      <w:lvlJc w:val="left"/>
      <w:pPr>
        <w:ind w:left="5012" w:hanging="360"/>
      </w:pPr>
      <w:rPr>
        <w:rFonts w:ascii="Symbol" w:hAnsi="Symbol" w:hint="default"/>
      </w:rPr>
    </w:lvl>
    <w:lvl w:ilvl="7">
      <w:start w:val="1"/>
      <w:numFmt w:val="bullet"/>
      <w:lvlText w:val="o"/>
      <w:lvlJc w:val="left"/>
      <w:pPr>
        <w:ind w:left="5732" w:hanging="360"/>
      </w:pPr>
      <w:rPr>
        <w:rFonts w:ascii="Courier New" w:hAnsi="Courier New" w:cs="Courier New" w:hint="default"/>
      </w:rPr>
    </w:lvl>
    <w:lvl w:ilvl="8">
      <w:start w:val="1"/>
      <w:numFmt w:val="bullet"/>
      <w:lvlText w:val=""/>
      <w:lvlJc w:val="left"/>
      <w:pPr>
        <w:ind w:left="6452" w:hanging="360"/>
      </w:pPr>
      <w:rPr>
        <w:rFonts w:ascii="Wingdings" w:hAnsi="Wingdings" w:hint="default"/>
      </w:rPr>
    </w:lvl>
  </w:abstractNum>
  <w:abstractNum w:abstractNumId="21" w15:restartNumberingAfterBreak="0">
    <w:nsid w:val="3CFD7FAF"/>
    <w:multiLevelType w:val="multilevel"/>
    <w:tmpl w:val="3CFD7FAF"/>
    <w:lvl w:ilvl="0">
      <w:start w:val="1"/>
      <w:numFmt w:val="bullet"/>
      <w:lvlText w:val=""/>
      <w:lvlJc w:val="left"/>
      <w:pPr>
        <w:ind w:left="619" w:hanging="360"/>
      </w:pPr>
      <w:rPr>
        <w:rFonts w:ascii="Wingdings" w:hAnsi="Wingdings" w:hint="default"/>
      </w:rPr>
    </w:lvl>
    <w:lvl w:ilvl="1">
      <w:start w:val="1"/>
      <w:numFmt w:val="bullet"/>
      <w:lvlText w:val="o"/>
      <w:lvlJc w:val="left"/>
      <w:pPr>
        <w:ind w:left="1339" w:hanging="360"/>
      </w:pPr>
      <w:rPr>
        <w:rFonts w:ascii="Courier New" w:hAnsi="Courier New" w:cs="Courier New" w:hint="default"/>
      </w:rPr>
    </w:lvl>
    <w:lvl w:ilvl="2">
      <w:start w:val="1"/>
      <w:numFmt w:val="bullet"/>
      <w:lvlText w:val=""/>
      <w:lvlJc w:val="left"/>
      <w:pPr>
        <w:ind w:left="2059" w:hanging="360"/>
      </w:pPr>
      <w:rPr>
        <w:rFonts w:ascii="Wingdings" w:hAnsi="Wingdings" w:hint="default"/>
      </w:rPr>
    </w:lvl>
    <w:lvl w:ilvl="3">
      <w:start w:val="1"/>
      <w:numFmt w:val="bullet"/>
      <w:lvlText w:val=""/>
      <w:lvlJc w:val="left"/>
      <w:pPr>
        <w:ind w:left="2779" w:hanging="360"/>
      </w:pPr>
      <w:rPr>
        <w:rFonts w:ascii="Symbol" w:hAnsi="Symbol" w:hint="default"/>
      </w:rPr>
    </w:lvl>
    <w:lvl w:ilvl="4">
      <w:start w:val="1"/>
      <w:numFmt w:val="bullet"/>
      <w:lvlText w:val="o"/>
      <w:lvlJc w:val="left"/>
      <w:pPr>
        <w:ind w:left="3499" w:hanging="360"/>
      </w:pPr>
      <w:rPr>
        <w:rFonts w:ascii="Courier New" w:hAnsi="Courier New" w:cs="Courier New" w:hint="default"/>
      </w:rPr>
    </w:lvl>
    <w:lvl w:ilvl="5">
      <w:start w:val="1"/>
      <w:numFmt w:val="bullet"/>
      <w:lvlText w:val=""/>
      <w:lvlJc w:val="left"/>
      <w:pPr>
        <w:ind w:left="4219" w:hanging="360"/>
      </w:pPr>
      <w:rPr>
        <w:rFonts w:ascii="Wingdings" w:hAnsi="Wingdings" w:hint="default"/>
      </w:rPr>
    </w:lvl>
    <w:lvl w:ilvl="6">
      <w:start w:val="1"/>
      <w:numFmt w:val="bullet"/>
      <w:lvlText w:val=""/>
      <w:lvlJc w:val="left"/>
      <w:pPr>
        <w:ind w:left="4939" w:hanging="360"/>
      </w:pPr>
      <w:rPr>
        <w:rFonts w:ascii="Symbol" w:hAnsi="Symbol" w:hint="default"/>
      </w:rPr>
    </w:lvl>
    <w:lvl w:ilvl="7">
      <w:start w:val="1"/>
      <w:numFmt w:val="bullet"/>
      <w:lvlText w:val="o"/>
      <w:lvlJc w:val="left"/>
      <w:pPr>
        <w:ind w:left="5659" w:hanging="360"/>
      </w:pPr>
      <w:rPr>
        <w:rFonts w:ascii="Courier New" w:hAnsi="Courier New" w:cs="Courier New" w:hint="default"/>
      </w:rPr>
    </w:lvl>
    <w:lvl w:ilvl="8">
      <w:start w:val="1"/>
      <w:numFmt w:val="bullet"/>
      <w:lvlText w:val=""/>
      <w:lvlJc w:val="left"/>
      <w:pPr>
        <w:ind w:left="6379" w:hanging="360"/>
      </w:pPr>
      <w:rPr>
        <w:rFonts w:ascii="Wingdings" w:hAnsi="Wingdings" w:hint="default"/>
      </w:rPr>
    </w:lvl>
  </w:abstractNum>
  <w:abstractNum w:abstractNumId="22" w15:restartNumberingAfterBreak="0">
    <w:nsid w:val="45BC7A83"/>
    <w:multiLevelType w:val="multilevel"/>
    <w:tmpl w:val="45BC7A8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250286"/>
    <w:multiLevelType w:val="multilevel"/>
    <w:tmpl w:val="4B25028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B0460"/>
    <w:multiLevelType w:val="hybridMultilevel"/>
    <w:tmpl w:val="0A141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E46CD"/>
    <w:multiLevelType w:val="multilevel"/>
    <w:tmpl w:val="35C40A3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EA16E5"/>
    <w:multiLevelType w:val="hybridMultilevel"/>
    <w:tmpl w:val="350A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B3D0F"/>
    <w:multiLevelType w:val="multilevel"/>
    <w:tmpl w:val="640B3D0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64CA5F90"/>
    <w:multiLevelType w:val="multilevel"/>
    <w:tmpl w:val="64CA5F90"/>
    <w:lvl w:ilvl="0">
      <w:start w:val="1"/>
      <w:numFmt w:val="bullet"/>
      <w:lvlText w:val=""/>
      <w:lvlJc w:val="left"/>
      <w:pPr>
        <w:ind w:left="619" w:hanging="360"/>
      </w:pPr>
      <w:rPr>
        <w:rFonts w:ascii="Wingdings" w:hAnsi="Wingdings" w:hint="default"/>
      </w:rPr>
    </w:lvl>
    <w:lvl w:ilvl="1">
      <w:start w:val="1"/>
      <w:numFmt w:val="bullet"/>
      <w:lvlText w:val="o"/>
      <w:lvlJc w:val="left"/>
      <w:pPr>
        <w:ind w:left="1339" w:hanging="360"/>
      </w:pPr>
      <w:rPr>
        <w:rFonts w:ascii="Courier New" w:hAnsi="Courier New" w:cs="Courier New" w:hint="default"/>
      </w:rPr>
    </w:lvl>
    <w:lvl w:ilvl="2">
      <w:start w:val="1"/>
      <w:numFmt w:val="bullet"/>
      <w:lvlText w:val=""/>
      <w:lvlJc w:val="left"/>
      <w:pPr>
        <w:ind w:left="2059" w:hanging="360"/>
      </w:pPr>
      <w:rPr>
        <w:rFonts w:ascii="Wingdings" w:hAnsi="Wingdings" w:hint="default"/>
      </w:rPr>
    </w:lvl>
    <w:lvl w:ilvl="3">
      <w:start w:val="1"/>
      <w:numFmt w:val="bullet"/>
      <w:lvlText w:val=""/>
      <w:lvlJc w:val="left"/>
      <w:pPr>
        <w:ind w:left="2779" w:hanging="360"/>
      </w:pPr>
      <w:rPr>
        <w:rFonts w:ascii="Symbol" w:hAnsi="Symbol" w:hint="default"/>
      </w:rPr>
    </w:lvl>
    <w:lvl w:ilvl="4">
      <w:start w:val="1"/>
      <w:numFmt w:val="bullet"/>
      <w:lvlText w:val="o"/>
      <w:lvlJc w:val="left"/>
      <w:pPr>
        <w:ind w:left="3499" w:hanging="360"/>
      </w:pPr>
      <w:rPr>
        <w:rFonts w:ascii="Courier New" w:hAnsi="Courier New" w:cs="Courier New" w:hint="default"/>
      </w:rPr>
    </w:lvl>
    <w:lvl w:ilvl="5">
      <w:start w:val="1"/>
      <w:numFmt w:val="bullet"/>
      <w:lvlText w:val=""/>
      <w:lvlJc w:val="left"/>
      <w:pPr>
        <w:ind w:left="4219" w:hanging="360"/>
      </w:pPr>
      <w:rPr>
        <w:rFonts w:ascii="Wingdings" w:hAnsi="Wingdings" w:hint="default"/>
      </w:rPr>
    </w:lvl>
    <w:lvl w:ilvl="6">
      <w:start w:val="1"/>
      <w:numFmt w:val="bullet"/>
      <w:lvlText w:val=""/>
      <w:lvlJc w:val="left"/>
      <w:pPr>
        <w:ind w:left="4939" w:hanging="360"/>
      </w:pPr>
      <w:rPr>
        <w:rFonts w:ascii="Symbol" w:hAnsi="Symbol" w:hint="default"/>
      </w:rPr>
    </w:lvl>
    <w:lvl w:ilvl="7">
      <w:start w:val="1"/>
      <w:numFmt w:val="bullet"/>
      <w:lvlText w:val="o"/>
      <w:lvlJc w:val="left"/>
      <w:pPr>
        <w:ind w:left="5659" w:hanging="360"/>
      </w:pPr>
      <w:rPr>
        <w:rFonts w:ascii="Courier New" w:hAnsi="Courier New" w:cs="Courier New" w:hint="default"/>
      </w:rPr>
    </w:lvl>
    <w:lvl w:ilvl="8">
      <w:start w:val="1"/>
      <w:numFmt w:val="bullet"/>
      <w:lvlText w:val=""/>
      <w:lvlJc w:val="left"/>
      <w:pPr>
        <w:ind w:left="6379" w:hanging="360"/>
      </w:pPr>
      <w:rPr>
        <w:rFonts w:ascii="Wingdings" w:hAnsi="Wingdings" w:hint="default"/>
      </w:rPr>
    </w:lvl>
  </w:abstractNum>
  <w:abstractNum w:abstractNumId="29" w15:restartNumberingAfterBreak="0">
    <w:nsid w:val="67823F58"/>
    <w:multiLevelType w:val="hybridMultilevel"/>
    <w:tmpl w:val="A63CE65C"/>
    <w:lvl w:ilvl="0" w:tplc="F814C90E">
      <w:numFmt w:val="bullet"/>
      <w:lvlText w:val="•"/>
      <w:lvlJc w:val="left"/>
      <w:pPr>
        <w:ind w:left="786" w:hanging="360"/>
      </w:pPr>
      <w:rPr>
        <w:rFonts w:ascii="Tahoma" w:eastAsiaTheme="minorHAnsi" w:hAnsi="Tahoma" w:cs="Tahom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15:restartNumberingAfterBreak="0">
    <w:nsid w:val="6A173B6C"/>
    <w:multiLevelType w:val="hybridMultilevel"/>
    <w:tmpl w:val="4D8C4404"/>
    <w:lvl w:ilvl="0" w:tplc="04180001">
      <w:start w:val="1"/>
      <w:numFmt w:val="bullet"/>
      <w:lvlText w:val=""/>
      <w:lvlJc w:val="left"/>
      <w:pPr>
        <w:ind w:left="720" w:hanging="360"/>
      </w:pPr>
      <w:rPr>
        <w:rFonts w:ascii="Symbol" w:hAnsi="Symbol" w:hint="default"/>
      </w:rPr>
    </w:lvl>
    <w:lvl w:ilvl="1" w:tplc="ADBC729A">
      <w:start w:val="1"/>
      <w:numFmt w:val="bullet"/>
      <w:lvlText w:val=""/>
      <w:lvlJc w:val="left"/>
      <w:pPr>
        <w:ind w:left="1440" w:hanging="360"/>
      </w:pPr>
      <w:rPr>
        <w:rFonts w:ascii="Symbol" w:hAnsi="Symbol"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B990FBE"/>
    <w:multiLevelType w:val="hybridMultilevel"/>
    <w:tmpl w:val="F9864184"/>
    <w:lvl w:ilvl="0" w:tplc="9D401336">
      <w:start w:val="1"/>
      <w:numFmt w:val="upperRoman"/>
      <w:lvlText w:val="%1."/>
      <w:lvlJc w:val="right"/>
      <w:pPr>
        <w:ind w:left="720" w:hanging="360"/>
      </w:pPr>
      <w:rPr>
        <w:sz w:val="28"/>
        <w:szCs w:val="28"/>
      </w:rPr>
    </w:lvl>
    <w:lvl w:ilvl="1" w:tplc="2AA8CCE6">
      <w:start w:val="1"/>
      <w:numFmt w:val="decimal"/>
      <w:lvlText w:val="%2."/>
      <w:lvlJc w:val="left"/>
      <w:pPr>
        <w:ind w:left="144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BC2163F"/>
    <w:multiLevelType w:val="hybridMultilevel"/>
    <w:tmpl w:val="5E7E77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abstractNumId w:val="31"/>
  </w:num>
  <w:num w:numId="2">
    <w:abstractNumId w:val="14"/>
  </w:num>
  <w:num w:numId="3">
    <w:abstractNumId w:val="15"/>
  </w:num>
  <w:num w:numId="4">
    <w:abstractNumId w:val="26"/>
  </w:num>
  <w:num w:numId="5">
    <w:abstractNumId w:val="24"/>
  </w:num>
  <w:num w:numId="6">
    <w:abstractNumId w:val="29"/>
  </w:num>
  <w:num w:numId="7">
    <w:abstractNumId w:val="27"/>
  </w:num>
  <w:num w:numId="8">
    <w:abstractNumId w:val="25"/>
  </w:num>
  <w:num w:numId="9">
    <w:abstractNumId w:val="23"/>
  </w:num>
  <w:num w:numId="10">
    <w:abstractNumId w:val="11"/>
  </w:num>
  <w:num w:numId="11">
    <w:abstractNumId w:val="22"/>
  </w:num>
  <w:num w:numId="12">
    <w:abstractNumId w:val="10"/>
  </w:num>
  <w:num w:numId="13">
    <w:abstractNumId w:val="19"/>
  </w:num>
  <w:num w:numId="14">
    <w:abstractNumId w:val="32"/>
  </w:num>
  <w:num w:numId="15">
    <w:abstractNumId w:val="12"/>
  </w:num>
  <w:num w:numId="16">
    <w:abstractNumId w:val="20"/>
  </w:num>
  <w:num w:numId="17">
    <w:abstractNumId w:val="16"/>
  </w:num>
  <w:num w:numId="18">
    <w:abstractNumId w:val="21"/>
  </w:num>
  <w:num w:numId="19">
    <w:abstractNumId w:val="13"/>
  </w:num>
  <w:num w:numId="20">
    <w:abstractNumId w:val="18"/>
  </w:num>
  <w:num w:numId="21">
    <w:abstractNumId w:val="17"/>
  </w:num>
  <w:num w:numId="22">
    <w:abstractNumId w:val="28"/>
  </w:num>
  <w:num w:numId="23">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C4"/>
    <w:rsid w:val="00000B46"/>
    <w:rsid w:val="00001BEE"/>
    <w:rsid w:val="0000372E"/>
    <w:rsid w:val="00004284"/>
    <w:rsid w:val="000051D6"/>
    <w:rsid w:val="00006DDD"/>
    <w:rsid w:val="00006FE6"/>
    <w:rsid w:val="000104AF"/>
    <w:rsid w:val="000143E5"/>
    <w:rsid w:val="0002178B"/>
    <w:rsid w:val="00022C4B"/>
    <w:rsid w:val="000237D2"/>
    <w:rsid w:val="0002588E"/>
    <w:rsid w:val="00027127"/>
    <w:rsid w:val="00035122"/>
    <w:rsid w:val="00041F1F"/>
    <w:rsid w:val="00041FC6"/>
    <w:rsid w:val="00044376"/>
    <w:rsid w:val="00045D55"/>
    <w:rsid w:val="00045FA5"/>
    <w:rsid w:val="00046193"/>
    <w:rsid w:val="0005391F"/>
    <w:rsid w:val="00060926"/>
    <w:rsid w:val="00060B8F"/>
    <w:rsid w:val="00062C05"/>
    <w:rsid w:val="00062FE4"/>
    <w:rsid w:val="000651AF"/>
    <w:rsid w:val="0006566D"/>
    <w:rsid w:val="00065E24"/>
    <w:rsid w:val="00065F94"/>
    <w:rsid w:val="00066A53"/>
    <w:rsid w:val="0007115C"/>
    <w:rsid w:val="00072D0B"/>
    <w:rsid w:val="00075D5D"/>
    <w:rsid w:val="000760EA"/>
    <w:rsid w:val="00082003"/>
    <w:rsid w:val="00082A16"/>
    <w:rsid w:val="00083123"/>
    <w:rsid w:val="000875A8"/>
    <w:rsid w:val="00095BDD"/>
    <w:rsid w:val="00095E25"/>
    <w:rsid w:val="0009615F"/>
    <w:rsid w:val="000A187F"/>
    <w:rsid w:val="000A40AD"/>
    <w:rsid w:val="000A42BE"/>
    <w:rsid w:val="000A45A8"/>
    <w:rsid w:val="000A467F"/>
    <w:rsid w:val="000A5141"/>
    <w:rsid w:val="000B0BE3"/>
    <w:rsid w:val="000B4020"/>
    <w:rsid w:val="000B4B07"/>
    <w:rsid w:val="000B58BC"/>
    <w:rsid w:val="000B62ED"/>
    <w:rsid w:val="000B6552"/>
    <w:rsid w:val="000C0D1E"/>
    <w:rsid w:val="000C2870"/>
    <w:rsid w:val="000C4F84"/>
    <w:rsid w:val="000C50E2"/>
    <w:rsid w:val="000C5203"/>
    <w:rsid w:val="000D2C11"/>
    <w:rsid w:val="000D37E6"/>
    <w:rsid w:val="000D44BC"/>
    <w:rsid w:val="000D46FB"/>
    <w:rsid w:val="000D4824"/>
    <w:rsid w:val="000E2E18"/>
    <w:rsid w:val="000E6911"/>
    <w:rsid w:val="000F1076"/>
    <w:rsid w:val="000F2751"/>
    <w:rsid w:val="000F490F"/>
    <w:rsid w:val="000F4C1E"/>
    <w:rsid w:val="00100F91"/>
    <w:rsid w:val="00101413"/>
    <w:rsid w:val="00103FD9"/>
    <w:rsid w:val="00104C14"/>
    <w:rsid w:val="00105A75"/>
    <w:rsid w:val="0010647A"/>
    <w:rsid w:val="001069C2"/>
    <w:rsid w:val="00106EDC"/>
    <w:rsid w:val="00107683"/>
    <w:rsid w:val="00112846"/>
    <w:rsid w:val="001141A7"/>
    <w:rsid w:val="00114DB1"/>
    <w:rsid w:val="00125108"/>
    <w:rsid w:val="00125676"/>
    <w:rsid w:val="001273A7"/>
    <w:rsid w:val="0013047C"/>
    <w:rsid w:val="00130B57"/>
    <w:rsid w:val="00135155"/>
    <w:rsid w:val="001353BC"/>
    <w:rsid w:val="0014197B"/>
    <w:rsid w:val="00142048"/>
    <w:rsid w:val="00144AEE"/>
    <w:rsid w:val="001465BE"/>
    <w:rsid w:val="00146B8D"/>
    <w:rsid w:val="00147BBC"/>
    <w:rsid w:val="0015078D"/>
    <w:rsid w:val="00152A7A"/>
    <w:rsid w:val="001539BB"/>
    <w:rsid w:val="00154267"/>
    <w:rsid w:val="00154D8A"/>
    <w:rsid w:val="00155877"/>
    <w:rsid w:val="00155F43"/>
    <w:rsid w:val="00161C34"/>
    <w:rsid w:val="0016355C"/>
    <w:rsid w:val="00164927"/>
    <w:rsid w:val="001678F2"/>
    <w:rsid w:val="00170CA1"/>
    <w:rsid w:val="00172482"/>
    <w:rsid w:val="00174F48"/>
    <w:rsid w:val="0017578C"/>
    <w:rsid w:val="00175817"/>
    <w:rsid w:val="00176922"/>
    <w:rsid w:val="00180D48"/>
    <w:rsid w:val="00182ADA"/>
    <w:rsid w:val="00183827"/>
    <w:rsid w:val="00183E8F"/>
    <w:rsid w:val="001854D7"/>
    <w:rsid w:val="00191D8D"/>
    <w:rsid w:val="001923CA"/>
    <w:rsid w:val="00196744"/>
    <w:rsid w:val="001975D6"/>
    <w:rsid w:val="00197AF4"/>
    <w:rsid w:val="001A1773"/>
    <w:rsid w:val="001A7A87"/>
    <w:rsid w:val="001B0710"/>
    <w:rsid w:val="001B347E"/>
    <w:rsid w:val="001B5B69"/>
    <w:rsid w:val="001B5DB9"/>
    <w:rsid w:val="001B5F05"/>
    <w:rsid w:val="001B7BED"/>
    <w:rsid w:val="001C38E5"/>
    <w:rsid w:val="001C550F"/>
    <w:rsid w:val="001C7589"/>
    <w:rsid w:val="001D00F4"/>
    <w:rsid w:val="001D0E4D"/>
    <w:rsid w:val="001D1F40"/>
    <w:rsid w:val="001D24F5"/>
    <w:rsid w:val="001D50A8"/>
    <w:rsid w:val="001D6AFE"/>
    <w:rsid w:val="001D7612"/>
    <w:rsid w:val="001E06CD"/>
    <w:rsid w:val="001E0833"/>
    <w:rsid w:val="001E1FAC"/>
    <w:rsid w:val="001E2C30"/>
    <w:rsid w:val="001E319D"/>
    <w:rsid w:val="001E31E7"/>
    <w:rsid w:val="001E4881"/>
    <w:rsid w:val="001E5189"/>
    <w:rsid w:val="001E69E1"/>
    <w:rsid w:val="001F084B"/>
    <w:rsid w:val="001F1551"/>
    <w:rsid w:val="001F1E5D"/>
    <w:rsid w:val="001F2287"/>
    <w:rsid w:val="001F252C"/>
    <w:rsid w:val="001F3032"/>
    <w:rsid w:val="001F31C5"/>
    <w:rsid w:val="001F321D"/>
    <w:rsid w:val="001F32FE"/>
    <w:rsid w:val="001F3C47"/>
    <w:rsid w:val="001F43A9"/>
    <w:rsid w:val="001F48D1"/>
    <w:rsid w:val="001F4C0B"/>
    <w:rsid w:val="001F5A79"/>
    <w:rsid w:val="00203544"/>
    <w:rsid w:val="00203737"/>
    <w:rsid w:val="00204819"/>
    <w:rsid w:val="00207D12"/>
    <w:rsid w:val="00220441"/>
    <w:rsid w:val="0022310F"/>
    <w:rsid w:val="00223FB5"/>
    <w:rsid w:val="0022607D"/>
    <w:rsid w:val="002272FA"/>
    <w:rsid w:val="0022798C"/>
    <w:rsid w:val="00231E72"/>
    <w:rsid w:val="00232B17"/>
    <w:rsid w:val="00232B3C"/>
    <w:rsid w:val="00233ECC"/>
    <w:rsid w:val="002345FB"/>
    <w:rsid w:val="002355F0"/>
    <w:rsid w:val="002370C1"/>
    <w:rsid w:val="00240A85"/>
    <w:rsid w:val="00241EAF"/>
    <w:rsid w:val="00243772"/>
    <w:rsid w:val="00243CA2"/>
    <w:rsid w:val="00243F7D"/>
    <w:rsid w:val="0024450C"/>
    <w:rsid w:val="00245C93"/>
    <w:rsid w:val="00246571"/>
    <w:rsid w:val="00246A95"/>
    <w:rsid w:val="00247A3D"/>
    <w:rsid w:val="00247C20"/>
    <w:rsid w:val="0025224B"/>
    <w:rsid w:val="00252971"/>
    <w:rsid w:val="00252A5C"/>
    <w:rsid w:val="002548C2"/>
    <w:rsid w:val="00254FAB"/>
    <w:rsid w:val="00255C16"/>
    <w:rsid w:val="00257DF0"/>
    <w:rsid w:val="002615A2"/>
    <w:rsid w:val="00261FFF"/>
    <w:rsid w:val="00262BE1"/>
    <w:rsid w:val="00262D00"/>
    <w:rsid w:val="00263CFA"/>
    <w:rsid w:val="00267B7C"/>
    <w:rsid w:val="002709B7"/>
    <w:rsid w:val="0027615E"/>
    <w:rsid w:val="00276A0D"/>
    <w:rsid w:val="0028001B"/>
    <w:rsid w:val="00281576"/>
    <w:rsid w:val="0028202A"/>
    <w:rsid w:val="002833B0"/>
    <w:rsid w:val="00284A41"/>
    <w:rsid w:val="00287682"/>
    <w:rsid w:val="002906CC"/>
    <w:rsid w:val="0029235E"/>
    <w:rsid w:val="002960BD"/>
    <w:rsid w:val="0029705B"/>
    <w:rsid w:val="002A09CE"/>
    <w:rsid w:val="002A0B6B"/>
    <w:rsid w:val="002A2249"/>
    <w:rsid w:val="002A5037"/>
    <w:rsid w:val="002A6579"/>
    <w:rsid w:val="002B7453"/>
    <w:rsid w:val="002C20D1"/>
    <w:rsid w:val="002C2A7E"/>
    <w:rsid w:val="002C4907"/>
    <w:rsid w:val="002C4AF9"/>
    <w:rsid w:val="002C5421"/>
    <w:rsid w:val="002C5847"/>
    <w:rsid w:val="002C59D7"/>
    <w:rsid w:val="002C7092"/>
    <w:rsid w:val="002C735C"/>
    <w:rsid w:val="002D2A0A"/>
    <w:rsid w:val="002E037D"/>
    <w:rsid w:val="002E0C30"/>
    <w:rsid w:val="002E13BC"/>
    <w:rsid w:val="002E6D30"/>
    <w:rsid w:val="002E7CD9"/>
    <w:rsid w:val="002F1039"/>
    <w:rsid w:val="002F1D42"/>
    <w:rsid w:val="002F2E52"/>
    <w:rsid w:val="002F6658"/>
    <w:rsid w:val="002F6A9D"/>
    <w:rsid w:val="003004BF"/>
    <w:rsid w:val="00305729"/>
    <w:rsid w:val="003058A8"/>
    <w:rsid w:val="00307398"/>
    <w:rsid w:val="00310CE6"/>
    <w:rsid w:val="00311D8B"/>
    <w:rsid w:val="00314A7F"/>
    <w:rsid w:val="00317481"/>
    <w:rsid w:val="00321DAB"/>
    <w:rsid w:val="00322155"/>
    <w:rsid w:val="00322869"/>
    <w:rsid w:val="00325490"/>
    <w:rsid w:val="00330AE1"/>
    <w:rsid w:val="00332878"/>
    <w:rsid w:val="003333EE"/>
    <w:rsid w:val="003349C9"/>
    <w:rsid w:val="00335B91"/>
    <w:rsid w:val="00336A90"/>
    <w:rsid w:val="003377E8"/>
    <w:rsid w:val="00342188"/>
    <w:rsid w:val="00344701"/>
    <w:rsid w:val="00344803"/>
    <w:rsid w:val="0034492A"/>
    <w:rsid w:val="00346FFE"/>
    <w:rsid w:val="00352140"/>
    <w:rsid w:val="0035238C"/>
    <w:rsid w:val="00354017"/>
    <w:rsid w:val="0035563D"/>
    <w:rsid w:val="003559AB"/>
    <w:rsid w:val="00355DAA"/>
    <w:rsid w:val="00356BAF"/>
    <w:rsid w:val="0036088B"/>
    <w:rsid w:val="00363BC9"/>
    <w:rsid w:val="00364FD9"/>
    <w:rsid w:val="0037198B"/>
    <w:rsid w:val="00374ADC"/>
    <w:rsid w:val="003756B8"/>
    <w:rsid w:val="00383DDA"/>
    <w:rsid w:val="0038426B"/>
    <w:rsid w:val="0038491E"/>
    <w:rsid w:val="00384D95"/>
    <w:rsid w:val="003862B4"/>
    <w:rsid w:val="00386E53"/>
    <w:rsid w:val="003939C7"/>
    <w:rsid w:val="00394116"/>
    <w:rsid w:val="0039516A"/>
    <w:rsid w:val="00395E39"/>
    <w:rsid w:val="00395F32"/>
    <w:rsid w:val="00396FCE"/>
    <w:rsid w:val="00397284"/>
    <w:rsid w:val="003A0173"/>
    <w:rsid w:val="003A073E"/>
    <w:rsid w:val="003A0A0C"/>
    <w:rsid w:val="003A2EA5"/>
    <w:rsid w:val="003A3260"/>
    <w:rsid w:val="003A4653"/>
    <w:rsid w:val="003A4DF3"/>
    <w:rsid w:val="003A60AB"/>
    <w:rsid w:val="003A634F"/>
    <w:rsid w:val="003B0A83"/>
    <w:rsid w:val="003B21F0"/>
    <w:rsid w:val="003B2CDF"/>
    <w:rsid w:val="003B3BFB"/>
    <w:rsid w:val="003B3E53"/>
    <w:rsid w:val="003B4BED"/>
    <w:rsid w:val="003B4EA0"/>
    <w:rsid w:val="003B531C"/>
    <w:rsid w:val="003B67BB"/>
    <w:rsid w:val="003C2245"/>
    <w:rsid w:val="003C22B5"/>
    <w:rsid w:val="003C2741"/>
    <w:rsid w:val="003C3D89"/>
    <w:rsid w:val="003C6123"/>
    <w:rsid w:val="003C6EA0"/>
    <w:rsid w:val="003D0192"/>
    <w:rsid w:val="003D3922"/>
    <w:rsid w:val="003D45EA"/>
    <w:rsid w:val="003D547F"/>
    <w:rsid w:val="003D5C26"/>
    <w:rsid w:val="003E2B48"/>
    <w:rsid w:val="003E4D3E"/>
    <w:rsid w:val="003E5124"/>
    <w:rsid w:val="003E54CD"/>
    <w:rsid w:val="003E578C"/>
    <w:rsid w:val="003E5810"/>
    <w:rsid w:val="003E5F89"/>
    <w:rsid w:val="003F3604"/>
    <w:rsid w:val="003F52E7"/>
    <w:rsid w:val="00406434"/>
    <w:rsid w:val="00406F25"/>
    <w:rsid w:val="00410C9F"/>
    <w:rsid w:val="00417332"/>
    <w:rsid w:val="00420483"/>
    <w:rsid w:val="0042309C"/>
    <w:rsid w:val="00423241"/>
    <w:rsid w:val="00423A03"/>
    <w:rsid w:val="00423DE6"/>
    <w:rsid w:val="00424AFB"/>
    <w:rsid w:val="00427577"/>
    <w:rsid w:val="00427A26"/>
    <w:rsid w:val="00433503"/>
    <w:rsid w:val="004357CE"/>
    <w:rsid w:val="0044034D"/>
    <w:rsid w:val="004403C4"/>
    <w:rsid w:val="00441064"/>
    <w:rsid w:val="00441939"/>
    <w:rsid w:val="004423E3"/>
    <w:rsid w:val="004438F1"/>
    <w:rsid w:val="00444C93"/>
    <w:rsid w:val="00446370"/>
    <w:rsid w:val="00446691"/>
    <w:rsid w:val="00446D9C"/>
    <w:rsid w:val="00450537"/>
    <w:rsid w:val="0045273D"/>
    <w:rsid w:val="00452E2C"/>
    <w:rsid w:val="00454FF6"/>
    <w:rsid w:val="00460FE7"/>
    <w:rsid w:val="00461A21"/>
    <w:rsid w:val="00462BD1"/>
    <w:rsid w:val="0046391D"/>
    <w:rsid w:val="004643B9"/>
    <w:rsid w:val="00465569"/>
    <w:rsid w:val="00467C3F"/>
    <w:rsid w:val="004718ED"/>
    <w:rsid w:val="0047248B"/>
    <w:rsid w:val="004747C9"/>
    <w:rsid w:val="0047574B"/>
    <w:rsid w:val="0047638C"/>
    <w:rsid w:val="00483010"/>
    <w:rsid w:val="00487959"/>
    <w:rsid w:val="004912D2"/>
    <w:rsid w:val="0049243D"/>
    <w:rsid w:val="00493544"/>
    <w:rsid w:val="00493753"/>
    <w:rsid w:val="00493E89"/>
    <w:rsid w:val="004951E1"/>
    <w:rsid w:val="004A08DA"/>
    <w:rsid w:val="004A0EFF"/>
    <w:rsid w:val="004A3C3B"/>
    <w:rsid w:val="004A771A"/>
    <w:rsid w:val="004B06D1"/>
    <w:rsid w:val="004B1B43"/>
    <w:rsid w:val="004B1BA4"/>
    <w:rsid w:val="004B29EF"/>
    <w:rsid w:val="004B7596"/>
    <w:rsid w:val="004C0DCD"/>
    <w:rsid w:val="004C2007"/>
    <w:rsid w:val="004C393E"/>
    <w:rsid w:val="004D011C"/>
    <w:rsid w:val="004D0ED6"/>
    <w:rsid w:val="004D3BAE"/>
    <w:rsid w:val="004D5C98"/>
    <w:rsid w:val="004D5CE1"/>
    <w:rsid w:val="004D6D76"/>
    <w:rsid w:val="004D7B48"/>
    <w:rsid w:val="004D7BBF"/>
    <w:rsid w:val="004E1AB4"/>
    <w:rsid w:val="004E2452"/>
    <w:rsid w:val="004E406D"/>
    <w:rsid w:val="004E4C99"/>
    <w:rsid w:val="004E6286"/>
    <w:rsid w:val="004E6491"/>
    <w:rsid w:val="004E72CB"/>
    <w:rsid w:val="004F494F"/>
    <w:rsid w:val="004F7090"/>
    <w:rsid w:val="00500555"/>
    <w:rsid w:val="0050101A"/>
    <w:rsid w:val="00503B0B"/>
    <w:rsid w:val="005102E2"/>
    <w:rsid w:val="005124CD"/>
    <w:rsid w:val="005125A1"/>
    <w:rsid w:val="005252CE"/>
    <w:rsid w:val="00525D24"/>
    <w:rsid w:val="005275F7"/>
    <w:rsid w:val="005310FA"/>
    <w:rsid w:val="00531D75"/>
    <w:rsid w:val="00531E2B"/>
    <w:rsid w:val="00532478"/>
    <w:rsid w:val="00532C95"/>
    <w:rsid w:val="00532D81"/>
    <w:rsid w:val="005335C0"/>
    <w:rsid w:val="005364D7"/>
    <w:rsid w:val="00540515"/>
    <w:rsid w:val="00540A55"/>
    <w:rsid w:val="00542B5F"/>
    <w:rsid w:val="00542CC9"/>
    <w:rsid w:val="00542D30"/>
    <w:rsid w:val="005476C0"/>
    <w:rsid w:val="0055033A"/>
    <w:rsid w:val="0055194F"/>
    <w:rsid w:val="00552F13"/>
    <w:rsid w:val="00553F89"/>
    <w:rsid w:val="00553FEF"/>
    <w:rsid w:val="0056154D"/>
    <w:rsid w:val="00563406"/>
    <w:rsid w:val="0056394B"/>
    <w:rsid w:val="005641A3"/>
    <w:rsid w:val="0056581A"/>
    <w:rsid w:val="00565CBC"/>
    <w:rsid w:val="005663C4"/>
    <w:rsid w:val="00570371"/>
    <w:rsid w:val="00571230"/>
    <w:rsid w:val="00572238"/>
    <w:rsid w:val="0057284B"/>
    <w:rsid w:val="00575968"/>
    <w:rsid w:val="0057610D"/>
    <w:rsid w:val="00580B8F"/>
    <w:rsid w:val="00583788"/>
    <w:rsid w:val="005838E1"/>
    <w:rsid w:val="00583D0F"/>
    <w:rsid w:val="00584125"/>
    <w:rsid w:val="00585151"/>
    <w:rsid w:val="00593732"/>
    <w:rsid w:val="0059391B"/>
    <w:rsid w:val="00593AD9"/>
    <w:rsid w:val="00593BF0"/>
    <w:rsid w:val="00593EBF"/>
    <w:rsid w:val="005A11EE"/>
    <w:rsid w:val="005A1564"/>
    <w:rsid w:val="005B6AC1"/>
    <w:rsid w:val="005B74EC"/>
    <w:rsid w:val="005C0BC2"/>
    <w:rsid w:val="005C110D"/>
    <w:rsid w:val="005C1C87"/>
    <w:rsid w:val="005C6217"/>
    <w:rsid w:val="005C6BB9"/>
    <w:rsid w:val="005D1DFE"/>
    <w:rsid w:val="005D4333"/>
    <w:rsid w:val="005D50AA"/>
    <w:rsid w:val="005D7882"/>
    <w:rsid w:val="005D7E97"/>
    <w:rsid w:val="005D7EDA"/>
    <w:rsid w:val="005E1CA4"/>
    <w:rsid w:val="005E75A2"/>
    <w:rsid w:val="005F3D5F"/>
    <w:rsid w:val="005F4FAC"/>
    <w:rsid w:val="005F757C"/>
    <w:rsid w:val="00601209"/>
    <w:rsid w:val="00601CFD"/>
    <w:rsid w:val="00602B0D"/>
    <w:rsid w:val="00603266"/>
    <w:rsid w:val="00605688"/>
    <w:rsid w:val="006155BE"/>
    <w:rsid w:val="006201A9"/>
    <w:rsid w:val="00625C55"/>
    <w:rsid w:val="006305B7"/>
    <w:rsid w:val="00631554"/>
    <w:rsid w:val="00634A05"/>
    <w:rsid w:val="0063517C"/>
    <w:rsid w:val="00640213"/>
    <w:rsid w:val="006407D7"/>
    <w:rsid w:val="00641476"/>
    <w:rsid w:val="00641607"/>
    <w:rsid w:val="00642BCD"/>
    <w:rsid w:val="00642CE8"/>
    <w:rsid w:val="00652CF8"/>
    <w:rsid w:val="00655E38"/>
    <w:rsid w:val="0066026C"/>
    <w:rsid w:val="0066051B"/>
    <w:rsid w:val="0066166E"/>
    <w:rsid w:val="00666157"/>
    <w:rsid w:val="006662DC"/>
    <w:rsid w:val="00666AAF"/>
    <w:rsid w:val="006719EC"/>
    <w:rsid w:val="0067249A"/>
    <w:rsid w:val="0067614C"/>
    <w:rsid w:val="00684CFD"/>
    <w:rsid w:val="006877BA"/>
    <w:rsid w:val="00690D36"/>
    <w:rsid w:val="00691938"/>
    <w:rsid w:val="00692CF5"/>
    <w:rsid w:val="00697BF5"/>
    <w:rsid w:val="006A029E"/>
    <w:rsid w:val="006A0743"/>
    <w:rsid w:val="006A1B46"/>
    <w:rsid w:val="006A31C3"/>
    <w:rsid w:val="006A580B"/>
    <w:rsid w:val="006A7316"/>
    <w:rsid w:val="006B1124"/>
    <w:rsid w:val="006B3FB0"/>
    <w:rsid w:val="006B43C4"/>
    <w:rsid w:val="006C1E1F"/>
    <w:rsid w:val="006C2F78"/>
    <w:rsid w:val="006D4230"/>
    <w:rsid w:val="006D599B"/>
    <w:rsid w:val="006D6E71"/>
    <w:rsid w:val="006E0ADC"/>
    <w:rsid w:val="006E1B94"/>
    <w:rsid w:val="006E1E76"/>
    <w:rsid w:val="006E4607"/>
    <w:rsid w:val="006E5C9D"/>
    <w:rsid w:val="006E60E3"/>
    <w:rsid w:val="006E6C8A"/>
    <w:rsid w:val="006F1516"/>
    <w:rsid w:val="006F3E60"/>
    <w:rsid w:val="006F4BE5"/>
    <w:rsid w:val="006F6943"/>
    <w:rsid w:val="006F7E8D"/>
    <w:rsid w:val="006F7F65"/>
    <w:rsid w:val="00704D34"/>
    <w:rsid w:val="007111AF"/>
    <w:rsid w:val="00711E39"/>
    <w:rsid w:val="007122F6"/>
    <w:rsid w:val="00713F0F"/>
    <w:rsid w:val="00714936"/>
    <w:rsid w:val="007167DE"/>
    <w:rsid w:val="00717011"/>
    <w:rsid w:val="007207DF"/>
    <w:rsid w:val="00724E48"/>
    <w:rsid w:val="00725544"/>
    <w:rsid w:val="00727287"/>
    <w:rsid w:val="007350FB"/>
    <w:rsid w:val="00736262"/>
    <w:rsid w:val="007403CD"/>
    <w:rsid w:val="0074137E"/>
    <w:rsid w:val="007414A5"/>
    <w:rsid w:val="00741CC2"/>
    <w:rsid w:val="00742FB9"/>
    <w:rsid w:val="00743B20"/>
    <w:rsid w:val="00746146"/>
    <w:rsid w:val="007476A4"/>
    <w:rsid w:val="00752570"/>
    <w:rsid w:val="007530B8"/>
    <w:rsid w:val="007577B2"/>
    <w:rsid w:val="007614E0"/>
    <w:rsid w:val="0076599F"/>
    <w:rsid w:val="007669DC"/>
    <w:rsid w:val="007679CE"/>
    <w:rsid w:val="00770409"/>
    <w:rsid w:val="007747E1"/>
    <w:rsid w:val="0077567F"/>
    <w:rsid w:val="007773AC"/>
    <w:rsid w:val="00781BE6"/>
    <w:rsid w:val="00782D90"/>
    <w:rsid w:val="007839F1"/>
    <w:rsid w:val="00786028"/>
    <w:rsid w:val="00786DA5"/>
    <w:rsid w:val="00790092"/>
    <w:rsid w:val="00791E81"/>
    <w:rsid w:val="00795E7B"/>
    <w:rsid w:val="00796829"/>
    <w:rsid w:val="007A127B"/>
    <w:rsid w:val="007A2B25"/>
    <w:rsid w:val="007A351E"/>
    <w:rsid w:val="007B0021"/>
    <w:rsid w:val="007B08BF"/>
    <w:rsid w:val="007B17E9"/>
    <w:rsid w:val="007B1A18"/>
    <w:rsid w:val="007B4527"/>
    <w:rsid w:val="007B4E33"/>
    <w:rsid w:val="007B7DE2"/>
    <w:rsid w:val="007C0390"/>
    <w:rsid w:val="007C4F03"/>
    <w:rsid w:val="007C5D43"/>
    <w:rsid w:val="007C6588"/>
    <w:rsid w:val="007C683C"/>
    <w:rsid w:val="007D3B76"/>
    <w:rsid w:val="007D49B8"/>
    <w:rsid w:val="007D5A97"/>
    <w:rsid w:val="007D65E1"/>
    <w:rsid w:val="007E04FF"/>
    <w:rsid w:val="007E0FA3"/>
    <w:rsid w:val="007E3351"/>
    <w:rsid w:val="007E5C0F"/>
    <w:rsid w:val="007E60D5"/>
    <w:rsid w:val="007F4DCB"/>
    <w:rsid w:val="007F5818"/>
    <w:rsid w:val="007F7878"/>
    <w:rsid w:val="008036B9"/>
    <w:rsid w:val="00807335"/>
    <w:rsid w:val="00811F59"/>
    <w:rsid w:val="008131F9"/>
    <w:rsid w:val="00817B53"/>
    <w:rsid w:val="008202F3"/>
    <w:rsid w:val="0082412C"/>
    <w:rsid w:val="00824400"/>
    <w:rsid w:val="00827AEF"/>
    <w:rsid w:val="00830F0D"/>
    <w:rsid w:val="008341A9"/>
    <w:rsid w:val="008412C1"/>
    <w:rsid w:val="00847368"/>
    <w:rsid w:val="00851553"/>
    <w:rsid w:val="00857E54"/>
    <w:rsid w:val="00860E3D"/>
    <w:rsid w:val="00862C96"/>
    <w:rsid w:val="00862FCF"/>
    <w:rsid w:val="008643B0"/>
    <w:rsid w:val="0086691C"/>
    <w:rsid w:val="008671A9"/>
    <w:rsid w:val="008710E6"/>
    <w:rsid w:val="008765E8"/>
    <w:rsid w:val="008772EA"/>
    <w:rsid w:val="008807C7"/>
    <w:rsid w:val="008850D6"/>
    <w:rsid w:val="0088572D"/>
    <w:rsid w:val="008863DB"/>
    <w:rsid w:val="0088641E"/>
    <w:rsid w:val="00891FD6"/>
    <w:rsid w:val="00896646"/>
    <w:rsid w:val="008A09B8"/>
    <w:rsid w:val="008A303F"/>
    <w:rsid w:val="008A3A90"/>
    <w:rsid w:val="008A3D57"/>
    <w:rsid w:val="008A401A"/>
    <w:rsid w:val="008A5038"/>
    <w:rsid w:val="008A5E1F"/>
    <w:rsid w:val="008A65A5"/>
    <w:rsid w:val="008A700D"/>
    <w:rsid w:val="008A7F0F"/>
    <w:rsid w:val="008B3560"/>
    <w:rsid w:val="008B41F6"/>
    <w:rsid w:val="008B4FEA"/>
    <w:rsid w:val="008B509B"/>
    <w:rsid w:val="008B5A4A"/>
    <w:rsid w:val="008B5F61"/>
    <w:rsid w:val="008B66B3"/>
    <w:rsid w:val="008C3835"/>
    <w:rsid w:val="008C70D1"/>
    <w:rsid w:val="008D051E"/>
    <w:rsid w:val="008D3109"/>
    <w:rsid w:val="008D4FE6"/>
    <w:rsid w:val="008D6F4B"/>
    <w:rsid w:val="008E3EC0"/>
    <w:rsid w:val="008E4B1D"/>
    <w:rsid w:val="008E79B3"/>
    <w:rsid w:val="008F3967"/>
    <w:rsid w:val="008F794B"/>
    <w:rsid w:val="008F7BBB"/>
    <w:rsid w:val="009015CD"/>
    <w:rsid w:val="009063D5"/>
    <w:rsid w:val="00906A7E"/>
    <w:rsid w:val="00907B10"/>
    <w:rsid w:val="009124C0"/>
    <w:rsid w:val="009125DC"/>
    <w:rsid w:val="0091264D"/>
    <w:rsid w:val="009131FA"/>
    <w:rsid w:val="0091356D"/>
    <w:rsid w:val="009168ED"/>
    <w:rsid w:val="009228A3"/>
    <w:rsid w:val="00926188"/>
    <w:rsid w:val="00927413"/>
    <w:rsid w:val="009306A6"/>
    <w:rsid w:val="009306D3"/>
    <w:rsid w:val="009364F0"/>
    <w:rsid w:val="00937CD4"/>
    <w:rsid w:val="00940BDB"/>
    <w:rsid w:val="009414F6"/>
    <w:rsid w:val="00945CDE"/>
    <w:rsid w:val="00945E2D"/>
    <w:rsid w:val="009470EB"/>
    <w:rsid w:val="00950E71"/>
    <w:rsid w:val="0095144E"/>
    <w:rsid w:val="009528B3"/>
    <w:rsid w:val="00953D2F"/>
    <w:rsid w:val="0095421F"/>
    <w:rsid w:val="009550A2"/>
    <w:rsid w:val="009563D4"/>
    <w:rsid w:val="00956888"/>
    <w:rsid w:val="00956912"/>
    <w:rsid w:val="00962D51"/>
    <w:rsid w:val="00962D99"/>
    <w:rsid w:val="00964748"/>
    <w:rsid w:val="0096611E"/>
    <w:rsid w:val="00966841"/>
    <w:rsid w:val="00966F56"/>
    <w:rsid w:val="00967266"/>
    <w:rsid w:val="00967BE6"/>
    <w:rsid w:val="00967C0E"/>
    <w:rsid w:val="00967D74"/>
    <w:rsid w:val="00967F17"/>
    <w:rsid w:val="00970F67"/>
    <w:rsid w:val="009727CF"/>
    <w:rsid w:val="0097351C"/>
    <w:rsid w:val="0097454A"/>
    <w:rsid w:val="00974E1A"/>
    <w:rsid w:val="009754AE"/>
    <w:rsid w:val="00976EAC"/>
    <w:rsid w:val="009774BD"/>
    <w:rsid w:val="009778A4"/>
    <w:rsid w:val="009815B7"/>
    <w:rsid w:val="00987A6E"/>
    <w:rsid w:val="009904E3"/>
    <w:rsid w:val="00992663"/>
    <w:rsid w:val="00992D80"/>
    <w:rsid w:val="00993C27"/>
    <w:rsid w:val="00994357"/>
    <w:rsid w:val="009950F5"/>
    <w:rsid w:val="009961AE"/>
    <w:rsid w:val="009A0BD2"/>
    <w:rsid w:val="009A25E5"/>
    <w:rsid w:val="009A58E7"/>
    <w:rsid w:val="009A5AAA"/>
    <w:rsid w:val="009A5B3C"/>
    <w:rsid w:val="009A693D"/>
    <w:rsid w:val="009B308F"/>
    <w:rsid w:val="009B41A3"/>
    <w:rsid w:val="009B633E"/>
    <w:rsid w:val="009C2A3D"/>
    <w:rsid w:val="009C6832"/>
    <w:rsid w:val="009C6F21"/>
    <w:rsid w:val="009C7DAD"/>
    <w:rsid w:val="009D0987"/>
    <w:rsid w:val="009D0A50"/>
    <w:rsid w:val="009D12F9"/>
    <w:rsid w:val="009D2DDA"/>
    <w:rsid w:val="009D6D45"/>
    <w:rsid w:val="009E25E4"/>
    <w:rsid w:val="009E28CB"/>
    <w:rsid w:val="009E3601"/>
    <w:rsid w:val="009E565A"/>
    <w:rsid w:val="009F4875"/>
    <w:rsid w:val="009F530E"/>
    <w:rsid w:val="009F540F"/>
    <w:rsid w:val="009F58DB"/>
    <w:rsid w:val="009F5991"/>
    <w:rsid w:val="00A04D92"/>
    <w:rsid w:val="00A04E91"/>
    <w:rsid w:val="00A052E0"/>
    <w:rsid w:val="00A061AF"/>
    <w:rsid w:val="00A103CF"/>
    <w:rsid w:val="00A12797"/>
    <w:rsid w:val="00A139E7"/>
    <w:rsid w:val="00A13D67"/>
    <w:rsid w:val="00A15043"/>
    <w:rsid w:val="00A1506E"/>
    <w:rsid w:val="00A16A2C"/>
    <w:rsid w:val="00A2154B"/>
    <w:rsid w:val="00A218DA"/>
    <w:rsid w:val="00A22653"/>
    <w:rsid w:val="00A249D5"/>
    <w:rsid w:val="00A26E1A"/>
    <w:rsid w:val="00A30F8C"/>
    <w:rsid w:val="00A33947"/>
    <w:rsid w:val="00A344D2"/>
    <w:rsid w:val="00A34C4D"/>
    <w:rsid w:val="00A35247"/>
    <w:rsid w:val="00A35B54"/>
    <w:rsid w:val="00A374E1"/>
    <w:rsid w:val="00A40CBD"/>
    <w:rsid w:val="00A41270"/>
    <w:rsid w:val="00A442C4"/>
    <w:rsid w:val="00A44484"/>
    <w:rsid w:val="00A47438"/>
    <w:rsid w:val="00A50268"/>
    <w:rsid w:val="00A513B0"/>
    <w:rsid w:val="00A5281E"/>
    <w:rsid w:val="00A575FB"/>
    <w:rsid w:val="00A627A5"/>
    <w:rsid w:val="00A627FC"/>
    <w:rsid w:val="00A62D1E"/>
    <w:rsid w:val="00A63A72"/>
    <w:rsid w:val="00A64C15"/>
    <w:rsid w:val="00A7299C"/>
    <w:rsid w:val="00A819FF"/>
    <w:rsid w:val="00A84AAE"/>
    <w:rsid w:val="00A86CA9"/>
    <w:rsid w:val="00A86D78"/>
    <w:rsid w:val="00A86FB2"/>
    <w:rsid w:val="00A90310"/>
    <w:rsid w:val="00A90B77"/>
    <w:rsid w:val="00A914EC"/>
    <w:rsid w:val="00A92000"/>
    <w:rsid w:val="00A9347D"/>
    <w:rsid w:val="00A9353E"/>
    <w:rsid w:val="00A93ECA"/>
    <w:rsid w:val="00A9590F"/>
    <w:rsid w:val="00A95C7E"/>
    <w:rsid w:val="00AA1EED"/>
    <w:rsid w:val="00AA3311"/>
    <w:rsid w:val="00AA478C"/>
    <w:rsid w:val="00AA4AEA"/>
    <w:rsid w:val="00AA6F58"/>
    <w:rsid w:val="00AB33F7"/>
    <w:rsid w:val="00AB37A9"/>
    <w:rsid w:val="00AB659D"/>
    <w:rsid w:val="00AC2F73"/>
    <w:rsid w:val="00AC49B5"/>
    <w:rsid w:val="00AC4B34"/>
    <w:rsid w:val="00AC4DFB"/>
    <w:rsid w:val="00AC5A02"/>
    <w:rsid w:val="00AC6679"/>
    <w:rsid w:val="00AC672E"/>
    <w:rsid w:val="00AC7789"/>
    <w:rsid w:val="00AD228D"/>
    <w:rsid w:val="00AD6713"/>
    <w:rsid w:val="00AD6AD0"/>
    <w:rsid w:val="00AD76A1"/>
    <w:rsid w:val="00AD795D"/>
    <w:rsid w:val="00AE1944"/>
    <w:rsid w:val="00AE3CDA"/>
    <w:rsid w:val="00AE4A80"/>
    <w:rsid w:val="00AE72B6"/>
    <w:rsid w:val="00AF2E60"/>
    <w:rsid w:val="00AF4190"/>
    <w:rsid w:val="00AF4AA5"/>
    <w:rsid w:val="00AF5CFF"/>
    <w:rsid w:val="00AF6727"/>
    <w:rsid w:val="00AF7D33"/>
    <w:rsid w:val="00AF7FD0"/>
    <w:rsid w:val="00B008D3"/>
    <w:rsid w:val="00B009FE"/>
    <w:rsid w:val="00B04F04"/>
    <w:rsid w:val="00B07B31"/>
    <w:rsid w:val="00B07E4B"/>
    <w:rsid w:val="00B10B85"/>
    <w:rsid w:val="00B11A59"/>
    <w:rsid w:val="00B148E5"/>
    <w:rsid w:val="00B16822"/>
    <w:rsid w:val="00B16B4E"/>
    <w:rsid w:val="00B21A9C"/>
    <w:rsid w:val="00B2471C"/>
    <w:rsid w:val="00B34009"/>
    <w:rsid w:val="00B355D9"/>
    <w:rsid w:val="00B435CF"/>
    <w:rsid w:val="00B450D8"/>
    <w:rsid w:val="00B45E6F"/>
    <w:rsid w:val="00B5327A"/>
    <w:rsid w:val="00B53BB3"/>
    <w:rsid w:val="00B541BA"/>
    <w:rsid w:val="00B55097"/>
    <w:rsid w:val="00B56A27"/>
    <w:rsid w:val="00B57278"/>
    <w:rsid w:val="00B573EC"/>
    <w:rsid w:val="00B623BF"/>
    <w:rsid w:val="00B62407"/>
    <w:rsid w:val="00B625AC"/>
    <w:rsid w:val="00B6374D"/>
    <w:rsid w:val="00B647C8"/>
    <w:rsid w:val="00B64F48"/>
    <w:rsid w:val="00B65E35"/>
    <w:rsid w:val="00B7596C"/>
    <w:rsid w:val="00B76831"/>
    <w:rsid w:val="00B76DC7"/>
    <w:rsid w:val="00B8349F"/>
    <w:rsid w:val="00B83B89"/>
    <w:rsid w:val="00B86007"/>
    <w:rsid w:val="00B8712E"/>
    <w:rsid w:val="00B945E2"/>
    <w:rsid w:val="00B959AD"/>
    <w:rsid w:val="00BA087F"/>
    <w:rsid w:val="00BA2D78"/>
    <w:rsid w:val="00BA444B"/>
    <w:rsid w:val="00BA56F1"/>
    <w:rsid w:val="00BA6E6C"/>
    <w:rsid w:val="00BA7EC0"/>
    <w:rsid w:val="00BB0851"/>
    <w:rsid w:val="00BB23A6"/>
    <w:rsid w:val="00BB6124"/>
    <w:rsid w:val="00BC1133"/>
    <w:rsid w:val="00BC12CB"/>
    <w:rsid w:val="00BC3785"/>
    <w:rsid w:val="00BC4A6F"/>
    <w:rsid w:val="00BC6044"/>
    <w:rsid w:val="00BC70E3"/>
    <w:rsid w:val="00BD4E32"/>
    <w:rsid w:val="00BD6D46"/>
    <w:rsid w:val="00BD7225"/>
    <w:rsid w:val="00BD7F81"/>
    <w:rsid w:val="00BE024F"/>
    <w:rsid w:val="00BF4126"/>
    <w:rsid w:val="00BF53AD"/>
    <w:rsid w:val="00BF6126"/>
    <w:rsid w:val="00BF6441"/>
    <w:rsid w:val="00BF6828"/>
    <w:rsid w:val="00C00E3B"/>
    <w:rsid w:val="00C0259A"/>
    <w:rsid w:val="00C068A6"/>
    <w:rsid w:val="00C133ED"/>
    <w:rsid w:val="00C1502A"/>
    <w:rsid w:val="00C15AD8"/>
    <w:rsid w:val="00C177AA"/>
    <w:rsid w:val="00C17A77"/>
    <w:rsid w:val="00C21D8D"/>
    <w:rsid w:val="00C26256"/>
    <w:rsid w:val="00C265A3"/>
    <w:rsid w:val="00C26D04"/>
    <w:rsid w:val="00C26FE2"/>
    <w:rsid w:val="00C275C5"/>
    <w:rsid w:val="00C27619"/>
    <w:rsid w:val="00C27F72"/>
    <w:rsid w:val="00C3380F"/>
    <w:rsid w:val="00C351B9"/>
    <w:rsid w:val="00C3536F"/>
    <w:rsid w:val="00C36EA2"/>
    <w:rsid w:val="00C375A2"/>
    <w:rsid w:val="00C40A07"/>
    <w:rsid w:val="00C40D75"/>
    <w:rsid w:val="00C410EC"/>
    <w:rsid w:val="00C4132E"/>
    <w:rsid w:val="00C425E2"/>
    <w:rsid w:val="00C426B5"/>
    <w:rsid w:val="00C42E49"/>
    <w:rsid w:val="00C43AD2"/>
    <w:rsid w:val="00C45B65"/>
    <w:rsid w:val="00C52CA7"/>
    <w:rsid w:val="00C54A50"/>
    <w:rsid w:val="00C60107"/>
    <w:rsid w:val="00C62BCE"/>
    <w:rsid w:val="00C64251"/>
    <w:rsid w:val="00C662AF"/>
    <w:rsid w:val="00C714D4"/>
    <w:rsid w:val="00C75356"/>
    <w:rsid w:val="00C76042"/>
    <w:rsid w:val="00C767FF"/>
    <w:rsid w:val="00C77CAD"/>
    <w:rsid w:val="00C82AAE"/>
    <w:rsid w:val="00C8367B"/>
    <w:rsid w:val="00C83A32"/>
    <w:rsid w:val="00C8524B"/>
    <w:rsid w:val="00C86610"/>
    <w:rsid w:val="00C90D1D"/>
    <w:rsid w:val="00C90ED7"/>
    <w:rsid w:val="00C9249F"/>
    <w:rsid w:val="00C94BB7"/>
    <w:rsid w:val="00CA1E5F"/>
    <w:rsid w:val="00CA2597"/>
    <w:rsid w:val="00CA3B04"/>
    <w:rsid w:val="00CA69E5"/>
    <w:rsid w:val="00CA6E98"/>
    <w:rsid w:val="00CB0DBE"/>
    <w:rsid w:val="00CB1A21"/>
    <w:rsid w:val="00CB6389"/>
    <w:rsid w:val="00CB74F0"/>
    <w:rsid w:val="00CC0032"/>
    <w:rsid w:val="00CC1A7B"/>
    <w:rsid w:val="00CC4277"/>
    <w:rsid w:val="00CD0DA2"/>
    <w:rsid w:val="00CD629E"/>
    <w:rsid w:val="00CD7EDF"/>
    <w:rsid w:val="00CE0651"/>
    <w:rsid w:val="00CE1F98"/>
    <w:rsid w:val="00CE2273"/>
    <w:rsid w:val="00CE22AC"/>
    <w:rsid w:val="00CE2770"/>
    <w:rsid w:val="00CE40CA"/>
    <w:rsid w:val="00CE6475"/>
    <w:rsid w:val="00CF0E9F"/>
    <w:rsid w:val="00CF2AF0"/>
    <w:rsid w:val="00CF2CD8"/>
    <w:rsid w:val="00CF4AAA"/>
    <w:rsid w:val="00CF5A1F"/>
    <w:rsid w:val="00CF7F6B"/>
    <w:rsid w:val="00D04A87"/>
    <w:rsid w:val="00D062D1"/>
    <w:rsid w:val="00D10850"/>
    <w:rsid w:val="00D12BA2"/>
    <w:rsid w:val="00D133EF"/>
    <w:rsid w:val="00D14119"/>
    <w:rsid w:val="00D148DD"/>
    <w:rsid w:val="00D17AC1"/>
    <w:rsid w:val="00D21D50"/>
    <w:rsid w:val="00D22C24"/>
    <w:rsid w:val="00D23A20"/>
    <w:rsid w:val="00D246D6"/>
    <w:rsid w:val="00D26276"/>
    <w:rsid w:val="00D26FEC"/>
    <w:rsid w:val="00D3028A"/>
    <w:rsid w:val="00D31CEE"/>
    <w:rsid w:val="00D3288F"/>
    <w:rsid w:val="00D33EB3"/>
    <w:rsid w:val="00D35F1F"/>
    <w:rsid w:val="00D404DE"/>
    <w:rsid w:val="00D41B5E"/>
    <w:rsid w:val="00D44756"/>
    <w:rsid w:val="00D45150"/>
    <w:rsid w:val="00D4626D"/>
    <w:rsid w:val="00D46822"/>
    <w:rsid w:val="00D47F4F"/>
    <w:rsid w:val="00D511A6"/>
    <w:rsid w:val="00D51B3E"/>
    <w:rsid w:val="00D523DD"/>
    <w:rsid w:val="00D5296E"/>
    <w:rsid w:val="00D53AF4"/>
    <w:rsid w:val="00D56048"/>
    <w:rsid w:val="00D57688"/>
    <w:rsid w:val="00D6065B"/>
    <w:rsid w:val="00D6572B"/>
    <w:rsid w:val="00D67DD0"/>
    <w:rsid w:val="00D75673"/>
    <w:rsid w:val="00D756C1"/>
    <w:rsid w:val="00D80060"/>
    <w:rsid w:val="00D853E1"/>
    <w:rsid w:val="00D90007"/>
    <w:rsid w:val="00D90243"/>
    <w:rsid w:val="00D908ED"/>
    <w:rsid w:val="00D90927"/>
    <w:rsid w:val="00D920EB"/>
    <w:rsid w:val="00D95A0A"/>
    <w:rsid w:val="00D97300"/>
    <w:rsid w:val="00DA0ACC"/>
    <w:rsid w:val="00DA17B7"/>
    <w:rsid w:val="00DA2DE0"/>
    <w:rsid w:val="00DA2ED4"/>
    <w:rsid w:val="00DA3E09"/>
    <w:rsid w:val="00DA3E29"/>
    <w:rsid w:val="00DA6A3F"/>
    <w:rsid w:val="00DB1400"/>
    <w:rsid w:val="00DB1C15"/>
    <w:rsid w:val="00DB2872"/>
    <w:rsid w:val="00DB6E88"/>
    <w:rsid w:val="00DB7D0C"/>
    <w:rsid w:val="00DC05C0"/>
    <w:rsid w:val="00DC0ECE"/>
    <w:rsid w:val="00DC146A"/>
    <w:rsid w:val="00DC191D"/>
    <w:rsid w:val="00DC4955"/>
    <w:rsid w:val="00DC4AB9"/>
    <w:rsid w:val="00DC6FB0"/>
    <w:rsid w:val="00DC7F79"/>
    <w:rsid w:val="00DD17E0"/>
    <w:rsid w:val="00DD201B"/>
    <w:rsid w:val="00DD550F"/>
    <w:rsid w:val="00DD7EAE"/>
    <w:rsid w:val="00DE3381"/>
    <w:rsid w:val="00DE5842"/>
    <w:rsid w:val="00DF1038"/>
    <w:rsid w:val="00DF66E3"/>
    <w:rsid w:val="00DF6DC8"/>
    <w:rsid w:val="00DF7267"/>
    <w:rsid w:val="00E01344"/>
    <w:rsid w:val="00E0258E"/>
    <w:rsid w:val="00E040A3"/>
    <w:rsid w:val="00E042CB"/>
    <w:rsid w:val="00E04FC0"/>
    <w:rsid w:val="00E06387"/>
    <w:rsid w:val="00E06F2E"/>
    <w:rsid w:val="00E07AC2"/>
    <w:rsid w:val="00E10878"/>
    <w:rsid w:val="00E123A1"/>
    <w:rsid w:val="00E12457"/>
    <w:rsid w:val="00E20257"/>
    <w:rsid w:val="00E20C19"/>
    <w:rsid w:val="00E21431"/>
    <w:rsid w:val="00E22BD3"/>
    <w:rsid w:val="00E23916"/>
    <w:rsid w:val="00E23E51"/>
    <w:rsid w:val="00E244F3"/>
    <w:rsid w:val="00E25A9F"/>
    <w:rsid w:val="00E30356"/>
    <w:rsid w:val="00E3087D"/>
    <w:rsid w:val="00E31696"/>
    <w:rsid w:val="00E31C56"/>
    <w:rsid w:val="00E3539E"/>
    <w:rsid w:val="00E354B2"/>
    <w:rsid w:val="00E37BD3"/>
    <w:rsid w:val="00E401A6"/>
    <w:rsid w:val="00E44448"/>
    <w:rsid w:val="00E53CD8"/>
    <w:rsid w:val="00E564EA"/>
    <w:rsid w:val="00E62C1B"/>
    <w:rsid w:val="00E65423"/>
    <w:rsid w:val="00E67765"/>
    <w:rsid w:val="00E67938"/>
    <w:rsid w:val="00E67A5A"/>
    <w:rsid w:val="00E67CE1"/>
    <w:rsid w:val="00E706A0"/>
    <w:rsid w:val="00E707FE"/>
    <w:rsid w:val="00E70CFC"/>
    <w:rsid w:val="00E73EFB"/>
    <w:rsid w:val="00E771E4"/>
    <w:rsid w:val="00E77879"/>
    <w:rsid w:val="00E80EAC"/>
    <w:rsid w:val="00E81785"/>
    <w:rsid w:val="00E82DC4"/>
    <w:rsid w:val="00E834D0"/>
    <w:rsid w:val="00E85279"/>
    <w:rsid w:val="00E8551C"/>
    <w:rsid w:val="00E869C0"/>
    <w:rsid w:val="00E90A6B"/>
    <w:rsid w:val="00E93F8A"/>
    <w:rsid w:val="00E940C4"/>
    <w:rsid w:val="00E95717"/>
    <w:rsid w:val="00E96905"/>
    <w:rsid w:val="00EA0607"/>
    <w:rsid w:val="00EA263E"/>
    <w:rsid w:val="00EA36E7"/>
    <w:rsid w:val="00EA3890"/>
    <w:rsid w:val="00EA4AB2"/>
    <w:rsid w:val="00EA4B52"/>
    <w:rsid w:val="00EA67C2"/>
    <w:rsid w:val="00EB000E"/>
    <w:rsid w:val="00EB02F2"/>
    <w:rsid w:val="00EB1916"/>
    <w:rsid w:val="00EB1E40"/>
    <w:rsid w:val="00EB45BC"/>
    <w:rsid w:val="00EC3259"/>
    <w:rsid w:val="00EC3D46"/>
    <w:rsid w:val="00EC46DD"/>
    <w:rsid w:val="00EC4B9E"/>
    <w:rsid w:val="00EC61E9"/>
    <w:rsid w:val="00EC7AA2"/>
    <w:rsid w:val="00ED0F2E"/>
    <w:rsid w:val="00ED17D7"/>
    <w:rsid w:val="00ED2A71"/>
    <w:rsid w:val="00ED5EC5"/>
    <w:rsid w:val="00ED6C33"/>
    <w:rsid w:val="00ED73F0"/>
    <w:rsid w:val="00EE2635"/>
    <w:rsid w:val="00EE2CFD"/>
    <w:rsid w:val="00EE3F8E"/>
    <w:rsid w:val="00EE569F"/>
    <w:rsid w:val="00EF0091"/>
    <w:rsid w:val="00EF08CA"/>
    <w:rsid w:val="00EF1FD7"/>
    <w:rsid w:val="00EF1FF8"/>
    <w:rsid w:val="00EF4184"/>
    <w:rsid w:val="00EF53A7"/>
    <w:rsid w:val="00EF63CC"/>
    <w:rsid w:val="00F00EB5"/>
    <w:rsid w:val="00F02136"/>
    <w:rsid w:val="00F025AC"/>
    <w:rsid w:val="00F02AD1"/>
    <w:rsid w:val="00F03203"/>
    <w:rsid w:val="00F04FBB"/>
    <w:rsid w:val="00F05D25"/>
    <w:rsid w:val="00F065DE"/>
    <w:rsid w:val="00F06763"/>
    <w:rsid w:val="00F13A40"/>
    <w:rsid w:val="00F1564F"/>
    <w:rsid w:val="00F204DD"/>
    <w:rsid w:val="00F2056F"/>
    <w:rsid w:val="00F213DC"/>
    <w:rsid w:val="00F22950"/>
    <w:rsid w:val="00F248EB"/>
    <w:rsid w:val="00F25BB4"/>
    <w:rsid w:val="00F260A2"/>
    <w:rsid w:val="00F27091"/>
    <w:rsid w:val="00F326AB"/>
    <w:rsid w:val="00F362A1"/>
    <w:rsid w:val="00F362EC"/>
    <w:rsid w:val="00F3645F"/>
    <w:rsid w:val="00F41DA0"/>
    <w:rsid w:val="00F43428"/>
    <w:rsid w:val="00F4460B"/>
    <w:rsid w:val="00F46375"/>
    <w:rsid w:val="00F465D6"/>
    <w:rsid w:val="00F51EDE"/>
    <w:rsid w:val="00F5526A"/>
    <w:rsid w:val="00F60C4C"/>
    <w:rsid w:val="00F612FE"/>
    <w:rsid w:val="00F63836"/>
    <w:rsid w:val="00F63CAF"/>
    <w:rsid w:val="00F6413D"/>
    <w:rsid w:val="00F645D4"/>
    <w:rsid w:val="00F64F4D"/>
    <w:rsid w:val="00F6547E"/>
    <w:rsid w:val="00F65599"/>
    <w:rsid w:val="00F66BFA"/>
    <w:rsid w:val="00F66D63"/>
    <w:rsid w:val="00F71299"/>
    <w:rsid w:val="00F7638E"/>
    <w:rsid w:val="00F77BD7"/>
    <w:rsid w:val="00F80F55"/>
    <w:rsid w:val="00F83D86"/>
    <w:rsid w:val="00F85CDF"/>
    <w:rsid w:val="00F86B91"/>
    <w:rsid w:val="00F8763B"/>
    <w:rsid w:val="00F91A24"/>
    <w:rsid w:val="00F932A3"/>
    <w:rsid w:val="00F93CAD"/>
    <w:rsid w:val="00F96228"/>
    <w:rsid w:val="00FA0452"/>
    <w:rsid w:val="00FA0A4C"/>
    <w:rsid w:val="00FA372E"/>
    <w:rsid w:val="00FA554F"/>
    <w:rsid w:val="00FA6447"/>
    <w:rsid w:val="00FA64BD"/>
    <w:rsid w:val="00FA6625"/>
    <w:rsid w:val="00FB0FC8"/>
    <w:rsid w:val="00FB4E54"/>
    <w:rsid w:val="00FB55E8"/>
    <w:rsid w:val="00FC1575"/>
    <w:rsid w:val="00FC465F"/>
    <w:rsid w:val="00FD001E"/>
    <w:rsid w:val="00FD1630"/>
    <w:rsid w:val="00FD47E5"/>
    <w:rsid w:val="00FD5E5E"/>
    <w:rsid w:val="00FD6874"/>
    <w:rsid w:val="00FD6879"/>
    <w:rsid w:val="00FD7A40"/>
    <w:rsid w:val="00FD7CCF"/>
    <w:rsid w:val="00FE0BCB"/>
    <w:rsid w:val="00FE0C7D"/>
    <w:rsid w:val="00FE1664"/>
    <w:rsid w:val="00FE274F"/>
    <w:rsid w:val="00FE2F06"/>
    <w:rsid w:val="00FE2F7D"/>
    <w:rsid w:val="00FF13C9"/>
    <w:rsid w:val="00FF1D0A"/>
    <w:rsid w:val="00FF292C"/>
    <w:rsid w:val="00FF5682"/>
    <w:rsid w:val="00FF6A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1D7FB8C4-2E74-425D-A3CE-C3370541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80"/>
        <w:ind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C15"/>
  </w:style>
  <w:style w:type="paragraph" w:styleId="Heading1">
    <w:name w:val="heading 1"/>
    <w:aliases w:val=" Caracter"/>
    <w:basedOn w:val="Normal"/>
    <w:next w:val="Normal"/>
    <w:link w:val="Heading1Char"/>
    <w:qFormat/>
    <w:rsid w:val="007C4F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acter Char"/>
    <w:basedOn w:val="DefaultParagraphFont"/>
    <w:link w:val="Heading1"/>
    <w:rsid w:val="007C4F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C4F03"/>
    <w:pPr>
      <w:outlineLvl w:val="9"/>
    </w:pPr>
    <w:rPr>
      <w:lang w:val="en-US"/>
    </w:rPr>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qFormat/>
    <w:rsid w:val="007C4F03"/>
    <w:pPr>
      <w:ind w:left="720"/>
      <w:contextualSpacing/>
    </w:pPr>
  </w:style>
  <w:style w:type="paragraph" w:styleId="TOC1">
    <w:name w:val="toc 1"/>
    <w:basedOn w:val="Normal"/>
    <w:next w:val="Normal"/>
    <w:autoRedefine/>
    <w:uiPriority w:val="39"/>
    <w:unhideWhenUsed/>
    <w:rsid w:val="00427A26"/>
    <w:pPr>
      <w:keepNext/>
      <w:keepLines/>
      <w:shd w:val="clear" w:color="auto" w:fill="D5DCE4" w:themeFill="text2" w:themeFillTint="33"/>
      <w:tabs>
        <w:tab w:val="left" w:pos="426"/>
        <w:tab w:val="right" w:leader="dot" w:pos="9062"/>
      </w:tabs>
      <w:spacing w:after="240"/>
      <w:ind w:left="340" w:hanging="340"/>
    </w:pPr>
    <w:rPr>
      <w:rFonts w:ascii="Tahoma" w:hAnsi="Tahoma" w:cs="Tahoma"/>
      <w:b/>
      <w:noProof/>
      <w:sz w:val="24"/>
      <w:szCs w:val="24"/>
    </w:rPr>
  </w:style>
  <w:style w:type="character" w:styleId="Hyperlink">
    <w:name w:val="Hyperlink"/>
    <w:basedOn w:val="DefaultParagraphFont"/>
    <w:uiPriority w:val="99"/>
    <w:unhideWhenUsed/>
    <w:rsid w:val="007C4F03"/>
    <w:rPr>
      <w:color w:val="0563C1" w:themeColor="hyperlink"/>
      <w:u w:val="single"/>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qFormat/>
    <w:rsid w:val="007C4F03"/>
    <w:pPr>
      <w:spacing w:after="0"/>
    </w:pPr>
    <w:rPr>
      <w:rFonts w:ascii="Times New Roman" w:eastAsia="Times New Roman" w:hAnsi="Times New Roman" w:cs="Times New Roman"/>
      <w:sz w:val="20"/>
      <w:szCs w:val="20"/>
      <w:lang w:eastAsia="ro-RO"/>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semiHidden/>
    <w:rsid w:val="007C4F03"/>
    <w:rPr>
      <w:rFonts w:ascii="Times New Roman" w:eastAsia="Times New Roman" w:hAnsi="Times New Roman" w:cs="Times New Roman"/>
      <w:sz w:val="20"/>
      <w:szCs w:val="20"/>
      <w:lang w:eastAsia="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SUPERS,BVI"/>
    <w:link w:val="CharChar1CharCharCharCharCharCharCaracter1CharCaracterCharCaracterCharCaracterCharCharCaracter"/>
    <w:uiPriority w:val="99"/>
    <w:qFormat/>
    <w:rsid w:val="007C4F03"/>
    <w:rPr>
      <w:vertAlign w:val="superscript"/>
    </w:rPr>
  </w:style>
  <w:style w:type="paragraph" w:styleId="NoSpacing">
    <w:name w:val="No Spacing"/>
    <w:uiPriority w:val="1"/>
    <w:qFormat/>
    <w:rsid w:val="007C4F03"/>
    <w:pPr>
      <w:spacing w:after="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F48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875"/>
    <w:rPr>
      <w:rFonts w:ascii="Segoe UI" w:hAnsi="Segoe UI" w:cs="Segoe UI"/>
      <w:sz w:val="18"/>
      <w:szCs w:val="18"/>
    </w:rPr>
  </w:style>
  <w:style w:type="paragraph" w:styleId="EndnoteText">
    <w:name w:val="endnote text"/>
    <w:basedOn w:val="Normal"/>
    <w:link w:val="EndnoteTextChar"/>
    <w:uiPriority w:val="99"/>
    <w:semiHidden/>
    <w:unhideWhenUsed/>
    <w:rsid w:val="00C86610"/>
    <w:pPr>
      <w:spacing w:after="0"/>
    </w:pPr>
    <w:rPr>
      <w:sz w:val="20"/>
      <w:szCs w:val="20"/>
    </w:rPr>
  </w:style>
  <w:style w:type="character" w:customStyle="1" w:styleId="EndnoteTextChar">
    <w:name w:val="Endnote Text Char"/>
    <w:basedOn w:val="DefaultParagraphFont"/>
    <w:link w:val="EndnoteText"/>
    <w:uiPriority w:val="99"/>
    <w:semiHidden/>
    <w:rsid w:val="00C86610"/>
    <w:rPr>
      <w:sz w:val="20"/>
      <w:szCs w:val="20"/>
    </w:rPr>
  </w:style>
  <w:style w:type="character" w:styleId="EndnoteReference">
    <w:name w:val="endnote reference"/>
    <w:basedOn w:val="DefaultParagraphFont"/>
    <w:uiPriority w:val="99"/>
    <w:semiHidden/>
    <w:unhideWhenUsed/>
    <w:rsid w:val="00C86610"/>
    <w:rPr>
      <w:vertAlign w:val="superscript"/>
    </w:rPr>
  </w:style>
  <w:style w:type="character" w:styleId="Emphasis">
    <w:name w:val="Emphasis"/>
    <w:qFormat/>
    <w:rsid w:val="00D756C1"/>
    <w:rPr>
      <w:i/>
      <w:iCs/>
    </w:rPr>
  </w:style>
  <w:style w:type="paragraph" w:styleId="Header">
    <w:name w:val="header"/>
    <w:basedOn w:val="Normal"/>
    <w:link w:val="HeaderChar"/>
    <w:uiPriority w:val="99"/>
    <w:unhideWhenUsed/>
    <w:rsid w:val="00197AF4"/>
    <w:pPr>
      <w:tabs>
        <w:tab w:val="center" w:pos="4536"/>
        <w:tab w:val="right" w:pos="9072"/>
      </w:tabs>
      <w:spacing w:after="0"/>
    </w:pPr>
  </w:style>
  <w:style w:type="character" w:customStyle="1" w:styleId="HeaderChar">
    <w:name w:val="Header Char"/>
    <w:basedOn w:val="DefaultParagraphFont"/>
    <w:link w:val="Header"/>
    <w:uiPriority w:val="99"/>
    <w:rsid w:val="00197AF4"/>
  </w:style>
  <w:style w:type="paragraph" w:styleId="Footer">
    <w:name w:val="footer"/>
    <w:basedOn w:val="Normal"/>
    <w:link w:val="FooterChar"/>
    <w:uiPriority w:val="99"/>
    <w:unhideWhenUsed/>
    <w:rsid w:val="00197AF4"/>
    <w:pPr>
      <w:tabs>
        <w:tab w:val="center" w:pos="4536"/>
        <w:tab w:val="right" w:pos="9072"/>
      </w:tabs>
      <w:spacing w:after="0"/>
    </w:pPr>
  </w:style>
  <w:style w:type="character" w:customStyle="1" w:styleId="FooterChar">
    <w:name w:val="Footer Char"/>
    <w:basedOn w:val="DefaultParagraphFont"/>
    <w:link w:val="Footer"/>
    <w:uiPriority w:val="99"/>
    <w:rsid w:val="00197AF4"/>
  </w:style>
  <w:style w:type="character" w:styleId="CommentReference">
    <w:name w:val="annotation reference"/>
    <w:basedOn w:val="DefaultParagraphFont"/>
    <w:uiPriority w:val="99"/>
    <w:semiHidden/>
    <w:unhideWhenUsed/>
    <w:rsid w:val="00183827"/>
    <w:rPr>
      <w:sz w:val="16"/>
      <w:szCs w:val="16"/>
    </w:rPr>
  </w:style>
  <w:style w:type="paragraph" w:styleId="CommentText">
    <w:name w:val="annotation text"/>
    <w:basedOn w:val="Normal"/>
    <w:link w:val="CommentTextChar"/>
    <w:uiPriority w:val="99"/>
    <w:semiHidden/>
    <w:unhideWhenUsed/>
    <w:rsid w:val="00183827"/>
    <w:rPr>
      <w:sz w:val="20"/>
      <w:szCs w:val="20"/>
    </w:rPr>
  </w:style>
  <w:style w:type="character" w:customStyle="1" w:styleId="CommentTextChar">
    <w:name w:val="Comment Text Char"/>
    <w:basedOn w:val="DefaultParagraphFont"/>
    <w:link w:val="CommentText"/>
    <w:uiPriority w:val="99"/>
    <w:semiHidden/>
    <w:rsid w:val="00183827"/>
    <w:rPr>
      <w:sz w:val="20"/>
      <w:szCs w:val="20"/>
    </w:rPr>
  </w:style>
  <w:style w:type="paragraph" w:styleId="CommentSubject">
    <w:name w:val="annotation subject"/>
    <w:basedOn w:val="CommentText"/>
    <w:next w:val="CommentText"/>
    <w:link w:val="CommentSubjectChar"/>
    <w:uiPriority w:val="99"/>
    <w:semiHidden/>
    <w:unhideWhenUsed/>
    <w:rsid w:val="00183827"/>
    <w:rPr>
      <w:b/>
      <w:bCs/>
    </w:rPr>
  </w:style>
  <w:style w:type="character" w:customStyle="1" w:styleId="CommentSubjectChar">
    <w:name w:val="Comment Subject Char"/>
    <w:basedOn w:val="CommentTextChar"/>
    <w:link w:val="CommentSubject"/>
    <w:uiPriority w:val="99"/>
    <w:semiHidden/>
    <w:rsid w:val="00183827"/>
    <w:rPr>
      <w:b/>
      <w:bCs/>
      <w:sz w:val="20"/>
      <w:szCs w:val="20"/>
    </w:rPr>
  </w:style>
  <w:style w:type="paragraph" w:customStyle="1" w:styleId="Caracter2CharCharCaracterCharCharCaracterCharCharCaracterCharChar">
    <w:name w:val="Caracter2 Char Char Caracter Char Char Caracter Char Char Caracter Char Char"/>
    <w:basedOn w:val="Normal"/>
    <w:rsid w:val="008A5038"/>
    <w:pPr>
      <w:spacing w:after="0"/>
    </w:pPr>
    <w:rPr>
      <w:rFonts w:ascii="Times New Roman" w:eastAsia="Times New Roman" w:hAnsi="Times New Roman" w:cs="Times New Roman"/>
      <w:sz w:val="24"/>
      <w:szCs w:val="24"/>
      <w:lang w:val="pl-PL" w:eastAsia="pl-PL"/>
    </w:rPr>
  </w:style>
  <w:style w:type="paragraph" w:styleId="NormalWeb">
    <w:name w:val="Normal (Web)"/>
    <w:basedOn w:val="Normal"/>
    <w:unhideWhenUsed/>
    <w:qFormat/>
    <w:rsid w:val="00406434"/>
    <w:rPr>
      <w:rFonts w:ascii="Times New Roman" w:hAnsi="Times New Roman" w:cs="Times New Roman"/>
      <w:sz w:val="24"/>
      <w:szCs w:val="24"/>
    </w:rPr>
  </w:style>
  <w:style w:type="paragraph" w:customStyle="1" w:styleId="Bodytext2">
    <w:name w:val="Body text (2)"/>
    <w:basedOn w:val="Normal"/>
    <w:rsid w:val="00446D9C"/>
    <w:pPr>
      <w:widowControl w:val="0"/>
      <w:shd w:val="clear" w:color="auto" w:fill="FFFFFF"/>
      <w:spacing w:before="780" w:after="0" w:line="413" w:lineRule="exact"/>
      <w:ind w:firstLine="0"/>
    </w:pPr>
    <w:rPr>
      <w:rFonts w:ascii="Arial" w:eastAsia="Arial" w:hAnsi="Arial" w:cs="Arial"/>
      <w:sz w:val="20"/>
      <w:szCs w:val="20"/>
      <w:lang w:val="en-US" w:eastAsia="zh-CN"/>
    </w:rPr>
  </w:style>
  <w:style w:type="paragraph" w:customStyle="1" w:styleId="Caracter2CharCharCaracterCharCharCaracterCharCharCaracterCharChar0">
    <w:name w:val="Caracter2 Char Char Caracter Char Char Caracter Char Char Caracter Char Char"/>
    <w:basedOn w:val="Normal"/>
    <w:rsid w:val="00AF7D33"/>
    <w:pPr>
      <w:spacing w:after="0"/>
      <w:ind w:firstLine="0"/>
      <w:jc w:val="left"/>
    </w:pPr>
    <w:rPr>
      <w:rFonts w:ascii="Times New Roman" w:eastAsia="Times New Roman" w:hAnsi="Times New Roman" w:cs="Times New Roman"/>
      <w:sz w:val="24"/>
      <w:szCs w:val="24"/>
      <w:lang w:val="pl-PL" w:eastAsia="pl-PL"/>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qFormat/>
    <w:locked/>
    <w:rsid w:val="00A34C4D"/>
  </w:style>
  <w:style w:type="paragraph" w:customStyle="1" w:styleId="CharChar1CharCharCharCharCharCharCaracter1CharCaracterCharCaracterCharCaracterCharCharCaracter">
    <w:name w:val="Char Char1 Char Char Char Char Char Char Caracter1 Char Caracter Char Caracter Char Caracter Char Char Caracter"/>
    <w:aliases w:val="Char Char1 Char Char Char Char Char Char Caracter Char Char Caracter"/>
    <w:basedOn w:val="Normal"/>
    <w:next w:val="Normal"/>
    <w:link w:val="FootnoteReference"/>
    <w:rsid w:val="004D6D76"/>
    <w:pPr>
      <w:spacing w:after="160" w:line="240" w:lineRule="exact"/>
      <w:ind w:firstLine="0"/>
      <w:jc w:val="left"/>
    </w:pPr>
    <w:rPr>
      <w:vertAlign w:val="superscript"/>
    </w:rPr>
  </w:style>
  <w:style w:type="paragraph" w:styleId="TOC2">
    <w:name w:val="toc 2"/>
    <w:basedOn w:val="Normal"/>
    <w:next w:val="Normal"/>
    <w:autoRedefine/>
    <w:uiPriority w:val="39"/>
    <w:unhideWhenUsed/>
    <w:rsid w:val="007D49B8"/>
    <w:pPr>
      <w:spacing w:after="100"/>
      <w:ind w:left="220"/>
    </w:pPr>
  </w:style>
  <w:style w:type="paragraph" w:customStyle="1" w:styleId="CharChar">
    <w:name w:val="Char Char"/>
    <w:basedOn w:val="Normal"/>
    <w:rsid w:val="001F4C0B"/>
    <w:pPr>
      <w:spacing w:after="0"/>
      <w:ind w:firstLine="0"/>
      <w:jc w:val="left"/>
    </w:pPr>
    <w:rPr>
      <w:rFonts w:ascii="Times New Roman" w:eastAsia="Times New Roman" w:hAnsi="Times New Roman" w:cs="Times New Roman"/>
      <w:sz w:val="24"/>
      <w:szCs w:val="24"/>
      <w:lang w:val="pl-PL" w:eastAsia="pl-PL"/>
    </w:rPr>
  </w:style>
  <w:style w:type="paragraph" w:customStyle="1" w:styleId="Caracter2CharCharCaracterCharCharCaracterCharCharCaracterCharChar1">
    <w:name w:val="Caracter2 Char Char Caracter Char Char Caracter Char Char Caracter Char Char"/>
    <w:basedOn w:val="Normal"/>
    <w:rsid w:val="00791E81"/>
    <w:pPr>
      <w:spacing w:after="0"/>
      <w:ind w:firstLine="0"/>
      <w:jc w:val="left"/>
    </w:pPr>
    <w:rPr>
      <w:rFonts w:ascii="Times New Roman" w:eastAsia="Times New Roman" w:hAnsi="Times New Roman" w:cs="Times New Roman"/>
      <w:sz w:val="24"/>
      <w:szCs w:val="24"/>
      <w:lang w:val="pl-PL" w:eastAsia="pl-PL"/>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uiPriority w:val="99"/>
    <w:locked/>
    <w:rsid w:val="00BB23A6"/>
    <w:rPr>
      <w:rFonts w:eastAsia="Calibri"/>
      <w:lang w:val="en-GB"/>
    </w:rPr>
  </w:style>
  <w:style w:type="paragraph" w:customStyle="1" w:styleId="SUPERSChar1">
    <w:name w:val="SUPERS Char1"/>
    <w:basedOn w:val="Normal"/>
    <w:next w:val="Normal"/>
    <w:uiPriority w:val="99"/>
    <w:rsid w:val="00BB23A6"/>
    <w:pPr>
      <w:suppressAutoHyphens/>
      <w:spacing w:after="160" w:line="240" w:lineRule="exact"/>
      <w:ind w:firstLine="0"/>
      <w:jc w:val="left"/>
    </w:pPr>
    <w:rPr>
      <w:rFonts w:ascii="Times New Roman" w:hAnsi="Times New Roman" w:cs="Times New Roman"/>
      <w:sz w:val="20"/>
      <w:szCs w:val="20"/>
      <w:vertAlign w:val="superscript"/>
    </w:rPr>
  </w:style>
  <w:style w:type="paragraph" w:customStyle="1" w:styleId="Caracter2CharCharCaracterCharCharCaracterCharCharCaracterCharChar2">
    <w:name w:val="Caracter2 Char Char Caracter Char Char Caracter Char Char Caracter Char Char"/>
    <w:basedOn w:val="Normal"/>
    <w:rsid w:val="00724E48"/>
    <w:pPr>
      <w:spacing w:after="0"/>
      <w:ind w:firstLine="0"/>
      <w:jc w:val="left"/>
    </w:pPr>
    <w:rPr>
      <w:rFonts w:ascii="Times New Roman" w:eastAsia="Times New Roman" w:hAnsi="Times New Roman" w:cs="Times New Roman"/>
      <w:sz w:val="24"/>
      <w:szCs w:val="24"/>
      <w:lang w:val="pl-PL" w:eastAsia="pl-PL"/>
    </w:rPr>
  </w:style>
  <w:style w:type="paragraph" w:customStyle="1" w:styleId="Caracter2CharCharCaracterCharCharCaracterCharCharCaracterCharChar3">
    <w:name w:val="Caracter2 Char Char Caracter Char Char Caracter Char Char Caracter Char Char"/>
    <w:basedOn w:val="Normal"/>
    <w:rsid w:val="001F3032"/>
    <w:pPr>
      <w:spacing w:after="0"/>
      <w:ind w:firstLine="0"/>
      <w:jc w:val="left"/>
    </w:pPr>
    <w:rPr>
      <w:rFonts w:ascii="Times New Roman" w:eastAsia="Times New Roman" w:hAnsi="Times New Roman" w:cs="Times New Roman"/>
      <w:sz w:val="24"/>
      <w:szCs w:val="24"/>
      <w:lang w:val="pl-PL" w:eastAsia="pl-PL"/>
    </w:rPr>
  </w:style>
  <w:style w:type="character" w:customStyle="1" w:styleId="y2iqfc">
    <w:name w:val="y2iqfc"/>
    <w:basedOn w:val="DefaultParagraphFont"/>
    <w:rsid w:val="0044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6455">
      <w:bodyDiv w:val="1"/>
      <w:marLeft w:val="0"/>
      <w:marRight w:val="0"/>
      <w:marTop w:val="0"/>
      <w:marBottom w:val="0"/>
      <w:divBdr>
        <w:top w:val="none" w:sz="0" w:space="0" w:color="auto"/>
        <w:left w:val="none" w:sz="0" w:space="0" w:color="auto"/>
        <w:bottom w:val="none" w:sz="0" w:space="0" w:color="auto"/>
        <w:right w:val="none" w:sz="0" w:space="0" w:color="auto"/>
      </w:divBdr>
    </w:div>
    <w:div w:id="115025011">
      <w:bodyDiv w:val="1"/>
      <w:marLeft w:val="0"/>
      <w:marRight w:val="0"/>
      <w:marTop w:val="0"/>
      <w:marBottom w:val="0"/>
      <w:divBdr>
        <w:top w:val="none" w:sz="0" w:space="0" w:color="auto"/>
        <w:left w:val="none" w:sz="0" w:space="0" w:color="auto"/>
        <w:bottom w:val="none" w:sz="0" w:space="0" w:color="auto"/>
        <w:right w:val="none" w:sz="0" w:space="0" w:color="auto"/>
      </w:divBdr>
      <w:divsChild>
        <w:div w:id="591552499">
          <w:marLeft w:val="547"/>
          <w:marRight w:val="0"/>
          <w:marTop w:val="0"/>
          <w:marBottom w:val="0"/>
          <w:divBdr>
            <w:top w:val="none" w:sz="0" w:space="0" w:color="auto"/>
            <w:left w:val="none" w:sz="0" w:space="0" w:color="auto"/>
            <w:bottom w:val="none" w:sz="0" w:space="0" w:color="auto"/>
            <w:right w:val="none" w:sz="0" w:space="0" w:color="auto"/>
          </w:divBdr>
        </w:div>
        <w:div w:id="1058211023">
          <w:marLeft w:val="547"/>
          <w:marRight w:val="0"/>
          <w:marTop w:val="200"/>
          <w:marBottom w:val="200"/>
          <w:divBdr>
            <w:top w:val="none" w:sz="0" w:space="0" w:color="auto"/>
            <w:left w:val="none" w:sz="0" w:space="0" w:color="auto"/>
            <w:bottom w:val="none" w:sz="0" w:space="0" w:color="auto"/>
            <w:right w:val="none" w:sz="0" w:space="0" w:color="auto"/>
          </w:divBdr>
        </w:div>
      </w:divsChild>
    </w:div>
    <w:div w:id="169373442">
      <w:bodyDiv w:val="1"/>
      <w:marLeft w:val="0"/>
      <w:marRight w:val="0"/>
      <w:marTop w:val="0"/>
      <w:marBottom w:val="0"/>
      <w:divBdr>
        <w:top w:val="none" w:sz="0" w:space="0" w:color="auto"/>
        <w:left w:val="none" w:sz="0" w:space="0" w:color="auto"/>
        <w:bottom w:val="none" w:sz="0" w:space="0" w:color="auto"/>
        <w:right w:val="none" w:sz="0" w:space="0" w:color="auto"/>
      </w:divBdr>
    </w:div>
    <w:div w:id="224991803">
      <w:bodyDiv w:val="1"/>
      <w:marLeft w:val="0"/>
      <w:marRight w:val="0"/>
      <w:marTop w:val="0"/>
      <w:marBottom w:val="0"/>
      <w:divBdr>
        <w:top w:val="none" w:sz="0" w:space="0" w:color="auto"/>
        <w:left w:val="none" w:sz="0" w:space="0" w:color="auto"/>
        <w:bottom w:val="none" w:sz="0" w:space="0" w:color="auto"/>
        <w:right w:val="none" w:sz="0" w:space="0" w:color="auto"/>
      </w:divBdr>
    </w:div>
    <w:div w:id="296566051">
      <w:bodyDiv w:val="1"/>
      <w:marLeft w:val="0"/>
      <w:marRight w:val="0"/>
      <w:marTop w:val="0"/>
      <w:marBottom w:val="0"/>
      <w:divBdr>
        <w:top w:val="none" w:sz="0" w:space="0" w:color="auto"/>
        <w:left w:val="none" w:sz="0" w:space="0" w:color="auto"/>
        <w:bottom w:val="none" w:sz="0" w:space="0" w:color="auto"/>
        <w:right w:val="none" w:sz="0" w:space="0" w:color="auto"/>
      </w:divBdr>
    </w:div>
    <w:div w:id="304822241">
      <w:bodyDiv w:val="1"/>
      <w:marLeft w:val="0"/>
      <w:marRight w:val="0"/>
      <w:marTop w:val="0"/>
      <w:marBottom w:val="0"/>
      <w:divBdr>
        <w:top w:val="none" w:sz="0" w:space="0" w:color="auto"/>
        <w:left w:val="none" w:sz="0" w:space="0" w:color="auto"/>
        <w:bottom w:val="none" w:sz="0" w:space="0" w:color="auto"/>
        <w:right w:val="none" w:sz="0" w:space="0" w:color="auto"/>
      </w:divBdr>
    </w:div>
    <w:div w:id="330062855">
      <w:bodyDiv w:val="1"/>
      <w:marLeft w:val="0"/>
      <w:marRight w:val="0"/>
      <w:marTop w:val="0"/>
      <w:marBottom w:val="0"/>
      <w:divBdr>
        <w:top w:val="none" w:sz="0" w:space="0" w:color="auto"/>
        <w:left w:val="none" w:sz="0" w:space="0" w:color="auto"/>
        <w:bottom w:val="none" w:sz="0" w:space="0" w:color="auto"/>
        <w:right w:val="none" w:sz="0" w:space="0" w:color="auto"/>
      </w:divBdr>
    </w:div>
    <w:div w:id="353116261">
      <w:bodyDiv w:val="1"/>
      <w:marLeft w:val="0"/>
      <w:marRight w:val="0"/>
      <w:marTop w:val="0"/>
      <w:marBottom w:val="0"/>
      <w:divBdr>
        <w:top w:val="none" w:sz="0" w:space="0" w:color="auto"/>
        <w:left w:val="none" w:sz="0" w:space="0" w:color="auto"/>
        <w:bottom w:val="none" w:sz="0" w:space="0" w:color="auto"/>
        <w:right w:val="none" w:sz="0" w:space="0" w:color="auto"/>
      </w:divBdr>
    </w:div>
    <w:div w:id="367417453">
      <w:bodyDiv w:val="1"/>
      <w:marLeft w:val="0"/>
      <w:marRight w:val="0"/>
      <w:marTop w:val="0"/>
      <w:marBottom w:val="0"/>
      <w:divBdr>
        <w:top w:val="none" w:sz="0" w:space="0" w:color="auto"/>
        <w:left w:val="none" w:sz="0" w:space="0" w:color="auto"/>
        <w:bottom w:val="none" w:sz="0" w:space="0" w:color="auto"/>
        <w:right w:val="none" w:sz="0" w:space="0" w:color="auto"/>
      </w:divBdr>
    </w:div>
    <w:div w:id="376778322">
      <w:bodyDiv w:val="1"/>
      <w:marLeft w:val="0"/>
      <w:marRight w:val="0"/>
      <w:marTop w:val="0"/>
      <w:marBottom w:val="0"/>
      <w:divBdr>
        <w:top w:val="none" w:sz="0" w:space="0" w:color="auto"/>
        <w:left w:val="none" w:sz="0" w:space="0" w:color="auto"/>
        <w:bottom w:val="none" w:sz="0" w:space="0" w:color="auto"/>
        <w:right w:val="none" w:sz="0" w:space="0" w:color="auto"/>
      </w:divBdr>
    </w:div>
    <w:div w:id="435447346">
      <w:bodyDiv w:val="1"/>
      <w:marLeft w:val="0"/>
      <w:marRight w:val="0"/>
      <w:marTop w:val="0"/>
      <w:marBottom w:val="0"/>
      <w:divBdr>
        <w:top w:val="none" w:sz="0" w:space="0" w:color="auto"/>
        <w:left w:val="none" w:sz="0" w:space="0" w:color="auto"/>
        <w:bottom w:val="none" w:sz="0" w:space="0" w:color="auto"/>
        <w:right w:val="none" w:sz="0" w:space="0" w:color="auto"/>
      </w:divBdr>
      <w:divsChild>
        <w:div w:id="272713846">
          <w:marLeft w:val="547"/>
          <w:marRight w:val="0"/>
          <w:marTop w:val="0"/>
          <w:marBottom w:val="200"/>
          <w:divBdr>
            <w:top w:val="none" w:sz="0" w:space="0" w:color="auto"/>
            <w:left w:val="none" w:sz="0" w:space="0" w:color="auto"/>
            <w:bottom w:val="none" w:sz="0" w:space="0" w:color="auto"/>
            <w:right w:val="none" w:sz="0" w:space="0" w:color="auto"/>
          </w:divBdr>
        </w:div>
        <w:div w:id="949050328">
          <w:marLeft w:val="547"/>
          <w:marRight w:val="0"/>
          <w:marTop w:val="0"/>
          <w:marBottom w:val="200"/>
          <w:divBdr>
            <w:top w:val="none" w:sz="0" w:space="0" w:color="auto"/>
            <w:left w:val="none" w:sz="0" w:space="0" w:color="auto"/>
            <w:bottom w:val="none" w:sz="0" w:space="0" w:color="auto"/>
            <w:right w:val="none" w:sz="0" w:space="0" w:color="auto"/>
          </w:divBdr>
        </w:div>
      </w:divsChild>
    </w:div>
    <w:div w:id="504169024">
      <w:bodyDiv w:val="1"/>
      <w:marLeft w:val="0"/>
      <w:marRight w:val="0"/>
      <w:marTop w:val="0"/>
      <w:marBottom w:val="0"/>
      <w:divBdr>
        <w:top w:val="none" w:sz="0" w:space="0" w:color="auto"/>
        <w:left w:val="none" w:sz="0" w:space="0" w:color="auto"/>
        <w:bottom w:val="none" w:sz="0" w:space="0" w:color="auto"/>
        <w:right w:val="none" w:sz="0" w:space="0" w:color="auto"/>
      </w:divBdr>
    </w:div>
    <w:div w:id="548416336">
      <w:bodyDiv w:val="1"/>
      <w:marLeft w:val="0"/>
      <w:marRight w:val="0"/>
      <w:marTop w:val="0"/>
      <w:marBottom w:val="0"/>
      <w:divBdr>
        <w:top w:val="none" w:sz="0" w:space="0" w:color="auto"/>
        <w:left w:val="none" w:sz="0" w:space="0" w:color="auto"/>
        <w:bottom w:val="none" w:sz="0" w:space="0" w:color="auto"/>
        <w:right w:val="none" w:sz="0" w:space="0" w:color="auto"/>
      </w:divBdr>
    </w:div>
    <w:div w:id="569778675">
      <w:bodyDiv w:val="1"/>
      <w:marLeft w:val="0"/>
      <w:marRight w:val="0"/>
      <w:marTop w:val="0"/>
      <w:marBottom w:val="0"/>
      <w:divBdr>
        <w:top w:val="none" w:sz="0" w:space="0" w:color="auto"/>
        <w:left w:val="none" w:sz="0" w:space="0" w:color="auto"/>
        <w:bottom w:val="none" w:sz="0" w:space="0" w:color="auto"/>
        <w:right w:val="none" w:sz="0" w:space="0" w:color="auto"/>
      </w:divBdr>
    </w:div>
    <w:div w:id="619723830">
      <w:bodyDiv w:val="1"/>
      <w:marLeft w:val="0"/>
      <w:marRight w:val="0"/>
      <w:marTop w:val="0"/>
      <w:marBottom w:val="0"/>
      <w:divBdr>
        <w:top w:val="none" w:sz="0" w:space="0" w:color="auto"/>
        <w:left w:val="none" w:sz="0" w:space="0" w:color="auto"/>
        <w:bottom w:val="none" w:sz="0" w:space="0" w:color="auto"/>
        <w:right w:val="none" w:sz="0" w:space="0" w:color="auto"/>
      </w:divBdr>
    </w:div>
    <w:div w:id="669796317">
      <w:bodyDiv w:val="1"/>
      <w:marLeft w:val="0"/>
      <w:marRight w:val="0"/>
      <w:marTop w:val="0"/>
      <w:marBottom w:val="0"/>
      <w:divBdr>
        <w:top w:val="none" w:sz="0" w:space="0" w:color="auto"/>
        <w:left w:val="none" w:sz="0" w:space="0" w:color="auto"/>
        <w:bottom w:val="none" w:sz="0" w:space="0" w:color="auto"/>
        <w:right w:val="none" w:sz="0" w:space="0" w:color="auto"/>
      </w:divBdr>
    </w:div>
    <w:div w:id="681198562">
      <w:bodyDiv w:val="1"/>
      <w:marLeft w:val="0"/>
      <w:marRight w:val="0"/>
      <w:marTop w:val="0"/>
      <w:marBottom w:val="0"/>
      <w:divBdr>
        <w:top w:val="none" w:sz="0" w:space="0" w:color="auto"/>
        <w:left w:val="none" w:sz="0" w:space="0" w:color="auto"/>
        <w:bottom w:val="none" w:sz="0" w:space="0" w:color="auto"/>
        <w:right w:val="none" w:sz="0" w:space="0" w:color="auto"/>
      </w:divBdr>
    </w:div>
    <w:div w:id="708604831">
      <w:bodyDiv w:val="1"/>
      <w:marLeft w:val="0"/>
      <w:marRight w:val="0"/>
      <w:marTop w:val="0"/>
      <w:marBottom w:val="0"/>
      <w:divBdr>
        <w:top w:val="none" w:sz="0" w:space="0" w:color="auto"/>
        <w:left w:val="none" w:sz="0" w:space="0" w:color="auto"/>
        <w:bottom w:val="none" w:sz="0" w:space="0" w:color="auto"/>
        <w:right w:val="none" w:sz="0" w:space="0" w:color="auto"/>
      </w:divBdr>
    </w:div>
    <w:div w:id="716247170">
      <w:bodyDiv w:val="1"/>
      <w:marLeft w:val="0"/>
      <w:marRight w:val="0"/>
      <w:marTop w:val="0"/>
      <w:marBottom w:val="0"/>
      <w:divBdr>
        <w:top w:val="none" w:sz="0" w:space="0" w:color="auto"/>
        <w:left w:val="none" w:sz="0" w:space="0" w:color="auto"/>
        <w:bottom w:val="none" w:sz="0" w:space="0" w:color="auto"/>
        <w:right w:val="none" w:sz="0" w:space="0" w:color="auto"/>
      </w:divBdr>
    </w:div>
    <w:div w:id="765076565">
      <w:bodyDiv w:val="1"/>
      <w:marLeft w:val="0"/>
      <w:marRight w:val="0"/>
      <w:marTop w:val="0"/>
      <w:marBottom w:val="0"/>
      <w:divBdr>
        <w:top w:val="none" w:sz="0" w:space="0" w:color="auto"/>
        <w:left w:val="none" w:sz="0" w:space="0" w:color="auto"/>
        <w:bottom w:val="none" w:sz="0" w:space="0" w:color="auto"/>
        <w:right w:val="none" w:sz="0" w:space="0" w:color="auto"/>
      </w:divBdr>
      <w:divsChild>
        <w:div w:id="267737638">
          <w:marLeft w:val="446"/>
          <w:marRight w:val="346"/>
          <w:marTop w:val="120"/>
          <w:marBottom w:val="120"/>
          <w:divBdr>
            <w:top w:val="none" w:sz="0" w:space="0" w:color="auto"/>
            <w:left w:val="none" w:sz="0" w:space="0" w:color="auto"/>
            <w:bottom w:val="none" w:sz="0" w:space="0" w:color="auto"/>
            <w:right w:val="none" w:sz="0" w:space="0" w:color="auto"/>
          </w:divBdr>
        </w:div>
        <w:div w:id="1979189426">
          <w:marLeft w:val="446"/>
          <w:marRight w:val="0"/>
          <w:marTop w:val="0"/>
          <w:marBottom w:val="120"/>
          <w:divBdr>
            <w:top w:val="none" w:sz="0" w:space="0" w:color="auto"/>
            <w:left w:val="none" w:sz="0" w:space="0" w:color="auto"/>
            <w:bottom w:val="none" w:sz="0" w:space="0" w:color="auto"/>
            <w:right w:val="none" w:sz="0" w:space="0" w:color="auto"/>
          </w:divBdr>
        </w:div>
      </w:divsChild>
    </w:div>
    <w:div w:id="787546384">
      <w:bodyDiv w:val="1"/>
      <w:marLeft w:val="0"/>
      <w:marRight w:val="0"/>
      <w:marTop w:val="0"/>
      <w:marBottom w:val="0"/>
      <w:divBdr>
        <w:top w:val="none" w:sz="0" w:space="0" w:color="auto"/>
        <w:left w:val="none" w:sz="0" w:space="0" w:color="auto"/>
        <w:bottom w:val="none" w:sz="0" w:space="0" w:color="auto"/>
        <w:right w:val="none" w:sz="0" w:space="0" w:color="auto"/>
      </w:divBdr>
    </w:div>
    <w:div w:id="788933016">
      <w:bodyDiv w:val="1"/>
      <w:marLeft w:val="0"/>
      <w:marRight w:val="0"/>
      <w:marTop w:val="0"/>
      <w:marBottom w:val="0"/>
      <w:divBdr>
        <w:top w:val="none" w:sz="0" w:space="0" w:color="auto"/>
        <w:left w:val="none" w:sz="0" w:space="0" w:color="auto"/>
        <w:bottom w:val="none" w:sz="0" w:space="0" w:color="auto"/>
        <w:right w:val="none" w:sz="0" w:space="0" w:color="auto"/>
      </w:divBdr>
    </w:div>
    <w:div w:id="806051532">
      <w:bodyDiv w:val="1"/>
      <w:marLeft w:val="0"/>
      <w:marRight w:val="0"/>
      <w:marTop w:val="0"/>
      <w:marBottom w:val="0"/>
      <w:divBdr>
        <w:top w:val="none" w:sz="0" w:space="0" w:color="auto"/>
        <w:left w:val="none" w:sz="0" w:space="0" w:color="auto"/>
        <w:bottom w:val="none" w:sz="0" w:space="0" w:color="auto"/>
        <w:right w:val="none" w:sz="0" w:space="0" w:color="auto"/>
      </w:divBdr>
    </w:div>
    <w:div w:id="837500624">
      <w:bodyDiv w:val="1"/>
      <w:marLeft w:val="0"/>
      <w:marRight w:val="0"/>
      <w:marTop w:val="0"/>
      <w:marBottom w:val="0"/>
      <w:divBdr>
        <w:top w:val="none" w:sz="0" w:space="0" w:color="auto"/>
        <w:left w:val="none" w:sz="0" w:space="0" w:color="auto"/>
        <w:bottom w:val="none" w:sz="0" w:space="0" w:color="auto"/>
        <w:right w:val="none" w:sz="0" w:space="0" w:color="auto"/>
      </w:divBdr>
    </w:div>
    <w:div w:id="867377894">
      <w:bodyDiv w:val="1"/>
      <w:marLeft w:val="0"/>
      <w:marRight w:val="0"/>
      <w:marTop w:val="0"/>
      <w:marBottom w:val="0"/>
      <w:divBdr>
        <w:top w:val="none" w:sz="0" w:space="0" w:color="auto"/>
        <w:left w:val="none" w:sz="0" w:space="0" w:color="auto"/>
        <w:bottom w:val="none" w:sz="0" w:space="0" w:color="auto"/>
        <w:right w:val="none" w:sz="0" w:space="0" w:color="auto"/>
      </w:divBdr>
    </w:div>
    <w:div w:id="892548185">
      <w:bodyDiv w:val="1"/>
      <w:marLeft w:val="0"/>
      <w:marRight w:val="0"/>
      <w:marTop w:val="0"/>
      <w:marBottom w:val="0"/>
      <w:divBdr>
        <w:top w:val="none" w:sz="0" w:space="0" w:color="auto"/>
        <w:left w:val="none" w:sz="0" w:space="0" w:color="auto"/>
        <w:bottom w:val="none" w:sz="0" w:space="0" w:color="auto"/>
        <w:right w:val="none" w:sz="0" w:space="0" w:color="auto"/>
      </w:divBdr>
      <w:divsChild>
        <w:div w:id="107237063">
          <w:marLeft w:val="547"/>
          <w:marRight w:val="0"/>
          <w:marTop w:val="120"/>
          <w:marBottom w:val="120"/>
          <w:divBdr>
            <w:top w:val="none" w:sz="0" w:space="0" w:color="auto"/>
            <w:left w:val="none" w:sz="0" w:space="0" w:color="auto"/>
            <w:bottom w:val="none" w:sz="0" w:space="0" w:color="auto"/>
            <w:right w:val="none" w:sz="0" w:space="0" w:color="auto"/>
          </w:divBdr>
        </w:div>
        <w:div w:id="1663073507">
          <w:marLeft w:val="547"/>
          <w:marRight w:val="0"/>
          <w:marTop w:val="0"/>
          <w:marBottom w:val="200"/>
          <w:divBdr>
            <w:top w:val="none" w:sz="0" w:space="0" w:color="auto"/>
            <w:left w:val="none" w:sz="0" w:space="0" w:color="auto"/>
            <w:bottom w:val="none" w:sz="0" w:space="0" w:color="auto"/>
            <w:right w:val="none" w:sz="0" w:space="0" w:color="auto"/>
          </w:divBdr>
        </w:div>
      </w:divsChild>
    </w:div>
    <w:div w:id="1014453547">
      <w:bodyDiv w:val="1"/>
      <w:marLeft w:val="0"/>
      <w:marRight w:val="0"/>
      <w:marTop w:val="0"/>
      <w:marBottom w:val="0"/>
      <w:divBdr>
        <w:top w:val="none" w:sz="0" w:space="0" w:color="auto"/>
        <w:left w:val="none" w:sz="0" w:space="0" w:color="auto"/>
        <w:bottom w:val="none" w:sz="0" w:space="0" w:color="auto"/>
        <w:right w:val="none" w:sz="0" w:space="0" w:color="auto"/>
      </w:divBdr>
    </w:div>
    <w:div w:id="1023288468">
      <w:bodyDiv w:val="1"/>
      <w:marLeft w:val="0"/>
      <w:marRight w:val="0"/>
      <w:marTop w:val="0"/>
      <w:marBottom w:val="0"/>
      <w:divBdr>
        <w:top w:val="none" w:sz="0" w:space="0" w:color="auto"/>
        <w:left w:val="none" w:sz="0" w:space="0" w:color="auto"/>
        <w:bottom w:val="none" w:sz="0" w:space="0" w:color="auto"/>
        <w:right w:val="none" w:sz="0" w:space="0" w:color="auto"/>
      </w:divBdr>
    </w:div>
    <w:div w:id="1029601847">
      <w:bodyDiv w:val="1"/>
      <w:marLeft w:val="0"/>
      <w:marRight w:val="0"/>
      <w:marTop w:val="0"/>
      <w:marBottom w:val="0"/>
      <w:divBdr>
        <w:top w:val="none" w:sz="0" w:space="0" w:color="auto"/>
        <w:left w:val="none" w:sz="0" w:space="0" w:color="auto"/>
        <w:bottom w:val="none" w:sz="0" w:space="0" w:color="auto"/>
        <w:right w:val="none" w:sz="0" w:space="0" w:color="auto"/>
      </w:divBdr>
    </w:div>
    <w:div w:id="1033261580">
      <w:bodyDiv w:val="1"/>
      <w:marLeft w:val="0"/>
      <w:marRight w:val="0"/>
      <w:marTop w:val="0"/>
      <w:marBottom w:val="0"/>
      <w:divBdr>
        <w:top w:val="none" w:sz="0" w:space="0" w:color="auto"/>
        <w:left w:val="none" w:sz="0" w:space="0" w:color="auto"/>
        <w:bottom w:val="none" w:sz="0" w:space="0" w:color="auto"/>
        <w:right w:val="none" w:sz="0" w:space="0" w:color="auto"/>
      </w:divBdr>
    </w:div>
    <w:div w:id="1053888659">
      <w:bodyDiv w:val="1"/>
      <w:marLeft w:val="0"/>
      <w:marRight w:val="0"/>
      <w:marTop w:val="0"/>
      <w:marBottom w:val="0"/>
      <w:divBdr>
        <w:top w:val="none" w:sz="0" w:space="0" w:color="auto"/>
        <w:left w:val="none" w:sz="0" w:space="0" w:color="auto"/>
        <w:bottom w:val="none" w:sz="0" w:space="0" w:color="auto"/>
        <w:right w:val="none" w:sz="0" w:space="0" w:color="auto"/>
      </w:divBdr>
    </w:div>
    <w:div w:id="1128934510">
      <w:bodyDiv w:val="1"/>
      <w:marLeft w:val="0"/>
      <w:marRight w:val="0"/>
      <w:marTop w:val="0"/>
      <w:marBottom w:val="0"/>
      <w:divBdr>
        <w:top w:val="none" w:sz="0" w:space="0" w:color="auto"/>
        <w:left w:val="none" w:sz="0" w:space="0" w:color="auto"/>
        <w:bottom w:val="none" w:sz="0" w:space="0" w:color="auto"/>
        <w:right w:val="none" w:sz="0" w:space="0" w:color="auto"/>
      </w:divBdr>
    </w:div>
    <w:div w:id="1183669206">
      <w:bodyDiv w:val="1"/>
      <w:marLeft w:val="0"/>
      <w:marRight w:val="0"/>
      <w:marTop w:val="0"/>
      <w:marBottom w:val="0"/>
      <w:divBdr>
        <w:top w:val="none" w:sz="0" w:space="0" w:color="auto"/>
        <w:left w:val="none" w:sz="0" w:space="0" w:color="auto"/>
        <w:bottom w:val="none" w:sz="0" w:space="0" w:color="auto"/>
        <w:right w:val="none" w:sz="0" w:space="0" w:color="auto"/>
      </w:divBdr>
    </w:div>
    <w:div w:id="1208837640">
      <w:bodyDiv w:val="1"/>
      <w:marLeft w:val="0"/>
      <w:marRight w:val="0"/>
      <w:marTop w:val="0"/>
      <w:marBottom w:val="0"/>
      <w:divBdr>
        <w:top w:val="none" w:sz="0" w:space="0" w:color="auto"/>
        <w:left w:val="none" w:sz="0" w:space="0" w:color="auto"/>
        <w:bottom w:val="none" w:sz="0" w:space="0" w:color="auto"/>
        <w:right w:val="none" w:sz="0" w:space="0" w:color="auto"/>
      </w:divBdr>
    </w:div>
    <w:div w:id="1221481420">
      <w:bodyDiv w:val="1"/>
      <w:marLeft w:val="0"/>
      <w:marRight w:val="0"/>
      <w:marTop w:val="0"/>
      <w:marBottom w:val="0"/>
      <w:divBdr>
        <w:top w:val="none" w:sz="0" w:space="0" w:color="auto"/>
        <w:left w:val="none" w:sz="0" w:space="0" w:color="auto"/>
        <w:bottom w:val="none" w:sz="0" w:space="0" w:color="auto"/>
        <w:right w:val="none" w:sz="0" w:space="0" w:color="auto"/>
      </w:divBdr>
    </w:div>
    <w:div w:id="1360274833">
      <w:bodyDiv w:val="1"/>
      <w:marLeft w:val="0"/>
      <w:marRight w:val="0"/>
      <w:marTop w:val="0"/>
      <w:marBottom w:val="0"/>
      <w:divBdr>
        <w:top w:val="none" w:sz="0" w:space="0" w:color="auto"/>
        <w:left w:val="none" w:sz="0" w:space="0" w:color="auto"/>
        <w:bottom w:val="none" w:sz="0" w:space="0" w:color="auto"/>
        <w:right w:val="none" w:sz="0" w:space="0" w:color="auto"/>
      </w:divBdr>
    </w:div>
    <w:div w:id="1445877663">
      <w:bodyDiv w:val="1"/>
      <w:marLeft w:val="0"/>
      <w:marRight w:val="0"/>
      <w:marTop w:val="0"/>
      <w:marBottom w:val="0"/>
      <w:divBdr>
        <w:top w:val="none" w:sz="0" w:space="0" w:color="auto"/>
        <w:left w:val="none" w:sz="0" w:space="0" w:color="auto"/>
        <w:bottom w:val="none" w:sz="0" w:space="0" w:color="auto"/>
        <w:right w:val="none" w:sz="0" w:space="0" w:color="auto"/>
      </w:divBdr>
    </w:div>
    <w:div w:id="1484198697">
      <w:bodyDiv w:val="1"/>
      <w:marLeft w:val="0"/>
      <w:marRight w:val="0"/>
      <w:marTop w:val="0"/>
      <w:marBottom w:val="0"/>
      <w:divBdr>
        <w:top w:val="none" w:sz="0" w:space="0" w:color="auto"/>
        <w:left w:val="none" w:sz="0" w:space="0" w:color="auto"/>
        <w:bottom w:val="none" w:sz="0" w:space="0" w:color="auto"/>
        <w:right w:val="none" w:sz="0" w:space="0" w:color="auto"/>
      </w:divBdr>
    </w:div>
    <w:div w:id="1520774390">
      <w:bodyDiv w:val="1"/>
      <w:marLeft w:val="0"/>
      <w:marRight w:val="0"/>
      <w:marTop w:val="0"/>
      <w:marBottom w:val="0"/>
      <w:divBdr>
        <w:top w:val="none" w:sz="0" w:space="0" w:color="auto"/>
        <w:left w:val="none" w:sz="0" w:space="0" w:color="auto"/>
        <w:bottom w:val="none" w:sz="0" w:space="0" w:color="auto"/>
        <w:right w:val="none" w:sz="0" w:space="0" w:color="auto"/>
      </w:divBdr>
    </w:div>
    <w:div w:id="1536582639">
      <w:bodyDiv w:val="1"/>
      <w:marLeft w:val="0"/>
      <w:marRight w:val="0"/>
      <w:marTop w:val="0"/>
      <w:marBottom w:val="0"/>
      <w:divBdr>
        <w:top w:val="none" w:sz="0" w:space="0" w:color="auto"/>
        <w:left w:val="none" w:sz="0" w:space="0" w:color="auto"/>
        <w:bottom w:val="none" w:sz="0" w:space="0" w:color="auto"/>
        <w:right w:val="none" w:sz="0" w:space="0" w:color="auto"/>
      </w:divBdr>
      <w:divsChild>
        <w:div w:id="2140680218">
          <w:marLeft w:val="547"/>
          <w:marRight w:val="0"/>
          <w:marTop w:val="120"/>
          <w:marBottom w:val="120"/>
          <w:divBdr>
            <w:top w:val="none" w:sz="0" w:space="0" w:color="auto"/>
            <w:left w:val="none" w:sz="0" w:space="0" w:color="auto"/>
            <w:bottom w:val="none" w:sz="0" w:space="0" w:color="auto"/>
            <w:right w:val="none" w:sz="0" w:space="0" w:color="auto"/>
          </w:divBdr>
        </w:div>
        <w:div w:id="831025650">
          <w:marLeft w:val="547"/>
          <w:marRight w:val="0"/>
          <w:marTop w:val="120"/>
          <w:marBottom w:val="120"/>
          <w:divBdr>
            <w:top w:val="none" w:sz="0" w:space="0" w:color="auto"/>
            <w:left w:val="none" w:sz="0" w:space="0" w:color="auto"/>
            <w:bottom w:val="none" w:sz="0" w:space="0" w:color="auto"/>
            <w:right w:val="none" w:sz="0" w:space="0" w:color="auto"/>
          </w:divBdr>
        </w:div>
        <w:div w:id="1416511021">
          <w:marLeft w:val="547"/>
          <w:marRight w:val="0"/>
          <w:marTop w:val="0"/>
          <w:marBottom w:val="0"/>
          <w:divBdr>
            <w:top w:val="none" w:sz="0" w:space="0" w:color="auto"/>
            <w:left w:val="none" w:sz="0" w:space="0" w:color="auto"/>
            <w:bottom w:val="none" w:sz="0" w:space="0" w:color="auto"/>
            <w:right w:val="none" w:sz="0" w:space="0" w:color="auto"/>
          </w:divBdr>
        </w:div>
        <w:div w:id="320699091">
          <w:marLeft w:val="547"/>
          <w:marRight w:val="0"/>
          <w:marTop w:val="0"/>
          <w:marBottom w:val="0"/>
          <w:divBdr>
            <w:top w:val="none" w:sz="0" w:space="0" w:color="auto"/>
            <w:left w:val="none" w:sz="0" w:space="0" w:color="auto"/>
            <w:bottom w:val="none" w:sz="0" w:space="0" w:color="auto"/>
            <w:right w:val="none" w:sz="0" w:space="0" w:color="auto"/>
          </w:divBdr>
        </w:div>
        <w:div w:id="18044032">
          <w:marLeft w:val="547"/>
          <w:marRight w:val="0"/>
          <w:marTop w:val="0"/>
          <w:marBottom w:val="200"/>
          <w:divBdr>
            <w:top w:val="none" w:sz="0" w:space="0" w:color="auto"/>
            <w:left w:val="none" w:sz="0" w:space="0" w:color="auto"/>
            <w:bottom w:val="none" w:sz="0" w:space="0" w:color="auto"/>
            <w:right w:val="none" w:sz="0" w:space="0" w:color="auto"/>
          </w:divBdr>
        </w:div>
      </w:divsChild>
    </w:div>
    <w:div w:id="1623611751">
      <w:bodyDiv w:val="1"/>
      <w:marLeft w:val="0"/>
      <w:marRight w:val="0"/>
      <w:marTop w:val="0"/>
      <w:marBottom w:val="0"/>
      <w:divBdr>
        <w:top w:val="none" w:sz="0" w:space="0" w:color="auto"/>
        <w:left w:val="none" w:sz="0" w:space="0" w:color="auto"/>
        <w:bottom w:val="none" w:sz="0" w:space="0" w:color="auto"/>
        <w:right w:val="none" w:sz="0" w:space="0" w:color="auto"/>
      </w:divBdr>
    </w:div>
    <w:div w:id="1670060811">
      <w:bodyDiv w:val="1"/>
      <w:marLeft w:val="0"/>
      <w:marRight w:val="0"/>
      <w:marTop w:val="0"/>
      <w:marBottom w:val="0"/>
      <w:divBdr>
        <w:top w:val="none" w:sz="0" w:space="0" w:color="auto"/>
        <w:left w:val="none" w:sz="0" w:space="0" w:color="auto"/>
        <w:bottom w:val="none" w:sz="0" w:space="0" w:color="auto"/>
        <w:right w:val="none" w:sz="0" w:space="0" w:color="auto"/>
      </w:divBdr>
    </w:div>
    <w:div w:id="1672175889">
      <w:bodyDiv w:val="1"/>
      <w:marLeft w:val="0"/>
      <w:marRight w:val="0"/>
      <w:marTop w:val="0"/>
      <w:marBottom w:val="0"/>
      <w:divBdr>
        <w:top w:val="none" w:sz="0" w:space="0" w:color="auto"/>
        <w:left w:val="none" w:sz="0" w:space="0" w:color="auto"/>
        <w:bottom w:val="none" w:sz="0" w:space="0" w:color="auto"/>
        <w:right w:val="none" w:sz="0" w:space="0" w:color="auto"/>
      </w:divBdr>
    </w:div>
    <w:div w:id="1703282475">
      <w:bodyDiv w:val="1"/>
      <w:marLeft w:val="0"/>
      <w:marRight w:val="0"/>
      <w:marTop w:val="0"/>
      <w:marBottom w:val="0"/>
      <w:divBdr>
        <w:top w:val="none" w:sz="0" w:space="0" w:color="auto"/>
        <w:left w:val="none" w:sz="0" w:space="0" w:color="auto"/>
        <w:bottom w:val="none" w:sz="0" w:space="0" w:color="auto"/>
        <w:right w:val="none" w:sz="0" w:space="0" w:color="auto"/>
      </w:divBdr>
    </w:div>
    <w:div w:id="1749690295">
      <w:bodyDiv w:val="1"/>
      <w:marLeft w:val="0"/>
      <w:marRight w:val="0"/>
      <w:marTop w:val="0"/>
      <w:marBottom w:val="0"/>
      <w:divBdr>
        <w:top w:val="none" w:sz="0" w:space="0" w:color="auto"/>
        <w:left w:val="none" w:sz="0" w:space="0" w:color="auto"/>
        <w:bottom w:val="none" w:sz="0" w:space="0" w:color="auto"/>
        <w:right w:val="none" w:sz="0" w:space="0" w:color="auto"/>
      </w:divBdr>
    </w:div>
    <w:div w:id="1767731835">
      <w:bodyDiv w:val="1"/>
      <w:marLeft w:val="0"/>
      <w:marRight w:val="0"/>
      <w:marTop w:val="0"/>
      <w:marBottom w:val="0"/>
      <w:divBdr>
        <w:top w:val="none" w:sz="0" w:space="0" w:color="auto"/>
        <w:left w:val="none" w:sz="0" w:space="0" w:color="auto"/>
        <w:bottom w:val="none" w:sz="0" w:space="0" w:color="auto"/>
        <w:right w:val="none" w:sz="0" w:space="0" w:color="auto"/>
      </w:divBdr>
    </w:div>
    <w:div w:id="1785538974">
      <w:bodyDiv w:val="1"/>
      <w:marLeft w:val="0"/>
      <w:marRight w:val="0"/>
      <w:marTop w:val="0"/>
      <w:marBottom w:val="0"/>
      <w:divBdr>
        <w:top w:val="none" w:sz="0" w:space="0" w:color="auto"/>
        <w:left w:val="none" w:sz="0" w:space="0" w:color="auto"/>
        <w:bottom w:val="none" w:sz="0" w:space="0" w:color="auto"/>
        <w:right w:val="none" w:sz="0" w:space="0" w:color="auto"/>
      </w:divBdr>
    </w:div>
    <w:div w:id="1832258239">
      <w:bodyDiv w:val="1"/>
      <w:marLeft w:val="0"/>
      <w:marRight w:val="0"/>
      <w:marTop w:val="0"/>
      <w:marBottom w:val="0"/>
      <w:divBdr>
        <w:top w:val="none" w:sz="0" w:space="0" w:color="auto"/>
        <w:left w:val="none" w:sz="0" w:space="0" w:color="auto"/>
        <w:bottom w:val="none" w:sz="0" w:space="0" w:color="auto"/>
        <w:right w:val="none" w:sz="0" w:space="0" w:color="auto"/>
      </w:divBdr>
    </w:div>
    <w:div w:id="1847280183">
      <w:bodyDiv w:val="1"/>
      <w:marLeft w:val="0"/>
      <w:marRight w:val="0"/>
      <w:marTop w:val="0"/>
      <w:marBottom w:val="0"/>
      <w:divBdr>
        <w:top w:val="none" w:sz="0" w:space="0" w:color="auto"/>
        <w:left w:val="none" w:sz="0" w:space="0" w:color="auto"/>
        <w:bottom w:val="none" w:sz="0" w:space="0" w:color="auto"/>
        <w:right w:val="none" w:sz="0" w:space="0" w:color="auto"/>
      </w:divBdr>
      <w:divsChild>
        <w:div w:id="4140132">
          <w:marLeft w:val="547"/>
          <w:marRight w:val="0"/>
          <w:marTop w:val="0"/>
          <w:marBottom w:val="0"/>
          <w:divBdr>
            <w:top w:val="none" w:sz="0" w:space="0" w:color="auto"/>
            <w:left w:val="none" w:sz="0" w:space="0" w:color="auto"/>
            <w:bottom w:val="none" w:sz="0" w:space="0" w:color="auto"/>
            <w:right w:val="none" w:sz="0" w:space="0" w:color="auto"/>
          </w:divBdr>
        </w:div>
        <w:div w:id="2004117303">
          <w:marLeft w:val="547"/>
          <w:marRight w:val="0"/>
          <w:marTop w:val="0"/>
          <w:marBottom w:val="0"/>
          <w:divBdr>
            <w:top w:val="none" w:sz="0" w:space="0" w:color="auto"/>
            <w:left w:val="none" w:sz="0" w:space="0" w:color="auto"/>
            <w:bottom w:val="none" w:sz="0" w:space="0" w:color="auto"/>
            <w:right w:val="none" w:sz="0" w:space="0" w:color="auto"/>
          </w:divBdr>
        </w:div>
        <w:div w:id="535704628">
          <w:marLeft w:val="547"/>
          <w:marRight w:val="0"/>
          <w:marTop w:val="0"/>
          <w:marBottom w:val="200"/>
          <w:divBdr>
            <w:top w:val="none" w:sz="0" w:space="0" w:color="auto"/>
            <w:left w:val="none" w:sz="0" w:space="0" w:color="auto"/>
            <w:bottom w:val="none" w:sz="0" w:space="0" w:color="auto"/>
            <w:right w:val="none" w:sz="0" w:space="0" w:color="auto"/>
          </w:divBdr>
        </w:div>
        <w:div w:id="212815043">
          <w:marLeft w:val="547"/>
          <w:marRight w:val="0"/>
          <w:marTop w:val="0"/>
          <w:marBottom w:val="200"/>
          <w:divBdr>
            <w:top w:val="none" w:sz="0" w:space="0" w:color="auto"/>
            <w:left w:val="none" w:sz="0" w:space="0" w:color="auto"/>
            <w:bottom w:val="none" w:sz="0" w:space="0" w:color="auto"/>
            <w:right w:val="none" w:sz="0" w:space="0" w:color="auto"/>
          </w:divBdr>
        </w:div>
      </w:divsChild>
    </w:div>
    <w:div w:id="1856963042">
      <w:bodyDiv w:val="1"/>
      <w:marLeft w:val="0"/>
      <w:marRight w:val="0"/>
      <w:marTop w:val="0"/>
      <w:marBottom w:val="0"/>
      <w:divBdr>
        <w:top w:val="none" w:sz="0" w:space="0" w:color="auto"/>
        <w:left w:val="none" w:sz="0" w:space="0" w:color="auto"/>
        <w:bottom w:val="none" w:sz="0" w:space="0" w:color="auto"/>
        <w:right w:val="none" w:sz="0" w:space="0" w:color="auto"/>
      </w:divBdr>
    </w:div>
    <w:div w:id="1896115792">
      <w:bodyDiv w:val="1"/>
      <w:marLeft w:val="0"/>
      <w:marRight w:val="0"/>
      <w:marTop w:val="0"/>
      <w:marBottom w:val="0"/>
      <w:divBdr>
        <w:top w:val="none" w:sz="0" w:space="0" w:color="auto"/>
        <w:left w:val="none" w:sz="0" w:space="0" w:color="auto"/>
        <w:bottom w:val="none" w:sz="0" w:space="0" w:color="auto"/>
        <w:right w:val="none" w:sz="0" w:space="0" w:color="auto"/>
      </w:divBdr>
    </w:div>
    <w:div w:id="1915896803">
      <w:bodyDiv w:val="1"/>
      <w:marLeft w:val="0"/>
      <w:marRight w:val="0"/>
      <w:marTop w:val="0"/>
      <w:marBottom w:val="0"/>
      <w:divBdr>
        <w:top w:val="none" w:sz="0" w:space="0" w:color="auto"/>
        <w:left w:val="none" w:sz="0" w:space="0" w:color="auto"/>
        <w:bottom w:val="none" w:sz="0" w:space="0" w:color="auto"/>
        <w:right w:val="none" w:sz="0" w:space="0" w:color="auto"/>
      </w:divBdr>
    </w:div>
    <w:div w:id="1927834966">
      <w:bodyDiv w:val="1"/>
      <w:marLeft w:val="0"/>
      <w:marRight w:val="0"/>
      <w:marTop w:val="0"/>
      <w:marBottom w:val="0"/>
      <w:divBdr>
        <w:top w:val="none" w:sz="0" w:space="0" w:color="auto"/>
        <w:left w:val="none" w:sz="0" w:space="0" w:color="auto"/>
        <w:bottom w:val="none" w:sz="0" w:space="0" w:color="auto"/>
        <w:right w:val="none" w:sz="0" w:space="0" w:color="auto"/>
      </w:divBdr>
    </w:div>
    <w:div w:id="1932422144">
      <w:bodyDiv w:val="1"/>
      <w:marLeft w:val="0"/>
      <w:marRight w:val="0"/>
      <w:marTop w:val="0"/>
      <w:marBottom w:val="0"/>
      <w:divBdr>
        <w:top w:val="none" w:sz="0" w:space="0" w:color="auto"/>
        <w:left w:val="none" w:sz="0" w:space="0" w:color="auto"/>
        <w:bottom w:val="none" w:sz="0" w:space="0" w:color="auto"/>
        <w:right w:val="none" w:sz="0" w:space="0" w:color="auto"/>
      </w:divBdr>
    </w:div>
    <w:div w:id="1943875971">
      <w:bodyDiv w:val="1"/>
      <w:marLeft w:val="0"/>
      <w:marRight w:val="0"/>
      <w:marTop w:val="0"/>
      <w:marBottom w:val="0"/>
      <w:divBdr>
        <w:top w:val="none" w:sz="0" w:space="0" w:color="auto"/>
        <w:left w:val="none" w:sz="0" w:space="0" w:color="auto"/>
        <w:bottom w:val="none" w:sz="0" w:space="0" w:color="auto"/>
        <w:right w:val="none" w:sz="0" w:space="0" w:color="auto"/>
      </w:divBdr>
    </w:div>
    <w:div w:id="1952777883">
      <w:bodyDiv w:val="1"/>
      <w:marLeft w:val="0"/>
      <w:marRight w:val="0"/>
      <w:marTop w:val="0"/>
      <w:marBottom w:val="0"/>
      <w:divBdr>
        <w:top w:val="none" w:sz="0" w:space="0" w:color="auto"/>
        <w:left w:val="none" w:sz="0" w:space="0" w:color="auto"/>
        <w:bottom w:val="none" w:sz="0" w:space="0" w:color="auto"/>
        <w:right w:val="none" w:sz="0" w:space="0" w:color="auto"/>
      </w:divBdr>
    </w:div>
    <w:div w:id="1956937010">
      <w:bodyDiv w:val="1"/>
      <w:marLeft w:val="0"/>
      <w:marRight w:val="0"/>
      <w:marTop w:val="0"/>
      <w:marBottom w:val="0"/>
      <w:divBdr>
        <w:top w:val="none" w:sz="0" w:space="0" w:color="auto"/>
        <w:left w:val="none" w:sz="0" w:space="0" w:color="auto"/>
        <w:bottom w:val="none" w:sz="0" w:space="0" w:color="auto"/>
        <w:right w:val="none" w:sz="0" w:space="0" w:color="auto"/>
      </w:divBdr>
    </w:div>
    <w:div w:id="2010210825">
      <w:bodyDiv w:val="1"/>
      <w:marLeft w:val="0"/>
      <w:marRight w:val="0"/>
      <w:marTop w:val="0"/>
      <w:marBottom w:val="0"/>
      <w:divBdr>
        <w:top w:val="none" w:sz="0" w:space="0" w:color="auto"/>
        <w:left w:val="none" w:sz="0" w:space="0" w:color="auto"/>
        <w:bottom w:val="none" w:sz="0" w:space="0" w:color="auto"/>
        <w:right w:val="none" w:sz="0" w:space="0" w:color="auto"/>
      </w:divBdr>
    </w:div>
    <w:div w:id="2043090463">
      <w:bodyDiv w:val="1"/>
      <w:marLeft w:val="0"/>
      <w:marRight w:val="0"/>
      <w:marTop w:val="0"/>
      <w:marBottom w:val="0"/>
      <w:divBdr>
        <w:top w:val="none" w:sz="0" w:space="0" w:color="auto"/>
        <w:left w:val="none" w:sz="0" w:space="0" w:color="auto"/>
        <w:bottom w:val="none" w:sz="0" w:space="0" w:color="auto"/>
        <w:right w:val="none" w:sz="0" w:space="0" w:color="auto"/>
      </w:divBdr>
    </w:div>
    <w:div w:id="2058162114">
      <w:bodyDiv w:val="1"/>
      <w:marLeft w:val="0"/>
      <w:marRight w:val="0"/>
      <w:marTop w:val="0"/>
      <w:marBottom w:val="0"/>
      <w:divBdr>
        <w:top w:val="none" w:sz="0" w:space="0" w:color="auto"/>
        <w:left w:val="none" w:sz="0" w:space="0" w:color="auto"/>
        <w:bottom w:val="none" w:sz="0" w:space="0" w:color="auto"/>
        <w:right w:val="none" w:sz="0" w:space="0" w:color="auto"/>
      </w:divBdr>
    </w:div>
    <w:div w:id="2063866809">
      <w:bodyDiv w:val="1"/>
      <w:marLeft w:val="0"/>
      <w:marRight w:val="0"/>
      <w:marTop w:val="0"/>
      <w:marBottom w:val="0"/>
      <w:divBdr>
        <w:top w:val="none" w:sz="0" w:space="0" w:color="auto"/>
        <w:left w:val="none" w:sz="0" w:space="0" w:color="auto"/>
        <w:bottom w:val="none" w:sz="0" w:space="0" w:color="auto"/>
        <w:right w:val="none" w:sz="0" w:space="0" w:color="auto"/>
      </w:divBdr>
    </w:div>
    <w:div w:id="2071228063">
      <w:bodyDiv w:val="1"/>
      <w:marLeft w:val="0"/>
      <w:marRight w:val="0"/>
      <w:marTop w:val="0"/>
      <w:marBottom w:val="0"/>
      <w:divBdr>
        <w:top w:val="none" w:sz="0" w:space="0" w:color="auto"/>
        <w:left w:val="none" w:sz="0" w:space="0" w:color="auto"/>
        <w:bottom w:val="none" w:sz="0" w:space="0" w:color="auto"/>
        <w:right w:val="none" w:sz="0" w:space="0" w:color="auto"/>
      </w:divBdr>
    </w:div>
    <w:div w:id="2133089104">
      <w:bodyDiv w:val="1"/>
      <w:marLeft w:val="0"/>
      <w:marRight w:val="0"/>
      <w:marTop w:val="0"/>
      <w:marBottom w:val="0"/>
      <w:divBdr>
        <w:top w:val="none" w:sz="0" w:space="0" w:color="auto"/>
        <w:left w:val="none" w:sz="0" w:space="0" w:color="auto"/>
        <w:bottom w:val="none" w:sz="0" w:space="0" w:color="auto"/>
        <w:right w:val="none" w:sz="0" w:space="0" w:color="auto"/>
      </w:divBdr>
    </w:div>
    <w:div w:id="2142377697">
      <w:bodyDiv w:val="1"/>
      <w:marLeft w:val="0"/>
      <w:marRight w:val="0"/>
      <w:marTop w:val="0"/>
      <w:marBottom w:val="0"/>
      <w:divBdr>
        <w:top w:val="none" w:sz="0" w:space="0" w:color="auto"/>
        <w:left w:val="none" w:sz="0" w:space="0" w:color="auto"/>
        <w:bottom w:val="none" w:sz="0" w:space="0" w:color="auto"/>
        <w:right w:val="none" w:sz="0" w:space="0" w:color="auto"/>
      </w:divBdr>
    </w:div>
    <w:div w:id="2142650041">
      <w:bodyDiv w:val="1"/>
      <w:marLeft w:val="0"/>
      <w:marRight w:val="0"/>
      <w:marTop w:val="0"/>
      <w:marBottom w:val="0"/>
      <w:divBdr>
        <w:top w:val="none" w:sz="0" w:space="0" w:color="auto"/>
        <w:left w:val="none" w:sz="0" w:space="0" w:color="auto"/>
        <w:bottom w:val="none" w:sz="0" w:space="0" w:color="auto"/>
        <w:right w:val="none" w:sz="0" w:space="0" w:color="auto"/>
      </w:divBdr>
    </w:div>
    <w:div w:id="214619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2.xml"/><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file:///\\MFP1934\retea%20on%2010.236.1.89\Executii\Executii%202023\Rapoarte%20LRF%202023\RAPORT%20SEMESTRIAL%202023\RAPORT%20SEM%20I%202023\CALCULE\Grafice%20CH%202023%20Progr%20-%20EXEC%20%20Sem%20I.xls!grafice%20%20CH!%5bGrafice%20CH%202023%20Progr%20-%20EXEC%20%20Sem%20I.xls%5dgrafice%20%20CH%20Chart%203-1"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oleObject" Target="file:///\\MFP1934\retea%20on%2010.236.1.89\Executii\Executii%202023\Rapoarte%20LRF%202023\RAPORT%20SEMESTRIAL%202023\RAPORT%20SEM%20I%202023\CALCULE\Grafice%20CH%202023%20Progr%20-%20EXEC%20%20Sem%20I.xls!grafice!%5bGrafice%20CH%202023%20Progr%20-%20EXEC%20%20Sem%20I.xls%5dgrafice%20Chart%203-1" TargetMode="External"/><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oleObject" Target="grafice!%5bGrafice%20CH%202023%20Progr%20-%20EXEC%20%20Sem%20I.xls%5dgrafice%20Chart%203-2" TargetMode="External"/><Relationship Id="rId23" Type="http://schemas.openxmlformats.org/officeDocument/2006/relationships/oleObject" Target="file:///\\MFP1934\retea%20on%2010.236.1.89\Executii\Executii%202023\Rapoarte%20LRF%202023\RAPORT%20SEMESTRIAL%202023\RAPORT%20SEM%20I%202023\CALCULE\solduri%202023.xls!solduri2023!R2C2:R14C5"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MFP1934\retea%20on%2010.236.1.89\Executii\Executii%202023\Rapoarte%20LRF%202023\RAPORT%20SEMESTRIAL%202023\RAPORT%20SEM%20I%202023\CALCULE\Grafice%20CH%202023%20Progr%20-%20EXEC%20%20Sem%20I.xls!grafice%20%20CH!%5bGrafice%20CH%202023%20Progr%20-%20EXEC%20%20Sem%20I.xls%5dgrafice%20%20CH%20Chart%203-2"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AppData\Local\Microsoft\Windows\INetCache\Content.Outlook\JR9MD8S0\Grafic%20comert%20(ianuarie%20-mai%20202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PRETURI\baze%20date%20preturi\ipc\RemusC%20IPC%20(total+componente)%20progn%20oficial%20din%20baza%20fix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view3D>
      <c:rotX val="0"/>
      <c:rotY val="20"/>
      <c:depthPercent val="90"/>
      <c:rAngAx val="0"/>
      <c:perspective val="0"/>
    </c:view3D>
    <c:floor>
      <c:thickness val="0"/>
      <c:spPr>
        <a:noFill/>
        <a:ln w="15875">
          <a:solidFill>
            <a:schemeClr val="bg1">
              <a:lumMod val="75000"/>
            </a:schemeClr>
          </a:solidFill>
        </a:ln>
        <a:scene3d>
          <a:camera prst="orthographicFront"/>
          <a:lightRig rig="threePt" dir="t"/>
        </a:scene3d>
        <a:sp3d>
          <a:contourClr>
            <a:srgbClr val="000000"/>
          </a:contourClr>
        </a:sp3d>
      </c:spPr>
    </c:floor>
    <c:sideWall>
      <c:thickness val="0"/>
      <c:spPr>
        <a:noFill/>
        <a:ln w="25400">
          <a:noFill/>
        </a:ln>
      </c:spPr>
    </c:sideWall>
    <c:backWall>
      <c:thickness val="0"/>
      <c:spPr>
        <a:noFill/>
        <a:ln w="25400">
          <a:noFill/>
        </a:ln>
        <a:effectLst>
          <a:outerShdw blurRad="1270000" dist="50800" dir="21540000" sx="200000" sy="200000" algn="ctr" rotWithShape="0">
            <a:srgbClr val="000000">
              <a:alpha val="0"/>
            </a:srgbClr>
          </a:outerShdw>
        </a:effectLst>
      </c:spPr>
    </c:backWall>
    <c:plotArea>
      <c:layout>
        <c:manualLayout>
          <c:layoutTarget val="inner"/>
          <c:xMode val="edge"/>
          <c:yMode val="edge"/>
          <c:x val="0.11473868939120567"/>
          <c:y val="0.11172208945302098"/>
          <c:w val="0.87312662885411962"/>
          <c:h val="0.67361686145375765"/>
        </c:manualLayout>
      </c:layout>
      <c:bar3DChart>
        <c:barDir val="col"/>
        <c:grouping val="clustered"/>
        <c:varyColors val="0"/>
        <c:ser>
          <c:idx val="1"/>
          <c:order val="0"/>
          <c:tx>
            <c:strRef>
              <c:f>'Grafic lunar comert'!$A$9</c:f>
              <c:strCache>
                <c:ptCount val="1"/>
                <c:pt idx="0">
                  <c:v>Export FOB</c:v>
                </c:pt>
              </c:strCache>
            </c:strRef>
          </c:tx>
          <c:spPr>
            <a:solidFill>
              <a:srgbClr val="008000"/>
            </a:solidFill>
            <a:ln>
              <a:solidFill>
                <a:srgbClr val="008000"/>
              </a:solidFill>
            </a:ln>
            <a:effectLst>
              <a:innerShdw blurRad="63500" dist="50800" dir="5400000">
                <a:prstClr val="black">
                  <a:alpha val="50000"/>
                </a:prstClr>
              </a:innerShdw>
            </a:effectLst>
          </c:spPr>
          <c:invertIfNegative val="0"/>
          <c:dLbls>
            <c:delete val="1"/>
          </c:dLbls>
          <c:cat>
            <c:strRef>
              <c:f>'Grafic lunar comert'!$B$8:$F$8</c:f>
              <c:strCache>
                <c:ptCount val="5"/>
                <c:pt idx="0">
                  <c:v>ian</c:v>
                </c:pt>
                <c:pt idx="1">
                  <c:v>feb</c:v>
                </c:pt>
                <c:pt idx="2">
                  <c:v>mart</c:v>
                </c:pt>
                <c:pt idx="3">
                  <c:v>apr</c:v>
                </c:pt>
                <c:pt idx="4">
                  <c:v>mai</c:v>
                </c:pt>
              </c:strCache>
            </c:strRef>
          </c:cat>
          <c:val>
            <c:numRef>
              <c:f>'Grafic lunar comert'!$B$9:$F$9</c:f>
              <c:numCache>
                <c:formatCode>0.0</c:formatCode>
                <c:ptCount val="5"/>
                <c:pt idx="0">
                  <c:v>7179</c:v>
                </c:pt>
                <c:pt idx="1">
                  <c:v>7875.7</c:v>
                </c:pt>
                <c:pt idx="2">
                  <c:v>8763.4</c:v>
                </c:pt>
                <c:pt idx="3">
                  <c:v>7225.8</c:v>
                </c:pt>
                <c:pt idx="4">
                  <c:v>8635.9</c:v>
                </c:pt>
              </c:numCache>
            </c:numRef>
          </c:val>
          <c:extLst>
            <c:ext xmlns:c16="http://schemas.microsoft.com/office/drawing/2014/chart" uri="{C3380CC4-5D6E-409C-BE32-E72D297353CC}">
              <c16:uniqueId val="{00000000-7654-4563-AF3D-481051DEC148}"/>
            </c:ext>
          </c:extLst>
        </c:ser>
        <c:ser>
          <c:idx val="2"/>
          <c:order val="1"/>
          <c:tx>
            <c:strRef>
              <c:f>'Grafic lunar comert'!$A$10</c:f>
              <c:strCache>
                <c:ptCount val="1"/>
                <c:pt idx="0">
                  <c:v>Import CIF</c:v>
                </c:pt>
              </c:strCache>
            </c:strRef>
          </c:tx>
          <c:spPr>
            <a:solidFill>
              <a:srgbClr val="99FF66"/>
            </a:solidFill>
            <a:ln w="0">
              <a:solidFill>
                <a:srgbClr val="28C646"/>
              </a:solidFill>
            </a:ln>
            <a:effectLst>
              <a:innerShdw blurRad="63500" dist="50800" dir="5400000">
                <a:prstClr val="black">
                  <a:alpha val="50000"/>
                </a:prstClr>
              </a:innerShdw>
            </a:effectLst>
          </c:spPr>
          <c:invertIfNegative val="0"/>
          <c:dLbls>
            <c:delete val="1"/>
          </c:dLbls>
          <c:cat>
            <c:strRef>
              <c:f>'Grafic lunar comert'!$B$8:$F$8</c:f>
              <c:strCache>
                <c:ptCount val="5"/>
                <c:pt idx="0">
                  <c:v>ian</c:v>
                </c:pt>
                <c:pt idx="1">
                  <c:v>feb</c:v>
                </c:pt>
                <c:pt idx="2">
                  <c:v>mart</c:v>
                </c:pt>
                <c:pt idx="3">
                  <c:v>apr</c:v>
                </c:pt>
                <c:pt idx="4">
                  <c:v>mai</c:v>
                </c:pt>
              </c:strCache>
            </c:strRef>
          </c:cat>
          <c:val>
            <c:numRef>
              <c:f>'Grafic lunar comert'!$B$10:$F$10</c:f>
              <c:numCache>
                <c:formatCode>0.0</c:formatCode>
                <c:ptCount val="5"/>
                <c:pt idx="0">
                  <c:v>9495.4</c:v>
                </c:pt>
                <c:pt idx="1">
                  <c:v>9927.7999999999938</c:v>
                </c:pt>
                <c:pt idx="2">
                  <c:v>11197.2</c:v>
                </c:pt>
                <c:pt idx="3">
                  <c:v>9302.7000000000007</c:v>
                </c:pt>
                <c:pt idx="4">
                  <c:v>10814.9</c:v>
                </c:pt>
              </c:numCache>
            </c:numRef>
          </c:val>
          <c:extLst>
            <c:ext xmlns:c16="http://schemas.microsoft.com/office/drawing/2014/chart" uri="{C3380CC4-5D6E-409C-BE32-E72D297353CC}">
              <c16:uniqueId val="{00000001-7654-4563-AF3D-481051DEC148}"/>
            </c:ext>
          </c:extLst>
        </c:ser>
        <c:ser>
          <c:idx val="3"/>
          <c:order val="2"/>
          <c:tx>
            <c:strRef>
              <c:f>'Grafic lunar comert'!$A$11</c:f>
              <c:strCache>
                <c:ptCount val="1"/>
                <c:pt idx="0">
                  <c:v>Sold</c:v>
                </c:pt>
              </c:strCache>
            </c:strRef>
          </c:tx>
          <c:spPr>
            <a:solidFill>
              <a:srgbClr val="66FFFF">
                <a:alpha val="92549"/>
              </a:srgbClr>
            </a:solidFill>
            <a:ln>
              <a:solidFill>
                <a:srgbClr val="00B0F0"/>
              </a:solidFill>
            </a:ln>
            <a:effectLst>
              <a:innerShdw blurRad="63500" dist="50800" dir="5400000">
                <a:schemeClr val="bg1">
                  <a:lumMod val="95000"/>
                  <a:alpha val="50000"/>
                </a:schemeClr>
              </a:innerShdw>
            </a:effectLst>
          </c:spPr>
          <c:invertIfNegative val="0"/>
          <c:dLbls>
            <c:dLbl>
              <c:idx val="0"/>
              <c:layout>
                <c:manualLayout>
                  <c:x val="6.1981179142411131E-4"/>
                  <c:y val="-4.319327340719582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654-4563-AF3D-481051DEC148}"/>
                </c:ext>
              </c:extLst>
            </c:dLbl>
            <c:dLbl>
              <c:idx val="1"/>
              <c:layout>
                <c:manualLayout>
                  <c:x val="5.2946981706468122E-3"/>
                  <c:y val="-1.770585092792605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654-4563-AF3D-481051DEC148}"/>
                </c:ext>
              </c:extLst>
            </c:dLbl>
            <c:dLbl>
              <c:idx val="2"/>
              <c:layout>
                <c:manualLayout>
                  <c:x val="3.1336219686326446E-3"/>
                  <c:y val="2.078833066220705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654-4563-AF3D-481051DEC148}"/>
                </c:ext>
              </c:extLst>
            </c:dLbl>
            <c:dLbl>
              <c:idx val="3"/>
              <c:layout>
                <c:manualLayout>
                  <c:x val="1.0409887261740644E-2"/>
                  <c:y val="-6.557266624857744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654-4563-AF3D-481051DEC148}"/>
                </c:ext>
              </c:extLst>
            </c:dLbl>
            <c:dLbl>
              <c:idx val="4"/>
              <c:layout>
                <c:manualLayout>
                  <c:x val="-1.3008131556575424E-2"/>
                  <c:y val="3.166561114629521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654-4563-AF3D-481051DEC148}"/>
                </c:ext>
              </c:extLst>
            </c:dLbl>
            <c:dLbl>
              <c:idx val="6"/>
              <c:layout>
                <c:manualLayout>
                  <c:x val="-1.114982496823336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654-4563-AF3D-481051DEC148}"/>
                </c:ext>
              </c:extLst>
            </c:dLbl>
            <c:spPr>
              <a:noFill/>
            </c:spPr>
            <c:txPr>
              <a:bodyPr/>
              <a:lstStyle/>
              <a:p>
                <a:pPr>
                  <a:defRPr sz="1000">
                    <a:latin typeface="Tahoma" pitchFamily="34" charset="0"/>
                    <a:ea typeface="Tahoma" pitchFamily="34" charset="0"/>
                    <a:cs typeface="Tahoma"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 lunar comert'!$B$8:$F$8</c:f>
              <c:strCache>
                <c:ptCount val="5"/>
                <c:pt idx="0">
                  <c:v>ian</c:v>
                </c:pt>
                <c:pt idx="1">
                  <c:v>feb</c:v>
                </c:pt>
                <c:pt idx="2">
                  <c:v>mart</c:v>
                </c:pt>
                <c:pt idx="3">
                  <c:v>apr</c:v>
                </c:pt>
                <c:pt idx="4">
                  <c:v>mai</c:v>
                </c:pt>
              </c:strCache>
            </c:strRef>
          </c:cat>
          <c:val>
            <c:numRef>
              <c:f>'Grafic lunar comert'!$B$11:$F$11</c:f>
              <c:numCache>
                <c:formatCode>0.0</c:formatCode>
                <c:ptCount val="5"/>
                <c:pt idx="0">
                  <c:v>-2316.3999999999996</c:v>
                </c:pt>
                <c:pt idx="1">
                  <c:v>-2052.0999999999995</c:v>
                </c:pt>
                <c:pt idx="2">
                  <c:v>-2433.8000000000011</c:v>
                </c:pt>
                <c:pt idx="3">
                  <c:v>-2076.9000000000005</c:v>
                </c:pt>
                <c:pt idx="4">
                  <c:v>-2179</c:v>
                </c:pt>
              </c:numCache>
            </c:numRef>
          </c:val>
          <c:extLst>
            <c:ext xmlns:c16="http://schemas.microsoft.com/office/drawing/2014/chart" uri="{C3380CC4-5D6E-409C-BE32-E72D297353CC}">
              <c16:uniqueId val="{00000008-7654-4563-AF3D-481051DEC148}"/>
            </c:ext>
          </c:extLst>
        </c:ser>
        <c:dLbls>
          <c:showLegendKey val="0"/>
          <c:showVal val="1"/>
          <c:showCatName val="0"/>
          <c:showSerName val="0"/>
          <c:showPercent val="0"/>
          <c:showBubbleSize val="0"/>
        </c:dLbls>
        <c:gapWidth val="33"/>
        <c:gapDepth val="143"/>
        <c:shape val="box"/>
        <c:axId val="251626240"/>
        <c:axId val="251627776"/>
        <c:axId val="0"/>
      </c:bar3DChart>
      <c:dateAx>
        <c:axId val="251626240"/>
        <c:scaling>
          <c:orientation val="minMax"/>
        </c:scaling>
        <c:delete val="0"/>
        <c:axPos val="b"/>
        <c:numFmt formatCode="General" sourceLinked="1"/>
        <c:majorTickMark val="none"/>
        <c:minorTickMark val="none"/>
        <c:tickLblPos val="low"/>
        <c:spPr>
          <a:noFill/>
          <a:ln w="0">
            <a:solidFill>
              <a:schemeClr val="bg1">
                <a:lumMod val="65000"/>
              </a:schemeClr>
            </a:solidFill>
          </a:ln>
        </c:spPr>
        <c:txPr>
          <a:bodyPr/>
          <a:lstStyle/>
          <a:p>
            <a:pPr>
              <a:defRPr sz="1000" b="0" baseline="0">
                <a:latin typeface="Tahoma" pitchFamily="34" charset="0"/>
                <a:ea typeface="Tahoma" pitchFamily="34" charset="0"/>
                <a:cs typeface="Tahoma" pitchFamily="34" charset="0"/>
              </a:defRPr>
            </a:pPr>
            <a:endParaRPr lang="en-US"/>
          </a:p>
        </c:txPr>
        <c:crossAx val="251627776"/>
        <c:crosses val="autoZero"/>
        <c:auto val="0"/>
        <c:lblOffset val="100"/>
        <c:baseTimeUnit val="days"/>
      </c:dateAx>
      <c:valAx>
        <c:axId val="251627776"/>
        <c:scaling>
          <c:orientation val="minMax"/>
          <c:max val="13000"/>
          <c:min val="-4000"/>
        </c:scaling>
        <c:delete val="0"/>
        <c:axPos val="l"/>
        <c:majorGridlines>
          <c:spPr>
            <a:ln>
              <a:solidFill>
                <a:schemeClr val="bg1">
                  <a:lumMod val="75000"/>
                </a:schemeClr>
              </a:solidFill>
            </a:ln>
            <a:effectLst>
              <a:outerShdw sx="1000" sy="1000" algn="ctr" rotWithShape="0">
                <a:sysClr val="window" lastClr="FFFFFF"/>
              </a:outerShdw>
            </a:effectLst>
          </c:spPr>
        </c:majorGridlines>
        <c:title>
          <c:tx>
            <c:rich>
              <a:bodyPr rot="0" vert="horz"/>
              <a:lstStyle/>
              <a:p>
                <a:pPr>
                  <a:defRPr sz="1000">
                    <a:latin typeface="Tahoma" pitchFamily="34" charset="0"/>
                    <a:ea typeface="Tahoma" pitchFamily="34" charset="0"/>
                    <a:cs typeface="Tahoma" pitchFamily="34" charset="0"/>
                  </a:defRPr>
                </a:pPr>
                <a:r>
                  <a:rPr lang="en-US" sz="1000">
                    <a:latin typeface="Tahoma" pitchFamily="34" charset="0"/>
                    <a:ea typeface="Tahoma" pitchFamily="34" charset="0"/>
                    <a:cs typeface="Tahoma" pitchFamily="34" charset="0"/>
                  </a:rPr>
                  <a:t> - mil. euro -</a:t>
                </a:r>
              </a:p>
            </c:rich>
          </c:tx>
          <c:layout>
            <c:manualLayout>
              <c:xMode val="edge"/>
              <c:yMode val="edge"/>
              <c:x val="0.80494137584326786"/>
              <c:y val="8.1446855444085711E-2"/>
            </c:manualLayout>
          </c:layout>
          <c:overlay val="0"/>
        </c:title>
        <c:numFmt formatCode="0" sourceLinked="0"/>
        <c:majorTickMark val="out"/>
        <c:minorTickMark val="none"/>
        <c:tickLblPos val="nextTo"/>
        <c:spPr>
          <a:noFill/>
          <a:ln>
            <a:solidFill>
              <a:schemeClr val="bg1">
                <a:lumMod val="75000"/>
                <a:alpha val="99000"/>
              </a:schemeClr>
            </a:solidFill>
          </a:ln>
          <a:effectLst>
            <a:outerShdw blurRad="50800" dist="50800" dir="5400000" algn="ctr" rotWithShape="0">
              <a:schemeClr val="bg1"/>
            </a:outerShdw>
          </a:effectLst>
        </c:spPr>
        <c:txPr>
          <a:bodyPr rot="0"/>
          <a:lstStyle/>
          <a:p>
            <a:pPr algn="ctr">
              <a:defRPr sz="1000">
                <a:latin typeface="Tahoma" pitchFamily="34" charset="0"/>
                <a:ea typeface="Tahoma" pitchFamily="34" charset="0"/>
                <a:cs typeface="Tahoma" pitchFamily="34" charset="0"/>
              </a:defRPr>
            </a:pPr>
            <a:endParaRPr lang="en-US"/>
          </a:p>
        </c:txPr>
        <c:crossAx val="251626240"/>
        <c:crosses val="autoZero"/>
        <c:crossBetween val="between"/>
      </c:valAx>
      <c:spPr>
        <a:ln w="25400">
          <a:noFill/>
        </a:ln>
      </c:spPr>
    </c:plotArea>
    <c:legend>
      <c:legendPos val="b"/>
      <c:layout>
        <c:manualLayout>
          <c:xMode val="edge"/>
          <c:yMode val="edge"/>
          <c:x val="0.12410175393864561"/>
          <c:y val="0.8996960054174542"/>
          <c:w val="0.76575102923122262"/>
          <c:h val="9.0253690403660367E-2"/>
        </c:manualLayout>
      </c:layout>
      <c:overlay val="0"/>
      <c:spPr>
        <a:solidFill>
          <a:schemeClr val="bg1">
            <a:lumMod val="95000"/>
            <a:alpha val="1000"/>
          </a:schemeClr>
        </a:solidFill>
        <a:ln>
          <a:noFill/>
        </a:ln>
      </c:spPr>
      <c:txPr>
        <a:bodyPr/>
        <a:lstStyle/>
        <a:p>
          <a:pPr>
            <a:defRPr sz="1000" b="0" i="0" baseline="0">
              <a:latin typeface="Tahoma" pitchFamily="34" charset="0"/>
              <a:ea typeface="Tahoma" pitchFamily="34" charset="0"/>
              <a:cs typeface="Tahoma" pitchFamily="34" charset="0"/>
            </a:defRPr>
          </a:pPr>
          <a:endParaRPr lang="en-US"/>
        </a:p>
      </c:txPr>
    </c:legend>
    <c:plotVisOnly val="1"/>
    <c:dispBlanksAs val="gap"/>
    <c:showDLblsOverMax val="0"/>
  </c:chart>
  <c:spPr>
    <a:solidFill>
      <a:schemeClr val="bg1">
        <a:lumMod val="95000"/>
      </a:schemeClr>
    </a:solidFill>
    <a:ln w="12700">
      <a:solidFill>
        <a:schemeClr val="bg1">
          <a:lumMod val="75000"/>
        </a:schemeClr>
      </a:solidFill>
    </a:ln>
    <a:effectLst>
      <a:outerShdw blurRad="50800" dist="50800" dir="5400000" algn="ctr" rotWithShape="0">
        <a:schemeClr val="bg1"/>
      </a:outerShdw>
    </a:effectLst>
  </c:spPr>
  <c:txPr>
    <a:bodyPr/>
    <a:lstStyle/>
    <a:p>
      <a:pPr>
        <a:defRPr sz="1100">
          <a:latin typeface="+mn-l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rAngAx val="0"/>
      <c:perspective val="0"/>
    </c:view3D>
    <c:floor>
      <c:thickness val="0"/>
    </c:floor>
    <c:sideWall>
      <c:thickness val="0"/>
      <c:spPr>
        <a:solidFill>
          <a:schemeClr val="bg1">
            <a:lumMod val="95000"/>
          </a:schemeClr>
        </a:solidFill>
      </c:spPr>
    </c:sideWall>
    <c:backWall>
      <c:thickness val="0"/>
      <c:spPr>
        <a:solidFill>
          <a:schemeClr val="bg1">
            <a:lumMod val="95000"/>
          </a:schemeClr>
        </a:solidFill>
      </c:spPr>
    </c:backWall>
    <c:plotArea>
      <c:layout>
        <c:manualLayout>
          <c:layoutTarget val="inner"/>
          <c:xMode val="edge"/>
          <c:yMode val="edge"/>
          <c:x val="6.4847691894797319E-2"/>
          <c:y val="0.11233359746434231"/>
          <c:w val="0.92792448413890005"/>
          <c:h val="0.59891216132369218"/>
        </c:manualLayout>
      </c:layout>
      <c:bar3DChart>
        <c:barDir val="col"/>
        <c:grouping val="stacked"/>
        <c:varyColors val="0"/>
        <c:ser>
          <c:idx val="0"/>
          <c:order val="0"/>
          <c:tx>
            <c:v>Bunuri Alimentare</c:v>
          </c:tx>
          <c:spPr>
            <a:solidFill>
              <a:srgbClr val="33CCCC"/>
            </a:solidFill>
          </c:spPr>
          <c:invertIfNegative val="0"/>
          <c:cat>
            <c:strRef>
              <c:f>'grafic contributii 2019-2022'!$C$16:$C$56</c:f>
              <c:strCache>
                <c:ptCount val="41"/>
                <c:pt idx="0">
                  <c:v>ian.20</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pt idx="12">
                  <c:v>ian.21</c:v>
                </c:pt>
                <c:pt idx="13">
                  <c:v>februarie</c:v>
                </c:pt>
                <c:pt idx="14">
                  <c:v>martie</c:v>
                </c:pt>
                <c:pt idx="15">
                  <c:v>aprilie</c:v>
                </c:pt>
                <c:pt idx="16">
                  <c:v>mai</c:v>
                </c:pt>
                <c:pt idx="17">
                  <c:v>iunie</c:v>
                </c:pt>
                <c:pt idx="18">
                  <c:v>iulie</c:v>
                </c:pt>
                <c:pt idx="19">
                  <c:v>august</c:v>
                </c:pt>
                <c:pt idx="20">
                  <c:v>septembrie</c:v>
                </c:pt>
                <c:pt idx="21">
                  <c:v>octombrie</c:v>
                </c:pt>
                <c:pt idx="22">
                  <c:v>noiembrie</c:v>
                </c:pt>
                <c:pt idx="23">
                  <c:v>decembrie</c:v>
                </c:pt>
                <c:pt idx="24">
                  <c:v>ian.22</c:v>
                </c:pt>
                <c:pt idx="25">
                  <c:v>februarie</c:v>
                </c:pt>
                <c:pt idx="26">
                  <c:v>martie</c:v>
                </c:pt>
                <c:pt idx="27">
                  <c:v>aprilie</c:v>
                </c:pt>
                <c:pt idx="28">
                  <c:v>mai</c:v>
                </c:pt>
                <c:pt idx="29">
                  <c:v>iunie</c:v>
                </c:pt>
                <c:pt idx="30">
                  <c:v>iulie</c:v>
                </c:pt>
                <c:pt idx="31">
                  <c:v>august</c:v>
                </c:pt>
                <c:pt idx="32">
                  <c:v>septembrie</c:v>
                </c:pt>
                <c:pt idx="33">
                  <c:v>octombrie</c:v>
                </c:pt>
                <c:pt idx="34">
                  <c:v>noiembrie</c:v>
                </c:pt>
                <c:pt idx="35">
                  <c:v>decembrie</c:v>
                </c:pt>
                <c:pt idx="36">
                  <c:v>ian.23</c:v>
                </c:pt>
                <c:pt idx="37">
                  <c:v>februarie</c:v>
                </c:pt>
                <c:pt idx="38">
                  <c:v>martie</c:v>
                </c:pt>
                <c:pt idx="39">
                  <c:v>aprilie</c:v>
                </c:pt>
                <c:pt idx="40">
                  <c:v>mai</c:v>
                </c:pt>
              </c:strCache>
            </c:strRef>
          </c:cat>
          <c:val>
            <c:numRef>
              <c:f>'grafic contributii 2019-2022'!$D$16:$D$56</c:f>
              <c:numCache>
                <c:formatCode>0.00</c:formatCode>
                <c:ptCount val="41"/>
                <c:pt idx="0">
                  <c:v>1.4873741804585996</c:v>
                </c:pt>
                <c:pt idx="1">
                  <c:v>1.2803000003794078</c:v>
                </c:pt>
                <c:pt idx="2">
                  <c:v>1.5990701605114581</c:v>
                </c:pt>
                <c:pt idx="3">
                  <c:v>1.7921599868356821</c:v>
                </c:pt>
                <c:pt idx="4">
                  <c:v>1.6439735746931303</c:v>
                </c:pt>
                <c:pt idx="5">
                  <c:v>1.6749644449415881</c:v>
                </c:pt>
                <c:pt idx="6">
                  <c:v>1.7458302444838079</c:v>
                </c:pt>
                <c:pt idx="7">
                  <c:v>1.706591043899033</c:v>
                </c:pt>
                <c:pt idx="8">
                  <c:v>1.5528571850781621</c:v>
                </c:pt>
                <c:pt idx="9">
                  <c:v>1.3598807739177261</c:v>
                </c:pt>
                <c:pt idx="10">
                  <c:v>1.1927936755142738</c:v>
                </c:pt>
                <c:pt idx="11">
                  <c:v>1.0152267643251718</c:v>
                </c:pt>
                <c:pt idx="12">
                  <c:v>0.88299387831909326</c:v>
                </c:pt>
                <c:pt idx="13">
                  <c:v>0.82744227372370671</c:v>
                </c:pt>
                <c:pt idx="14">
                  <c:v>0.48789190889348288</c:v>
                </c:pt>
                <c:pt idx="15">
                  <c:v>0.23380440605372541</c:v>
                </c:pt>
                <c:pt idx="16">
                  <c:v>0.46779286540396431</c:v>
                </c:pt>
                <c:pt idx="17">
                  <c:v>0.66472244086185595</c:v>
                </c:pt>
                <c:pt idx="18">
                  <c:v>0.71654982397630962</c:v>
                </c:pt>
                <c:pt idx="19">
                  <c:v>0.83003610336795997</c:v>
                </c:pt>
                <c:pt idx="20">
                  <c:v>1.3068663952228627</c:v>
                </c:pt>
                <c:pt idx="21">
                  <c:v>1.6104070907169241</c:v>
                </c:pt>
                <c:pt idx="22">
                  <c:v>1.8730128084118782</c:v>
                </c:pt>
                <c:pt idx="23">
                  <c:v>2.0530199510603202</c:v>
                </c:pt>
                <c:pt idx="24">
                  <c:v>2.3919413224313244</c:v>
                </c:pt>
                <c:pt idx="25">
                  <c:v>2.9204563412927151</c:v>
                </c:pt>
                <c:pt idx="26">
                  <c:v>3.6993325234864112</c:v>
                </c:pt>
                <c:pt idx="27">
                  <c:v>4.4705548184072672</c:v>
                </c:pt>
                <c:pt idx="28">
                  <c:v>4.7062184940608578</c:v>
                </c:pt>
                <c:pt idx="29">
                  <c:v>4.8443160715525675</c:v>
                </c:pt>
                <c:pt idx="30">
                  <c:v>5.3008033935544834</c:v>
                </c:pt>
                <c:pt idx="31">
                  <c:v>6.0178184336266698</c:v>
                </c:pt>
                <c:pt idx="32">
                  <c:v>6.3135335979025768</c:v>
                </c:pt>
                <c:pt idx="33">
                  <c:v>6.7946756727945585</c:v>
                </c:pt>
                <c:pt idx="34">
                  <c:v>7.1152163235229455</c:v>
                </c:pt>
                <c:pt idx="35">
                  <c:v>7.2811152375376365</c:v>
                </c:pt>
                <c:pt idx="36">
                  <c:v>7.250115538695697</c:v>
                </c:pt>
                <c:pt idx="37">
                  <c:v>7.2089706888772556</c:v>
                </c:pt>
                <c:pt idx="38">
                  <c:v>6.9564367125075552</c:v>
                </c:pt>
                <c:pt idx="39">
                  <c:v>6.3999225562862696</c:v>
                </c:pt>
                <c:pt idx="40">
                  <c:v>6.0431280421219604</c:v>
                </c:pt>
              </c:numCache>
            </c:numRef>
          </c:val>
          <c:extLst>
            <c:ext xmlns:c16="http://schemas.microsoft.com/office/drawing/2014/chart" uri="{C3380CC4-5D6E-409C-BE32-E72D297353CC}">
              <c16:uniqueId val="{00000000-F324-473D-B1BF-86C6B613EA68}"/>
            </c:ext>
          </c:extLst>
        </c:ser>
        <c:ser>
          <c:idx val="1"/>
          <c:order val="1"/>
          <c:tx>
            <c:v>Bunuri Nealimentare</c:v>
          </c:tx>
          <c:spPr>
            <a:solidFill>
              <a:srgbClr val="CCFFCC"/>
            </a:solidFill>
          </c:spPr>
          <c:invertIfNegative val="0"/>
          <c:cat>
            <c:strRef>
              <c:f>'grafic contributii 2019-2022'!$C$16:$C$56</c:f>
              <c:strCache>
                <c:ptCount val="41"/>
                <c:pt idx="0">
                  <c:v>ian.20</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pt idx="12">
                  <c:v>ian.21</c:v>
                </c:pt>
                <c:pt idx="13">
                  <c:v>februarie</c:v>
                </c:pt>
                <c:pt idx="14">
                  <c:v>martie</c:v>
                </c:pt>
                <c:pt idx="15">
                  <c:v>aprilie</c:v>
                </c:pt>
                <c:pt idx="16">
                  <c:v>mai</c:v>
                </c:pt>
                <c:pt idx="17">
                  <c:v>iunie</c:v>
                </c:pt>
                <c:pt idx="18">
                  <c:v>iulie</c:v>
                </c:pt>
                <c:pt idx="19">
                  <c:v>august</c:v>
                </c:pt>
                <c:pt idx="20">
                  <c:v>septembrie</c:v>
                </c:pt>
                <c:pt idx="21">
                  <c:v>octombrie</c:v>
                </c:pt>
                <c:pt idx="22">
                  <c:v>noiembrie</c:v>
                </c:pt>
                <c:pt idx="23">
                  <c:v>decembrie</c:v>
                </c:pt>
                <c:pt idx="24">
                  <c:v>ian.22</c:v>
                </c:pt>
                <c:pt idx="25">
                  <c:v>februarie</c:v>
                </c:pt>
                <c:pt idx="26">
                  <c:v>martie</c:v>
                </c:pt>
                <c:pt idx="27">
                  <c:v>aprilie</c:v>
                </c:pt>
                <c:pt idx="28">
                  <c:v>mai</c:v>
                </c:pt>
                <c:pt idx="29">
                  <c:v>iunie</c:v>
                </c:pt>
                <c:pt idx="30">
                  <c:v>iulie</c:v>
                </c:pt>
                <c:pt idx="31">
                  <c:v>august</c:v>
                </c:pt>
                <c:pt idx="32">
                  <c:v>septembrie</c:v>
                </c:pt>
                <c:pt idx="33">
                  <c:v>octombrie</c:v>
                </c:pt>
                <c:pt idx="34">
                  <c:v>noiembrie</c:v>
                </c:pt>
                <c:pt idx="35">
                  <c:v>decembrie</c:v>
                </c:pt>
                <c:pt idx="36">
                  <c:v>ian.23</c:v>
                </c:pt>
                <c:pt idx="37">
                  <c:v>februarie</c:v>
                </c:pt>
                <c:pt idx="38">
                  <c:v>martie</c:v>
                </c:pt>
                <c:pt idx="39">
                  <c:v>aprilie</c:v>
                </c:pt>
                <c:pt idx="40">
                  <c:v>mai</c:v>
                </c:pt>
              </c:strCache>
            </c:strRef>
          </c:cat>
          <c:val>
            <c:numRef>
              <c:f>'grafic contributii 2019-2022'!$E$16:$E$56</c:f>
              <c:numCache>
                <c:formatCode>0.00</c:formatCode>
                <c:ptCount val="41"/>
                <c:pt idx="0">
                  <c:v>1.2943527392488194</c:v>
                </c:pt>
                <c:pt idx="1">
                  <c:v>0.98463708209140743</c:v>
                </c:pt>
                <c:pt idx="2">
                  <c:v>0.67364144708535534</c:v>
                </c:pt>
                <c:pt idx="3">
                  <c:v>0.25817708825419905</c:v>
                </c:pt>
                <c:pt idx="4">
                  <c:v>7.3415225377800153E-2</c:v>
                </c:pt>
                <c:pt idx="5">
                  <c:v>0.32708273519537528</c:v>
                </c:pt>
                <c:pt idx="6">
                  <c:v>0.42715020738244558</c:v>
                </c:pt>
                <c:pt idx="7">
                  <c:v>0.36258418860363051</c:v>
                </c:pt>
                <c:pt idx="8">
                  <c:v>0.29812596144775444</c:v>
                </c:pt>
                <c:pt idx="9">
                  <c:v>0.29165728141744307</c:v>
                </c:pt>
                <c:pt idx="10">
                  <c:v>0.37537978762341068</c:v>
                </c:pt>
                <c:pt idx="11">
                  <c:v>0.48997037396027293</c:v>
                </c:pt>
                <c:pt idx="12">
                  <c:v>1.5870689936964488</c:v>
                </c:pt>
                <c:pt idx="13">
                  <c:v>1.8555283867069639</c:v>
                </c:pt>
                <c:pt idx="14">
                  <c:v>2.1322982708023832</c:v>
                </c:pt>
                <c:pt idx="15">
                  <c:v>2.5408936470933412</c:v>
                </c:pt>
                <c:pt idx="16">
                  <c:v>2.7815766173624836</c:v>
                </c:pt>
                <c:pt idx="17">
                  <c:v>2.7845696332675494</c:v>
                </c:pt>
                <c:pt idx="18">
                  <c:v>3.7295435604936382</c:v>
                </c:pt>
                <c:pt idx="19">
                  <c:v>3.8633617245689296</c:v>
                </c:pt>
                <c:pt idx="20">
                  <c:v>4.2517090800294834</c:v>
                </c:pt>
                <c:pt idx="21">
                  <c:v>5.5594783622343824</c:v>
                </c:pt>
                <c:pt idx="22">
                  <c:v>5.1160142557522681</c:v>
                </c:pt>
                <c:pt idx="23">
                  <c:v>5.2354007608061703</c:v>
                </c:pt>
                <c:pt idx="24">
                  <c:v>5.0260125347680775</c:v>
                </c:pt>
                <c:pt idx="25">
                  <c:v>4.6063137334017474</c:v>
                </c:pt>
                <c:pt idx="26">
                  <c:v>5.3629510934664726</c:v>
                </c:pt>
                <c:pt idx="27">
                  <c:v>8.0730205860391688</c:v>
                </c:pt>
                <c:pt idx="28">
                  <c:v>8.4856175219471268</c:v>
                </c:pt>
                <c:pt idx="29">
                  <c:v>8.8465258208741915</c:v>
                </c:pt>
                <c:pt idx="30">
                  <c:v>8.1904905769971528</c:v>
                </c:pt>
                <c:pt idx="31">
                  <c:v>7.8902028965905053</c:v>
                </c:pt>
                <c:pt idx="32">
                  <c:v>8.2022824455134931</c:v>
                </c:pt>
                <c:pt idx="33">
                  <c:v>7.0961057923981103</c:v>
                </c:pt>
                <c:pt idx="34">
                  <c:v>7.9840930088737734</c:v>
                </c:pt>
                <c:pt idx="35">
                  <c:v>7.3843744482652687</c:v>
                </c:pt>
                <c:pt idx="36">
                  <c:v>5.835447239341284</c:v>
                </c:pt>
                <c:pt idx="37">
                  <c:v>6.253446139646119</c:v>
                </c:pt>
                <c:pt idx="38">
                  <c:v>5.4322470179404414</c:v>
                </c:pt>
                <c:pt idx="39">
                  <c:v>2.8625554154847963</c:v>
                </c:pt>
                <c:pt idx="40">
                  <c:v>2.5320322437306007</c:v>
                </c:pt>
              </c:numCache>
            </c:numRef>
          </c:val>
          <c:extLst>
            <c:ext xmlns:c16="http://schemas.microsoft.com/office/drawing/2014/chart" uri="{C3380CC4-5D6E-409C-BE32-E72D297353CC}">
              <c16:uniqueId val="{00000001-F324-473D-B1BF-86C6B613EA68}"/>
            </c:ext>
          </c:extLst>
        </c:ser>
        <c:ser>
          <c:idx val="2"/>
          <c:order val="2"/>
          <c:tx>
            <c:v>Servicii</c:v>
          </c:tx>
          <c:spPr>
            <a:solidFill>
              <a:srgbClr val="1A961D"/>
            </a:solidFill>
          </c:spPr>
          <c:invertIfNegative val="0"/>
          <c:cat>
            <c:strRef>
              <c:f>'grafic contributii 2019-2022'!$C$16:$C$56</c:f>
              <c:strCache>
                <c:ptCount val="41"/>
                <c:pt idx="0">
                  <c:v>ian.20</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pt idx="12">
                  <c:v>ian.21</c:v>
                </c:pt>
                <c:pt idx="13">
                  <c:v>februarie</c:v>
                </c:pt>
                <c:pt idx="14">
                  <c:v>martie</c:v>
                </c:pt>
                <c:pt idx="15">
                  <c:v>aprilie</c:v>
                </c:pt>
                <c:pt idx="16">
                  <c:v>mai</c:v>
                </c:pt>
                <c:pt idx="17">
                  <c:v>iunie</c:v>
                </c:pt>
                <c:pt idx="18">
                  <c:v>iulie</c:v>
                </c:pt>
                <c:pt idx="19">
                  <c:v>august</c:v>
                </c:pt>
                <c:pt idx="20">
                  <c:v>septembrie</c:v>
                </c:pt>
                <c:pt idx="21">
                  <c:v>octombrie</c:v>
                </c:pt>
                <c:pt idx="22">
                  <c:v>noiembrie</c:v>
                </c:pt>
                <c:pt idx="23">
                  <c:v>decembrie</c:v>
                </c:pt>
                <c:pt idx="24">
                  <c:v>ian.22</c:v>
                </c:pt>
                <c:pt idx="25">
                  <c:v>februarie</c:v>
                </c:pt>
                <c:pt idx="26">
                  <c:v>martie</c:v>
                </c:pt>
                <c:pt idx="27">
                  <c:v>aprilie</c:v>
                </c:pt>
                <c:pt idx="28">
                  <c:v>mai</c:v>
                </c:pt>
                <c:pt idx="29">
                  <c:v>iunie</c:v>
                </c:pt>
                <c:pt idx="30">
                  <c:v>iulie</c:v>
                </c:pt>
                <c:pt idx="31">
                  <c:v>august</c:v>
                </c:pt>
                <c:pt idx="32">
                  <c:v>septembrie</c:v>
                </c:pt>
                <c:pt idx="33">
                  <c:v>octombrie</c:v>
                </c:pt>
                <c:pt idx="34">
                  <c:v>noiembrie</c:v>
                </c:pt>
                <c:pt idx="35">
                  <c:v>decembrie</c:v>
                </c:pt>
                <c:pt idx="36">
                  <c:v>ian.23</c:v>
                </c:pt>
                <c:pt idx="37">
                  <c:v>februarie</c:v>
                </c:pt>
                <c:pt idx="38">
                  <c:v>martie</c:v>
                </c:pt>
                <c:pt idx="39">
                  <c:v>aprilie</c:v>
                </c:pt>
                <c:pt idx="40">
                  <c:v>mai</c:v>
                </c:pt>
              </c:strCache>
            </c:strRef>
          </c:cat>
          <c:val>
            <c:numRef>
              <c:f>'grafic contributii 2019-2022'!$F$16:$F$56</c:f>
              <c:numCache>
                <c:formatCode>0.00</c:formatCode>
                <c:ptCount val="41"/>
                <c:pt idx="0">
                  <c:v>0.8147189333048519</c:v>
                </c:pt>
                <c:pt idx="1">
                  <c:v>0.78090672741915379</c:v>
                </c:pt>
                <c:pt idx="2">
                  <c:v>0.77133199579216749</c:v>
                </c:pt>
                <c:pt idx="3">
                  <c:v>0.62114051179710361</c:v>
                </c:pt>
                <c:pt idx="4">
                  <c:v>0.52870534449005702</c:v>
                </c:pt>
                <c:pt idx="5">
                  <c:v>0.56506600292415166</c:v>
                </c:pt>
                <c:pt idx="6">
                  <c:v>0.61012041025017028</c:v>
                </c:pt>
                <c:pt idx="7">
                  <c:v>0.6029219897382847</c:v>
                </c:pt>
                <c:pt idx="8">
                  <c:v>0.58756189576938944</c:v>
                </c:pt>
                <c:pt idx="9">
                  <c:v>0.57969281979678922</c:v>
                </c:pt>
                <c:pt idx="10">
                  <c:v>0.56302642606178266</c:v>
                </c:pt>
                <c:pt idx="11">
                  <c:v>0.54672401367260148</c:v>
                </c:pt>
                <c:pt idx="12">
                  <c:v>0.5141961579389035</c:v>
                </c:pt>
                <c:pt idx="13">
                  <c:v>0.47618826291292143</c:v>
                </c:pt>
                <c:pt idx="14">
                  <c:v>0.45309475898863699</c:v>
                </c:pt>
                <c:pt idx="15">
                  <c:v>0.53625470157578714</c:v>
                </c:pt>
                <c:pt idx="16">
                  <c:v>0.57018886448902462</c:v>
                </c:pt>
                <c:pt idx="17">
                  <c:v>0.54610536372925556</c:v>
                </c:pt>
                <c:pt idx="18">
                  <c:v>0.56211654927403276</c:v>
                </c:pt>
                <c:pt idx="19">
                  <c:v>0.60862401332303273</c:v>
                </c:pt>
                <c:pt idx="20">
                  <c:v>0.76964719038409135</c:v>
                </c:pt>
                <c:pt idx="21">
                  <c:v>0.81297303821538902</c:v>
                </c:pt>
                <c:pt idx="22">
                  <c:v>0.8402298776267213</c:v>
                </c:pt>
                <c:pt idx="23">
                  <c:v>0.92087734774591457</c:v>
                </c:pt>
                <c:pt idx="24">
                  <c:v>0.99549189402335869</c:v>
                </c:pt>
                <c:pt idx="25">
                  <c:v>1.069489998240009</c:v>
                </c:pt>
                <c:pt idx="26">
                  <c:v>1.1490736328074778</c:v>
                </c:pt>
                <c:pt idx="27">
                  <c:v>1.2512684718171618</c:v>
                </c:pt>
                <c:pt idx="28">
                  <c:v>1.3152554893809385</c:v>
                </c:pt>
                <c:pt idx="29">
                  <c:v>1.3740547314436835</c:v>
                </c:pt>
                <c:pt idx="30">
                  <c:v>1.4661948394326578</c:v>
                </c:pt>
                <c:pt idx="31">
                  <c:v>1.4543037930061835</c:v>
                </c:pt>
                <c:pt idx="32">
                  <c:v>1.4086108918809719</c:v>
                </c:pt>
                <c:pt idx="33">
                  <c:v>1.4621331177060588</c:v>
                </c:pt>
                <c:pt idx="34">
                  <c:v>1.673270322571266</c:v>
                </c:pt>
                <c:pt idx="35">
                  <c:v>1.7218786399787946</c:v>
                </c:pt>
                <c:pt idx="36">
                  <c:v>1.9127802552134328</c:v>
                </c:pt>
                <c:pt idx="37">
                  <c:v>1.9325539101124762</c:v>
                </c:pt>
                <c:pt idx="38">
                  <c:v>2.0162525056491032</c:v>
                </c:pt>
                <c:pt idx="39">
                  <c:v>1.9810215301260721</c:v>
                </c:pt>
                <c:pt idx="40">
                  <c:v>2.077887675323872</c:v>
                </c:pt>
              </c:numCache>
            </c:numRef>
          </c:val>
          <c:extLst>
            <c:ext xmlns:c16="http://schemas.microsoft.com/office/drawing/2014/chart" uri="{C3380CC4-5D6E-409C-BE32-E72D297353CC}">
              <c16:uniqueId val="{00000002-F324-473D-B1BF-86C6B613EA68}"/>
            </c:ext>
          </c:extLst>
        </c:ser>
        <c:dLbls>
          <c:showLegendKey val="0"/>
          <c:showVal val="0"/>
          <c:showCatName val="0"/>
          <c:showSerName val="0"/>
          <c:showPercent val="0"/>
          <c:showBubbleSize val="0"/>
        </c:dLbls>
        <c:gapWidth val="150"/>
        <c:shape val="cylinder"/>
        <c:axId val="251618432"/>
        <c:axId val="251619968"/>
        <c:axId val="0"/>
      </c:bar3DChart>
      <c:catAx>
        <c:axId val="251618432"/>
        <c:scaling>
          <c:orientation val="minMax"/>
        </c:scaling>
        <c:delete val="0"/>
        <c:axPos val="b"/>
        <c:numFmt formatCode="General" sourceLinked="0"/>
        <c:majorTickMark val="out"/>
        <c:minorTickMark val="none"/>
        <c:tickLblPos val="nextTo"/>
        <c:txPr>
          <a:bodyPr rot="-2100000"/>
          <a:lstStyle/>
          <a:p>
            <a:pPr>
              <a:defRPr sz="600"/>
            </a:pPr>
            <a:endParaRPr lang="en-US"/>
          </a:p>
        </c:txPr>
        <c:crossAx val="251619968"/>
        <c:crosses val="autoZero"/>
        <c:auto val="1"/>
        <c:lblAlgn val="ctr"/>
        <c:lblOffset val="100"/>
        <c:noMultiLvlLbl val="0"/>
      </c:catAx>
      <c:valAx>
        <c:axId val="251619968"/>
        <c:scaling>
          <c:orientation val="minMax"/>
          <c:max val="17"/>
        </c:scaling>
        <c:delete val="0"/>
        <c:axPos val="l"/>
        <c:majorGridlines>
          <c:spPr>
            <a:ln>
              <a:solidFill>
                <a:schemeClr val="bg1">
                  <a:lumMod val="75000"/>
                </a:schemeClr>
              </a:solidFill>
            </a:ln>
          </c:spPr>
        </c:majorGridlines>
        <c:numFmt formatCode="0" sourceLinked="0"/>
        <c:majorTickMark val="out"/>
        <c:minorTickMark val="none"/>
        <c:tickLblPos val="nextTo"/>
        <c:crossAx val="251618432"/>
        <c:crosses val="autoZero"/>
        <c:crossBetween val="between"/>
      </c:valAx>
    </c:plotArea>
    <c:legend>
      <c:legendPos val="b"/>
      <c:layout>
        <c:manualLayout>
          <c:xMode val="edge"/>
          <c:yMode val="edge"/>
          <c:x val="1.8319631214786181E-2"/>
          <c:y val="0.80312841754155784"/>
          <c:w val="0.92647440293778061"/>
          <c:h val="0.12715612696850379"/>
        </c:manualLayout>
      </c:layout>
      <c:overlay val="0"/>
    </c:legend>
    <c:plotVisOnly val="1"/>
    <c:dispBlanksAs val="gap"/>
    <c:showDLblsOverMax val="0"/>
  </c:chart>
  <c:spPr>
    <a:solidFill>
      <a:schemeClr val="bg1">
        <a:lumMod val="95000"/>
      </a:schemeClr>
    </a:solidFill>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0.94589</cdr:x>
      <cdr:y>0.04979</cdr:y>
    </cdr:from>
    <cdr:to>
      <cdr:x>0.99198</cdr:x>
      <cdr:y>0.10915</cdr:y>
    </cdr:to>
    <cdr:sp macro="" textlink="">
      <cdr:nvSpPr>
        <cdr:cNvPr id="2" name="TextBox 1"/>
        <cdr:cNvSpPr txBox="1"/>
      </cdr:nvSpPr>
      <cdr:spPr>
        <a:xfrm xmlns:a="http://schemas.openxmlformats.org/drawingml/2006/main">
          <a:off x="7193280" y="198120"/>
          <a:ext cx="350520" cy="23622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 </a:t>
          </a:r>
          <a:r>
            <a:rPr lang="en-US" sz="1000"/>
            <a:t>%</a:t>
          </a:r>
        </a:p>
        <a:p xmlns:a="http://schemas.openxmlformats.org/drawingml/2006/main">
          <a:endParaRPr lang="en-US" sz="1100"/>
        </a:p>
      </cdr:txBody>
    </cdr:sp>
  </cdr:relSizeAnchor>
  <cdr:relSizeAnchor xmlns:cdr="http://schemas.openxmlformats.org/drawingml/2006/chartDrawing">
    <cdr:from>
      <cdr:x>0.05417</cdr:x>
      <cdr:y>0</cdr:y>
    </cdr:from>
    <cdr:to>
      <cdr:x>0.125</cdr:x>
      <cdr:y>0.09288</cdr:y>
    </cdr:to>
    <cdr:sp macro="" textlink="">
      <cdr:nvSpPr>
        <cdr:cNvPr id="3" name="TextBox 1"/>
        <cdr:cNvSpPr txBox="1"/>
      </cdr:nvSpPr>
      <cdr:spPr>
        <a:xfrm xmlns:a="http://schemas.openxmlformats.org/drawingml/2006/main">
          <a:off x="247650" y="0"/>
          <a:ext cx="323850" cy="2857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4C309-0572-4C54-883D-037658CA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13323</Words>
  <Characters>75945</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Raport privind situația economică și bugetară</vt:lpstr>
    </vt:vector>
  </TitlesOfParts>
  <Company>Office07</Company>
  <LinksUpToDate>false</LinksUpToDate>
  <CharactersWithSpaces>89090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privind situația economică și bugetară</dc:title>
  <dc:creator>FLORIN-ANDREI DAIA</dc:creator>
  <cp:lastModifiedBy>FLORIN-ANDREI DAIA</cp:lastModifiedBy>
  <cp:revision>6</cp:revision>
  <cp:lastPrinted>2023-11-07T14:33:00Z</cp:lastPrinted>
  <dcterms:created xsi:type="dcterms:W3CDTF">2023-11-03T11:33:00Z</dcterms:created>
  <dcterms:modified xsi:type="dcterms:W3CDTF">2023-11-22T10:00:00Z</dcterms:modified>
</cp:coreProperties>
</file>