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18315579"/>
        <w:docPartObj>
          <w:docPartGallery w:val="Cover Pages"/>
          <w:docPartUnique/>
        </w:docPartObj>
      </w:sdtPr>
      <w:sdtEndPr>
        <w:rPr>
          <w:rFonts w:ascii="Tahoma" w:hAnsi="Tahoma" w:cs="Tahoma"/>
          <w:b/>
          <w:sz w:val="28"/>
          <w:szCs w:val="28"/>
        </w:rPr>
      </w:sdtEndPr>
      <w:sdtContent>
        <w:p w:rsidR="00D22501" w:rsidRPr="003164CE" w:rsidRDefault="00D22501">
          <w:r w:rsidRPr="003164CE">
            <w:rPr>
              <w:noProof/>
              <w:lang w:val="en-US"/>
            </w:rPr>
            <mc:AlternateContent>
              <mc:Choice Requires="wpg">
                <w:drawing>
                  <wp:anchor distT="0" distB="0" distL="114300" distR="114300" simplePos="0" relativeHeight="251662336" behindDoc="0" locked="0" layoutInCell="1" allowOverlap="1" wp14:anchorId="7DA835AF" wp14:editId="39207FDF">
                    <wp:simplePos x="0" y="0"/>
                    <wp:positionH relativeFrom="page">
                      <wp:posOffset>280035</wp:posOffset>
                    </wp:positionH>
                    <wp:positionV relativeFrom="page">
                      <wp:posOffset>154644</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CE760AD" id="Group 149" o:spid="_x0000_s1026" style="position:absolute;margin-left:22.05pt;margin-top:12.2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Pr="003164CE">
            <w:rPr>
              <w:noProof/>
              <w:lang w:val="en-US"/>
            </w:rPr>
            <mc:AlternateContent>
              <mc:Choice Requires="wps">
                <w:drawing>
                  <wp:anchor distT="0" distB="0" distL="114300" distR="114300" simplePos="0" relativeHeight="251661312" behindDoc="0" locked="0" layoutInCell="1" allowOverlap="1" wp14:anchorId="2ED66D3F" wp14:editId="7329DE8E">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12AA" w:rsidRDefault="008E12A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0A32FB4" id="_x0000_t202" coordsize="21600,21600" o:spt="202" path="m,l,21600r21600,l21600,xe">
                    <v:stroke joinstyle="miter"/>
                    <v:path gradientshapeok="t" o:connecttype="rect"/>
                  </v:shapetype>
                  <v:shape id="Text Box 153" o:spid="_x0000_s1026"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rsidR="008E12AA" w:rsidRDefault="008E12AA">
                          <w:pPr>
                            <w:pStyle w:val="NoSpacing"/>
                            <w:jc w:val="right"/>
                            <w:rPr>
                              <w:color w:val="595959" w:themeColor="text1" w:themeTint="A6"/>
                              <w:sz w:val="20"/>
                              <w:szCs w:val="20"/>
                            </w:rPr>
                          </w:pPr>
                        </w:p>
                      </w:txbxContent>
                    </v:textbox>
                    <w10:wrap type="square" anchorx="page" anchory="page"/>
                  </v:shape>
                </w:pict>
              </mc:Fallback>
            </mc:AlternateContent>
          </w:r>
        </w:p>
        <w:p w:rsidR="00D22501" w:rsidRPr="003164CE" w:rsidRDefault="00D22501" w:rsidP="00D22501">
          <w:pPr>
            <w:rPr>
              <w:rFonts w:ascii="Tahoma" w:eastAsia="Calibri" w:hAnsi="Tahoma" w:cs="Tahoma"/>
              <w:b/>
              <w:bCs/>
              <w:sz w:val="32"/>
              <w:szCs w:val="32"/>
              <w:lang w:eastAsia="ro-RO"/>
            </w:rPr>
          </w:pPr>
          <w:r w:rsidRPr="003164CE">
            <w:rPr>
              <w:noProof/>
              <w:lang w:val="en-US"/>
            </w:rPr>
            <w:drawing>
              <wp:anchor distT="0" distB="0" distL="114300" distR="114300" simplePos="0" relativeHeight="251663360" behindDoc="0" locked="0" layoutInCell="1" allowOverlap="1" wp14:anchorId="284BD12B" wp14:editId="7FA42187">
                <wp:simplePos x="676275" y="1123950"/>
                <wp:positionH relativeFrom="margin">
                  <wp:align>center</wp:align>
                </wp:positionH>
                <wp:positionV relativeFrom="margin">
                  <wp:align>top</wp:align>
                </wp:positionV>
                <wp:extent cx="1603375" cy="14630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375" cy="1463040"/>
                        </a:xfrm>
                        <a:prstGeom prst="rect">
                          <a:avLst/>
                        </a:prstGeom>
                        <a:noFill/>
                      </pic:spPr>
                    </pic:pic>
                  </a:graphicData>
                </a:graphic>
              </wp:anchor>
            </w:drawing>
          </w:r>
          <w:r w:rsidRPr="003164CE">
            <w:rPr>
              <w:rFonts w:ascii="Tahoma" w:eastAsia="Calibri" w:hAnsi="Tahoma" w:cs="Tahoma"/>
              <w:b/>
              <w:bCs/>
              <w:sz w:val="32"/>
              <w:szCs w:val="32"/>
              <w:lang w:eastAsia="ro-RO"/>
            </w:rPr>
            <w:t xml:space="preserve"> </w:t>
          </w:r>
        </w:p>
        <w:p w:rsidR="00D22501" w:rsidRPr="003164CE" w:rsidRDefault="00D22501" w:rsidP="00D22501">
          <w:pPr>
            <w:rPr>
              <w:rFonts w:ascii="Tahoma" w:eastAsia="Calibri" w:hAnsi="Tahoma" w:cs="Tahoma"/>
              <w:b/>
              <w:bCs/>
              <w:sz w:val="32"/>
              <w:szCs w:val="32"/>
              <w:lang w:eastAsia="ro-RO"/>
            </w:rPr>
          </w:pPr>
        </w:p>
        <w:p w:rsidR="00D22501" w:rsidRPr="003164CE" w:rsidRDefault="00D22501" w:rsidP="00D22501">
          <w:pPr>
            <w:rPr>
              <w:rFonts w:ascii="Tahoma" w:eastAsia="Calibri" w:hAnsi="Tahoma" w:cs="Tahoma"/>
              <w:b/>
              <w:bCs/>
              <w:sz w:val="32"/>
              <w:szCs w:val="32"/>
              <w:lang w:eastAsia="ro-RO"/>
            </w:rPr>
          </w:pPr>
        </w:p>
        <w:p w:rsidR="00D22501" w:rsidRPr="003164CE" w:rsidRDefault="00D22501" w:rsidP="00D22501">
          <w:pPr>
            <w:jc w:val="center"/>
            <w:rPr>
              <w:rFonts w:ascii="Tahoma" w:hAnsi="Tahoma" w:cs="Tahoma"/>
              <w:b/>
              <w:bCs/>
              <w:sz w:val="28"/>
              <w:szCs w:val="28"/>
            </w:rPr>
          </w:pPr>
        </w:p>
        <w:p w:rsidR="00D22501" w:rsidRPr="003164CE" w:rsidRDefault="00D22501" w:rsidP="00D22501">
          <w:pPr>
            <w:jc w:val="center"/>
            <w:rPr>
              <w:rFonts w:ascii="Tahoma" w:hAnsi="Tahoma" w:cs="Tahoma"/>
              <w:b/>
              <w:bCs/>
              <w:sz w:val="28"/>
              <w:szCs w:val="28"/>
            </w:rPr>
          </w:pPr>
        </w:p>
        <w:p w:rsidR="00D22501" w:rsidRPr="003164CE" w:rsidRDefault="00D22501" w:rsidP="00D22501">
          <w:pPr>
            <w:jc w:val="center"/>
            <w:rPr>
              <w:rFonts w:ascii="Tahoma" w:hAnsi="Tahoma" w:cs="Tahoma"/>
              <w:b/>
              <w:bCs/>
              <w:sz w:val="28"/>
              <w:szCs w:val="28"/>
            </w:rPr>
          </w:pPr>
        </w:p>
        <w:p w:rsidR="00D22501" w:rsidRPr="003164CE" w:rsidRDefault="00D22501" w:rsidP="00D22501">
          <w:pPr>
            <w:jc w:val="center"/>
            <w:rPr>
              <w:rFonts w:ascii="Calibri body" w:hAnsi="Calibri body" w:cs="Tahoma"/>
              <w:b/>
              <w:bCs/>
              <w:sz w:val="48"/>
              <w:szCs w:val="48"/>
            </w:rPr>
          </w:pPr>
          <w:r w:rsidRPr="003164CE">
            <w:rPr>
              <w:rFonts w:ascii="Calibri body" w:hAnsi="Calibri body" w:cs="Tahoma"/>
              <w:b/>
              <w:bCs/>
              <w:sz w:val="48"/>
              <w:szCs w:val="48"/>
            </w:rPr>
            <w:t>MINISTERUL FINANŢELOR</w:t>
          </w:r>
        </w:p>
        <w:p w:rsidR="00D22501" w:rsidRPr="003164CE" w:rsidRDefault="0012205B">
          <w:pPr>
            <w:rPr>
              <w:rFonts w:ascii="Tahoma" w:hAnsi="Tahoma" w:cs="Tahoma"/>
              <w:b/>
              <w:sz w:val="28"/>
              <w:szCs w:val="28"/>
            </w:rPr>
          </w:pPr>
          <w:r w:rsidRPr="003164CE">
            <w:rPr>
              <w:noProof/>
              <w:lang w:val="en-US"/>
            </w:rPr>
            <mc:AlternateContent>
              <mc:Choice Requires="wps">
                <w:drawing>
                  <wp:anchor distT="0" distB="0" distL="114300" distR="114300" simplePos="0" relativeHeight="251659264" behindDoc="0" locked="0" layoutInCell="1" allowOverlap="1" wp14:anchorId="0FF40860" wp14:editId="1FF1F6B6">
                    <wp:simplePos x="0" y="0"/>
                    <wp:positionH relativeFrom="page">
                      <wp:posOffset>352425</wp:posOffset>
                    </wp:positionH>
                    <wp:positionV relativeFrom="page">
                      <wp:posOffset>5172075</wp:posOffset>
                    </wp:positionV>
                    <wp:extent cx="7315200" cy="2124000"/>
                    <wp:effectExtent l="0" t="0" r="0" b="1016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12AA" w:rsidRPr="002C0A58" w:rsidRDefault="0012205B">
                                <w:pPr>
                                  <w:jc w:val="right"/>
                                  <w:rPr>
                                    <w:color w:val="5B9BD5" w:themeColor="accent1"/>
                                    <w:sz w:val="48"/>
                                    <w:szCs w:val="48"/>
                                  </w:rPr>
                                </w:pPr>
                                <w:sdt>
                                  <w:sdtPr>
                                    <w:rPr>
                                      <w:caps/>
                                      <w:color w:val="5B9BD5"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E12AA" w:rsidRPr="002C0A58">
                                      <w:rPr>
                                        <w:caps/>
                                        <w:color w:val="5B9BD5" w:themeColor="accent1"/>
                                        <w:sz w:val="48"/>
                                        <w:szCs w:val="48"/>
                                      </w:rPr>
                                      <w:t>Raport privind situația economică și bugetară pe primele șase luni ale anului 2025</w:t>
                                    </w:r>
                                  </w:sdtContent>
                                </w:sdt>
                              </w:p>
                              <w:p w:rsidR="008E12AA" w:rsidRDefault="008E12AA">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FF40860" id="_x0000_t202" coordsize="21600,21600" o:spt="202" path="m,l,21600r21600,l21600,xe">
                    <v:stroke joinstyle="miter"/>
                    <v:path gradientshapeok="t" o:connecttype="rect"/>
                  </v:shapetype>
                  <v:shape id="Text Box 154" o:spid="_x0000_s1027" type="#_x0000_t202" style="position:absolute;left:0;text-align:left;margin-left:27.75pt;margin-top:407.25pt;width:8in;height:167.2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" filled="f" stroked="f" strokeweight=".5pt">
                    <v:textbox inset="126pt,0,54pt,0">
                      <w:txbxContent>
                        <w:p w:rsidR="008E12AA" w:rsidRPr="002C0A58" w:rsidRDefault="0012205B">
                          <w:pPr>
                            <w:jc w:val="right"/>
                            <w:rPr>
                              <w:color w:val="5B9BD5" w:themeColor="accent1"/>
                              <w:sz w:val="48"/>
                              <w:szCs w:val="48"/>
                            </w:rPr>
                          </w:pPr>
                          <w:sdt>
                            <w:sdtPr>
                              <w:rPr>
                                <w:caps/>
                                <w:color w:val="5B9BD5"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E12AA" w:rsidRPr="002C0A58">
                                <w:rPr>
                                  <w:caps/>
                                  <w:color w:val="5B9BD5" w:themeColor="accent1"/>
                                  <w:sz w:val="48"/>
                                  <w:szCs w:val="48"/>
                                </w:rPr>
                                <w:t>Raport privind situația economică și bugetară pe primele șase luni ale anului 2025</w:t>
                              </w:r>
                            </w:sdtContent>
                          </w:sdt>
                        </w:p>
                        <w:p w:rsidR="008E12AA" w:rsidRDefault="008E12AA">
                          <w:pPr>
                            <w:jc w:val="right"/>
                            <w:rPr>
                              <w:smallCaps/>
                              <w:color w:val="404040" w:themeColor="text1" w:themeTint="BF"/>
                              <w:sz w:val="36"/>
                              <w:szCs w:val="36"/>
                            </w:rPr>
                          </w:pPr>
                        </w:p>
                      </w:txbxContent>
                    </v:textbox>
                    <w10:wrap type="square" anchorx="page" anchory="page"/>
                  </v:shape>
                </w:pict>
              </mc:Fallback>
            </mc:AlternateContent>
          </w:r>
        </w:p>
      </w:sdtContent>
    </w:sdt>
    <w:sdt>
      <w:sdtPr>
        <w:rPr>
          <w:rFonts w:ascii="Tahoma" w:eastAsiaTheme="minorHAnsi" w:hAnsi="Tahoma" w:cs="Tahoma"/>
          <w:b/>
          <w:noProof/>
          <w:color w:val="auto"/>
          <w:sz w:val="24"/>
          <w:szCs w:val="24"/>
          <w:lang w:val="ro-RO"/>
        </w:rPr>
        <w:id w:val="-413402210"/>
        <w:docPartObj>
          <w:docPartGallery w:val="Table of Contents"/>
          <w:docPartUnique/>
        </w:docPartObj>
      </w:sdtPr>
      <w:sdtEndPr/>
      <w:sdtContent>
        <w:p w:rsidR="00C43AD2" w:rsidRPr="003164CE" w:rsidRDefault="00C43AD2" w:rsidP="00F913B9">
          <w:pPr>
            <w:pStyle w:val="TOCHeading"/>
            <w:shd w:val="clear" w:color="auto" w:fill="DEEAF6" w:themeFill="accent1" w:themeFillTint="33"/>
            <w:tabs>
              <w:tab w:val="right" w:pos="9072"/>
            </w:tabs>
            <w:spacing w:before="1320" w:after="480" w:line="276" w:lineRule="auto"/>
            <w:ind w:firstLine="0"/>
            <w:rPr>
              <w:rFonts w:ascii="Tahoma" w:hAnsi="Tahoma" w:cs="Tahoma"/>
              <w:b/>
              <w:color w:val="auto"/>
              <w:sz w:val="28"/>
              <w:szCs w:val="28"/>
              <w:lang w:val="ro-RO"/>
            </w:rPr>
          </w:pPr>
          <w:r w:rsidRPr="003164CE">
            <w:rPr>
              <w:rFonts w:ascii="Tahoma" w:hAnsi="Tahoma" w:cs="Tahoma"/>
              <w:b/>
              <w:color w:val="auto"/>
              <w:sz w:val="28"/>
              <w:szCs w:val="28"/>
              <w:lang w:val="ro-RO"/>
            </w:rPr>
            <w:t>Cuprins</w:t>
          </w:r>
          <w:r w:rsidR="00343CF5" w:rsidRPr="003164CE">
            <w:rPr>
              <w:rFonts w:ascii="Tahoma" w:hAnsi="Tahoma" w:cs="Tahoma"/>
              <w:b/>
              <w:color w:val="auto"/>
              <w:sz w:val="28"/>
              <w:szCs w:val="28"/>
              <w:lang w:val="ro-RO"/>
            </w:rPr>
            <w:tab/>
          </w:r>
        </w:p>
        <w:p w:rsidR="00C066B5" w:rsidRPr="003164CE" w:rsidRDefault="001D24F5">
          <w:pPr>
            <w:pStyle w:val="TOC1"/>
            <w:rPr>
              <w:rFonts w:asciiTheme="minorHAnsi" w:eastAsiaTheme="minorEastAsia" w:hAnsiTheme="minorHAnsi" w:cstheme="minorBidi"/>
              <w:b w:val="0"/>
              <w:sz w:val="22"/>
              <w:szCs w:val="22"/>
            </w:rPr>
          </w:pPr>
          <w:r w:rsidRPr="003164CE">
            <w:rPr>
              <w:sz w:val="28"/>
              <w:szCs w:val="28"/>
            </w:rPr>
            <w:fldChar w:fldCharType="begin"/>
          </w:r>
          <w:r w:rsidR="00C43AD2" w:rsidRPr="003164CE">
            <w:rPr>
              <w:sz w:val="28"/>
              <w:szCs w:val="28"/>
            </w:rPr>
            <w:instrText xml:space="preserve"> TOC \o "1-3" \h \z \u </w:instrText>
          </w:r>
          <w:r w:rsidRPr="003164CE">
            <w:rPr>
              <w:sz w:val="28"/>
              <w:szCs w:val="28"/>
            </w:rPr>
            <w:fldChar w:fldCharType="separate"/>
          </w:r>
          <w:hyperlink w:anchor="_Toc204685895" w:history="1">
            <w:r w:rsidR="00C066B5" w:rsidRPr="003164CE">
              <w:rPr>
                <w:rStyle w:val="Hyperlink"/>
              </w:rPr>
              <w:t>I.</w:t>
            </w:r>
            <w:r w:rsidR="00C066B5" w:rsidRPr="003164CE">
              <w:rPr>
                <w:rFonts w:asciiTheme="minorHAnsi" w:eastAsiaTheme="minorEastAsia" w:hAnsiTheme="minorHAnsi" w:cstheme="minorBidi"/>
                <w:b w:val="0"/>
                <w:sz w:val="22"/>
                <w:szCs w:val="22"/>
              </w:rPr>
              <w:tab/>
            </w:r>
            <w:r w:rsidR="00C066B5" w:rsidRPr="003164CE">
              <w:rPr>
                <w:rStyle w:val="Hyperlink"/>
              </w:rPr>
              <w:t>Evoluții macroeconomice recente ale economiei românești</w:t>
            </w:r>
            <w:r w:rsidR="00C066B5" w:rsidRPr="003164CE">
              <w:rPr>
                <w:webHidden/>
              </w:rPr>
              <w:tab/>
            </w:r>
            <w:r w:rsidR="00C066B5" w:rsidRPr="003164CE">
              <w:rPr>
                <w:webHidden/>
              </w:rPr>
              <w:fldChar w:fldCharType="begin"/>
            </w:r>
            <w:r w:rsidR="00C066B5" w:rsidRPr="003164CE">
              <w:rPr>
                <w:webHidden/>
              </w:rPr>
              <w:instrText xml:space="preserve"> PAGEREF _Toc204685895 \h </w:instrText>
            </w:r>
            <w:r w:rsidR="00C066B5" w:rsidRPr="003164CE">
              <w:rPr>
                <w:webHidden/>
              </w:rPr>
            </w:r>
            <w:r w:rsidR="00C066B5" w:rsidRPr="003164CE">
              <w:rPr>
                <w:webHidden/>
              </w:rPr>
              <w:fldChar w:fldCharType="separate"/>
            </w:r>
            <w:r w:rsidR="0012205B">
              <w:rPr>
                <w:webHidden/>
              </w:rPr>
              <w:t>1</w:t>
            </w:r>
            <w:r w:rsidR="00C066B5" w:rsidRPr="003164CE">
              <w:rPr>
                <w:webHidden/>
              </w:rPr>
              <w:fldChar w:fldCharType="end"/>
            </w:r>
          </w:hyperlink>
        </w:p>
        <w:p w:rsidR="00C066B5" w:rsidRPr="003164CE" w:rsidRDefault="0012205B">
          <w:pPr>
            <w:pStyle w:val="TOC1"/>
            <w:rPr>
              <w:rFonts w:asciiTheme="minorHAnsi" w:eastAsiaTheme="minorEastAsia" w:hAnsiTheme="minorHAnsi" w:cstheme="minorBidi"/>
              <w:b w:val="0"/>
              <w:sz w:val="22"/>
              <w:szCs w:val="22"/>
            </w:rPr>
          </w:pPr>
          <w:hyperlink w:anchor="_Toc204685896" w:history="1">
            <w:r w:rsidR="00C066B5" w:rsidRPr="003164CE">
              <w:rPr>
                <w:rStyle w:val="Hyperlink"/>
              </w:rPr>
              <w:t>II.</w:t>
            </w:r>
            <w:r w:rsidR="00C066B5" w:rsidRPr="003164CE">
              <w:rPr>
                <w:rFonts w:asciiTheme="minorHAnsi" w:eastAsiaTheme="minorEastAsia" w:hAnsiTheme="minorHAnsi" w:cstheme="minorBidi"/>
                <w:b w:val="0"/>
                <w:sz w:val="22"/>
                <w:szCs w:val="22"/>
              </w:rPr>
              <w:tab/>
            </w:r>
            <w:r w:rsidR="00C066B5" w:rsidRPr="003164CE">
              <w:rPr>
                <w:rStyle w:val="Hyperlink"/>
              </w:rPr>
              <w:t>Politica fiscal-bugetară aferentă anului 2025</w:t>
            </w:r>
            <w:r w:rsidR="00C066B5" w:rsidRPr="003164CE">
              <w:rPr>
                <w:webHidden/>
              </w:rPr>
              <w:tab/>
            </w:r>
            <w:r w:rsidR="00C066B5" w:rsidRPr="003164CE">
              <w:rPr>
                <w:webHidden/>
              </w:rPr>
              <w:fldChar w:fldCharType="begin"/>
            </w:r>
            <w:r w:rsidR="00C066B5" w:rsidRPr="003164CE">
              <w:rPr>
                <w:webHidden/>
              </w:rPr>
              <w:instrText xml:space="preserve"> PAGEREF _Toc204685896 \h </w:instrText>
            </w:r>
            <w:r w:rsidR="00C066B5" w:rsidRPr="003164CE">
              <w:rPr>
                <w:webHidden/>
              </w:rPr>
            </w:r>
            <w:r w:rsidR="00C066B5" w:rsidRPr="003164CE">
              <w:rPr>
                <w:webHidden/>
              </w:rPr>
              <w:fldChar w:fldCharType="separate"/>
            </w:r>
            <w:r>
              <w:rPr>
                <w:webHidden/>
              </w:rPr>
              <w:t>10</w:t>
            </w:r>
            <w:r w:rsidR="00C066B5" w:rsidRPr="003164CE">
              <w:rPr>
                <w:webHidden/>
              </w:rPr>
              <w:fldChar w:fldCharType="end"/>
            </w:r>
          </w:hyperlink>
        </w:p>
        <w:p w:rsidR="00C066B5" w:rsidRPr="003164CE" w:rsidRDefault="0012205B">
          <w:pPr>
            <w:pStyle w:val="TOC1"/>
            <w:rPr>
              <w:rFonts w:asciiTheme="minorHAnsi" w:eastAsiaTheme="minorEastAsia" w:hAnsiTheme="minorHAnsi" w:cstheme="minorBidi"/>
              <w:b w:val="0"/>
              <w:sz w:val="22"/>
              <w:szCs w:val="22"/>
            </w:rPr>
          </w:pPr>
          <w:hyperlink w:anchor="_Toc204685897" w:history="1">
            <w:r w:rsidR="00C066B5" w:rsidRPr="003164CE">
              <w:rPr>
                <w:rStyle w:val="Hyperlink"/>
              </w:rPr>
              <w:t>III.</w:t>
            </w:r>
            <w:r w:rsidR="00C066B5" w:rsidRPr="003164CE">
              <w:rPr>
                <w:rFonts w:asciiTheme="minorHAnsi" w:eastAsiaTheme="minorEastAsia" w:hAnsiTheme="minorHAnsi" w:cstheme="minorBidi"/>
                <w:b w:val="0"/>
                <w:sz w:val="22"/>
                <w:szCs w:val="22"/>
              </w:rPr>
              <w:tab/>
            </w:r>
            <w:r w:rsidR="00C066B5" w:rsidRPr="003164CE">
              <w:rPr>
                <w:rStyle w:val="Hyperlink"/>
              </w:rPr>
              <w:t>Execuția bugetară pe primul semestru al anului 2025</w:t>
            </w:r>
            <w:r w:rsidR="00C066B5" w:rsidRPr="003164CE">
              <w:rPr>
                <w:webHidden/>
              </w:rPr>
              <w:tab/>
            </w:r>
            <w:r w:rsidR="00C066B5" w:rsidRPr="003164CE">
              <w:rPr>
                <w:webHidden/>
              </w:rPr>
              <w:fldChar w:fldCharType="begin"/>
            </w:r>
            <w:r w:rsidR="00C066B5" w:rsidRPr="003164CE">
              <w:rPr>
                <w:webHidden/>
              </w:rPr>
              <w:instrText xml:space="preserve"> PAGEREF _Toc204685897 \h </w:instrText>
            </w:r>
            <w:r w:rsidR="00C066B5" w:rsidRPr="003164CE">
              <w:rPr>
                <w:webHidden/>
              </w:rPr>
            </w:r>
            <w:r w:rsidR="00C066B5" w:rsidRPr="003164CE">
              <w:rPr>
                <w:webHidden/>
              </w:rPr>
              <w:fldChar w:fldCharType="separate"/>
            </w:r>
            <w:r>
              <w:rPr>
                <w:webHidden/>
              </w:rPr>
              <w:t>19</w:t>
            </w:r>
            <w:r w:rsidR="00C066B5" w:rsidRPr="003164CE">
              <w:rPr>
                <w:webHidden/>
              </w:rPr>
              <w:fldChar w:fldCharType="end"/>
            </w:r>
          </w:hyperlink>
        </w:p>
        <w:p w:rsidR="00C066B5" w:rsidRPr="003164CE" w:rsidRDefault="0012205B">
          <w:pPr>
            <w:pStyle w:val="TOC1"/>
            <w:rPr>
              <w:rFonts w:asciiTheme="minorHAnsi" w:eastAsiaTheme="minorEastAsia" w:hAnsiTheme="minorHAnsi" w:cstheme="minorBidi"/>
              <w:b w:val="0"/>
              <w:sz w:val="22"/>
              <w:szCs w:val="22"/>
            </w:rPr>
          </w:pPr>
          <w:hyperlink w:anchor="_Toc204685898" w:history="1">
            <w:r w:rsidR="00C066B5" w:rsidRPr="003164CE">
              <w:rPr>
                <w:rStyle w:val="Hyperlink"/>
              </w:rPr>
              <w:t>IV. Finanțarea deficitului bugetar și datoria publică</w:t>
            </w:r>
            <w:r w:rsidR="00C066B5" w:rsidRPr="003164CE">
              <w:rPr>
                <w:webHidden/>
              </w:rPr>
              <w:tab/>
            </w:r>
            <w:r w:rsidR="00C066B5" w:rsidRPr="003164CE">
              <w:rPr>
                <w:webHidden/>
              </w:rPr>
              <w:fldChar w:fldCharType="begin"/>
            </w:r>
            <w:r w:rsidR="00C066B5" w:rsidRPr="003164CE">
              <w:rPr>
                <w:webHidden/>
              </w:rPr>
              <w:instrText xml:space="preserve"> PAGEREF _Toc204685898 \h </w:instrText>
            </w:r>
            <w:r w:rsidR="00C066B5" w:rsidRPr="003164CE">
              <w:rPr>
                <w:webHidden/>
              </w:rPr>
            </w:r>
            <w:r w:rsidR="00C066B5" w:rsidRPr="003164CE">
              <w:rPr>
                <w:webHidden/>
              </w:rPr>
              <w:fldChar w:fldCharType="separate"/>
            </w:r>
            <w:r>
              <w:rPr>
                <w:webHidden/>
              </w:rPr>
              <w:t>32</w:t>
            </w:r>
            <w:r w:rsidR="00C066B5" w:rsidRPr="003164CE">
              <w:rPr>
                <w:webHidden/>
              </w:rPr>
              <w:fldChar w:fldCharType="end"/>
            </w:r>
          </w:hyperlink>
        </w:p>
        <w:p w:rsidR="00C066B5" w:rsidRPr="003164CE" w:rsidRDefault="0012205B">
          <w:pPr>
            <w:pStyle w:val="TOC1"/>
            <w:rPr>
              <w:rFonts w:asciiTheme="minorHAnsi" w:eastAsiaTheme="minorEastAsia" w:hAnsiTheme="minorHAnsi" w:cstheme="minorBidi"/>
              <w:b w:val="0"/>
              <w:sz w:val="22"/>
              <w:szCs w:val="22"/>
            </w:rPr>
          </w:pPr>
          <w:hyperlink w:anchor="_Toc204685899" w:history="1">
            <w:r w:rsidR="00C066B5" w:rsidRPr="003164CE">
              <w:rPr>
                <w:rStyle w:val="Hyperlink"/>
                <w:rFonts w:eastAsia="MS Mincho"/>
                <w:lang w:eastAsia="ja-JP"/>
              </w:rPr>
              <w:t>V. Absorbția fondurilor externe nerambursabile</w:t>
            </w:r>
            <w:r w:rsidR="00C066B5" w:rsidRPr="003164CE">
              <w:rPr>
                <w:webHidden/>
              </w:rPr>
              <w:tab/>
            </w:r>
            <w:r w:rsidR="00C066B5" w:rsidRPr="003164CE">
              <w:rPr>
                <w:webHidden/>
              </w:rPr>
              <w:fldChar w:fldCharType="begin"/>
            </w:r>
            <w:r w:rsidR="00C066B5" w:rsidRPr="003164CE">
              <w:rPr>
                <w:webHidden/>
              </w:rPr>
              <w:instrText xml:space="preserve"> PAGEREF _Toc204685899 \h </w:instrText>
            </w:r>
            <w:r w:rsidR="00C066B5" w:rsidRPr="003164CE">
              <w:rPr>
                <w:webHidden/>
              </w:rPr>
            </w:r>
            <w:r w:rsidR="00C066B5" w:rsidRPr="003164CE">
              <w:rPr>
                <w:webHidden/>
              </w:rPr>
              <w:fldChar w:fldCharType="separate"/>
            </w:r>
            <w:r>
              <w:rPr>
                <w:webHidden/>
              </w:rPr>
              <w:t>35</w:t>
            </w:r>
            <w:r w:rsidR="00C066B5" w:rsidRPr="003164CE">
              <w:rPr>
                <w:webHidden/>
              </w:rPr>
              <w:fldChar w:fldCharType="end"/>
            </w:r>
          </w:hyperlink>
        </w:p>
        <w:p w:rsidR="00C066B5" w:rsidRPr="003164CE" w:rsidRDefault="0012205B">
          <w:pPr>
            <w:pStyle w:val="TOC1"/>
            <w:rPr>
              <w:rFonts w:asciiTheme="minorHAnsi" w:eastAsiaTheme="minorEastAsia" w:hAnsiTheme="minorHAnsi" w:cstheme="minorBidi"/>
              <w:b w:val="0"/>
              <w:sz w:val="22"/>
              <w:szCs w:val="22"/>
            </w:rPr>
          </w:pPr>
          <w:hyperlink w:anchor="_Toc204685900" w:history="1">
            <w:r w:rsidR="00C066B5" w:rsidRPr="003164CE">
              <w:rPr>
                <w:rStyle w:val="Hyperlink"/>
              </w:rPr>
              <w:t>Concluzii</w:t>
            </w:r>
            <w:r w:rsidR="00C066B5" w:rsidRPr="003164CE">
              <w:rPr>
                <w:webHidden/>
              </w:rPr>
              <w:tab/>
            </w:r>
            <w:r w:rsidR="00C066B5" w:rsidRPr="003164CE">
              <w:rPr>
                <w:webHidden/>
              </w:rPr>
              <w:fldChar w:fldCharType="begin"/>
            </w:r>
            <w:r w:rsidR="00C066B5" w:rsidRPr="003164CE">
              <w:rPr>
                <w:webHidden/>
              </w:rPr>
              <w:instrText xml:space="preserve"> PAGEREF _Toc204685900 \h </w:instrText>
            </w:r>
            <w:r w:rsidR="00C066B5" w:rsidRPr="003164CE">
              <w:rPr>
                <w:webHidden/>
              </w:rPr>
            </w:r>
            <w:r w:rsidR="00C066B5" w:rsidRPr="003164CE">
              <w:rPr>
                <w:webHidden/>
              </w:rPr>
              <w:fldChar w:fldCharType="separate"/>
            </w:r>
            <w:r>
              <w:rPr>
                <w:webHidden/>
              </w:rPr>
              <w:t>37</w:t>
            </w:r>
            <w:r w:rsidR="00C066B5" w:rsidRPr="003164CE">
              <w:rPr>
                <w:webHidden/>
              </w:rPr>
              <w:fldChar w:fldCharType="end"/>
            </w:r>
          </w:hyperlink>
        </w:p>
        <w:p w:rsidR="00C43AD2" w:rsidRPr="003164CE" w:rsidRDefault="001D24F5" w:rsidP="00FC6610">
          <w:pPr>
            <w:pStyle w:val="TOC1"/>
          </w:pPr>
          <w:r w:rsidRPr="003164CE">
            <w:rPr>
              <w:sz w:val="28"/>
              <w:szCs w:val="28"/>
            </w:rPr>
            <w:fldChar w:fldCharType="end"/>
          </w:r>
        </w:p>
      </w:sdtContent>
    </w:sdt>
    <w:p w:rsidR="001E5189" w:rsidRPr="003164CE" w:rsidRDefault="001E5189" w:rsidP="002A6579">
      <w:pPr>
        <w:spacing w:line="276" w:lineRule="auto"/>
        <w:rPr>
          <w:rFonts w:ascii="Tahoma" w:hAnsi="Tahoma" w:cs="Tahoma"/>
          <w:sz w:val="24"/>
          <w:szCs w:val="24"/>
        </w:rPr>
      </w:pPr>
    </w:p>
    <w:p w:rsidR="00D22501" w:rsidRPr="003164CE" w:rsidRDefault="00D22501" w:rsidP="002A6579">
      <w:pPr>
        <w:spacing w:line="276" w:lineRule="auto"/>
        <w:rPr>
          <w:rFonts w:ascii="Tahoma" w:hAnsi="Tahoma" w:cs="Tahoma"/>
          <w:sz w:val="24"/>
          <w:szCs w:val="24"/>
        </w:rPr>
      </w:pPr>
    </w:p>
    <w:p w:rsidR="00343CF5" w:rsidRPr="003164CE" w:rsidRDefault="00343CF5" w:rsidP="002A6579">
      <w:pPr>
        <w:keepNext/>
        <w:keepLines/>
        <w:spacing w:line="276" w:lineRule="auto"/>
        <w:rPr>
          <w:rFonts w:ascii="Tahoma" w:hAnsi="Tahoma" w:cs="Tahoma"/>
          <w:b/>
          <w:sz w:val="24"/>
          <w:szCs w:val="24"/>
        </w:rPr>
        <w:sectPr w:rsidR="00343CF5" w:rsidRPr="003164CE" w:rsidSect="00B355D9">
          <w:footerReference w:type="default" r:id="rId11"/>
          <w:headerReference w:type="first" r:id="rId12"/>
          <w:pgSz w:w="11906" w:h="16838"/>
          <w:pgMar w:top="1418" w:right="1416" w:bottom="1418" w:left="1418" w:header="709" w:footer="709" w:gutter="0"/>
          <w:pgNumType w:start="0"/>
          <w:cols w:space="708"/>
          <w:titlePg/>
          <w:docGrid w:linePitch="360"/>
        </w:sectPr>
      </w:pPr>
    </w:p>
    <w:p w:rsidR="007C4F03" w:rsidRPr="003164CE" w:rsidRDefault="00EE2635" w:rsidP="00444C93">
      <w:pPr>
        <w:pStyle w:val="ListParagraph"/>
        <w:keepNext/>
        <w:keepLines/>
        <w:numPr>
          <w:ilvl w:val="0"/>
          <w:numId w:val="1"/>
        </w:numPr>
        <w:spacing w:after="240" w:line="276" w:lineRule="auto"/>
        <w:ind w:left="0" w:firstLine="629"/>
        <w:contextualSpacing w:val="0"/>
        <w:outlineLvl w:val="0"/>
        <w:rPr>
          <w:rFonts w:ascii="Tahoma" w:hAnsi="Tahoma" w:cs="Tahoma"/>
          <w:b/>
          <w:sz w:val="24"/>
          <w:szCs w:val="24"/>
        </w:rPr>
      </w:pPr>
      <w:bookmarkStart w:id="0" w:name="_Toc299543078"/>
      <w:bookmarkStart w:id="1" w:name="_Toc425320856"/>
      <w:bookmarkStart w:id="2" w:name="_Toc456256932"/>
      <w:bookmarkStart w:id="3" w:name="_Toc456257456"/>
      <w:bookmarkStart w:id="4" w:name="_Toc456258314"/>
      <w:bookmarkStart w:id="5" w:name="_Toc456258418"/>
      <w:bookmarkStart w:id="6" w:name="_Toc204685895"/>
      <w:r w:rsidRPr="003164CE">
        <w:rPr>
          <w:rFonts w:ascii="Tahoma" w:hAnsi="Tahoma" w:cs="Tahoma"/>
          <w:b/>
          <w:sz w:val="24"/>
          <w:szCs w:val="24"/>
        </w:rPr>
        <w:lastRenderedPageBreak/>
        <w:t>Evoluții</w:t>
      </w:r>
      <w:r w:rsidR="007C4F03" w:rsidRPr="003164CE">
        <w:rPr>
          <w:rFonts w:ascii="Tahoma" w:hAnsi="Tahoma" w:cs="Tahoma"/>
          <w:b/>
          <w:sz w:val="24"/>
          <w:szCs w:val="24"/>
        </w:rPr>
        <w:t xml:space="preserve"> macroeconomice recente ale economiei </w:t>
      </w:r>
      <w:bookmarkEnd w:id="0"/>
      <w:bookmarkEnd w:id="1"/>
      <w:bookmarkEnd w:id="2"/>
      <w:bookmarkEnd w:id="3"/>
      <w:bookmarkEnd w:id="4"/>
      <w:bookmarkEnd w:id="5"/>
      <w:r w:rsidRPr="003164CE">
        <w:rPr>
          <w:rFonts w:ascii="Tahoma" w:hAnsi="Tahoma" w:cs="Tahoma"/>
          <w:b/>
          <w:sz w:val="24"/>
          <w:szCs w:val="24"/>
        </w:rPr>
        <w:t>românești</w:t>
      </w:r>
      <w:bookmarkEnd w:id="6"/>
    </w:p>
    <w:p w:rsidR="00886A33" w:rsidRPr="003164CE" w:rsidRDefault="00886A33" w:rsidP="00886A33">
      <w:pPr>
        <w:keepNext/>
        <w:keepLines/>
        <w:widowControl w:val="0"/>
        <w:autoSpaceDE w:val="0"/>
        <w:autoSpaceDN w:val="0"/>
        <w:adjustRightInd w:val="0"/>
        <w:spacing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Anul 2025 a continuat să fie marcat de un climat dificil, caracterizat de amplificarea incertitudinilor, atât la nivel global, cât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intern, dar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de un grad redus de predictibilitate. Pe lângă </w:t>
      </w:r>
      <w:proofErr w:type="spellStart"/>
      <w:r w:rsidRPr="003164CE">
        <w:rPr>
          <w:rFonts w:ascii="Tahoma" w:eastAsia="Calibri" w:hAnsi="Tahoma" w:cs="Tahoma"/>
          <w:sz w:val="24"/>
          <w:szCs w:val="24"/>
        </w:rPr>
        <w:t>persistenţa</w:t>
      </w:r>
      <w:proofErr w:type="spellEnd"/>
      <w:r w:rsidRPr="003164CE">
        <w:rPr>
          <w:rFonts w:ascii="Tahoma" w:eastAsia="Calibri" w:hAnsi="Tahoma" w:cs="Tahoma"/>
          <w:sz w:val="24"/>
          <w:szCs w:val="24"/>
        </w:rPr>
        <w:t xml:space="preserve"> </w:t>
      </w:r>
      <w:proofErr w:type="spellStart"/>
      <w:r w:rsidRPr="003164CE">
        <w:rPr>
          <w:rFonts w:ascii="Tahoma" w:eastAsia="Calibri" w:hAnsi="Tahoma" w:cs="Tahoma"/>
          <w:sz w:val="24"/>
          <w:szCs w:val="24"/>
        </w:rPr>
        <w:t>şocurilor</w:t>
      </w:r>
      <w:proofErr w:type="spellEnd"/>
      <w:r w:rsidRPr="003164CE">
        <w:rPr>
          <w:rFonts w:ascii="Tahoma" w:eastAsia="Calibri" w:hAnsi="Tahoma" w:cs="Tahoma"/>
          <w:sz w:val="24"/>
          <w:szCs w:val="24"/>
        </w:rPr>
        <w:t xml:space="preserve"> multiple, care s-au manifestat simultan, a eforturilor de </w:t>
      </w:r>
      <w:proofErr w:type="spellStart"/>
      <w:r w:rsidRPr="003164CE">
        <w:rPr>
          <w:rFonts w:ascii="Tahoma" w:eastAsia="Calibri" w:hAnsi="Tahoma" w:cs="Tahoma"/>
          <w:sz w:val="24"/>
          <w:szCs w:val="24"/>
        </w:rPr>
        <w:t>corecţie</w:t>
      </w:r>
      <w:proofErr w:type="spellEnd"/>
      <w:r w:rsidRPr="003164CE">
        <w:rPr>
          <w:rFonts w:ascii="Tahoma" w:eastAsia="Calibri" w:hAnsi="Tahoma" w:cs="Tahoma"/>
          <w:sz w:val="24"/>
          <w:szCs w:val="24"/>
        </w:rPr>
        <w:t xml:space="preserve"> a dezechilibrelor macroeconomice interne, induse de deficitele gemene ridicate,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a continuării provocărilor structurale la nivelul economiilor europene, s-a produs o deteriorare a </w:t>
      </w:r>
      <w:proofErr w:type="spellStart"/>
      <w:r w:rsidRPr="003164CE">
        <w:rPr>
          <w:rFonts w:ascii="Tahoma" w:eastAsia="Calibri" w:hAnsi="Tahoma" w:cs="Tahoma"/>
          <w:sz w:val="24"/>
          <w:szCs w:val="24"/>
        </w:rPr>
        <w:t>relaţiilor</w:t>
      </w:r>
      <w:proofErr w:type="spellEnd"/>
      <w:r w:rsidRPr="003164CE">
        <w:rPr>
          <w:rFonts w:ascii="Tahoma" w:eastAsia="Calibri" w:hAnsi="Tahoma" w:cs="Tahoma"/>
          <w:sz w:val="24"/>
          <w:szCs w:val="24"/>
        </w:rPr>
        <w:t xml:space="preserve"> comerciale </w:t>
      </w:r>
      <w:proofErr w:type="spellStart"/>
      <w:r w:rsidRPr="003164CE">
        <w:rPr>
          <w:rFonts w:ascii="Tahoma" w:eastAsia="Calibri" w:hAnsi="Tahoma" w:cs="Tahoma"/>
          <w:sz w:val="24"/>
          <w:szCs w:val="24"/>
        </w:rPr>
        <w:t>internaţionale</w:t>
      </w:r>
      <w:proofErr w:type="spellEnd"/>
      <w:r w:rsidRPr="003164CE">
        <w:rPr>
          <w:rFonts w:ascii="Tahoma" w:eastAsia="Calibri" w:hAnsi="Tahoma" w:cs="Tahoma"/>
          <w:sz w:val="24"/>
          <w:szCs w:val="24"/>
        </w:rPr>
        <w:t xml:space="preserve"> în prima parte a acestui an. Această </w:t>
      </w:r>
      <w:proofErr w:type="spellStart"/>
      <w:r w:rsidRPr="003164CE">
        <w:rPr>
          <w:rFonts w:ascii="Tahoma" w:eastAsia="Calibri" w:hAnsi="Tahoma" w:cs="Tahoma"/>
          <w:sz w:val="24"/>
          <w:szCs w:val="24"/>
        </w:rPr>
        <w:t>evoluţie</w:t>
      </w:r>
      <w:proofErr w:type="spellEnd"/>
      <w:r w:rsidRPr="003164CE">
        <w:rPr>
          <w:rFonts w:ascii="Tahoma" w:eastAsia="Calibri" w:hAnsi="Tahoma" w:cs="Tahoma"/>
          <w:sz w:val="24"/>
          <w:szCs w:val="24"/>
        </w:rPr>
        <w:t xml:space="preserve"> a fost determinată de modificarea politicii comerciale a SUA, care a condus la o fragmentare economică, cât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la o reconfigurare la nivel mondial a </w:t>
      </w:r>
      <w:proofErr w:type="spellStart"/>
      <w:r w:rsidRPr="003164CE">
        <w:rPr>
          <w:rFonts w:ascii="Tahoma" w:eastAsia="Calibri" w:hAnsi="Tahoma" w:cs="Tahoma"/>
          <w:sz w:val="24"/>
          <w:szCs w:val="24"/>
        </w:rPr>
        <w:t>lanţurilor</w:t>
      </w:r>
      <w:proofErr w:type="spellEnd"/>
      <w:r w:rsidRPr="003164CE">
        <w:rPr>
          <w:rFonts w:ascii="Tahoma" w:eastAsia="Calibri" w:hAnsi="Tahoma" w:cs="Tahoma"/>
          <w:sz w:val="24"/>
          <w:szCs w:val="24"/>
        </w:rPr>
        <w:t xml:space="preserve"> de </w:t>
      </w:r>
      <w:proofErr w:type="spellStart"/>
      <w:r w:rsidRPr="003164CE">
        <w:rPr>
          <w:rFonts w:ascii="Tahoma" w:eastAsia="Calibri" w:hAnsi="Tahoma" w:cs="Tahoma"/>
          <w:sz w:val="24"/>
          <w:szCs w:val="24"/>
        </w:rPr>
        <w:t>distribuţie</w:t>
      </w:r>
      <w:proofErr w:type="spellEnd"/>
      <w:r w:rsidRPr="003164CE">
        <w:rPr>
          <w:rFonts w:ascii="Tahoma" w:eastAsia="Calibri" w:hAnsi="Tahoma" w:cs="Tahoma"/>
          <w:sz w:val="24"/>
          <w:szCs w:val="24"/>
        </w:rPr>
        <w:t>.</w:t>
      </w:r>
    </w:p>
    <w:p w:rsidR="00886A33" w:rsidRPr="003164CE" w:rsidRDefault="00886A33" w:rsidP="009C4B2A">
      <w:pPr>
        <w:keepNext/>
        <w:keepLines/>
        <w:spacing w:after="360" w:line="276" w:lineRule="auto"/>
        <w:ind w:firstLine="0"/>
        <w:rPr>
          <w:rFonts w:ascii="Tahoma" w:eastAsia="Calibri" w:hAnsi="Tahoma" w:cs="Tahoma"/>
          <w:sz w:val="24"/>
          <w:szCs w:val="24"/>
        </w:rPr>
      </w:pPr>
      <w:r w:rsidRPr="003164CE">
        <w:rPr>
          <w:rFonts w:ascii="Tahoma" w:eastAsia="Calibri" w:hAnsi="Tahoma" w:cs="Tahoma"/>
          <w:sz w:val="24"/>
          <w:szCs w:val="24"/>
        </w:rPr>
        <w:t>În acest context, pe primul semestru al anului 2025 activitatea economică a încetinit, continuând trendul descendent care s-a manifestat începând cu a doua jumătate a anului anterior. Conform datelor INS (date provizorii 1), p</w:t>
      </w:r>
      <w:r w:rsidRPr="003164CE">
        <w:rPr>
          <w:rFonts w:ascii="Tahoma" w:eastAsia="Calibri" w:hAnsi="Tahoma" w:cs="Tahoma"/>
          <w:b/>
          <w:sz w:val="24"/>
          <w:szCs w:val="24"/>
        </w:rPr>
        <w:t xml:space="preserve">e primele </w:t>
      </w:r>
      <w:proofErr w:type="spellStart"/>
      <w:r w:rsidRPr="003164CE">
        <w:rPr>
          <w:rFonts w:ascii="Tahoma" w:eastAsia="Calibri" w:hAnsi="Tahoma" w:cs="Tahoma"/>
          <w:b/>
          <w:sz w:val="24"/>
          <w:szCs w:val="24"/>
        </w:rPr>
        <w:t>şase</w:t>
      </w:r>
      <w:proofErr w:type="spellEnd"/>
      <w:r w:rsidRPr="003164CE">
        <w:rPr>
          <w:rFonts w:ascii="Tahoma" w:eastAsia="Calibri" w:hAnsi="Tahoma" w:cs="Tahoma"/>
          <w:b/>
          <w:sz w:val="24"/>
          <w:szCs w:val="24"/>
        </w:rPr>
        <w:t xml:space="preserve"> luni ale anului 2025 produsul intern brut</w:t>
      </w:r>
      <w:r w:rsidRPr="003164CE">
        <w:rPr>
          <w:rFonts w:ascii="Tahoma" w:eastAsia="Calibri" w:hAnsi="Tahoma" w:cs="Tahoma"/>
          <w:sz w:val="24"/>
          <w:szCs w:val="24"/>
        </w:rPr>
        <w:t xml:space="preserve"> a înregistrat o dinamică modestă comparativ cu perioada similară a anului anterior, respectiv 0,3% pe serie brută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1,4% pe serie ajustată sezonier. </w:t>
      </w:r>
      <w:r w:rsidRPr="003164CE">
        <w:rPr>
          <w:rFonts w:ascii="Tahoma" w:eastAsia="Calibri" w:hAnsi="Tahoma" w:cs="Tahoma"/>
          <w:b/>
          <w:sz w:val="24"/>
          <w:szCs w:val="24"/>
        </w:rPr>
        <w:t>Din punct de vedere al elementelor de utilizare</w:t>
      </w:r>
      <w:r w:rsidRPr="003164CE">
        <w:rPr>
          <w:rFonts w:ascii="Tahoma" w:eastAsia="Calibri" w:hAnsi="Tahoma" w:cs="Tahoma"/>
          <w:sz w:val="24"/>
          <w:szCs w:val="24"/>
        </w:rPr>
        <w:t xml:space="preserve">, </w:t>
      </w:r>
      <w:proofErr w:type="spellStart"/>
      <w:r w:rsidRPr="003164CE">
        <w:rPr>
          <w:rFonts w:ascii="Tahoma" w:eastAsia="Calibri" w:hAnsi="Tahoma" w:cs="Tahoma"/>
          <w:sz w:val="24"/>
          <w:szCs w:val="24"/>
          <w:lang w:eastAsia="ro-RO"/>
        </w:rPr>
        <w:t>creşterea</w:t>
      </w:r>
      <w:proofErr w:type="spellEnd"/>
      <w:r w:rsidRPr="003164CE">
        <w:rPr>
          <w:rFonts w:ascii="Tahoma" w:eastAsia="Calibri" w:hAnsi="Tahoma" w:cs="Tahoma"/>
          <w:sz w:val="24"/>
          <w:szCs w:val="24"/>
          <w:lang w:eastAsia="ro-RO"/>
        </w:rPr>
        <w:t xml:space="preserve"> economică a fost </w:t>
      </w:r>
      <w:proofErr w:type="spellStart"/>
      <w:r w:rsidRPr="003164CE">
        <w:rPr>
          <w:rFonts w:ascii="Tahoma" w:eastAsia="Calibri" w:hAnsi="Tahoma" w:cs="Tahoma"/>
          <w:sz w:val="24"/>
          <w:szCs w:val="24"/>
          <w:lang w:eastAsia="ro-RO"/>
        </w:rPr>
        <w:t>susţinută</w:t>
      </w:r>
      <w:proofErr w:type="spellEnd"/>
      <w:r w:rsidRPr="003164CE">
        <w:rPr>
          <w:rFonts w:ascii="Tahoma" w:eastAsia="Calibri" w:hAnsi="Tahoma" w:cs="Tahoma"/>
          <w:sz w:val="24"/>
          <w:szCs w:val="24"/>
          <w:lang w:eastAsia="ro-RO"/>
        </w:rPr>
        <w:t xml:space="preserve"> de cererea internă al cărei aport de 1,7 puncte procentuale a fost, însă, considerabil diminuat de </w:t>
      </w:r>
      <w:proofErr w:type="spellStart"/>
      <w:r w:rsidRPr="003164CE">
        <w:rPr>
          <w:rFonts w:ascii="Tahoma" w:eastAsia="Calibri" w:hAnsi="Tahoma" w:cs="Tahoma"/>
          <w:sz w:val="24"/>
          <w:szCs w:val="24"/>
          <w:lang w:eastAsia="ro-RO"/>
        </w:rPr>
        <w:t>contribuţia</w:t>
      </w:r>
      <w:proofErr w:type="spellEnd"/>
      <w:r w:rsidRPr="003164CE">
        <w:rPr>
          <w:rFonts w:ascii="Tahoma" w:eastAsia="Calibri" w:hAnsi="Tahoma" w:cs="Tahoma"/>
          <w:sz w:val="24"/>
          <w:szCs w:val="24"/>
          <w:lang w:eastAsia="ro-RO"/>
        </w:rPr>
        <w:t xml:space="preserve"> negativă a exportului net.</w:t>
      </w:r>
    </w:p>
    <w:p w:rsidR="005D3200" w:rsidRPr="003164CE" w:rsidRDefault="0000138F" w:rsidP="00695D7B">
      <w:pPr>
        <w:pStyle w:val="ListParagraph"/>
        <w:keepNext/>
        <w:widowControl w:val="0"/>
        <w:spacing w:after="240" w:line="276" w:lineRule="auto"/>
        <w:ind w:left="0" w:firstLine="0"/>
        <w:contextualSpacing w:val="0"/>
        <w:jc w:val="center"/>
        <w:rPr>
          <w:rFonts w:ascii="Tahoma" w:hAnsi="Tahoma" w:cs="Tahoma"/>
          <w:b/>
          <w:bCs/>
          <w:sz w:val="24"/>
          <w:szCs w:val="24"/>
        </w:rPr>
      </w:pPr>
      <w:r w:rsidRPr="003164CE">
        <w:rPr>
          <w:rFonts w:ascii="Tahoma" w:hAnsi="Tahoma" w:cs="Tahoma"/>
          <w:b/>
          <w:bCs/>
          <w:sz w:val="24"/>
          <w:szCs w:val="24"/>
        </w:rPr>
        <w:t>Contribuția la creșterea reală a PIB a elementelor de cheltuieli</w:t>
      </w:r>
    </w:p>
    <w:p w:rsidR="0000138F" w:rsidRPr="003164CE" w:rsidRDefault="00886A33" w:rsidP="0000138F">
      <w:pPr>
        <w:pStyle w:val="ListParagraph"/>
        <w:keepNext/>
        <w:widowControl w:val="0"/>
        <w:spacing w:after="120" w:line="276" w:lineRule="auto"/>
        <w:ind w:left="0" w:firstLine="0"/>
        <w:contextualSpacing w:val="0"/>
        <w:jc w:val="center"/>
        <w:rPr>
          <w:rFonts w:ascii="Arial" w:hAnsi="Arial" w:cs="Arial"/>
          <w:b/>
          <w:bCs/>
          <w:sz w:val="24"/>
          <w:szCs w:val="24"/>
        </w:rPr>
      </w:pPr>
      <w:r w:rsidRPr="003164CE">
        <w:rPr>
          <w:rFonts w:ascii="Arial" w:hAnsi="Arial" w:cs="Arial"/>
          <w:b/>
          <w:bCs/>
          <w:noProof/>
          <w:sz w:val="24"/>
          <w:szCs w:val="24"/>
          <w:lang w:val="en-US"/>
        </w:rPr>
        <w:drawing>
          <wp:inline distT="0" distB="0" distL="0" distR="0" wp14:anchorId="2FD683B6">
            <wp:extent cx="5829300" cy="2889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2889885"/>
                    </a:xfrm>
                    <a:prstGeom prst="rect">
                      <a:avLst/>
                    </a:prstGeom>
                    <a:noFill/>
                  </pic:spPr>
                </pic:pic>
              </a:graphicData>
            </a:graphic>
          </wp:inline>
        </w:drawing>
      </w:r>
    </w:p>
    <w:p w:rsidR="0000138F" w:rsidRPr="003164CE" w:rsidRDefault="0000138F" w:rsidP="0000138F">
      <w:pPr>
        <w:pStyle w:val="ListParagraph"/>
        <w:keepNext/>
        <w:widowControl w:val="0"/>
        <w:spacing w:after="120" w:line="276" w:lineRule="auto"/>
        <w:ind w:left="0" w:firstLine="0"/>
        <w:contextualSpacing w:val="0"/>
        <w:jc w:val="center"/>
        <w:rPr>
          <w:rFonts w:ascii="Arial" w:hAnsi="Arial" w:cs="Arial"/>
          <w:b/>
          <w:bCs/>
          <w:sz w:val="24"/>
          <w:szCs w:val="24"/>
        </w:rPr>
      </w:pPr>
    </w:p>
    <w:p w:rsidR="00886A33" w:rsidRPr="003164CE" w:rsidRDefault="00886A33" w:rsidP="00886A33">
      <w:pPr>
        <w:keepNext/>
        <w:spacing w:after="120" w:line="276" w:lineRule="auto"/>
        <w:ind w:firstLine="0"/>
        <w:rPr>
          <w:rFonts w:ascii="Tahoma" w:eastAsia="Calibri" w:hAnsi="Tahoma" w:cs="Tahoma"/>
          <w:sz w:val="24"/>
          <w:szCs w:val="24"/>
          <w:lang w:eastAsia="ro-RO"/>
        </w:rPr>
      </w:pPr>
      <w:r w:rsidRPr="003164CE">
        <w:rPr>
          <w:rFonts w:ascii="Tahoma" w:eastAsia="Calibri" w:hAnsi="Tahoma" w:cs="Tahoma"/>
          <w:sz w:val="24"/>
          <w:szCs w:val="24"/>
          <w:lang w:eastAsia="ro-RO"/>
        </w:rPr>
        <w:t xml:space="preserve">Ca urmare a continuării marilor proiecte de infrastructură aflate în </w:t>
      </w:r>
      <w:proofErr w:type="spellStart"/>
      <w:r w:rsidRPr="003164CE">
        <w:rPr>
          <w:rFonts w:ascii="Tahoma" w:eastAsia="Calibri" w:hAnsi="Tahoma" w:cs="Tahoma"/>
          <w:sz w:val="24"/>
          <w:szCs w:val="24"/>
          <w:lang w:eastAsia="ro-RO"/>
        </w:rPr>
        <w:t>execuţie</w:t>
      </w:r>
      <w:proofErr w:type="spellEnd"/>
      <w:r w:rsidRPr="003164CE">
        <w:rPr>
          <w:rFonts w:ascii="Tahoma" w:eastAsia="Calibri" w:hAnsi="Tahoma" w:cs="Tahoma"/>
          <w:sz w:val="24"/>
          <w:szCs w:val="24"/>
          <w:lang w:eastAsia="ro-RO"/>
        </w:rPr>
        <w:t xml:space="preserve"> </w:t>
      </w:r>
      <w:proofErr w:type="spellStart"/>
      <w:r w:rsidRPr="003164CE">
        <w:rPr>
          <w:rFonts w:ascii="Tahoma" w:eastAsia="Calibri" w:hAnsi="Tahoma" w:cs="Tahoma"/>
          <w:sz w:val="24"/>
          <w:szCs w:val="24"/>
          <w:lang w:eastAsia="ro-RO"/>
        </w:rPr>
        <w:t>şi</w:t>
      </w:r>
      <w:proofErr w:type="spellEnd"/>
      <w:r w:rsidRPr="003164CE">
        <w:rPr>
          <w:rFonts w:ascii="Tahoma" w:eastAsia="Calibri" w:hAnsi="Tahoma" w:cs="Tahoma"/>
          <w:sz w:val="24"/>
          <w:szCs w:val="24"/>
          <w:lang w:eastAsia="ro-RO"/>
        </w:rPr>
        <w:t xml:space="preserve"> în </w:t>
      </w:r>
      <w:proofErr w:type="spellStart"/>
      <w:r w:rsidRPr="003164CE">
        <w:rPr>
          <w:rFonts w:ascii="Tahoma" w:eastAsia="Calibri" w:hAnsi="Tahoma" w:cs="Tahoma"/>
          <w:sz w:val="24"/>
          <w:szCs w:val="24"/>
          <w:lang w:eastAsia="ro-RO"/>
        </w:rPr>
        <w:t>concordanţă</w:t>
      </w:r>
      <w:proofErr w:type="spellEnd"/>
      <w:r w:rsidRPr="003164CE">
        <w:rPr>
          <w:rFonts w:ascii="Tahoma" w:eastAsia="Calibri" w:hAnsi="Tahoma" w:cs="Tahoma"/>
          <w:sz w:val="24"/>
          <w:szCs w:val="24"/>
          <w:lang w:eastAsia="ro-RO"/>
        </w:rPr>
        <w:t xml:space="preserve"> cu </w:t>
      </w:r>
      <w:proofErr w:type="spellStart"/>
      <w:r w:rsidRPr="003164CE">
        <w:rPr>
          <w:rFonts w:ascii="Tahoma" w:eastAsia="Calibri" w:hAnsi="Tahoma" w:cs="Tahoma"/>
          <w:sz w:val="24"/>
          <w:szCs w:val="24"/>
          <w:lang w:eastAsia="ro-RO"/>
        </w:rPr>
        <w:t>evoluţia</w:t>
      </w:r>
      <w:proofErr w:type="spellEnd"/>
      <w:r w:rsidRPr="003164CE">
        <w:rPr>
          <w:rFonts w:ascii="Tahoma" w:eastAsia="Calibri" w:hAnsi="Tahoma" w:cs="Tahoma"/>
          <w:sz w:val="24"/>
          <w:szCs w:val="24"/>
          <w:lang w:eastAsia="ro-RO"/>
        </w:rPr>
        <w:t xml:space="preserve"> lucrărilor de </w:t>
      </w:r>
      <w:proofErr w:type="spellStart"/>
      <w:r w:rsidRPr="003164CE">
        <w:rPr>
          <w:rFonts w:ascii="Tahoma" w:eastAsia="Calibri" w:hAnsi="Tahoma" w:cs="Tahoma"/>
          <w:sz w:val="24"/>
          <w:szCs w:val="24"/>
          <w:lang w:eastAsia="ro-RO"/>
        </w:rPr>
        <w:t>construcţii</w:t>
      </w:r>
      <w:proofErr w:type="spellEnd"/>
      <w:r w:rsidRPr="003164CE">
        <w:rPr>
          <w:rFonts w:ascii="Tahoma" w:eastAsia="Calibri" w:hAnsi="Tahoma" w:cs="Tahoma"/>
          <w:sz w:val="24"/>
          <w:szCs w:val="24"/>
          <w:lang w:eastAsia="ro-RO"/>
        </w:rPr>
        <w:t xml:space="preserve"> </w:t>
      </w:r>
      <w:proofErr w:type="spellStart"/>
      <w:r w:rsidRPr="003164CE">
        <w:rPr>
          <w:rFonts w:ascii="Tahoma" w:eastAsia="Calibri" w:hAnsi="Tahoma" w:cs="Tahoma"/>
          <w:sz w:val="24"/>
          <w:szCs w:val="24"/>
          <w:lang w:eastAsia="ro-RO"/>
        </w:rPr>
        <w:t>inginereşti</w:t>
      </w:r>
      <w:proofErr w:type="spellEnd"/>
      <w:r w:rsidRPr="003164CE">
        <w:rPr>
          <w:rFonts w:ascii="Tahoma" w:eastAsia="Calibri" w:hAnsi="Tahoma" w:cs="Tahoma"/>
          <w:sz w:val="24"/>
          <w:szCs w:val="24"/>
          <w:lang w:eastAsia="ro-RO"/>
        </w:rPr>
        <w:t xml:space="preserve"> (</w:t>
      </w:r>
      <w:proofErr w:type="spellStart"/>
      <w:r w:rsidRPr="003164CE">
        <w:rPr>
          <w:rFonts w:ascii="Tahoma" w:eastAsia="Calibri" w:hAnsi="Tahoma" w:cs="Tahoma"/>
          <w:sz w:val="24"/>
          <w:szCs w:val="24"/>
          <w:lang w:eastAsia="ro-RO"/>
        </w:rPr>
        <w:t>creştere</w:t>
      </w:r>
      <w:proofErr w:type="spellEnd"/>
      <w:r w:rsidRPr="003164CE">
        <w:rPr>
          <w:rFonts w:ascii="Tahoma" w:eastAsia="Calibri" w:hAnsi="Tahoma" w:cs="Tahoma"/>
          <w:sz w:val="24"/>
          <w:szCs w:val="24"/>
          <w:lang w:eastAsia="ro-RO"/>
        </w:rPr>
        <w:t xml:space="preserve"> de 10,5% în primele 6 luni ale anului 2025 comparativ cu perioada corespondentă din anul anterior), </w:t>
      </w:r>
      <w:proofErr w:type="spellStart"/>
      <w:r w:rsidRPr="003164CE">
        <w:rPr>
          <w:rFonts w:ascii="Tahoma" w:eastAsia="Calibri" w:hAnsi="Tahoma" w:cs="Tahoma"/>
          <w:sz w:val="24"/>
          <w:szCs w:val="24"/>
          <w:lang w:eastAsia="ro-RO"/>
        </w:rPr>
        <w:t>investiţiile</w:t>
      </w:r>
      <w:proofErr w:type="spellEnd"/>
      <w:r w:rsidRPr="003164CE">
        <w:rPr>
          <w:rFonts w:ascii="Tahoma" w:eastAsia="Calibri" w:hAnsi="Tahoma" w:cs="Tahoma"/>
          <w:sz w:val="24"/>
          <w:szCs w:val="24"/>
          <w:lang w:eastAsia="ro-RO"/>
        </w:rPr>
        <w:t xml:space="preserve"> brute, după declinul din anul 2024, au revenit în teritoriul pozitiv, </w:t>
      </w:r>
      <w:r w:rsidRPr="003164CE">
        <w:rPr>
          <w:rFonts w:ascii="Tahoma" w:eastAsia="Calibri" w:hAnsi="Tahoma" w:cs="Tahoma"/>
          <w:sz w:val="24"/>
          <w:szCs w:val="24"/>
          <w:lang w:eastAsia="ro-RO"/>
        </w:rPr>
        <w:lastRenderedPageBreak/>
        <w:t xml:space="preserve">consemnând o </w:t>
      </w:r>
      <w:proofErr w:type="spellStart"/>
      <w:r w:rsidRPr="003164CE">
        <w:rPr>
          <w:rFonts w:ascii="Tahoma" w:eastAsia="Calibri" w:hAnsi="Tahoma" w:cs="Tahoma"/>
          <w:sz w:val="24"/>
          <w:szCs w:val="24"/>
          <w:lang w:eastAsia="ro-RO"/>
        </w:rPr>
        <w:t>creştere</w:t>
      </w:r>
      <w:proofErr w:type="spellEnd"/>
      <w:r w:rsidRPr="003164CE">
        <w:rPr>
          <w:rFonts w:ascii="Tahoma" w:eastAsia="Calibri" w:hAnsi="Tahoma" w:cs="Tahoma"/>
          <w:sz w:val="24"/>
          <w:szCs w:val="24"/>
          <w:lang w:eastAsia="ro-RO"/>
        </w:rPr>
        <w:t xml:space="preserve"> de 2%. Este de </w:t>
      </w:r>
      <w:proofErr w:type="spellStart"/>
      <w:r w:rsidRPr="003164CE">
        <w:rPr>
          <w:rFonts w:ascii="Tahoma" w:eastAsia="Calibri" w:hAnsi="Tahoma" w:cs="Tahoma"/>
          <w:sz w:val="24"/>
          <w:szCs w:val="24"/>
          <w:lang w:eastAsia="ro-RO"/>
        </w:rPr>
        <w:t>evidenţiat</w:t>
      </w:r>
      <w:proofErr w:type="spellEnd"/>
      <w:r w:rsidRPr="003164CE">
        <w:rPr>
          <w:rFonts w:ascii="Tahoma" w:eastAsia="Calibri" w:hAnsi="Tahoma" w:cs="Tahoma"/>
          <w:sz w:val="24"/>
          <w:szCs w:val="24"/>
          <w:lang w:eastAsia="ro-RO"/>
        </w:rPr>
        <w:t xml:space="preserve"> faptul că aportului adus de </w:t>
      </w:r>
      <w:proofErr w:type="spellStart"/>
      <w:r w:rsidRPr="003164CE">
        <w:rPr>
          <w:rFonts w:ascii="Tahoma" w:eastAsia="Calibri" w:hAnsi="Tahoma" w:cs="Tahoma"/>
          <w:sz w:val="24"/>
          <w:szCs w:val="24"/>
          <w:lang w:eastAsia="ro-RO"/>
        </w:rPr>
        <w:t>investiţiile</w:t>
      </w:r>
      <w:proofErr w:type="spellEnd"/>
      <w:r w:rsidRPr="003164CE">
        <w:rPr>
          <w:rFonts w:ascii="Tahoma" w:eastAsia="Calibri" w:hAnsi="Tahoma" w:cs="Tahoma"/>
          <w:sz w:val="24"/>
          <w:szCs w:val="24"/>
          <w:lang w:eastAsia="ro-RO"/>
        </w:rPr>
        <w:t xml:space="preserve"> brute la </w:t>
      </w:r>
      <w:proofErr w:type="spellStart"/>
      <w:r w:rsidRPr="003164CE">
        <w:rPr>
          <w:rFonts w:ascii="Tahoma" w:eastAsia="Calibri" w:hAnsi="Tahoma" w:cs="Tahoma"/>
          <w:sz w:val="24"/>
          <w:szCs w:val="24"/>
          <w:lang w:eastAsia="ro-RO"/>
        </w:rPr>
        <w:t>creşterea</w:t>
      </w:r>
      <w:proofErr w:type="spellEnd"/>
      <w:r w:rsidRPr="003164CE">
        <w:rPr>
          <w:rFonts w:ascii="Tahoma" w:eastAsia="Calibri" w:hAnsi="Tahoma" w:cs="Tahoma"/>
          <w:sz w:val="24"/>
          <w:szCs w:val="24"/>
          <w:lang w:eastAsia="ro-RO"/>
        </w:rPr>
        <w:t xml:space="preserve"> economică (0,5 puncte procentuale) i s-a adăugat </w:t>
      </w:r>
      <w:proofErr w:type="spellStart"/>
      <w:r w:rsidRPr="003164CE">
        <w:rPr>
          <w:rFonts w:ascii="Tahoma" w:eastAsia="Calibri" w:hAnsi="Tahoma" w:cs="Tahoma"/>
          <w:sz w:val="24"/>
          <w:szCs w:val="24"/>
          <w:lang w:eastAsia="ro-RO"/>
        </w:rPr>
        <w:t>şi</w:t>
      </w:r>
      <w:proofErr w:type="spellEnd"/>
      <w:r w:rsidRPr="003164CE">
        <w:rPr>
          <w:rFonts w:ascii="Tahoma" w:eastAsia="Calibri" w:hAnsi="Tahoma" w:cs="Tahoma"/>
          <w:sz w:val="24"/>
          <w:szCs w:val="24"/>
          <w:lang w:eastAsia="ro-RO"/>
        </w:rPr>
        <w:t xml:space="preserve"> </w:t>
      </w:r>
      <w:proofErr w:type="spellStart"/>
      <w:r w:rsidRPr="003164CE">
        <w:rPr>
          <w:rFonts w:ascii="Tahoma" w:eastAsia="Calibri" w:hAnsi="Tahoma" w:cs="Tahoma"/>
          <w:sz w:val="24"/>
          <w:szCs w:val="24"/>
          <w:lang w:eastAsia="ro-RO"/>
        </w:rPr>
        <w:t>contribuţia</w:t>
      </w:r>
      <w:proofErr w:type="spellEnd"/>
      <w:r w:rsidRPr="003164CE">
        <w:rPr>
          <w:rFonts w:ascii="Tahoma" w:eastAsia="Calibri" w:hAnsi="Tahoma" w:cs="Tahoma"/>
          <w:sz w:val="24"/>
          <w:szCs w:val="24"/>
          <w:lang w:eastAsia="ro-RO"/>
        </w:rPr>
        <w:t xml:space="preserve"> de 0,8 puncte procentuale a </w:t>
      </w:r>
      <w:proofErr w:type="spellStart"/>
      <w:r w:rsidRPr="003164CE">
        <w:rPr>
          <w:rFonts w:ascii="Tahoma" w:eastAsia="Calibri" w:hAnsi="Tahoma" w:cs="Tahoma"/>
          <w:sz w:val="24"/>
          <w:szCs w:val="24"/>
          <w:lang w:eastAsia="ro-RO"/>
        </w:rPr>
        <w:t>variaţiei</w:t>
      </w:r>
      <w:proofErr w:type="spellEnd"/>
      <w:r w:rsidRPr="003164CE">
        <w:rPr>
          <w:rFonts w:ascii="Tahoma" w:eastAsia="Calibri" w:hAnsi="Tahoma" w:cs="Tahoma"/>
          <w:sz w:val="24"/>
          <w:szCs w:val="24"/>
          <w:lang w:eastAsia="ro-RO"/>
        </w:rPr>
        <w:t xml:space="preserve"> stocurilor, pe total acumularea brută </w:t>
      </w:r>
      <w:proofErr w:type="spellStart"/>
      <w:r w:rsidRPr="003164CE">
        <w:rPr>
          <w:rFonts w:ascii="Tahoma" w:eastAsia="Calibri" w:hAnsi="Tahoma" w:cs="Tahoma"/>
          <w:sz w:val="24"/>
          <w:szCs w:val="24"/>
          <w:lang w:eastAsia="ro-RO"/>
        </w:rPr>
        <w:t>susţinând</w:t>
      </w:r>
      <w:proofErr w:type="spellEnd"/>
      <w:r w:rsidRPr="003164CE">
        <w:rPr>
          <w:rFonts w:ascii="Tahoma" w:eastAsia="Calibri" w:hAnsi="Tahoma" w:cs="Tahoma"/>
          <w:sz w:val="24"/>
          <w:szCs w:val="24"/>
          <w:lang w:eastAsia="ro-RO"/>
        </w:rPr>
        <w:t xml:space="preserve"> avansul produsului intern brut cu 1,3 puncte procentuale. </w:t>
      </w:r>
    </w:p>
    <w:p w:rsidR="00886A33" w:rsidRPr="003164CE" w:rsidRDefault="00886A33" w:rsidP="00886A33">
      <w:pPr>
        <w:keepNext/>
        <w:spacing w:after="120" w:line="276" w:lineRule="auto"/>
        <w:ind w:firstLine="0"/>
        <w:rPr>
          <w:rFonts w:ascii="Tahoma" w:eastAsia="Calibri" w:hAnsi="Tahoma" w:cs="Tahoma"/>
          <w:sz w:val="24"/>
          <w:szCs w:val="24"/>
          <w:lang w:eastAsia="ro-RO"/>
        </w:rPr>
      </w:pPr>
      <w:r w:rsidRPr="003164CE">
        <w:rPr>
          <w:rFonts w:ascii="Tahoma" w:eastAsia="Calibri" w:hAnsi="Tahoma" w:cs="Tahoma"/>
          <w:sz w:val="24"/>
          <w:szCs w:val="24"/>
          <w:lang w:eastAsia="ro-RO"/>
        </w:rPr>
        <w:t xml:space="preserve">Temperarea avansului veniturilor disponibile reale ale </w:t>
      </w:r>
      <w:proofErr w:type="spellStart"/>
      <w:r w:rsidRPr="003164CE">
        <w:rPr>
          <w:rFonts w:ascii="Tahoma" w:eastAsia="Calibri" w:hAnsi="Tahoma" w:cs="Tahoma"/>
          <w:sz w:val="24"/>
          <w:szCs w:val="24"/>
          <w:lang w:eastAsia="ro-RO"/>
        </w:rPr>
        <w:t>populaţiei</w:t>
      </w:r>
      <w:proofErr w:type="spellEnd"/>
      <w:r w:rsidRPr="003164CE">
        <w:rPr>
          <w:rFonts w:ascii="Tahoma" w:eastAsia="Calibri" w:hAnsi="Tahoma" w:cs="Tahoma"/>
          <w:sz w:val="24"/>
          <w:szCs w:val="24"/>
          <w:lang w:eastAsia="ro-RO"/>
        </w:rPr>
        <w:t xml:space="preserve"> a indus un comportament prudent din partea consumatorilor. Astfel, dinamica consumului privat a </w:t>
      </w:r>
      <w:proofErr w:type="spellStart"/>
      <w:r w:rsidRPr="003164CE">
        <w:rPr>
          <w:rFonts w:ascii="Tahoma" w:eastAsia="Calibri" w:hAnsi="Tahoma" w:cs="Tahoma"/>
          <w:sz w:val="24"/>
          <w:szCs w:val="24"/>
          <w:lang w:eastAsia="ro-RO"/>
        </w:rPr>
        <w:t>decelerat</w:t>
      </w:r>
      <w:proofErr w:type="spellEnd"/>
      <w:r w:rsidRPr="003164CE">
        <w:rPr>
          <w:rFonts w:ascii="Tahoma" w:eastAsia="Calibri" w:hAnsi="Tahoma" w:cs="Tahoma"/>
          <w:sz w:val="24"/>
          <w:szCs w:val="24"/>
          <w:lang w:eastAsia="ro-RO"/>
        </w:rPr>
        <w:t xml:space="preserve"> semnificativ  (de la 6% în anul 2024 la 1,3% în semestrul I 2025), aportul său la rata reală de </w:t>
      </w:r>
      <w:proofErr w:type="spellStart"/>
      <w:r w:rsidRPr="003164CE">
        <w:rPr>
          <w:rFonts w:ascii="Tahoma" w:eastAsia="Calibri" w:hAnsi="Tahoma" w:cs="Tahoma"/>
          <w:sz w:val="24"/>
          <w:szCs w:val="24"/>
          <w:lang w:eastAsia="ro-RO"/>
        </w:rPr>
        <w:t>creştere</w:t>
      </w:r>
      <w:proofErr w:type="spellEnd"/>
      <w:r w:rsidRPr="003164CE">
        <w:rPr>
          <w:rFonts w:ascii="Tahoma" w:eastAsia="Calibri" w:hAnsi="Tahoma" w:cs="Tahoma"/>
          <w:sz w:val="24"/>
          <w:szCs w:val="24"/>
          <w:lang w:eastAsia="ro-RO"/>
        </w:rPr>
        <w:t xml:space="preserve"> economică fiind de doar 0,9 puncte procentuale. În cadrul consumului guvernamental, atât consumul individual, cât </w:t>
      </w:r>
      <w:proofErr w:type="spellStart"/>
      <w:r w:rsidRPr="003164CE">
        <w:rPr>
          <w:rFonts w:ascii="Tahoma" w:eastAsia="Calibri" w:hAnsi="Tahoma" w:cs="Tahoma"/>
          <w:sz w:val="24"/>
          <w:szCs w:val="24"/>
          <w:lang w:eastAsia="ro-RO"/>
        </w:rPr>
        <w:t>şi</w:t>
      </w:r>
      <w:proofErr w:type="spellEnd"/>
      <w:r w:rsidRPr="003164CE">
        <w:rPr>
          <w:rFonts w:ascii="Tahoma" w:eastAsia="Calibri" w:hAnsi="Tahoma" w:cs="Tahoma"/>
          <w:sz w:val="24"/>
          <w:szCs w:val="24"/>
          <w:lang w:eastAsia="ro-RO"/>
        </w:rPr>
        <w:t xml:space="preserve"> cel colectiv al </w:t>
      </w:r>
      <w:proofErr w:type="spellStart"/>
      <w:r w:rsidRPr="003164CE">
        <w:rPr>
          <w:rFonts w:ascii="Tahoma" w:eastAsia="Calibri" w:hAnsi="Tahoma" w:cs="Tahoma"/>
          <w:sz w:val="24"/>
          <w:szCs w:val="24"/>
          <w:lang w:eastAsia="ro-RO"/>
        </w:rPr>
        <w:t>administraţiilor</w:t>
      </w:r>
      <w:proofErr w:type="spellEnd"/>
      <w:r w:rsidRPr="003164CE">
        <w:rPr>
          <w:rFonts w:ascii="Tahoma" w:eastAsia="Calibri" w:hAnsi="Tahoma" w:cs="Tahoma"/>
          <w:sz w:val="24"/>
          <w:szCs w:val="24"/>
          <w:lang w:eastAsia="ro-RO"/>
        </w:rPr>
        <w:t xml:space="preserve"> publice au înregistrat </w:t>
      </w:r>
      <w:proofErr w:type="spellStart"/>
      <w:r w:rsidRPr="003164CE">
        <w:rPr>
          <w:rFonts w:ascii="Tahoma" w:eastAsia="Calibri" w:hAnsi="Tahoma" w:cs="Tahoma"/>
          <w:sz w:val="24"/>
          <w:szCs w:val="24"/>
          <w:lang w:eastAsia="ro-RO"/>
        </w:rPr>
        <w:t>evoluţii</w:t>
      </w:r>
      <w:proofErr w:type="spellEnd"/>
      <w:r w:rsidRPr="003164CE">
        <w:rPr>
          <w:rFonts w:ascii="Tahoma" w:eastAsia="Calibri" w:hAnsi="Tahoma" w:cs="Tahoma"/>
          <w:sz w:val="24"/>
          <w:szCs w:val="24"/>
          <w:lang w:eastAsia="ro-RO"/>
        </w:rPr>
        <w:t xml:space="preserve"> negative, per total scăderea fiind de 2,3%.  Aceste </w:t>
      </w:r>
      <w:proofErr w:type="spellStart"/>
      <w:r w:rsidRPr="003164CE">
        <w:rPr>
          <w:rFonts w:ascii="Tahoma" w:eastAsia="Calibri" w:hAnsi="Tahoma" w:cs="Tahoma"/>
          <w:sz w:val="24"/>
          <w:szCs w:val="24"/>
          <w:lang w:eastAsia="ro-RO"/>
        </w:rPr>
        <w:t>evoluţii</w:t>
      </w:r>
      <w:proofErr w:type="spellEnd"/>
      <w:r w:rsidRPr="003164CE">
        <w:rPr>
          <w:rFonts w:ascii="Tahoma" w:eastAsia="Calibri" w:hAnsi="Tahoma" w:cs="Tahoma"/>
          <w:sz w:val="24"/>
          <w:szCs w:val="24"/>
          <w:lang w:eastAsia="ro-RO"/>
        </w:rPr>
        <w:t xml:space="preserve"> au condus la o </w:t>
      </w:r>
      <w:proofErr w:type="spellStart"/>
      <w:r w:rsidRPr="003164CE">
        <w:rPr>
          <w:rFonts w:ascii="Tahoma" w:eastAsia="Calibri" w:hAnsi="Tahoma" w:cs="Tahoma"/>
          <w:sz w:val="24"/>
          <w:szCs w:val="24"/>
          <w:lang w:eastAsia="ro-RO"/>
        </w:rPr>
        <w:t>contribuţie</w:t>
      </w:r>
      <w:proofErr w:type="spellEnd"/>
      <w:r w:rsidRPr="003164CE">
        <w:rPr>
          <w:rFonts w:ascii="Tahoma" w:eastAsia="Calibri" w:hAnsi="Tahoma" w:cs="Tahoma"/>
          <w:sz w:val="24"/>
          <w:szCs w:val="24"/>
          <w:lang w:eastAsia="ro-RO"/>
        </w:rPr>
        <w:t xml:space="preserve"> moderată a consumului final la </w:t>
      </w:r>
      <w:proofErr w:type="spellStart"/>
      <w:r w:rsidRPr="003164CE">
        <w:rPr>
          <w:rFonts w:ascii="Tahoma" w:eastAsia="Calibri" w:hAnsi="Tahoma" w:cs="Tahoma"/>
          <w:sz w:val="24"/>
          <w:szCs w:val="24"/>
          <w:lang w:eastAsia="ro-RO"/>
        </w:rPr>
        <w:t>creşterea</w:t>
      </w:r>
      <w:proofErr w:type="spellEnd"/>
      <w:r w:rsidRPr="003164CE">
        <w:rPr>
          <w:rFonts w:ascii="Tahoma" w:eastAsia="Calibri" w:hAnsi="Tahoma" w:cs="Tahoma"/>
          <w:sz w:val="24"/>
          <w:szCs w:val="24"/>
          <w:lang w:eastAsia="ro-RO"/>
        </w:rPr>
        <w:t xml:space="preserve"> economica reală de numai 0,4 puncte procentuale.</w:t>
      </w:r>
    </w:p>
    <w:p w:rsidR="00886A33" w:rsidRPr="003164CE" w:rsidRDefault="00886A33" w:rsidP="00886A33">
      <w:pPr>
        <w:keepNext/>
        <w:spacing w:after="120" w:line="276" w:lineRule="auto"/>
        <w:ind w:firstLine="0"/>
        <w:rPr>
          <w:rFonts w:ascii="Tahoma" w:eastAsia="Calibri" w:hAnsi="Tahoma" w:cs="Tahoma"/>
          <w:sz w:val="24"/>
          <w:szCs w:val="24"/>
          <w:lang w:eastAsia="ro-RO"/>
        </w:rPr>
      </w:pPr>
      <w:r w:rsidRPr="003164CE">
        <w:rPr>
          <w:rFonts w:ascii="Tahoma" w:eastAsia="Calibri" w:hAnsi="Tahoma" w:cs="Tahoma"/>
          <w:sz w:val="24"/>
          <w:szCs w:val="24"/>
          <w:lang w:eastAsia="ro-RO"/>
        </w:rPr>
        <w:t xml:space="preserve">În </w:t>
      </w:r>
      <w:proofErr w:type="spellStart"/>
      <w:r w:rsidRPr="003164CE">
        <w:rPr>
          <w:rFonts w:ascii="Tahoma" w:eastAsia="Calibri" w:hAnsi="Tahoma" w:cs="Tahoma"/>
          <w:sz w:val="24"/>
          <w:szCs w:val="24"/>
          <w:lang w:eastAsia="ro-RO"/>
        </w:rPr>
        <w:t>condiţiile</w:t>
      </w:r>
      <w:proofErr w:type="spellEnd"/>
      <w:r w:rsidRPr="003164CE">
        <w:rPr>
          <w:rFonts w:ascii="Tahoma" w:eastAsia="Calibri" w:hAnsi="Tahoma" w:cs="Tahoma"/>
          <w:sz w:val="24"/>
          <w:szCs w:val="24"/>
          <w:lang w:eastAsia="ro-RO"/>
        </w:rPr>
        <w:t xml:space="preserve"> unei oferte interne limitate, cererea pentru </w:t>
      </w:r>
      <w:proofErr w:type="spellStart"/>
      <w:r w:rsidRPr="003164CE">
        <w:rPr>
          <w:rFonts w:ascii="Tahoma" w:eastAsia="Calibri" w:hAnsi="Tahoma" w:cs="Tahoma"/>
          <w:sz w:val="24"/>
          <w:szCs w:val="24"/>
          <w:lang w:eastAsia="ro-RO"/>
        </w:rPr>
        <w:t>investiţii</w:t>
      </w:r>
      <w:proofErr w:type="spellEnd"/>
      <w:r w:rsidRPr="003164CE">
        <w:rPr>
          <w:rFonts w:ascii="Tahoma" w:eastAsia="Calibri" w:hAnsi="Tahoma" w:cs="Tahoma"/>
          <w:sz w:val="24"/>
          <w:szCs w:val="24"/>
          <w:lang w:eastAsia="ro-RO"/>
        </w:rPr>
        <w:t xml:space="preserve"> </w:t>
      </w:r>
      <w:proofErr w:type="spellStart"/>
      <w:r w:rsidRPr="003164CE">
        <w:rPr>
          <w:rFonts w:ascii="Tahoma" w:eastAsia="Calibri" w:hAnsi="Tahoma" w:cs="Tahoma"/>
          <w:sz w:val="24"/>
          <w:szCs w:val="24"/>
          <w:lang w:eastAsia="ro-RO"/>
        </w:rPr>
        <w:t>şi</w:t>
      </w:r>
      <w:proofErr w:type="spellEnd"/>
      <w:r w:rsidRPr="003164CE">
        <w:rPr>
          <w:rFonts w:ascii="Tahoma" w:eastAsia="Calibri" w:hAnsi="Tahoma" w:cs="Tahoma"/>
          <w:sz w:val="24"/>
          <w:szCs w:val="24"/>
          <w:lang w:eastAsia="ro-RO"/>
        </w:rPr>
        <w:t xml:space="preserve"> consum a fost acoperită, în mare parte, prin majorarea importului de bunuri </w:t>
      </w:r>
      <w:proofErr w:type="spellStart"/>
      <w:r w:rsidRPr="003164CE">
        <w:rPr>
          <w:rFonts w:ascii="Tahoma" w:eastAsia="Calibri" w:hAnsi="Tahoma" w:cs="Tahoma"/>
          <w:sz w:val="24"/>
          <w:szCs w:val="24"/>
          <w:lang w:eastAsia="ro-RO"/>
        </w:rPr>
        <w:t>şi</w:t>
      </w:r>
      <w:proofErr w:type="spellEnd"/>
      <w:r w:rsidRPr="003164CE">
        <w:rPr>
          <w:rFonts w:ascii="Tahoma" w:eastAsia="Calibri" w:hAnsi="Tahoma" w:cs="Tahoma"/>
          <w:sz w:val="24"/>
          <w:szCs w:val="24"/>
          <w:lang w:eastAsia="ro-RO"/>
        </w:rPr>
        <w:t xml:space="preserve"> servicii (+5,6%), în timp ce exportul de bunuri </w:t>
      </w:r>
      <w:proofErr w:type="spellStart"/>
      <w:r w:rsidRPr="003164CE">
        <w:rPr>
          <w:rFonts w:ascii="Tahoma" w:eastAsia="Calibri" w:hAnsi="Tahoma" w:cs="Tahoma"/>
          <w:sz w:val="24"/>
          <w:szCs w:val="24"/>
          <w:lang w:eastAsia="ro-RO"/>
        </w:rPr>
        <w:t>şi</w:t>
      </w:r>
      <w:proofErr w:type="spellEnd"/>
      <w:r w:rsidRPr="003164CE">
        <w:rPr>
          <w:rFonts w:ascii="Tahoma" w:eastAsia="Calibri" w:hAnsi="Tahoma" w:cs="Tahoma"/>
          <w:sz w:val="24"/>
          <w:szCs w:val="24"/>
          <w:lang w:eastAsia="ro-RO"/>
        </w:rPr>
        <w:t xml:space="preserve"> servicii a înregistrat o </w:t>
      </w:r>
      <w:proofErr w:type="spellStart"/>
      <w:r w:rsidRPr="003164CE">
        <w:rPr>
          <w:rFonts w:ascii="Tahoma" w:eastAsia="Calibri" w:hAnsi="Tahoma" w:cs="Tahoma"/>
          <w:sz w:val="24"/>
          <w:szCs w:val="24"/>
          <w:lang w:eastAsia="ro-RO"/>
        </w:rPr>
        <w:t>creştere</w:t>
      </w:r>
      <w:proofErr w:type="spellEnd"/>
      <w:r w:rsidRPr="003164CE">
        <w:rPr>
          <w:rFonts w:ascii="Tahoma" w:eastAsia="Calibri" w:hAnsi="Tahoma" w:cs="Tahoma"/>
          <w:sz w:val="24"/>
          <w:szCs w:val="24"/>
          <w:lang w:eastAsia="ro-RO"/>
        </w:rPr>
        <w:t xml:space="preserve"> moderată, respectiv de 2,8%, rezultând astfel o </w:t>
      </w:r>
      <w:proofErr w:type="spellStart"/>
      <w:r w:rsidRPr="003164CE">
        <w:rPr>
          <w:rFonts w:ascii="Tahoma" w:eastAsia="Calibri" w:hAnsi="Tahoma" w:cs="Tahoma"/>
          <w:sz w:val="24"/>
          <w:szCs w:val="24"/>
          <w:lang w:eastAsia="ro-RO"/>
        </w:rPr>
        <w:t>contribuţie</w:t>
      </w:r>
      <w:proofErr w:type="spellEnd"/>
      <w:r w:rsidRPr="003164CE">
        <w:rPr>
          <w:rFonts w:ascii="Tahoma" w:eastAsia="Calibri" w:hAnsi="Tahoma" w:cs="Tahoma"/>
          <w:sz w:val="24"/>
          <w:szCs w:val="24"/>
          <w:lang w:eastAsia="ro-RO"/>
        </w:rPr>
        <w:t xml:space="preserve"> negativă a exportului net la dinamica PIB de 1,4 puncte procentuale. </w:t>
      </w:r>
    </w:p>
    <w:p w:rsidR="00886A33" w:rsidRPr="003164CE" w:rsidRDefault="00886A33" w:rsidP="00886A33">
      <w:pPr>
        <w:spacing w:after="240" w:line="276" w:lineRule="auto"/>
        <w:ind w:firstLine="0"/>
        <w:rPr>
          <w:rFonts w:ascii="Tahoma" w:eastAsia="Calibri" w:hAnsi="Tahoma" w:cs="Tahoma"/>
          <w:sz w:val="24"/>
          <w:szCs w:val="24"/>
        </w:rPr>
      </w:pPr>
      <w:r w:rsidRPr="003164CE">
        <w:rPr>
          <w:rFonts w:ascii="Tahoma" w:eastAsia="Calibri" w:hAnsi="Tahoma" w:cs="Tahoma"/>
          <w:b/>
          <w:sz w:val="24"/>
          <w:szCs w:val="24"/>
        </w:rPr>
        <w:t>Pe componente de formare</w:t>
      </w:r>
      <w:r w:rsidRPr="003164CE">
        <w:rPr>
          <w:rFonts w:ascii="Tahoma" w:eastAsia="Calibri" w:hAnsi="Tahoma" w:cs="Tahoma"/>
          <w:sz w:val="24"/>
          <w:szCs w:val="24"/>
        </w:rPr>
        <w:t xml:space="preserve">, valoarea adăugată brută totală s-a diminuat cu 0,2% comparativ cu perioada similară, în timp ce impozitele nete pe produs, cu o majorare de 5,0%, au avut un aport la </w:t>
      </w:r>
      <w:proofErr w:type="spellStart"/>
      <w:r w:rsidRPr="003164CE">
        <w:rPr>
          <w:rFonts w:ascii="Tahoma" w:eastAsia="Calibri" w:hAnsi="Tahoma" w:cs="Tahoma"/>
          <w:sz w:val="24"/>
          <w:szCs w:val="24"/>
        </w:rPr>
        <w:t>creşterea</w:t>
      </w:r>
      <w:proofErr w:type="spellEnd"/>
      <w:r w:rsidRPr="003164CE">
        <w:rPr>
          <w:rFonts w:ascii="Tahoma" w:eastAsia="Calibri" w:hAnsi="Tahoma" w:cs="Tahoma"/>
          <w:sz w:val="24"/>
          <w:szCs w:val="24"/>
        </w:rPr>
        <w:t xml:space="preserve"> economică de 0,5 puncte procentuale.</w:t>
      </w:r>
    </w:p>
    <w:p w:rsidR="00886A33" w:rsidRPr="003164CE" w:rsidRDefault="003164CE" w:rsidP="00886A33">
      <w:pPr>
        <w:spacing w:after="120" w:line="276" w:lineRule="auto"/>
        <w:ind w:firstLine="0"/>
        <w:rPr>
          <w:rFonts w:ascii="Tahoma" w:eastAsia="Calibri" w:hAnsi="Tahoma" w:cs="Tahoma"/>
          <w:sz w:val="24"/>
          <w:szCs w:val="24"/>
        </w:rPr>
      </w:pPr>
      <w:r w:rsidRPr="003164CE">
        <w:rPr>
          <w:rFonts w:ascii="Tahoma" w:eastAsia="Calibri" w:hAnsi="Tahoma" w:cs="Tahoma"/>
          <w:bCs/>
          <w:sz w:val="24"/>
          <w:szCs w:val="24"/>
        </w:rPr>
        <w:t>Construcțiile</w:t>
      </w:r>
      <w:r w:rsidR="00886A33" w:rsidRPr="003164CE">
        <w:rPr>
          <w:rFonts w:ascii="Tahoma" w:eastAsia="Calibri" w:hAnsi="Tahoma" w:cs="Tahoma"/>
          <w:bCs/>
          <w:sz w:val="24"/>
          <w:szCs w:val="24"/>
        </w:rPr>
        <w:t xml:space="preserve"> au reprezentat cel mai dinamic sector din economie. După un an 2024 cu rezultate nefavorabile, în semestrul I s-a înregistrat o revenire consistentă ca urmare a unui efect de bază, cu o majorare a VAB de 5,6%</w:t>
      </w:r>
      <w:r w:rsidR="00886A33" w:rsidRPr="003164CE">
        <w:rPr>
          <w:rFonts w:ascii="Tahoma" w:eastAsia="Calibri" w:hAnsi="Tahoma" w:cs="Tahoma"/>
          <w:sz w:val="24"/>
          <w:szCs w:val="24"/>
        </w:rPr>
        <w:t xml:space="preserve"> </w:t>
      </w:r>
      <w:proofErr w:type="spellStart"/>
      <w:r w:rsidR="00886A33" w:rsidRPr="003164CE">
        <w:rPr>
          <w:rFonts w:ascii="Tahoma" w:eastAsia="Calibri" w:hAnsi="Tahoma" w:cs="Tahoma"/>
          <w:sz w:val="24"/>
          <w:szCs w:val="24"/>
        </w:rPr>
        <w:t>şi</w:t>
      </w:r>
      <w:proofErr w:type="spellEnd"/>
      <w:r w:rsidR="00886A33" w:rsidRPr="003164CE">
        <w:rPr>
          <w:rFonts w:ascii="Tahoma" w:eastAsia="Calibri" w:hAnsi="Tahoma" w:cs="Tahoma"/>
          <w:sz w:val="24"/>
          <w:szCs w:val="24"/>
        </w:rPr>
        <w:t xml:space="preserve"> o </w:t>
      </w:r>
      <w:proofErr w:type="spellStart"/>
      <w:r w:rsidR="00886A33" w:rsidRPr="003164CE">
        <w:rPr>
          <w:rFonts w:ascii="Tahoma" w:eastAsia="Calibri" w:hAnsi="Tahoma" w:cs="Tahoma"/>
          <w:sz w:val="24"/>
          <w:szCs w:val="24"/>
        </w:rPr>
        <w:t>susţinere</w:t>
      </w:r>
      <w:proofErr w:type="spellEnd"/>
      <w:r w:rsidR="00886A33" w:rsidRPr="003164CE">
        <w:rPr>
          <w:rFonts w:ascii="Tahoma" w:eastAsia="Calibri" w:hAnsi="Tahoma" w:cs="Tahoma"/>
          <w:sz w:val="24"/>
          <w:szCs w:val="24"/>
        </w:rPr>
        <w:t xml:space="preserve"> a ratei reale a PIB cu 0,3 puncte procentuale. </w:t>
      </w:r>
      <w:r w:rsidRPr="003164CE">
        <w:rPr>
          <w:rFonts w:ascii="Tahoma" w:eastAsia="Calibri" w:hAnsi="Tahoma" w:cs="Tahoma"/>
          <w:sz w:val="24"/>
          <w:szCs w:val="24"/>
        </w:rPr>
        <w:t>Contribuția</w:t>
      </w:r>
      <w:r w:rsidR="00886A33" w:rsidRPr="003164CE">
        <w:rPr>
          <w:rFonts w:ascii="Tahoma" w:eastAsia="Calibri" w:hAnsi="Tahoma" w:cs="Tahoma"/>
          <w:sz w:val="24"/>
          <w:szCs w:val="24"/>
        </w:rPr>
        <w:t xml:space="preserve"> </w:t>
      </w:r>
      <w:r w:rsidRPr="003164CE">
        <w:rPr>
          <w:rFonts w:ascii="Tahoma" w:eastAsia="Calibri" w:hAnsi="Tahoma" w:cs="Tahoma"/>
          <w:sz w:val="24"/>
          <w:szCs w:val="24"/>
        </w:rPr>
        <w:t>construcțiilor</w:t>
      </w:r>
      <w:r w:rsidR="00886A33" w:rsidRPr="003164CE">
        <w:rPr>
          <w:rFonts w:ascii="Tahoma" w:eastAsia="Calibri" w:hAnsi="Tahoma" w:cs="Tahoma"/>
          <w:sz w:val="24"/>
          <w:szCs w:val="24"/>
        </w:rPr>
        <w:t xml:space="preserve"> a fost anulată de </w:t>
      </w:r>
      <w:proofErr w:type="spellStart"/>
      <w:r w:rsidR="00886A33" w:rsidRPr="003164CE">
        <w:rPr>
          <w:rFonts w:ascii="Tahoma" w:eastAsia="Calibri" w:hAnsi="Tahoma" w:cs="Tahoma"/>
          <w:sz w:val="24"/>
          <w:szCs w:val="24"/>
        </w:rPr>
        <w:t>evoluţia</w:t>
      </w:r>
      <w:proofErr w:type="spellEnd"/>
      <w:r w:rsidR="00886A33" w:rsidRPr="003164CE">
        <w:rPr>
          <w:rFonts w:ascii="Tahoma" w:eastAsia="Calibri" w:hAnsi="Tahoma" w:cs="Tahoma"/>
          <w:sz w:val="24"/>
          <w:szCs w:val="24"/>
        </w:rPr>
        <w:t xml:space="preserve"> slabă a sectorului industrial, cu o diminuare a VAB de 1,5% </w:t>
      </w:r>
      <w:proofErr w:type="spellStart"/>
      <w:r w:rsidR="00886A33" w:rsidRPr="003164CE">
        <w:rPr>
          <w:rFonts w:ascii="Tahoma" w:eastAsia="Calibri" w:hAnsi="Tahoma" w:cs="Tahoma"/>
          <w:sz w:val="24"/>
          <w:szCs w:val="24"/>
        </w:rPr>
        <w:t>şi</w:t>
      </w:r>
      <w:proofErr w:type="spellEnd"/>
      <w:r w:rsidR="00886A33" w:rsidRPr="003164CE">
        <w:rPr>
          <w:rFonts w:ascii="Tahoma" w:eastAsia="Calibri" w:hAnsi="Tahoma" w:cs="Tahoma"/>
          <w:sz w:val="24"/>
          <w:szCs w:val="24"/>
        </w:rPr>
        <w:t xml:space="preserve"> o reducere a avansului economic cu 0,3 puncte procentuale. </w:t>
      </w:r>
    </w:p>
    <w:p w:rsidR="00886A33" w:rsidRPr="003164CE" w:rsidRDefault="00886A33" w:rsidP="00886A33">
      <w:pPr>
        <w:spacing w:after="120" w:line="276" w:lineRule="auto"/>
        <w:ind w:firstLine="0"/>
        <w:rPr>
          <w:rFonts w:ascii="Tahoma" w:eastAsia="Calibri" w:hAnsi="Tahoma" w:cs="Tahoma"/>
          <w:bCs/>
          <w:sz w:val="24"/>
          <w:szCs w:val="24"/>
        </w:rPr>
      </w:pPr>
      <w:r w:rsidRPr="003164CE">
        <w:rPr>
          <w:rFonts w:ascii="Tahoma" w:eastAsia="Calibri" w:hAnsi="Tahoma" w:cs="Tahoma"/>
          <w:bCs/>
          <w:sz w:val="24"/>
          <w:szCs w:val="24"/>
        </w:rPr>
        <w:t xml:space="preserve">Volumul de activitate din sectorul serviciilor s-a redus comparativ cu semestrul I 2024 cu 0,3%. </w:t>
      </w:r>
      <w:r w:rsidR="003164CE" w:rsidRPr="003164CE">
        <w:rPr>
          <w:rFonts w:ascii="Tahoma" w:eastAsia="Calibri" w:hAnsi="Tahoma" w:cs="Tahoma"/>
          <w:bCs/>
          <w:sz w:val="24"/>
          <w:szCs w:val="24"/>
        </w:rPr>
        <w:t>Creșterile</w:t>
      </w:r>
      <w:r w:rsidRPr="003164CE">
        <w:rPr>
          <w:rFonts w:ascii="Tahoma" w:eastAsia="Calibri" w:hAnsi="Tahoma" w:cs="Tahoma"/>
          <w:bCs/>
          <w:sz w:val="24"/>
          <w:szCs w:val="24"/>
        </w:rPr>
        <w:t xml:space="preserve"> </w:t>
      </w:r>
      <w:r w:rsidR="003164CE" w:rsidRPr="003164CE">
        <w:rPr>
          <w:rFonts w:ascii="Tahoma" w:eastAsia="Calibri" w:hAnsi="Tahoma" w:cs="Tahoma"/>
          <w:bCs/>
          <w:sz w:val="24"/>
          <w:szCs w:val="24"/>
        </w:rPr>
        <w:t>obținute</w:t>
      </w:r>
      <w:r w:rsidRPr="003164CE">
        <w:rPr>
          <w:rFonts w:ascii="Tahoma" w:eastAsia="Calibri" w:hAnsi="Tahoma" w:cs="Tahoma"/>
          <w:bCs/>
          <w:sz w:val="24"/>
          <w:szCs w:val="24"/>
        </w:rPr>
        <w:t xml:space="preserve"> de ramurile sectorului </w:t>
      </w:r>
      <w:r w:rsidR="003164CE" w:rsidRPr="003164CE">
        <w:rPr>
          <w:rFonts w:ascii="Tahoma" w:eastAsia="Calibri" w:hAnsi="Tahoma" w:cs="Tahoma"/>
          <w:bCs/>
          <w:sz w:val="24"/>
          <w:szCs w:val="24"/>
        </w:rPr>
        <w:t>terțiar</w:t>
      </w:r>
      <w:r w:rsidRPr="003164CE">
        <w:rPr>
          <w:rFonts w:ascii="Tahoma" w:eastAsia="Calibri" w:hAnsi="Tahoma" w:cs="Tahoma"/>
          <w:bCs/>
          <w:sz w:val="24"/>
          <w:szCs w:val="24"/>
        </w:rPr>
        <w:t xml:space="preserve"> au fost modeste, doar 1,1% în </w:t>
      </w:r>
      <w:r w:rsidR="003164CE" w:rsidRPr="003164CE">
        <w:rPr>
          <w:rFonts w:ascii="Tahoma" w:eastAsia="Calibri" w:hAnsi="Tahoma" w:cs="Tahoma"/>
          <w:bCs/>
          <w:sz w:val="24"/>
          <w:szCs w:val="24"/>
        </w:rPr>
        <w:t>informații</w:t>
      </w:r>
      <w:r w:rsidRPr="003164CE">
        <w:rPr>
          <w:rFonts w:ascii="Tahoma" w:eastAsia="Calibri" w:hAnsi="Tahoma" w:cs="Tahoma"/>
          <w:bCs/>
          <w:sz w:val="24"/>
          <w:szCs w:val="24"/>
        </w:rPr>
        <w:t xml:space="preserve">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w:t>
      </w:r>
      <w:r w:rsidR="003164CE" w:rsidRPr="003164CE">
        <w:rPr>
          <w:rFonts w:ascii="Tahoma" w:eastAsia="Calibri" w:hAnsi="Tahoma" w:cs="Tahoma"/>
          <w:bCs/>
          <w:sz w:val="24"/>
          <w:szCs w:val="24"/>
        </w:rPr>
        <w:t>comunicații</w:t>
      </w:r>
      <w:r w:rsidRPr="003164CE">
        <w:rPr>
          <w:rFonts w:ascii="Tahoma" w:eastAsia="Calibri" w:hAnsi="Tahoma" w:cs="Tahoma"/>
          <w:bCs/>
          <w:sz w:val="24"/>
          <w:szCs w:val="24"/>
        </w:rPr>
        <w:t xml:space="preserve">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0,1% în domeniul </w:t>
      </w:r>
      <w:r w:rsidR="003164CE" w:rsidRPr="003164CE">
        <w:rPr>
          <w:rFonts w:ascii="Tahoma" w:eastAsia="Calibri" w:hAnsi="Tahoma" w:cs="Tahoma"/>
          <w:bCs/>
          <w:sz w:val="24"/>
          <w:szCs w:val="24"/>
        </w:rPr>
        <w:t>administrație</w:t>
      </w:r>
      <w:r w:rsidRPr="003164CE">
        <w:rPr>
          <w:rFonts w:ascii="Tahoma" w:eastAsia="Calibri" w:hAnsi="Tahoma" w:cs="Tahoma"/>
          <w:bCs/>
          <w:sz w:val="24"/>
          <w:szCs w:val="24"/>
        </w:rPr>
        <w:t xml:space="preserve"> publică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apărare,  în timp ce în ramurile </w:t>
      </w:r>
      <w:r w:rsidR="003164CE" w:rsidRPr="003164CE">
        <w:rPr>
          <w:rFonts w:ascii="Tahoma" w:eastAsia="Calibri" w:hAnsi="Tahoma" w:cs="Tahoma"/>
          <w:bCs/>
          <w:sz w:val="24"/>
          <w:szCs w:val="24"/>
        </w:rPr>
        <w:t>activități</w:t>
      </w:r>
      <w:r w:rsidRPr="003164CE">
        <w:rPr>
          <w:rFonts w:ascii="Tahoma" w:eastAsia="Calibri" w:hAnsi="Tahoma" w:cs="Tahoma"/>
          <w:bCs/>
          <w:sz w:val="24"/>
          <w:szCs w:val="24"/>
        </w:rPr>
        <w:t xml:space="preserve"> profesionale, </w:t>
      </w:r>
      <w:r w:rsidR="003164CE" w:rsidRPr="003164CE">
        <w:rPr>
          <w:rFonts w:ascii="Tahoma" w:eastAsia="Calibri" w:hAnsi="Tahoma" w:cs="Tahoma"/>
          <w:bCs/>
          <w:sz w:val="24"/>
          <w:szCs w:val="24"/>
        </w:rPr>
        <w:t>științifice</w:t>
      </w:r>
      <w:r w:rsidRPr="003164CE">
        <w:rPr>
          <w:rFonts w:ascii="Tahoma" w:eastAsia="Calibri" w:hAnsi="Tahoma" w:cs="Tahoma"/>
          <w:bCs/>
          <w:sz w:val="24"/>
          <w:szCs w:val="24"/>
        </w:rPr>
        <w:t xml:space="preserve">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tehnice (-2,9%), intermedieri financiare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asigurări (-0,4%), </w:t>
      </w:r>
      <w:r w:rsidR="003164CE" w:rsidRPr="003164CE">
        <w:rPr>
          <w:rFonts w:ascii="Tahoma" w:eastAsia="Calibri" w:hAnsi="Tahoma" w:cs="Tahoma"/>
          <w:bCs/>
          <w:sz w:val="24"/>
          <w:szCs w:val="24"/>
        </w:rPr>
        <w:t>activități</w:t>
      </w:r>
      <w:r w:rsidRPr="003164CE">
        <w:rPr>
          <w:rFonts w:ascii="Tahoma" w:eastAsia="Calibri" w:hAnsi="Tahoma" w:cs="Tahoma"/>
          <w:bCs/>
          <w:sz w:val="24"/>
          <w:szCs w:val="24"/>
        </w:rPr>
        <w:t xml:space="preserve"> de spectacole, culturale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recreative (-0,2%)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w:t>
      </w:r>
      <w:r w:rsidR="003164CE" w:rsidRPr="003164CE">
        <w:rPr>
          <w:rFonts w:ascii="Tahoma" w:eastAsia="Calibri" w:hAnsi="Tahoma" w:cs="Tahoma"/>
          <w:bCs/>
          <w:sz w:val="24"/>
          <w:szCs w:val="24"/>
        </w:rPr>
        <w:t>comerț</w:t>
      </w:r>
      <w:r w:rsidRPr="003164CE">
        <w:rPr>
          <w:rFonts w:ascii="Tahoma" w:eastAsia="Calibri" w:hAnsi="Tahoma" w:cs="Tahoma"/>
          <w:bCs/>
          <w:sz w:val="24"/>
          <w:szCs w:val="24"/>
        </w:rPr>
        <w:t xml:space="preserve">, transporturi, hoteluri </w:t>
      </w:r>
      <w:proofErr w:type="spellStart"/>
      <w:r w:rsidRPr="003164CE">
        <w:rPr>
          <w:rFonts w:ascii="Tahoma" w:eastAsia="Calibri" w:hAnsi="Tahoma" w:cs="Tahoma"/>
          <w:bCs/>
          <w:sz w:val="24"/>
          <w:szCs w:val="24"/>
        </w:rPr>
        <w:t>şi</w:t>
      </w:r>
      <w:proofErr w:type="spellEnd"/>
      <w:r w:rsidRPr="003164CE">
        <w:rPr>
          <w:rFonts w:ascii="Tahoma" w:eastAsia="Calibri" w:hAnsi="Tahoma" w:cs="Tahoma"/>
          <w:bCs/>
          <w:sz w:val="24"/>
          <w:szCs w:val="24"/>
        </w:rPr>
        <w:t xml:space="preserve"> restaurante (-0,2%) activitatea s-a contractat. Pe total sectorul serviciilor a diminuat </w:t>
      </w:r>
      <w:r w:rsidR="003164CE" w:rsidRPr="003164CE">
        <w:rPr>
          <w:rFonts w:ascii="Tahoma" w:eastAsia="Calibri" w:hAnsi="Tahoma" w:cs="Tahoma"/>
          <w:bCs/>
          <w:sz w:val="24"/>
          <w:szCs w:val="24"/>
        </w:rPr>
        <w:t>creșterea</w:t>
      </w:r>
      <w:r w:rsidRPr="003164CE">
        <w:rPr>
          <w:rFonts w:ascii="Tahoma" w:eastAsia="Calibri" w:hAnsi="Tahoma" w:cs="Tahoma"/>
          <w:bCs/>
          <w:sz w:val="24"/>
          <w:szCs w:val="24"/>
        </w:rPr>
        <w:t xml:space="preserve"> economică cu 0,2 puncte procentuale.</w:t>
      </w:r>
    </w:p>
    <w:p w:rsidR="00886A33" w:rsidRPr="003164CE" w:rsidRDefault="00886A33" w:rsidP="00886A33">
      <w:pPr>
        <w:spacing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Valoarea nominală a produsului intern brut realizată în semestrul I 2025 de 826,3 miliarde lei a rezultat în </w:t>
      </w:r>
      <w:r w:rsidR="003164CE" w:rsidRPr="003164CE">
        <w:rPr>
          <w:rFonts w:ascii="Tahoma" w:eastAsia="Calibri" w:hAnsi="Tahoma" w:cs="Tahoma"/>
          <w:sz w:val="24"/>
          <w:szCs w:val="24"/>
        </w:rPr>
        <w:t>condițiile</w:t>
      </w:r>
      <w:r w:rsidRPr="003164CE">
        <w:rPr>
          <w:rFonts w:ascii="Tahoma" w:eastAsia="Calibri" w:hAnsi="Tahoma" w:cs="Tahoma"/>
          <w:sz w:val="24"/>
          <w:szCs w:val="24"/>
        </w:rPr>
        <w:t xml:space="preserve"> unui </w:t>
      </w:r>
      <w:proofErr w:type="spellStart"/>
      <w:r w:rsidRPr="003164CE">
        <w:rPr>
          <w:rFonts w:ascii="Tahoma" w:eastAsia="Calibri" w:hAnsi="Tahoma" w:cs="Tahoma"/>
          <w:sz w:val="24"/>
          <w:szCs w:val="24"/>
        </w:rPr>
        <w:t>deflator</w:t>
      </w:r>
      <w:proofErr w:type="spellEnd"/>
      <w:r w:rsidRPr="003164CE">
        <w:rPr>
          <w:rFonts w:ascii="Tahoma" w:eastAsia="Calibri" w:hAnsi="Tahoma" w:cs="Tahoma"/>
          <w:sz w:val="24"/>
          <w:szCs w:val="24"/>
        </w:rPr>
        <w:t xml:space="preserve"> de 7,6%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a unei </w:t>
      </w:r>
      <w:r w:rsidR="003164CE" w:rsidRPr="003164CE">
        <w:rPr>
          <w:rFonts w:ascii="Tahoma" w:eastAsia="Calibri" w:hAnsi="Tahoma" w:cs="Tahoma"/>
          <w:sz w:val="24"/>
          <w:szCs w:val="24"/>
        </w:rPr>
        <w:t>creșteri</w:t>
      </w:r>
      <w:r w:rsidRPr="003164CE">
        <w:rPr>
          <w:rFonts w:ascii="Tahoma" w:eastAsia="Calibri" w:hAnsi="Tahoma" w:cs="Tahoma"/>
          <w:sz w:val="24"/>
          <w:szCs w:val="24"/>
        </w:rPr>
        <w:t xml:space="preserve">, în termeni reali, de 0,3%. În termeni nominali, produsul intern brut s-a majorat </w:t>
      </w:r>
      <w:r w:rsidR="003164CE" w:rsidRPr="003164CE">
        <w:rPr>
          <w:rFonts w:ascii="Tahoma" w:eastAsia="Calibri" w:hAnsi="Tahoma" w:cs="Tahoma"/>
          <w:sz w:val="24"/>
          <w:szCs w:val="24"/>
        </w:rPr>
        <w:t>față</w:t>
      </w:r>
      <w:r w:rsidRPr="003164CE">
        <w:rPr>
          <w:rFonts w:ascii="Tahoma" w:eastAsia="Calibri" w:hAnsi="Tahoma" w:cs="Tahoma"/>
          <w:sz w:val="24"/>
          <w:szCs w:val="24"/>
        </w:rPr>
        <w:t xml:space="preserve"> de semestrul I 2024 cu 7,9%.</w:t>
      </w:r>
    </w:p>
    <w:p w:rsidR="00886A33" w:rsidRPr="003164CE" w:rsidRDefault="00886A33" w:rsidP="00886A33">
      <w:pPr>
        <w:spacing w:after="120" w:line="276" w:lineRule="auto"/>
        <w:ind w:firstLine="0"/>
        <w:rPr>
          <w:rFonts w:ascii="Tahoma" w:eastAsia="Calibri" w:hAnsi="Tahoma" w:cs="Tahoma"/>
          <w:sz w:val="24"/>
          <w:szCs w:val="24"/>
        </w:rPr>
      </w:pPr>
    </w:p>
    <w:p w:rsidR="0000138F" w:rsidRPr="003164CE" w:rsidRDefault="0000138F" w:rsidP="0000138F">
      <w:pPr>
        <w:spacing w:after="120" w:line="276" w:lineRule="auto"/>
        <w:ind w:firstLine="0"/>
        <w:jc w:val="center"/>
        <w:rPr>
          <w:rFonts w:ascii="Tahoma" w:hAnsi="Tahoma" w:cs="Tahoma"/>
          <w:b/>
          <w:bCs/>
          <w:sz w:val="24"/>
          <w:szCs w:val="24"/>
        </w:rPr>
      </w:pPr>
      <w:r w:rsidRPr="003164CE">
        <w:rPr>
          <w:rFonts w:ascii="Tahoma" w:hAnsi="Tahoma" w:cs="Tahoma"/>
          <w:b/>
          <w:bCs/>
          <w:sz w:val="24"/>
          <w:szCs w:val="24"/>
        </w:rPr>
        <w:lastRenderedPageBreak/>
        <w:t>Contribuția la creșterea reală a PIB a elementelor de creare</w:t>
      </w:r>
    </w:p>
    <w:p w:rsidR="0000138F" w:rsidRPr="003164CE" w:rsidRDefault="00886A33" w:rsidP="0000138F">
      <w:pPr>
        <w:spacing w:after="120" w:line="276" w:lineRule="auto"/>
        <w:ind w:firstLine="0"/>
        <w:jc w:val="center"/>
        <w:rPr>
          <w:rFonts w:ascii="Tahoma" w:hAnsi="Tahoma" w:cs="Tahoma"/>
          <w:b/>
          <w:bCs/>
          <w:sz w:val="24"/>
          <w:szCs w:val="24"/>
        </w:rPr>
      </w:pPr>
      <w:r w:rsidRPr="003164CE">
        <w:rPr>
          <w:rFonts w:ascii="Tahoma" w:hAnsi="Tahoma" w:cs="Tahoma"/>
          <w:b/>
          <w:bCs/>
          <w:noProof/>
          <w:sz w:val="24"/>
          <w:szCs w:val="24"/>
          <w:lang w:val="en-US"/>
        </w:rPr>
        <w:drawing>
          <wp:inline distT="0" distB="0" distL="0" distR="0" wp14:anchorId="4694824E">
            <wp:extent cx="5829300" cy="2707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2707005"/>
                    </a:xfrm>
                    <a:prstGeom prst="rect">
                      <a:avLst/>
                    </a:prstGeom>
                    <a:noFill/>
                  </pic:spPr>
                </pic:pic>
              </a:graphicData>
            </a:graphic>
          </wp:inline>
        </w:drawing>
      </w:r>
    </w:p>
    <w:p w:rsidR="0000138F" w:rsidRPr="003164CE" w:rsidRDefault="0000138F" w:rsidP="0000138F">
      <w:pPr>
        <w:spacing w:after="120" w:line="276" w:lineRule="auto"/>
        <w:ind w:firstLine="0"/>
        <w:jc w:val="center"/>
        <w:rPr>
          <w:rFonts w:ascii="Tahoma" w:hAnsi="Tahoma" w:cs="Tahoma"/>
          <w:b/>
          <w:bCs/>
          <w:sz w:val="24"/>
          <w:szCs w:val="24"/>
        </w:rPr>
      </w:pPr>
    </w:p>
    <w:p w:rsidR="00886A33" w:rsidRPr="003164CE" w:rsidRDefault="00886A33" w:rsidP="00886A33">
      <w:pPr>
        <w:shd w:val="clear" w:color="auto" w:fill="FFFFFF" w:themeFill="background1"/>
        <w:spacing w:after="120" w:line="276" w:lineRule="auto"/>
        <w:ind w:firstLine="0"/>
        <w:rPr>
          <w:rFonts w:ascii="Tahoma" w:hAnsi="Tahoma" w:cs="Tahoma"/>
          <w:sz w:val="24"/>
          <w:szCs w:val="24"/>
        </w:rPr>
      </w:pPr>
      <w:r w:rsidRPr="003164CE">
        <w:rPr>
          <w:rFonts w:ascii="Tahoma" w:hAnsi="Tahoma" w:cs="Tahoma"/>
          <w:b/>
          <w:sz w:val="24"/>
          <w:szCs w:val="24"/>
        </w:rPr>
        <w:t>Sectorul industrial</w:t>
      </w:r>
      <w:r w:rsidRPr="003164CE">
        <w:rPr>
          <w:rFonts w:ascii="Tahoma" w:hAnsi="Tahoma" w:cs="Tahoma"/>
          <w:sz w:val="24"/>
          <w:szCs w:val="24"/>
        </w:rPr>
        <w:t xml:space="preserve"> a înregistrat, în primele </w:t>
      </w:r>
      <w:r w:rsidR="003164CE" w:rsidRPr="003164CE">
        <w:rPr>
          <w:rFonts w:ascii="Tahoma" w:hAnsi="Tahoma" w:cs="Tahoma"/>
          <w:sz w:val="24"/>
          <w:szCs w:val="24"/>
        </w:rPr>
        <w:t>șase</w:t>
      </w:r>
      <w:r w:rsidRPr="003164CE">
        <w:rPr>
          <w:rFonts w:ascii="Tahoma" w:hAnsi="Tahoma" w:cs="Tahoma"/>
          <w:sz w:val="24"/>
          <w:szCs w:val="24"/>
        </w:rPr>
        <w:t xml:space="preserve"> luni ale anului, o scădere a activității cu 2,0% comparativ cu perioada ianuarie – iunie 2024, două dintre cele trei componente ale </w:t>
      </w:r>
      <w:r w:rsidR="003164CE" w:rsidRPr="003164CE">
        <w:rPr>
          <w:rFonts w:ascii="Tahoma" w:hAnsi="Tahoma" w:cs="Tahoma"/>
          <w:sz w:val="24"/>
          <w:szCs w:val="24"/>
        </w:rPr>
        <w:t>producției</w:t>
      </w:r>
      <w:r w:rsidRPr="003164CE">
        <w:rPr>
          <w:rFonts w:ascii="Tahoma" w:hAnsi="Tahoma" w:cs="Tahoma"/>
          <w:sz w:val="24"/>
          <w:szCs w:val="24"/>
        </w:rPr>
        <w:t xml:space="preserve"> industriale aflându-se în teritoriu negativ (-2,4% industria prelucrătoare, -1,1% industria extractivă), respectiv o </w:t>
      </w:r>
      <w:r w:rsidR="003164CE" w:rsidRPr="003164CE">
        <w:rPr>
          <w:rFonts w:ascii="Tahoma" w:hAnsi="Tahoma" w:cs="Tahoma"/>
          <w:sz w:val="24"/>
          <w:szCs w:val="24"/>
        </w:rPr>
        <w:t>creștere</w:t>
      </w:r>
      <w:r w:rsidRPr="003164CE">
        <w:rPr>
          <w:rFonts w:ascii="Tahoma" w:hAnsi="Tahoma" w:cs="Tahoma"/>
          <w:sz w:val="24"/>
          <w:szCs w:val="24"/>
        </w:rPr>
        <w:t xml:space="preserve"> </w:t>
      </w:r>
      <w:r w:rsidR="003164CE" w:rsidRPr="003164CE">
        <w:rPr>
          <w:rFonts w:ascii="Tahoma" w:hAnsi="Tahoma" w:cs="Tahoma"/>
          <w:sz w:val="24"/>
          <w:szCs w:val="24"/>
        </w:rPr>
        <w:t>ușoară</w:t>
      </w:r>
      <w:r w:rsidRPr="003164CE">
        <w:rPr>
          <w:rFonts w:ascii="Tahoma" w:hAnsi="Tahoma" w:cs="Tahoma"/>
          <w:sz w:val="24"/>
          <w:szCs w:val="24"/>
        </w:rPr>
        <w:t xml:space="preserve"> de 0,6% în cazul producției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furnizării de energie, fapt care arată o </w:t>
      </w:r>
      <w:r w:rsidR="003164CE" w:rsidRPr="003164CE">
        <w:rPr>
          <w:rFonts w:ascii="Tahoma" w:hAnsi="Tahoma" w:cs="Tahoma"/>
          <w:sz w:val="24"/>
          <w:szCs w:val="24"/>
        </w:rPr>
        <w:t>tendință</w:t>
      </w:r>
      <w:r w:rsidRPr="003164CE">
        <w:rPr>
          <w:rFonts w:ascii="Tahoma" w:hAnsi="Tahoma" w:cs="Tahoma"/>
          <w:sz w:val="24"/>
          <w:szCs w:val="24"/>
        </w:rPr>
        <w:t xml:space="preserve"> de atenuare a reducerilor comparativ cu </w:t>
      </w:r>
      <w:r w:rsidR="003164CE" w:rsidRPr="003164CE">
        <w:rPr>
          <w:rFonts w:ascii="Tahoma" w:hAnsi="Tahoma" w:cs="Tahoma"/>
          <w:sz w:val="24"/>
          <w:szCs w:val="24"/>
        </w:rPr>
        <w:t>evoluțiile</w:t>
      </w:r>
      <w:r w:rsidRPr="003164CE">
        <w:rPr>
          <w:rFonts w:ascii="Tahoma" w:hAnsi="Tahoma" w:cs="Tahoma"/>
          <w:sz w:val="24"/>
          <w:szCs w:val="24"/>
        </w:rPr>
        <w:t xml:space="preserve"> anterioare. Menținerea scăderilor din sectorul industrial a fost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continuă să fie determinată în principal de cererea externă redusă, cât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de o pierdere de competitivitate, iar perspectivele de revenire depind în mare măsură de evoluțiile economice ale principalilor parteneri externi.</w:t>
      </w:r>
    </w:p>
    <w:p w:rsidR="00886A33" w:rsidRPr="003164CE" w:rsidRDefault="00886A33" w:rsidP="00886A33">
      <w:pPr>
        <w:shd w:val="clear" w:color="auto" w:fill="FFFFFF" w:themeFill="background1"/>
        <w:spacing w:after="120" w:line="276" w:lineRule="auto"/>
        <w:ind w:firstLine="0"/>
        <w:rPr>
          <w:rFonts w:ascii="Tahoma" w:hAnsi="Tahoma" w:cs="Tahoma"/>
          <w:sz w:val="24"/>
          <w:szCs w:val="24"/>
        </w:rPr>
      </w:pPr>
      <w:r w:rsidRPr="003164CE">
        <w:rPr>
          <w:rFonts w:ascii="Tahoma" w:hAnsi="Tahoma" w:cs="Tahoma"/>
          <w:b/>
          <w:sz w:val="24"/>
          <w:szCs w:val="24"/>
        </w:rPr>
        <w:t>Cele mai mari dificultăți</w:t>
      </w:r>
      <w:r w:rsidRPr="003164CE">
        <w:rPr>
          <w:rFonts w:ascii="Tahoma" w:hAnsi="Tahoma" w:cs="Tahoma"/>
          <w:sz w:val="24"/>
          <w:szCs w:val="24"/>
        </w:rPr>
        <w:t xml:space="preserve"> continuă să se manifeste în domeniul fabricării de mașini, utilaje și echipamente, unde activitatea a scăzut cu 15,4%, în principal din cauza reducerii cererii externe. Industria ușoară continuă să-</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w:t>
      </w:r>
      <w:r w:rsidR="003164CE" w:rsidRPr="003164CE">
        <w:rPr>
          <w:rFonts w:ascii="Tahoma" w:hAnsi="Tahoma" w:cs="Tahoma"/>
          <w:sz w:val="24"/>
          <w:szCs w:val="24"/>
        </w:rPr>
        <w:t>mențină</w:t>
      </w:r>
      <w:r w:rsidRPr="003164CE">
        <w:rPr>
          <w:rFonts w:ascii="Tahoma" w:hAnsi="Tahoma" w:cs="Tahoma"/>
          <w:sz w:val="24"/>
          <w:szCs w:val="24"/>
        </w:rPr>
        <w:t xml:space="preserve"> tendința descendentă din anul anterior, înregistrând în primul semestru scăderi semnificative: -23,8% în fabricarea produselor textile, -18,1% în fabricarea articolelor de îmbrăcăminte, iar industria metalurgică – un sector cu consum energetic ridicat – a consemnat o diminuare de 15,3%. S-au înregistrat </w:t>
      </w:r>
      <w:r w:rsidR="003164CE" w:rsidRPr="003164CE">
        <w:rPr>
          <w:rFonts w:ascii="Tahoma" w:hAnsi="Tahoma" w:cs="Tahoma"/>
          <w:sz w:val="24"/>
          <w:szCs w:val="24"/>
        </w:rPr>
        <w:t>evoluții</w:t>
      </w:r>
      <w:r w:rsidRPr="003164CE">
        <w:rPr>
          <w:rFonts w:ascii="Tahoma" w:hAnsi="Tahoma" w:cs="Tahoma"/>
          <w:sz w:val="24"/>
          <w:szCs w:val="24"/>
        </w:rPr>
        <w:t xml:space="preserve"> negative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în cazul fabricării </w:t>
      </w:r>
      <w:r w:rsidR="003164CE" w:rsidRPr="003164CE">
        <w:rPr>
          <w:rFonts w:ascii="Tahoma" w:hAnsi="Tahoma" w:cs="Tahoma"/>
          <w:sz w:val="24"/>
          <w:szCs w:val="24"/>
        </w:rPr>
        <w:t>substanțelor</w:t>
      </w:r>
      <w:r w:rsidRPr="003164CE">
        <w:rPr>
          <w:rFonts w:ascii="Tahoma" w:hAnsi="Tahoma" w:cs="Tahoma"/>
          <w:sz w:val="24"/>
          <w:szCs w:val="24"/>
        </w:rPr>
        <w:t xml:space="preserve">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a produselor chimice (-9,9%), afectată în ultimii ani de probleme structurale, precum închiderea unor unități de producție și creșterea costurilor cu energia. Un rezultat nefavorabil similar s-a înregistrat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pentru ramura prelucrării lemnului (-9,9%), unde exploatările de masă lemnoasă continuă să fie problematice. În sectorul fabricării autovehiculelor pentru transport rutier, dificultățile</w:t>
      </w:r>
      <w:r w:rsidRPr="003164CE">
        <w:rPr>
          <w:rFonts w:ascii="Tahoma" w:hAnsi="Tahoma" w:cs="Tahoma"/>
          <w:color w:val="FF0000"/>
          <w:sz w:val="24"/>
          <w:szCs w:val="24"/>
        </w:rPr>
        <w:t xml:space="preserve"> </w:t>
      </w:r>
      <w:r w:rsidRPr="003164CE">
        <w:rPr>
          <w:rFonts w:ascii="Tahoma" w:hAnsi="Tahoma" w:cs="Tahoma"/>
          <w:sz w:val="24"/>
          <w:szCs w:val="24"/>
        </w:rPr>
        <w:t xml:space="preserve">persistente din lanțurile internaționale de aprovizionare cu componente, alături de incertitudinile pe piețele externe de profil, au determinat o reducere a producției industriale cu 5,3% în prima parte a anului. Totuși, în trimestrul al doilea s-a conturat o tendință de redresare, </w:t>
      </w:r>
      <w:r w:rsidRPr="003164CE">
        <w:rPr>
          <w:rFonts w:ascii="Tahoma" w:hAnsi="Tahoma" w:cs="Tahoma"/>
          <w:sz w:val="24"/>
          <w:szCs w:val="24"/>
        </w:rPr>
        <w:lastRenderedPageBreak/>
        <w:t>producția recuperând 8,4 puncte procentuale din declinul consemnat în trimestrul precedent (doar -1,0% comparativ cu -9,4%).</w:t>
      </w:r>
    </w:p>
    <w:p w:rsidR="00886A33" w:rsidRPr="003164CE" w:rsidRDefault="00886A33" w:rsidP="00886A33">
      <w:pPr>
        <w:shd w:val="clear" w:color="auto" w:fill="FFFFFF" w:themeFill="background1"/>
        <w:spacing w:after="120" w:line="276" w:lineRule="auto"/>
        <w:ind w:firstLine="0"/>
        <w:rPr>
          <w:rFonts w:ascii="Tahoma" w:hAnsi="Tahoma" w:cs="Tahoma"/>
          <w:sz w:val="24"/>
          <w:szCs w:val="24"/>
        </w:rPr>
      </w:pPr>
      <w:r w:rsidRPr="003164CE">
        <w:rPr>
          <w:rFonts w:ascii="Tahoma" w:hAnsi="Tahoma" w:cs="Tahoma"/>
          <w:sz w:val="24"/>
          <w:szCs w:val="24"/>
        </w:rPr>
        <w:t xml:space="preserve">Producția și furnizarea de energie electrică și termică a crescut </w:t>
      </w:r>
      <w:proofErr w:type="spellStart"/>
      <w:r w:rsidRPr="003164CE">
        <w:rPr>
          <w:rFonts w:ascii="Tahoma" w:hAnsi="Tahoma" w:cs="Tahoma"/>
          <w:sz w:val="24"/>
          <w:szCs w:val="24"/>
        </w:rPr>
        <w:t>uşor</w:t>
      </w:r>
      <w:proofErr w:type="spellEnd"/>
      <w:r w:rsidRPr="003164CE">
        <w:rPr>
          <w:rFonts w:ascii="Tahoma" w:hAnsi="Tahoma" w:cs="Tahoma"/>
          <w:sz w:val="24"/>
          <w:szCs w:val="24"/>
        </w:rPr>
        <w:t xml:space="preserve"> cu 0,6%, în primul semestru al anului curent, în contextul unei majorări de 3,5% la nivelul trimestrului II. </w:t>
      </w:r>
      <w:r w:rsidR="003164CE" w:rsidRPr="003164CE">
        <w:rPr>
          <w:rFonts w:ascii="Tahoma" w:hAnsi="Tahoma" w:cs="Tahoma"/>
          <w:sz w:val="24"/>
          <w:szCs w:val="24"/>
        </w:rPr>
        <w:t>Creșterea</w:t>
      </w:r>
      <w:r w:rsidRPr="003164CE">
        <w:rPr>
          <w:rFonts w:ascii="Tahoma" w:hAnsi="Tahoma" w:cs="Tahoma"/>
          <w:sz w:val="24"/>
          <w:szCs w:val="24"/>
        </w:rPr>
        <w:t xml:space="preserve"> producției de energie electrică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termică a fost determinată, în principal, de majorarea semnificativă a </w:t>
      </w:r>
      <w:r w:rsidR="003164CE" w:rsidRPr="003164CE">
        <w:rPr>
          <w:rFonts w:ascii="Tahoma" w:hAnsi="Tahoma" w:cs="Tahoma"/>
          <w:sz w:val="24"/>
          <w:szCs w:val="24"/>
        </w:rPr>
        <w:t>producției</w:t>
      </w:r>
      <w:r w:rsidRPr="003164CE">
        <w:rPr>
          <w:rFonts w:ascii="Tahoma" w:hAnsi="Tahoma" w:cs="Tahoma"/>
          <w:sz w:val="24"/>
          <w:szCs w:val="24"/>
        </w:rPr>
        <w:t xml:space="preserve"> din centralele solare fotovoltaice (+33,6%).</w:t>
      </w:r>
    </w:p>
    <w:p w:rsidR="00886A33" w:rsidRPr="003164CE" w:rsidRDefault="00886A33" w:rsidP="00886A33">
      <w:pPr>
        <w:shd w:val="clear" w:color="auto" w:fill="FFFFFF" w:themeFill="background1"/>
        <w:spacing w:after="120" w:line="276" w:lineRule="auto"/>
        <w:ind w:firstLine="0"/>
        <w:rPr>
          <w:rFonts w:ascii="Tahoma" w:hAnsi="Tahoma" w:cs="Tahoma"/>
          <w:sz w:val="24"/>
          <w:szCs w:val="24"/>
        </w:rPr>
      </w:pPr>
      <w:r w:rsidRPr="003164CE">
        <w:rPr>
          <w:rFonts w:ascii="Tahoma" w:hAnsi="Tahoma" w:cs="Tahoma"/>
          <w:sz w:val="24"/>
          <w:szCs w:val="24"/>
        </w:rPr>
        <w:t xml:space="preserve">Printre </w:t>
      </w:r>
      <w:r w:rsidRPr="003164CE">
        <w:rPr>
          <w:rFonts w:ascii="Tahoma" w:hAnsi="Tahoma" w:cs="Tahoma"/>
          <w:b/>
          <w:sz w:val="24"/>
          <w:szCs w:val="24"/>
        </w:rPr>
        <w:t>ramurile care au performat</w:t>
      </w:r>
      <w:r w:rsidRPr="003164CE">
        <w:rPr>
          <w:rFonts w:ascii="Tahoma" w:hAnsi="Tahoma" w:cs="Tahoma"/>
          <w:sz w:val="24"/>
          <w:szCs w:val="24"/>
        </w:rPr>
        <w:t xml:space="preserve"> se regăsesc: fabricarea produselor farmaceutice de bază (+23,2%), pe fondul unei cereri în </w:t>
      </w:r>
      <w:r w:rsidR="003164CE" w:rsidRPr="003164CE">
        <w:rPr>
          <w:rFonts w:ascii="Tahoma" w:hAnsi="Tahoma" w:cs="Tahoma"/>
          <w:sz w:val="24"/>
          <w:szCs w:val="24"/>
        </w:rPr>
        <w:t>creștere</w:t>
      </w:r>
      <w:r w:rsidRPr="003164CE">
        <w:rPr>
          <w:rFonts w:ascii="Tahoma" w:hAnsi="Tahoma" w:cs="Tahoma"/>
          <w:sz w:val="24"/>
          <w:szCs w:val="24"/>
        </w:rPr>
        <w:t xml:space="preserve"> atât pe plan intern, cât și extern, extracția minereurilor metalifere, cu un avans de 15,4%, susținut de reluarea unor proiecte miniere, precum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activități de servicii anexe </w:t>
      </w:r>
      <w:r w:rsidR="003164CE" w:rsidRPr="003164CE">
        <w:rPr>
          <w:rFonts w:ascii="Tahoma" w:hAnsi="Tahoma" w:cs="Tahoma"/>
          <w:sz w:val="24"/>
          <w:szCs w:val="24"/>
        </w:rPr>
        <w:t>extracției</w:t>
      </w:r>
      <w:r w:rsidRPr="003164CE">
        <w:rPr>
          <w:rFonts w:ascii="Tahoma" w:hAnsi="Tahoma" w:cs="Tahoma"/>
          <w:sz w:val="24"/>
          <w:szCs w:val="24"/>
        </w:rPr>
        <w:t xml:space="preserve"> (+15,0%)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fabricarea produselor de cocserie (+14,8%). Performanțe notabile s-au înregistrat și în ramura fabricării mobilei (+14,7%), precum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alte activități industriale (+13,6%).</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sz w:val="24"/>
          <w:szCs w:val="24"/>
        </w:rPr>
        <w:t xml:space="preserve">În primul trimestru al anului 2025, </w:t>
      </w:r>
      <w:r w:rsidR="003164CE" w:rsidRPr="003164CE">
        <w:rPr>
          <w:rFonts w:ascii="Tahoma" w:hAnsi="Tahoma" w:cs="Tahoma"/>
          <w:b/>
          <w:sz w:val="24"/>
          <w:szCs w:val="24"/>
        </w:rPr>
        <w:t>investițiile</w:t>
      </w:r>
      <w:r w:rsidRPr="003164CE">
        <w:rPr>
          <w:rFonts w:ascii="Tahoma" w:hAnsi="Tahoma" w:cs="Tahoma"/>
          <w:b/>
          <w:sz w:val="24"/>
          <w:szCs w:val="24"/>
        </w:rPr>
        <w:t xml:space="preserve"> nete în economie</w:t>
      </w:r>
      <w:r w:rsidRPr="003164CE">
        <w:rPr>
          <w:rFonts w:ascii="Tahoma" w:hAnsi="Tahoma" w:cs="Tahoma"/>
          <w:sz w:val="24"/>
          <w:szCs w:val="24"/>
        </w:rPr>
        <w:t xml:space="preserve"> au înregistrat o creștere în termeni reali de 4,3% comparativ cu aceeași perioadă din 2024, impulsionate în principal de avansul lucrărilor de construcții noi (+10,3%) și al achizițiilor de utilaje, inclusiv mijloace de transport (+2,8%). În schimb, componenta „alte cheltuieli de investiții” a consemnat o contracție de 11,3%, reflectând o reducere a cheltuielilor destinate lucrărilor geologice și de foraj, plantațiilor viticole și pomicole, împăduririlor, studiilor de cercetare și proiectare aferente obiectivelor de investiții, precum și a serviciilor asociate transferului de proprietate.</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b/>
          <w:bCs/>
          <w:sz w:val="24"/>
          <w:szCs w:val="24"/>
        </w:rPr>
        <w:t>Volumul lucrărilor de construcții</w:t>
      </w:r>
      <w:r w:rsidRPr="003164CE">
        <w:rPr>
          <w:rFonts w:ascii="Tahoma" w:hAnsi="Tahoma" w:cs="Tahoma"/>
          <w:sz w:val="24"/>
          <w:szCs w:val="24"/>
        </w:rPr>
        <w:t xml:space="preserve"> a înregistrat o evoluție favorabilă în primul semestru, majorându-se cu 5,9% față de aceeași perioadă din 2024. Această vine după o scădere de 5,9% înregistrată pe ansamblul anului trecut, creșterea fiind influențată de un efect statistic pregnant în primul trimestru (+10,6%). Pe segmente de construcții, s-a remarcat o intensificare a activității în </w:t>
      </w:r>
      <w:r w:rsidRPr="003164CE">
        <w:rPr>
          <w:rFonts w:ascii="Tahoma" w:hAnsi="Tahoma" w:cs="Tahoma"/>
          <w:bCs/>
          <w:sz w:val="24"/>
          <w:szCs w:val="24"/>
        </w:rPr>
        <w:t>construcții inginerești</w:t>
      </w:r>
      <w:r w:rsidRPr="003164CE">
        <w:rPr>
          <w:rFonts w:ascii="Tahoma" w:hAnsi="Tahoma" w:cs="Tahoma"/>
          <w:sz w:val="24"/>
          <w:szCs w:val="24"/>
        </w:rPr>
        <w:t xml:space="preserve">, cu un avans de 10,5%, deși ritmul de creștere a încetinit în cel de-al doilea trimestrul până la 6,7%, față de 17,0% în trimestrul precedent. Totodată, </w:t>
      </w:r>
      <w:r w:rsidRPr="003164CE">
        <w:rPr>
          <w:rFonts w:ascii="Tahoma" w:hAnsi="Tahoma" w:cs="Tahoma"/>
          <w:bCs/>
          <w:sz w:val="24"/>
          <w:szCs w:val="24"/>
        </w:rPr>
        <w:t>construcțiile rezidențiale</w:t>
      </w:r>
      <w:r w:rsidRPr="003164CE">
        <w:rPr>
          <w:rFonts w:ascii="Tahoma" w:hAnsi="Tahoma" w:cs="Tahoma"/>
          <w:sz w:val="24"/>
          <w:szCs w:val="24"/>
        </w:rPr>
        <w:t xml:space="preserve"> au crescut cu 3,1%, în timp ce sectorul </w:t>
      </w:r>
      <w:r w:rsidRPr="003164CE">
        <w:rPr>
          <w:rFonts w:ascii="Tahoma" w:hAnsi="Tahoma" w:cs="Tahoma"/>
          <w:bCs/>
          <w:sz w:val="24"/>
          <w:szCs w:val="24"/>
        </w:rPr>
        <w:t>nerezidențial</w:t>
      </w:r>
      <w:r w:rsidRPr="003164CE">
        <w:rPr>
          <w:rFonts w:ascii="Tahoma" w:hAnsi="Tahoma" w:cs="Tahoma"/>
          <w:sz w:val="24"/>
          <w:szCs w:val="24"/>
        </w:rPr>
        <w:t xml:space="preserve"> a înregistrat o scădere moderată de 0,7%.</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sz w:val="24"/>
          <w:szCs w:val="24"/>
        </w:rPr>
        <w:t xml:space="preserve">În primele </w:t>
      </w:r>
      <w:r w:rsidR="003164CE" w:rsidRPr="003164CE">
        <w:rPr>
          <w:rFonts w:ascii="Tahoma" w:hAnsi="Tahoma" w:cs="Tahoma"/>
          <w:sz w:val="24"/>
          <w:szCs w:val="24"/>
        </w:rPr>
        <w:t>șase</w:t>
      </w:r>
      <w:r w:rsidRPr="003164CE">
        <w:rPr>
          <w:rFonts w:ascii="Tahoma" w:hAnsi="Tahoma" w:cs="Tahoma"/>
          <w:sz w:val="24"/>
          <w:szCs w:val="24"/>
        </w:rPr>
        <w:t xml:space="preserve"> luni ale anului 2025, </w:t>
      </w:r>
      <w:r w:rsidRPr="003164CE">
        <w:rPr>
          <w:rFonts w:ascii="Tahoma" w:hAnsi="Tahoma" w:cs="Tahoma"/>
          <w:b/>
          <w:sz w:val="24"/>
          <w:szCs w:val="24"/>
        </w:rPr>
        <w:t>volumul cifrei de afaceri din comerțul cu amănuntul</w:t>
      </w:r>
      <w:r w:rsidRPr="003164CE">
        <w:rPr>
          <w:rFonts w:ascii="Tahoma" w:hAnsi="Tahoma" w:cs="Tahoma"/>
          <w:sz w:val="24"/>
          <w:szCs w:val="24"/>
        </w:rPr>
        <w:t xml:space="preserve"> (exclusiv comerțul cu autovehicule și motociclete) a înregistrat o majorare cu 2,6%, dinamică inferioară față de avansul anului anterior (8,6%), în contextul unei temperări a puterii de cumpărare. Segmentul produselor nealimentare a continuat să fie principalul motor al creșterii, cu un avans de 5,9%, urmat de vânzările de carburanți, care s-au majorat cu 2,2%. În </w:t>
      </w:r>
      <w:r w:rsidR="003164CE" w:rsidRPr="003164CE">
        <w:rPr>
          <w:rFonts w:ascii="Tahoma" w:hAnsi="Tahoma" w:cs="Tahoma"/>
          <w:sz w:val="24"/>
          <w:szCs w:val="24"/>
        </w:rPr>
        <w:t>același</w:t>
      </w:r>
      <w:r w:rsidRPr="003164CE">
        <w:rPr>
          <w:rFonts w:ascii="Tahoma" w:hAnsi="Tahoma" w:cs="Tahoma"/>
          <w:sz w:val="24"/>
          <w:szCs w:val="24"/>
        </w:rPr>
        <w:t xml:space="preserve"> timp, vânzările de produse alimentare au consemnat o scădere ușoară, de 1,2%, comparativ cu aceeași perioadă din 2024.</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sz w:val="24"/>
          <w:szCs w:val="24"/>
        </w:rPr>
        <w:t xml:space="preserve">O </w:t>
      </w:r>
      <w:proofErr w:type="spellStart"/>
      <w:r w:rsidRPr="003164CE">
        <w:rPr>
          <w:rFonts w:ascii="Tahoma" w:hAnsi="Tahoma" w:cs="Tahoma"/>
          <w:sz w:val="24"/>
          <w:szCs w:val="24"/>
        </w:rPr>
        <w:t>evoluţie</w:t>
      </w:r>
      <w:proofErr w:type="spellEnd"/>
      <w:r w:rsidRPr="003164CE">
        <w:rPr>
          <w:rFonts w:ascii="Tahoma" w:hAnsi="Tahoma" w:cs="Tahoma"/>
          <w:sz w:val="24"/>
          <w:szCs w:val="24"/>
        </w:rPr>
        <w:t xml:space="preserve"> modestă a fost înregistrată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în cazul </w:t>
      </w:r>
      <w:r w:rsidRPr="003164CE">
        <w:rPr>
          <w:rFonts w:ascii="Tahoma" w:hAnsi="Tahoma" w:cs="Tahoma"/>
          <w:b/>
          <w:sz w:val="24"/>
          <w:szCs w:val="24"/>
        </w:rPr>
        <w:t xml:space="preserve">cifrei de afaceri din serviciile de </w:t>
      </w:r>
      <w:proofErr w:type="spellStart"/>
      <w:r w:rsidRPr="003164CE">
        <w:rPr>
          <w:rFonts w:ascii="Tahoma" w:hAnsi="Tahoma" w:cs="Tahoma"/>
          <w:b/>
          <w:sz w:val="24"/>
          <w:szCs w:val="24"/>
        </w:rPr>
        <w:t>piaţă</w:t>
      </w:r>
      <w:proofErr w:type="spellEnd"/>
      <w:r w:rsidRPr="003164CE">
        <w:rPr>
          <w:rFonts w:ascii="Tahoma" w:hAnsi="Tahoma" w:cs="Tahoma"/>
          <w:b/>
          <w:sz w:val="24"/>
          <w:szCs w:val="24"/>
        </w:rPr>
        <w:t xml:space="preserve"> prestate în principal întreprinderilor</w:t>
      </w:r>
      <w:r w:rsidRPr="003164CE">
        <w:rPr>
          <w:rFonts w:ascii="Tahoma" w:hAnsi="Tahoma" w:cs="Tahoma"/>
          <w:sz w:val="24"/>
          <w:szCs w:val="24"/>
        </w:rPr>
        <w:t xml:space="preserve">, fiind consemnat un declin de 0,9% față de aceeași perioadă a anului precedent. </w:t>
      </w:r>
      <w:proofErr w:type="spellStart"/>
      <w:r w:rsidRPr="003164CE">
        <w:rPr>
          <w:rFonts w:ascii="Tahoma" w:hAnsi="Tahoma" w:cs="Tahoma"/>
          <w:sz w:val="24"/>
          <w:szCs w:val="24"/>
        </w:rPr>
        <w:t>Evoluţii</w:t>
      </w:r>
      <w:proofErr w:type="spellEnd"/>
      <w:r w:rsidRPr="003164CE">
        <w:rPr>
          <w:rFonts w:ascii="Tahoma" w:hAnsi="Tahoma" w:cs="Tahoma"/>
          <w:sz w:val="24"/>
          <w:szCs w:val="24"/>
        </w:rPr>
        <w:t xml:space="preserve"> favorabile s-au remarcat în cazul </w:t>
      </w:r>
      <w:r w:rsidRPr="003164CE">
        <w:rPr>
          <w:rFonts w:ascii="Tahoma" w:hAnsi="Tahoma" w:cs="Tahoma"/>
          <w:sz w:val="24"/>
          <w:szCs w:val="24"/>
        </w:rPr>
        <w:lastRenderedPageBreak/>
        <w:t xml:space="preserve">serviciilor de comunicații, care s-au majorat cu 5,6%, și la categoria alte servicii furnizate întreprinderilor, cu un plus de 1,2%, în cadrul căreia </w:t>
      </w:r>
      <w:proofErr w:type="spellStart"/>
      <w:r w:rsidRPr="003164CE">
        <w:rPr>
          <w:rFonts w:ascii="Tahoma" w:hAnsi="Tahoma" w:cs="Tahoma"/>
          <w:sz w:val="24"/>
          <w:szCs w:val="24"/>
        </w:rPr>
        <w:t>tranzacţiile</w:t>
      </w:r>
      <w:proofErr w:type="spellEnd"/>
      <w:r w:rsidRPr="003164CE">
        <w:rPr>
          <w:rFonts w:ascii="Tahoma" w:hAnsi="Tahoma" w:cs="Tahoma"/>
          <w:sz w:val="24"/>
          <w:szCs w:val="24"/>
        </w:rPr>
        <w:t xml:space="preserve"> imobiliare au avut o contribuție semnificativă (+7,5%). Concomitent, sectorul transporturilor a consemnat o pierdere de ritm, </w:t>
      </w:r>
      <w:proofErr w:type="spellStart"/>
      <w:r w:rsidRPr="003164CE">
        <w:rPr>
          <w:rFonts w:ascii="Tahoma" w:hAnsi="Tahoma" w:cs="Tahoma"/>
          <w:sz w:val="24"/>
          <w:szCs w:val="24"/>
        </w:rPr>
        <w:t>producţia</w:t>
      </w:r>
      <w:proofErr w:type="spellEnd"/>
      <w:r w:rsidRPr="003164CE">
        <w:rPr>
          <w:rFonts w:ascii="Tahoma" w:hAnsi="Tahoma" w:cs="Tahoma"/>
          <w:sz w:val="24"/>
          <w:szCs w:val="24"/>
        </w:rPr>
        <w:t xml:space="preserve"> de servicii fiind cu 1,9% sub nivelul primului semestru al anului 2024. Au fost înregistrate scăderi mai accentuate în cazul activităților din domeniul producției cinematografice, video, de programe TV și transmisii (-22,0%), precum și în sectorul serviciilor informatice și al tehnologiei informației (-4,4%), domeniul afectat de pierderi de competitivitate, odată cu anularea </w:t>
      </w:r>
      <w:proofErr w:type="spellStart"/>
      <w:r w:rsidRPr="003164CE">
        <w:rPr>
          <w:rFonts w:ascii="Tahoma" w:hAnsi="Tahoma" w:cs="Tahoma"/>
          <w:sz w:val="24"/>
          <w:szCs w:val="24"/>
        </w:rPr>
        <w:t>facilităţilor</w:t>
      </w:r>
      <w:proofErr w:type="spellEnd"/>
      <w:r w:rsidRPr="003164CE">
        <w:rPr>
          <w:rFonts w:ascii="Tahoma" w:hAnsi="Tahoma" w:cs="Tahoma"/>
          <w:sz w:val="24"/>
          <w:szCs w:val="24"/>
        </w:rPr>
        <w:t xml:space="preserve"> fiscale.</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b/>
          <w:sz w:val="24"/>
          <w:szCs w:val="24"/>
        </w:rPr>
        <w:t>Volumul total al cifrei de afaceri din serviciile prestate populației</w:t>
      </w:r>
      <w:r w:rsidRPr="003164CE">
        <w:rPr>
          <w:rFonts w:ascii="Tahoma" w:hAnsi="Tahoma" w:cs="Tahoma"/>
          <w:sz w:val="24"/>
          <w:szCs w:val="24"/>
        </w:rPr>
        <w:t xml:space="preserve"> a crescut cu 0,2% în perioada ianuarie – iunie a anului curent, pe fondul unei dinamici modeste în sectorul turismului unde activitatea agențiilor de profil s-a diminuat cu 13,2%. De asemenea, cifra de afaceri din domeniul jocurilor de noroc și al altor activități recreative a consemnat o reducere de 5,4% față de perioada similară a anului trecut. Pe de altă parte, unele servicii cu caracter individual au avut evoluții pozitive: serviciile de coafură și alte activități de înfrumusețare au înregistrat o creștere semnificativă de 18,7%, ponderea acestora fiind însă redusă, iar activitățile de spălare și curățare a articolelor textile au crescut cu 5,1%. În </w:t>
      </w:r>
      <w:proofErr w:type="spellStart"/>
      <w:r w:rsidRPr="003164CE">
        <w:rPr>
          <w:rFonts w:ascii="Tahoma" w:hAnsi="Tahoma" w:cs="Tahoma"/>
          <w:sz w:val="24"/>
          <w:szCs w:val="24"/>
        </w:rPr>
        <w:t>acelaşi</w:t>
      </w:r>
      <w:proofErr w:type="spellEnd"/>
      <w:r w:rsidRPr="003164CE">
        <w:rPr>
          <w:rFonts w:ascii="Tahoma" w:hAnsi="Tahoma" w:cs="Tahoma"/>
          <w:sz w:val="24"/>
          <w:szCs w:val="24"/>
        </w:rPr>
        <w:t xml:space="preserve"> timp, cifra de afaceri pentru hoteluri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restaurante a consemnat un avans ușor, situându-se cu 1,5% peste nivelul perioadei similare a anului 2024. </w:t>
      </w:r>
    </w:p>
    <w:p w:rsidR="00886A33" w:rsidRPr="003164CE" w:rsidRDefault="00886A33" w:rsidP="00886A33">
      <w:pPr>
        <w:spacing w:after="120" w:line="276" w:lineRule="auto"/>
        <w:ind w:firstLine="0"/>
        <w:rPr>
          <w:rFonts w:ascii="Arial" w:eastAsia="Times New Roman" w:hAnsi="Arial" w:cs="Arial"/>
          <w:b/>
          <w:bCs/>
          <w:sz w:val="16"/>
          <w:szCs w:val="16"/>
        </w:rPr>
      </w:pPr>
      <w:r w:rsidRPr="003164CE">
        <w:rPr>
          <w:rFonts w:ascii="Tahoma" w:eastAsia="Calibri" w:hAnsi="Tahoma" w:cs="Tahoma"/>
          <w:b/>
          <w:sz w:val="24"/>
          <w:szCs w:val="24"/>
        </w:rPr>
        <w:t>Exporturile de bunuri</w:t>
      </w:r>
      <w:r w:rsidRPr="003164CE">
        <w:rPr>
          <w:rFonts w:ascii="Tahoma" w:eastAsia="Calibri" w:hAnsi="Tahoma" w:cs="Tahoma"/>
          <w:sz w:val="24"/>
          <w:szCs w:val="24"/>
        </w:rPr>
        <w:t xml:space="preserve"> au totalizat, în primul semestru al anului 2025, valoarea de 47,7 miliarde euro, marcând o creștere de 3,1% (+1,4 miliarde euro) față de același semestru al anului anterior. Expedierile intra-comunitare, care au generat 71,6% din totalul exporturilor, au înregistrat o </w:t>
      </w:r>
      <w:proofErr w:type="spellStart"/>
      <w:r w:rsidRPr="003164CE">
        <w:rPr>
          <w:rFonts w:ascii="Tahoma" w:eastAsia="Calibri" w:hAnsi="Tahoma" w:cs="Tahoma"/>
          <w:sz w:val="24"/>
          <w:szCs w:val="24"/>
        </w:rPr>
        <w:t>creştere</w:t>
      </w:r>
      <w:proofErr w:type="spellEnd"/>
      <w:r w:rsidRPr="003164CE">
        <w:rPr>
          <w:rFonts w:ascii="Tahoma" w:eastAsia="Calibri" w:hAnsi="Tahoma" w:cs="Tahoma"/>
          <w:sz w:val="24"/>
          <w:szCs w:val="24"/>
        </w:rPr>
        <w:t xml:space="preserve"> de 1,5%, influențată în principal de majorarea livrărilor de </w:t>
      </w:r>
      <w:proofErr w:type="spellStart"/>
      <w:r w:rsidRPr="003164CE">
        <w:rPr>
          <w:rFonts w:ascii="Tahoma" w:eastAsia="Calibri" w:hAnsi="Tahoma" w:cs="Tahoma"/>
          <w:sz w:val="24"/>
          <w:szCs w:val="24"/>
        </w:rPr>
        <w:t>maşini</w:t>
      </w:r>
      <w:proofErr w:type="spellEnd"/>
      <w:r w:rsidRPr="003164CE">
        <w:rPr>
          <w:rFonts w:ascii="Tahoma" w:eastAsia="Calibri" w:hAnsi="Tahoma" w:cs="Tahoma"/>
          <w:sz w:val="24"/>
          <w:szCs w:val="24"/>
        </w:rPr>
        <w:t xml:space="preserv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echipamente pentru transport (+3,0%). În schimb, exporturile către țări din afara UE au avansat cu 7,2%, susținute în principal de livrările de combustibili minerali, lubrifianți și materiale conexe, care au fost de 1,7 ori mai mari.</w:t>
      </w:r>
    </w:p>
    <w:p w:rsidR="00886A33" w:rsidRPr="003164CE" w:rsidRDefault="00886A33" w:rsidP="00886A33">
      <w:pPr>
        <w:spacing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Exporturile au fost constituite în proporție de peste 47% din </w:t>
      </w:r>
      <w:proofErr w:type="spellStart"/>
      <w:r w:rsidRPr="003164CE">
        <w:rPr>
          <w:rFonts w:ascii="Tahoma" w:eastAsia="Calibri" w:hAnsi="Tahoma" w:cs="Tahoma"/>
          <w:sz w:val="24"/>
          <w:szCs w:val="24"/>
        </w:rPr>
        <w:t>maşini</w:t>
      </w:r>
      <w:proofErr w:type="spellEnd"/>
      <w:r w:rsidRPr="003164CE">
        <w:rPr>
          <w:rFonts w:ascii="Tahoma" w:eastAsia="Calibri" w:hAnsi="Tahoma" w:cs="Tahoma"/>
          <w:sz w:val="24"/>
          <w:szCs w:val="24"/>
        </w:rPr>
        <w:t xml:space="preserv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echipamente pentru transport, care au înregistrat o </w:t>
      </w:r>
      <w:proofErr w:type="spellStart"/>
      <w:r w:rsidRPr="003164CE">
        <w:rPr>
          <w:rFonts w:ascii="Tahoma" w:eastAsia="Calibri" w:hAnsi="Tahoma" w:cs="Tahoma"/>
          <w:sz w:val="24"/>
          <w:szCs w:val="24"/>
        </w:rPr>
        <w:t>creştere</w:t>
      </w:r>
      <w:proofErr w:type="spellEnd"/>
      <w:r w:rsidRPr="003164CE">
        <w:rPr>
          <w:rFonts w:ascii="Tahoma" w:eastAsia="Calibri" w:hAnsi="Tahoma" w:cs="Tahoma"/>
          <w:sz w:val="24"/>
          <w:szCs w:val="24"/>
        </w:rPr>
        <w:t xml:space="preserve"> cu 2,9% </w:t>
      </w:r>
      <w:proofErr w:type="spellStart"/>
      <w:r w:rsidRPr="003164CE">
        <w:rPr>
          <w:rFonts w:ascii="Tahoma" w:eastAsia="Calibri" w:hAnsi="Tahoma" w:cs="Tahoma"/>
          <w:sz w:val="24"/>
          <w:szCs w:val="24"/>
        </w:rPr>
        <w:t>faţă</w:t>
      </w:r>
      <w:proofErr w:type="spellEnd"/>
      <w:r w:rsidRPr="003164CE">
        <w:rPr>
          <w:rFonts w:ascii="Tahoma" w:eastAsia="Calibri" w:hAnsi="Tahoma" w:cs="Tahoma"/>
          <w:sz w:val="24"/>
          <w:szCs w:val="24"/>
        </w:rPr>
        <w:t xml:space="preserve"> de semestrul I al anului 2024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din produse ale industriei manufacturiere (fier, </w:t>
      </w:r>
      <w:proofErr w:type="spellStart"/>
      <w:r w:rsidRPr="003164CE">
        <w:rPr>
          <w:rFonts w:ascii="Tahoma" w:eastAsia="Calibri" w:hAnsi="Tahoma" w:cs="Tahoma"/>
          <w:sz w:val="24"/>
          <w:szCs w:val="24"/>
        </w:rPr>
        <w:t>oţel</w:t>
      </w:r>
      <w:proofErr w:type="spellEnd"/>
      <w:r w:rsidRPr="003164CE">
        <w:rPr>
          <w:rFonts w:ascii="Tahoma" w:eastAsia="Calibri" w:hAnsi="Tahoma" w:cs="Tahoma"/>
          <w:sz w:val="24"/>
          <w:szCs w:val="24"/>
        </w:rPr>
        <w:t xml:space="preserve">, cauciuc, metal, lemn - exclusiv mobilă, articole de îmbrăcăminte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accesorii, </w:t>
      </w:r>
      <w:r w:rsidR="003164CE" w:rsidRPr="003164CE">
        <w:rPr>
          <w:rFonts w:ascii="Tahoma" w:eastAsia="Calibri" w:hAnsi="Tahoma" w:cs="Tahoma"/>
          <w:sz w:val="24"/>
          <w:szCs w:val="24"/>
        </w:rPr>
        <w:t>încălțăminte</w:t>
      </w:r>
      <w:r w:rsidRPr="003164CE">
        <w:rPr>
          <w:rFonts w:ascii="Tahoma" w:eastAsia="Calibri" w:hAnsi="Tahoma" w:cs="Tahoma"/>
          <w:sz w:val="24"/>
          <w:szCs w:val="24"/>
        </w:rPr>
        <w:t xml:space="preserve">, mobilă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părțile ei, aparatură de măsură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control etc.) care, cu o valoare de 13,2 miliarde euro, au reprezentat 27,6% din total.</w:t>
      </w:r>
    </w:p>
    <w:p w:rsidR="00886A33" w:rsidRPr="003164CE" w:rsidRDefault="00886A33" w:rsidP="00886A33">
      <w:pPr>
        <w:spacing w:after="120" w:line="276" w:lineRule="auto"/>
        <w:ind w:firstLine="0"/>
        <w:rPr>
          <w:rFonts w:ascii="Tahoma" w:eastAsia="Calibri" w:hAnsi="Tahoma" w:cs="Tahoma"/>
          <w:sz w:val="24"/>
          <w:szCs w:val="24"/>
        </w:rPr>
      </w:pPr>
      <w:r w:rsidRPr="003164CE">
        <w:rPr>
          <w:rFonts w:ascii="Tahoma" w:eastAsia="Calibri" w:hAnsi="Tahoma" w:cs="Tahoma"/>
          <w:b/>
          <w:sz w:val="24"/>
          <w:szCs w:val="24"/>
        </w:rPr>
        <w:t>Importurile de bunuri</w:t>
      </w:r>
      <w:r w:rsidRPr="003164CE">
        <w:rPr>
          <w:rFonts w:ascii="Tahoma" w:eastAsia="Calibri" w:hAnsi="Tahoma" w:cs="Tahoma"/>
          <w:sz w:val="24"/>
          <w:szCs w:val="24"/>
        </w:rPr>
        <w:t xml:space="preserve"> s-au majorat, în prima jumătate a anului 2025, cu 4,9%, până la 64,4 miliarde euro, ritmul de </w:t>
      </w:r>
      <w:r w:rsidR="003164CE" w:rsidRPr="003164CE">
        <w:rPr>
          <w:rFonts w:ascii="Tahoma" w:eastAsia="Calibri" w:hAnsi="Tahoma" w:cs="Tahoma"/>
          <w:sz w:val="24"/>
          <w:szCs w:val="24"/>
        </w:rPr>
        <w:t>creștere</w:t>
      </w:r>
      <w:r w:rsidRPr="003164CE">
        <w:rPr>
          <w:rFonts w:ascii="Tahoma" w:eastAsia="Calibri" w:hAnsi="Tahoma" w:cs="Tahoma"/>
          <w:sz w:val="24"/>
          <w:szCs w:val="24"/>
        </w:rPr>
        <w:t xml:space="preserve"> al achizițiilor externe </w:t>
      </w:r>
      <w:r w:rsidR="003164CE" w:rsidRPr="003164CE">
        <w:rPr>
          <w:rFonts w:ascii="Tahoma" w:eastAsia="Calibri" w:hAnsi="Tahoma" w:cs="Tahoma"/>
          <w:sz w:val="24"/>
          <w:szCs w:val="24"/>
        </w:rPr>
        <w:t>menținând</w:t>
      </w:r>
      <w:r w:rsidRPr="003164CE">
        <w:rPr>
          <w:rFonts w:ascii="Tahoma" w:eastAsia="Calibri" w:hAnsi="Tahoma" w:cs="Tahoma"/>
          <w:sz w:val="24"/>
          <w:szCs w:val="24"/>
        </w:rPr>
        <w:t>-se încă la valori ridicate. Din totalul importurilor, 72,3% au provenit din spațiul intra-UE, valoarea acestora fiind cu 3,4% mai mare față de aceeași perioadă a anului anterior. În paralel, importurile din extra-comunitare au înregistrat o dinamică mai accelerată, cu un avans de 8,9% față de semestrul similar al anului 2024.</w:t>
      </w:r>
    </w:p>
    <w:p w:rsidR="00526DF3" w:rsidRPr="003164CE" w:rsidRDefault="00526DF3" w:rsidP="00526DF3">
      <w:pPr>
        <w:widowControl w:val="0"/>
        <w:suppressAutoHyphens/>
        <w:spacing w:before="120" w:after="120" w:line="276" w:lineRule="auto"/>
        <w:ind w:firstLine="0"/>
        <w:jc w:val="center"/>
        <w:rPr>
          <w:rFonts w:ascii="Arial" w:eastAsia="Times New Roman" w:hAnsi="Arial" w:cs="Arial"/>
          <w:b/>
          <w:bCs/>
          <w:sz w:val="24"/>
          <w:szCs w:val="24"/>
        </w:rPr>
      </w:pPr>
      <w:r w:rsidRPr="003164CE">
        <w:rPr>
          <w:rFonts w:ascii="Arial" w:eastAsia="Times New Roman" w:hAnsi="Arial" w:cs="Arial"/>
          <w:b/>
          <w:bCs/>
          <w:sz w:val="24"/>
          <w:szCs w:val="24"/>
        </w:rPr>
        <w:lastRenderedPageBreak/>
        <w:t>Evoluția comerțului exterior în perioada ianuarie – iunie 2025</w:t>
      </w:r>
    </w:p>
    <w:p w:rsidR="0000138F" w:rsidRPr="003164CE" w:rsidRDefault="00886A33" w:rsidP="0000138F">
      <w:pPr>
        <w:widowControl w:val="0"/>
        <w:suppressAutoHyphens/>
        <w:spacing w:before="120" w:after="120" w:line="276" w:lineRule="auto"/>
        <w:ind w:firstLine="0"/>
        <w:jc w:val="center"/>
        <w:rPr>
          <w:rFonts w:ascii="Arial" w:eastAsia="Times New Roman" w:hAnsi="Arial" w:cs="Arial"/>
          <w:b/>
          <w:bCs/>
          <w:sz w:val="24"/>
          <w:szCs w:val="24"/>
        </w:rPr>
      </w:pPr>
      <w:r w:rsidRPr="003164CE">
        <w:rPr>
          <w:rFonts w:ascii="Arial" w:eastAsia="Times New Roman" w:hAnsi="Arial" w:cs="Arial"/>
          <w:b/>
          <w:bCs/>
          <w:noProof/>
          <w:sz w:val="24"/>
          <w:szCs w:val="24"/>
          <w:lang w:val="en-US"/>
        </w:rPr>
        <w:drawing>
          <wp:inline distT="0" distB="0" distL="0" distR="0" wp14:anchorId="2C5DACEE">
            <wp:extent cx="5686425" cy="2943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6425" cy="2943225"/>
                    </a:xfrm>
                    <a:prstGeom prst="rect">
                      <a:avLst/>
                    </a:prstGeom>
                    <a:noFill/>
                  </pic:spPr>
                </pic:pic>
              </a:graphicData>
            </a:graphic>
          </wp:inline>
        </w:drawing>
      </w:r>
    </w:p>
    <w:p w:rsidR="00886A33" w:rsidRPr="003164CE" w:rsidRDefault="00886A33" w:rsidP="00886A33">
      <w:pPr>
        <w:widowControl w:val="0"/>
        <w:suppressAutoHyphens/>
        <w:spacing w:before="120"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Structura importurilor de bunuri a fost dominată, ca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în cazul exporturilor, de </w:t>
      </w:r>
      <w:r w:rsidR="003164CE" w:rsidRPr="003164CE">
        <w:rPr>
          <w:rFonts w:ascii="Tahoma" w:eastAsia="Calibri" w:hAnsi="Tahoma" w:cs="Tahoma"/>
          <w:sz w:val="24"/>
          <w:szCs w:val="24"/>
        </w:rPr>
        <w:t>mașini</w:t>
      </w:r>
      <w:r w:rsidRPr="003164CE">
        <w:rPr>
          <w:rFonts w:ascii="Tahoma" w:eastAsia="Calibri" w:hAnsi="Tahoma" w:cs="Tahoma"/>
          <w:sz w:val="24"/>
          <w:szCs w:val="24"/>
        </w:rPr>
        <w:t xml:space="preserv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echipamente pentru transport (36,3% din total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o </w:t>
      </w:r>
      <w:r w:rsidR="003164CE" w:rsidRPr="003164CE">
        <w:rPr>
          <w:rFonts w:ascii="Tahoma" w:eastAsia="Calibri" w:hAnsi="Tahoma" w:cs="Tahoma"/>
          <w:sz w:val="24"/>
          <w:szCs w:val="24"/>
        </w:rPr>
        <w:t>creștere</w:t>
      </w:r>
      <w:r w:rsidRPr="003164CE">
        <w:rPr>
          <w:rFonts w:ascii="Tahoma" w:eastAsia="Calibri" w:hAnsi="Tahoma" w:cs="Tahoma"/>
          <w:sz w:val="24"/>
          <w:szCs w:val="24"/>
        </w:rPr>
        <w:t xml:space="preserve"> cu 4,2%)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mărfuri manufacturate, clasificate în principal după materia primă (16,9% din total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o majorare cu 2,8%). În </w:t>
      </w:r>
      <w:r w:rsidR="003164CE" w:rsidRPr="003164CE">
        <w:rPr>
          <w:rFonts w:ascii="Tahoma" w:eastAsia="Calibri" w:hAnsi="Tahoma" w:cs="Tahoma"/>
          <w:sz w:val="24"/>
          <w:szCs w:val="24"/>
        </w:rPr>
        <w:t>același</w:t>
      </w:r>
      <w:r w:rsidRPr="003164CE">
        <w:rPr>
          <w:rFonts w:ascii="Tahoma" w:eastAsia="Calibri" w:hAnsi="Tahoma" w:cs="Tahoma"/>
          <w:sz w:val="24"/>
          <w:szCs w:val="24"/>
        </w:rPr>
        <w:t xml:space="preserve"> timp, grupa combustibililor minerali, lubrifianți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materiale derivate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-a majorat valoarea achizițiilor în intervalul de analiză cu 9,0%, ca urmare a unor cantități mai mari de </w:t>
      </w:r>
      <w:r w:rsidR="003164CE" w:rsidRPr="003164CE">
        <w:rPr>
          <w:rFonts w:ascii="Tahoma" w:eastAsia="Calibri" w:hAnsi="Tahoma" w:cs="Tahoma"/>
          <w:sz w:val="24"/>
          <w:szCs w:val="24"/>
        </w:rPr>
        <w:t>țiței</w:t>
      </w:r>
      <w:r w:rsidRPr="003164CE">
        <w:rPr>
          <w:rFonts w:ascii="Tahoma" w:eastAsia="Calibri" w:hAnsi="Tahoma" w:cs="Tahoma"/>
          <w:sz w:val="24"/>
          <w:szCs w:val="24"/>
        </w:rPr>
        <w:t xml:space="preserve">, gaze naturale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energie, importate. </w:t>
      </w:r>
    </w:p>
    <w:p w:rsidR="00886A33" w:rsidRPr="003164CE" w:rsidRDefault="00886A33" w:rsidP="00886A33">
      <w:pPr>
        <w:spacing w:before="120" w:after="120" w:line="276" w:lineRule="auto"/>
        <w:ind w:firstLine="0"/>
        <w:rPr>
          <w:rFonts w:ascii="Tahoma" w:eastAsia="Calibri" w:hAnsi="Tahoma" w:cs="Tahoma"/>
          <w:sz w:val="24"/>
          <w:szCs w:val="24"/>
        </w:rPr>
      </w:pPr>
      <w:r w:rsidRPr="003164CE">
        <w:rPr>
          <w:rFonts w:ascii="Tahoma" w:eastAsia="Calibri" w:hAnsi="Tahoma" w:cs="Tahoma"/>
          <w:b/>
          <w:sz w:val="24"/>
          <w:szCs w:val="24"/>
        </w:rPr>
        <w:t>Deficitul comercial FOB-CIF</w:t>
      </w:r>
      <w:r w:rsidRPr="003164CE">
        <w:rPr>
          <w:rFonts w:ascii="Tahoma" w:eastAsia="Calibri" w:hAnsi="Tahoma" w:cs="Tahoma"/>
          <w:sz w:val="24"/>
          <w:szCs w:val="24"/>
        </w:rPr>
        <w:t>, în primul semestrul al anului 2025, a atins o valoare de 16,7 miliarde euro, cu 10,5%, reprezentând o diferență valorică de 1,6 mld. euro, din care peste jumătate a fost generată de schimburile intra-comunitare (1,0 mld. euro).</w:t>
      </w:r>
    </w:p>
    <w:p w:rsidR="00886A33" w:rsidRPr="003164CE" w:rsidRDefault="00886A33" w:rsidP="00886A33">
      <w:pPr>
        <w:tabs>
          <w:tab w:val="left" w:pos="4820"/>
        </w:tabs>
        <w:spacing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Zona de petrochimie (produse farmaceutice, îngrășăminte, materiale plastice etc.) a generat 41% din deficitul comercial extern înregistrat în primele </w:t>
      </w:r>
      <w:proofErr w:type="spellStart"/>
      <w:r w:rsidRPr="003164CE">
        <w:rPr>
          <w:rFonts w:ascii="Tahoma" w:eastAsia="Calibri" w:hAnsi="Tahoma" w:cs="Tahoma"/>
          <w:sz w:val="24"/>
          <w:szCs w:val="24"/>
        </w:rPr>
        <w:t>şase</w:t>
      </w:r>
      <w:proofErr w:type="spellEnd"/>
      <w:r w:rsidRPr="003164CE">
        <w:rPr>
          <w:rFonts w:ascii="Tahoma" w:eastAsia="Calibri" w:hAnsi="Tahoma" w:cs="Tahoma"/>
          <w:sz w:val="24"/>
          <w:szCs w:val="24"/>
        </w:rPr>
        <w:t xml:space="preserve"> luni ale anului 2025, cu un sold negativ de 6,8 miliarde euro. Al doilea cel mai mare deficit a fost consemnat la categoria mărfurilor manufacturate clasificate în principal după materia primă, cu o pierdere de 3,8 miliarde euro, cele mai afectate fiind grupele de fier și oțel, precum și articolele prelucrate din metal.</w:t>
      </w:r>
    </w:p>
    <w:p w:rsidR="00886A33" w:rsidRPr="003164CE" w:rsidRDefault="00886A33" w:rsidP="00886A33">
      <w:pPr>
        <w:tabs>
          <w:tab w:val="left" w:pos="4820"/>
        </w:tabs>
        <w:spacing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Deficitul de alimente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animale vii, înregistrat în semestrul I 2025, a fost de 2,5 miliarde euro, în creștere cu 91,2 milioane euro, această deteriorare a balanței alimentare fiind cauzată, în principal, de majorarea importurilor de legume și fructe, produse lactate și ouă de păsări, precum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cafea, ceai, cacao, condimente și înlocuitori ai acestora, pe fondul majorării prețurilor de import, ca urmare a reducerii stocurilor la principalii producători. </w:t>
      </w:r>
    </w:p>
    <w:p w:rsidR="00886A33" w:rsidRPr="003164CE" w:rsidRDefault="00886A33" w:rsidP="00886A33">
      <w:pPr>
        <w:tabs>
          <w:tab w:val="left" w:pos="4820"/>
        </w:tabs>
        <w:spacing w:after="120" w:line="276" w:lineRule="auto"/>
        <w:rPr>
          <w:rFonts w:ascii="Calibri" w:eastAsia="Calibri" w:hAnsi="Calibri" w:cs="Times New Roman"/>
          <w:sz w:val="26"/>
          <w:szCs w:val="26"/>
        </w:rPr>
      </w:pPr>
      <w:r w:rsidRPr="003164CE">
        <w:rPr>
          <w:rFonts w:ascii="Tahoma" w:eastAsia="Calibri" w:hAnsi="Tahoma" w:cs="Tahoma"/>
          <w:sz w:val="24"/>
          <w:szCs w:val="24"/>
        </w:rPr>
        <w:tab/>
        <w:t xml:space="preserve">Pierderea înregistrată în schimburile comerciale cu combustibili și lubrifianți a fost de 2,3 miliarde euro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a constituit 14,0% din nivelul total al deficitului corespunzător </w:t>
      </w:r>
      <w:r w:rsidRPr="003164CE">
        <w:rPr>
          <w:rFonts w:ascii="Tahoma" w:eastAsia="Calibri" w:hAnsi="Tahoma" w:cs="Tahoma"/>
          <w:sz w:val="24"/>
          <w:szCs w:val="24"/>
        </w:rPr>
        <w:lastRenderedPageBreak/>
        <w:t xml:space="preserve">primului semestru. În perioada ianuarie-mai a anului curent deficitele la petrol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cărbune au fost în scădere, în timp ce </w:t>
      </w:r>
      <w:proofErr w:type="spellStart"/>
      <w:r w:rsidRPr="003164CE">
        <w:rPr>
          <w:rFonts w:ascii="Tahoma" w:eastAsia="Calibri" w:hAnsi="Tahoma" w:cs="Tahoma"/>
          <w:sz w:val="24"/>
          <w:szCs w:val="24"/>
        </w:rPr>
        <w:t>comerţul</w:t>
      </w:r>
      <w:proofErr w:type="spellEnd"/>
      <w:r w:rsidRPr="003164CE">
        <w:rPr>
          <w:rFonts w:ascii="Tahoma" w:eastAsia="Calibri" w:hAnsi="Tahoma" w:cs="Tahoma"/>
          <w:sz w:val="24"/>
          <w:szCs w:val="24"/>
        </w:rPr>
        <w:t xml:space="preserve"> cu gaz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produse industriale obținute din gaz a înregistrat importuri de 2,3 ori mai mari </w:t>
      </w:r>
      <w:proofErr w:type="spellStart"/>
      <w:r w:rsidRPr="003164CE">
        <w:rPr>
          <w:rFonts w:ascii="Tahoma" w:eastAsia="Calibri" w:hAnsi="Tahoma" w:cs="Tahoma"/>
          <w:sz w:val="24"/>
          <w:szCs w:val="24"/>
        </w:rPr>
        <w:t>şi</w:t>
      </w:r>
      <w:proofErr w:type="spellEnd"/>
      <w:r w:rsidRPr="003164CE">
        <w:rPr>
          <w:rFonts w:ascii="Tahoma" w:eastAsia="Calibri" w:hAnsi="Tahoma" w:cs="Tahoma"/>
          <w:sz w:val="24"/>
          <w:szCs w:val="24"/>
        </w:rPr>
        <w:t xml:space="preserve"> o pierdere de 202,5 mil. euro. Concomitent, balanța energiei electrice continuă să se deterioreze, acumulându-se un deficit de 315,3 mil. euro, </w:t>
      </w:r>
      <w:proofErr w:type="spellStart"/>
      <w:r w:rsidRPr="003164CE">
        <w:rPr>
          <w:rFonts w:ascii="Tahoma" w:eastAsia="Calibri" w:hAnsi="Tahoma" w:cs="Tahoma"/>
          <w:sz w:val="24"/>
          <w:szCs w:val="24"/>
        </w:rPr>
        <w:t>faţă</w:t>
      </w:r>
      <w:proofErr w:type="spellEnd"/>
      <w:r w:rsidRPr="003164CE">
        <w:rPr>
          <w:rFonts w:ascii="Tahoma" w:eastAsia="Calibri" w:hAnsi="Tahoma" w:cs="Tahoma"/>
          <w:sz w:val="24"/>
          <w:szCs w:val="24"/>
        </w:rPr>
        <w:t xml:space="preserve"> de excedentul de 22,4 mil. euro din </w:t>
      </w:r>
      <w:proofErr w:type="spellStart"/>
      <w:r w:rsidRPr="003164CE">
        <w:rPr>
          <w:rFonts w:ascii="Tahoma" w:eastAsia="Calibri" w:hAnsi="Tahoma" w:cs="Tahoma"/>
          <w:sz w:val="24"/>
          <w:szCs w:val="24"/>
        </w:rPr>
        <w:t>aceeaşi</w:t>
      </w:r>
      <w:proofErr w:type="spellEnd"/>
      <w:r w:rsidRPr="003164CE">
        <w:rPr>
          <w:rFonts w:ascii="Tahoma" w:eastAsia="Calibri" w:hAnsi="Tahoma" w:cs="Tahoma"/>
          <w:sz w:val="24"/>
          <w:szCs w:val="24"/>
        </w:rPr>
        <w:t xml:space="preserve"> perioadă a anului 2024.</w:t>
      </w:r>
    </w:p>
    <w:p w:rsidR="00886A33" w:rsidRPr="003164CE" w:rsidRDefault="00886A33" w:rsidP="00886A33">
      <w:pPr>
        <w:tabs>
          <w:tab w:val="left" w:pos="4820"/>
        </w:tabs>
        <w:spacing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Comerțul cu mașini și echipamente pentru transport a avut un deficit de peste 800 milioane euro în prima jumătate a anului 2025, pe fondul restrângerii </w:t>
      </w:r>
      <w:proofErr w:type="spellStart"/>
      <w:r w:rsidRPr="003164CE">
        <w:rPr>
          <w:rFonts w:ascii="Tahoma" w:eastAsia="Calibri" w:hAnsi="Tahoma" w:cs="Tahoma"/>
          <w:sz w:val="24"/>
          <w:szCs w:val="24"/>
        </w:rPr>
        <w:t>activităţilor</w:t>
      </w:r>
      <w:proofErr w:type="spellEnd"/>
      <w:r w:rsidRPr="003164CE">
        <w:rPr>
          <w:rFonts w:ascii="Tahoma" w:eastAsia="Calibri" w:hAnsi="Tahoma" w:cs="Tahoma"/>
          <w:sz w:val="24"/>
          <w:szCs w:val="24"/>
        </w:rPr>
        <w:t xml:space="preserve"> de </w:t>
      </w:r>
      <w:proofErr w:type="spellStart"/>
      <w:r w:rsidRPr="003164CE">
        <w:rPr>
          <w:rFonts w:ascii="Tahoma" w:eastAsia="Calibri" w:hAnsi="Tahoma" w:cs="Tahoma"/>
          <w:sz w:val="24"/>
          <w:szCs w:val="24"/>
        </w:rPr>
        <w:t>producţie</w:t>
      </w:r>
      <w:proofErr w:type="spellEnd"/>
      <w:r w:rsidRPr="003164CE">
        <w:rPr>
          <w:rFonts w:ascii="Tahoma" w:eastAsia="Calibri" w:hAnsi="Tahoma" w:cs="Tahoma"/>
          <w:sz w:val="24"/>
          <w:szCs w:val="24"/>
        </w:rPr>
        <w:t xml:space="preserve"> în principalele state europene partenere, în special Germania.</w:t>
      </w:r>
      <w:r w:rsidRPr="003164CE">
        <w:rPr>
          <w:rFonts w:ascii="Calibri" w:eastAsia="Calibri" w:hAnsi="Calibri" w:cs="Times New Roman"/>
          <w:sz w:val="26"/>
          <w:szCs w:val="26"/>
        </w:rPr>
        <w:t xml:space="preserve"> </w:t>
      </w:r>
      <w:r w:rsidRPr="003164CE">
        <w:rPr>
          <w:rFonts w:ascii="Tahoma" w:eastAsia="Calibri" w:hAnsi="Tahoma" w:cs="Tahoma"/>
          <w:sz w:val="24"/>
          <w:szCs w:val="24"/>
        </w:rPr>
        <w:t>Deși s-au înregistrat surplusuri la vehicule rutiere, mașini și aparate electrice, precum și alte echipamente de transport, acestea nu au fost suficiente pentru a acoperi deficitele din alte ramuri ale industriei auto.</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b/>
          <w:sz w:val="24"/>
          <w:szCs w:val="24"/>
        </w:rPr>
        <w:t>Contul curent al balanței de plăți</w:t>
      </w:r>
      <w:r w:rsidRPr="003164CE">
        <w:rPr>
          <w:rFonts w:ascii="Tahoma" w:eastAsia="Times New Roman" w:hAnsi="Tahoma" w:cs="Tahoma"/>
          <w:sz w:val="24"/>
          <w:szCs w:val="24"/>
        </w:rPr>
        <w:t xml:space="preserve"> a înregistrat, în primul semestru al anului 2025, un deficit de 13,9 miliarde euro, </w:t>
      </w:r>
      <w:r w:rsidRPr="003164CE">
        <w:rPr>
          <w:rFonts w:ascii="Tahoma" w:eastAsia="Calibri" w:hAnsi="Tahoma" w:cs="Tahoma"/>
          <w:sz w:val="24"/>
          <w:szCs w:val="24"/>
        </w:rPr>
        <w:t>cu 19,0% mai mult față de semestrul similar al anului precedent,</w:t>
      </w:r>
      <w:r w:rsidRPr="003164CE">
        <w:rPr>
          <w:rFonts w:ascii="Tahoma" w:eastAsia="Times New Roman" w:hAnsi="Tahoma" w:cs="Tahoma"/>
          <w:sz w:val="24"/>
          <w:szCs w:val="24"/>
        </w:rPr>
        <w:t xml:space="preserve"> pe fondul creșterii deficitului comercial cu 13,1% (de la -14,6 miliarde euro la -16,5 miliarde euro), evoluție care a contracarat </w:t>
      </w:r>
      <w:proofErr w:type="spellStart"/>
      <w:r w:rsidRPr="003164CE">
        <w:rPr>
          <w:rFonts w:ascii="Tahoma" w:eastAsia="Times New Roman" w:hAnsi="Tahoma" w:cs="Tahoma"/>
          <w:sz w:val="24"/>
          <w:szCs w:val="24"/>
        </w:rPr>
        <w:t>influenţa</w:t>
      </w:r>
      <w:proofErr w:type="spellEnd"/>
      <w:r w:rsidRPr="003164CE">
        <w:rPr>
          <w:rFonts w:ascii="Tahoma" w:eastAsia="Times New Roman" w:hAnsi="Tahoma" w:cs="Tahoma"/>
          <w:sz w:val="24"/>
          <w:szCs w:val="24"/>
        </w:rPr>
        <w:t xml:space="preserve"> pozitivă a creșterii excedentului înregistrat de balanța serviciilor.</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sz w:val="24"/>
          <w:szCs w:val="24"/>
        </w:rPr>
        <w:t xml:space="preserve">Soldul negativ al balanței comerciale a crescut cu aproape 2 miliarde euro față de valoarea consemnată în primele șase luni din 2024, în condițiile în care importurile de bunuri au avansat cu 6,4%, iar exporturile cu 4,1%. Reducerea intensității schimburilor comerciale reflectă dinamica moderată în activitatea economică a partenerilor comerciali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incertitudinile </w:t>
      </w:r>
      <w:proofErr w:type="spellStart"/>
      <w:r w:rsidRPr="003164CE">
        <w:rPr>
          <w:rFonts w:ascii="Tahoma" w:eastAsia="Times New Roman" w:hAnsi="Tahoma" w:cs="Tahoma"/>
          <w:sz w:val="24"/>
          <w:szCs w:val="24"/>
        </w:rPr>
        <w:t>pieţelor</w:t>
      </w:r>
      <w:proofErr w:type="spellEnd"/>
      <w:r w:rsidRPr="003164CE">
        <w:rPr>
          <w:rFonts w:ascii="Tahoma" w:eastAsia="Times New Roman" w:hAnsi="Tahoma" w:cs="Tahoma"/>
          <w:sz w:val="24"/>
          <w:szCs w:val="24"/>
        </w:rPr>
        <w:t xml:space="preserve"> internaționale, în actualul context geo-politic.</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sz w:val="24"/>
          <w:szCs w:val="24"/>
        </w:rPr>
        <w:t xml:space="preserve">Cu o creștere cu 8,2% </w:t>
      </w:r>
      <w:proofErr w:type="spellStart"/>
      <w:r w:rsidRPr="003164CE">
        <w:rPr>
          <w:rFonts w:ascii="Tahoma" w:eastAsia="Times New Roman" w:hAnsi="Tahoma" w:cs="Tahoma"/>
          <w:sz w:val="24"/>
          <w:szCs w:val="24"/>
        </w:rPr>
        <w:t>faţă</w:t>
      </w:r>
      <w:proofErr w:type="spellEnd"/>
      <w:r w:rsidRPr="003164CE">
        <w:rPr>
          <w:rFonts w:ascii="Tahoma" w:eastAsia="Times New Roman" w:hAnsi="Tahoma" w:cs="Tahoma"/>
          <w:sz w:val="24"/>
          <w:szCs w:val="24"/>
        </w:rPr>
        <w:t xml:space="preserve"> de perioada ianuarie - iunie 2024, contribuția sectorului serviciilor la evoluția contului curent s-a menținut pozitivă, acesta înregistrând un excedent de 6,4 miliarde euro, generat în proporție de peste 90% de serviciile din sfera comunicații - IT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cele de transport, care au cumulat o valoare de circa 6 miliarde euro.</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sz w:val="24"/>
          <w:szCs w:val="24"/>
        </w:rPr>
        <w:t>În sectorul de turism - călătorii a fost consemnat un deficit de 2,6 miliarde euro, cu 20,6% mai mare față de cel înregistrat în perioada corespunzătoare a anului 2024. A fost acumulată, astfel, o pierdere suplimentară de 447 milioane euro, rezultată, în principal, din creșterea cu 7,7% a cheltuielilor turiștilor români care au călătorit în străinătate în scop personal (+260 milioane euro).</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sz w:val="24"/>
          <w:szCs w:val="24"/>
        </w:rPr>
        <w:t>Un alt factor care a influențat pozitiv dinamica soldului de cont curent a fost reducerea deficitului balanței veniturilor primare cu 111 milioane euro (-2,6%), până la 4,1 miliarde euro. Această evoluție a fost susținută de diminuarea pe componenta de investiții directe cu 16,6%, în principal de scăderea profiturilor reinvestite de la 1,6 miliarde euro la 567 milioane euro (-63,4%), care, însă, pe termen lung poate semnala o încetinire a investițiilor străine directe.</w:t>
      </w:r>
    </w:p>
    <w:p w:rsidR="00886A33" w:rsidRPr="003164CE" w:rsidRDefault="00886A33" w:rsidP="00886A33">
      <w:pPr>
        <w:keepNext/>
        <w:shd w:val="clear" w:color="auto" w:fill="FFFFFF"/>
        <w:suppressAutoHyphens/>
        <w:autoSpaceDE w:val="0"/>
        <w:autoSpaceDN w:val="0"/>
        <w:adjustRightInd w:val="0"/>
        <w:spacing w:after="0" w:line="288" w:lineRule="auto"/>
        <w:ind w:firstLine="0"/>
        <w:rPr>
          <w:rFonts w:ascii="Tahoma" w:eastAsia="Times New Roman" w:hAnsi="Tahoma" w:cs="Tahoma"/>
          <w:sz w:val="24"/>
          <w:szCs w:val="24"/>
        </w:rPr>
      </w:pPr>
      <w:r w:rsidRPr="003164CE">
        <w:rPr>
          <w:rFonts w:ascii="Tahoma" w:eastAsia="Times New Roman" w:hAnsi="Tahoma" w:cs="Tahoma"/>
          <w:sz w:val="24"/>
          <w:szCs w:val="24"/>
        </w:rPr>
        <w:lastRenderedPageBreak/>
        <w:t>În același timp, excedentul balanței veniturilor secundare a înregistrat o corecție semnificativă în primul semestru, ajungând la 401 milioane euro, față de 1,3 miliarde euro în perioada similară din 2024. Principala cauză a fost adâncirea deficitului în sectorul administrației publice, care s-a deteriorat până la 417 milioane euro, pe fondul reducerii cu 316 milioane euro a încasărilor din cooperarea internațională și creșterii contribuțiilor la bugetul UE cu 125 milioane euro. Transferurile lucrătorilor au contribuit cu 1,5 miliarde euro la soldul pozitiv al veniturilor, însă reducerea lor cu 23,4% față de primul semestru al anului precedent a accentuat dezechilibrul creat de administrația publică.</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b/>
          <w:sz w:val="24"/>
          <w:szCs w:val="24"/>
        </w:rPr>
        <w:t>Investițiile străine directe</w:t>
      </w:r>
      <w:r w:rsidRPr="003164CE">
        <w:rPr>
          <w:rFonts w:ascii="Tahoma" w:eastAsia="Times New Roman" w:hAnsi="Tahoma" w:cs="Tahoma"/>
          <w:sz w:val="24"/>
          <w:szCs w:val="24"/>
        </w:rPr>
        <w:t xml:space="preserve"> au înregistrat, în perioada ianuarie - iunie 2025, o valoare de 2,8 miliarde euro, cu 15,1% </w:t>
      </w:r>
      <w:r w:rsidR="001705C7" w:rsidRPr="003164CE">
        <w:rPr>
          <w:rFonts w:ascii="Tahoma" w:eastAsia="Times New Roman" w:hAnsi="Tahoma" w:cs="Tahoma"/>
          <w:sz w:val="24"/>
          <w:szCs w:val="24"/>
        </w:rPr>
        <w:t xml:space="preserve">peste nivelul perioadei similare din anul precedent </w:t>
      </w:r>
      <w:r w:rsidRPr="003164CE">
        <w:rPr>
          <w:rFonts w:ascii="Tahoma" w:eastAsia="Times New Roman" w:hAnsi="Tahoma" w:cs="Tahoma"/>
          <w:sz w:val="24"/>
          <w:szCs w:val="24"/>
        </w:rPr>
        <w:t xml:space="preserve">și au acoperit 20% din deficitul de cont curent. Investițiile reale în economie (reprezentate de participațiile la capital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profit reinvestit) au fost de 1,8 miliarde euro, în timp ce creditele intra-grup au înregistrat o valoare netă negativă de 1,0 miliard euro. </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b/>
          <w:sz w:val="24"/>
          <w:szCs w:val="24"/>
        </w:rPr>
        <w:t>Prețurile de consum</w:t>
      </w:r>
      <w:r w:rsidRPr="003164CE">
        <w:rPr>
          <w:rFonts w:ascii="Tahoma" w:eastAsia="Times New Roman" w:hAnsi="Tahoma" w:cs="Tahoma"/>
          <w:sz w:val="24"/>
          <w:szCs w:val="24"/>
        </w:rPr>
        <w:t xml:space="preserve"> s-au încadrat, în primele </w:t>
      </w:r>
      <w:proofErr w:type="spellStart"/>
      <w:r w:rsidRPr="003164CE">
        <w:rPr>
          <w:rFonts w:ascii="Tahoma" w:eastAsia="Times New Roman" w:hAnsi="Tahoma" w:cs="Tahoma"/>
          <w:sz w:val="24"/>
          <w:szCs w:val="24"/>
        </w:rPr>
        <w:t>şase</w:t>
      </w:r>
      <w:proofErr w:type="spellEnd"/>
      <w:r w:rsidRPr="003164CE">
        <w:rPr>
          <w:rFonts w:ascii="Tahoma" w:eastAsia="Times New Roman" w:hAnsi="Tahoma" w:cs="Tahoma"/>
          <w:sz w:val="24"/>
          <w:szCs w:val="24"/>
        </w:rPr>
        <w:t xml:space="preserve"> luni ale anului 2025, pe un trend </w:t>
      </w:r>
      <w:proofErr w:type="spellStart"/>
      <w:r w:rsidRPr="003164CE">
        <w:rPr>
          <w:rFonts w:ascii="Tahoma" w:eastAsia="Times New Roman" w:hAnsi="Tahoma" w:cs="Tahoma"/>
          <w:sz w:val="24"/>
          <w:szCs w:val="24"/>
        </w:rPr>
        <w:t>uşor</w:t>
      </w:r>
      <w:proofErr w:type="spellEnd"/>
      <w:r w:rsidRPr="003164CE">
        <w:rPr>
          <w:rFonts w:ascii="Tahoma" w:eastAsia="Times New Roman" w:hAnsi="Tahoma" w:cs="Tahoma"/>
          <w:sz w:val="24"/>
          <w:szCs w:val="24"/>
        </w:rPr>
        <w:t xml:space="preserve"> descendent, reflectând o temperare a presiunilor inflaționiste. Această evoluție a fost susținută de o politică monetară prudentă, de scăderea presiunii cererii interne, precum și de menținerea schemelor de plafonare aplicate prețurilor la bunurile energetice și la anumite produse alimentare de bază. </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sz w:val="24"/>
          <w:szCs w:val="24"/>
        </w:rPr>
        <w:t xml:space="preserve">Pe componente, tendința de scădere s-a regăsit preponderent la produsele nealimentare, al căror ritm de </w:t>
      </w:r>
      <w:proofErr w:type="spellStart"/>
      <w:r w:rsidRPr="003164CE">
        <w:rPr>
          <w:rFonts w:ascii="Tahoma" w:eastAsia="Times New Roman" w:hAnsi="Tahoma" w:cs="Tahoma"/>
          <w:sz w:val="24"/>
          <w:szCs w:val="24"/>
        </w:rPr>
        <w:t>creştere</w:t>
      </w:r>
      <w:proofErr w:type="spellEnd"/>
      <w:r w:rsidRPr="003164CE">
        <w:rPr>
          <w:rFonts w:ascii="Tahoma" w:eastAsia="Times New Roman" w:hAnsi="Tahoma" w:cs="Tahoma"/>
          <w:sz w:val="24"/>
          <w:szCs w:val="24"/>
        </w:rPr>
        <w:t xml:space="preserve"> a ajuns la 4,1%, precum și în sectorul serviciilor, unde tarifele au înregistrat o dinamică mai redusă, de 6,8%. În schimb, componenta alimentară a contribuit la menținerea presiunilor inflaționiste, media semestrială accelerând de la 2,9% la 5,6%. Această evoluție a fost determinată de creșterea prețurilor pentru bunurile procesate, ca urmare a </w:t>
      </w:r>
      <w:proofErr w:type="spellStart"/>
      <w:r w:rsidRPr="003164CE">
        <w:rPr>
          <w:rFonts w:ascii="Tahoma" w:eastAsia="Times New Roman" w:hAnsi="Tahoma" w:cs="Tahoma"/>
          <w:sz w:val="24"/>
          <w:szCs w:val="24"/>
        </w:rPr>
        <w:t>influenţelor</w:t>
      </w:r>
      <w:proofErr w:type="spellEnd"/>
      <w:r w:rsidRPr="003164CE">
        <w:rPr>
          <w:rFonts w:ascii="Tahoma" w:eastAsia="Times New Roman" w:hAnsi="Tahoma" w:cs="Tahoma"/>
          <w:sz w:val="24"/>
          <w:szCs w:val="24"/>
        </w:rPr>
        <w:t xml:space="preserve"> nefavorabile a </w:t>
      </w:r>
      <w:proofErr w:type="spellStart"/>
      <w:r w:rsidRPr="003164CE">
        <w:rPr>
          <w:rFonts w:ascii="Tahoma" w:eastAsia="Times New Roman" w:hAnsi="Tahoma" w:cs="Tahoma"/>
          <w:sz w:val="24"/>
          <w:szCs w:val="24"/>
        </w:rPr>
        <w:t>creşterii</w:t>
      </w:r>
      <w:proofErr w:type="spellEnd"/>
      <w:r w:rsidRPr="003164CE">
        <w:rPr>
          <w:rFonts w:ascii="Tahoma" w:eastAsia="Times New Roman" w:hAnsi="Tahoma" w:cs="Tahoma"/>
          <w:sz w:val="24"/>
          <w:szCs w:val="24"/>
        </w:rPr>
        <w:t xml:space="preserve"> costurilor salariale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a unor materii prime. Astfel, segmentul alimentar a contrabalansat tendința dezinflaționistă observată la celelalte componente ale indicelui prețurilor de consum.</w:t>
      </w:r>
    </w:p>
    <w:p w:rsidR="00886A33" w:rsidRPr="003164CE" w:rsidRDefault="00886A33" w:rsidP="00886A33">
      <w:pPr>
        <w:spacing w:after="120" w:line="276" w:lineRule="auto"/>
        <w:ind w:firstLine="0"/>
        <w:rPr>
          <w:rFonts w:ascii="Tahoma" w:eastAsia="Times New Roman" w:hAnsi="Tahoma" w:cs="Tahoma"/>
          <w:sz w:val="24"/>
          <w:szCs w:val="24"/>
        </w:rPr>
      </w:pPr>
      <w:r w:rsidRPr="003164CE">
        <w:rPr>
          <w:rFonts w:ascii="Tahoma" w:eastAsia="Times New Roman" w:hAnsi="Tahoma" w:cs="Tahoma"/>
          <w:sz w:val="24"/>
          <w:szCs w:val="24"/>
        </w:rPr>
        <w:t>În ritm anual</w:t>
      </w:r>
      <w:r w:rsidR="00053C4B" w:rsidRPr="003164CE">
        <w:rPr>
          <w:rFonts w:ascii="Tahoma" w:eastAsia="Times New Roman" w:hAnsi="Tahoma" w:cs="Tahoma"/>
          <w:sz w:val="24"/>
          <w:szCs w:val="24"/>
        </w:rPr>
        <w:t xml:space="preserve"> </w:t>
      </w:r>
      <w:r w:rsidRPr="003164CE">
        <w:rPr>
          <w:rFonts w:ascii="Tahoma" w:eastAsia="Times New Roman" w:hAnsi="Tahoma" w:cs="Tahoma"/>
          <w:sz w:val="24"/>
          <w:szCs w:val="24"/>
        </w:rPr>
        <w:t>consoli</w:t>
      </w:r>
      <w:r w:rsidR="00DF2028" w:rsidRPr="003164CE">
        <w:rPr>
          <w:rFonts w:ascii="Tahoma" w:eastAsia="Times New Roman" w:hAnsi="Tahoma" w:cs="Tahoma"/>
          <w:sz w:val="24"/>
          <w:szCs w:val="24"/>
        </w:rPr>
        <w:t>darea procesului de dezinflație s-a reg</w:t>
      </w:r>
      <w:r w:rsidR="003164CE" w:rsidRPr="003164CE">
        <w:rPr>
          <w:rFonts w:ascii="Tahoma" w:eastAsia="Times New Roman" w:hAnsi="Tahoma" w:cs="Tahoma"/>
          <w:sz w:val="24"/>
          <w:szCs w:val="24"/>
        </w:rPr>
        <w:t>ă</w:t>
      </w:r>
      <w:r w:rsidR="00DF2028" w:rsidRPr="003164CE">
        <w:rPr>
          <w:rFonts w:ascii="Tahoma" w:eastAsia="Times New Roman" w:hAnsi="Tahoma" w:cs="Tahoma"/>
          <w:sz w:val="24"/>
          <w:szCs w:val="24"/>
        </w:rPr>
        <w:t>sit</w:t>
      </w:r>
      <w:r w:rsidRPr="003164CE">
        <w:rPr>
          <w:rFonts w:ascii="Tahoma" w:eastAsia="Times New Roman" w:hAnsi="Tahoma" w:cs="Tahoma"/>
          <w:sz w:val="24"/>
          <w:szCs w:val="24"/>
        </w:rPr>
        <w:t xml:space="preserve"> în special pe segmentul produselor nealimentare. Cu toate acestea, au existat variații lunare importante, mai ales la produsele volatile (fructe, cacao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cafea, precum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zahăr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produse zaharoase) și în zona serviciilor (servicii cu caracter industrial </w:t>
      </w:r>
      <w:proofErr w:type="spellStart"/>
      <w:r w:rsidRPr="003164CE">
        <w:rPr>
          <w:rFonts w:ascii="Tahoma" w:eastAsia="Times New Roman" w:hAnsi="Tahoma" w:cs="Tahoma"/>
          <w:sz w:val="24"/>
          <w:szCs w:val="24"/>
        </w:rPr>
        <w:t>şi</w:t>
      </w:r>
      <w:proofErr w:type="spellEnd"/>
      <w:r w:rsidRPr="003164CE">
        <w:rPr>
          <w:rFonts w:ascii="Tahoma" w:eastAsia="Times New Roman" w:hAnsi="Tahoma" w:cs="Tahoma"/>
          <w:sz w:val="24"/>
          <w:szCs w:val="24"/>
        </w:rPr>
        <w:t xml:space="preserve"> plata cazării în </w:t>
      </w:r>
      <w:proofErr w:type="spellStart"/>
      <w:r w:rsidRPr="003164CE">
        <w:rPr>
          <w:rFonts w:ascii="Tahoma" w:eastAsia="Times New Roman" w:hAnsi="Tahoma" w:cs="Tahoma"/>
          <w:sz w:val="24"/>
          <w:szCs w:val="24"/>
        </w:rPr>
        <w:t>unităţile</w:t>
      </w:r>
      <w:proofErr w:type="spellEnd"/>
      <w:r w:rsidRPr="003164CE">
        <w:rPr>
          <w:rFonts w:ascii="Tahoma" w:eastAsia="Times New Roman" w:hAnsi="Tahoma" w:cs="Tahoma"/>
          <w:sz w:val="24"/>
          <w:szCs w:val="24"/>
        </w:rPr>
        <w:t xml:space="preserve"> hoteliere), cu presiuni persistente din partea costurilor cu </w:t>
      </w:r>
      <w:proofErr w:type="spellStart"/>
      <w:r w:rsidRPr="003164CE">
        <w:rPr>
          <w:rFonts w:ascii="Tahoma" w:eastAsia="Times New Roman" w:hAnsi="Tahoma" w:cs="Tahoma"/>
          <w:sz w:val="24"/>
          <w:szCs w:val="24"/>
        </w:rPr>
        <w:t>forţa</w:t>
      </w:r>
      <w:proofErr w:type="spellEnd"/>
      <w:r w:rsidRPr="003164CE">
        <w:rPr>
          <w:rFonts w:ascii="Tahoma" w:eastAsia="Times New Roman" w:hAnsi="Tahoma" w:cs="Tahoma"/>
          <w:sz w:val="24"/>
          <w:szCs w:val="24"/>
        </w:rPr>
        <w:t xml:space="preserve"> de muncă.</w:t>
      </w:r>
    </w:p>
    <w:p w:rsidR="0000138F" w:rsidRPr="003164CE" w:rsidRDefault="0000138F" w:rsidP="0000138F">
      <w:pPr>
        <w:widowControl w:val="0"/>
        <w:suppressAutoHyphens/>
        <w:spacing w:after="120" w:line="276" w:lineRule="auto"/>
        <w:ind w:hanging="360"/>
        <w:jc w:val="center"/>
        <w:rPr>
          <w:rFonts w:ascii="Arial" w:eastAsia="Times New Roman" w:hAnsi="Arial" w:cs="Arial"/>
          <w:b/>
          <w:bCs/>
          <w:sz w:val="24"/>
          <w:szCs w:val="24"/>
        </w:rPr>
      </w:pPr>
    </w:p>
    <w:p w:rsidR="003164CE" w:rsidRPr="003164CE" w:rsidRDefault="003164CE" w:rsidP="0000138F">
      <w:pPr>
        <w:widowControl w:val="0"/>
        <w:suppressAutoHyphens/>
        <w:spacing w:after="120" w:line="276" w:lineRule="auto"/>
        <w:ind w:hanging="360"/>
        <w:jc w:val="center"/>
        <w:rPr>
          <w:rFonts w:ascii="Arial" w:eastAsia="Times New Roman" w:hAnsi="Arial" w:cs="Arial"/>
          <w:b/>
          <w:bCs/>
          <w:sz w:val="24"/>
          <w:szCs w:val="24"/>
        </w:rPr>
      </w:pPr>
    </w:p>
    <w:p w:rsidR="003164CE" w:rsidRPr="003164CE" w:rsidRDefault="003164CE" w:rsidP="0000138F">
      <w:pPr>
        <w:widowControl w:val="0"/>
        <w:suppressAutoHyphens/>
        <w:spacing w:after="120" w:line="276" w:lineRule="auto"/>
        <w:ind w:hanging="360"/>
        <w:jc w:val="center"/>
        <w:rPr>
          <w:rFonts w:ascii="Arial" w:eastAsia="Times New Roman" w:hAnsi="Arial" w:cs="Arial"/>
          <w:b/>
          <w:bCs/>
          <w:sz w:val="24"/>
          <w:szCs w:val="24"/>
        </w:rPr>
      </w:pPr>
    </w:p>
    <w:p w:rsidR="003164CE" w:rsidRPr="003164CE" w:rsidRDefault="003164CE" w:rsidP="0000138F">
      <w:pPr>
        <w:widowControl w:val="0"/>
        <w:suppressAutoHyphens/>
        <w:spacing w:after="120" w:line="276" w:lineRule="auto"/>
        <w:ind w:hanging="360"/>
        <w:jc w:val="center"/>
        <w:rPr>
          <w:rFonts w:ascii="Arial" w:eastAsia="Times New Roman" w:hAnsi="Arial" w:cs="Arial"/>
          <w:b/>
          <w:bCs/>
          <w:sz w:val="24"/>
          <w:szCs w:val="24"/>
        </w:rPr>
      </w:pPr>
    </w:p>
    <w:p w:rsidR="003164CE" w:rsidRPr="003164CE" w:rsidRDefault="003164CE" w:rsidP="0000138F">
      <w:pPr>
        <w:widowControl w:val="0"/>
        <w:suppressAutoHyphens/>
        <w:spacing w:after="120" w:line="276" w:lineRule="auto"/>
        <w:ind w:hanging="360"/>
        <w:jc w:val="center"/>
        <w:rPr>
          <w:rFonts w:ascii="Arial" w:eastAsia="Times New Roman" w:hAnsi="Arial" w:cs="Arial"/>
          <w:b/>
          <w:bCs/>
          <w:sz w:val="24"/>
          <w:szCs w:val="24"/>
        </w:rPr>
      </w:pPr>
    </w:p>
    <w:p w:rsidR="0000138F" w:rsidRPr="003164CE" w:rsidRDefault="0000138F" w:rsidP="0000138F">
      <w:pPr>
        <w:widowControl w:val="0"/>
        <w:suppressAutoHyphens/>
        <w:spacing w:after="120" w:line="276" w:lineRule="auto"/>
        <w:ind w:hanging="360"/>
        <w:jc w:val="center"/>
        <w:rPr>
          <w:rFonts w:ascii="Arial" w:eastAsia="Times New Roman" w:hAnsi="Arial" w:cs="Arial"/>
          <w:b/>
          <w:bCs/>
          <w:sz w:val="24"/>
          <w:szCs w:val="24"/>
        </w:rPr>
      </w:pPr>
      <w:r w:rsidRPr="003164CE">
        <w:rPr>
          <w:rFonts w:ascii="Arial" w:eastAsia="Times New Roman" w:hAnsi="Arial" w:cs="Arial"/>
          <w:b/>
          <w:bCs/>
          <w:sz w:val="24"/>
          <w:szCs w:val="24"/>
        </w:rPr>
        <w:lastRenderedPageBreak/>
        <w:t>Contribuții la rata anuală a inflației (%)</w:t>
      </w:r>
    </w:p>
    <w:p w:rsidR="0000138F" w:rsidRPr="003164CE" w:rsidRDefault="00886A33" w:rsidP="0000138F">
      <w:pPr>
        <w:widowControl w:val="0"/>
        <w:suppressAutoHyphens/>
        <w:spacing w:after="120" w:line="276" w:lineRule="auto"/>
        <w:ind w:firstLine="0"/>
        <w:jc w:val="center"/>
        <w:rPr>
          <w:rFonts w:ascii="Arial" w:eastAsia="Times New Roman" w:hAnsi="Arial" w:cs="Arial"/>
          <w:b/>
          <w:bCs/>
          <w:sz w:val="24"/>
          <w:szCs w:val="24"/>
        </w:rPr>
      </w:pPr>
      <w:r w:rsidRPr="003164CE">
        <w:rPr>
          <w:rFonts w:ascii="Arial" w:eastAsia="Times New Roman" w:hAnsi="Arial" w:cs="Arial"/>
          <w:b/>
          <w:bCs/>
          <w:noProof/>
          <w:sz w:val="24"/>
          <w:szCs w:val="24"/>
          <w:lang w:val="en-US"/>
        </w:rPr>
        <w:drawing>
          <wp:inline distT="0" distB="0" distL="0" distR="0" wp14:anchorId="5EF7C8AA">
            <wp:extent cx="5762625" cy="3114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114675"/>
                    </a:xfrm>
                    <a:prstGeom prst="rect">
                      <a:avLst/>
                    </a:prstGeom>
                    <a:noFill/>
                  </pic:spPr>
                </pic:pic>
              </a:graphicData>
            </a:graphic>
          </wp:inline>
        </w:drawing>
      </w:r>
    </w:p>
    <w:p w:rsidR="00886A33" w:rsidRPr="003164CE" w:rsidRDefault="00886A33" w:rsidP="00315E04">
      <w:pPr>
        <w:spacing w:before="360" w:after="120" w:line="276" w:lineRule="auto"/>
        <w:ind w:firstLine="0"/>
        <w:rPr>
          <w:rFonts w:ascii="Tahoma" w:eastAsia="Times New Roman" w:hAnsi="Tahoma" w:cs="Tahoma"/>
          <w:sz w:val="24"/>
          <w:szCs w:val="24"/>
        </w:rPr>
      </w:pPr>
      <w:bookmarkStart w:id="7" w:name="_Toc456256933"/>
      <w:bookmarkStart w:id="8" w:name="_Toc456257457"/>
      <w:bookmarkStart w:id="9" w:name="_Toc456258315"/>
      <w:bookmarkStart w:id="10" w:name="_Toc456258420"/>
      <w:r w:rsidRPr="003164CE">
        <w:rPr>
          <w:rFonts w:ascii="Tahoma" w:eastAsia="Times New Roman" w:hAnsi="Tahoma" w:cs="Tahoma"/>
          <w:b/>
          <w:sz w:val="24"/>
          <w:szCs w:val="24"/>
        </w:rPr>
        <w:t>Cursul mediu de schimb leu/euro</w:t>
      </w:r>
      <w:r w:rsidRPr="003164CE">
        <w:rPr>
          <w:rFonts w:ascii="Tahoma" w:eastAsia="Times New Roman" w:hAnsi="Tahoma" w:cs="Tahoma"/>
          <w:sz w:val="24"/>
          <w:szCs w:val="24"/>
        </w:rPr>
        <w:t xml:space="preserve"> s-a situat, în primele șase luni ale anului curent, la valoarea de 5,0037 lei/euro, moneda națională înregistrând o depreciere în termeni nominali de 0,59% comparativ cu semestrul I 2024 (cu o apreciere reală de 4,51% </w:t>
      </w:r>
      <w:proofErr w:type="spellStart"/>
      <w:r w:rsidRPr="003164CE">
        <w:rPr>
          <w:rFonts w:ascii="Tahoma" w:eastAsia="Times New Roman" w:hAnsi="Tahoma" w:cs="Tahoma"/>
          <w:sz w:val="24"/>
          <w:szCs w:val="24"/>
        </w:rPr>
        <w:t>şase</w:t>
      </w:r>
      <w:proofErr w:type="spellEnd"/>
      <w:r w:rsidRPr="003164CE">
        <w:rPr>
          <w:rFonts w:ascii="Tahoma" w:eastAsia="Times New Roman" w:hAnsi="Tahoma" w:cs="Tahoma"/>
          <w:sz w:val="24"/>
          <w:szCs w:val="24"/>
        </w:rPr>
        <w:t xml:space="preserve"> luni 2025 </w:t>
      </w:r>
      <w:proofErr w:type="spellStart"/>
      <w:r w:rsidRPr="003164CE">
        <w:rPr>
          <w:rFonts w:ascii="Tahoma" w:eastAsia="Times New Roman" w:hAnsi="Tahoma" w:cs="Tahoma"/>
          <w:sz w:val="24"/>
          <w:szCs w:val="24"/>
        </w:rPr>
        <w:t>faţă</w:t>
      </w:r>
      <w:proofErr w:type="spellEnd"/>
      <w:r w:rsidRPr="003164CE">
        <w:rPr>
          <w:rFonts w:ascii="Tahoma" w:eastAsia="Times New Roman" w:hAnsi="Tahoma" w:cs="Tahoma"/>
          <w:sz w:val="24"/>
          <w:szCs w:val="24"/>
        </w:rPr>
        <w:t xml:space="preserve"> de </w:t>
      </w:r>
      <w:proofErr w:type="spellStart"/>
      <w:r w:rsidRPr="003164CE">
        <w:rPr>
          <w:rFonts w:ascii="Tahoma" w:eastAsia="Times New Roman" w:hAnsi="Tahoma" w:cs="Tahoma"/>
          <w:sz w:val="24"/>
          <w:szCs w:val="24"/>
        </w:rPr>
        <w:t>şase</w:t>
      </w:r>
      <w:proofErr w:type="spellEnd"/>
      <w:r w:rsidRPr="003164CE">
        <w:rPr>
          <w:rFonts w:ascii="Tahoma" w:eastAsia="Times New Roman" w:hAnsi="Tahoma" w:cs="Tahoma"/>
          <w:sz w:val="24"/>
          <w:szCs w:val="24"/>
        </w:rPr>
        <w:t xml:space="preserve"> luni 2024). În ceea ce privește raportul euro/dolar, acesta a avut o valoare medie de 1,091 în intervalul ianuarie – iunie 2025.</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sz w:val="24"/>
          <w:szCs w:val="24"/>
        </w:rPr>
        <w:t xml:space="preserve">Corelat cu </w:t>
      </w:r>
      <w:proofErr w:type="spellStart"/>
      <w:r w:rsidRPr="003164CE">
        <w:rPr>
          <w:rFonts w:ascii="Tahoma" w:hAnsi="Tahoma" w:cs="Tahoma"/>
          <w:sz w:val="24"/>
          <w:szCs w:val="24"/>
        </w:rPr>
        <w:t>evoluţia</w:t>
      </w:r>
      <w:proofErr w:type="spellEnd"/>
      <w:r w:rsidRPr="003164CE">
        <w:rPr>
          <w:rFonts w:ascii="Tahoma" w:hAnsi="Tahoma" w:cs="Tahoma"/>
          <w:sz w:val="24"/>
          <w:szCs w:val="24"/>
        </w:rPr>
        <w:t xml:space="preserve"> modestă a economiei din primul semestru al anului 2025 </w:t>
      </w:r>
      <w:r w:rsidRPr="003164CE">
        <w:rPr>
          <w:rFonts w:ascii="Tahoma" w:hAnsi="Tahoma" w:cs="Tahoma"/>
          <w:b/>
          <w:sz w:val="24"/>
          <w:szCs w:val="24"/>
        </w:rPr>
        <w:t>efectivul salariaților</w:t>
      </w:r>
      <w:r w:rsidRPr="003164CE">
        <w:rPr>
          <w:rFonts w:ascii="Tahoma" w:hAnsi="Tahoma" w:cs="Tahoma"/>
          <w:sz w:val="24"/>
          <w:szCs w:val="24"/>
        </w:rPr>
        <w:t xml:space="preserve">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-a temperat </w:t>
      </w:r>
      <w:proofErr w:type="spellStart"/>
      <w:r w:rsidRPr="003164CE">
        <w:rPr>
          <w:rFonts w:ascii="Tahoma" w:hAnsi="Tahoma" w:cs="Tahoma"/>
          <w:sz w:val="24"/>
          <w:szCs w:val="24"/>
        </w:rPr>
        <w:t>creşterea</w:t>
      </w:r>
      <w:proofErr w:type="spellEnd"/>
      <w:r w:rsidRPr="003164CE">
        <w:rPr>
          <w:rFonts w:ascii="Tahoma" w:hAnsi="Tahoma" w:cs="Tahoma"/>
          <w:sz w:val="24"/>
          <w:szCs w:val="24"/>
        </w:rPr>
        <w:t xml:space="preserve">. La </w:t>
      </w:r>
      <w:proofErr w:type="spellStart"/>
      <w:r w:rsidRPr="003164CE">
        <w:rPr>
          <w:rFonts w:ascii="Tahoma" w:hAnsi="Tahoma" w:cs="Tahoma"/>
          <w:sz w:val="24"/>
          <w:szCs w:val="24"/>
        </w:rPr>
        <w:t>sfârşitul</w:t>
      </w:r>
      <w:proofErr w:type="spellEnd"/>
      <w:r w:rsidRPr="003164CE">
        <w:rPr>
          <w:rFonts w:ascii="Tahoma" w:hAnsi="Tahoma" w:cs="Tahoma"/>
          <w:sz w:val="24"/>
          <w:szCs w:val="24"/>
        </w:rPr>
        <w:t xml:space="preserve"> lunii iunie efectivul </w:t>
      </w:r>
      <w:proofErr w:type="spellStart"/>
      <w:r w:rsidRPr="003164CE">
        <w:rPr>
          <w:rFonts w:ascii="Tahoma" w:hAnsi="Tahoma" w:cs="Tahoma"/>
          <w:sz w:val="24"/>
          <w:szCs w:val="24"/>
        </w:rPr>
        <w:t>salariaţilor</w:t>
      </w:r>
      <w:proofErr w:type="spellEnd"/>
      <w:r w:rsidRPr="003164CE">
        <w:rPr>
          <w:rFonts w:ascii="Tahoma" w:hAnsi="Tahoma" w:cs="Tahoma"/>
          <w:sz w:val="24"/>
          <w:szCs w:val="24"/>
        </w:rPr>
        <w:t xml:space="preserve"> a ajuns la 5.171,5 mii persoane, mai mult cu 18,9 mii persoane, respectiv 0,4% comparativ cu luna corespunzătoare din anul 2024. </w:t>
      </w:r>
      <w:r w:rsidRPr="003164CE">
        <w:rPr>
          <w:rFonts w:ascii="Tahoma" w:eastAsia="Times New Roman" w:hAnsi="Tahoma" w:cs="Tahoma"/>
          <w:sz w:val="24"/>
          <w:szCs w:val="24"/>
        </w:rPr>
        <w:t xml:space="preserve">Ponderea cea mai mare în total economie continuă să o reprezinte numărul de </w:t>
      </w:r>
      <w:proofErr w:type="spellStart"/>
      <w:r w:rsidRPr="003164CE">
        <w:rPr>
          <w:rFonts w:ascii="Tahoma" w:eastAsia="Times New Roman" w:hAnsi="Tahoma" w:cs="Tahoma"/>
          <w:sz w:val="24"/>
          <w:szCs w:val="24"/>
        </w:rPr>
        <w:t>salariaţi</w:t>
      </w:r>
      <w:proofErr w:type="spellEnd"/>
      <w:r w:rsidRPr="003164CE">
        <w:rPr>
          <w:rFonts w:ascii="Tahoma" w:eastAsia="Times New Roman" w:hAnsi="Tahoma" w:cs="Tahoma"/>
          <w:sz w:val="24"/>
          <w:szCs w:val="24"/>
        </w:rPr>
        <w:t xml:space="preserve"> din industrie, respectiv 24,4% (1.261,7 mii persoane).</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b/>
          <w:sz w:val="24"/>
          <w:szCs w:val="24"/>
        </w:rPr>
        <w:t xml:space="preserve">Rata </w:t>
      </w:r>
      <w:proofErr w:type="spellStart"/>
      <w:r w:rsidRPr="003164CE">
        <w:rPr>
          <w:rFonts w:ascii="Tahoma" w:hAnsi="Tahoma" w:cs="Tahoma"/>
          <w:b/>
          <w:sz w:val="24"/>
          <w:szCs w:val="24"/>
        </w:rPr>
        <w:t>şomajului</w:t>
      </w:r>
      <w:proofErr w:type="spellEnd"/>
      <w:r w:rsidRPr="003164CE">
        <w:rPr>
          <w:rFonts w:ascii="Tahoma" w:hAnsi="Tahoma" w:cs="Tahoma"/>
          <w:b/>
          <w:sz w:val="24"/>
          <w:szCs w:val="24"/>
        </w:rPr>
        <w:t xml:space="preserve"> înregistrat la </w:t>
      </w:r>
      <w:proofErr w:type="spellStart"/>
      <w:r w:rsidRPr="003164CE">
        <w:rPr>
          <w:rFonts w:ascii="Tahoma" w:hAnsi="Tahoma" w:cs="Tahoma"/>
          <w:b/>
          <w:sz w:val="24"/>
          <w:szCs w:val="24"/>
        </w:rPr>
        <w:t>sfârşitul</w:t>
      </w:r>
      <w:proofErr w:type="spellEnd"/>
      <w:r w:rsidRPr="003164CE">
        <w:rPr>
          <w:rFonts w:ascii="Tahoma" w:hAnsi="Tahoma" w:cs="Tahoma"/>
          <w:b/>
          <w:sz w:val="24"/>
          <w:szCs w:val="24"/>
        </w:rPr>
        <w:t xml:space="preserve"> lunii iunie 2025</w:t>
      </w:r>
      <w:r w:rsidRPr="003164CE">
        <w:rPr>
          <w:rFonts w:ascii="Tahoma" w:hAnsi="Tahoma" w:cs="Tahoma"/>
          <w:sz w:val="24"/>
          <w:szCs w:val="24"/>
        </w:rPr>
        <w:t xml:space="preserve"> a fost de 3,16%, mai mare cu 0,07% decât nivelul înregistrat la </w:t>
      </w:r>
      <w:proofErr w:type="spellStart"/>
      <w:r w:rsidRPr="003164CE">
        <w:rPr>
          <w:rFonts w:ascii="Tahoma" w:hAnsi="Tahoma" w:cs="Tahoma"/>
          <w:sz w:val="24"/>
          <w:szCs w:val="24"/>
        </w:rPr>
        <w:t>sfârşitul</w:t>
      </w:r>
      <w:proofErr w:type="spellEnd"/>
      <w:r w:rsidRPr="003164CE">
        <w:rPr>
          <w:rFonts w:ascii="Tahoma" w:hAnsi="Tahoma" w:cs="Tahoma"/>
          <w:sz w:val="24"/>
          <w:szCs w:val="24"/>
        </w:rPr>
        <w:t xml:space="preserve"> lunii iunie 2024 (3,09%).</w:t>
      </w:r>
    </w:p>
    <w:p w:rsidR="00886A33" w:rsidRPr="003164CE" w:rsidRDefault="00886A33" w:rsidP="00886A33">
      <w:pPr>
        <w:spacing w:after="120" w:line="276" w:lineRule="auto"/>
        <w:ind w:firstLine="0"/>
        <w:rPr>
          <w:rFonts w:ascii="Tahoma" w:hAnsi="Tahoma" w:cs="Tahoma"/>
          <w:sz w:val="24"/>
          <w:szCs w:val="24"/>
        </w:rPr>
      </w:pPr>
      <w:r w:rsidRPr="003164CE">
        <w:rPr>
          <w:rFonts w:ascii="Tahoma" w:hAnsi="Tahoma" w:cs="Tahoma"/>
          <w:sz w:val="24"/>
          <w:szCs w:val="24"/>
        </w:rPr>
        <w:t xml:space="preserve">În ceea ce privește </w:t>
      </w:r>
      <w:r w:rsidRPr="003164CE">
        <w:rPr>
          <w:rFonts w:ascii="Tahoma" w:hAnsi="Tahoma" w:cs="Tahoma"/>
          <w:b/>
          <w:sz w:val="24"/>
          <w:szCs w:val="24"/>
        </w:rPr>
        <w:t>șomajul de lungă durată</w:t>
      </w:r>
      <w:r w:rsidRPr="003164CE">
        <w:rPr>
          <w:rFonts w:ascii="Tahoma" w:hAnsi="Tahoma" w:cs="Tahoma"/>
          <w:sz w:val="24"/>
          <w:szCs w:val="24"/>
        </w:rPr>
        <w:t xml:space="preserve">, la sfârșitul lunii iunie 2025 se aflau înregistrați 100,2 mii persoane (39,7% din totalul șomerilor înregistrați), din care 8,7 mii persoane din rândul tinerilor cu vârsta sub 25 de ani aflați în șomaj de peste 6 luni (47,0% din totalul șomerilor sub 25 de ani) și 91,4 mii adulți aflați în șomaj de peste 12 luni (39,1% din rândul șomerilor </w:t>
      </w:r>
      <w:proofErr w:type="spellStart"/>
      <w:r w:rsidRPr="003164CE">
        <w:rPr>
          <w:rFonts w:ascii="Tahoma" w:hAnsi="Tahoma" w:cs="Tahoma"/>
          <w:sz w:val="24"/>
          <w:szCs w:val="24"/>
        </w:rPr>
        <w:t>adulţi</w:t>
      </w:r>
      <w:proofErr w:type="spellEnd"/>
      <w:r w:rsidRPr="003164CE">
        <w:rPr>
          <w:rFonts w:ascii="Tahoma" w:hAnsi="Tahoma" w:cs="Tahoma"/>
          <w:sz w:val="24"/>
          <w:szCs w:val="24"/>
        </w:rPr>
        <w:t>).</w:t>
      </w:r>
    </w:p>
    <w:p w:rsidR="00886A33" w:rsidRPr="003164CE" w:rsidRDefault="00886A33" w:rsidP="00886A33">
      <w:pPr>
        <w:spacing w:after="120" w:line="276" w:lineRule="auto"/>
        <w:ind w:firstLine="0"/>
        <w:rPr>
          <w:rFonts w:ascii="Tahoma" w:hAnsi="Tahoma" w:cs="Tahoma"/>
          <w:sz w:val="24"/>
          <w:szCs w:val="24"/>
        </w:rPr>
      </w:pPr>
      <w:proofErr w:type="spellStart"/>
      <w:r w:rsidRPr="003164CE">
        <w:rPr>
          <w:rFonts w:ascii="Tahoma" w:hAnsi="Tahoma" w:cs="Tahoma"/>
          <w:b/>
          <w:sz w:val="24"/>
          <w:szCs w:val="24"/>
        </w:rPr>
        <w:t>Câştigul</w:t>
      </w:r>
      <w:proofErr w:type="spellEnd"/>
      <w:r w:rsidRPr="003164CE">
        <w:rPr>
          <w:rFonts w:ascii="Tahoma" w:hAnsi="Tahoma" w:cs="Tahoma"/>
          <w:b/>
          <w:sz w:val="24"/>
          <w:szCs w:val="24"/>
        </w:rPr>
        <w:t xml:space="preserve"> salarial mediu brut</w:t>
      </w:r>
      <w:r w:rsidRPr="003164CE">
        <w:rPr>
          <w:rFonts w:ascii="Tahoma" w:hAnsi="Tahoma" w:cs="Tahoma"/>
          <w:sz w:val="24"/>
          <w:szCs w:val="24"/>
        </w:rPr>
        <w:t xml:space="preserve"> pe total economie a continuat tendința descendentă, înregistrând o creștere cu 10,7% comparativ cu perioada similară a anului 2024, până la 9.198 lei. Corespunzător, </w:t>
      </w:r>
      <w:proofErr w:type="spellStart"/>
      <w:r w:rsidRPr="003164CE">
        <w:rPr>
          <w:rFonts w:ascii="Tahoma" w:hAnsi="Tahoma" w:cs="Tahoma"/>
          <w:b/>
          <w:bCs/>
          <w:sz w:val="24"/>
          <w:szCs w:val="24"/>
        </w:rPr>
        <w:t>câştig</w:t>
      </w:r>
      <w:r w:rsidRPr="003164CE">
        <w:rPr>
          <w:rFonts w:ascii="Tahoma" w:hAnsi="Tahoma" w:cs="Tahoma"/>
          <w:b/>
          <w:sz w:val="24"/>
          <w:szCs w:val="24"/>
        </w:rPr>
        <w:t>ul</w:t>
      </w:r>
      <w:proofErr w:type="spellEnd"/>
      <w:r w:rsidRPr="003164CE">
        <w:rPr>
          <w:rFonts w:ascii="Tahoma" w:hAnsi="Tahoma" w:cs="Tahoma"/>
          <w:b/>
          <w:sz w:val="24"/>
          <w:szCs w:val="24"/>
        </w:rPr>
        <w:t xml:space="preserve"> salarial mediu net</w:t>
      </w:r>
      <w:r w:rsidRPr="003164CE">
        <w:rPr>
          <w:rFonts w:ascii="Tahoma" w:hAnsi="Tahoma" w:cs="Tahoma"/>
          <w:sz w:val="24"/>
          <w:szCs w:val="24"/>
        </w:rPr>
        <w:t xml:space="preserve"> s-a majorat cu 8,7%, până la 5.511 lei, consemnând o </w:t>
      </w:r>
      <w:proofErr w:type="spellStart"/>
      <w:r w:rsidRPr="003164CE">
        <w:rPr>
          <w:rFonts w:ascii="Tahoma" w:hAnsi="Tahoma" w:cs="Tahoma"/>
          <w:sz w:val="24"/>
          <w:szCs w:val="24"/>
        </w:rPr>
        <w:t>creştere</w:t>
      </w:r>
      <w:proofErr w:type="spellEnd"/>
      <w:r w:rsidRPr="003164CE">
        <w:rPr>
          <w:rFonts w:ascii="Tahoma" w:hAnsi="Tahoma" w:cs="Tahoma"/>
          <w:sz w:val="24"/>
          <w:szCs w:val="24"/>
        </w:rPr>
        <w:t xml:space="preserve"> în termeni reali cu 3,4%.</w:t>
      </w:r>
    </w:p>
    <w:p w:rsidR="00E80EAC" w:rsidRPr="003164CE" w:rsidRDefault="00E80EAC" w:rsidP="00E80EAC">
      <w:r w:rsidRPr="003164CE">
        <w:br w:type="page"/>
      </w:r>
    </w:p>
    <w:p w:rsidR="0056154D" w:rsidRPr="003164CE" w:rsidRDefault="002548C2" w:rsidP="00717011">
      <w:pPr>
        <w:pStyle w:val="Heading1"/>
        <w:numPr>
          <w:ilvl w:val="0"/>
          <w:numId w:val="1"/>
        </w:numPr>
        <w:rPr>
          <w:rFonts w:ascii="Tahoma" w:hAnsi="Tahoma" w:cs="Tahoma"/>
          <w:b/>
          <w:color w:val="auto"/>
          <w:sz w:val="24"/>
          <w:szCs w:val="24"/>
        </w:rPr>
      </w:pPr>
      <w:bookmarkStart w:id="11" w:name="_Toc204685896"/>
      <w:r w:rsidRPr="003164CE">
        <w:rPr>
          <w:rFonts w:ascii="Tahoma" w:hAnsi="Tahoma" w:cs="Tahoma"/>
          <w:b/>
          <w:color w:val="auto"/>
          <w:sz w:val="24"/>
          <w:szCs w:val="24"/>
        </w:rPr>
        <w:lastRenderedPageBreak/>
        <w:t>P</w:t>
      </w:r>
      <w:r w:rsidR="00E3087D" w:rsidRPr="003164CE">
        <w:rPr>
          <w:rFonts w:ascii="Tahoma" w:hAnsi="Tahoma" w:cs="Tahoma"/>
          <w:b/>
          <w:color w:val="auto"/>
          <w:sz w:val="24"/>
          <w:szCs w:val="24"/>
        </w:rPr>
        <w:t xml:space="preserve">olitica fiscal-bugetară </w:t>
      </w:r>
      <w:r w:rsidR="00191D8D" w:rsidRPr="003164CE">
        <w:rPr>
          <w:rFonts w:ascii="Tahoma" w:hAnsi="Tahoma" w:cs="Tahoma"/>
          <w:b/>
          <w:color w:val="auto"/>
          <w:sz w:val="24"/>
          <w:szCs w:val="24"/>
        </w:rPr>
        <w:t>aferentă</w:t>
      </w:r>
      <w:r w:rsidR="00E3087D" w:rsidRPr="003164CE">
        <w:rPr>
          <w:rFonts w:ascii="Tahoma" w:hAnsi="Tahoma" w:cs="Tahoma"/>
          <w:b/>
          <w:color w:val="auto"/>
          <w:sz w:val="24"/>
          <w:szCs w:val="24"/>
        </w:rPr>
        <w:t xml:space="preserve"> anul</w:t>
      </w:r>
      <w:r w:rsidR="00191D8D" w:rsidRPr="003164CE">
        <w:rPr>
          <w:rFonts w:ascii="Tahoma" w:hAnsi="Tahoma" w:cs="Tahoma"/>
          <w:b/>
          <w:color w:val="auto"/>
          <w:sz w:val="24"/>
          <w:szCs w:val="24"/>
        </w:rPr>
        <w:t>ui</w:t>
      </w:r>
      <w:bookmarkEnd w:id="7"/>
      <w:bookmarkEnd w:id="8"/>
      <w:bookmarkEnd w:id="9"/>
      <w:bookmarkEnd w:id="10"/>
      <w:r w:rsidR="00E95717" w:rsidRPr="003164CE">
        <w:rPr>
          <w:rFonts w:ascii="Tahoma" w:hAnsi="Tahoma" w:cs="Tahoma"/>
          <w:b/>
          <w:color w:val="auto"/>
          <w:sz w:val="24"/>
          <w:szCs w:val="24"/>
        </w:rPr>
        <w:t xml:space="preserve"> </w:t>
      </w:r>
      <w:r w:rsidR="00E3539E" w:rsidRPr="003164CE">
        <w:rPr>
          <w:rFonts w:ascii="Tahoma" w:hAnsi="Tahoma" w:cs="Tahoma"/>
          <w:b/>
          <w:color w:val="auto"/>
          <w:sz w:val="24"/>
          <w:szCs w:val="24"/>
        </w:rPr>
        <w:t>20</w:t>
      </w:r>
      <w:r w:rsidR="00C21D8D" w:rsidRPr="003164CE">
        <w:rPr>
          <w:rFonts w:ascii="Tahoma" w:hAnsi="Tahoma" w:cs="Tahoma"/>
          <w:b/>
          <w:color w:val="auto"/>
          <w:sz w:val="24"/>
          <w:szCs w:val="24"/>
        </w:rPr>
        <w:t>2</w:t>
      </w:r>
      <w:r w:rsidR="005572F1" w:rsidRPr="003164CE">
        <w:rPr>
          <w:rFonts w:ascii="Tahoma" w:hAnsi="Tahoma" w:cs="Tahoma"/>
          <w:b/>
          <w:color w:val="auto"/>
          <w:sz w:val="24"/>
          <w:szCs w:val="24"/>
        </w:rPr>
        <w:t>5</w:t>
      </w:r>
      <w:bookmarkEnd w:id="11"/>
    </w:p>
    <w:p w:rsidR="00D6065B" w:rsidRPr="003164CE" w:rsidRDefault="00D6065B" w:rsidP="002A6579">
      <w:pPr>
        <w:pStyle w:val="ListParagraph"/>
        <w:keepNext/>
        <w:keepLines/>
        <w:spacing w:line="276" w:lineRule="auto"/>
        <w:ind w:left="567"/>
        <w:outlineLvl w:val="0"/>
        <w:rPr>
          <w:rFonts w:ascii="Tahoma" w:hAnsi="Tahoma" w:cs="Tahoma"/>
          <w:b/>
          <w:sz w:val="24"/>
          <w:szCs w:val="24"/>
        </w:rPr>
      </w:pPr>
    </w:p>
    <w:p w:rsidR="00F938A7" w:rsidRPr="003164CE" w:rsidRDefault="00642BCD" w:rsidP="00F938A7">
      <w:pPr>
        <w:keepNext/>
        <w:keepLines/>
        <w:shd w:val="clear" w:color="auto" w:fill="DEEAF6" w:themeFill="accent1" w:themeFillTint="33"/>
        <w:tabs>
          <w:tab w:val="left" w:pos="851"/>
        </w:tabs>
        <w:spacing w:after="120" w:line="276" w:lineRule="auto"/>
        <w:ind w:firstLine="0"/>
        <w:rPr>
          <w:rFonts w:ascii="Tahoma" w:hAnsi="Tahoma" w:cs="Tahoma"/>
          <w:sz w:val="24"/>
          <w:szCs w:val="24"/>
        </w:rPr>
      </w:pPr>
      <w:r w:rsidRPr="003164CE">
        <w:rPr>
          <w:rFonts w:ascii="Tahoma" w:hAnsi="Tahoma" w:cs="Tahoma"/>
          <w:sz w:val="24"/>
          <w:szCs w:val="24"/>
        </w:rPr>
        <w:t>Construcția bugetară pe anul 20</w:t>
      </w:r>
      <w:r w:rsidR="00C21D8D" w:rsidRPr="003164CE">
        <w:rPr>
          <w:rFonts w:ascii="Tahoma" w:hAnsi="Tahoma" w:cs="Tahoma"/>
          <w:sz w:val="24"/>
          <w:szCs w:val="24"/>
        </w:rPr>
        <w:t>2</w:t>
      </w:r>
      <w:r w:rsidR="005572F1" w:rsidRPr="003164CE">
        <w:rPr>
          <w:rFonts w:ascii="Tahoma" w:hAnsi="Tahoma" w:cs="Tahoma"/>
          <w:sz w:val="24"/>
          <w:szCs w:val="24"/>
        </w:rPr>
        <w:t>5</w:t>
      </w:r>
      <w:r w:rsidRPr="003164CE">
        <w:rPr>
          <w:rFonts w:ascii="Tahoma" w:hAnsi="Tahoma" w:cs="Tahoma"/>
          <w:sz w:val="24"/>
          <w:szCs w:val="24"/>
        </w:rPr>
        <w:t xml:space="preserve"> a avut la bază următoarele obiective:</w:t>
      </w:r>
    </w:p>
    <w:p w:rsidR="00F938A7" w:rsidRPr="003164CE" w:rsidRDefault="005572F1" w:rsidP="0025353E">
      <w:pPr>
        <w:pStyle w:val="ListParagraph"/>
        <w:keepNext/>
        <w:keepLines/>
        <w:numPr>
          <w:ilvl w:val="0"/>
          <w:numId w:val="9"/>
        </w:numPr>
        <w:shd w:val="clear" w:color="auto" w:fill="DEEAF6" w:themeFill="accent1" w:themeFillTint="33"/>
        <w:tabs>
          <w:tab w:val="left" w:pos="851"/>
        </w:tabs>
        <w:spacing w:after="120" w:line="276" w:lineRule="auto"/>
        <w:ind w:left="714" w:hanging="357"/>
        <w:contextualSpacing w:val="0"/>
        <w:rPr>
          <w:rFonts w:ascii="Tahoma" w:eastAsia="Calibri" w:hAnsi="Tahoma" w:cs="Tahoma"/>
          <w:sz w:val="24"/>
          <w:szCs w:val="24"/>
        </w:rPr>
      </w:pPr>
      <w:r w:rsidRPr="003164CE">
        <w:rPr>
          <w:rFonts w:ascii="Tahoma" w:eastAsia="+mn-ea" w:hAnsi="Tahoma" w:cs="Tahoma"/>
          <w:b/>
          <w:bCs/>
          <w:sz w:val="24"/>
          <w:szCs w:val="24"/>
        </w:rPr>
        <w:t>Asigurarea stabilității macroeconomice, menținerea și susținerea unui nou</w:t>
      </w:r>
      <w:r w:rsidRPr="003164CE">
        <w:rPr>
          <w:rFonts w:ascii="Tahoma" w:eastAsia="Calibri" w:hAnsi="Tahoma" w:cs="Tahoma"/>
          <w:b/>
          <w:sz w:val="24"/>
          <w:szCs w:val="24"/>
        </w:rPr>
        <w:t xml:space="preserve"> cadru de dezvoltare durabilă, justă și incluzivă</w:t>
      </w:r>
      <w:r w:rsidRPr="003164CE">
        <w:rPr>
          <w:rFonts w:ascii="Tahoma" w:eastAsia="Calibri" w:hAnsi="Tahoma" w:cs="Tahoma"/>
          <w:sz w:val="24"/>
          <w:szCs w:val="24"/>
        </w:rPr>
        <w:t xml:space="preserve"> care să asigure o economie axată pe competitivitate, inovație și decarbonizare, eliminarea dezechilibrelor și a riscurilor emergente și asigurarea unui nivel de trai decent;</w:t>
      </w:r>
    </w:p>
    <w:p w:rsidR="00F938A7" w:rsidRPr="003164CE" w:rsidRDefault="005572F1" w:rsidP="0025353E">
      <w:pPr>
        <w:pStyle w:val="ListParagraph"/>
        <w:keepNext/>
        <w:keepLines/>
        <w:numPr>
          <w:ilvl w:val="0"/>
          <w:numId w:val="9"/>
        </w:numPr>
        <w:shd w:val="clear" w:color="auto" w:fill="DEEAF6" w:themeFill="accent1" w:themeFillTint="33"/>
        <w:tabs>
          <w:tab w:val="left" w:pos="851"/>
        </w:tabs>
        <w:spacing w:after="120" w:line="276" w:lineRule="auto"/>
        <w:ind w:left="714" w:hanging="357"/>
        <w:contextualSpacing w:val="0"/>
        <w:rPr>
          <w:rFonts w:ascii="Tahoma" w:eastAsia="+mn-ea" w:hAnsi="Tahoma" w:cs="Tahoma"/>
          <w:bCs/>
          <w:sz w:val="24"/>
          <w:szCs w:val="24"/>
        </w:rPr>
      </w:pPr>
      <w:r w:rsidRPr="003164CE">
        <w:rPr>
          <w:rFonts w:ascii="Tahoma" w:eastAsia="+mn-ea" w:hAnsi="Tahoma" w:cs="Tahoma"/>
          <w:b/>
          <w:bCs/>
          <w:sz w:val="24"/>
          <w:szCs w:val="24"/>
        </w:rPr>
        <w:t>Consolidarea sustenabilității finanțelor publice ale României</w:t>
      </w:r>
      <w:r w:rsidRPr="003164CE">
        <w:rPr>
          <w:rFonts w:ascii="Tahoma" w:eastAsia="+mn-ea" w:hAnsi="Tahoma" w:cs="Tahoma"/>
          <w:bCs/>
          <w:sz w:val="24"/>
          <w:szCs w:val="24"/>
        </w:rPr>
        <w:t xml:space="preserve"> pentru perioada 2025-2028 și perioada următoare cu încadrarea în valoarea prevăzută în TFUE privind deficitul bugetar de 3% din PIB și înscrierea datoriei publice pe o traiectorie descendentă sub 60% din PIB pe orizontul de referință; asigurarea unei traiectorii de ajustare a deficitului bugetar având ca punct de pornire un deficit bugetar ESA estimat de 7 % pentru anul 2025, de 5 % în anul 2028 și ca punct de sfârșit anul 2031 un deficit bugetar de 2,5% din PIB, când acesta se va încadra în valoarea deficitului prevăzută de TFUE pentru a diminua riscurile la adresa stabilității macroeconomice;</w:t>
      </w:r>
    </w:p>
    <w:p w:rsidR="00F938A7" w:rsidRPr="003164CE" w:rsidRDefault="005572F1" w:rsidP="0025353E">
      <w:pPr>
        <w:pStyle w:val="ListParagraph"/>
        <w:keepNext/>
        <w:keepLines/>
        <w:numPr>
          <w:ilvl w:val="0"/>
          <w:numId w:val="9"/>
        </w:numPr>
        <w:shd w:val="clear" w:color="auto" w:fill="DEEAF6" w:themeFill="accent1" w:themeFillTint="33"/>
        <w:tabs>
          <w:tab w:val="left" w:pos="851"/>
        </w:tabs>
        <w:spacing w:after="120" w:line="276" w:lineRule="auto"/>
        <w:ind w:left="714" w:hanging="357"/>
        <w:contextualSpacing w:val="0"/>
        <w:rPr>
          <w:rFonts w:ascii="Tahoma" w:eastAsia="+mn-ea" w:hAnsi="Tahoma" w:cs="Tahoma"/>
          <w:bCs/>
          <w:sz w:val="24"/>
          <w:szCs w:val="24"/>
        </w:rPr>
      </w:pPr>
      <w:r w:rsidRPr="003164CE">
        <w:rPr>
          <w:rFonts w:ascii="Tahoma" w:eastAsia="+mn-ea" w:hAnsi="Tahoma" w:cs="Tahoma"/>
          <w:b/>
          <w:bCs/>
          <w:sz w:val="24"/>
          <w:szCs w:val="24"/>
        </w:rPr>
        <w:t>Asigurarea unui ritm anual de investiții publice susținut</w:t>
      </w:r>
      <w:r w:rsidRPr="003164CE">
        <w:rPr>
          <w:rFonts w:ascii="Tahoma" w:eastAsia="+mn-ea" w:hAnsi="Tahoma" w:cs="Tahoma"/>
          <w:bCs/>
          <w:sz w:val="24"/>
          <w:szCs w:val="24"/>
        </w:rPr>
        <w:t xml:space="preserve"> pentru a asigura absorbția integrală a fondurilor europene alocate prin Politica de Coeziune, precum și prin Mecanismul de Redresare și Reziliență cel mai mare pachet de stimulare din resursele europene alocate României precum și implementarea proiectelor de investiții într-o manieră eficientă, profesionistă și transparentă cu efect multiplicator </w:t>
      </w:r>
      <w:proofErr w:type="spellStart"/>
      <w:r w:rsidRPr="003164CE">
        <w:rPr>
          <w:rFonts w:ascii="Tahoma" w:eastAsia="+mn-ea" w:hAnsi="Tahoma" w:cs="Tahoma"/>
          <w:bCs/>
          <w:sz w:val="24"/>
          <w:szCs w:val="24"/>
        </w:rPr>
        <w:t>şi</w:t>
      </w:r>
      <w:proofErr w:type="spellEnd"/>
      <w:r w:rsidRPr="003164CE">
        <w:rPr>
          <w:rFonts w:ascii="Tahoma" w:eastAsia="+mn-ea" w:hAnsi="Tahoma" w:cs="Tahoma"/>
          <w:bCs/>
          <w:sz w:val="24"/>
          <w:szCs w:val="24"/>
        </w:rPr>
        <w:t xml:space="preserve"> aport direct la formarea brută de capital fix;</w:t>
      </w:r>
    </w:p>
    <w:p w:rsidR="00F938A7" w:rsidRPr="003164CE" w:rsidRDefault="005572F1" w:rsidP="0025353E">
      <w:pPr>
        <w:pStyle w:val="ListParagraph"/>
        <w:keepNext/>
        <w:keepLines/>
        <w:numPr>
          <w:ilvl w:val="0"/>
          <w:numId w:val="9"/>
        </w:numPr>
        <w:shd w:val="clear" w:color="auto" w:fill="DEEAF6" w:themeFill="accent1" w:themeFillTint="33"/>
        <w:tabs>
          <w:tab w:val="left" w:pos="851"/>
        </w:tabs>
        <w:spacing w:after="120" w:line="276" w:lineRule="auto"/>
        <w:ind w:left="714" w:hanging="357"/>
        <w:contextualSpacing w:val="0"/>
        <w:rPr>
          <w:rFonts w:ascii="Tahoma" w:eastAsia="+mn-ea" w:hAnsi="Tahoma" w:cs="Tahoma"/>
          <w:bCs/>
          <w:sz w:val="24"/>
          <w:szCs w:val="24"/>
        </w:rPr>
      </w:pPr>
      <w:r w:rsidRPr="003164CE">
        <w:rPr>
          <w:rFonts w:ascii="Tahoma" w:eastAsia="+mn-ea" w:hAnsi="Tahoma" w:cs="Tahoma"/>
          <w:b/>
          <w:bCs/>
          <w:sz w:val="24"/>
          <w:szCs w:val="24"/>
        </w:rPr>
        <w:t>Asigurarea predictibilității sistemului fiscal</w:t>
      </w:r>
      <w:r w:rsidRPr="003164CE">
        <w:rPr>
          <w:rFonts w:ascii="Tahoma" w:eastAsia="+mn-ea" w:hAnsi="Tahoma" w:cs="Tahoma"/>
          <w:bCs/>
          <w:sz w:val="24"/>
          <w:szCs w:val="24"/>
        </w:rPr>
        <w:t xml:space="preserve"> prin </w:t>
      </w:r>
      <w:r w:rsidR="003164CE" w:rsidRPr="003164CE">
        <w:rPr>
          <w:rFonts w:ascii="Tahoma" w:eastAsia="+mn-ea" w:hAnsi="Tahoma" w:cs="Tahoma"/>
          <w:bCs/>
          <w:sz w:val="24"/>
          <w:szCs w:val="24"/>
        </w:rPr>
        <w:t>creșterea</w:t>
      </w:r>
      <w:r w:rsidRPr="003164CE">
        <w:rPr>
          <w:rFonts w:ascii="Tahoma" w:eastAsia="+mn-ea" w:hAnsi="Tahoma" w:cs="Tahoma"/>
          <w:bCs/>
          <w:sz w:val="24"/>
          <w:szCs w:val="24"/>
        </w:rPr>
        <w:t xml:space="preserve"> veniturilor curente ale bugetului general consolidat ca urmare a implementării jaloanelor din PNRR, dar și implementării măsurilor privind mai buna colectare a veniturilor bugetare pentru susținerea și adaptarea mediului de afaceri la provocările ridicate de suita de crize cu care se confruntă societatea, pentru a crea premisa unei creșteri economice sănătoase și durabile;</w:t>
      </w:r>
    </w:p>
    <w:p w:rsidR="00F938A7" w:rsidRPr="003164CE" w:rsidRDefault="0083671E" w:rsidP="0025353E">
      <w:pPr>
        <w:pStyle w:val="ListParagraph"/>
        <w:keepNext/>
        <w:keepLines/>
        <w:numPr>
          <w:ilvl w:val="0"/>
          <w:numId w:val="9"/>
        </w:numPr>
        <w:shd w:val="clear" w:color="auto" w:fill="DEEAF6" w:themeFill="accent1" w:themeFillTint="33"/>
        <w:tabs>
          <w:tab w:val="left" w:pos="851"/>
        </w:tabs>
        <w:spacing w:after="120" w:line="276" w:lineRule="auto"/>
        <w:ind w:left="714" w:hanging="357"/>
        <w:contextualSpacing w:val="0"/>
        <w:rPr>
          <w:rFonts w:ascii="Tahoma" w:eastAsia="+mn-ea" w:hAnsi="Tahoma" w:cs="Tahoma"/>
          <w:bCs/>
          <w:sz w:val="24"/>
          <w:szCs w:val="24"/>
        </w:rPr>
      </w:pPr>
      <w:r w:rsidRPr="003164CE">
        <w:rPr>
          <w:rFonts w:ascii="Tahoma" w:eastAsia="+mn-ea" w:hAnsi="Tahoma" w:cs="Tahoma"/>
          <w:b/>
          <w:bCs/>
          <w:sz w:val="24"/>
          <w:szCs w:val="24"/>
        </w:rPr>
        <w:t xml:space="preserve">Dezvoltarea </w:t>
      </w:r>
      <w:proofErr w:type="spellStart"/>
      <w:r w:rsidRPr="003164CE">
        <w:rPr>
          <w:rFonts w:ascii="Tahoma" w:eastAsia="+mn-ea" w:hAnsi="Tahoma" w:cs="Tahoma"/>
          <w:b/>
          <w:bCs/>
          <w:sz w:val="24"/>
          <w:szCs w:val="24"/>
        </w:rPr>
        <w:t>şi</w:t>
      </w:r>
      <w:proofErr w:type="spellEnd"/>
      <w:r w:rsidRPr="003164CE">
        <w:rPr>
          <w:rFonts w:ascii="Tahoma" w:eastAsia="+mn-ea" w:hAnsi="Tahoma" w:cs="Tahoma"/>
          <w:b/>
          <w:bCs/>
          <w:sz w:val="24"/>
          <w:szCs w:val="24"/>
        </w:rPr>
        <w:t xml:space="preserve"> diversificarea instrumentelor de management ale datoriei publice</w:t>
      </w:r>
      <w:r w:rsidRPr="003164CE">
        <w:rPr>
          <w:rFonts w:ascii="Tahoma" w:eastAsia="+mn-ea" w:hAnsi="Tahoma" w:cs="Tahoma"/>
          <w:bCs/>
          <w:sz w:val="24"/>
          <w:szCs w:val="24"/>
        </w:rPr>
        <w:t xml:space="preserve"> pentru menținerea datoriei publice la un nivel sustenabil;</w:t>
      </w:r>
    </w:p>
    <w:p w:rsidR="0083671E" w:rsidRPr="003164CE" w:rsidRDefault="005572F1" w:rsidP="0025353E">
      <w:pPr>
        <w:pStyle w:val="ListParagraph"/>
        <w:keepNext/>
        <w:keepLines/>
        <w:numPr>
          <w:ilvl w:val="0"/>
          <w:numId w:val="9"/>
        </w:numPr>
        <w:shd w:val="clear" w:color="auto" w:fill="DEEAF6" w:themeFill="accent1" w:themeFillTint="33"/>
        <w:tabs>
          <w:tab w:val="left" w:pos="851"/>
        </w:tabs>
        <w:spacing w:after="120" w:line="276" w:lineRule="auto"/>
        <w:ind w:left="714" w:hanging="357"/>
        <w:contextualSpacing w:val="0"/>
        <w:rPr>
          <w:rFonts w:ascii="Tahoma" w:eastAsia="+mn-ea" w:hAnsi="Tahoma" w:cs="Tahoma"/>
          <w:bCs/>
          <w:sz w:val="24"/>
          <w:szCs w:val="24"/>
        </w:rPr>
      </w:pPr>
      <w:r w:rsidRPr="003164CE">
        <w:rPr>
          <w:rFonts w:ascii="Tahoma" w:eastAsia="+mn-ea" w:hAnsi="Tahoma" w:cs="Tahoma"/>
          <w:b/>
          <w:bCs/>
          <w:sz w:val="24"/>
          <w:szCs w:val="24"/>
        </w:rPr>
        <w:t>Măsuri pentru consolidarea finanțelor publice,</w:t>
      </w:r>
      <w:r w:rsidRPr="003164CE">
        <w:rPr>
          <w:rFonts w:ascii="Tahoma" w:eastAsia="+mn-ea" w:hAnsi="Tahoma" w:cs="Tahoma"/>
          <w:bCs/>
          <w:sz w:val="24"/>
          <w:szCs w:val="24"/>
        </w:rPr>
        <w:t xml:space="preserve"> prin </w:t>
      </w:r>
      <w:r w:rsidRPr="003164CE">
        <w:rPr>
          <w:rFonts w:ascii="Tahoma" w:eastAsia="+mn-ea" w:hAnsi="Tahoma" w:cs="Tahoma"/>
          <w:b/>
          <w:bCs/>
          <w:sz w:val="24"/>
          <w:szCs w:val="24"/>
        </w:rPr>
        <w:t xml:space="preserve">finanțarea unor reforme în domeniul muncii și salarizării, al pensiilor, măsuri active pentru sprijinirea grupurilor celor mai vulnerabile, </w:t>
      </w:r>
      <w:r w:rsidRPr="003164CE">
        <w:rPr>
          <w:rFonts w:ascii="Tahoma" w:eastAsia="+mn-ea" w:hAnsi="Tahoma" w:cs="Tahoma"/>
          <w:bCs/>
          <w:sz w:val="24"/>
          <w:szCs w:val="24"/>
        </w:rPr>
        <w:t>eficientizarea calitativă a cheltuielilor publice, disciplina operatorilor economici, dirijarea țintită a alocărilor bugetare către priorități bine definite, îmbunătățirea programării bugetare.</w:t>
      </w:r>
    </w:p>
    <w:p w:rsidR="009950F5" w:rsidRPr="003164CE" w:rsidRDefault="009950F5" w:rsidP="00634A05">
      <w:pPr>
        <w:shd w:val="clear" w:color="auto" w:fill="FFFFFF" w:themeFill="background1"/>
        <w:spacing w:after="0" w:line="276" w:lineRule="auto"/>
        <w:ind w:left="701" w:firstLine="0"/>
        <w:contextualSpacing/>
        <w:rPr>
          <w:rFonts w:ascii="Trebuchet MS" w:eastAsia="Calibri" w:hAnsi="Trebuchet MS" w:cs="Calibri"/>
          <w:b/>
          <w:color w:val="000066"/>
        </w:rPr>
      </w:pPr>
    </w:p>
    <w:p w:rsidR="00E3539E" w:rsidRPr="003164CE" w:rsidRDefault="007C4F03" w:rsidP="001F3032">
      <w:pPr>
        <w:keepNext/>
        <w:keepLines/>
        <w:spacing w:after="240" w:line="276" w:lineRule="auto"/>
        <w:ind w:firstLine="0"/>
        <w:rPr>
          <w:rFonts w:ascii="Tahoma" w:hAnsi="Tahoma" w:cs="Tahoma"/>
          <w:b/>
          <w:bCs/>
          <w:sz w:val="24"/>
          <w:szCs w:val="24"/>
        </w:rPr>
      </w:pPr>
      <w:r w:rsidRPr="003164CE">
        <w:rPr>
          <w:rFonts w:ascii="Tahoma" w:hAnsi="Tahoma" w:cs="Tahoma"/>
          <w:b/>
          <w:bCs/>
          <w:sz w:val="24"/>
          <w:szCs w:val="24"/>
        </w:rPr>
        <w:lastRenderedPageBreak/>
        <w:t xml:space="preserve">Principalele măsuri </w:t>
      </w:r>
      <w:r w:rsidR="008A09B8" w:rsidRPr="003164CE">
        <w:rPr>
          <w:rFonts w:ascii="Tahoma" w:hAnsi="Tahoma" w:cs="Tahoma"/>
          <w:b/>
          <w:bCs/>
          <w:sz w:val="24"/>
          <w:szCs w:val="24"/>
        </w:rPr>
        <w:t>avute în vedere la elabora</w:t>
      </w:r>
      <w:r w:rsidR="001D00F4" w:rsidRPr="003164CE">
        <w:rPr>
          <w:rFonts w:ascii="Tahoma" w:hAnsi="Tahoma" w:cs="Tahoma"/>
          <w:b/>
          <w:bCs/>
          <w:sz w:val="24"/>
          <w:szCs w:val="24"/>
        </w:rPr>
        <w:t xml:space="preserve">rea </w:t>
      </w:r>
      <w:r w:rsidRPr="003164CE">
        <w:rPr>
          <w:rFonts w:ascii="Tahoma" w:hAnsi="Tahoma" w:cs="Tahoma"/>
          <w:b/>
          <w:bCs/>
          <w:sz w:val="24"/>
          <w:szCs w:val="24"/>
        </w:rPr>
        <w:t>bugetul</w:t>
      </w:r>
      <w:r w:rsidR="001D00F4" w:rsidRPr="003164CE">
        <w:rPr>
          <w:rFonts w:ascii="Tahoma" w:hAnsi="Tahoma" w:cs="Tahoma"/>
          <w:b/>
          <w:bCs/>
          <w:sz w:val="24"/>
          <w:szCs w:val="24"/>
        </w:rPr>
        <w:t>ui</w:t>
      </w:r>
      <w:r w:rsidRPr="003164CE">
        <w:rPr>
          <w:rFonts w:ascii="Tahoma" w:hAnsi="Tahoma" w:cs="Tahoma"/>
          <w:b/>
          <w:bCs/>
          <w:sz w:val="24"/>
          <w:szCs w:val="24"/>
        </w:rPr>
        <w:t xml:space="preserve"> pe anul </w:t>
      </w:r>
      <w:r w:rsidR="00DC7F79" w:rsidRPr="003164CE">
        <w:rPr>
          <w:rFonts w:ascii="Tahoma" w:hAnsi="Tahoma" w:cs="Tahoma"/>
          <w:b/>
          <w:bCs/>
          <w:sz w:val="24"/>
          <w:szCs w:val="24"/>
        </w:rPr>
        <w:t>20</w:t>
      </w:r>
      <w:r w:rsidR="00605688" w:rsidRPr="003164CE">
        <w:rPr>
          <w:rFonts w:ascii="Tahoma" w:hAnsi="Tahoma" w:cs="Tahoma"/>
          <w:b/>
          <w:bCs/>
          <w:sz w:val="24"/>
          <w:szCs w:val="24"/>
        </w:rPr>
        <w:t>2</w:t>
      </w:r>
      <w:r w:rsidR="00F938A7" w:rsidRPr="003164CE">
        <w:rPr>
          <w:rFonts w:ascii="Tahoma" w:hAnsi="Tahoma" w:cs="Tahoma"/>
          <w:b/>
          <w:bCs/>
          <w:sz w:val="24"/>
          <w:szCs w:val="24"/>
        </w:rPr>
        <w:t>5</w:t>
      </w:r>
      <w:r w:rsidRPr="003164CE">
        <w:rPr>
          <w:rFonts w:ascii="Tahoma" w:hAnsi="Tahoma" w:cs="Tahoma"/>
          <w:b/>
          <w:bCs/>
          <w:sz w:val="24"/>
          <w:szCs w:val="24"/>
        </w:rPr>
        <w:t>:</w:t>
      </w:r>
    </w:p>
    <w:p w:rsidR="00A4337D" w:rsidRPr="003164CE" w:rsidRDefault="00A4337D" w:rsidP="00F938A7">
      <w:pPr>
        <w:shd w:val="clear" w:color="auto" w:fill="DEEAF6" w:themeFill="accent1" w:themeFillTint="33"/>
        <w:autoSpaceDE w:val="0"/>
        <w:autoSpaceDN w:val="0"/>
        <w:adjustRightInd w:val="0"/>
        <w:spacing w:before="120" w:after="240"/>
        <w:ind w:left="697"/>
        <w:rPr>
          <w:rFonts w:ascii="Tahoma" w:hAnsi="Tahoma" w:cs="Tahoma"/>
          <w:b/>
          <w:sz w:val="24"/>
          <w:szCs w:val="24"/>
          <w:lang w:eastAsia="ro-RO"/>
        </w:rPr>
      </w:pPr>
      <w:r w:rsidRPr="003164CE">
        <w:rPr>
          <w:rFonts w:ascii="Tahoma" w:hAnsi="Tahoma" w:cs="Tahoma"/>
          <w:b/>
          <w:sz w:val="24"/>
          <w:szCs w:val="24"/>
          <w:lang w:eastAsia="ro-RO"/>
        </w:rPr>
        <w:t>Pe parte de venituri:</w:t>
      </w:r>
    </w:p>
    <w:p w:rsidR="005572F1" w:rsidRPr="003164CE" w:rsidRDefault="005572F1" w:rsidP="0025353E">
      <w:pPr>
        <w:numPr>
          <w:ilvl w:val="0"/>
          <w:numId w:val="8"/>
        </w:numPr>
        <w:suppressAutoHyphens/>
        <w:spacing w:after="120" w:line="276" w:lineRule="auto"/>
        <w:rPr>
          <w:rFonts w:ascii="Tahoma" w:eastAsia="Calibri" w:hAnsi="Tahoma" w:cs="Tahoma"/>
          <w:sz w:val="24"/>
          <w:szCs w:val="24"/>
        </w:rPr>
      </w:pPr>
      <w:r w:rsidRPr="003164CE">
        <w:rPr>
          <w:rFonts w:ascii="Tahoma" w:eastAsia="Calibri" w:hAnsi="Tahoma" w:cs="Tahoma"/>
          <w:sz w:val="24"/>
          <w:szCs w:val="24"/>
        </w:rPr>
        <w:t>menținerea repartizării anuale a unei cote de minimum 90% din profitul net realizat sub formă de dividende/vărsăminte la bugetul de stat pentru societățile naționale, companiile naționale și societățile cu capital integral sau majoritar de s</w:t>
      </w:r>
      <w:r w:rsidR="00A463AC" w:rsidRPr="003164CE">
        <w:rPr>
          <w:rFonts w:ascii="Tahoma" w:eastAsia="Calibri" w:hAnsi="Tahoma" w:cs="Tahoma"/>
          <w:sz w:val="24"/>
          <w:szCs w:val="24"/>
        </w:rPr>
        <w:t>tat, precum și regiile autonome;</w:t>
      </w:r>
    </w:p>
    <w:p w:rsidR="005572F1" w:rsidRPr="003164CE" w:rsidRDefault="005572F1" w:rsidP="0025353E">
      <w:pPr>
        <w:numPr>
          <w:ilvl w:val="0"/>
          <w:numId w:val="8"/>
        </w:numPr>
        <w:suppressAutoHyphens/>
        <w:spacing w:after="120" w:line="276" w:lineRule="auto"/>
        <w:rPr>
          <w:rFonts w:ascii="Tahoma" w:eastAsia="Verdana" w:hAnsi="Tahoma" w:cs="Tahoma"/>
          <w:bCs/>
          <w:iCs/>
          <w:sz w:val="24"/>
          <w:szCs w:val="24"/>
          <w:lang w:eastAsia="ro-RO"/>
        </w:rPr>
      </w:pPr>
      <w:r w:rsidRPr="003164CE">
        <w:rPr>
          <w:rFonts w:ascii="Tahoma" w:eastAsia="Verdana" w:hAnsi="Tahoma" w:cs="Tahoma"/>
          <w:bCs/>
          <w:iCs/>
          <w:sz w:val="24"/>
          <w:szCs w:val="24"/>
          <w:lang w:eastAsia="ro-RO"/>
        </w:rPr>
        <w:t xml:space="preserve">Reducerea plafonului de încadrare în sistemul de impozit pe veniturile microîntreprinderilor la echivalentul în lei a 250.000 euro începând cu 1 ianuarie 2025 respectiv la 100.000 euro, începând cu 1 ianuarie 2026 și eliminarea condiției privind ponderea veniturilor din consultanță </w:t>
      </w:r>
      <w:proofErr w:type="spellStart"/>
      <w:r w:rsidRPr="003164CE">
        <w:rPr>
          <w:rFonts w:ascii="Tahoma" w:eastAsia="Verdana" w:hAnsi="Tahoma" w:cs="Tahoma"/>
          <w:bCs/>
          <w:iCs/>
          <w:sz w:val="24"/>
          <w:szCs w:val="24"/>
          <w:lang w:eastAsia="ro-RO"/>
        </w:rPr>
        <w:t>şi</w:t>
      </w:r>
      <w:proofErr w:type="spellEnd"/>
      <w:r w:rsidRPr="003164CE">
        <w:rPr>
          <w:rFonts w:ascii="Tahoma" w:eastAsia="Verdana" w:hAnsi="Tahoma" w:cs="Tahoma"/>
          <w:bCs/>
          <w:iCs/>
          <w:sz w:val="24"/>
          <w:szCs w:val="24"/>
          <w:lang w:eastAsia="ro-RO"/>
        </w:rPr>
        <w:t>/sau management în veniturile totale, pentru încadrarea în sistemul de impozit pe veniturile microîntreprinderilor;</w:t>
      </w:r>
    </w:p>
    <w:p w:rsidR="005572F1" w:rsidRPr="003164CE" w:rsidRDefault="005572F1" w:rsidP="0025353E">
      <w:pPr>
        <w:pStyle w:val="ListParagraph"/>
        <w:numPr>
          <w:ilvl w:val="0"/>
          <w:numId w:val="8"/>
        </w:numPr>
        <w:spacing w:line="276" w:lineRule="auto"/>
        <w:rPr>
          <w:rFonts w:ascii="Tahoma" w:eastAsia="Calibri" w:hAnsi="Tahoma" w:cs="Tahoma"/>
          <w:sz w:val="24"/>
          <w:szCs w:val="24"/>
        </w:rPr>
      </w:pPr>
      <w:r w:rsidRPr="003164CE">
        <w:rPr>
          <w:rFonts w:ascii="Tahoma" w:eastAsia="Calibri" w:hAnsi="Tahoma" w:cs="Tahoma"/>
          <w:sz w:val="24"/>
          <w:szCs w:val="24"/>
        </w:rPr>
        <w:t>Majorarea cotei de impozitare a impozitului pe dividende de la 8% la 10%, pentru dividendele distribuite începând cu data de 1 ianuarie 2025;</w:t>
      </w:r>
    </w:p>
    <w:p w:rsidR="005572F1" w:rsidRPr="003164CE" w:rsidRDefault="005572F1" w:rsidP="0025353E">
      <w:pPr>
        <w:numPr>
          <w:ilvl w:val="0"/>
          <w:numId w:val="8"/>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Eliminarea facilităților fiscale acordate persoanelor fizice care realizează venituri din salarii și asimilate salariilor, ca urmare a desfășurării activității de creare pentru calculator sau de la angajatori din sectoarele construcții, agricol și industria alimentară în condițiile stabilite prin Codul fiscal, începând cu veniturile aferente lunii ianuarie 2025; </w:t>
      </w:r>
    </w:p>
    <w:p w:rsidR="005572F1" w:rsidRPr="003164CE" w:rsidRDefault="005572F1" w:rsidP="0025353E">
      <w:pPr>
        <w:numPr>
          <w:ilvl w:val="0"/>
          <w:numId w:val="8"/>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 xml:space="preserve">Menținerea măsurii potrivit căreia, pentru suma de 300 lei/lună reprezentând venituri din salarii și asimilate salariilor nu se datorează impozit pe venit și contribuții sociale obligatorii, până la 31 decembrie 2025, în anumite condiții, prin derogare de la prevederile Legii nr. 227/2015 privind Codul fiscal, cu modificările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completările ulterioare;</w:t>
      </w:r>
    </w:p>
    <w:p w:rsidR="005572F1" w:rsidRPr="003164CE" w:rsidRDefault="005572F1" w:rsidP="0025353E">
      <w:pPr>
        <w:numPr>
          <w:ilvl w:val="0"/>
          <w:numId w:val="8"/>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Reinstituirea impozitului pe construcții, care se calculează prin aplicarea unei cote de 1% asupra valorii construcțiilor existente în patrimoniul contribuabililor la data de 31 decembrie a anului anterior, inclusiv în situația în care sunt închiriate, luate în administrare/concesiune sau în folosință, inclusiv pentru cele care aparțin domeniului public.</w:t>
      </w:r>
    </w:p>
    <w:p w:rsidR="00A4337D" w:rsidRPr="003164CE" w:rsidRDefault="00A4337D" w:rsidP="00A4337D">
      <w:pPr>
        <w:tabs>
          <w:tab w:val="num" w:pos="284"/>
        </w:tabs>
        <w:suppressAutoHyphens/>
        <w:spacing w:after="160" w:line="259" w:lineRule="auto"/>
        <w:ind w:left="284"/>
        <w:contextualSpacing/>
        <w:rPr>
          <w:rFonts w:ascii="Trebuchet MS" w:eastAsia="Calibri" w:hAnsi="Trebuchet MS" w:cs="Arial"/>
        </w:rPr>
      </w:pPr>
    </w:p>
    <w:p w:rsidR="00A4337D" w:rsidRPr="003164CE" w:rsidRDefault="00A4337D" w:rsidP="00F938A7">
      <w:pPr>
        <w:shd w:val="clear" w:color="auto" w:fill="DEEAF6" w:themeFill="accent1" w:themeFillTint="33"/>
        <w:spacing w:after="240"/>
        <w:ind w:left="811"/>
        <w:rPr>
          <w:rFonts w:ascii="Tahoma" w:hAnsi="Tahoma" w:cs="Tahoma"/>
          <w:b/>
          <w:bCs/>
          <w:iCs/>
          <w:sz w:val="24"/>
          <w:szCs w:val="24"/>
        </w:rPr>
      </w:pPr>
      <w:r w:rsidRPr="003164CE">
        <w:rPr>
          <w:rFonts w:ascii="Tahoma" w:hAnsi="Tahoma" w:cs="Tahoma"/>
          <w:b/>
          <w:bCs/>
          <w:iCs/>
          <w:sz w:val="24"/>
          <w:szCs w:val="24"/>
        </w:rPr>
        <w:t>Pe parte de cheltuieli:</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Menținerea în plată a cuantumului brut al salariilor de bază/soldelor de funcție/salariilor de funcție/indemnizațiilor de încadrare lunară la nivelul lunii noiembrie 2024;</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Prorogarea aplicării prevederilor legale pentru acordarea de pensii speciale primarilor și președinților de consilii județene;</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lastRenderedPageBreak/>
        <w:t>Menținerea în plată a pensiilor din sistemul public de pensii precum și a celor din sistemul special de pensii la nivelul lunii noiembrie 2024;</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 xml:space="preserve">Menținerea cuantumului sporurilor, indemnizațiilor, compensațiilor, primelor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al celorlalte elemente ale sistemului de salarizare care fac parte, potrivit legii, din salariul brut lunar, solda lunară la nivelul cuantumului acordat pentru luna noiembrie 2024;</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 xml:space="preserve">Neacordarea în anul 2025 de premii/ore suplimentare/bonusuri, bilete de valoare cu excepția tichetelor de creșă; </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Cuantumul voucherului de vacanță pentru sectorul public (instituții publice și operatori economici cu capital integral/majoritar de stat) este de 800 de lei, cu condiția ca beneficiarul să asigure o coplată de cel puțin 800 de lei;</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Menținerea normei de hrană/indemnizației de hrană pentru sectorul public inclusiv apărare națională, ordine publică, siguranță națională la nivelul lunii decembrie 2024;</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Menținerea în plată a normei de echipamente la nivelul lunii noiembrie 2024 pentru sectorul de apărare națională, ordine publică, siguranță națională;</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Menținerea în plată la nivelul lunii noiembrie 2024 a tuturor categoriilor de indemnizații acordate potrivit legii pentru: veteranii și văduvele de război, academicieni, rente viagere pentru sportivi și altele asemenea;</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Menținerea în plată la nivelul lunii noiembrie 2024 a alocațiilor pentru copii;</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Menținerea la nivelul valabil în trimestrul IV 2024 a valorilor garantate ale punctelor pentru serviciile medicale acordate în cadrul sistemului de asigurări sociale de sănătate;</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Interzicerea achiziționării de mobilier, clădiri necesare pentru desfășurarea de activități ale autorităților/instituțiilor publice, mijloace auto, aparatură, obiecte de inventar;</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Plata în tranșe pentru sentințele judecătorești devenite executorii în cursul anului 2025;</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Prorogarea intrării în vigoare a unor prevederi din noile legi ale educației, inclusiv a celor care prevăd alocarea unui procent de 15% din totalul cheltuielilor bugetului de stat;</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Prorogarea intrării în vigoare a prevederilor din O.G. nr.57/2002 privind cercetarea științifică și dezvoltarea tehnologică, referitoare la alocarea a 1% din produsul intern brut pentru cercetare;</w:t>
      </w:r>
    </w:p>
    <w:p w:rsidR="005572F1" w:rsidRPr="003164CE" w:rsidRDefault="005572F1" w:rsidP="0025353E">
      <w:pPr>
        <w:numPr>
          <w:ilvl w:val="0"/>
          <w:numId w:val="7"/>
        </w:numPr>
        <w:autoSpaceDE w:val="0"/>
        <w:autoSpaceDN w:val="0"/>
        <w:adjustRightInd w:val="0"/>
        <w:spacing w:before="120" w:after="0" w:line="276" w:lineRule="auto"/>
        <w:rPr>
          <w:rFonts w:ascii="Tahoma" w:hAnsi="Tahoma" w:cs="Tahoma"/>
          <w:sz w:val="24"/>
          <w:szCs w:val="24"/>
        </w:rPr>
      </w:pPr>
      <w:r w:rsidRPr="003164CE">
        <w:rPr>
          <w:rFonts w:ascii="Tahoma" w:hAnsi="Tahoma" w:cs="Tahoma"/>
          <w:sz w:val="24"/>
          <w:szCs w:val="24"/>
        </w:rPr>
        <w:t>Limitarea numărului de călătorii gratuite pentru transportul public feroviar de călători pentru anumite categorii sociale și modificarea procedurii de acordare a facilităților de călătorie pentru studenți;</w:t>
      </w:r>
    </w:p>
    <w:p w:rsidR="005572F1" w:rsidRPr="003164CE" w:rsidRDefault="005572F1" w:rsidP="00F938A7">
      <w:pPr>
        <w:widowControl w:val="0"/>
        <w:shd w:val="clear" w:color="auto" w:fill="FFFFFF"/>
        <w:autoSpaceDE w:val="0"/>
        <w:autoSpaceDN w:val="0"/>
        <w:adjustRightInd w:val="0"/>
        <w:spacing w:before="120" w:line="276" w:lineRule="auto"/>
        <w:ind w:right="-1"/>
        <w:textAlignment w:val="baseline"/>
        <w:rPr>
          <w:rFonts w:ascii="Tahoma" w:hAnsi="Tahoma" w:cs="Tahoma"/>
          <w:sz w:val="24"/>
          <w:szCs w:val="24"/>
        </w:rPr>
      </w:pPr>
    </w:p>
    <w:p w:rsidR="00593AD9" w:rsidRPr="003164CE" w:rsidRDefault="001069C2" w:rsidP="000C5203">
      <w:pPr>
        <w:keepNext/>
        <w:keepLines/>
        <w:spacing w:after="240" w:line="276" w:lineRule="auto"/>
        <w:ind w:firstLine="0"/>
        <w:jc w:val="center"/>
        <w:rPr>
          <w:rFonts w:ascii="Tahoma" w:hAnsi="Tahoma" w:cs="Tahoma"/>
          <w:b/>
          <w:bCs/>
          <w:sz w:val="24"/>
          <w:szCs w:val="24"/>
        </w:rPr>
      </w:pPr>
      <w:r w:rsidRPr="003164CE">
        <w:rPr>
          <w:rFonts w:ascii="Tahoma" w:hAnsi="Tahoma" w:cs="Tahoma"/>
          <w:b/>
          <w:bCs/>
          <w:sz w:val="24"/>
          <w:szCs w:val="24"/>
        </w:rPr>
        <w:t>Măsuri destinate îmbunătățirii nivelului de colectare a veniturilor bugetare avute în vedere de către Agenția Națională de Administrare Fiscală</w:t>
      </w:r>
    </w:p>
    <w:p w:rsidR="00A463AC" w:rsidRPr="003164CE" w:rsidRDefault="00327641" w:rsidP="00A463AC">
      <w:pPr>
        <w:spacing w:before="120" w:after="120" w:line="276" w:lineRule="auto"/>
        <w:ind w:firstLine="0"/>
        <w:rPr>
          <w:rFonts w:ascii="Tahoma" w:eastAsia="Calibri" w:hAnsi="Tahoma" w:cs="Tahoma"/>
          <w:sz w:val="24"/>
          <w:szCs w:val="24"/>
        </w:rPr>
      </w:pPr>
      <w:bookmarkStart w:id="12" w:name="_Toc299543080"/>
      <w:bookmarkStart w:id="13" w:name="_Toc425320858"/>
      <w:bookmarkStart w:id="14" w:name="_Toc425428327"/>
      <w:bookmarkStart w:id="15" w:name="_Toc456256137"/>
      <w:bookmarkStart w:id="16" w:name="_Toc456256934"/>
      <w:bookmarkStart w:id="17" w:name="_Toc456257458"/>
      <w:bookmarkStart w:id="18" w:name="_Toc456258316"/>
      <w:bookmarkStart w:id="19" w:name="_Toc456258421"/>
      <w:r w:rsidRPr="003164CE">
        <w:rPr>
          <w:rFonts w:ascii="Tahoma" w:eastAsia="Calibri" w:hAnsi="Tahoma" w:cs="Tahoma"/>
          <w:sz w:val="24"/>
          <w:szCs w:val="24"/>
        </w:rPr>
        <w:t>Agenția Națională de Administrare Fiscală (ANAF) desfășoară permanent acțiuni pentru îmbunătățirea colectării veniturilor bugetare, modernizarea administrației fiscale și reducerea evaziunii fiscale. În acest sens, au fost implementate o serie de măsuri, iar altele sunt în curs de derulare, în conformitate cu Planul Strategic al ANAF 2025-2028 și angajamentele asumate prin PNRR.</w:t>
      </w:r>
      <w:r w:rsidR="00A463AC" w:rsidRPr="003164CE">
        <w:rPr>
          <w:rFonts w:ascii="Tahoma" w:eastAsia="Calibri" w:hAnsi="Tahoma" w:cs="Tahoma"/>
          <w:sz w:val="24"/>
          <w:szCs w:val="24"/>
        </w:rPr>
        <w:t xml:space="preserve"> </w:t>
      </w:r>
    </w:p>
    <w:p w:rsidR="00BE53FF" w:rsidRPr="003164CE" w:rsidRDefault="00327641" w:rsidP="00A463AC">
      <w:pPr>
        <w:spacing w:before="120" w:after="120" w:line="276" w:lineRule="auto"/>
        <w:ind w:firstLine="0"/>
        <w:rPr>
          <w:rFonts w:ascii="Tahoma" w:hAnsi="Tahoma" w:cs="Tahoma"/>
          <w:b/>
          <w:bCs/>
          <w:sz w:val="24"/>
          <w:szCs w:val="24"/>
        </w:rPr>
      </w:pPr>
      <w:r w:rsidRPr="003164CE">
        <w:rPr>
          <w:rFonts w:ascii="Tahoma" w:hAnsi="Tahoma" w:cs="Tahoma"/>
          <w:b/>
          <w:bCs/>
          <w:sz w:val="24"/>
          <w:szCs w:val="24"/>
        </w:rPr>
        <w:t>Principalele măsuri realizate în peri</w:t>
      </w:r>
      <w:r w:rsidR="00154C4F" w:rsidRPr="003164CE">
        <w:rPr>
          <w:rFonts w:ascii="Tahoma" w:hAnsi="Tahoma" w:cs="Tahoma"/>
          <w:b/>
          <w:bCs/>
          <w:sz w:val="24"/>
          <w:szCs w:val="24"/>
        </w:rPr>
        <w:t>oada de referință:</w:t>
      </w:r>
    </w:p>
    <w:p w:rsidR="00327641" w:rsidRPr="003164CE" w:rsidRDefault="00327641" w:rsidP="00154C4F">
      <w:pPr>
        <w:pStyle w:val="BodyText"/>
        <w:suppressAutoHyphens/>
        <w:spacing w:before="120" w:after="120"/>
        <w:ind w:left="720"/>
        <w:rPr>
          <w:rFonts w:ascii="Tahoma" w:hAnsi="Tahoma" w:cs="Tahoma"/>
          <w:b/>
          <w:bCs/>
          <w:sz w:val="24"/>
          <w:szCs w:val="24"/>
          <w:u w:val="single"/>
          <w:lang w:val="ro-RO" w:bidi="hi-IN"/>
        </w:rPr>
      </w:pPr>
      <w:r w:rsidRPr="003164CE">
        <w:rPr>
          <w:rFonts w:ascii="Tahoma" w:hAnsi="Tahoma" w:cs="Tahoma"/>
          <w:sz w:val="24"/>
          <w:szCs w:val="24"/>
          <w:lang w:val="ro-RO" w:bidi="hi-IN"/>
        </w:rPr>
        <w:t>În primul semestru al anului 2025, s-a continuat implementarea proiectelor aflate deja în desfășurare:</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b/>
          <w:sz w:val="24"/>
          <w:szCs w:val="24"/>
          <w:lang w:val="ro-RO" w:bidi="hi-IN"/>
        </w:rPr>
        <w:t>Fișierul standard de control fiscal (SAF-T)</w:t>
      </w:r>
      <w:r w:rsidRPr="003164CE">
        <w:rPr>
          <w:rFonts w:ascii="Tahoma" w:hAnsi="Tahoma" w:cs="Tahoma"/>
          <w:sz w:val="24"/>
          <w:szCs w:val="24"/>
          <w:lang w:val="ro-RO" w:bidi="hi-IN"/>
        </w:rPr>
        <w:t>- de la 1 ianuarie 2025 și contribuabilii mici au fost incluși în ciclul SAF-T, fiind obligați să depună fișierul D406 - o etapă finală în calendarul treptat de introducere a sistemului;</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b/>
          <w:sz w:val="24"/>
          <w:szCs w:val="24"/>
          <w:lang w:val="ro-RO" w:bidi="hi-IN"/>
        </w:rPr>
        <w:t>RO e-Transport</w:t>
      </w:r>
      <w:r w:rsidRPr="003164CE">
        <w:rPr>
          <w:rFonts w:ascii="Tahoma" w:hAnsi="Tahoma" w:cs="Tahoma"/>
          <w:sz w:val="24"/>
          <w:szCs w:val="24"/>
          <w:lang w:val="ro-RO" w:bidi="hi-IN"/>
        </w:rPr>
        <w:t>, sistemul electronic implementat de ANAF pentru monitorizarea transporturilor de bunuri cu risc fiscal ridicat:</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sz w:val="24"/>
          <w:szCs w:val="24"/>
          <w:lang w:val="ro-RO" w:bidi="hi-IN"/>
        </w:rPr>
        <w:t xml:space="preserve">1 ianuarie 2025, a devenit obligatorie transmiterea datelor prin GPS către ANAF în timp real a transporturilor care au mărfuri declarate pe cod UIT; </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sz w:val="24"/>
          <w:szCs w:val="24"/>
          <w:lang w:val="ro-RO" w:bidi="hi-IN"/>
        </w:rPr>
        <w:t>10 martie 2025, Direcția Generală Antifraudă Fiscală a lansat o acțiune națională pentru verificarea respectării obligațiilor RO e-Transport pe căile rutiere;</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proofErr w:type="spellStart"/>
      <w:r w:rsidRPr="003164CE">
        <w:rPr>
          <w:rFonts w:ascii="Tahoma" w:hAnsi="Tahoma" w:cs="Tahoma"/>
          <w:b/>
          <w:sz w:val="24"/>
          <w:szCs w:val="24"/>
          <w:lang w:val="ro-RO" w:bidi="hi-IN"/>
        </w:rPr>
        <w:t>Ro</w:t>
      </w:r>
      <w:proofErr w:type="spellEnd"/>
      <w:r w:rsidRPr="003164CE">
        <w:rPr>
          <w:rFonts w:ascii="Tahoma" w:hAnsi="Tahoma" w:cs="Tahoma"/>
          <w:b/>
          <w:sz w:val="24"/>
          <w:szCs w:val="24"/>
          <w:lang w:val="ro-RO" w:bidi="hi-IN"/>
        </w:rPr>
        <w:t xml:space="preserve"> e-Sigiliu -</w:t>
      </w:r>
      <w:r w:rsidRPr="003164CE">
        <w:rPr>
          <w:rFonts w:ascii="Tahoma" w:hAnsi="Tahoma" w:cs="Tahoma"/>
          <w:sz w:val="24"/>
          <w:szCs w:val="24"/>
          <w:lang w:val="ro-RO" w:bidi="hi-IN"/>
        </w:rPr>
        <w:t xml:space="preserve"> parte integrantă din </w:t>
      </w:r>
      <w:proofErr w:type="spellStart"/>
      <w:r w:rsidRPr="003164CE">
        <w:rPr>
          <w:rFonts w:ascii="Tahoma" w:hAnsi="Tahoma" w:cs="Tahoma"/>
          <w:sz w:val="24"/>
          <w:szCs w:val="24"/>
          <w:lang w:val="ro-RO" w:bidi="hi-IN"/>
        </w:rPr>
        <w:t>Ro</w:t>
      </w:r>
      <w:proofErr w:type="spellEnd"/>
      <w:r w:rsidRPr="003164CE">
        <w:rPr>
          <w:rFonts w:ascii="Tahoma" w:hAnsi="Tahoma" w:cs="Tahoma"/>
          <w:sz w:val="24"/>
          <w:szCs w:val="24"/>
          <w:lang w:val="ro-RO" w:bidi="hi-IN"/>
        </w:rPr>
        <w:t xml:space="preserve"> e-Transport. ANAF a dus la bun sfârșit implementarea tehnică, prin aplicarea efectivă a sigiliilor inteligente, consolidarea infrastructurii de monitorizare la frontieră și asigurarea cadrelor procedurale prin ghiduri actualizate;</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b/>
          <w:sz w:val="24"/>
          <w:szCs w:val="24"/>
          <w:lang w:val="ro-RO" w:bidi="hi-IN"/>
        </w:rPr>
        <w:t>Sistemul național de facturare electronică (RO e-Factura)</w:t>
      </w:r>
      <w:r w:rsidRPr="003164CE">
        <w:rPr>
          <w:rFonts w:ascii="Tahoma" w:hAnsi="Tahoma" w:cs="Tahoma"/>
          <w:sz w:val="24"/>
          <w:szCs w:val="24"/>
          <w:lang w:val="ro-RO" w:bidi="hi-IN"/>
        </w:rPr>
        <w:t xml:space="preserve"> ANAF a avansat semnificativ cu implementarea sistemului, având ca scop extinderea digitalizării, facturării, transparența fiscală și eficientizarea în controalele B2C și B2B. De la 1 ianuarie 2025, toate facturile emise către persoanele fizice trebuie transmise în sistemul </w:t>
      </w:r>
      <w:proofErr w:type="spellStart"/>
      <w:r w:rsidRPr="003164CE">
        <w:rPr>
          <w:rFonts w:ascii="Tahoma" w:hAnsi="Tahoma" w:cs="Tahoma"/>
          <w:sz w:val="24"/>
          <w:szCs w:val="24"/>
          <w:lang w:val="ro-RO" w:bidi="hi-IN"/>
        </w:rPr>
        <w:t>Ro</w:t>
      </w:r>
      <w:proofErr w:type="spellEnd"/>
      <w:r w:rsidRPr="003164CE">
        <w:rPr>
          <w:rFonts w:ascii="Tahoma" w:hAnsi="Tahoma" w:cs="Tahoma"/>
          <w:sz w:val="24"/>
          <w:szCs w:val="24"/>
          <w:lang w:val="ro-RO" w:bidi="hi-IN"/>
        </w:rPr>
        <w:t>-e-Factura, dar se prevede o perioadă de grație de 6 luni, în care operatorii economici au timp să se conformeze, fără riscul aplicării sancțiunilor;</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b/>
          <w:sz w:val="24"/>
          <w:szCs w:val="24"/>
          <w:lang w:val="ro-RO" w:bidi="hi-IN"/>
        </w:rPr>
        <w:t>Casele de marcat electronice fiscale (AMEF)</w:t>
      </w:r>
      <w:r w:rsidRPr="003164CE">
        <w:rPr>
          <w:rFonts w:ascii="Tahoma" w:hAnsi="Tahoma" w:cs="Tahoma"/>
          <w:sz w:val="24"/>
          <w:szCs w:val="24"/>
          <w:lang w:val="ro-RO" w:bidi="hi-IN"/>
        </w:rPr>
        <w:t xml:space="preserve"> ANAF a implementat o serie de măsuri esențiale pentru modernizarea și eficientizarea sistemului AMEF-urilor, din 2025 devenind obligatorie transmiterea automată zilnică a rapoartelor de vânzări și TVA către serverele ANAF;</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b/>
          <w:sz w:val="24"/>
          <w:szCs w:val="24"/>
          <w:lang w:val="ro-RO" w:bidi="hi-IN"/>
        </w:rPr>
        <w:lastRenderedPageBreak/>
        <w:t>Sistemul RO e-TVA</w:t>
      </w:r>
      <w:r w:rsidRPr="003164CE">
        <w:rPr>
          <w:rFonts w:ascii="Tahoma" w:hAnsi="Tahoma" w:cs="Tahoma"/>
          <w:sz w:val="24"/>
          <w:szCs w:val="24"/>
          <w:lang w:val="ro-RO" w:bidi="hi-IN"/>
        </w:rPr>
        <w:t xml:space="preserve"> În anul 2025 ANAF a intensificat implementarea sistemului, axându-se pe </w:t>
      </w:r>
      <w:proofErr w:type="spellStart"/>
      <w:r w:rsidRPr="003164CE">
        <w:rPr>
          <w:rFonts w:ascii="Tahoma" w:hAnsi="Tahoma" w:cs="Tahoma"/>
          <w:sz w:val="24"/>
          <w:szCs w:val="24"/>
          <w:lang w:val="ro-RO" w:bidi="hi-IN"/>
        </w:rPr>
        <w:t>precompletarea</w:t>
      </w:r>
      <w:proofErr w:type="spellEnd"/>
      <w:r w:rsidRPr="003164CE">
        <w:rPr>
          <w:rFonts w:ascii="Tahoma" w:hAnsi="Tahoma" w:cs="Tahoma"/>
          <w:sz w:val="24"/>
          <w:szCs w:val="24"/>
          <w:lang w:val="ro-RO" w:bidi="hi-IN"/>
        </w:rPr>
        <w:t xml:space="preserve"> deconturilor și lansarea unor notificări pentru contribuabili;</w:t>
      </w:r>
    </w:p>
    <w:p w:rsidR="00327641"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sz w:val="24"/>
          <w:szCs w:val="24"/>
          <w:lang w:val="ro-RO" w:bidi="hi-IN"/>
        </w:rPr>
      </w:pPr>
      <w:r w:rsidRPr="003164CE">
        <w:rPr>
          <w:rFonts w:ascii="Tahoma" w:hAnsi="Tahoma" w:cs="Tahoma"/>
          <w:b/>
          <w:sz w:val="24"/>
          <w:szCs w:val="24"/>
          <w:lang w:val="ro-RO" w:bidi="hi-IN"/>
        </w:rPr>
        <w:t xml:space="preserve">Sistemul informatic AEOI </w:t>
      </w:r>
      <w:r w:rsidRPr="003164CE">
        <w:rPr>
          <w:rFonts w:ascii="Tahoma" w:hAnsi="Tahoma" w:cs="Tahoma"/>
          <w:sz w:val="24"/>
          <w:szCs w:val="24"/>
          <w:lang w:val="ro-RO" w:bidi="hi-IN"/>
        </w:rPr>
        <w:t xml:space="preserve">În anul 2025, ANAF a consolidat infrastructura necesară implementării DAC 7 în România odată cu elaborarea procedurii și </w:t>
      </w:r>
      <w:r w:rsidR="00DE4603" w:rsidRPr="003164CE">
        <w:rPr>
          <w:rFonts w:ascii="Tahoma" w:hAnsi="Tahoma" w:cs="Tahoma"/>
          <w:sz w:val="24"/>
          <w:szCs w:val="24"/>
          <w:lang w:val="ro-RO" w:bidi="hi-IN"/>
        </w:rPr>
        <w:t xml:space="preserve">a creat mecanismul </w:t>
      </w:r>
      <w:r w:rsidRPr="003164CE">
        <w:rPr>
          <w:rFonts w:ascii="Tahoma" w:hAnsi="Tahoma" w:cs="Tahoma"/>
          <w:sz w:val="24"/>
          <w:szCs w:val="24"/>
          <w:lang w:val="ro-RO" w:bidi="hi-IN"/>
        </w:rPr>
        <w:t>efectiv de raportare, cu scopul creșterii transparenței și combaterii evaziunii fiscale generate de operatorii de platforme digitale</w:t>
      </w:r>
      <w:r w:rsidR="005F68D1" w:rsidRPr="003164CE">
        <w:rPr>
          <w:rFonts w:ascii="Tahoma" w:hAnsi="Tahoma" w:cs="Tahoma"/>
          <w:sz w:val="24"/>
          <w:szCs w:val="24"/>
          <w:lang w:val="ro-RO" w:bidi="hi-IN"/>
        </w:rPr>
        <w:t>;</w:t>
      </w:r>
    </w:p>
    <w:p w:rsidR="00154C4F" w:rsidRPr="003164CE" w:rsidRDefault="00327641" w:rsidP="0025353E">
      <w:pPr>
        <w:pStyle w:val="BodyText"/>
        <w:numPr>
          <w:ilvl w:val="0"/>
          <w:numId w:val="15"/>
        </w:numPr>
        <w:tabs>
          <w:tab w:val="left" w:pos="720"/>
        </w:tabs>
        <w:suppressAutoHyphens/>
        <w:spacing w:before="120" w:after="120"/>
        <w:ind w:left="1208" w:hanging="357"/>
        <w:jc w:val="both"/>
        <w:rPr>
          <w:rFonts w:ascii="Tahoma" w:hAnsi="Tahoma" w:cs="Tahoma"/>
          <w:b/>
          <w:bCs/>
          <w:sz w:val="24"/>
          <w:szCs w:val="24"/>
          <w:lang w:val="ro-RO"/>
        </w:rPr>
      </w:pPr>
      <w:r w:rsidRPr="003164CE">
        <w:rPr>
          <w:rFonts w:ascii="Tahoma" w:hAnsi="Tahoma" w:cs="Tahoma"/>
          <w:b/>
          <w:sz w:val="24"/>
          <w:szCs w:val="24"/>
          <w:lang w:val="ro-RO" w:bidi="hi-IN"/>
        </w:rPr>
        <w:t xml:space="preserve">CESOP (Central Electronic </w:t>
      </w:r>
      <w:proofErr w:type="spellStart"/>
      <w:r w:rsidRPr="003164CE">
        <w:rPr>
          <w:rFonts w:ascii="Tahoma" w:hAnsi="Tahoma" w:cs="Tahoma"/>
          <w:b/>
          <w:sz w:val="24"/>
          <w:szCs w:val="24"/>
          <w:lang w:val="ro-RO" w:bidi="hi-IN"/>
        </w:rPr>
        <w:t>System</w:t>
      </w:r>
      <w:proofErr w:type="spellEnd"/>
      <w:r w:rsidRPr="003164CE">
        <w:rPr>
          <w:rFonts w:ascii="Tahoma" w:hAnsi="Tahoma" w:cs="Tahoma"/>
          <w:b/>
          <w:sz w:val="24"/>
          <w:szCs w:val="24"/>
          <w:lang w:val="ro-RO" w:bidi="hi-IN"/>
        </w:rPr>
        <w:t xml:space="preserve"> of </w:t>
      </w:r>
      <w:proofErr w:type="spellStart"/>
      <w:r w:rsidRPr="003164CE">
        <w:rPr>
          <w:rFonts w:ascii="Tahoma" w:hAnsi="Tahoma" w:cs="Tahoma"/>
          <w:b/>
          <w:sz w:val="24"/>
          <w:szCs w:val="24"/>
          <w:lang w:val="ro-RO" w:bidi="hi-IN"/>
        </w:rPr>
        <w:t>Payment</w:t>
      </w:r>
      <w:proofErr w:type="spellEnd"/>
      <w:r w:rsidRPr="003164CE">
        <w:rPr>
          <w:rFonts w:ascii="Tahoma" w:hAnsi="Tahoma" w:cs="Tahoma"/>
          <w:b/>
          <w:sz w:val="24"/>
          <w:szCs w:val="24"/>
          <w:lang w:val="ro-RO" w:bidi="hi-IN"/>
        </w:rPr>
        <w:t xml:space="preserve"> </w:t>
      </w:r>
      <w:proofErr w:type="spellStart"/>
      <w:r w:rsidRPr="003164CE">
        <w:rPr>
          <w:rFonts w:ascii="Tahoma" w:hAnsi="Tahoma" w:cs="Tahoma"/>
          <w:b/>
          <w:sz w:val="24"/>
          <w:szCs w:val="24"/>
          <w:lang w:val="ro-RO" w:bidi="hi-IN"/>
        </w:rPr>
        <w:t>information</w:t>
      </w:r>
      <w:proofErr w:type="spellEnd"/>
      <w:r w:rsidRPr="003164CE">
        <w:rPr>
          <w:rFonts w:ascii="Tahoma" w:hAnsi="Tahoma" w:cs="Tahoma"/>
          <w:b/>
          <w:sz w:val="24"/>
          <w:szCs w:val="24"/>
          <w:lang w:val="ro-RO" w:bidi="hi-IN"/>
        </w:rPr>
        <w:t xml:space="preserve"> - Sistemul electronic central de informații de plată)</w:t>
      </w:r>
      <w:r w:rsidRPr="003164CE">
        <w:rPr>
          <w:rFonts w:ascii="Tahoma" w:hAnsi="Tahoma" w:cs="Tahoma"/>
          <w:sz w:val="24"/>
          <w:szCs w:val="24"/>
          <w:lang w:val="ro-RO" w:bidi="hi-IN"/>
        </w:rPr>
        <w:t xml:space="preserve"> – este un sistem destinat exclusiv nerezidenților care nu au prezență fizică pe teritoriul României, dar care au obligația de raportare în România. </w:t>
      </w:r>
    </w:p>
    <w:p w:rsidR="00BE53FF" w:rsidRPr="003164CE" w:rsidRDefault="00BE53FF" w:rsidP="007C44EC">
      <w:pPr>
        <w:pStyle w:val="BodyText"/>
        <w:numPr>
          <w:ilvl w:val="0"/>
          <w:numId w:val="4"/>
        </w:numPr>
        <w:tabs>
          <w:tab w:val="left" w:pos="720"/>
        </w:tabs>
        <w:suppressAutoHyphens/>
        <w:spacing w:before="120" w:after="120"/>
        <w:jc w:val="both"/>
        <w:rPr>
          <w:rFonts w:ascii="Tahoma" w:hAnsi="Tahoma" w:cs="Tahoma"/>
          <w:b/>
          <w:bCs/>
          <w:sz w:val="24"/>
          <w:szCs w:val="24"/>
          <w:lang w:val="ro-RO"/>
        </w:rPr>
      </w:pPr>
      <w:r w:rsidRPr="003164CE">
        <w:rPr>
          <w:rFonts w:ascii="Tahoma" w:hAnsi="Tahoma" w:cs="Tahoma"/>
          <w:b/>
          <w:bCs/>
          <w:sz w:val="24"/>
          <w:szCs w:val="24"/>
          <w:lang w:val="ro-RO"/>
        </w:rPr>
        <w:t>Implementarea reformelor prevăzute în Planul Național de Redresare și Reziliență:</w:t>
      </w:r>
    </w:p>
    <w:p w:rsidR="00327641" w:rsidRPr="003164CE" w:rsidRDefault="00327641" w:rsidP="00154C4F">
      <w:pPr>
        <w:pStyle w:val="BodyText"/>
        <w:spacing w:before="120" w:after="120"/>
        <w:jc w:val="both"/>
        <w:rPr>
          <w:rFonts w:ascii="Tahoma" w:hAnsi="Tahoma" w:cs="Tahoma"/>
          <w:color w:val="000000"/>
          <w:sz w:val="24"/>
          <w:szCs w:val="24"/>
          <w:lang w:val="ro-RO"/>
        </w:rPr>
      </w:pPr>
      <w:r w:rsidRPr="003164CE">
        <w:rPr>
          <w:rFonts w:ascii="Tahoma" w:hAnsi="Tahoma" w:cs="Tahoma"/>
          <w:color w:val="000000"/>
          <w:sz w:val="24"/>
          <w:szCs w:val="24"/>
          <w:lang w:val="ro-RO"/>
        </w:rPr>
        <w:t xml:space="preserve">În toată această perioadă, activitatea ANAF a continuat pe linia reformelor de substanță care sunt menite să asigure îmbunătățirea performanței sale prin creșterea capacității de colectare a veniturilor fiscale și de reducere a decalajelor fiscale, fiind în strânsă corelare cu obiectivele și țintele asumate prin Planul Național de Redresare și Reziliență (cel mai important plan de reforme din ultima perioadă și cea mai importantă sursă de finanțare la care administrația fiscală a avut parte în toată istoria sa). </w:t>
      </w:r>
    </w:p>
    <w:p w:rsidR="00327641" w:rsidRPr="003164CE" w:rsidRDefault="00327641" w:rsidP="00154C4F">
      <w:pPr>
        <w:pStyle w:val="BodyText"/>
        <w:spacing w:before="120" w:after="120"/>
        <w:jc w:val="both"/>
        <w:rPr>
          <w:rFonts w:ascii="Tahoma" w:hAnsi="Tahoma" w:cs="Tahoma"/>
          <w:color w:val="000000"/>
          <w:sz w:val="24"/>
          <w:szCs w:val="24"/>
          <w:lang w:val="ro-RO"/>
        </w:rPr>
      </w:pPr>
      <w:r w:rsidRPr="003164CE">
        <w:rPr>
          <w:rFonts w:ascii="Tahoma" w:hAnsi="Tahoma" w:cs="Tahoma"/>
          <w:color w:val="000000"/>
          <w:sz w:val="24"/>
          <w:szCs w:val="24"/>
          <w:lang w:val="ro-RO"/>
        </w:rPr>
        <w:t>Principalele linii de acțiune din cadrul PNRR care sunt prevăzute a fi livrate până la finalul anului 2025 vizează implementarea unor reforme ireversibile și a proiectelor de digitalizare care sprijină implementarea acestora:</w:t>
      </w:r>
    </w:p>
    <w:p w:rsidR="00327641" w:rsidRPr="003164CE" w:rsidRDefault="00327641" w:rsidP="00154C4F">
      <w:pPr>
        <w:spacing w:before="120" w:after="120" w:line="276" w:lineRule="auto"/>
        <w:ind w:left="357"/>
        <w:rPr>
          <w:rFonts w:ascii="Tahoma" w:hAnsi="Tahoma" w:cs="Tahoma"/>
          <w:color w:val="000000"/>
          <w:sz w:val="24"/>
          <w:szCs w:val="24"/>
        </w:rPr>
      </w:pPr>
      <w:r w:rsidRPr="003164CE">
        <w:rPr>
          <w:rFonts w:ascii="Tahoma" w:hAnsi="Tahoma" w:cs="Tahoma"/>
          <w:b/>
          <w:color w:val="000000"/>
          <w:sz w:val="24"/>
          <w:szCs w:val="24"/>
        </w:rPr>
        <w:t>1.</w:t>
      </w:r>
      <w:r w:rsidRPr="003164CE">
        <w:rPr>
          <w:rFonts w:ascii="Tahoma" w:hAnsi="Tahoma" w:cs="Tahoma"/>
          <w:color w:val="000000"/>
          <w:sz w:val="24"/>
          <w:szCs w:val="24"/>
        </w:rPr>
        <w:t xml:space="preserve"> Cea mai importantă linie de acțiune are în vedere implementarea deplină a unui sistem integrat de management al riscurilor fiscale. Pe această linie, va continua implementarea celor mai importante proiecte de digitalizare din zona de administrare fiscală, respectiv SFERA și APIC/Big Data.</w:t>
      </w:r>
    </w:p>
    <w:p w:rsidR="00327641" w:rsidRPr="003164CE" w:rsidRDefault="00327641" w:rsidP="0025353E">
      <w:pPr>
        <w:numPr>
          <w:ilvl w:val="0"/>
          <w:numId w:val="5"/>
        </w:numPr>
        <w:tabs>
          <w:tab w:val="clear" w:pos="928"/>
          <w:tab w:val="left" w:pos="142"/>
          <w:tab w:val="left" w:pos="720"/>
        </w:tabs>
        <w:spacing w:before="120" w:after="120" w:line="276" w:lineRule="auto"/>
        <w:ind w:left="1418" w:hanging="567"/>
        <w:rPr>
          <w:rFonts w:ascii="Tahoma" w:hAnsi="Tahoma" w:cs="Tahoma"/>
          <w:color w:val="000000"/>
          <w:sz w:val="24"/>
          <w:szCs w:val="24"/>
        </w:rPr>
      </w:pPr>
      <w:r w:rsidRPr="003164CE">
        <w:rPr>
          <w:rFonts w:ascii="Tahoma" w:hAnsi="Tahoma" w:cs="Tahoma"/>
          <w:color w:val="000000"/>
          <w:sz w:val="24"/>
          <w:szCs w:val="24"/>
        </w:rPr>
        <w:t>SFERA este sistemul informatic care va centraliza aplicațiile utilizate la nivelul a 252 de baze de date distribuite la nivelul organelor fiscale competente în administrarea contribuabililor gestionați de ANAF, astfel încât să permită accesul Agenției, în orice moment, la date fiabile, corecte și actualizate cu privire la contribuabilii persoane fizice și juridice. Acest sistem va fi unul dintre principalele surse de date care va comunica, cu platforma de tip Big Data, pentru a pune la dispoziție informații și date, necesare efectuării analizei de risc.</w:t>
      </w:r>
    </w:p>
    <w:p w:rsidR="00327641" w:rsidRPr="003164CE" w:rsidRDefault="00327641" w:rsidP="0025353E">
      <w:pPr>
        <w:numPr>
          <w:ilvl w:val="0"/>
          <w:numId w:val="5"/>
        </w:numPr>
        <w:tabs>
          <w:tab w:val="clear" w:pos="928"/>
          <w:tab w:val="left" w:pos="142"/>
          <w:tab w:val="left" w:pos="720"/>
        </w:tabs>
        <w:spacing w:before="120" w:after="120" w:line="276" w:lineRule="auto"/>
        <w:ind w:left="1418" w:hanging="567"/>
        <w:rPr>
          <w:rFonts w:ascii="Tahoma" w:hAnsi="Tahoma" w:cs="Tahoma"/>
          <w:color w:val="000000"/>
          <w:sz w:val="24"/>
          <w:szCs w:val="24"/>
        </w:rPr>
      </w:pPr>
      <w:r w:rsidRPr="003164CE">
        <w:rPr>
          <w:rFonts w:ascii="Tahoma" w:hAnsi="Tahoma" w:cs="Tahoma"/>
          <w:color w:val="000000"/>
          <w:sz w:val="24"/>
          <w:szCs w:val="24"/>
        </w:rPr>
        <w:t xml:space="preserve">Prin proiectul APIC/Big Data se are în vedere implementarea unei platforme complexe prin care vor fi integrate și valorificate în termeni operaționali și analitici volume mari de date, atât interne, cât și din surse terțe. Prin dezvoltarea platformei de tip Big Data, se urmărește eficientizarea activității ANAF în domeniul analizei de risc prin deplina </w:t>
      </w:r>
      <w:r w:rsidRPr="003164CE">
        <w:rPr>
          <w:rFonts w:ascii="Tahoma" w:hAnsi="Tahoma" w:cs="Tahoma"/>
          <w:color w:val="000000"/>
          <w:sz w:val="24"/>
          <w:szCs w:val="24"/>
        </w:rPr>
        <w:lastRenderedPageBreak/>
        <w:t>operaționalizare și dezvoltare a sistemului de management integrat al riscurilor fiscale, inclusiv prin operaționalizarea registrului și analizei de risc centralizate.</w:t>
      </w:r>
    </w:p>
    <w:p w:rsidR="00327641" w:rsidRPr="003164CE" w:rsidRDefault="00327641" w:rsidP="00154C4F">
      <w:pPr>
        <w:spacing w:before="120" w:after="120" w:line="276" w:lineRule="auto"/>
        <w:ind w:firstLine="0"/>
        <w:rPr>
          <w:rFonts w:ascii="Tahoma" w:hAnsi="Tahoma" w:cs="Tahoma"/>
          <w:color w:val="000000"/>
          <w:sz w:val="24"/>
          <w:szCs w:val="24"/>
        </w:rPr>
      </w:pPr>
      <w:r w:rsidRPr="003164CE">
        <w:rPr>
          <w:rFonts w:ascii="Tahoma" w:hAnsi="Tahoma" w:cs="Tahoma"/>
          <w:color w:val="000000"/>
          <w:sz w:val="24"/>
          <w:szCs w:val="24"/>
        </w:rPr>
        <w:t>Proiectele amintite anterior, precum e-factura, SAF-T, casele de marcat electronice, e-transport vor face parte din sursele de date și informații ce vor alimenta cu informații proprii platforma de Big Data. Până la data finalizării acestei platforme, informațiile provenite din instrumentele digitale de control fiscal și colectare date vor fi valorificate pentru rafinarea analizei de risc existente și focusarea acțiunilor de control în consecință.</w:t>
      </w:r>
    </w:p>
    <w:p w:rsidR="00327641" w:rsidRPr="003164CE" w:rsidRDefault="00327641" w:rsidP="00154C4F">
      <w:pPr>
        <w:spacing w:before="120" w:after="120" w:line="276" w:lineRule="auto"/>
        <w:ind w:firstLine="0"/>
        <w:rPr>
          <w:rFonts w:ascii="Tahoma" w:hAnsi="Tahoma" w:cs="Tahoma"/>
          <w:color w:val="000000"/>
          <w:sz w:val="24"/>
          <w:szCs w:val="24"/>
        </w:rPr>
      </w:pPr>
      <w:r w:rsidRPr="003164CE">
        <w:rPr>
          <w:rFonts w:ascii="Tahoma" w:hAnsi="Tahoma" w:cs="Tahoma"/>
          <w:color w:val="000000"/>
          <w:sz w:val="24"/>
          <w:szCs w:val="24"/>
        </w:rPr>
        <w:t xml:space="preserve">La finalul implementării proiectelor din această zonă, va fi operațional registrul electronic al riscurilor fiscale, bazat pe criterii de risc, indicatori și </w:t>
      </w:r>
      <w:proofErr w:type="spellStart"/>
      <w:r w:rsidRPr="003164CE">
        <w:rPr>
          <w:rFonts w:ascii="Tahoma" w:hAnsi="Tahoma" w:cs="Tahoma"/>
          <w:color w:val="000000"/>
          <w:sz w:val="24"/>
          <w:szCs w:val="24"/>
        </w:rPr>
        <w:t>profile</w:t>
      </w:r>
      <w:proofErr w:type="spellEnd"/>
      <w:r w:rsidRPr="003164CE">
        <w:rPr>
          <w:rFonts w:ascii="Tahoma" w:hAnsi="Tahoma" w:cs="Tahoma"/>
          <w:color w:val="000000"/>
          <w:sz w:val="24"/>
          <w:szCs w:val="24"/>
        </w:rPr>
        <w:t>, iar analiza de risc va fi realizată unitar, la nivel central, pentru toate structurile de control fiscal.</w:t>
      </w:r>
    </w:p>
    <w:p w:rsidR="00327641" w:rsidRPr="003164CE" w:rsidRDefault="00327641" w:rsidP="00154C4F">
      <w:pPr>
        <w:spacing w:before="120" w:after="120" w:line="276" w:lineRule="auto"/>
        <w:ind w:left="641"/>
        <w:rPr>
          <w:rFonts w:ascii="Tahoma" w:hAnsi="Tahoma" w:cs="Tahoma"/>
          <w:color w:val="000000"/>
          <w:sz w:val="24"/>
          <w:szCs w:val="24"/>
        </w:rPr>
      </w:pPr>
      <w:r w:rsidRPr="003164CE">
        <w:rPr>
          <w:rFonts w:ascii="Tahoma" w:hAnsi="Tahoma" w:cs="Tahoma"/>
          <w:b/>
          <w:color w:val="000000"/>
          <w:sz w:val="24"/>
          <w:szCs w:val="24"/>
        </w:rPr>
        <w:t>2.</w:t>
      </w:r>
      <w:r w:rsidRPr="003164CE">
        <w:rPr>
          <w:rFonts w:ascii="Tahoma" w:hAnsi="Tahoma" w:cs="Tahoma"/>
          <w:color w:val="000000"/>
          <w:sz w:val="24"/>
          <w:szCs w:val="24"/>
        </w:rPr>
        <w:t xml:space="preserve"> A doua mare linie de acțiune are în vedere consolidarea serviciilor pentru contribuabili, prin extinderea serviciilor digitale și, prin urmare, creșterea conformării voluntare. Printre cele mai importante măsuri de acest tip, se evidențiază:</w:t>
      </w:r>
    </w:p>
    <w:p w:rsidR="00327641" w:rsidRPr="003164CE" w:rsidRDefault="00327641" w:rsidP="0025353E">
      <w:pPr>
        <w:numPr>
          <w:ilvl w:val="0"/>
          <w:numId w:val="5"/>
        </w:numPr>
        <w:tabs>
          <w:tab w:val="clear" w:pos="928"/>
          <w:tab w:val="left" w:pos="720"/>
        </w:tabs>
        <w:spacing w:before="120" w:after="120" w:line="276" w:lineRule="auto"/>
        <w:ind w:left="1304" w:hanging="567"/>
        <w:rPr>
          <w:rFonts w:ascii="Tahoma" w:hAnsi="Tahoma" w:cs="Tahoma"/>
          <w:color w:val="000000"/>
          <w:sz w:val="24"/>
          <w:szCs w:val="24"/>
        </w:rPr>
      </w:pPr>
      <w:r w:rsidRPr="003164CE">
        <w:rPr>
          <w:rFonts w:ascii="Tahoma" w:hAnsi="Tahoma" w:cs="Tahoma"/>
          <w:color w:val="000000"/>
          <w:sz w:val="24"/>
          <w:szCs w:val="24"/>
        </w:rPr>
        <w:t xml:space="preserve">Optimizarea și simplificarea serviciilor oferite în cadrul SPV (Spațiul Privat Virtual) prin portalul ANAF, portal care </w:t>
      </w:r>
      <w:r w:rsidR="005F68D1" w:rsidRPr="003164CE">
        <w:rPr>
          <w:rFonts w:ascii="Tahoma" w:hAnsi="Tahoma" w:cs="Tahoma"/>
          <w:color w:val="000000"/>
          <w:sz w:val="24"/>
          <w:szCs w:val="24"/>
        </w:rPr>
        <w:t>va fi reproiectat și dezvoltat.</w:t>
      </w:r>
    </w:p>
    <w:p w:rsidR="00327641" w:rsidRPr="003164CE" w:rsidRDefault="00327641" w:rsidP="0025353E">
      <w:pPr>
        <w:numPr>
          <w:ilvl w:val="0"/>
          <w:numId w:val="5"/>
        </w:numPr>
        <w:tabs>
          <w:tab w:val="clear" w:pos="928"/>
          <w:tab w:val="left" w:pos="720"/>
        </w:tabs>
        <w:spacing w:before="120" w:after="120" w:line="276" w:lineRule="auto"/>
        <w:ind w:left="1304" w:hanging="567"/>
        <w:rPr>
          <w:rFonts w:ascii="Tahoma" w:hAnsi="Tahoma" w:cs="Tahoma"/>
          <w:color w:val="000000"/>
          <w:sz w:val="24"/>
          <w:szCs w:val="24"/>
        </w:rPr>
      </w:pPr>
      <w:r w:rsidRPr="003164CE">
        <w:rPr>
          <w:rFonts w:ascii="Tahoma" w:hAnsi="Tahoma" w:cs="Tahoma"/>
          <w:color w:val="000000"/>
          <w:sz w:val="24"/>
          <w:szCs w:val="24"/>
        </w:rPr>
        <w:t>Proiectul Dezvoltarea serviciilor la distanță (electronice sau telefonice) actuale, prin noi funcționalități și/sau crearea de servicii noi - e-Services ANAF va permite la rândul său extinderea gamei de servicii oferite în mediu digital contribuabililor (d</w:t>
      </w:r>
      <w:r w:rsidR="00BE075A">
        <w:rPr>
          <w:rFonts w:ascii="Tahoma" w:hAnsi="Tahoma" w:cs="Tahoma"/>
          <w:color w:val="000000"/>
          <w:sz w:val="24"/>
          <w:szCs w:val="24"/>
        </w:rPr>
        <w:t>e exemplu</w:t>
      </w:r>
      <w:r w:rsidRPr="003164CE">
        <w:rPr>
          <w:rFonts w:ascii="Tahoma" w:hAnsi="Tahoma" w:cs="Tahoma"/>
          <w:color w:val="000000"/>
          <w:sz w:val="24"/>
          <w:szCs w:val="24"/>
        </w:rPr>
        <w:t xml:space="preserve">, este vizată extinderea interacțiunii dintre ANAF și contribuabili în mediu digital pentru o serie de activități care în prezent se desfășoară doar față în față, respectiv prin achiziționarea, </w:t>
      </w:r>
      <w:proofErr w:type="spellStart"/>
      <w:r w:rsidRPr="003164CE">
        <w:rPr>
          <w:rFonts w:ascii="Tahoma" w:hAnsi="Tahoma" w:cs="Tahoma"/>
          <w:color w:val="000000"/>
          <w:sz w:val="24"/>
          <w:szCs w:val="24"/>
        </w:rPr>
        <w:t>customizarea</w:t>
      </w:r>
      <w:proofErr w:type="spellEnd"/>
      <w:r w:rsidRPr="003164CE">
        <w:rPr>
          <w:rFonts w:ascii="Tahoma" w:hAnsi="Tahoma" w:cs="Tahoma"/>
          <w:color w:val="000000"/>
          <w:sz w:val="24"/>
          <w:szCs w:val="24"/>
        </w:rPr>
        <w:t xml:space="preserve"> și implementarea unei platforme video care să permită organizarea în regim securizat de întâlniri între funcționarii fiscali și contribuabili);</w:t>
      </w:r>
    </w:p>
    <w:p w:rsidR="00327641" w:rsidRPr="003164CE" w:rsidRDefault="00327641" w:rsidP="0025353E">
      <w:pPr>
        <w:numPr>
          <w:ilvl w:val="0"/>
          <w:numId w:val="5"/>
        </w:numPr>
        <w:tabs>
          <w:tab w:val="clear" w:pos="928"/>
          <w:tab w:val="left" w:pos="720"/>
        </w:tabs>
        <w:spacing w:before="120" w:after="120" w:line="276" w:lineRule="auto"/>
        <w:ind w:left="1304" w:hanging="567"/>
        <w:rPr>
          <w:rFonts w:ascii="Tahoma" w:hAnsi="Tahoma" w:cs="Tahoma"/>
          <w:color w:val="000000"/>
          <w:sz w:val="24"/>
          <w:szCs w:val="24"/>
        </w:rPr>
      </w:pPr>
      <w:r w:rsidRPr="003164CE">
        <w:rPr>
          <w:rFonts w:ascii="Tahoma" w:hAnsi="Tahoma" w:cs="Tahoma"/>
          <w:color w:val="000000"/>
          <w:sz w:val="24"/>
          <w:szCs w:val="24"/>
        </w:rPr>
        <w:t xml:space="preserve">Implementarea unui serviciu </w:t>
      </w:r>
      <w:proofErr w:type="spellStart"/>
      <w:r w:rsidRPr="003164CE">
        <w:rPr>
          <w:rFonts w:ascii="Tahoma" w:hAnsi="Tahoma" w:cs="Tahoma"/>
          <w:color w:val="000000"/>
          <w:sz w:val="24"/>
          <w:szCs w:val="24"/>
        </w:rPr>
        <w:t>Chatbot</w:t>
      </w:r>
      <w:proofErr w:type="spellEnd"/>
      <w:r w:rsidRPr="003164CE">
        <w:rPr>
          <w:rFonts w:ascii="Tahoma" w:hAnsi="Tahoma" w:cs="Tahoma"/>
          <w:color w:val="000000"/>
          <w:sz w:val="24"/>
          <w:szCs w:val="24"/>
        </w:rPr>
        <w:t xml:space="preserve"> și integrarea acestuia cu portalul ANAF, inclusiv în cadrul SPV, cu soluția de </w:t>
      </w:r>
      <w:proofErr w:type="spellStart"/>
      <w:r w:rsidRPr="003164CE">
        <w:rPr>
          <w:rFonts w:ascii="Tahoma" w:hAnsi="Tahoma" w:cs="Tahoma"/>
          <w:color w:val="000000"/>
          <w:sz w:val="24"/>
          <w:szCs w:val="24"/>
        </w:rPr>
        <w:t>Call-center</w:t>
      </w:r>
      <w:proofErr w:type="spellEnd"/>
      <w:r w:rsidRPr="003164CE">
        <w:rPr>
          <w:rFonts w:ascii="Tahoma" w:hAnsi="Tahoma" w:cs="Tahoma"/>
          <w:color w:val="000000"/>
          <w:sz w:val="24"/>
          <w:szCs w:val="24"/>
        </w:rPr>
        <w:t xml:space="preserve"> și aplicația de mobil a ANAF</w:t>
      </w:r>
      <w:r w:rsidR="005F68D1" w:rsidRPr="003164CE">
        <w:rPr>
          <w:rFonts w:ascii="Tahoma" w:hAnsi="Tahoma" w:cs="Tahoma"/>
          <w:color w:val="000000"/>
          <w:sz w:val="24"/>
          <w:szCs w:val="24"/>
        </w:rPr>
        <w:t>;</w:t>
      </w:r>
    </w:p>
    <w:p w:rsidR="00327641" w:rsidRPr="003164CE" w:rsidRDefault="00327641" w:rsidP="0025353E">
      <w:pPr>
        <w:numPr>
          <w:ilvl w:val="0"/>
          <w:numId w:val="5"/>
        </w:numPr>
        <w:tabs>
          <w:tab w:val="clear" w:pos="928"/>
          <w:tab w:val="left" w:pos="720"/>
        </w:tabs>
        <w:spacing w:before="120" w:after="120" w:line="276" w:lineRule="auto"/>
        <w:ind w:left="1304" w:hanging="567"/>
        <w:rPr>
          <w:rFonts w:ascii="Tahoma" w:hAnsi="Tahoma" w:cs="Tahoma"/>
          <w:color w:val="000000"/>
          <w:sz w:val="24"/>
          <w:szCs w:val="24"/>
        </w:rPr>
      </w:pPr>
      <w:r w:rsidRPr="003164CE">
        <w:rPr>
          <w:rFonts w:ascii="Tahoma" w:hAnsi="Tahoma" w:cs="Tahoma"/>
          <w:color w:val="000000"/>
          <w:sz w:val="24"/>
          <w:szCs w:val="24"/>
        </w:rPr>
        <w:t>Crearea unei platforme de licitații online dedicată valorificării bunurilor (imobile și a celor mobile de o valoare semnificativă) intrate, potrivit legii, în proprietatea private a statului și a bunurilor sechestrate în activitatea de executare silită a creanțelor bugetare.</w:t>
      </w:r>
    </w:p>
    <w:p w:rsidR="00BE53FF" w:rsidRPr="003164CE" w:rsidRDefault="00BE53FF" w:rsidP="00154C4F">
      <w:pPr>
        <w:spacing w:before="120" w:after="120" w:line="276" w:lineRule="auto"/>
        <w:ind w:left="357"/>
        <w:rPr>
          <w:rFonts w:ascii="Tahoma" w:hAnsi="Tahoma" w:cs="Tahoma"/>
          <w:b/>
          <w:bCs/>
          <w:sz w:val="24"/>
          <w:szCs w:val="24"/>
        </w:rPr>
      </w:pPr>
      <w:r w:rsidRPr="003164CE">
        <w:rPr>
          <w:rFonts w:ascii="Tahoma" w:hAnsi="Tahoma" w:cs="Tahoma"/>
          <w:b/>
          <w:bCs/>
          <w:sz w:val="24"/>
          <w:szCs w:val="24"/>
        </w:rPr>
        <w:t>C. Direcțiile strategice viitoare:</w:t>
      </w:r>
    </w:p>
    <w:p w:rsidR="00327641" w:rsidRPr="003164CE" w:rsidRDefault="00327641" w:rsidP="00154C4F">
      <w:pPr>
        <w:pStyle w:val="ListParagraph"/>
        <w:spacing w:before="120" w:after="120" w:line="276" w:lineRule="auto"/>
        <w:ind w:left="0" w:firstLine="0"/>
        <w:contextualSpacing w:val="0"/>
        <w:rPr>
          <w:rFonts w:ascii="Tahoma" w:hAnsi="Tahoma" w:cs="Tahoma"/>
          <w:sz w:val="24"/>
          <w:szCs w:val="24"/>
        </w:rPr>
      </w:pPr>
      <w:r w:rsidRPr="003164CE">
        <w:rPr>
          <w:rFonts w:ascii="Tahoma" w:hAnsi="Tahoma" w:cs="Tahoma"/>
          <w:sz w:val="24"/>
          <w:szCs w:val="24"/>
        </w:rPr>
        <w:t>Acțiunile prioritare ce urmează a fi dezvoltate de ANAF în perioada următoare, care au ca scop creșterea veniturilor bugetare, sunt:</w:t>
      </w:r>
    </w:p>
    <w:p w:rsidR="00327641" w:rsidRPr="003164CE" w:rsidRDefault="00327641" w:rsidP="0025353E">
      <w:pPr>
        <w:pStyle w:val="ListParagraph"/>
        <w:numPr>
          <w:ilvl w:val="0"/>
          <w:numId w:val="13"/>
        </w:numPr>
        <w:spacing w:before="120" w:after="120" w:line="276" w:lineRule="auto"/>
        <w:ind w:left="641" w:hanging="357"/>
        <w:contextualSpacing w:val="0"/>
        <w:rPr>
          <w:rFonts w:ascii="Tahoma" w:hAnsi="Tahoma" w:cs="Tahoma"/>
          <w:b/>
          <w:i/>
          <w:sz w:val="24"/>
          <w:szCs w:val="24"/>
        </w:rPr>
      </w:pPr>
      <w:r w:rsidRPr="003164CE">
        <w:rPr>
          <w:rFonts w:ascii="Tahoma" w:hAnsi="Tahoma" w:cs="Tahoma"/>
          <w:b/>
          <w:i/>
          <w:sz w:val="24"/>
          <w:szCs w:val="24"/>
        </w:rPr>
        <w:t>Asigurarea de servicii moderne către contribuabili și comunitate prin:</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hAnsi="Tahoma" w:cs="Tahoma"/>
          <w:color w:val="000000" w:themeColor="text1"/>
          <w:sz w:val="24"/>
          <w:szCs w:val="24"/>
        </w:rPr>
      </w:pPr>
      <w:r w:rsidRPr="003164CE">
        <w:rPr>
          <w:rFonts w:ascii="Tahoma" w:hAnsi="Tahoma" w:cs="Tahoma"/>
          <w:color w:val="000000" w:themeColor="text1"/>
          <w:sz w:val="24"/>
          <w:szCs w:val="24"/>
        </w:rPr>
        <w:lastRenderedPageBreak/>
        <w:t xml:space="preserve">Asigurarea interacțiunii digitale cu contribuabilii, disponibilă 24/7, ușor accesibilă, adaptată nevoilor contribuabililor, respectiv: </w:t>
      </w:r>
    </w:p>
    <w:p w:rsidR="001A2D92" w:rsidRPr="003164CE" w:rsidRDefault="001A2D92" w:rsidP="0025353E">
      <w:pPr>
        <w:pStyle w:val="ListParagraph"/>
        <w:numPr>
          <w:ilvl w:val="0"/>
          <w:numId w:val="16"/>
        </w:numPr>
        <w:spacing w:before="120" w:after="120" w:line="276" w:lineRule="auto"/>
        <w:ind w:left="1208" w:hanging="357"/>
        <w:contextualSpacing w:val="0"/>
        <w:rPr>
          <w:rFonts w:ascii="Tahoma" w:hAnsi="Tahoma" w:cs="Tahoma"/>
          <w:color w:val="000000" w:themeColor="text1"/>
          <w:sz w:val="24"/>
          <w:szCs w:val="24"/>
        </w:rPr>
      </w:pPr>
      <w:r w:rsidRPr="003164CE">
        <w:rPr>
          <w:rFonts w:ascii="Tahoma" w:hAnsi="Tahoma" w:cs="Tahoma"/>
          <w:color w:val="000000" w:themeColor="text1"/>
          <w:sz w:val="24"/>
          <w:szCs w:val="24"/>
        </w:rPr>
        <w:t xml:space="preserve">implementarea sistemului de tip agent conversațional – </w:t>
      </w:r>
      <w:proofErr w:type="spellStart"/>
      <w:r w:rsidRPr="003164CE">
        <w:rPr>
          <w:rFonts w:ascii="Tahoma" w:hAnsi="Tahoma" w:cs="Tahoma"/>
          <w:color w:val="000000" w:themeColor="text1"/>
          <w:sz w:val="24"/>
          <w:szCs w:val="24"/>
        </w:rPr>
        <w:t>chatbot</w:t>
      </w:r>
      <w:proofErr w:type="spellEnd"/>
      <w:r w:rsidRPr="003164CE">
        <w:rPr>
          <w:rFonts w:ascii="Tahoma" w:hAnsi="Tahoma" w:cs="Tahoma"/>
          <w:color w:val="000000" w:themeColor="text1"/>
          <w:sz w:val="24"/>
          <w:szCs w:val="24"/>
        </w:rPr>
        <w:t xml:space="preserve"> și integrarea acestuia cu portalul ANAF și cu</w:t>
      </w:r>
      <w:r w:rsidRPr="003164CE">
        <w:rPr>
          <w:rFonts w:ascii="Tahoma" w:eastAsia="SimSun" w:hAnsi="Tahoma" w:cs="Tahoma"/>
          <w:color w:val="000000" w:themeColor="text1"/>
          <w:sz w:val="24"/>
          <w:szCs w:val="24"/>
          <w:lang w:eastAsia="zh-CN"/>
        </w:rPr>
        <w:t xml:space="preserve"> </w:t>
      </w:r>
      <w:r w:rsidRPr="003164CE">
        <w:rPr>
          <w:rFonts w:ascii="Tahoma" w:hAnsi="Tahoma" w:cs="Tahoma"/>
          <w:color w:val="000000" w:themeColor="text1"/>
          <w:sz w:val="24"/>
          <w:szCs w:val="24"/>
        </w:rPr>
        <w:t>serviciul Spațiul Privat Virtual, cu soluția Contact-</w:t>
      </w:r>
      <w:proofErr w:type="spellStart"/>
      <w:r w:rsidRPr="003164CE">
        <w:rPr>
          <w:rFonts w:ascii="Tahoma" w:hAnsi="Tahoma" w:cs="Tahoma"/>
          <w:color w:val="000000" w:themeColor="text1"/>
          <w:sz w:val="24"/>
          <w:szCs w:val="24"/>
        </w:rPr>
        <w:t>center</w:t>
      </w:r>
      <w:proofErr w:type="spellEnd"/>
      <w:r w:rsidRPr="003164CE">
        <w:rPr>
          <w:rFonts w:ascii="Tahoma" w:hAnsi="Tahoma" w:cs="Tahoma"/>
          <w:color w:val="000000" w:themeColor="text1"/>
          <w:sz w:val="24"/>
          <w:szCs w:val="24"/>
        </w:rPr>
        <w:t xml:space="preserve"> și crearea posibilității de integrare cu alte canale disponibile; </w:t>
      </w:r>
    </w:p>
    <w:p w:rsidR="001A2D92" w:rsidRPr="003164CE" w:rsidRDefault="001A2D92" w:rsidP="0025353E">
      <w:pPr>
        <w:pStyle w:val="ListParagraph"/>
        <w:numPr>
          <w:ilvl w:val="0"/>
          <w:numId w:val="16"/>
        </w:numPr>
        <w:spacing w:before="120" w:after="120" w:line="276" w:lineRule="auto"/>
        <w:ind w:left="1208" w:hanging="357"/>
        <w:contextualSpacing w:val="0"/>
        <w:rPr>
          <w:rFonts w:ascii="Tahoma" w:hAnsi="Tahoma" w:cs="Tahoma"/>
          <w:color w:val="000000" w:themeColor="text1"/>
          <w:sz w:val="24"/>
          <w:szCs w:val="24"/>
        </w:rPr>
      </w:pPr>
      <w:r w:rsidRPr="003164CE">
        <w:rPr>
          <w:rFonts w:ascii="Tahoma" w:hAnsi="Tahoma" w:cs="Tahoma"/>
          <w:color w:val="000000" w:themeColor="text1"/>
          <w:sz w:val="24"/>
          <w:szCs w:val="24"/>
        </w:rPr>
        <w:t xml:space="preserve">implementarea platformei audio-video pentru audierea online a contribuabililor și integrarea acesteia cu portalul internet al ANAF și cu serviciul Spațiul Privat Virtual; </w:t>
      </w:r>
    </w:p>
    <w:p w:rsidR="001A2D92" w:rsidRPr="003164CE" w:rsidRDefault="001A2D92" w:rsidP="0025353E">
      <w:pPr>
        <w:pStyle w:val="ListParagraph"/>
        <w:numPr>
          <w:ilvl w:val="0"/>
          <w:numId w:val="16"/>
        </w:numPr>
        <w:spacing w:before="120" w:after="120" w:line="276" w:lineRule="auto"/>
        <w:ind w:left="1208" w:hanging="357"/>
        <w:contextualSpacing w:val="0"/>
        <w:rPr>
          <w:rFonts w:ascii="Tahoma" w:hAnsi="Tahoma" w:cs="Tahoma"/>
          <w:color w:val="000000" w:themeColor="text1"/>
          <w:sz w:val="24"/>
          <w:szCs w:val="24"/>
        </w:rPr>
      </w:pPr>
      <w:r w:rsidRPr="003164CE">
        <w:rPr>
          <w:rFonts w:ascii="Tahoma" w:hAnsi="Tahoma" w:cs="Tahoma"/>
          <w:color w:val="000000" w:themeColor="text1"/>
          <w:sz w:val="24"/>
          <w:szCs w:val="24"/>
        </w:rPr>
        <w:t>extinderea gamei de servicii oferite contribuabililor prin intermediul Contact-</w:t>
      </w:r>
      <w:proofErr w:type="spellStart"/>
      <w:r w:rsidRPr="003164CE">
        <w:rPr>
          <w:rFonts w:ascii="Tahoma" w:hAnsi="Tahoma" w:cs="Tahoma"/>
          <w:color w:val="000000" w:themeColor="text1"/>
          <w:sz w:val="24"/>
          <w:szCs w:val="24"/>
        </w:rPr>
        <w:t>center</w:t>
      </w:r>
      <w:proofErr w:type="spellEnd"/>
      <w:r w:rsidRPr="003164CE">
        <w:rPr>
          <w:rFonts w:ascii="Tahoma" w:hAnsi="Tahoma" w:cs="Tahoma"/>
          <w:color w:val="000000" w:themeColor="text1"/>
          <w:sz w:val="24"/>
          <w:szCs w:val="24"/>
        </w:rPr>
        <w:t xml:space="preserve">-ului. </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hAnsi="Tahoma" w:cs="Tahoma"/>
          <w:color w:val="000000" w:themeColor="text1"/>
          <w:sz w:val="24"/>
          <w:szCs w:val="24"/>
        </w:rPr>
      </w:pPr>
      <w:r w:rsidRPr="003164CE">
        <w:rPr>
          <w:rFonts w:ascii="Tahoma" w:hAnsi="Tahoma" w:cs="Tahoma"/>
          <w:color w:val="000000" w:themeColor="text1"/>
          <w:sz w:val="24"/>
          <w:szCs w:val="24"/>
        </w:rPr>
        <w:t xml:space="preserve">Simplificarea constantă a interacțiunii digitale cu contribuabilii, inclusiv </w:t>
      </w:r>
      <w:proofErr w:type="spellStart"/>
      <w:r w:rsidRPr="003164CE">
        <w:rPr>
          <w:rFonts w:ascii="Tahoma" w:hAnsi="Tahoma" w:cs="Tahoma"/>
          <w:color w:val="000000" w:themeColor="text1"/>
          <w:sz w:val="24"/>
          <w:szCs w:val="24"/>
        </w:rPr>
        <w:t>precompletarea</w:t>
      </w:r>
      <w:proofErr w:type="spellEnd"/>
      <w:r w:rsidRPr="003164CE">
        <w:rPr>
          <w:rFonts w:ascii="Tahoma" w:hAnsi="Tahoma" w:cs="Tahoma"/>
          <w:color w:val="000000" w:themeColor="text1"/>
          <w:sz w:val="24"/>
          <w:szCs w:val="24"/>
        </w:rPr>
        <w:t xml:space="preserve"> formularelor fiscale: </w:t>
      </w:r>
    </w:p>
    <w:p w:rsidR="001A2D92" w:rsidRPr="003164CE" w:rsidRDefault="001A2D92" w:rsidP="0025353E">
      <w:pPr>
        <w:pStyle w:val="ListParagraph"/>
        <w:numPr>
          <w:ilvl w:val="0"/>
          <w:numId w:val="16"/>
        </w:numPr>
        <w:spacing w:before="120" w:after="120" w:line="276" w:lineRule="auto"/>
        <w:ind w:left="1208" w:hanging="357"/>
        <w:rPr>
          <w:rFonts w:ascii="Tahoma" w:eastAsia="SimSun" w:hAnsi="Tahoma" w:cs="Tahoma"/>
          <w:color w:val="000000"/>
          <w:sz w:val="24"/>
          <w:szCs w:val="24"/>
        </w:rPr>
      </w:pPr>
      <w:r w:rsidRPr="003164CE">
        <w:rPr>
          <w:rFonts w:ascii="Tahoma" w:eastAsia="SimSun" w:hAnsi="Tahoma" w:cs="Tahoma"/>
          <w:color w:val="000000"/>
          <w:sz w:val="24"/>
          <w:szCs w:val="24"/>
        </w:rPr>
        <w:t xml:space="preserve">simplificarea și digitalizarea formularelor pentru contribuabilii mici și pentru persoanele fizice; </w:t>
      </w:r>
    </w:p>
    <w:p w:rsidR="001A2D92" w:rsidRPr="003164CE" w:rsidRDefault="001A2D92" w:rsidP="0025353E">
      <w:pPr>
        <w:pStyle w:val="ListParagraph"/>
        <w:numPr>
          <w:ilvl w:val="0"/>
          <w:numId w:val="16"/>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 xml:space="preserve">efectuarea de analize pentru identificarea altor formulare care ar putea fi simplificate și </w:t>
      </w:r>
      <w:proofErr w:type="spellStart"/>
      <w:r w:rsidRPr="003164CE">
        <w:rPr>
          <w:rFonts w:ascii="Tahoma" w:eastAsia="SimSun" w:hAnsi="Tahoma" w:cs="Tahoma"/>
          <w:color w:val="000000"/>
          <w:sz w:val="24"/>
          <w:szCs w:val="24"/>
        </w:rPr>
        <w:t>precompletate</w:t>
      </w:r>
      <w:proofErr w:type="spellEnd"/>
      <w:r w:rsidRPr="003164CE">
        <w:rPr>
          <w:rFonts w:ascii="Tahoma" w:eastAsia="SimSun" w:hAnsi="Tahoma" w:cs="Tahoma"/>
          <w:color w:val="000000"/>
          <w:sz w:val="24"/>
          <w:szCs w:val="24"/>
        </w:rPr>
        <w:t>.</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hAnsi="Tahoma" w:cs="Tahoma"/>
          <w:color w:val="000000" w:themeColor="text1"/>
          <w:sz w:val="24"/>
          <w:szCs w:val="24"/>
        </w:rPr>
      </w:pPr>
      <w:r w:rsidRPr="003164CE">
        <w:rPr>
          <w:rFonts w:ascii="Tahoma" w:hAnsi="Tahoma" w:cs="Tahoma"/>
          <w:color w:val="000000" w:themeColor="text1"/>
          <w:sz w:val="24"/>
          <w:szCs w:val="24"/>
        </w:rPr>
        <w:t xml:space="preserve">Utilizarea feedback-ului de la contribuabili în cadrul unui proces structurat pentru realizarea design-ului serviciilor oferite de administrația fiscală sau pentru îmbunătățirea acestora: </w:t>
      </w:r>
    </w:p>
    <w:p w:rsidR="001A2D92" w:rsidRPr="003164CE" w:rsidRDefault="001A2D92" w:rsidP="0025353E">
      <w:pPr>
        <w:pStyle w:val="ListParagraph"/>
        <w:numPr>
          <w:ilvl w:val="0"/>
          <w:numId w:val="16"/>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implementarea mecanismului de consultare cu contribuabilii în vederea realizării design-ului de noi servicii sau îmbunătățirea celor existente.</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hAnsi="Tahoma" w:cs="Tahoma"/>
          <w:color w:val="000000" w:themeColor="text1"/>
          <w:sz w:val="24"/>
          <w:szCs w:val="24"/>
        </w:rPr>
      </w:pPr>
      <w:r w:rsidRPr="003164CE">
        <w:rPr>
          <w:rFonts w:ascii="Tahoma" w:hAnsi="Tahoma" w:cs="Tahoma"/>
          <w:color w:val="000000" w:themeColor="text1"/>
          <w:sz w:val="24"/>
          <w:szCs w:val="24"/>
        </w:rPr>
        <w:t xml:space="preserve">Adaptarea serviciilor și a comunicării pentru a răspunde nevoilor specifice anumitor segmente de contribuabili (de exemplu, mari contribuabili, mijlocii etc.): </w:t>
      </w:r>
    </w:p>
    <w:p w:rsidR="001A2D92" w:rsidRPr="003164CE" w:rsidRDefault="001A2D92" w:rsidP="0025353E">
      <w:pPr>
        <w:pStyle w:val="ListParagraph"/>
        <w:numPr>
          <w:ilvl w:val="0"/>
          <w:numId w:val="16"/>
        </w:numPr>
        <w:spacing w:before="120" w:after="120" w:line="276" w:lineRule="auto"/>
        <w:ind w:left="1208" w:hanging="357"/>
        <w:rPr>
          <w:rFonts w:ascii="Tahoma" w:eastAsia="SimSun" w:hAnsi="Tahoma" w:cs="Tahoma"/>
          <w:color w:val="000000"/>
          <w:sz w:val="24"/>
          <w:szCs w:val="24"/>
        </w:rPr>
      </w:pPr>
      <w:r w:rsidRPr="003164CE">
        <w:rPr>
          <w:rFonts w:ascii="Tahoma" w:eastAsia="SimSun" w:hAnsi="Tahoma" w:cs="Tahoma"/>
          <w:color w:val="000000"/>
          <w:sz w:val="24"/>
          <w:szCs w:val="24"/>
        </w:rPr>
        <w:t xml:space="preserve">dezvoltarea informațiilor specifice pentru contribuabili cu deficiențe de vedere sau auz; </w:t>
      </w:r>
    </w:p>
    <w:p w:rsidR="001A2D92" w:rsidRPr="003164CE" w:rsidRDefault="001A2D92" w:rsidP="0025353E">
      <w:pPr>
        <w:pStyle w:val="ListParagraph"/>
        <w:numPr>
          <w:ilvl w:val="0"/>
          <w:numId w:val="16"/>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 xml:space="preserve">restructurarea portalului pentru a permite contribuabililor să găsească cu ușurință informațiile necesare diferitelor categorii de contribuabili, sau pentru diferite tipologii de problematici; </w:t>
      </w:r>
    </w:p>
    <w:p w:rsidR="008F706B" w:rsidRPr="003164CE" w:rsidRDefault="008F706B" w:rsidP="0025353E">
      <w:pPr>
        <w:pStyle w:val="ListParagraph"/>
        <w:numPr>
          <w:ilvl w:val="0"/>
          <w:numId w:val="12"/>
        </w:numPr>
        <w:spacing w:after="120"/>
        <w:ind w:left="357" w:hanging="357"/>
        <w:contextualSpacing w:val="0"/>
        <w:rPr>
          <w:rFonts w:ascii="Tahoma" w:eastAsia="SimSun" w:hAnsi="Tahoma" w:cs="Tahoma"/>
          <w:b/>
          <w:vanish/>
          <w:color w:val="000000"/>
          <w:sz w:val="24"/>
          <w:szCs w:val="24"/>
        </w:rPr>
      </w:pPr>
      <w:r w:rsidRPr="003164CE">
        <w:rPr>
          <w:rFonts w:ascii="Tahoma" w:eastAsia="SimSun" w:hAnsi="Tahoma" w:cs="Tahoma"/>
          <w:b/>
          <w:vanish/>
          <w:color w:val="000000"/>
          <w:sz w:val="24"/>
          <w:szCs w:val="24"/>
        </w:rPr>
        <w:t>Reducerea decalajului fiscal prin:</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eastAsia="SimSun" w:hAnsi="Tahoma" w:cs="Tahoma"/>
          <w:color w:val="000000"/>
          <w:sz w:val="24"/>
          <w:szCs w:val="24"/>
        </w:rPr>
      </w:pPr>
      <w:r w:rsidRPr="003164CE">
        <w:rPr>
          <w:rFonts w:ascii="Tahoma" w:eastAsia="SimSun" w:hAnsi="Tahoma" w:cs="Tahoma"/>
          <w:color w:val="000000"/>
          <w:sz w:val="24"/>
          <w:szCs w:val="24"/>
        </w:rPr>
        <w:t xml:space="preserve">Stabilirea unui proces național centralizat pentru a evalua și </w:t>
      </w:r>
      <w:proofErr w:type="spellStart"/>
      <w:r w:rsidRPr="003164CE">
        <w:rPr>
          <w:rFonts w:ascii="Tahoma" w:eastAsia="SimSun" w:hAnsi="Tahoma" w:cs="Tahoma"/>
          <w:color w:val="000000"/>
          <w:sz w:val="24"/>
          <w:szCs w:val="24"/>
        </w:rPr>
        <w:t>prioritiza</w:t>
      </w:r>
      <w:proofErr w:type="spellEnd"/>
      <w:r w:rsidRPr="003164CE">
        <w:rPr>
          <w:rFonts w:ascii="Tahoma" w:eastAsia="SimSun" w:hAnsi="Tahoma" w:cs="Tahoma"/>
          <w:color w:val="000000"/>
          <w:sz w:val="24"/>
          <w:szCs w:val="24"/>
        </w:rPr>
        <w:t xml:space="preserve"> riscurile de neconformare fiscală pentru principalele impozite și taxe și dezvoltarea unui Registru electronic al riscurilor de neconformare fiscală, precum și un program național de îmbunătățire a conformării: </w:t>
      </w:r>
    </w:p>
    <w:p w:rsidR="000368F4" w:rsidRPr="003164CE" w:rsidRDefault="000368F4" w:rsidP="0025353E">
      <w:pPr>
        <w:pStyle w:val="ListParagraph"/>
        <w:numPr>
          <w:ilvl w:val="0"/>
          <w:numId w:val="17"/>
        </w:numPr>
        <w:spacing w:before="120" w:after="120" w:line="276" w:lineRule="auto"/>
        <w:ind w:left="1208" w:hanging="357"/>
        <w:rPr>
          <w:rFonts w:ascii="Tahoma" w:eastAsia="SimSun" w:hAnsi="Tahoma" w:cs="Tahoma"/>
          <w:color w:val="000000"/>
          <w:sz w:val="24"/>
          <w:szCs w:val="24"/>
        </w:rPr>
      </w:pPr>
      <w:r w:rsidRPr="003164CE">
        <w:rPr>
          <w:rFonts w:ascii="Tahoma" w:eastAsia="SimSun" w:hAnsi="Tahoma" w:cs="Tahoma"/>
          <w:color w:val="000000"/>
          <w:sz w:val="24"/>
          <w:szCs w:val="24"/>
        </w:rPr>
        <w:t xml:space="preserve">continuarea implementării unui proces structurat de analiză a riscurilor de neconformare fiscală pentru toate impozitele de bază, segmentele de contribuabili și sectoarele economice majore; </w:t>
      </w:r>
    </w:p>
    <w:p w:rsidR="000368F4" w:rsidRPr="003164CE" w:rsidRDefault="000368F4" w:rsidP="0025353E">
      <w:pPr>
        <w:pStyle w:val="ListParagraph"/>
        <w:numPr>
          <w:ilvl w:val="0"/>
          <w:numId w:val="17"/>
        </w:numPr>
        <w:spacing w:before="120" w:after="120" w:line="276" w:lineRule="auto"/>
        <w:ind w:left="1208" w:hanging="357"/>
        <w:rPr>
          <w:rFonts w:ascii="Tahoma" w:eastAsia="SimSun" w:hAnsi="Tahoma" w:cs="Tahoma"/>
          <w:color w:val="000000"/>
          <w:sz w:val="24"/>
          <w:szCs w:val="24"/>
        </w:rPr>
      </w:pPr>
      <w:r w:rsidRPr="003164CE">
        <w:rPr>
          <w:rFonts w:ascii="Tahoma" w:eastAsia="SimSun" w:hAnsi="Tahoma" w:cs="Tahoma"/>
          <w:color w:val="000000"/>
          <w:sz w:val="24"/>
          <w:szCs w:val="24"/>
        </w:rPr>
        <w:lastRenderedPageBreak/>
        <w:t xml:space="preserve">stabilirea responsabililor cu identificarea principalelor riscuri de neconformare fiscală; </w:t>
      </w:r>
    </w:p>
    <w:p w:rsidR="000368F4" w:rsidRPr="003164CE" w:rsidRDefault="000368F4" w:rsidP="0025353E">
      <w:pPr>
        <w:pStyle w:val="ListParagraph"/>
        <w:numPr>
          <w:ilvl w:val="0"/>
          <w:numId w:val="17"/>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proiectarea planurilor de îmbunătățire a conformării pentru cele mai importante riscuri de neconformare fiscală;</w:t>
      </w:r>
    </w:p>
    <w:p w:rsidR="000368F4" w:rsidRPr="003164CE" w:rsidRDefault="000368F4" w:rsidP="0025353E">
      <w:pPr>
        <w:pStyle w:val="ListParagraph"/>
        <w:numPr>
          <w:ilvl w:val="1"/>
          <w:numId w:val="12"/>
        </w:numPr>
        <w:spacing w:before="120" w:after="120" w:line="276" w:lineRule="auto"/>
        <w:ind w:left="998" w:hanging="431"/>
        <w:contextualSpacing w:val="0"/>
        <w:rPr>
          <w:rFonts w:ascii="Tahoma" w:eastAsia="SimSun" w:hAnsi="Tahoma" w:cs="Tahoma"/>
          <w:color w:val="000000"/>
          <w:sz w:val="24"/>
          <w:szCs w:val="24"/>
        </w:rPr>
      </w:pPr>
      <w:r w:rsidRPr="003164CE">
        <w:rPr>
          <w:rFonts w:ascii="Tahoma" w:eastAsia="SimSun" w:hAnsi="Tahoma" w:cs="Tahoma"/>
          <w:color w:val="000000"/>
          <w:sz w:val="24"/>
          <w:szCs w:val="24"/>
        </w:rPr>
        <w:t xml:space="preserve"> Proiectarea de sisteme și procese care să faciliteze îndeplinirea obligaț</w:t>
      </w:r>
      <w:r w:rsidR="00A96EAB" w:rsidRPr="003164CE">
        <w:rPr>
          <w:rFonts w:ascii="Tahoma" w:eastAsia="SimSun" w:hAnsi="Tahoma" w:cs="Tahoma"/>
          <w:color w:val="000000"/>
          <w:sz w:val="24"/>
          <w:szCs w:val="24"/>
        </w:rPr>
        <w:t>iilor de plată ale contribuabi</w:t>
      </w:r>
      <w:r w:rsidRPr="003164CE">
        <w:rPr>
          <w:rFonts w:ascii="Tahoma" w:eastAsia="SimSun" w:hAnsi="Tahoma" w:cs="Tahoma"/>
          <w:color w:val="000000"/>
          <w:sz w:val="24"/>
          <w:szCs w:val="24"/>
        </w:rPr>
        <w:t>lilor și să optimizeze nivelul de conformare voluntară:</w:t>
      </w:r>
    </w:p>
    <w:p w:rsidR="001A2D92" w:rsidRPr="003164CE" w:rsidRDefault="001A2D92" w:rsidP="0025353E">
      <w:pPr>
        <w:pStyle w:val="ListParagraph"/>
        <w:numPr>
          <w:ilvl w:val="0"/>
          <w:numId w:val="17"/>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 xml:space="preserve">Implementarea Decontului </w:t>
      </w:r>
      <w:proofErr w:type="spellStart"/>
      <w:r w:rsidRPr="003164CE">
        <w:rPr>
          <w:rFonts w:ascii="Tahoma" w:eastAsia="SimSun" w:hAnsi="Tahoma" w:cs="Tahoma"/>
          <w:color w:val="000000"/>
          <w:sz w:val="24"/>
          <w:szCs w:val="24"/>
        </w:rPr>
        <w:t>precompletat</w:t>
      </w:r>
      <w:proofErr w:type="spellEnd"/>
      <w:r w:rsidRPr="003164CE">
        <w:rPr>
          <w:rFonts w:ascii="Tahoma" w:eastAsia="SimSun" w:hAnsi="Tahoma" w:cs="Tahoma"/>
          <w:color w:val="000000"/>
          <w:sz w:val="24"/>
          <w:szCs w:val="24"/>
        </w:rPr>
        <w:t xml:space="preserve"> RO e-TVA.</w:t>
      </w:r>
    </w:p>
    <w:p w:rsidR="000368F4" w:rsidRPr="003164CE" w:rsidRDefault="000368F4" w:rsidP="0025353E">
      <w:pPr>
        <w:pStyle w:val="ListParagraph"/>
        <w:numPr>
          <w:ilvl w:val="1"/>
          <w:numId w:val="12"/>
        </w:numPr>
        <w:spacing w:before="120" w:after="120" w:line="276" w:lineRule="auto"/>
        <w:ind w:left="998" w:hanging="431"/>
        <w:contextualSpacing w:val="0"/>
        <w:rPr>
          <w:rFonts w:ascii="Tahoma" w:eastAsia="SimSun" w:hAnsi="Tahoma" w:cs="Tahoma"/>
          <w:color w:val="000000"/>
          <w:sz w:val="24"/>
          <w:szCs w:val="24"/>
        </w:rPr>
      </w:pPr>
      <w:r w:rsidRPr="003164CE">
        <w:rPr>
          <w:rFonts w:ascii="Tahoma" w:eastAsia="SimSun" w:hAnsi="Tahoma" w:cs="Tahoma"/>
          <w:color w:val="000000"/>
          <w:sz w:val="24"/>
          <w:szCs w:val="24"/>
        </w:rPr>
        <w:t>Efectuarea de analize detaliate ale sistemului de TVA și valorificarea rezultatelor pentru a identifica potențialele consolidări ale procedurilor de administrare, dar și zonele ce generează pierderi semnificative de încasări și pentru a dezvolta strategii de răspuns cuprinzătoare, inclusiv planificarea acțiunilor antifraudă și folosirea optimă a instrumentelor de cooperare administrativă internațională</w:t>
      </w:r>
      <w:r w:rsidR="00A96EAB" w:rsidRPr="003164CE">
        <w:rPr>
          <w:rFonts w:ascii="Tahoma" w:eastAsia="SimSun" w:hAnsi="Tahoma" w:cs="Tahoma"/>
          <w:color w:val="000000"/>
          <w:sz w:val="24"/>
          <w:szCs w:val="24"/>
        </w:rPr>
        <w:t>:</w:t>
      </w:r>
    </w:p>
    <w:p w:rsidR="001A2D92" w:rsidRPr="003164CE" w:rsidRDefault="001A2D92" w:rsidP="0025353E">
      <w:pPr>
        <w:pStyle w:val="ListParagraph"/>
        <w:numPr>
          <w:ilvl w:val="0"/>
          <w:numId w:val="17"/>
        </w:numPr>
        <w:suppressAutoHyphens/>
        <w:spacing w:before="120" w:after="120" w:line="276" w:lineRule="auto"/>
        <w:ind w:left="1208" w:hanging="357"/>
        <w:contextualSpacing w:val="0"/>
        <w:rPr>
          <w:rFonts w:ascii="Tahoma" w:eastAsia="Calibri" w:hAnsi="Tahoma" w:cs="Tahoma"/>
          <w:color w:val="000000"/>
          <w:sz w:val="24"/>
          <w:szCs w:val="24"/>
        </w:rPr>
      </w:pPr>
      <w:r w:rsidRPr="003164CE">
        <w:rPr>
          <w:rFonts w:ascii="Tahoma" w:eastAsia="Calibri" w:hAnsi="Tahoma" w:cs="Tahoma"/>
          <w:color w:val="000000"/>
          <w:sz w:val="24"/>
          <w:szCs w:val="24"/>
        </w:rPr>
        <w:t>Consolidarea analizei privind decalajul de TVA, pe categorii de sectoare economice, regiuni și segmente de contribuabili;</w:t>
      </w:r>
    </w:p>
    <w:p w:rsidR="001A2D92" w:rsidRPr="003164CE" w:rsidRDefault="001A2D92" w:rsidP="0025353E">
      <w:pPr>
        <w:pStyle w:val="ListParagraph"/>
        <w:numPr>
          <w:ilvl w:val="0"/>
          <w:numId w:val="17"/>
        </w:numPr>
        <w:suppressAutoHyphens/>
        <w:spacing w:before="120" w:after="120" w:line="276" w:lineRule="auto"/>
        <w:ind w:left="1208" w:hanging="357"/>
        <w:contextualSpacing w:val="0"/>
        <w:rPr>
          <w:rFonts w:ascii="Tahoma" w:eastAsia="Calibri" w:hAnsi="Tahoma" w:cs="Tahoma"/>
          <w:color w:val="000000"/>
          <w:sz w:val="24"/>
          <w:szCs w:val="24"/>
        </w:rPr>
      </w:pPr>
      <w:r w:rsidRPr="003164CE">
        <w:rPr>
          <w:rFonts w:ascii="Tahoma" w:eastAsia="Calibri" w:hAnsi="Tahoma" w:cs="Tahoma"/>
          <w:color w:val="000000"/>
          <w:sz w:val="24"/>
          <w:szCs w:val="24"/>
        </w:rPr>
        <w:t>Identificarea comportamentelor agresive de optimizare fiscală, de fraudare, neconforme ale contribuabililor;</w:t>
      </w:r>
    </w:p>
    <w:p w:rsidR="001A2D92" w:rsidRPr="003164CE" w:rsidRDefault="001A2D92" w:rsidP="0025353E">
      <w:pPr>
        <w:pStyle w:val="ListParagraph"/>
        <w:numPr>
          <w:ilvl w:val="0"/>
          <w:numId w:val="17"/>
        </w:numPr>
        <w:suppressAutoHyphens/>
        <w:spacing w:before="120" w:after="120" w:line="276" w:lineRule="auto"/>
        <w:ind w:left="1208" w:hanging="357"/>
        <w:contextualSpacing w:val="0"/>
        <w:rPr>
          <w:rFonts w:ascii="Tahoma" w:eastAsia="Calibri" w:hAnsi="Tahoma" w:cs="Tahoma"/>
          <w:color w:val="000000"/>
          <w:sz w:val="24"/>
          <w:szCs w:val="24"/>
        </w:rPr>
      </w:pPr>
      <w:r w:rsidRPr="003164CE">
        <w:rPr>
          <w:rFonts w:ascii="Tahoma" w:eastAsia="Calibri" w:hAnsi="Tahoma" w:cs="Tahoma"/>
          <w:color w:val="000000"/>
          <w:sz w:val="24"/>
          <w:szCs w:val="24"/>
        </w:rPr>
        <w:t xml:space="preserve">Dezvoltarea și rafinarea algoritmilor ce vor fi utilizați în vederea identificării activităților de fraudă și evaziune fiscală; </w:t>
      </w:r>
    </w:p>
    <w:p w:rsidR="001A2D92" w:rsidRPr="003164CE" w:rsidRDefault="001A2D92" w:rsidP="0025353E">
      <w:pPr>
        <w:pStyle w:val="ListParagraph"/>
        <w:numPr>
          <w:ilvl w:val="0"/>
          <w:numId w:val="17"/>
        </w:numPr>
        <w:suppressAutoHyphens/>
        <w:spacing w:before="120" w:after="120" w:line="276" w:lineRule="auto"/>
        <w:ind w:left="1208" w:hanging="357"/>
        <w:contextualSpacing w:val="0"/>
        <w:rPr>
          <w:rFonts w:ascii="Tahoma" w:eastAsia="Calibri" w:hAnsi="Tahoma" w:cs="Tahoma"/>
          <w:color w:val="000000"/>
          <w:sz w:val="24"/>
          <w:szCs w:val="24"/>
        </w:rPr>
      </w:pPr>
      <w:r w:rsidRPr="003164CE">
        <w:rPr>
          <w:rFonts w:ascii="Tahoma" w:eastAsia="Calibri" w:hAnsi="Tahoma" w:cs="Tahoma"/>
          <w:color w:val="000000"/>
          <w:sz w:val="24"/>
          <w:szCs w:val="24"/>
        </w:rPr>
        <w:t>Proiectarea strategiilor pentru a gestiona cele mai importante zone de risc.</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eastAsia="SimSun" w:hAnsi="Tahoma" w:cs="Tahoma"/>
          <w:color w:val="000000"/>
          <w:sz w:val="24"/>
          <w:szCs w:val="24"/>
        </w:rPr>
      </w:pPr>
      <w:r w:rsidRPr="003164CE">
        <w:rPr>
          <w:rFonts w:ascii="Tahoma" w:eastAsia="SimSun" w:hAnsi="Tahoma" w:cs="Tahoma"/>
          <w:color w:val="000000"/>
          <w:sz w:val="24"/>
          <w:szCs w:val="24"/>
        </w:rPr>
        <w:t>Efectuarea de analize pentru o înțelegere cuprinzătoare a factorilor care conduc la comportamentul neconform al contribuabililor și utilizarea constatărilor pentru a concepe strategii de răspuns pentru:</w:t>
      </w:r>
    </w:p>
    <w:p w:rsidR="001A2D92" w:rsidRPr="003164CE" w:rsidRDefault="001A2D92" w:rsidP="0025353E">
      <w:pPr>
        <w:pStyle w:val="ListParagraph"/>
        <w:numPr>
          <w:ilvl w:val="0"/>
          <w:numId w:val="18"/>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utilizarea metodologiei de analiză comportamentală și a elementelor modelului de conformare pentru a identifica factorii care conduc la comportamentele de neconformare;</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eastAsia="SimSun" w:hAnsi="Tahoma" w:cs="Tahoma"/>
          <w:color w:val="000000"/>
          <w:sz w:val="24"/>
          <w:szCs w:val="24"/>
        </w:rPr>
      </w:pPr>
      <w:r w:rsidRPr="003164CE">
        <w:rPr>
          <w:rFonts w:ascii="Tahoma" w:eastAsia="SimSun" w:hAnsi="Tahoma" w:cs="Tahoma"/>
          <w:color w:val="000000"/>
          <w:sz w:val="24"/>
          <w:szCs w:val="24"/>
        </w:rPr>
        <w:t>Îmbunătățirea capacității funcției de control fiscal, incluzând un proces structurat de analiză a eficacității acestei funcții și utilizarea rezultatelor pentru a îmbunătăți evaluarea riscurilor și funcția de control fiscal:</w:t>
      </w:r>
    </w:p>
    <w:p w:rsidR="001A2D92" w:rsidRPr="003164CE" w:rsidRDefault="001A2D92" w:rsidP="0025353E">
      <w:pPr>
        <w:pStyle w:val="ListParagraph"/>
        <w:numPr>
          <w:ilvl w:val="0"/>
          <w:numId w:val="18"/>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Dezvoltarea unei metodologii pentru efectuarea unor analize detaliate ale controlului fiscal astfel încât să fie identificate atât activitățile eficiente, cât și cele deficitare;</w:t>
      </w:r>
    </w:p>
    <w:p w:rsidR="001A2D92" w:rsidRPr="003164CE" w:rsidRDefault="001A2D92" w:rsidP="0025353E">
      <w:pPr>
        <w:pStyle w:val="ListParagraph"/>
        <w:numPr>
          <w:ilvl w:val="0"/>
          <w:numId w:val="18"/>
        </w:numPr>
        <w:suppressAutoHyphens/>
        <w:spacing w:before="120" w:after="120" w:line="276" w:lineRule="auto"/>
        <w:ind w:left="1208" w:hanging="357"/>
        <w:contextualSpacing w:val="0"/>
        <w:rPr>
          <w:rFonts w:ascii="Tahoma" w:eastAsia="Calibri" w:hAnsi="Tahoma" w:cs="Tahoma"/>
          <w:color w:val="000000"/>
          <w:sz w:val="24"/>
          <w:szCs w:val="24"/>
        </w:rPr>
      </w:pPr>
      <w:r w:rsidRPr="003164CE">
        <w:rPr>
          <w:rFonts w:ascii="Tahoma" w:eastAsia="Calibri" w:hAnsi="Tahoma" w:cs="Tahoma"/>
          <w:color w:val="000000"/>
          <w:sz w:val="24"/>
          <w:szCs w:val="24"/>
        </w:rPr>
        <w:t xml:space="preserve">Utilizarea acestor analize ca feedback pentru procesul centralizat de evaluare a riscurilor; </w:t>
      </w:r>
    </w:p>
    <w:p w:rsidR="001A2D92" w:rsidRPr="003164CE" w:rsidRDefault="001A2D92" w:rsidP="0025353E">
      <w:pPr>
        <w:pStyle w:val="ListParagraph"/>
        <w:numPr>
          <w:ilvl w:val="0"/>
          <w:numId w:val="18"/>
        </w:numPr>
        <w:suppressAutoHyphens/>
        <w:spacing w:before="120" w:after="120" w:line="276" w:lineRule="auto"/>
        <w:ind w:left="1208" w:hanging="357"/>
        <w:contextualSpacing w:val="0"/>
        <w:rPr>
          <w:rFonts w:ascii="Tahoma" w:eastAsia="Calibri" w:hAnsi="Tahoma" w:cs="Tahoma"/>
          <w:color w:val="000000"/>
          <w:sz w:val="24"/>
          <w:szCs w:val="24"/>
        </w:rPr>
      </w:pPr>
      <w:r w:rsidRPr="003164CE">
        <w:rPr>
          <w:rFonts w:ascii="Tahoma" w:eastAsia="Calibri" w:hAnsi="Tahoma" w:cs="Tahoma"/>
          <w:color w:val="000000"/>
          <w:sz w:val="24"/>
          <w:szCs w:val="24"/>
        </w:rPr>
        <w:t>Dezvoltarea și implementarea unui cadru structurat de măsurare a performanței pentru managementul riscului de neconformare, inclusiv un set de indicatori strategici de performanță ;</w:t>
      </w:r>
    </w:p>
    <w:p w:rsidR="001A2D92" w:rsidRPr="003164CE" w:rsidRDefault="001A2D92" w:rsidP="0025353E">
      <w:pPr>
        <w:pStyle w:val="ListParagraph"/>
        <w:numPr>
          <w:ilvl w:val="1"/>
          <w:numId w:val="12"/>
        </w:numPr>
        <w:spacing w:before="120" w:after="120" w:line="276" w:lineRule="auto"/>
        <w:ind w:left="998" w:hanging="431"/>
        <w:contextualSpacing w:val="0"/>
        <w:rPr>
          <w:rFonts w:ascii="Tahoma" w:eastAsia="SimSun" w:hAnsi="Tahoma" w:cs="Tahoma"/>
          <w:color w:val="000000"/>
          <w:sz w:val="24"/>
          <w:szCs w:val="24"/>
        </w:rPr>
      </w:pPr>
      <w:r w:rsidRPr="003164CE">
        <w:rPr>
          <w:rFonts w:ascii="Tahoma" w:eastAsia="SimSun" w:hAnsi="Tahoma" w:cs="Tahoma"/>
          <w:color w:val="000000"/>
          <w:sz w:val="24"/>
          <w:szCs w:val="24"/>
        </w:rPr>
        <w:lastRenderedPageBreak/>
        <w:t>Prevenirea acumulării de noi arierate fiscale:</w:t>
      </w:r>
    </w:p>
    <w:p w:rsidR="001A2D92" w:rsidRPr="003164CE" w:rsidRDefault="001A2D92" w:rsidP="0025353E">
      <w:pPr>
        <w:pStyle w:val="ListParagraph"/>
        <w:numPr>
          <w:ilvl w:val="0"/>
          <w:numId w:val="19"/>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Utilizarea unei abordări bazată pe risc pentru a proiecta activități specifice care vor reduce acumularea arieratelor fiscale.</w:t>
      </w:r>
    </w:p>
    <w:p w:rsidR="001A2D92" w:rsidRPr="003164CE" w:rsidRDefault="00805081" w:rsidP="0025353E">
      <w:pPr>
        <w:pStyle w:val="ListParagraph"/>
        <w:numPr>
          <w:ilvl w:val="0"/>
          <w:numId w:val="12"/>
        </w:numPr>
        <w:suppressAutoHyphens/>
        <w:spacing w:before="120" w:after="120" w:line="276" w:lineRule="auto"/>
        <w:contextualSpacing w:val="0"/>
        <w:rPr>
          <w:rFonts w:ascii="Tahoma" w:eastAsia="Calibri" w:hAnsi="Tahoma" w:cs="Tahoma"/>
          <w:color w:val="000000"/>
          <w:sz w:val="24"/>
          <w:szCs w:val="24"/>
        </w:rPr>
      </w:pPr>
      <w:r w:rsidRPr="003164CE">
        <w:rPr>
          <w:rFonts w:ascii="Tahoma" w:eastAsia="Calibri" w:hAnsi="Tahoma" w:cs="Tahoma"/>
          <w:b/>
          <w:color w:val="000000"/>
          <w:sz w:val="24"/>
          <w:szCs w:val="24"/>
        </w:rPr>
        <w:t>Modernizarea organizației prin</w:t>
      </w:r>
      <w:r w:rsidRPr="003164CE">
        <w:rPr>
          <w:rFonts w:ascii="Tahoma" w:eastAsia="Calibri" w:hAnsi="Tahoma" w:cs="Tahoma"/>
          <w:color w:val="000000"/>
          <w:sz w:val="24"/>
          <w:szCs w:val="24"/>
        </w:rPr>
        <w:t>:</w:t>
      </w:r>
    </w:p>
    <w:p w:rsidR="00805081" w:rsidRPr="003164CE" w:rsidRDefault="00805081" w:rsidP="0025353E">
      <w:pPr>
        <w:pStyle w:val="ListParagraph"/>
        <w:numPr>
          <w:ilvl w:val="1"/>
          <w:numId w:val="12"/>
        </w:numPr>
        <w:spacing w:before="120" w:after="120" w:line="276" w:lineRule="auto"/>
        <w:ind w:left="998" w:hanging="431"/>
        <w:contextualSpacing w:val="0"/>
        <w:rPr>
          <w:rFonts w:ascii="Tahoma" w:eastAsia="Calibri" w:hAnsi="Tahoma" w:cs="Tahoma"/>
          <w:color w:val="000000"/>
          <w:sz w:val="24"/>
          <w:szCs w:val="24"/>
        </w:rPr>
      </w:pPr>
      <w:r w:rsidRPr="003164CE">
        <w:rPr>
          <w:rFonts w:ascii="Tahoma" w:eastAsia="Calibri" w:hAnsi="Tahoma" w:cs="Tahoma"/>
          <w:color w:val="000000"/>
          <w:sz w:val="24"/>
          <w:szCs w:val="24"/>
        </w:rPr>
        <w:t>Asigurarea unui management bazat pe obiective, transpuse în programe și proiecte pe termen mediu, cuantificate prin indicatori calitativi și cantitativi care să permită o evaluare obiectivă a rezultatelor obținute în implementarea obiectivelor strategice ale organizației;</w:t>
      </w:r>
    </w:p>
    <w:p w:rsidR="00805081" w:rsidRPr="003164CE" w:rsidRDefault="00805081" w:rsidP="0025353E">
      <w:pPr>
        <w:pStyle w:val="ListParagraph"/>
        <w:numPr>
          <w:ilvl w:val="1"/>
          <w:numId w:val="12"/>
        </w:numPr>
        <w:spacing w:before="120" w:after="120" w:line="276" w:lineRule="auto"/>
        <w:ind w:left="998" w:hanging="431"/>
        <w:contextualSpacing w:val="0"/>
        <w:rPr>
          <w:rFonts w:ascii="Tahoma" w:eastAsia="Calibri" w:hAnsi="Tahoma" w:cs="Tahoma"/>
          <w:color w:val="000000"/>
          <w:sz w:val="24"/>
          <w:szCs w:val="24"/>
        </w:rPr>
      </w:pPr>
      <w:r w:rsidRPr="003164CE">
        <w:rPr>
          <w:rFonts w:ascii="Tahoma" w:eastAsia="Calibri" w:hAnsi="Tahoma" w:cs="Tahoma"/>
          <w:color w:val="000000"/>
          <w:sz w:val="24"/>
          <w:szCs w:val="24"/>
        </w:rPr>
        <w:t>Dezvoltarea și implementarea unui design organizațional modern care sprijină angajații, procesele și evoluția tehnologică într-un mediu în continuă schimbare;</w:t>
      </w:r>
    </w:p>
    <w:p w:rsidR="00805081" w:rsidRPr="003164CE" w:rsidRDefault="00805081" w:rsidP="0025353E">
      <w:pPr>
        <w:pStyle w:val="ListParagraph"/>
        <w:numPr>
          <w:ilvl w:val="1"/>
          <w:numId w:val="12"/>
        </w:numPr>
        <w:spacing w:before="120" w:after="120" w:line="276" w:lineRule="auto"/>
        <w:ind w:left="998" w:hanging="431"/>
        <w:contextualSpacing w:val="0"/>
        <w:rPr>
          <w:rFonts w:ascii="Tahoma" w:eastAsia="Calibri" w:hAnsi="Tahoma" w:cs="Tahoma"/>
          <w:color w:val="000000"/>
          <w:sz w:val="24"/>
          <w:szCs w:val="24"/>
        </w:rPr>
      </w:pPr>
      <w:r w:rsidRPr="003164CE">
        <w:rPr>
          <w:rFonts w:ascii="Tahoma" w:eastAsia="Calibri" w:hAnsi="Tahoma" w:cs="Tahoma"/>
          <w:color w:val="000000"/>
          <w:sz w:val="24"/>
          <w:szCs w:val="24"/>
        </w:rPr>
        <w:t>Integrarea unei culturi bazată pe risc în cadrul tuturor proceselor și a abordărilor operaționale;</w:t>
      </w:r>
    </w:p>
    <w:p w:rsidR="00805081" w:rsidRPr="003164CE" w:rsidRDefault="00805081" w:rsidP="0025353E">
      <w:pPr>
        <w:pStyle w:val="ListParagraph"/>
        <w:numPr>
          <w:ilvl w:val="1"/>
          <w:numId w:val="12"/>
        </w:numPr>
        <w:spacing w:before="120" w:after="120" w:line="276" w:lineRule="auto"/>
        <w:ind w:left="998" w:hanging="431"/>
        <w:contextualSpacing w:val="0"/>
        <w:rPr>
          <w:rFonts w:ascii="Tahoma" w:eastAsia="Calibri" w:hAnsi="Tahoma" w:cs="Tahoma"/>
          <w:color w:val="000000"/>
          <w:sz w:val="24"/>
          <w:szCs w:val="24"/>
        </w:rPr>
      </w:pPr>
      <w:r w:rsidRPr="003164CE">
        <w:rPr>
          <w:rFonts w:ascii="Tahoma" w:eastAsia="Calibri" w:hAnsi="Tahoma" w:cs="Tahoma"/>
          <w:color w:val="000000"/>
          <w:sz w:val="24"/>
          <w:szCs w:val="24"/>
        </w:rPr>
        <w:t>Formarea unei echipe de angajați de înaltă performanță, cu accent pe integritate, etică, capabilitate/expertiză și consolidarea independenței și raționamentului profesional;</w:t>
      </w:r>
    </w:p>
    <w:p w:rsidR="00805081" w:rsidRPr="003164CE" w:rsidRDefault="00805081" w:rsidP="0025353E">
      <w:pPr>
        <w:pStyle w:val="ListParagraph"/>
        <w:numPr>
          <w:ilvl w:val="1"/>
          <w:numId w:val="12"/>
        </w:numPr>
        <w:spacing w:before="120" w:after="120" w:line="276" w:lineRule="auto"/>
        <w:ind w:left="998" w:hanging="431"/>
        <w:contextualSpacing w:val="0"/>
        <w:rPr>
          <w:rFonts w:ascii="Tahoma" w:eastAsia="Calibri" w:hAnsi="Tahoma" w:cs="Tahoma"/>
          <w:color w:val="000000"/>
          <w:sz w:val="24"/>
          <w:szCs w:val="24"/>
        </w:rPr>
      </w:pPr>
      <w:r w:rsidRPr="003164CE">
        <w:rPr>
          <w:rFonts w:ascii="Tahoma" w:eastAsia="Calibri" w:hAnsi="Tahoma" w:cs="Tahoma"/>
          <w:color w:val="000000"/>
          <w:sz w:val="24"/>
          <w:szCs w:val="24"/>
        </w:rPr>
        <w:t>Elaborarea unei planificări strategice a resurselor umane, cu un accent sporit pe specializarea, abilitățile și recrutarea forței de muncă, precum și dezvoltarea de strategii și planuri pentru a pregăti forța de muncă a viitorului;</w:t>
      </w:r>
    </w:p>
    <w:p w:rsidR="00805081" w:rsidRPr="003164CE" w:rsidRDefault="00805081" w:rsidP="0025353E">
      <w:pPr>
        <w:pStyle w:val="ListParagraph"/>
        <w:numPr>
          <w:ilvl w:val="1"/>
          <w:numId w:val="12"/>
        </w:numPr>
        <w:spacing w:before="120" w:after="120" w:line="276" w:lineRule="auto"/>
        <w:ind w:left="998" w:hanging="431"/>
        <w:contextualSpacing w:val="0"/>
        <w:rPr>
          <w:rFonts w:ascii="Tahoma" w:eastAsia="Calibri" w:hAnsi="Tahoma" w:cs="Tahoma"/>
          <w:color w:val="000000"/>
          <w:sz w:val="24"/>
          <w:szCs w:val="24"/>
        </w:rPr>
      </w:pPr>
      <w:r w:rsidRPr="003164CE">
        <w:rPr>
          <w:rFonts w:ascii="Tahoma" w:eastAsia="Calibri" w:hAnsi="Tahoma" w:cs="Tahoma"/>
          <w:color w:val="000000"/>
          <w:sz w:val="24"/>
          <w:szCs w:val="24"/>
        </w:rPr>
        <w:t>Evaluarea riscurilor operaționale și a planurilor de continuitate, precum și actualizarea acestora.</w:t>
      </w:r>
    </w:p>
    <w:p w:rsidR="00154C4F" w:rsidRPr="003164CE" w:rsidRDefault="001A2D92" w:rsidP="0025353E">
      <w:pPr>
        <w:pStyle w:val="ListParagraph"/>
        <w:numPr>
          <w:ilvl w:val="0"/>
          <w:numId w:val="14"/>
        </w:numPr>
        <w:spacing w:before="120" w:after="120" w:line="276" w:lineRule="auto"/>
        <w:ind w:left="641" w:hanging="357"/>
        <w:contextualSpacing w:val="0"/>
        <w:jc w:val="left"/>
        <w:rPr>
          <w:rFonts w:ascii="Tahoma" w:eastAsia="SimSun" w:hAnsi="Tahoma" w:cs="Tahoma"/>
          <w:b/>
          <w:i/>
          <w:color w:val="000000"/>
          <w:sz w:val="24"/>
          <w:szCs w:val="24"/>
        </w:rPr>
      </w:pPr>
      <w:r w:rsidRPr="003164CE">
        <w:rPr>
          <w:rFonts w:ascii="Tahoma" w:eastAsia="SimSun" w:hAnsi="Tahoma" w:cs="Tahoma"/>
          <w:b/>
          <w:i/>
          <w:color w:val="000000"/>
          <w:sz w:val="24"/>
          <w:szCs w:val="24"/>
        </w:rPr>
        <w:t>Transformarea digitală prin:</w:t>
      </w:r>
    </w:p>
    <w:p w:rsidR="00805081" w:rsidRPr="003164CE" w:rsidRDefault="00805081" w:rsidP="0025353E">
      <w:pPr>
        <w:pStyle w:val="ListParagraph"/>
        <w:numPr>
          <w:ilvl w:val="1"/>
          <w:numId w:val="14"/>
        </w:numPr>
        <w:spacing w:before="120" w:after="120" w:line="276" w:lineRule="auto"/>
        <w:ind w:left="998" w:hanging="431"/>
        <w:contextualSpacing w:val="0"/>
        <w:rPr>
          <w:rFonts w:ascii="Tahoma" w:eastAsia="SimSun" w:hAnsi="Tahoma" w:cs="Tahoma"/>
          <w:b/>
          <w:i/>
          <w:color w:val="000000"/>
          <w:sz w:val="24"/>
          <w:szCs w:val="24"/>
        </w:rPr>
      </w:pPr>
      <w:r w:rsidRPr="003164CE">
        <w:rPr>
          <w:rFonts w:ascii="Tahoma" w:eastAsia="Calibri" w:hAnsi="Tahoma" w:cs="Tahoma"/>
          <w:color w:val="000000"/>
          <w:sz w:val="24"/>
          <w:szCs w:val="24"/>
        </w:rPr>
        <w:t>Valorificarea tehnologiei moderne în vederea maximizării utilizării informațiilor pentru a sprijini procesele decizionale, a dezvolta strategii de răspuns și a oferi servicii de încredere pentru contribuabili;</w:t>
      </w:r>
    </w:p>
    <w:p w:rsidR="00154C4F" w:rsidRPr="003164CE" w:rsidRDefault="00154C4F" w:rsidP="0025353E">
      <w:pPr>
        <w:pStyle w:val="ListParagraph"/>
        <w:numPr>
          <w:ilvl w:val="0"/>
          <w:numId w:val="19"/>
        </w:numPr>
        <w:spacing w:before="120" w:after="120" w:line="276" w:lineRule="auto"/>
        <w:ind w:left="1208" w:hanging="357"/>
        <w:contextualSpacing w:val="0"/>
        <w:rPr>
          <w:rFonts w:ascii="Tahoma" w:eastAsia="SimSun" w:hAnsi="Tahoma" w:cs="Tahoma"/>
          <w:color w:val="000000"/>
          <w:sz w:val="24"/>
          <w:szCs w:val="24"/>
        </w:rPr>
      </w:pPr>
      <w:r w:rsidRPr="003164CE">
        <w:rPr>
          <w:rFonts w:ascii="Tahoma" w:eastAsia="SimSun" w:hAnsi="Tahoma" w:cs="Tahoma"/>
          <w:color w:val="000000"/>
          <w:sz w:val="24"/>
          <w:szCs w:val="24"/>
        </w:rPr>
        <w:t xml:space="preserve">Identificarea oportunităților de utilizare a inteligenței artificiale (învățarea automată, analiza datelor, </w:t>
      </w:r>
      <w:proofErr w:type="spellStart"/>
      <w:r w:rsidRPr="003164CE">
        <w:rPr>
          <w:rFonts w:ascii="Tahoma" w:eastAsia="SimSun" w:hAnsi="Tahoma" w:cs="Tahoma"/>
          <w:color w:val="000000"/>
          <w:sz w:val="24"/>
          <w:szCs w:val="24"/>
        </w:rPr>
        <w:t>deep</w:t>
      </w:r>
      <w:proofErr w:type="spellEnd"/>
      <w:r w:rsidRPr="003164CE">
        <w:rPr>
          <w:rFonts w:ascii="Tahoma" w:eastAsia="SimSun" w:hAnsi="Tahoma" w:cs="Tahoma"/>
          <w:color w:val="000000"/>
          <w:sz w:val="24"/>
          <w:szCs w:val="24"/>
        </w:rPr>
        <w:t xml:space="preserve"> </w:t>
      </w:r>
      <w:proofErr w:type="spellStart"/>
      <w:r w:rsidRPr="003164CE">
        <w:rPr>
          <w:rFonts w:ascii="Tahoma" w:eastAsia="SimSun" w:hAnsi="Tahoma" w:cs="Tahoma"/>
          <w:color w:val="000000"/>
          <w:sz w:val="24"/>
          <w:szCs w:val="24"/>
        </w:rPr>
        <w:t>learning</w:t>
      </w:r>
      <w:proofErr w:type="spellEnd"/>
      <w:r w:rsidRPr="003164CE">
        <w:rPr>
          <w:rFonts w:ascii="Tahoma" w:eastAsia="SimSun" w:hAnsi="Tahoma" w:cs="Tahoma"/>
          <w:color w:val="000000"/>
          <w:sz w:val="24"/>
          <w:szCs w:val="24"/>
        </w:rPr>
        <w:t xml:space="preserve"> etc.), pentru a îmbunătăți serviciile pentru contribuabili;</w:t>
      </w:r>
    </w:p>
    <w:p w:rsidR="001A2D92" w:rsidRPr="003164CE" w:rsidRDefault="001A2D92" w:rsidP="0025353E">
      <w:pPr>
        <w:pStyle w:val="ListParagraph"/>
        <w:numPr>
          <w:ilvl w:val="0"/>
          <w:numId w:val="19"/>
        </w:numPr>
        <w:spacing w:before="120" w:after="120" w:line="276" w:lineRule="auto"/>
        <w:ind w:left="1208" w:hanging="357"/>
        <w:contextualSpacing w:val="0"/>
        <w:jc w:val="left"/>
        <w:rPr>
          <w:rFonts w:ascii="Tahoma" w:eastAsia="SimSun" w:hAnsi="Tahoma" w:cs="Tahoma"/>
          <w:color w:val="000000"/>
          <w:sz w:val="24"/>
          <w:szCs w:val="24"/>
        </w:rPr>
      </w:pPr>
      <w:r w:rsidRPr="003164CE">
        <w:rPr>
          <w:rFonts w:ascii="Tahoma" w:eastAsia="SimSun" w:hAnsi="Tahoma" w:cs="Tahoma"/>
          <w:color w:val="000000"/>
          <w:sz w:val="24"/>
          <w:szCs w:val="24"/>
        </w:rPr>
        <w:t>Implementarea platformei Big Data;</w:t>
      </w:r>
    </w:p>
    <w:p w:rsidR="00154C4F" w:rsidRPr="003164CE" w:rsidRDefault="001A2D92" w:rsidP="0025353E">
      <w:pPr>
        <w:pStyle w:val="ListParagraph"/>
        <w:numPr>
          <w:ilvl w:val="0"/>
          <w:numId w:val="19"/>
        </w:numPr>
        <w:spacing w:before="120" w:after="120" w:line="276" w:lineRule="auto"/>
        <w:ind w:left="1208" w:hanging="357"/>
        <w:contextualSpacing w:val="0"/>
        <w:jc w:val="left"/>
        <w:rPr>
          <w:rFonts w:ascii="Tahoma" w:eastAsia="SimSun" w:hAnsi="Tahoma" w:cs="Tahoma"/>
          <w:color w:val="000000"/>
          <w:sz w:val="24"/>
          <w:szCs w:val="24"/>
        </w:rPr>
      </w:pPr>
      <w:r w:rsidRPr="003164CE">
        <w:rPr>
          <w:rFonts w:ascii="Tahoma" w:eastAsia="SimSun" w:hAnsi="Tahoma" w:cs="Tahoma"/>
          <w:color w:val="000000"/>
          <w:sz w:val="24"/>
          <w:szCs w:val="24"/>
        </w:rPr>
        <w:t>Implementarea sistemului național de management al contribuabililor (</w:t>
      </w:r>
      <w:proofErr w:type="spellStart"/>
      <w:r w:rsidRPr="003164CE">
        <w:rPr>
          <w:rFonts w:ascii="Tahoma" w:eastAsia="SimSun" w:hAnsi="Tahoma" w:cs="Tahoma"/>
          <w:color w:val="000000"/>
          <w:sz w:val="24"/>
          <w:szCs w:val="24"/>
        </w:rPr>
        <w:t>datawarehouse</w:t>
      </w:r>
      <w:proofErr w:type="spellEnd"/>
      <w:r w:rsidRPr="003164CE">
        <w:rPr>
          <w:rFonts w:ascii="Tahoma" w:eastAsia="SimSun" w:hAnsi="Tahoma" w:cs="Tahoma"/>
          <w:color w:val="000000"/>
          <w:sz w:val="24"/>
          <w:szCs w:val="24"/>
        </w:rPr>
        <w:t>).</w:t>
      </w:r>
    </w:p>
    <w:p w:rsidR="00154C4F" w:rsidRPr="003164CE" w:rsidRDefault="00154C4F" w:rsidP="0025353E">
      <w:pPr>
        <w:pStyle w:val="ListParagraph"/>
        <w:numPr>
          <w:ilvl w:val="1"/>
          <w:numId w:val="14"/>
        </w:numPr>
        <w:spacing w:before="120" w:after="120" w:line="276" w:lineRule="auto"/>
        <w:ind w:left="998" w:hanging="431"/>
        <w:contextualSpacing w:val="0"/>
        <w:jc w:val="left"/>
        <w:rPr>
          <w:rFonts w:ascii="Tahoma" w:eastAsia="SimSun" w:hAnsi="Tahoma" w:cs="Tahoma"/>
          <w:vanish/>
          <w:color w:val="000000"/>
          <w:sz w:val="24"/>
          <w:szCs w:val="24"/>
        </w:rPr>
      </w:pPr>
      <w:r w:rsidRPr="003164CE">
        <w:rPr>
          <w:rFonts w:ascii="Tahoma" w:eastAsia="SimSun" w:hAnsi="Tahoma" w:cs="Tahoma"/>
          <w:vanish/>
          <w:color w:val="000000"/>
          <w:sz w:val="24"/>
          <w:szCs w:val="24"/>
        </w:rPr>
        <w:t>Folosirea de instrumente digitale adaptate și integrate (inclusiv sisteme avansate de gestionarea automată a cazurilor) care sprijină eficiența și eficacitatea resurselor existente</w:t>
      </w:r>
      <w:r w:rsidR="00A96EAB" w:rsidRPr="003164CE">
        <w:rPr>
          <w:rFonts w:ascii="Tahoma" w:eastAsia="SimSun" w:hAnsi="Tahoma" w:cs="Tahoma"/>
          <w:vanish/>
          <w:color w:val="000000"/>
          <w:sz w:val="24"/>
          <w:szCs w:val="24"/>
        </w:rPr>
        <w:t>:</w:t>
      </w:r>
    </w:p>
    <w:p w:rsidR="00154C4F" w:rsidRPr="003164CE" w:rsidRDefault="00154C4F" w:rsidP="0025353E">
      <w:pPr>
        <w:pStyle w:val="ListParagraph"/>
        <w:numPr>
          <w:ilvl w:val="0"/>
          <w:numId w:val="20"/>
        </w:numPr>
        <w:spacing w:before="120" w:after="120" w:line="276" w:lineRule="auto"/>
        <w:ind w:left="1208" w:hanging="357"/>
        <w:contextualSpacing w:val="0"/>
        <w:jc w:val="left"/>
        <w:rPr>
          <w:rFonts w:ascii="Tahoma" w:eastAsia="SimSun" w:hAnsi="Tahoma" w:cs="Tahoma"/>
          <w:vanish/>
          <w:color w:val="000000"/>
          <w:sz w:val="24"/>
          <w:szCs w:val="24"/>
        </w:rPr>
      </w:pPr>
      <w:r w:rsidRPr="003164CE">
        <w:rPr>
          <w:rFonts w:ascii="Tahoma" w:eastAsia="SimSun" w:hAnsi="Tahoma" w:cs="Tahoma"/>
          <w:vanish/>
          <w:color w:val="000000"/>
          <w:sz w:val="24"/>
          <w:szCs w:val="24"/>
        </w:rPr>
        <w:t>Implementarea unei platforme online de licitație a imobilelor și a altor proprietăți cu valoare semnificativă;</w:t>
      </w:r>
    </w:p>
    <w:p w:rsidR="00154C4F" w:rsidRPr="003164CE" w:rsidRDefault="00154C4F" w:rsidP="0025353E">
      <w:pPr>
        <w:pStyle w:val="ListParagraph"/>
        <w:numPr>
          <w:ilvl w:val="0"/>
          <w:numId w:val="20"/>
        </w:numPr>
        <w:spacing w:before="120" w:after="120" w:line="276" w:lineRule="auto"/>
        <w:ind w:left="1208" w:hanging="357"/>
        <w:contextualSpacing w:val="0"/>
        <w:jc w:val="left"/>
        <w:rPr>
          <w:rFonts w:ascii="Tahoma" w:eastAsia="SimSun" w:hAnsi="Tahoma" w:cs="Tahoma"/>
          <w:vanish/>
          <w:color w:val="000000"/>
          <w:sz w:val="24"/>
          <w:szCs w:val="24"/>
        </w:rPr>
      </w:pPr>
      <w:r w:rsidRPr="003164CE">
        <w:rPr>
          <w:rFonts w:ascii="Tahoma" w:eastAsia="SimSun" w:hAnsi="Tahoma" w:cs="Tahoma"/>
          <w:vanish/>
          <w:color w:val="000000"/>
          <w:sz w:val="24"/>
          <w:szCs w:val="24"/>
        </w:rPr>
        <w:t>Implementarea sistemului informatic de gestionare a activității din domeniul juridic (”Case management” pentru activitatea juridică);</w:t>
      </w:r>
    </w:p>
    <w:p w:rsidR="00154C4F" w:rsidRPr="003164CE" w:rsidRDefault="00154C4F" w:rsidP="0025353E">
      <w:pPr>
        <w:pStyle w:val="ListParagraph"/>
        <w:numPr>
          <w:ilvl w:val="0"/>
          <w:numId w:val="20"/>
        </w:numPr>
        <w:spacing w:before="120" w:after="120" w:line="276" w:lineRule="auto"/>
        <w:ind w:left="1208" w:hanging="357"/>
        <w:contextualSpacing w:val="0"/>
        <w:jc w:val="left"/>
        <w:rPr>
          <w:rFonts w:ascii="Tahoma" w:eastAsia="SimSun" w:hAnsi="Tahoma" w:cs="Tahoma"/>
          <w:vanish/>
          <w:color w:val="000000"/>
          <w:sz w:val="24"/>
          <w:szCs w:val="24"/>
        </w:rPr>
      </w:pPr>
      <w:r w:rsidRPr="003164CE">
        <w:rPr>
          <w:rFonts w:ascii="Tahoma" w:eastAsia="SimSun" w:hAnsi="Tahoma" w:cs="Tahoma"/>
          <w:vanish/>
          <w:color w:val="000000"/>
          <w:sz w:val="24"/>
          <w:szCs w:val="24"/>
        </w:rPr>
        <w:t>Utilizarea instrumentului digital pentru implementarea cooperării administrative.</w:t>
      </w:r>
    </w:p>
    <w:p w:rsidR="009D0987" w:rsidRPr="003164CE" w:rsidRDefault="00E3087D" w:rsidP="002A6579">
      <w:pPr>
        <w:pStyle w:val="ListParagraph"/>
        <w:pageBreakBefore/>
        <w:numPr>
          <w:ilvl w:val="0"/>
          <w:numId w:val="1"/>
        </w:numPr>
        <w:spacing w:after="240" w:line="276" w:lineRule="auto"/>
        <w:ind w:left="562" w:firstLine="0"/>
        <w:contextualSpacing w:val="0"/>
        <w:outlineLvl w:val="0"/>
        <w:rPr>
          <w:rFonts w:ascii="Tahoma" w:hAnsi="Tahoma" w:cs="Tahoma"/>
          <w:b/>
          <w:sz w:val="24"/>
          <w:szCs w:val="24"/>
        </w:rPr>
      </w:pPr>
      <w:bookmarkStart w:id="20" w:name="_Toc204685897"/>
      <w:r w:rsidRPr="003164CE">
        <w:rPr>
          <w:rFonts w:ascii="Tahoma" w:hAnsi="Tahoma" w:cs="Tahoma"/>
          <w:b/>
          <w:sz w:val="24"/>
          <w:szCs w:val="24"/>
        </w:rPr>
        <w:lastRenderedPageBreak/>
        <w:t xml:space="preserve">Execuția bugetară pe </w:t>
      </w:r>
      <w:r w:rsidR="00BD4E32" w:rsidRPr="003164CE">
        <w:rPr>
          <w:rFonts w:ascii="Tahoma" w:hAnsi="Tahoma" w:cs="Tahoma"/>
          <w:b/>
          <w:sz w:val="24"/>
          <w:szCs w:val="24"/>
        </w:rPr>
        <w:t xml:space="preserve">primul semestru al </w:t>
      </w:r>
      <w:r w:rsidRPr="003164CE">
        <w:rPr>
          <w:rFonts w:ascii="Tahoma" w:hAnsi="Tahoma" w:cs="Tahoma"/>
          <w:b/>
          <w:sz w:val="24"/>
          <w:szCs w:val="24"/>
        </w:rPr>
        <w:t>anului</w:t>
      </w:r>
      <w:bookmarkEnd w:id="12"/>
      <w:bookmarkEnd w:id="13"/>
      <w:bookmarkEnd w:id="14"/>
      <w:bookmarkEnd w:id="15"/>
      <w:bookmarkEnd w:id="16"/>
      <w:bookmarkEnd w:id="17"/>
      <w:bookmarkEnd w:id="18"/>
      <w:bookmarkEnd w:id="19"/>
      <w:r w:rsidR="00B009FE" w:rsidRPr="003164CE">
        <w:rPr>
          <w:rFonts w:ascii="Tahoma" w:hAnsi="Tahoma" w:cs="Tahoma"/>
          <w:b/>
          <w:sz w:val="24"/>
          <w:szCs w:val="24"/>
        </w:rPr>
        <w:t xml:space="preserve"> </w:t>
      </w:r>
      <w:r w:rsidR="00DD17E0" w:rsidRPr="003164CE">
        <w:rPr>
          <w:rFonts w:ascii="Tahoma" w:hAnsi="Tahoma" w:cs="Tahoma"/>
          <w:b/>
          <w:sz w:val="24"/>
          <w:szCs w:val="24"/>
        </w:rPr>
        <w:t>20</w:t>
      </w:r>
      <w:r w:rsidR="00E10878" w:rsidRPr="003164CE">
        <w:rPr>
          <w:rFonts w:ascii="Tahoma" w:hAnsi="Tahoma" w:cs="Tahoma"/>
          <w:b/>
          <w:sz w:val="24"/>
          <w:szCs w:val="24"/>
        </w:rPr>
        <w:t>2</w:t>
      </w:r>
      <w:r w:rsidR="004863FB" w:rsidRPr="003164CE">
        <w:rPr>
          <w:rFonts w:ascii="Tahoma" w:hAnsi="Tahoma" w:cs="Tahoma"/>
          <w:b/>
          <w:sz w:val="24"/>
          <w:szCs w:val="24"/>
        </w:rPr>
        <w:t>5</w:t>
      </w:r>
      <w:bookmarkEnd w:id="20"/>
    </w:p>
    <w:p w:rsidR="002F1D42" w:rsidRPr="003164CE" w:rsidRDefault="004D6D76" w:rsidP="004863FB">
      <w:pPr>
        <w:shd w:val="clear" w:color="auto" w:fill="DEEAF6" w:themeFill="accent1" w:themeFillTint="33"/>
        <w:spacing w:line="276" w:lineRule="auto"/>
        <w:ind w:firstLine="0"/>
        <w:rPr>
          <w:rFonts w:ascii="Tahoma" w:hAnsi="Tahoma" w:cs="Tahoma"/>
          <w:sz w:val="24"/>
          <w:szCs w:val="24"/>
        </w:rPr>
      </w:pPr>
      <w:r w:rsidRPr="003164CE">
        <w:rPr>
          <w:rFonts w:ascii="Tahoma" w:hAnsi="Tahoma" w:cs="Tahoma"/>
          <w:sz w:val="24"/>
          <w:szCs w:val="24"/>
        </w:rPr>
        <w:t>Conform datelor operative, execuția bugetului general consolidat pe primul semestru al anului 20</w:t>
      </w:r>
      <w:r w:rsidR="00E10878" w:rsidRPr="003164CE">
        <w:rPr>
          <w:rFonts w:ascii="Tahoma" w:hAnsi="Tahoma" w:cs="Tahoma"/>
          <w:sz w:val="24"/>
          <w:szCs w:val="24"/>
        </w:rPr>
        <w:t>2</w:t>
      </w:r>
      <w:r w:rsidR="004863FB" w:rsidRPr="003164CE">
        <w:rPr>
          <w:rFonts w:ascii="Tahoma" w:hAnsi="Tahoma" w:cs="Tahoma"/>
          <w:sz w:val="24"/>
          <w:szCs w:val="24"/>
        </w:rPr>
        <w:t>5</w:t>
      </w:r>
      <w:r w:rsidRPr="003164CE">
        <w:rPr>
          <w:rFonts w:ascii="Tahoma" w:hAnsi="Tahoma" w:cs="Tahoma"/>
          <w:sz w:val="24"/>
          <w:szCs w:val="24"/>
        </w:rPr>
        <w:t xml:space="preserve"> (Anexa nr. 1 </w:t>
      </w:r>
      <w:r w:rsidR="00C27F72" w:rsidRPr="003164CE">
        <w:rPr>
          <w:rFonts w:ascii="Tahoma" w:hAnsi="Tahoma" w:cs="Tahoma"/>
          <w:sz w:val="24"/>
          <w:szCs w:val="24"/>
        </w:rPr>
        <w:t>și</w:t>
      </w:r>
      <w:r w:rsidRPr="003164CE">
        <w:rPr>
          <w:rFonts w:ascii="Tahoma" w:hAnsi="Tahoma" w:cs="Tahoma"/>
          <w:sz w:val="24"/>
          <w:szCs w:val="24"/>
        </w:rPr>
        <w:t xml:space="preserve"> Anexa nr. 2) s-a încheiat cu un </w:t>
      </w:r>
      <w:r w:rsidRPr="003164CE">
        <w:rPr>
          <w:rFonts w:ascii="Tahoma" w:hAnsi="Tahoma" w:cs="Tahoma"/>
          <w:b/>
          <w:sz w:val="24"/>
          <w:szCs w:val="24"/>
        </w:rPr>
        <w:t xml:space="preserve">deficit de </w:t>
      </w:r>
      <w:r w:rsidR="004863FB" w:rsidRPr="003164CE">
        <w:rPr>
          <w:rFonts w:ascii="Tahoma" w:hAnsi="Tahoma" w:cs="Tahoma"/>
          <w:b/>
          <w:sz w:val="24"/>
          <w:szCs w:val="24"/>
        </w:rPr>
        <w:t>69,80</w:t>
      </w:r>
      <w:r w:rsidRPr="003164CE">
        <w:rPr>
          <w:rFonts w:ascii="Tahoma" w:hAnsi="Tahoma" w:cs="Tahoma"/>
          <w:b/>
          <w:sz w:val="24"/>
          <w:szCs w:val="24"/>
        </w:rPr>
        <w:t xml:space="preserve"> mili</w:t>
      </w:r>
      <w:r w:rsidR="00967266" w:rsidRPr="003164CE">
        <w:rPr>
          <w:rFonts w:ascii="Tahoma" w:hAnsi="Tahoma" w:cs="Tahoma"/>
          <w:b/>
          <w:sz w:val="24"/>
          <w:szCs w:val="24"/>
        </w:rPr>
        <w:t>arde</w:t>
      </w:r>
      <w:r w:rsidRPr="003164CE">
        <w:rPr>
          <w:rFonts w:ascii="Tahoma" w:hAnsi="Tahoma" w:cs="Tahoma"/>
          <w:b/>
          <w:sz w:val="24"/>
          <w:szCs w:val="24"/>
        </w:rPr>
        <w:t xml:space="preserve"> </w:t>
      </w:r>
      <w:r w:rsidR="003A634F" w:rsidRPr="003164CE">
        <w:rPr>
          <w:rFonts w:ascii="Tahoma" w:hAnsi="Tahoma" w:cs="Tahoma"/>
          <w:b/>
          <w:sz w:val="24"/>
          <w:szCs w:val="24"/>
        </w:rPr>
        <w:t>lei</w:t>
      </w:r>
      <w:r w:rsidRPr="003164CE">
        <w:rPr>
          <w:rFonts w:ascii="Tahoma" w:hAnsi="Tahoma" w:cs="Tahoma"/>
          <w:b/>
          <w:sz w:val="24"/>
          <w:szCs w:val="24"/>
        </w:rPr>
        <w:t xml:space="preserve"> (</w:t>
      </w:r>
      <w:r w:rsidR="00E314A6" w:rsidRPr="003164CE">
        <w:rPr>
          <w:rFonts w:ascii="Tahoma" w:hAnsi="Tahoma" w:cs="Tahoma"/>
          <w:b/>
          <w:sz w:val="24"/>
          <w:szCs w:val="24"/>
        </w:rPr>
        <w:t>3,6</w:t>
      </w:r>
      <w:r w:rsidR="004863FB" w:rsidRPr="003164CE">
        <w:rPr>
          <w:rFonts w:ascii="Tahoma" w:hAnsi="Tahoma" w:cs="Tahoma"/>
          <w:b/>
          <w:sz w:val="24"/>
          <w:szCs w:val="24"/>
        </w:rPr>
        <w:t>8</w:t>
      </w:r>
      <w:r w:rsidRPr="003164CE">
        <w:rPr>
          <w:rFonts w:ascii="Tahoma" w:hAnsi="Tahoma" w:cs="Tahoma"/>
          <w:b/>
          <w:sz w:val="24"/>
          <w:szCs w:val="24"/>
        </w:rPr>
        <w:t>% din PIB)</w:t>
      </w:r>
      <w:r w:rsidR="00FF292C" w:rsidRPr="003164CE">
        <w:rPr>
          <w:rFonts w:ascii="Tahoma" w:hAnsi="Tahoma" w:cs="Tahoma"/>
          <w:sz w:val="24"/>
          <w:szCs w:val="24"/>
        </w:rPr>
        <w:t xml:space="preserve"> </w:t>
      </w:r>
      <w:r w:rsidR="002E0C30" w:rsidRPr="003164CE">
        <w:rPr>
          <w:rFonts w:ascii="Tahoma" w:hAnsi="Tahoma" w:cs="Tahoma"/>
          <w:sz w:val="24"/>
          <w:szCs w:val="24"/>
        </w:rPr>
        <w:t>sub ținta stabilit</w:t>
      </w:r>
      <w:r w:rsidR="00395E39" w:rsidRPr="003164CE">
        <w:rPr>
          <w:rFonts w:ascii="Tahoma" w:hAnsi="Tahoma" w:cs="Tahoma"/>
          <w:sz w:val="24"/>
          <w:szCs w:val="24"/>
        </w:rPr>
        <w:t>ă</w:t>
      </w:r>
      <w:r w:rsidR="002E0C30" w:rsidRPr="003164CE">
        <w:rPr>
          <w:rFonts w:ascii="Tahoma" w:hAnsi="Tahoma" w:cs="Tahoma"/>
          <w:sz w:val="24"/>
          <w:szCs w:val="24"/>
        </w:rPr>
        <w:t xml:space="preserve"> pe semestrul I</w:t>
      </w:r>
      <w:r w:rsidR="002F1D42" w:rsidRPr="003164CE">
        <w:rPr>
          <w:rFonts w:ascii="Tahoma" w:hAnsi="Tahoma" w:cs="Tahoma"/>
          <w:sz w:val="24"/>
          <w:szCs w:val="24"/>
        </w:rPr>
        <w:t>.</w:t>
      </w:r>
    </w:p>
    <w:p w:rsidR="00284A41" w:rsidRPr="003164CE" w:rsidRDefault="00284A41" w:rsidP="004863FB">
      <w:pPr>
        <w:shd w:val="clear" w:color="auto" w:fill="DEEAF6" w:themeFill="accent1" w:themeFillTint="33"/>
        <w:spacing w:line="276" w:lineRule="auto"/>
        <w:ind w:firstLine="0"/>
        <w:rPr>
          <w:rFonts w:ascii="Tahoma" w:hAnsi="Tahoma" w:cs="Tahoma"/>
          <w:sz w:val="24"/>
          <w:szCs w:val="24"/>
        </w:rPr>
      </w:pPr>
      <w:r w:rsidRPr="003164CE">
        <w:rPr>
          <w:rFonts w:ascii="Tahoma" w:hAnsi="Tahoma" w:cs="Tahoma"/>
          <w:sz w:val="24"/>
          <w:szCs w:val="24"/>
        </w:rPr>
        <w:t xml:space="preserve">La sfârșitul primului semestru </w:t>
      </w:r>
      <w:r w:rsidR="00AF486B" w:rsidRPr="003164CE">
        <w:rPr>
          <w:rFonts w:ascii="Tahoma" w:hAnsi="Tahoma" w:cs="Tahoma"/>
          <w:sz w:val="24"/>
          <w:szCs w:val="24"/>
        </w:rPr>
        <w:t>al anului curent</w:t>
      </w:r>
      <w:r w:rsidRPr="003164CE">
        <w:rPr>
          <w:rFonts w:ascii="Tahoma" w:hAnsi="Tahoma" w:cs="Tahoma"/>
          <w:sz w:val="24"/>
          <w:szCs w:val="24"/>
        </w:rPr>
        <w:t xml:space="preserve"> se înregistrează un deficit primar (soldul bugetar exclusiv cheltuielile cu dobânzile) în valoare de </w:t>
      </w:r>
      <w:r w:rsidR="004863FB" w:rsidRPr="003164CE">
        <w:rPr>
          <w:rFonts w:ascii="Tahoma" w:hAnsi="Tahoma" w:cs="Tahoma"/>
          <w:sz w:val="24"/>
          <w:szCs w:val="24"/>
        </w:rPr>
        <w:t>44,57</w:t>
      </w:r>
      <w:r w:rsidRPr="003164CE">
        <w:rPr>
          <w:rFonts w:ascii="Tahoma" w:hAnsi="Tahoma" w:cs="Tahoma"/>
          <w:sz w:val="24"/>
          <w:szCs w:val="24"/>
        </w:rPr>
        <w:t xml:space="preserve"> miliarde lei (</w:t>
      </w:r>
      <w:r w:rsidR="00E314A6" w:rsidRPr="003164CE">
        <w:rPr>
          <w:rFonts w:ascii="Tahoma" w:hAnsi="Tahoma" w:cs="Tahoma"/>
          <w:sz w:val="24"/>
          <w:szCs w:val="24"/>
        </w:rPr>
        <w:t>2,</w:t>
      </w:r>
      <w:r w:rsidR="004863FB" w:rsidRPr="003164CE">
        <w:rPr>
          <w:rFonts w:ascii="Tahoma" w:hAnsi="Tahoma" w:cs="Tahoma"/>
          <w:sz w:val="24"/>
          <w:szCs w:val="24"/>
        </w:rPr>
        <w:t>35</w:t>
      </w:r>
      <w:r w:rsidRPr="003164CE">
        <w:rPr>
          <w:rFonts w:ascii="Tahoma" w:hAnsi="Tahoma" w:cs="Tahoma"/>
          <w:sz w:val="24"/>
          <w:szCs w:val="24"/>
        </w:rPr>
        <w:t>% din PIB).</w:t>
      </w:r>
    </w:p>
    <w:p w:rsidR="00487959" w:rsidRPr="003164CE" w:rsidRDefault="00487959" w:rsidP="004863FB">
      <w:pPr>
        <w:shd w:val="clear" w:color="auto" w:fill="DEEAF6" w:themeFill="accent1" w:themeFillTint="33"/>
        <w:spacing w:line="276" w:lineRule="auto"/>
        <w:ind w:firstLine="0"/>
        <w:rPr>
          <w:rFonts w:ascii="Tahoma" w:hAnsi="Tahoma" w:cs="Tahoma"/>
          <w:sz w:val="24"/>
          <w:szCs w:val="24"/>
        </w:rPr>
      </w:pPr>
      <w:r w:rsidRPr="003164CE">
        <w:rPr>
          <w:rFonts w:ascii="Tahoma" w:hAnsi="Tahoma" w:cs="Tahoma"/>
          <w:sz w:val="24"/>
          <w:szCs w:val="24"/>
        </w:rPr>
        <w:t>Comparativ cu semestrul I 202</w:t>
      </w:r>
      <w:r w:rsidR="004863FB" w:rsidRPr="003164CE">
        <w:rPr>
          <w:rFonts w:ascii="Tahoma" w:hAnsi="Tahoma" w:cs="Tahoma"/>
          <w:sz w:val="24"/>
          <w:szCs w:val="24"/>
        </w:rPr>
        <w:t>4</w:t>
      </w:r>
      <w:r w:rsidRPr="003164CE">
        <w:rPr>
          <w:rFonts w:ascii="Tahoma" w:hAnsi="Tahoma" w:cs="Tahoma"/>
          <w:sz w:val="24"/>
          <w:szCs w:val="24"/>
        </w:rPr>
        <w:t xml:space="preserve"> deficitul bugetar s-a </w:t>
      </w:r>
      <w:r w:rsidR="00F46375" w:rsidRPr="003164CE">
        <w:rPr>
          <w:rFonts w:ascii="Tahoma" w:hAnsi="Tahoma" w:cs="Tahoma"/>
          <w:sz w:val="24"/>
          <w:szCs w:val="24"/>
        </w:rPr>
        <w:t>accentuat</w:t>
      </w:r>
      <w:r w:rsidRPr="003164CE">
        <w:rPr>
          <w:rFonts w:ascii="Tahoma" w:hAnsi="Tahoma" w:cs="Tahoma"/>
          <w:sz w:val="24"/>
          <w:szCs w:val="24"/>
        </w:rPr>
        <w:t xml:space="preserve"> cu </w:t>
      </w:r>
      <w:r w:rsidR="004863FB" w:rsidRPr="003164CE">
        <w:rPr>
          <w:rFonts w:ascii="Tahoma" w:hAnsi="Tahoma" w:cs="Tahoma"/>
          <w:sz w:val="24"/>
          <w:szCs w:val="24"/>
        </w:rPr>
        <w:t>6,13</w:t>
      </w:r>
      <w:r w:rsidRPr="003164CE">
        <w:rPr>
          <w:rFonts w:ascii="Tahoma" w:hAnsi="Tahoma" w:cs="Tahoma"/>
          <w:sz w:val="24"/>
          <w:szCs w:val="24"/>
        </w:rPr>
        <w:t xml:space="preserve"> miliarde </w:t>
      </w:r>
      <w:r w:rsidR="003A634F" w:rsidRPr="003164CE">
        <w:rPr>
          <w:rFonts w:ascii="Tahoma" w:hAnsi="Tahoma" w:cs="Tahoma"/>
          <w:sz w:val="24"/>
          <w:szCs w:val="24"/>
        </w:rPr>
        <w:t>lei</w:t>
      </w:r>
      <w:r w:rsidR="006B5ADC" w:rsidRPr="003164CE">
        <w:rPr>
          <w:rFonts w:ascii="Tahoma" w:hAnsi="Tahoma" w:cs="Tahoma"/>
          <w:sz w:val="24"/>
          <w:szCs w:val="24"/>
        </w:rPr>
        <w:t>,</w:t>
      </w:r>
      <w:r w:rsidRPr="003164CE">
        <w:rPr>
          <w:rFonts w:ascii="Tahoma" w:hAnsi="Tahoma" w:cs="Tahoma"/>
          <w:sz w:val="24"/>
          <w:szCs w:val="24"/>
        </w:rPr>
        <w:t xml:space="preserve"> respectiv cu </w:t>
      </w:r>
      <w:r w:rsidR="004863FB" w:rsidRPr="003164CE">
        <w:rPr>
          <w:rFonts w:ascii="Tahoma" w:hAnsi="Tahoma" w:cs="Tahoma"/>
          <w:sz w:val="24"/>
          <w:szCs w:val="24"/>
        </w:rPr>
        <w:t>0,06</w:t>
      </w:r>
      <w:r w:rsidRPr="003164CE">
        <w:rPr>
          <w:rFonts w:ascii="Tahoma" w:hAnsi="Tahoma" w:cs="Tahoma"/>
          <w:sz w:val="24"/>
          <w:szCs w:val="24"/>
        </w:rPr>
        <w:t xml:space="preserve"> puncte procentuale din PIB de la </w:t>
      </w:r>
      <w:r w:rsidR="004863FB" w:rsidRPr="003164CE">
        <w:rPr>
          <w:rFonts w:ascii="Tahoma" w:hAnsi="Tahoma" w:cs="Tahoma"/>
          <w:sz w:val="24"/>
          <w:szCs w:val="24"/>
        </w:rPr>
        <w:t>3,62</w:t>
      </w:r>
      <w:r w:rsidRPr="003164CE">
        <w:rPr>
          <w:rFonts w:ascii="Tahoma" w:hAnsi="Tahoma" w:cs="Tahoma"/>
          <w:sz w:val="24"/>
          <w:szCs w:val="24"/>
        </w:rPr>
        <w:t xml:space="preserve"> % din PIB cât a fost în semestru</w:t>
      </w:r>
      <w:r w:rsidR="00B009FE" w:rsidRPr="003164CE">
        <w:rPr>
          <w:rFonts w:ascii="Tahoma" w:hAnsi="Tahoma" w:cs="Tahoma"/>
          <w:sz w:val="24"/>
          <w:szCs w:val="24"/>
        </w:rPr>
        <w:t>l</w:t>
      </w:r>
      <w:r w:rsidRPr="003164CE">
        <w:rPr>
          <w:rFonts w:ascii="Tahoma" w:hAnsi="Tahoma" w:cs="Tahoma"/>
          <w:sz w:val="24"/>
          <w:szCs w:val="24"/>
        </w:rPr>
        <w:t xml:space="preserve"> I 202</w:t>
      </w:r>
      <w:r w:rsidR="004863FB" w:rsidRPr="003164CE">
        <w:rPr>
          <w:rFonts w:ascii="Tahoma" w:hAnsi="Tahoma" w:cs="Tahoma"/>
          <w:sz w:val="24"/>
          <w:szCs w:val="24"/>
        </w:rPr>
        <w:t>4</w:t>
      </w:r>
      <w:r w:rsidRPr="003164CE">
        <w:rPr>
          <w:rFonts w:ascii="Tahoma" w:hAnsi="Tahoma" w:cs="Tahoma"/>
          <w:sz w:val="24"/>
          <w:szCs w:val="24"/>
        </w:rPr>
        <w:t xml:space="preserve"> la </w:t>
      </w:r>
      <w:r w:rsidR="00E314A6" w:rsidRPr="003164CE">
        <w:rPr>
          <w:rFonts w:ascii="Tahoma" w:hAnsi="Tahoma" w:cs="Tahoma"/>
          <w:sz w:val="24"/>
          <w:szCs w:val="24"/>
        </w:rPr>
        <w:t>3,6</w:t>
      </w:r>
      <w:r w:rsidR="004863FB" w:rsidRPr="003164CE">
        <w:rPr>
          <w:rFonts w:ascii="Tahoma" w:hAnsi="Tahoma" w:cs="Tahoma"/>
          <w:sz w:val="24"/>
          <w:szCs w:val="24"/>
        </w:rPr>
        <w:t>8</w:t>
      </w:r>
      <w:r w:rsidRPr="003164CE">
        <w:rPr>
          <w:rFonts w:ascii="Tahoma" w:hAnsi="Tahoma" w:cs="Tahoma"/>
          <w:sz w:val="24"/>
          <w:szCs w:val="24"/>
        </w:rPr>
        <w:t>% din PIB în semestrul I 202</w:t>
      </w:r>
      <w:r w:rsidR="004863FB" w:rsidRPr="003164CE">
        <w:rPr>
          <w:rFonts w:ascii="Tahoma" w:hAnsi="Tahoma" w:cs="Tahoma"/>
          <w:sz w:val="24"/>
          <w:szCs w:val="24"/>
        </w:rPr>
        <w:t>5</w:t>
      </w:r>
      <w:r w:rsidRPr="003164CE">
        <w:rPr>
          <w:rFonts w:ascii="Tahoma" w:hAnsi="Tahoma" w:cs="Tahoma"/>
          <w:sz w:val="24"/>
          <w:szCs w:val="24"/>
        </w:rPr>
        <w:t>.</w:t>
      </w:r>
    </w:p>
    <w:p w:rsidR="004D6D76" w:rsidRPr="003164CE" w:rsidRDefault="004D6D76" w:rsidP="004863FB">
      <w:pPr>
        <w:shd w:val="clear" w:color="auto" w:fill="DEEAF6" w:themeFill="accent1" w:themeFillTint="33"/>
        <w:spacing w:line="276" w:lineRule="auto"/>
        <w:ind w:firstLine="0"/>
        <w:rPr>
          <w:rFonts w:ascii="Tahoma" w:hAnsi="Tahoma" w:cs="Tahoma"/>
          <w:sz w:val="24"/>
          <w:szCs w:val="24"/>
        </w:rPr>
      </w:pPr>
      <w:r w:rsidRPr="003164CE">
        <w:rPr>
          <w:rFonts w:ascii="Tahoma" w:hAnsi="Tahoma" w:cs="Tahoma"/>
          <w:b/>
          <w:sz w:val="24"/>
          <w:szCs w:val="24"/>
          <w:u w:val="single"/>
        </w:rPr>
        <w:t>Veniturile bugetului general consolidat</w:t>
      </w:r>
      <w:r w:rsidRPr="003164CE">
        <w:rPr>
          <w:rFonts w:ascii="Tahoma" w:hAnsi="Tahoma" w:cs="Tahoma"/>
          <w:sz w:val="24"/>
          <w:szCs w:val="24"/>
        </w:rPr>
        <w:t xml:space="preserve"> au fost în sumă de </w:t>
      </w:r>
      <w:r w:rsidR="004863FB" w:rsidRPr="003164CE">
        <w:rPr>
          <w:rFonts w:ascii="Tahoma" w:hAnsi="Tahoma" w:cs="Tahoma"/>
          <w:b/>
          <w:sz w:val="24"/>
          <w:szCs w:val="24"/>
        </w:rPr>
        <w:t>310,52</w:t>
      </w:r>
      <w:r w:rsidR="00967266" w:rsidRPr="003164CE">
        <w:rPr>
          <w:rFonts w:ascii="Tahoma" w:hAnsi="Tahoma" w:cs="Tahoma"/>
          <w:b/>
          <w:sz w:val="24"/>
          <w:szCs w:val="24"/>
        </w:rPr>
        <w:t xml:space="preserve"> miliarde</w:t>
      </w:r>
      <w:r w:rsidRPr="003164CE">
        <w:rPr>
          <w:rFonts w:ascii="Tahoma" w:hAnsi="Tahoma" w:cs="Tahoma"/>
          <w:b/>
          <w:sz w:val="24"/>
          <w:szCs w:val="24"/>
        </w:rPr>
        <w:t xml:space="preserve"> </w:t>
      </w:r>
      <w:r w:rsidR="003A634F" w:rsidRPr="003164CE">
        <w:rPr>
          <w:rFonts w:ascii="Tahoma" w:hAnsi="Tahoma" w:cs="Tahoma"/>
          <w:b/>
          <w:sz w:val="24"/>
          <w:szCs w:val="24"/>
        </w:rPr>
        <w:t>lei</w:t>
      </w:r>
      <w:r w:rsidR="00967266" w:rsidRPr="003164CE">
        <w:rPr>
          <w:rFonts w:ascii="Tahoma" w:hAnsi="Tahoma" w:cs="Tahoma"/>
          <w:sz w:val="24"/>
          <w:szCs w:val="24"/>
        </w:rPr>
        <w:t xml:space="preserve">, cu </w:t>
      </w:r>
      <w:r w:rsidR="004863FB" w:rsidRPr="003164CE">
        <w:rPr>
          <w:rFonts w:ascii="Tahoma" w:hAnsi="Tahoma" w:cs="Tahoma"/>
          <w:sz w:val="24"/>
          <w:szCs w:val="24"/>
        </w:rPr>
        <w:t>12,7</w:t>
      </w:r>
      <w:r w:rsidRPr="003164CE">
        <w:rPr>
          <w:rFonts w:ascii="Tahoma" w:hAnsi="Tahoma" w:cs="Tahoma"/>
          <w:sz w:val="24"/>
          <w:szCs w:val="24"/>
        </w:rPr>
        <w:t xml:space="preserve">% mai </w:t>
      </w:r>
      <w:r w:rsidR="00967266" w:rsidRPr="003164CE">
        <w:rPr>
          <w:rFonts w:ascii="Tahoma" w:hAnsi="Tahoma" w:cs="Tahoma"/>
          <w:sz w:val="24"/>
          <w:szCs w:val="24"/>
        </w:rPr>
        <w:t>mari</w:t>
      </w:r>
      <w:r w:rsidRPr="003164CE">
        <w:rPr>
          <w:rFonts w:ascii="Tahoma" w:hAnsi="Tahoma" w:cs="Tahoma"/>
          <w:sz w:val="24"/>
          <w:szCs w:val="24"/>
        </w:rPr>
        <w:t xml:space="preserve"> comparativ cu aceeași perioadă a anului precedent </w:t>
      </w:r>
      <w:r w:rsidR="00A40CBD" w:rsidRPr="003164CE">
        <w:rPr>
          <w:rFonts w:ascii="Tahoma" w:hAnsi="Tahoma" w:cs="Tahoma"/>
          <w:sz w:val="24"/>
          <w:szCs w:val="24"/>
        </w:rPr>
        <w:t>și</w:t>
      </w:r>
      <w:r w:rsidRPr="003164CE">
        <w:rPr>
          <w:rFonts w:ascii="Tahoma" w:hAnsi="Tahoma" w:cs="Tahoma"/>
          <w:sz w:val="24"/>
          <w:szCs w:val="24"/>
        </w:rPr>
        <w:t xml:space="preserve"> cu un grad de realizare al programului de încasări pe primul semestru de </w:t>
      </w:r>
      <w:r w:rsidR="004863FB" w:rsidRPr="003164CE">
        <w:rPr>
          <w:rFonts w:ascii="Tahoma" w:hAnsi="Tahoma" w:cs="Tahoma"/>
          <w:b/>
          <w:sz w:val="24"/>
          <w:szCs w:val="24"/>
        </w:rPr>
        <w:t>91,4</w:t>
      </w:r>
      <w:r w:rsidR="00461A21" w:rsidRPr="003164CE">
        <w:rPr>
          <w:rFonts w:ascii="Tahoma" w:hAnsi="Tahoma" w:cs="Tahoma"/>
          <w:b/>
          <w:sz w:val="24"/>
          <w:szCs w:val="24"/>
        </w:rPr>
        <w:t>%</w:t>
      </w:r>
      <w:r w:rsidRPr="003164CE">
        <w:rPr>
          <w:rFonts w:ascii="Tahoma" w:hAnsi="Tahoma" w:cs="Tahoma"/>
          <w:sz w:val="24"/>
          <w:szCs w:val="24"/>
        </w:rPr>
        <w:t xml:space="preserve">. </w:t>
      </w:r>
    </w:p>
    <w:p w:rsidR="004D6D76" w:rsidRPr="003164CE" w:rsidRDefault="004D6D76" w:rsidP="00DB2872">
      <w:pPr>
        <w:spacing w:after="240" w:line="276" w:lineRule="auto"/>
        <w:ind w:firstLine="0"/>
        <w:rPr>
          <w:rFonts w:ascii="Tahoma" w:hAnsi="Tahoma" w:cs="Tahoma"/>
          <w:sz w:val="24"/>
          <w:szCs w:val="24"/>
        </w:rPr>
      </w:pPr>
      <w:r w:rsidRPr="003164CE">
        <w:rPr>
          <w:rFonts w:ascii="Tahoma" w:hAnsi="Tahoma" w:cs="Tahoma"/>
          <w:sz w:val="24"/>
          <w:szCs w:val="24"/>
        </w:rPr>
        <w:t xml:space="preserve">Veniturile bugetului general consolidat, ca procent în PIB, </w:t>
      </w:r>
      <w:r w:rsidR="00E314A6" w:rsidRPr="003164CE">
        <w:rPr>
          <w:rFonts w:ascii="Tahoma" w:hAnsi="Tahoma" w:cs="Tahoma"/>
          <w:sz w:val="24"/>
          <w:szCs w:val="24"/>
        </w:rPr>
        <w:t xml:space="preserve">au înregistrat </w:t>
      </w:r>
      <w:r w:rsidRPr="003164CE">
        <w:rPr>
          <w:rFonts w:ascii="Tahoma" w:hAnsi="Tahoma" w:cs="Tahoma"/>
          <w:sz w:val="24"/>
          <w:szCs w:val="24"/>
        </w:rPr>
        <w:t xml:space="preserve">în perioada analizată </w:t>
      </w:r>
      <w:r w:rsidR="00E314A6" w:rsidRPr="003164CE">
        <w:rPr>
          <w:rFonts w:ascii="Tahoma" w:hAnsi="Tahoma" w:cs="Tahoma"/>
          <w:sz w:val="24"/>
          <w:szCs w:val="24"/>
        </w:rPr>
        <w:t xml:space="preserve">o ușoară creștere </w:t>
      </w:r>
      <w:r w:rsidRPr="003164CE">
        <w:rPr>
          <w:rFonts w:ascii="Tahoma" w:hAnsi="Tahoma" w:cs="Tahoma"/>
          <w:sz w:val="24"/>
          <w:szCs w:val="24"/>
        </w:rPr>
        <w:t xml:space="preserve">cu </w:t>
      </w:r>
      <w:r w:rsidR="00BC6044" w:rsidRPr="003164CE">
        <w:rPr>
          <w:rFonts w:ascii="Tahoma" w:hAnsi="Tahoma" w:cs="Tahoma"/>
          <w:sz w:val="24"/>
          <w:szCs w:val="24"/>
        </w:rPr>
        <w:t>0,</w:t>
      </w:r>
      <w:r w:rsidR="004863FB" w:rsidRPr="003164CE">
        <w:rPr>
          <w:rFonts w:ascii="Tahoma" w:hAnsi="Tahoma" w:cs="Tahoma"/>
          <w:sz w:val="24"/>
          <w:szCs w:val="24"/>
        </w:rPr>
        <w:t>7</w:t>
      </w:r>
      <w:r w:rsidRPr="003164CE">
        <w:rPr>
          <w:rFonts w:ascii="Tahoma" w:hAnsi="Tahoma" w:cs="Tahoma"/>
          <w:sz w:val="24"/>
          <w:szCs w:val="24"/>
        </w:rPr>
        <w:t xml:space="preserve"> puncte procentuale comparativ cu aceeași perioadă a anului anterior</w:t>
      </w:r>
      <w:r w:rsidR="00F53462" w:rsidRPr="003164CE">
        <w:rPr>
          <w:rFonts w:ascii="Tahoma" w:hAnsi="Tahoma" w:cs="Tahoma"/>
          <w:sz w:val="24"/>
          <w:szCs w:val="24"/>
        </w:rPr>
        <w:t>,</w:t>
      </w:r>
      <w:r w:rsidRPr="003164CE">
        <w:rPr>
          <w:rFonts w:ascii="Tahoma" w:hAnsi="Tahoma" w:cs="Tahoma"/>
          <w:sz w:val="24"/>
          <w:szCs w:val="24"/>
        </w:rPr>
        <w:t xml:space="preserve"> de la </w:t>
      </w:r>
      <w:r w:rsidR="004863FB" w:rsidRPr="003164CE">
        <w:rPr>
          <w:rFonts w:ascii="Tahoma" w:hAnsi="Tahoma" w:cs="Tahoma"/>
          <w:sz w:val="24"/>
          <w:szCs w:val="24"/>
        </w:rPr>
        <w:t>15,7</w:t>
      </w:r>
      <w:r w:rsidRPr="003164CE">
        <w:rPr>
          <w:rFonts w:ascii="Tahoma" w:hAnsi="Tahoma" w:cs="Tahoma"/>
          <w:sz w:val="24"/>
          <w:szCs w:val="24"/>
        </w:rPr>
        <w:t>% în PIB în semestru</w:t>
      </w:r>
      <w:r w:rsidR="00487959" w:rsidRPr="003164CE">
        <w:rPr>
          <w:rFonts w:ascii="Tahoma" w:hAnsi="Tahoma" w:cs="Tahoma"/>
          <w:sz w:val="24"/>
          <w:szCs w:val="24"/>
        </w:rPr>
        <w:t>l</w:t>
      </w:r>
      <w:r w:rsidRPr="003164CE">
        <w:rPr>
          <w:rFonts w:ascii="Tahoma" w:hAnsi="Tahoma" w:cs="Tahoma"/>
          <w:sz w:val="24"/>
          <w:szCs w:val="24"/>
        </w:rPr>
        <w:t xml:space="preserve"> I 20</w:t>
      </w:r>
      <w:r w:rsidR="00E82DC4" w:rsidRPr="003164CE">
        <w:rPr>
          <w:rFonts w:ascii="Tahoma" w:hAnsi="Tahoma" w:cs="Tahoma"/>
          <w:sz w:val="24"/>
          <w:szCs w:val="24"/>
        </w:rPr>
        <w:t>2</w:t>
      </w:r>
      <w:r w:rsidR="004863FB" w:rsidRPr="003164CE">
        <w:rPr>
          <w:rFonts w:ascii="Tahoma" w:hAnsi="Tahoma" w:cs="Tahoma"/>
          <w:sz w:val="24"/>
          <w:szCs w:val="24"/>
        </w:rPr>
        <w:t>4</w:t>
      </w:r>
      <w:r w:rsidRPr="003164CE">
        <w:rPr>
          <w:rFonts w:ascii="Tahoma" w:hAnsi="Tahoma" w:cs="Tahoma"/>
          <w:sz w:val="24"/>
          <w:szCs w:val="24"/>
        </w:rPr>
        <w:t xml:space="preserve"> la </w:t>
      </w:r>
      <w:r w:rsidR="004863FB" w:rsidRPr="003164CE">
        <w:rPr>
          <w:rFonts w:ascii="Tahoma" w:hAnsi="Tahoma" w:cs="Tahoma"/>
          <w:sz w:val="24"/>
          <w:szCs w:val="24"/>
        </w:rPr>
        <w:t>16,4</w:t>
      </w:r>
      <w:r w:rsidRPr="003164CE">
        <w:rPr>
          <w:rFonts w:ascii="Tahoma" w:hAnsi="Tahoma" w:cs="Tahoma"/>
          <w:sz w:val="24"/>
          <w:szCs w:val="24"/>
        </w:rPr>
        <w:t>% din PIB în semestrul I 20</w:t>
      </w:r>
      <w:r w:rsidR="00461A21" w:rsidRPr="003164CE">
        <w:rPr>
          <w:rFonts w:ascii="Tahoma" w:hAnsi="Tahoma" w:cs="Tahoma"/>
          <w:sz w:val="24"/>
          <w:szCs w:val="24"/>
        </w:rPr>
        <w:t>2</w:t>
      </w:r>
      <w:r w:rsidR="004863FB" w:rsidRPr="003164CE">
        <w:rPr>
          <w:rFonts w:ascii="Tahoma" w:hAnsi="Tahoma" w:cs="Tahoma"/>
          <w:sz w:val="24"/>
          <w:szCs w:val="24"/>
        </w:rPr>
        <w:t>5</w:t>
      </w:r>
      <w:r w:rsidRPr="003164CE">
        <w:rPr>
          <w:rFonts w:ascii="Tahoma" w:hAnsi="Tahoma" w:cs="Tahoma"/>
          <w:sz w:val="24"/>
          <w:szCs w:val="24"/>
        </w:rPr>
        <w:t>.</w:t>
      </w:r>
    </w:p>
    <w:p w:rsidR="001B5B69" w:rsidRPr="003164CE" w:rsidRDefault="00CC7E05" w:rsidP="00B009FE">
      <w:pPr>
        <w:spacing w:after="240" w:line="276" w:lineRule="auto"/>
        <w:ind w:firstLine="0"/>
        <w:rPr>
          <w:rFonts w:ascii="Tahoma" w:hAnsi="Tahoma" w:cs="Tahoma"/>
          <w:b/>
          <w:sz w:val="24"/>
          <w:szCs w:val="24"/>
        </w:rPr>
      </w:pPr>
      <w:r w:rsidRPr="003164CE">
        <w:rPr>
          <w:rFonts w:ascii="Tahoma" w:hAnsi="Tahoma" w:cs="Tahoma"/>
          <w:b/>
          <w:noProof/>
          <w:sz w:val="24"/>
          <w:szCs w:val="24"/>
        </w:rPr>
        <w:fldChar w:fldCharType="begin"/>
      </w:r>
      <w:r w:rsidRPr="003164CE">
        <w:rPr>
          <w:rFonts w:ascii="Tahoma" w:hAnsi="Tahoma" w:cs="Tahoma"/>
          <w:b/>
          <w:noProof/>
          <w:sz w:val="24"/>
          <w:szCs w:val="24"/>
        </w:rPr>
        <w:instrText xml:space="preserve"> LINK Excel.Sheet.8 "\\\\MFP1934\\retea on 10.236.1.89\\Executii\\Executii 2025\\Rapoarte LRF 2025\\CALCULE 2025\\Grafice CH 2024 Progr - EXEC  Sem I.xls!grafice![Grafice CH 2024 Progr - EXEC  Sem I.xls]grafice Chart 3-2" "" \a \p </w:instrText>
      </w:r>
      <w:r w:rsidRPr="003164CE">
        <w:rPr>
          <w:rFonts w:ascii="Tahoma" w:hAnsi="Tahoma" w:cs="Tahoma"/>
          <w:b/>
          <w:noProof/>
          <w:sz w:val="24"/>
          <w:szCs w:val="24"/>
        </w:rPr>
        <w:fldChar w:fldCharType="separate"/>
      </w:r>
      <w:r w:rsidR="0012205B">
        <w:rPr>
          <w:rFonts w:ascii="Tahoma" w:hAnsi="Tahoma" w:cs="Tahoma"/>
          <w:b/>
          <w:noProof/>
          <w:sz w:val="24"/>
          <w:szCs w:val="24"/>
        </w:rPr>
        <w:object w:dxaOrig="13876" w:dyaOrig="6541">
          <v:shape id="_x0000_i1026" type="#_x0000_t75" style="width:456.5pt;height:267.85pt" o:ole="">
            <v:imagedata r:id="rId17" o:title=""/>
          </v:shape>
        </w:object>
      </w:r>
      <w:r w:rsidRPr="003164CE">
        <w:rPr>
          <w:rFonts w:ascii="Tahoma" w:hAnsi="Tahoma" w:cs="Tahoma"/>
          <w:b/>
          <w:noProof/>
          <w:sz w:val="24"/>
          <w:szCs w:val="24"/>
        </w:rPr>
        <w:fldChar w:fldCharType="end"/>
      </w:r>
    </w:p>
    <w:p w:rsidR="004D6D76" w:rsidRPr="003164CE" w:rsidRDefault="004D6D76" w:rsidP="00DB2872">
      <w:pPr>
        <w:spacing w:line="276" w:lineRule="auto"/>
        <w:ind w:firstLine="0"/>
        <w:rPr>
          <w:rFonts w:ascii="Tahoma" w:hAnsi="Tahoma" w:cs="Tahoma"/>
          <w:sz w:val="24"/>
          <w:szCs w:val="24"/>
        </w:rPr>
      </w:pPr>
      <w:r w:rsidRPr="003164CE">
        <w:rPr>
          <w:rFonts w:ascii="Tahoma" w:hAnsi="Tahoma" w:cs="Tahoma"/>
          <w:b/>
          <w:sz w:val="24"/>
          <w:szCs w:val="24"/>
        </w:rPr>
        <w:t>Veniturile încasate din economia internă</w:t>
      </w:r>
      <w:r w:rsidRPr="003164CE">
        <w:rPr>
          <w:rFonts w:ascii="Tahoma" w:hAnsi="Tahoma" w:cs="Tahoma"/>
          <w:sz w:val="24"/>
          <w:szCs w:val="24"/>
        </w:rPr>
        <w:t xml:space="preserve"> (fără fonduri de la Uniunea Europeană pre și post-aderare) au fost în sumă de </w:t>
      </w:r>
      <w:r w:rsidR="004863FB" w:rsidRPr="003164CE">
        <w:rPr>
          <w:rFonts w:ascii="Tahoma" w:hAnsi="Tahoma" w:cs="Tahoma"/>
          <w:sz w:val="24"/>
          <w:szCs w:val="24"/>
        </w:rPr>
        <w:t>285,45</w:t>
      </w:r>
      <w:r w:rsidR="00FF292C" w:rsidRPr="003164CE">
        <w:rPr>
          <w:rFonts w:ascii="Tahoma" w:hAnsi="Tahoma" w:cs="Tahoma"/>
          <w:sz w:val="24"/>
          <w:szCs w:val="24"/>
        </w:rPr>
        <w:t xml:space="preserve"> </w:t>
      </w:r>
      <w:r w:rsidR="00E82DC4" w:rsidRPr="003164CE">
        <w:rPr>
          <w:rFonts w:ascii="Tahoma" w:hAnsi="Tahoma" w:cs="Tahoma"/>
          <w:sz w:val="24"/>
          <w:szCs w:val="24"/>
        </w:rPr>
        <w:t>miliarde</w:t>
      </w:r>
      <w:r w:rsidRPr="003164CE">
        <w:rPr>
          <w:rFonts w:ascii="Tahoma" w:hAnsi="Tahoma" w:cs="Tahoma"/>
          <w:sz w:val="24"/>
          <w:szCs w:val="24"/>
        </w:rPr>
        <w:t xml:space="preserve"> </w:t>
      </w:r>
      <w:r w:rsidR="003A634F" w:rsidRPr="003164CE">
        <w:rPr>
          <w:rFonts w:ascii="Tahoma" w:hAnsi="Tahoma" w:cs="Tahoma"/>
          <w:sz w:val="24"/>
          <w:szCs w:val="24"/>
        </w:rPr>
        <w:t>lei</w:t>
      </w:r>
      <w:r w:rsidRPr="003164CE">
        <w:rPr>
          <w:rFonts w:ascii="Tahoma" w:hAnsi="Tahoma" w:cs="Tahoma"/>
          <w:sz w:val="24"/>
          <w:szCs w:val="24"/>
        </w:rPr>
        <w:t xml:space="preserve"> (</w:t>
      </w:r>
      <w:r w:rsidR="004863FB" w:rsidRPr="003164CE">
        <w:rPr>
          <w:rFonts w:ascii="Tahoma" w:hAnsi="Tahoma" w:cs="Tahoma"/>
          <w:sz w:val="24"/>
          <w:szCs w:val="24"/>
        </w:rPr>
        <w:t>15,1</w:t>
      </w:r>
      <w:r w:rsidRPr="003164CE">
        <w:rPr>
          <w:rFonts w:ascii="Tahoma" w:hAnsi="Tahoma" w:cs="Tahoma"/>
          <w:sz w:val="24"/>
          <w:szCs w:val="24"/>
        </w:rPr>
        <w:t xml:space="preserve">% din PIB), cu </w:t>
      </w:r>
      <w:r w:rsidR="004863FB" w:rsidRPr="003164CE">
        <w:rPr>
          <w:rFonts w:ascii="Tahoma" w:hAnsi="Tahoma" w:cs="Tahoma"/>
          <w:b/>
          <w:sz w:val="24"/>
          <w:szCs w:val="24"/>
        </w:rPr>
        <w:t>11,3</w:t>
      </w:r>
      <w:r w:rsidRPr="003164CE">
        <w:rPr>
          <w:rFonts w:ascii="Tahoma" w:hAnsi="Tahoma" w:cs="Tahoma"/>
          <w:b/>
          <w:sz w:val="24"/>
          <w:szCs w:val="24"/>
        </w:rPr>
        <w:t xml:space="preserve">% mai </w:t>
      </w:r>
      <w:r w:rsidR="00E82DC4" w:rsidRPr="003164CE">
        <w:rPr>
          <w:rFonts w:ascii="Tahoma" w:hAnsi="Tahoma" w:cs="Tahoma"/>
          <w:b/>
          <w:sz w:val="24"/>
          <w:szCs w:val="24"/>
        </w:rPr>
        <w:t>mari</w:t>
      </w:r>
      <w:r w:rsidRPr="003164CE">
        <w:rPr>
          <w:rFonts w:ascii="Tahoma" w:hAnsi="Tahoma" w:cs="Tahoma"/>
          <w:sz w:val="24"/>
          <w:szCs w:val="24"/>
        </w:rPr>
        <w:t xml:space="preserve"> comparativ cu încasările semestrului I 20</w:t>
      </w:r>
      <w:r w:rsidR="00EC4B9E" w:rsidRPr="003164CE">
        <w:rPr>
          <w:rFonts w:ascii="Tahoma" w:hAnsi="Tahoma" w:cs="Tahoma"/>
          <w:sz w:val="24"/>
          <w:szCs w:val="24"/>
        </w:rPr>
        <w:t>2</w:t>
      </w:r>
      <w:r w:rsidR="004863FB" w:rsidRPr="003164CE">
        <w:rPr>
          <w:rFonts w:ascii="Tahoma" w:hAnsi="Tahoma" w:cs="Tahoma"/>
          <w:sz w:val="24"/>
          <w:szCs w:val="24"/>
        </w:rPr>
        <w:t>4</w:t>
      </w:r>
      <w:r w:rsidR="00FF292C" w:rsidRPr="003164CE">
        <w:rPr>
          <w:rFonts w:ascii="Tahoma" w:hAnsi="Tahoma" w:cs="Tahoma"/>
          <w:sz w:val="24"/>
          <w:szCs w:val="24"/>
        </w:rPr>
        <w:t xml:space="preserve"> </w:t>
      </w:r>
      <w:r w:rsidR="00A40CBD" w:rsidRPr="003164CE">
        <w:rPr>
          <w:rFonts w:ascii="Tahoma" w:hAnsi="Tahoma" w:cs="Tahoma"/>
          <w:sz w:val="24"/>
          <w:szCs w:val="24"/>
        </w:rPr>
        <w:t>și</w:t>
      </w:r>
      <w:r w:rsidRPr="003164CE">
        <w:rPr>
          <w:rFonts w:ascii="Tahoma" w:hAnsi="Tahoma" w:cs="Tahoma"/>
          <w:sz w:val="24"/>
          <w:szCs w:val="24"/>
        </w:rPr>
        <w:t xml:space="preserve"> un grad de realizare a programul</w:t>
      </w:r>
      <w:r w:rsidR="00C426B5" w:rsidRPr="003164CE">
        <w:rPr>
          <w:rFonts w:ascii="Tahoma" w:hAnsi="Tahoma" w:cs="Tahoma"/>
          <w:sz w:val="24"/>
          <w:szCs w:val="24"/>
        </w:rPr>
        <w:t>ui</w:t>
      </w:r>
      <w:r w:rsidRPr="003164CE">
        <w:rPr>
          <w:rFonts w:ascii="Tahoma" w:hAnsi="Tahoma" w:cs="Tahoma"/>
          <w:sz w:val="24"/>
          <w:szCs w:val="24"/>
        </w:rPr>
        <w:t xml:space="preserve"> semestrial de </w:t>
      </w:r>
      <w:r w:rsidR="004863FB" w:rsidRPr="003164CE">
        <w:rPr>
          <w:rFonts w:ascii="Tahoma" w:hAnsi="Tahoma" w:cs="Tahoma"/>
          <w:b/>
          <w:sz w:val="24"/>
          <w:szCs w:val="24"/>
        </w:rPr>
        <w:t>98</w:t>
      </w:r>
      <w:r w:rsidR="00FC45EA" w:rsidRPr="003164CE">
        <w:rPr>
          <w:rFonts w:ascii="Tahoma" w:hAnsi="Tahoma" w:cs="Tahoma"/>
          <w:b/>
          <w:sz w:val="24"/>
          <w:szCs w:val="24"/>
        </w:rPr>
        <w:t>,</w:t>
      </w:r>
      <w:r w:rsidR="00416368" w:rsidRPr="003164CE">
        <w:rPr>
          <w:rFonts w:ascii="Tahoma" w:hAnsi="Tahoma" w:cs="Tahoma"/>
          <w:b/>
          <w:sz w:val="24"/>
          <w:szCs w:val="24"/>
        </w:rPr>
        <w:t>2</w:t>
      </w:r>
      <w:r w:rsidRPr="003164CE">
        <w:rPr>
          <w:rFonts w:ascii="Tahoma" w:hAnsi="Tahoma" w:cs="Tahoma"/>
          <w:b/>
          <w:sz w:val="24"/>
          <w:szCs w:val="24"/>
        </w:rPr>
        <w:t>%</w:t>
      </w:r>
      <w:r w:rsidRPr="003164CE">
        <w:rPr>
          <w:rFonts w:ascii="Tahoma" w:hAnsi="Tahoma" w:cs="Tahoma"/>
          <w:sz w:val="24"/>
          <w:szCs w:val="24"/>
        </w:rPr>
        <w:t>.</w:t>
      </w:r>
    </w:p>
    <w:p w:rsidR="00A15043" w:rsidRPr="003164CE" w:rsidRDefault="00A15043" w:rsidP="00DB2872">
      <w:pPr>
        <w:spacing w:after="240" w:line="276" w:lineRule="auto"/>
        <w:ind w:firstLine="0"/>
        <w:rPr>
          <w:rFonts w:ascii="Tahoma" w:eastAsia="Tahoma" w:hAnsi="Tahoma" w:cs="Tahoma"/>
          <w:sz w:val="24"/>
          <w:szCs w:val="24"/>
        </w:rPr>
      </w:pPr>
      <w:r w:rsidRPr="003164CE">
        <w:rPr>
          <w:rFonts w:ascii="Tahoma" w:eastAsia="Tahoma" w:hAnsi="Tahoma" w:cs="Tahoma"/>
          <w:sz w:val="24"/>
          <w:szCs w:val="24"/>
        </w:rPr>
        <w:lastRenderedPageBreak/>
        <w:t xml:space="preserve">Evoluția acestora a fost susținută de avansul încasărilor din impozitul pe salarii și venit, contribuțiile de </w:t>
      </w:r>
      <w:r w:rsidR="003B3E53" w:rsidRPr="003164CE">
        <w:rPr>
          <w:rFonts w:ascii="Tahoma" w:eastAsia="Tahoma" w:hAnsi="Tahoma" w:cs="Tahoma"/>
          <w:sz w:val="24"/>
          <w:szCs w:val="24"/>
        </w:rPr>
        <w:t xml:space="preserve">asigurări, </w:t>
      </w:r>
      <w:r w:rsidR="00FC45EA" w:rsidRPr="003164CE">
        <w:rPr>
          <w:rFonts w:ascii="Tahoma" w:eastAsia="Tahoma" w:hAnsi="Tahoma" w:cs="Tahoma"/>
          <w:sz w:val="24"/>
          <w:szCs w:val="24"/>
        </w:rPr>
        <w:t xml:space="preserve">venituri nefiscale, </w:t>
      </w:r>
      <w:r w:rsidR="003B3E53" w:rsidRPr="003164CE">
        <w:rPr>
          <w:rFonts w:ascii="Tahoma" w:eastAsia="Tahoma" w:hAnsi="Tahoma" w:cs="Tahoma"/>
          <w:sz w:val="24"/>
          <w:szCs w:val="24"/>
        </w:rPr>
        <w:t xml:space="preserve">impozitul pe profit </w:t>
      </w:r>
      <w:r w:rsidRPr="003164CE">
        <w:rPr>
          <w:rFonts w:ascii="Tahoma" w:eastAsia="Tahoma" w:hAnsi="Tahoma" w:cs="Tahoma"/>
          <w:sz w:val="24"/>
          <w:szCs w:val="24"/>
        </w:rPr>
        <w:t xml:space="preserve">și </w:t>
      </w:r>
      <w:r w:rsidR="004863FB" w:rsidRPr="003164CE">
        <w:rPr>
          <w:rFonts w:ascii="Tahoma" w:eastAsia="Tahoma" w:hAnsi="Tahoma" w:cs="Tahoma"/>
          <w:sz w:val="24"/>
          <w:szCs w:val="24"/>
        </w:rPr>
        <w:t>accize</w:t>
      </w:r>
      <w:r w:rsidRPr="003164CE">
        <w:rPr>
          <w:rFonts w:ascii="Tahoma" w:eastAsia="Tahoma" w:hAnsi="Tahoma" w:cs="Tahoma"/>
          <w:sz w:val="24"/>
          <w:szCs w:val="24"/>
        </w:rPr>
        <w:t xml:space="preserve">. </w:t>
      </w:r>
    </w:p>
    <w:p w:rsidR="002E7CD9" w:rsidRPr="003164CE" w:rsidRDefault="004D6D76" w:rsidP="00DB2872">
      <w:pPr>
        <w:spacing w:after="240" w:line="276" w:lineRule="auto"/>
        <w:ind w:firstLine="0"/>
        <w:rPr>
          <w:rFonts w:ascii="Tahoma" w:hAnsi="Tahoma" w:cs="Tahoma"/>
          <w:sz w:val="24"/>
          <w:szCs w:val="24"/>
        </w:rPr>
      </w:pPr>
      <w:r w:rsidRPr="003164CE">
        <w:rPr>
          <w:rFonts w:ascii="Tahoma" w:hAnsi="Tahoma" w:cs="Tahoma"/>
          <w:sz w:val="24"/>
          <w:szCs w:val="24"/>
        </w:rPr>
        <w:t>Veniturile încasate din economia</w:t>
      </w:r>
      <w:r w:rsidR="00563406" w:rsidRPr="003164CE">
        <w:rPr>
          <w:rFonts w:ascii="Tahoma" w:hAnsi="Tahoma" w:cs="Tahoma"/>
          <w:sz w:val="24"/>
          <w:szCs w:val="24"/>
        </w:rPr>
        <w:t xml:space="preserve"> internă, ca procent în PIB, </w:t>
      </w:r>
      <w:r w:rsidR="00EC4B9E" w:rsidRPr="003164CE">
        <w:rPr>
          <w:rFonts w:ascii="Tahoma" w:hAnsi="Tahoma" w:cs="Tahoma"/>
          <w:sz w:val="24"/>
          <w:szCs w:val="24"/>
        </w:rPr>
        <w:t xml:space="preserve">au </w:t>
      </w:r>
      <w:r w:rsidR="00FC45EA" w:rsidRPr="003164CE">
        <w:rPr>
          <w:rFonts w:ascii="Tahoma" w:hAnsi="Tahoma" w:cs="Tahoma"/>
          <w:sz w:val="24"/>
          <w:szCs w:val="24"/>
        </w:rPr>
        <w:t>crescut</w:t>
      </w:r>
      <w:r w:rsidR="00EC4B9E" w:rsidRPr="003164CE">
        <w:rPr>
          <w:rFonts w:ascii="Tahoma" w:hAnsi="Tahoma" w:cs="Tahoma"/>
          <w:sz w:val="24"/>
          <w:szCs w:val="24"/>
        </w:rPr>
        <w:t xml:space="preserve"> cu </w:t>
      </w:r>
      <w:r w:rsidR="00BC4A6F" w:rsidRPr="003164CE">
        <w:rPr>
          <w:rFonts w:ascii="Tahoma" w:hAnsi="Tahoma" w:cs="Tahoma"/>
          <w:sz w:val="24"/>
          <w:szCs w:val="24"/>
        </w:rPr>
        <w:t>0,</w:t>
      </w:r>
      <w:r w:rsidR="00DF1810" w:rsidRPr="003164CE">
        <w:rPr>
          <w:rFonts w:ascii="Tahoma" w:hAnsi="Tahoma" w:cs="Tahoma"/>
          <w:sz w:val="24"/>
          <w:szCs w:val="24"/>
        </w:rPr>
        <w:t>5</w:t>
      </w:r>
      <w:r w:rsidR="00BC4A6F" w:rsidRPr="003164CE">
        <w:rPr>
          <w:rFonts w:ascii="Tahoma" w:hAnsi="Tahoma" w:cs="Tahoma"/>
          <w:sz w:val="24"/>
          <w:szCs w:val="24"/>
        </w:rPr>
        <w:t xml:space="preserve"> </w:t>
      </w:r>
      <w:r w:rsidRPr="003164CE">
        <w:rPr>
          <w:rFonts w:ascii="Tahoma" w:hAnsi="Tahoma" w:cs="Tahoma"/>
          <w:sz w:val="24"/>
          <w:szCs w:val="24"/>
        </w:rPr>
        <w:t xml:space="preserve">puncte procentuale de la </w:t>
      </w:r>
      <w:r w:rsidR="00DF1810" w:rsidRPr="003164CE">
        <w:rPr>
          <w:rFonts w:ascii="Tahoma" w:hAnsi="Tahoma" w:cs="Tahoma"/>
          <w:sz w:val="24"/>
          <w:szCs w:val="24"/>
        </w:rPr>
        <w:t>14,6</w:t>
      </w:r>
      <w:r w:rsidRPr="003164CE">
        <w:rPr>
          <w:rFonts w:ascii="Tahoma" w:hAnsi="Tahoma" w:cs="Tahoma"/>
          <w:sz w:val="24"/>
          <w:szCs w:val="24"/>
        </w:rPr>
        <w:t>% din PIB, cât au reprezentat în semestrul I 20</w:t>
      </w:r>
      <w:r w:rsidR="00EC4B9E" w:rsidRPr="003164CE">
        <w:rPr>
          <w:rFonts w:ascii="Tahoma" w:hAnsi="Tahoma" w:cs="Tahoma"/>
          <w:sz w:val="24"/>
          <w:szCs w:val="24"/>
        </w:rPr>
        <w:t>2</w:t>
      </w:r>
      <w:r w:rsidR="00DF1810" w:rsidRPr="003164CE">
        <w:rPr>
          <w:rFonts w:ascii="Tahoma" w:hAnsi="Tahoma" w:cs="Tahoma"/>
          <w:sz w:val="24"/>
          <w:szCs w:val="24"/>
        </w:rPr>
        <w:t>4</w:t>
      </w:r>
      <w:r w:rsidR="00F53462" w:rsidRPr="003164CE">
        <w:rPr>
          <w:rFonts w:ascii="Tahoma" w:hAnsi="Tahoma" w:cs="Tahoma"/>
          <w:sz w:val="24"/>
          <w:szCs w:val="24"/>
        </w:rPr>
        <w:t>,</w:t>
      </w:r>
      <w:r w:rsidRPr="003164CE">
        <w:rPr>
          <w:rFonts w:ascii="Tahoma" w:hAnsi="Tahoma" w:cs="Tahoma"/>
          <w:sz w:val="24"/>
          <w:szCs w:val="24"/>
        </w:rPr>
        <w:t xml:space="preserve"> la </w:t>
      </w:r>
      <w:r w:rsidR="00DF1810" w:rsidRPr="003164CE">
        <w:rPr>
          <w:rFonts w:ascii="Tahoma" w:hAnsi="Tahoma" w:cs="Tahoma"/>
          <w:sz w:val="24"/>
          <w:szCs w:val="24"/>
        </w:rPr>
        <w:t>15,1</w:t>
      </w:r>
      <w:r w:rsidRPr="003164CE">
        <w:rPr>
          <w:rFonts w:ascii="Tahoma" w:hAnsi="Tahoma" w:cs="Tahoma"/>
          <w:sz w:val="24"/>
          <w:szCs w:val="24"/>
        </w:rPr>
        <w:t>% din PIB în semestrul I 20</w:t>
      </w:r>
      <w:r w:rsidR="00563406" w:rsidRPr="003164CE">
        <w:rPr>
          <w:rFonts w:ascii="Tahoma" w:hAnsi="Tahoma" w:cs="Tahoma"/>
          <w:sz w:val="24"/>
          <w:szCs w:val="24"/>
        </w:rPr>
        <w:t>2</w:t>
      </w:r>
      <w:r w:rsidR="00DF1810" w:rsidRPr="003164CE">
        <w:rPr>
          <w:rFonts w:ascii="Tahoma" w:hAnsi="Tahoma" w:cs="Tahoma"/>
          <w:sz w:val="24"/>
          <w:szCs w:val="24"/>
        </w:rPr>
        <w:t>5</w:t>
      </w:r>
      <w:r w:rsidRPr="003164CE">
        <w:rPr>
          <w:rFonts w:ascii="Tahoma" w:hAnsi="Tahoma" w:cs="Tahoma"/>
          <w:sz w:val="24"/>
          <w:szCs w:val="24"/>
        </w:rPr>
        <w:t>.</w:t>
      </w:r>
    </w:p>
    <w:p w:rsidR="002F1D42" w:rsidRPr="003164CE" w:rsidRDefault="003A30B4" w:rsidP="002A6579">
      <w:pPr>
        <w:spacing w:line="276" w:lineRule="auto"/>
        <w:ind w:firstLine="0"/>
        <w:rPr>
          <w:rFonts w:ascii="Tahoma" w:hAnsi="Tahoma" w:cs="Tahoma"/>
          <w:sz w:val="24"/>
          <w:szCs w:val="24"/>
        </w:rPr>
      </w:pPr>
      <w:r w:rsidRPr="003164CE">
        <w:rPr>
          <w:rFonts w:ascii="Tahoma" w:hAnsi="Tahoma" w:cs="Tahoma"/>
          <w:noProof/>
          <w:sz w:val="24"/>
          <w:szCs w:val="24"/>
        </w:rPr>
        <w:fldChar w:fldCharType="begin"/>
      </w:r>
      <w:r w:rsidRPr="003164CE">
        <w:rPr>
          <w:rFonts w:ascii="Tahoma" w:hAnsi="Tahoma" w:cs="Tahoma"/>
          <w:noProof/>
          <w:sz w:val="24"/>
          <w:szCs w:val="24"/>
        </w:rPr>
        <w:instrText xml:space="preserve"> LINK Excel.Sheet.8 "\\\\MFP1934\\retea on 10.236.1.89\\Executii\\Executii 2025\\Rapoarte LRF 2025\\CALCULE 2025\\Grafice CH 2024 Progr - EXEC  Sem I.xls!grafice![Grafice CH 2024 Progr - EXEC  Sem I.xls]grafice Chart 3-1" "" \a \p </w:instrText>
      </w:r>
      <w:r w:rsidRPr="003164CE">
        <w:rPr>
          <w:rFonts w:ascii="Tahoma" w:hAnsi="Tahoma" w:cs="Tahoma"/>
          <w:noProof/>
          <w:sz w:val="24"/>
          <w:szCs w:val="24"/>
        </w:rPr>
        <w:fldChar w:fldCharType="separate"/>
      </w:r>
      <w:r w:rsidR="0012205B">
        <w:rPr>
          <w:rFonts w:ascii="Tahoma" w:hAnsi="Tahoma" w:cs="Tahoma"/>
          <w:noProof/>
          <w:sz w:val="24"/>
          <w:szCs w:val="24"/>
        </w:rPr>
        <w:object w:dxaOrig="11460" w:dyaOrig="6451">
          <v:shape id="_x0000_i1027" type="#_x0000_t75" style="width:456.1pt;height:237.05pt" o:ole="">
            <v:imagedata r:id="rId18" o:title=""/>
          </v:shape>
        </w:object>
      </w:r>
      <w:r w:rsidRPr="003164CE">
        <w:rPr>
          <w:rFonts w:ascii="Tahoma" w:hAnsi="Tahoma" w:cs="Tahoma"/>
          <w:noProof/>
          <w:sz w:val="24"/>
          <w:szCs w:val="24"/>
        </w:rPr>
        <w:fldChar w:fldCharType="end"/>
      </w:r>
    </w:p>
    <w:p w:rsidR="004D6D76" w:rsidRPr="003164CE" w:rsidRDefault="004D6D76" w:rsidP="00B009FE">
      <w:pPr>
        <w:spacing w:before="240" w:line="276" w:lineRule="auto"/>
        <w:ind w:firstLine="0"/>
        <w:rPr>
          <w:rFonts w:ascii="Tahoma" w:hAnsi="Tahoma" w:cs="Tahoma"/>
          <w:sz w:val="24"/>
          <w:szCs w:val="24"/>
        </w:rPr>
      </w:pPr>
      <w:r w:rsidRPr="003164CE">
        <w:rPr>
          <w:rFonts w:ascii="Tahoma" w:hAnsi="Tahoma" w:cs="Tahoma"/>
          <w:b/>
          <w:bCs/>
          <w:sz w:val="24"/>
          <w:szCs w:val="24"/>
        </w:rPr>
        <w:t>Veniturile fiscale</w:t>
      </w:r>
      <w:r w:rsidRPr="003164CE">
        <w:rPr>
          <w:rFonts w:ascii="Tahoma" w:hAnsi="Tahoma" w:cs="Tahoma"/>
          <w:sz w:val="24"/>
          <w:szCs w:val="24"/>
        </w:rPr>
        <w:t xml:space="preserve"> au fost în sumă de </w:t>
      </w:r>
      <w:r w:rsidR="003A30B4" w:rsidRPr="003164CE">
        <w:rPr>
          <w:rFonts w:ascii="Tahoma" w:hAnsi="Tahoma" w:cs="Tahoma"/>
          <w:b/>
          <w:sz w:val="24"/>
          <w:szCs w:val="24"/>
        </w:rPr>
        <w:t>152,52</w:t>
      </w:r>
      <w:r w:rsidR="00EC4B9E" w:rsidRPr="003164CE">
        <w:rPr>
          <w:rFonts w:ascii="Tahoma" w:hAnsi="Tahoma" w:cs="Tahoma"/>
          <w:b/>
          <w:sz w:val="24"/>
          <w:szCs w:val="24"/>
        </w:rPr>
        <w:t xml:space="preserve"> miliarde</w:t>
      </w:r>
      <w:r w:rsidRPr="003164CE">
        <w:rPr>
          <w:rFonts w:ascii="Tahoma" w:hAnsi="Tahoma" w:cs="Tahoma"/>
          <w:b/>
          <w:sz w:val="24"/>
          <w:szCs w:val="24"/>
        </w:rPr>
        <w:t xml:space="preserve"> </w:t>
      </w:r>
      <w:r w:rsidR="003A634F" w:rsidRPr="003164CE">
        <w:rPr>
          <w:rFonts w:ascii="Tahoma" w:hAnsi="Tahoma" w:cs="Tahoma"/>
          <w:b/>
          <w:sz w:val="24"/>
          <w:szCs w:val="24"/>
        </w:rPr>
        <w:t>lei</w:t>
      </w:r>
      <w:r w:rsidRPr="003164CE">
        <w:rPr>
          <w:rFonts w:ascii="Tahoma" w:hAnsi="Tahoma" w:cs="Tahoma"/>
          <w:sz w:val="24"/>
          <w:szCs w:val="24"/>
        </w:rPr>
        <w:t xml:space="preserve">, cu </w:t>
      </w:r>
      <w:r w:rsidR="003A30B4" w:rsidRPr="003164CE">
        <w:rPr>
          <w:rFonts w:ascii="Tahoma" w:hAnsi="Tahoma" w:cs="Tahoma"/>
          <w:sz w:val="24"/>
          <w:szCs w:val="24"/>
        </w:rPr>
        <w:t>11,9</w:t>
      </w:r>
      <w:r w:rsidR="00563406" w:rsidRPr="003164CE">
        <w:rPr>
          <w:rFonts w:ascii="Tahoma" w:hAnsi="Tahoma" w:cs="Tahoma"/>
          <w:sz w:val="24"/>
          <w:szCs w:val="24"/>
        </w:rPr>
        <w:t>%</w:t>
      </w:r>
      <w:r w:rsidR="009B308F" w:rsidRPr="003164CE">
        <w:rPr>
          <w:rFonts w:ascii="Tahoma" w:hAnsi="Tahoma" w:cs="Tahoma"/>
          <w:sz w:val="24"/>
          <w:szCs w:val="24"/>
        </w:rPr>
        <w:t xml:space="preserve"> </w:t>
      </w:r>
      <w:r w:rsidRPr="003164CE">
        <w:rPr>
          <w:rFonts w:ascii="Tahoma" w:hAnsi="Tahoma" w:cs="Tahoma"/>
          <w:sz w:val="24"/>
          <w:szCs w:val="24"/>
        </w:rPr>
        <w:t xml:space="preserve">mai </w:t>
      </w:r>
      <w:r w:rsidR="00D22C24" w:rsidRPr="003164CE">
        <w:rPr>
          <w:rFonts w:ascii="Tahoma" w:hAnsi="Tahoma" w:cs="Tahoma"/>
          <w:sz w:val="24"/>
          <w:szCs w:val="24"/>
        </w:rPr>
        <w:t>mari</w:t>
      </w:r>
      <w:r w:rsidRPr="003164CE">
        <w:rPr>
          <w:rFonts w:ascii="Tahoma" w:hAnsi="Tahoma" w:cs="Tahoma"/>
          <w:sz w:val="24"/>
          <w:szCs w:val="24"/>
        </w:rPr>
        <w:t xml:space="preserve"> comparativ cu perioada similară din anul precedent și s-au realizat în proporție de </w:t>
      </w:r>
      <w:r w:rsidR="003A30B4" w:rsidRPr="003164CE">
        <w:rPr>
          <w:rFonts w:ascii="Tahoma" w:hAnsi="Tahoma" w:cs="Tahoma"/>
          <w:sz w:val="24"/>
          <w:szCs w:val="24"/>
        </w:rPr>
        <w:t>96,8</w:t>
      </w:r>
      <w:r w:rsidRPr="003164CE">
        <w:rPr>
          <w:rFonts w:ascii="Tahoma" w:hAnsi="Tahoma" w:cs="Tahoma"/>
          <w:sz w:val="24"/>
          <w:szCs w:val="24"/>
        </w:rPr>
        <w:t>%.</w:t>
      </w:r>
    </w:p>
    <w:p w:rsidR="004D6D76" w:rsidRPr="003164CE" w:rsidRDefault="004D6D76" w:rsidP="00DB2872">
      <w:pPr>
        <w:spacing w:line="276" w:lineRule="auto"/>
        <w:ind w:firstLine="0"/>
        <w:rPr>
          <w:rFonts w:ascii="Tahoma" w:hAnsi="Tahoma" w:cs="Tahoma"/>
          <w:sz w:val="24"/>
          <w:szCs w:val="24"/>
        </w:rPr>
      </w:pPr>
      <w:r w:rsidRPr="003164CE">
        <w:rPr>
          <w:rFonts w:ascii="Tahoma" w:hAnsi="Tahoma" w:cs="Tahoma"/>
          <w:sz w:val="24"/>
          <w:szCs w:val="24"/>
        </w:rPr>
        <w:t>În structură</w:t>
      </w:r>
      <w:r w:rsidR="009904E3" w:rsidRPr="003164CE">
        <w:rPr>
          <w:rFonts w:ascii="Tahoma" w:hAnsi="Tahoma" w:cs="Tahoma"/>
          <w:sz w:val="24"/>
          <w:szCs w:val="24"/>
        </w:rPr>
        <w:t>,</w:t>
      </w:r>
      <w:r w:rsidRPr="003164CE">
        <w:rPr>
          <w:rFonts w:ascii="Tahoma" w:hAnsi="Tahoma" w:cs="Tahoma"/>
          <w:sz w:val="24"/>
          <w:szCs w:val="24"/>
        </w:rPr>
        <w:t xml:space="preserve"> veniturile fiscale au avut următoarea evoluție:</w:t>
      </w:r>
    </w:p>
    <w:p w:rsidR="003A30B4" w:rsidRPr="003164CE" w:rsidRDefault="00575968" w:rsidP="003A30B4">
      <w:pPr>
        <w:tabs>
          <w:tab w:val="left" w:pos="284"/>
        </w:tabs>
        <w:autoSpaceDE w:val="0"/>
        <w:autoSpaceDN w:val="0"/>
        <w:adjustRightInd w:val="0"/>
        <w:spacing w:line="276" w:lineRule="auto"/>
        <w:ind w:left="284" w:firstLine="0"/>
        <w:rPr>
          <w:rFonts w:ascii="Tahoma" w:hAnsi="Tahoma" w:cs="Tahoma"/>
          <w:bCs/>
          <w:sz w:val="24"/>
          <w:szCs w:val="24"/>
        </w:rPr>
      </w:pPr>
      <w:r w:rsidRPr="003164CE">
        <w:rPr>
          <w:rFonts w:ascii="Tahoma" w:hAnsi="Tahoma" w:cs="Tahoma"/>
          <w:b/>
          <w:sz w:val="24"/>
          <w:szCs w:val="24"/>
        </w:rPr>
        <w:t>Încasările din impozitul pe profit</w:t>
      </w:r>
      <w:r w:rsidR="00FF292C" w:rsidRPr="003164CE">
        <w:rPr>
          <w:rFonts w:ascii="Tahoma" w:hAnsi="Tahoma" w:cs="Tahoma"/>
          <w:b/>
          <w:sz w:val="24"/>
          <w:szCs w:val="24"/>
        </w:rPr>
        <w:t xml:space="preserve"> </w:t>
      </w:r>
      <w:r w:rsidR="003A30B4" w:rsidRPr="003164CE">
        <w:rPr>
          <w:rFonts w:ascii="Tahoma" w:hAnsi="Tahoma" w:cs="Tahoma"/>
          <w:bCs/>
          <w:sz w:val="24"/>
          <w:szCs w:val="24"/>
        </w:rPr>
        <w:t>de 17,2</w:t>
      </w:r>
      <w:r w:rsidR="0086600B" w:rsidRPr="003164CE">
        <w:rPr>
          <w:rFonts w:ascii="Tahoma" w:hAnsi="Tahoma" w:cs="Tahoma"/>
          <w:bCs/>
          <w:sz w:val="24"/>
          <w:szCs w:val="24"/>
        </w:rPr>
        <w:t>3</w:t>
      </w:r>
      <w:r w:rsidR="003A30B4" w:rsidRPr="003164CE">
        <w:rPr>
          <w:rFonts w:ascii="Tahoma" w:hAnsi="Tahoma" w:cs="Tahoma"/>
          <w:bCs/>
          <w:sz w:val="24"/>
          <w:szCs w:val="24"/>
        </w:rPr>
        <w:t xml:space="preserve"> miliarde lei, înregistrează o evoluție pozitivă față de perioada similară a anului 2024 de 10,9% (+1,7 miliarde lei), susținută de impozitul pe profit de la agenții economici (+1,5 miliarde lei), ca urmare a definitivării impozitului pe profit anual efectuat la termenul de depunere a declarației anuale de impozit pe profit pentru anul 2024 (termen până la 25 iunie 2025). Impozitul pe profit virat de băncile comerciale înregistrează o scădere față de anul anterior cu 7,0% (-0,1 miliarde lei), în timp ce </w:t>
      </w:r>
      <w:r w:rsidR="003A30B4" w:rsidRPr="003164CE">
        <w:rPr>
          <w:rFonts w:ascii="Tahoma" w:hAnsi="Tahoma" w:cs="Tahoma"/>
          <w:sz w:val="24"/>
          <w:szCs w:val="24"/>
        </w:rPr>
        <w:t>sumele redirecționate din impozitul pe profit</w:t>
      </w:r>
      <w:r w:rsidR="003A30B4" w:rsidRPr="003164CE">
        <w:rPr>
          <w:rFonts w:ascii="Tahoma" w:hAnsi="Tahoma" w:cs="Tahoma"/>
          <w:bCs/>
          <w:sz w:val="24"/>
          <w:szCs w:val="24"/>
        </w:rPr>
        <w:t xml:space="preserve"> scad față de anul anterior cu 0,3 miliarde lei. </w:t>
      </w:r>
    </w:p>
    <w:p w:rsidR="003A30B4" w:rsidRPr="003164CE" w:rsidRDefault="003A30B4" w:rsidP="003A30B4">
      <w:pPr>
        <w:tabs>
          <w:tab w:val="left" w:pos="284"/>
        </w:tabs>
        <w:autoSpaceDE w:val="0"/>
        <w:autoSpaceDN w:val="0"/>
        <w:adjustRightInd w:val="0"/>
        <w:spacing w:line="276" w:lineRule="auto"/>
        <w:ind w:left="284" w:firstLine="0"/>
        <w:rPr>
          <w:rFonts w:ascii="Tahoma" w:hAnsi="Tahoma" w:cs="Tahoma"/>
          <w:sz w:val="24"/>
          <w:szCs w:val="24"/>
        </w:rPr>
      </w:pPr>
      <w:r w:rsidRPr="003164CE">
        <w:rPr>
          <w:rFonts w:ascii="Tahoma" w:hAnsi="Tahoma" w:cs="Tahoma"/>
          <w:sz w:val="24"/>
          <w:szCs w:val="24"/>
        </w:rPr>
        <w:t xml:space="preserve">Gradul de realizare este de 94,2% </w:t>
      </w:r>
      <w:r w:rsidRPr="003164CE">
        <w:rPr>
          <w:rFonts w:ascii="Tahoma" w:hAnsi="Tahoma" w:cs="Tahoma"/>
          <w:bCs/>
          <w:sz w:val="24"/>
          <w:szCs w:val="24"/>
        </w:rPr>
        <w:t xml:space="preserve">(-1,1 miliarde lei) </w:t>
      </w:r>
      <w:r w:rsidRPr="003164CE">
        <w:rPr>
          <w:rFonts w:ascii="Tahoma" w:hAnsi="Tahoma" w:cs="Tahoma"/>
          <w:sz w:val="24"/>
          <w:szCs w:val="24"/>
        </w:rPr>
        <w:t>față de programul stabilit la acest impozit. Programul stabilit la impozitul pe profit de la agenții economici include suma estimată de 1,0 miliarde lei, rezultată din modificarea plafonului la microîntreprinderi și veniturile suplimentare din îmbunătățirea colectări</w:t>
      </w:r>
      <w:r w:rsidR="000E7E47" w:rsidRPr="003164CE">
        <w:rPr>
          <w:rFonts w:ascii="Tahoma" w:hAnsi="Tahoma" w:cs="Tahoma"/>
          <w:sz w:val="24"/>
          <w:szCs w:val="24"/>
        </w:rPr>
        <w:t>i</w:t>
      </w:r>
      <w:r w:rsidRPr="003164CE">
        <w:rPr>
          <w:rFonts w:ascii="Tahoma" w:hAnsi="Tahoma" w:cs="Tahoma"/>
          <w:sz w:val="24"/>
          <w:szCs w:val="24"/>
        </w:rPr>
        <w:t xml:space="preserve">. Nerealizarea țintei stabilite se datorează în principal impozitului pe profit de la agenții economici (-1,2 miliarde lei), cu o evoluție sub așteptări a plăților anticipate de </w:t>
      </w:r>
      <w:r w:rsidRPr="003164CE">
        <w:rPr>
          <w:rFonts w:ascii="Tahoma" w:hAnsi="Tahoma" w:cs="Tahoma"/>
          <w:sz w:val="24"/>
          <w:szCs w:val="24"/>
        </w:rPr>
        <w:lastRenderedPageBreak/>
        <w:t>impozit aferent trimestrului I 2025 cu termenul stabilit pentru luna aprilie 2025 (2,0% an/an).</w:t>
      </w:r>
    </w:p>
    <w:p w:rsidR="0086600B" w:rsidRPr="003164CE" w:rsidRDefault="00746146" w:rsidP="0086600B">
      <w:pPr>
        <w:tabs>
          <w:tab w:val="left" w:pos="284"/>
        </w:tabs>
        <w:autoSpaceDE w:val="0"/>
        <w:autoSpaceDN w:val="0"/>
        <w:adjustRightInd w:val="0"/>
        <w:spacing w:line="276" w:lineRule="auto"/>
        <w:ind w:left="284" w:firstLine="0"/>
        <w:rPr>
          <w:rFonts w:ascii="Tahoma" w:hAnsi="Tahoma" w:cs="Tahoma"/>
          <w:sz w:val="24"/>
          <w:szCs w:val="24"/>
        </w:rPr>
      </w:pPr>
      <w:r w:rsidRPr="003164CE">
        <w:rPr>
          <w:rFonts w:ascii="Tahoma" w:hAnsi="Tahoma" w:cs="Tahoma"/>
          <w:b/>
          <w:sz w:val="24"/>
          <w:szCs w:val="24"/>
        </w:rPr>
        <w:t>Încasările din impozitul pe venit</w:t>
      </w:r>
      <w:r w:rsidR="009B308F" w:rsidRPr="003164CE">
        <w:rPr>
          <w:rFonts w:ascii="Tahoma" w:hAnsi="Tahoma" w:cs="Tahoma"/>
          <w:b/>
          <w:sz w:val="24"/>
          <w:szCs w:val="24"/>
        </w:rPr>
        <w:t xml:space="preserve"> </w:t>
      </w:r>
      <w:r w:rsidR="0086600B" w:rsidRPr="003164CE">
        <w:rPr>
          <w:rFonts w:ascii="Tahoma" w:hAnsi="Tahoma" w:cs="Tahoma"/>
          <w:bCs/>
          <w:sz w:val="24"/>
          <w:szCs w:val="24"/>
        </w:rPr>
        <w:t>în primul semestru al anului 2025 au totalizat 30,35 miliarde lei, în creștere cu 21,8% (+5,4 miliarde lei) comparativ cu aceeași perioadă a anului precedent, cu un grad de realizare de 102,3% (+0,7 miliarde lei) față de programul stabilit.</w:t>
      </w:r>
      <w:r w:rsidR="0015628D" w:rsidRPr="003164CE">
        <w:rPr>
          <w:rFonts w:ascii="Tahoma" w:hAnsi="Tahoma" w:cs="Tahoma"/>
          <w:bCs/>
          <w:sz w:val="24"/>
          <w:szCs w:val="24"/>
        </w:rPr>
        <w:t xml:space="preserve"> </w:t>
      </w:r>
      <w:r w:rsidR="0086600B" w:rsidRPr="003164CE">
        <w:rPr>
          <w:rFonts w:ascii="Tahoma" w:hAnsi="Tahoma" w:cs="Tahoma"/>
          <w:bCs/>
          <w:sz w:val="24"/>
          <w:szCs w:val="24"/>
        </w:rPr>
        <w:tab/>
      </w:r>
    </w:p>
    <w:p w:rsidR="0086600B" w:rsidRPr="003164CE" w:rsidRDefault="0086600B" w:rsidP="0086600B">
      <w:pPr>
        <w:tabs>
          <w:tab w:val="left" w:pos="284"/>
        </w:tabs>
        <w:autoSpaceDE w:val="0"/>
        <w:autoSpaceDN w:val="0"/>
        <w:adjustRightInd w:val="0"/>
        <w:spacing w:line="276" w:lineRule="auto"/>
        <w:ind w:left="284" w:firstLine="0"/>
        <w:rPr>
          <w:rFonts w:ascii="Tahoma" w:hAnsi="Tahoma" w:cs="Tahoma"/>
          <w:bCs/>
          <w:sz w:val="24"/>
          <w:szCs w:val="24"/>
        </w:rPr>
      </w:pPr>
      <w:r w:rsidRPr="003164CE">
        <w:rPr>
          <w:rFonts w:ascii="Tahoma" w:hAnsi="Tahoma" w:cs="Tahoma"/>
          <w:bCs/>
          <w:sz w:val="24"/>
          <w:szCs w:val="24"/>
        </w:rPr>
        <w:t>În structură, încasările din impozitul pe venitul din salarii care dețin o pondere de aproximativ 59,9% din această categorie înregistrează față de aceeași perioadă a anului 2024 o dinamică de 22,0%</w:t>
      </w:r>
      <w:r w:rsidRPr="003164CE">
        <w:rPr>
          <w:rFonts w:ascii="Tahoma" w:hAnsi="Tahoma" w:cs="Tahoma"/>
          <w:sz w:val="24"/>
          <w:szCs w:val="24"/>
        </w:rPr>
        <w:t xml:space="preserve">, peste evoluția fondului brut de </w:t>
      </w:r>
      <w:r w:rsidRPr="003164CE">
        <w:rPr>
          <w:rFonts w:ascii="Tahoma" w:hAnsi="Tahoma" w:cs="Tahoma"/>
          <w:bCs/>
          <w:sz w:val="24"/>
          <w:szCs w:val="24"/>
        </w:rPr>
        <w:t>salarii de 11,</w:t>
      </w:r>
      <w:r w:rsidR="006C34B6" w:rsidRPr="003164CE">
        <w:rPr>
          <w:rFonts w:ascii="Tahoma" w:hAnsi="Tahoma" w:cs="Tahoma"/>
          <w:sz w:val="24"/>
          <w:szCs w:val="24"/>
        </w:rPr>
        <w:t>8</w:t>
      </w:r>
      <w:r w:rsidRPr="003164CE">
        <w:rPr>
          <w:rFonts w:ascii="Tahoma" w:hAnsi="Tahoma" w:cs="Tahoma"/>
          <w:sz w:val="24"/>
          <w:szCs w:val="24"/>
        </w:rPr>
        <w:t>%</w:t>
      </w:r>
      <w:r w:rsidRPr="003164CE">
        <w:rPr>
          <w:rFonts w:ascii="Tahoma" w:hAnsi="Tahoma" w:cs="Tahoma"/>
          <w:sz w:val="24"/>
          <w:szCs w:val="24"/>
          <w:vertAlign w:val="superscript"/>
        </w:rPr>
        <w:footnoteReference w:id="1"/>
      </w:r>
      <w:r w:rsidRPr="003164CE">
        <w:rPr>
          <w:rFonts w:ascii="Tahoma" w:hAnsi="Tahoma" w:cs="Tahoma"/>
          <w:sz w:val="24"/>
          <w:szCs w:val="24"/>
        </w:rPr>
        <w:t xml:space="preserve">. Evoluția pozitivă a încasărilor din </w:t>
      </w:r>
      <w:r w:rsidRPr="003164CE">
        <w:rPr>
          <w:rFonts w:ascii="Tahoma" w:hAnsi="Tahoma" w:cs="Tahoma"/>
          <w:bCs/>
          <w:sz w:val="24"/>
          <w:szCs w:val="24"/>
        </w:rPr>
        <w:t>impozitul pe venitul din salarii a fost influențată de eliminarea</w:t>
      </w:r>
      <w:r w:rsidRPr="003164CE">
        <w:rPr>
          <w:rFonts w:ascii="Tahoma" w:hAnsi="Tahoma" w:cs="Tahoma"/>
          <w:sz w:val="24"/>
          <w:szCs w:val="24"/>
        </w:rPr>
        <w:t xml:space="preserve"> facilităților fiscale acordate salariaților din sectorul construcții, agricol, industria alimentară și a activităților de creare de programe pentru calculator (O.U.G. nr. 156/2024</w:t>
      </w:r>
      <w:r w:rsidRPr="003164CE">
        <w:rPr>
          <w:rFonts w:ascii="Tahoma" w:hAnsi="Tahoma" w:cs="Tahoma"/>
          <w:sz w:val="24"/>
          <w:szCs w:val="24"/>
          <w:vertAlign w:val="superscript"/>
        </w:rPr>
        <w:footnoteReference w:id="2"/>
      </w:r>
      <w:r w:rsidRPr="003164CE">
        <w:rPr>
          <w:rFonts w:ascii="Tahoma" w:hAnsi="Tahoma" w:cs="Tahoma"/>
          <w:sz w:val="24"/>
          <w:szCs w:val="24"/>
        </w:rPr>
        <w:t>)</w:t>
      </w:r>
      <w:r w:rsidRPr="003164CE">
        <w:rPr>
          <w:rFonts w:ascii="Tahoma" w:hAnsi="Tahoma" w:cs="Tahoma"/>
          <w:bCs/>
          <w:sz w:val="24"/>
          <w:szCs w:val="24"/>
        </w:rPr>
        <w:t xml:space="preserve"> precum și</w:t>
      </w:r>
      <w:r w:rsidRPr="003164CE">
        <w:rPr>
          <w:rFonts w:ascii="Tahoma" w:hAnsi="Tahoma" w:cs="Tahoma"/>
          <w:sz w:val="24"/>
          <w:szCs w:val="24"/>
        </w:rPr>
        <w:t xml:space="preserve"> de </w:t>
      </w:r>
      <w:r w:rsidR="008343ED" w:rsidRPr="003164CE">
        <w:rPr>
          <w:rFonts w:ascii="Tahoma" w:hAnsi="Tahoma" w:cs="Tahoma"/>
          <w:bCs/>
          <w:sz w:val="24"/>
          <w:szCs w:val="24"/>
        </w:rPr>
        <w:t>majorarea</w:t>
      </w:r>
      <w:r w:rsidRPr="003164CE">
        <w:rPr>
          <w:rFonts w:ascii="Tahoma" w:hAnsi="Tahoma" w:cs="Tahoma"/>
          <w:bCs/>
          <w:sz w:val="24"/>
          <w:szCs w:val="24"/>
        </w:rPr>
        <w:t xml:space="preserve"> salariului minim brut pe țară garantat în plată (H.G. nr.1506/2024</w:t>
      </w:r>
      <w:r w:rsidRPr="003164CE">
        <w:rPr>
          <w:rFonts w:ascii="Tahoma" w:hAnsi="Tahoma" w:cs="Tahoma"/>
          <w:bCs/>
          <w:sz w:val="24"/>
          <w:szCs w:val="24"/>
          <w:vertAlign w:val="superscript"/>
        </w:rPr>
        <w:footnoteReference w:id="3"/>
      </w:r>
      <w:r w:rsidRPr="003164CE">
        <w:rPr>
          <w:rFonts w:ascii="Tahoma" w:hAnsi="Tahoma" w:cs="Tahoma"/>
          <w:bCs/>
          <w:sz w:val="24"/>
          <w:szCs w:val="24"/>
        </w:rPr>
        <w:t xml:space="preserve">). </w:t>
      </w:r>
    </w:p>
    <w:p w:rsidR="0086600B" w:rsidRPr="003164CE" w:rsidRDefault="0086600B" w:rsidP="0086600B">
      <w:pPr>
        <w:tabs>
          <w:tab w:val="left" w:pos="284"/>
        </w:tabs>
        <w:autoSpaceDE w:val="0"/>
        <w:autoSpaceDN w:val="0"/>
        <w:adjustRightInd w:val="0"/>
        <w:spacing w:line="276" w:lineRule="auto"/>
        <w:ind w:left="284" w:firstLine="0"/>
        <w:rPr>
          <w:rFonts w:ascii="Tahoma" w:hAnsi="Tahoma" w:cs="Tahoma"/>
          <w:bCs/>
          <w:sz w:val="24"/>
          <w:szCs w:val="24"/>
        </w:rPr>
      </w:pPr>
      <w:r w:rsidRPr="003164CE">
        <w:rPr>
          <w:rFonts w:ascii="Tahoma" w:hAnsi="Tahoma" w:cs="Tahoma"/>
          <w:bCs/>
          <w:sz w:val="24"/>
          <w:szCs w:val="24"/>
        </w:rPr>
        <w:t>O evoluție pozitivă a veniturilor din această sursă a fost susținută și de sporul încasărilor din impozitul pe veniturile din dividende de +2,4 miliarde lei înregistrat în luna iunie 2025, din care 2,1 miliarde lei în ianuarie 2025, efect al distribuirii dividendelor în baza situațiilor financiare interimare întocmite în cursul anului 2024, cu reținerea cotei de impozit de 8% (art. LXIV din O.U.G 156/2024).</w:t>
      </w:r>
    </w:p>
    <w:p w:rsidR="0086600B" w:rsidRPr="003164CE" w:rsidRDefault="004D6D76" w:rsidP="0086600B">
      <w:pPr>
        <w:tabs>
          <w:tab w:val="left" w:pos="284"/>
        </w:tabs>
        <w:autoSpaceDE w:val="0"/>
        <w:autoSpaceDN w:val="0"/>
        <w:adjustRightInd w:val="0"/>
        <w:spacing w:line="276" w:lineRule="auto"/>
        <w:ind w:left="284" w:firstLine="0"/>
        <w:rPr>
          <w:rFonts w:ascii="Tahoma" w:hAnsi="Tahoma" w:cs="Tahoma"/>
          <w:sz w:val="24"/>
          <w:szCs w:val="24"/>
        </w:rPr>
      </w:pPr>
      <w:r w:rsidRPr="003164CE">
        <w:rPr>
          <w:rFonts w:ascii="Tahoma" w:hAnsi="Tahoma" w:cs="Tahoma"/>
          <w:sz w:val="24"/>
          <w:szCs w:val="24"/>
        </w:rPr>
        <w:t xml:space="preserve">Încasările din </w:t>
      </w:r>
      <w:r w:rsidRPr="003164CE">
        <w:rPr>
          <w:rFonts w:ascii="Tahoma" w:hAnsi="Tahoma" w:cs="Tahoma"/>
          <w:b/>
          <w:sz w:val="24"/>
          <w:szCs w:val="24"/>
        </w:rPr>
        <w:t>impozitele</w:t>
      </w:r>
      <w:r w:rsidR="009B308F" w:rsidRPr="003164CE">
        <w:rPr>
          <w:rFonts w:ascii="Tahoma" w:hAnsi="Tahoma" w:cs="Tahoma"/>
          <w:b/>
          <w:sz w:val="24"/>
          <w:szCs w:val="24"/>
        </w:rPr>
        <w:t xml:space="preserve"> </w:t>
      </w:r>
      <w:r w:rsidRPr="003164CE">
        <w:rPr>
          <w:rFonts w:ascii="Tahoma" w:hAnsi="Tahoma" w:cs="Tahoma"/>
          <w:b/>
          <w:bCs/>
          <w:sz w:val="24"/>
          <w:szCs w:val="24"/>
        </w:rPr>
        <w:t xml:space="preserve">și taxele pe proprietate </w:t>
      </w:r>
      <w:r w:rsidRPr="003164CE">
        <w:rPr>
          <w:rFonts w:ascii="Tahoma" w:hAnsi="Tahoma" w:cs="Tahoma"/>
          <w:bCs/>
          <w:sz w:val="24"/>
          <w:szCs w:val="24"/>
        </w:rPr>
        <w:t xml:space="preserve">au totalizat </w:t>
      </w:r>
      <w:r w:rsidR="0086600B" w:rsidRPr="003164CE">
        <w:rPr>
          <w:rFonts w:ascii="Tahoma" w:hAnsi="Tahoma" w:cs="Tahoma"/>
          <w:bCs/>
          <w:sz w:val="24"/>
          <w:szCs w:val="24"/>
        </w:rPr>
        <w:t>8,03</w:t>
      </w:r>
      <w:r w:rsidRPr="003164CE">
        <w:rPr>
          <w:rFonts w:ascii="Tahoma" w:hAnsi="Tahoma" w:cs="Tahoma"/>
          <w:bCs/>
          <w:sz w:val="24"/>
          <w:szCs w:val="24"/>
        </w:rPr>
        <w:t xml:space="preserve"> mili</w:t>
      </w:r>
      <w:r w:rsidR="00D22C24" w:rsidRPr="003164CE">
        <w:rPr>
          <w:rFonts w:ascii="Tahoma" w:hAnsi="Tahoma" w:cs="Tahoma"/>
          <w:bCs/>
          <w:sz w:val="24"/>
          <w:szCs w:val="24"/>
        </w:rPr>
        <w:t>arde</w:t>
      </w:r>
      <w:r w:rsidRPr="003164CE">
        <w:rPr>
          <w:rFonts w:ascii="Tahoma" w:hAnsi="Tahoma" w:cs="Tahoma"/>
          <w:bCs/>
          <w:sz w:val="24"/>
          <w:szCs w:val="24"/>
        </w:rPr>
        <w:t xml:space="preserve"> </w:t>
      </w:r>
      <w:r w:rsidR="003A634F" w:rsidRPr="003164CE">
        <w:rPr>
          <w:rFonts w:ascii="Tahoma" w:hAnsi="Tahoma" w:cs="Tahoma"/>
          <w:bCs/>
          <w:sz w:val="24"/>
          <w:szCs w:val="24"/>
        </w:rPr>
        <w:t>lei</w:t>
      </w:r>
      <w:r w:rsidRPr="003164CE">
        <w:rPr>
          <w:rFonts w:ascii="Tahoma" w:hAnsi="Tahoma" w:cs="Tahoma"/>
          <w:bCs/>
          <w:sz w:val="24"/>
          <w:szCs w:val="24"/>
        </w:rPr>
        <w:t xml:space="preserve"> (0,4% din PIB) cu </w:t>
      </w:r>
      <w:r w:rsidR="0086600B" w:rsidRPr="003164CE">
        <w:rPr>
          <w:rFonts w:ascii="Tahoma" w:hAnsi="Tahoma" w:cs="Tahoma"/>
          <w:bCs/>
          <w:sz w:val="24"/>
          <w:szCs w:val="24"/>
        </w:rPr>
        <w:t>23,8</w:t>
      </w:r>
      <w:r w:rsidRPr="003164CE">
        <w:rPr>
          <w:rFonts w:ascii="Tahoma" w:hAnsi="Tahoma" w:cs="Tahoma"/>
          <w:bCs/>
          <w:sz w:val="24"/>
          <w:szCs w:val="24"/>
        </w:rPr>
        <w:t xml:space="preserve">% </w:t>
      </w:r>
      <w:r w:rsidR="00D22C24" w:rsidRPr="003164CE">
        <w:rPr>
          <w:rFonts w:ascii="Tahoma" w:hAnsi="Tahoma" w:cs="Tahoma"/>
          <w:bCs/>
          <w:sz w:val="24"/>
          <w:szCs w:val="24"/>
        </w:rPr>
        <w:t>peste</w:t>
      </w:r>
      <w:r w:rsidR="00746146" w:rsidRPr="003164CE">
        <w:rPr>
          <w:rFonts w:ascii="Tahoma" w:hAnsi="Tahoma" w:cs="Tahoma"/>
          <w:bCs/>
          <w:sz w:val="24"/>
          <w:szCs w:val="24"/>
        </w:rPr>
        <w:t xml:space="preserve"> încasările </w:t>
      </w:r>
      <w:r w:rsidRPr="003164CE">
        <w:rPr>
          <w:rFonts w:ascii="Tahoma" w:hAnsi="Tahoma" w:cs="Tahoma"/>
          <w:sz w:val="24"/>
          <w:szCs w:val="24"/>
        </w:rPr>
        <w:t>semestrul</w:t>
      </w:r>
      <w:r w:rsidR="00746146" w:rsidRPr="003164CE">
        <w:rPr>
          <w:rFonts w:ascii="Tahoma" w:hAnsi="Tahoma" w:cs="Tahoma"/>
          <w:sz w:val="24"/>
          <w:szCs w:val="24"/>
        </w:rPr>
        <w:t>ui</w:t>
      </w:r>
      <w:r w:rsidRPr="003164CE">
        <w:rPr>
          <w:rFonts w:ascii="Tahoma" w:hAnsi="Tahoma" w:cs="Tahoma"/>
          <w:sz w:val="24"/>
          <w:szCs w:val="24"/>
        </w:rPr>
        <w:t xml:space="preserve"> I </w:t>
      </w:r>
      <w:r w:rsidR="00746146" w:rsidRPr="003164CE">
        <w:rPr>
          <w:rFonts w:ascii="Tahoma" w:hAnsi="Tahoma" w:cs="Tahoma"/>
          <w:sz w:val="24"/>
          <w:szCs w:val="24"/>
        </w:rPr>
        <w:t>20</w:t>
      </w:r>
      <w:r w:rsidR="00D22C24" w:rsidRPr="003164CE">
        <w:rPr>
          <w:rFonts w:ascii="Tahoma" w:hAnsi="Tahoma" w:cs="Tahoma"/>
          <w:sz w:val="24"/>
          <w:szCs w:val="24"/>
        </w:rPr>
        <w:t>2</w:t>
      </w:r>
      <w:r w:rsidR="0086600B" w:rsidRPr="003164CE">
        <w:rPr>
          <w:rFonts w:ascii="Tahoma" w:hAnsi="Tahoma" w:cs="Tahoma"/>
          <w:sz w:val="24"/>
          <w:szCs w:val="24"/>
        </w:rPr>
        <w:t>4</w:t>
      </w:r>
      <w:r w:rsidRPr="003164CE">
        <w:rPr>
          <w:rFonts w:ascii="Tahoma" w:hAnsi="Tahoma" w:cs="Tahoma"/>
          <w:sz w:val="24"/>
          <w:szCs w:val="24"/>
        </w:rPr>
        <w:t xml:space="preserve">, gradul de realizare al programului de încasări fiind de </w:t>
      </w:r>
      <w:r w:rsidR="0086600B" w:rsidRPr="003164CE">
        <w:rPr>
          <w:rFonts w:ascii="Tahoma" w:hAnsi="Tahoma" w:cs="Tahoma"/>
          <w:sz w:val="24"/>
          <w:szCs w:val="24"/>
        </w:rPr>
        <w:t>106,6</w:t>
      </w:r>
      <w:r w:rsidRPr="003164CE">
        <w:rPr>
          <w:rFonts w:ascii="Tahoma" w:hAnsi="Tahoma" w:cs="Tahoma"/>
          <w:sz w:val="24"/>
          <w:szCs w:val="24"/>
        </w:rPr>
        <w:t xml:space="preserve">%. </w:t>
      </w:r>
      <w:r w:rsidR="0086600B" w:rsidRPr="003164CE">
        <w:rPr>
          <w:rFonts w:ascii="Tahoma" w:hAnsi="Tahoma" w:cs="Tahoma"/>
          <w:sz w:val="24"/>
          <w:szCs w:val="24"/>
        </w:rPr>
        <w:t>Din totalul încasărilor aproximativ 91% au fost impozite și taxe pe proprietate la bugetele locale unde încasările au crescut cu 12,7%, creștere susținută atât de indexarea valorilor impozabile cu inflația de 10,4% cât și de creșterea cotelor adiționale de impozitare în unele orașe/municipii ale țării prin hotărâri adoptate de Consiliile Locale (art.489 Cod fiscal).</w:t>
      </w:r>
    </w:p>
    <w:p w:rsidR="009D1E86" w:rsidRPr="003164CE" w:rsidRDefault="00BB23A6" w:rsidP="009D1E8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b/>
          <w:sz w:val="24"/>
          <w:szCs w:val="24"/>
        </w:rPr>
        <w:t>Încasările din taxa pe valoarea adăugată</w:t>
      </w:r>
      <w:r w:rsidR="009B308F" w:rsidRPr="003164CE">
        <w:rPr>
          <w:rFonts w:ascii="Tahoma" w:hAnsi="Tahoma" w:cs="Tahoma"/>
          <w:b/>
          <w:sz w:val="24"/>
          <w:szCs w:val="24"/>
        </w:rPr>
        <w:t xml:space="preserve"> </w:t>
      </w:r>
      <w:r w:rsidR="009D1E86" w:rsidRPr="003164CE">
        <w:rPr>
          <w:rFonts w:ascii="Tahoma" w:hAnsi="Tahoma" w:cs="Tahoma"/>
          <w:sz w:val="24"/>
          <w:szCs w:val="24"/>
        </w:rPr>
        <w:t>au fost în perioada analizată în sumă de 59,2</w:t>
      </w:r>
      <w:r w:rsidR="0015628D" w:rsidRPr="003164CE">
        <w:rPr>
          <w:rFonts w:ascii="Tahoma" w:hAnsi="Tahoma" w:cs="Tahoma"/>
          <w:sz w:val="24"/>
          <w:szCs w:val="24"/>
        </w:rPr>
        <w:t>7</w:t>
      </w:r>
      <w:r w:rsidR="009D1E86" w:rsidRPr="003164CE">
        <w:rPr>
          <w:rFonts w:ascii="Tahoma" w:hAnsi="Tahoma" w:cs="Tahoma"/>
          <w:sz w:val="24"/>
          <w:szCs w:val="24"/>
        </w:rPr>
        <w:t xml:space="preserve"> miliarde lei, înregistrând o creștere a încasărilor din TVA cu 3,8% (+2,2 miliarde lei), comparativ cu încasările aferente aceleași perioade din anul 2024 și un grad de realizare al programului semestrial de 90,1% (-6,5 miliarde lei). </w:t>
      </w:r>
    </w:p>
    <w:p w:rsidR="009D1E86" w:rsidRPr="003164CE" w:rsidRDefault="009D1E86" w:rsidP="009D1E8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sz w:val="24"/>
          <w:szCs w:val="24"/>
        </w:rPr>
        <w:t xml:space="preserve">Nerealizarea țintei stabilite pentru taxa pe valoarea adăugată se datorează în principal evoluției indicatorilor macroeconomici sub indicatorii ce au stat la baza estimării inițiale a programului anual (creștere reală de 2,4% - conform variantei de toamnă 2024 furnizată de CNSP în timp ce revizuirea indicatorilor macroeconomici  în varianta de primăvară 2025 evidențiază o scădere la 1,4%), cu implicații </w:t>
      </w:r>
      <w:r w:rsidRPr="003164CE">
        <w:rPr>
          <w:rFonts w:ascii="Tahoma" w:hAnsi="Tahoma" w:cs="Tahoma"/>
          <w:sz w:val="24"/>
          <w:szCs w:val="24"/>
        </w:rPr>
        <w:lastRenderedPageBreak/>
        <w:t xml:space="preserve">nefavorabile și în ceea ce privește ținta stabilită de îmbunătățire a colectării (2,6 miliarde lei venit suplimentar inclus în programul TVA la semestrul I 2025). </w:t>
      </w:r>
    </w:p>
    <w:p w:rsidR="006C34B6" w:rsidRPr="003164CE" w:rsidRDefault="009D1E86" w:rsidP="006C34B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sz w:val="24"/>
          <w:szCs w:val="24"/>
        </w:rPr>
        <w:t xml:space="preserve">Din datele lunare publicate de INS, cifra de afaceri din sectorul </w:t>
      </w:r>
      <w:r w:rsidR="008343ED" w:rsidRPr="003164CE">
        <w:rPr>
          <w:rFonts w:ascii="Tahoma" w:hAnsi="Tahoma" w:cs="Tahoma"/>
          <w:sz w:val="24"/>
          <w:szCs w:val="24"/>
        </w:rPr>
        <w:t>vânzărilor</w:t>
      </w:r>
      <w:r w:rsidRPr="003164CE">
        <w:rPr>
          <w:rFonts w:ascii="Tahoma" w:hAnsi="Tahoma" w:cs="Tahoma"/>
          <w:sz w:val="24"/>
          <w:szCs w:val="24"/>
        </w:rPr>
        <w:t xml:space="preserve"> cu amănuntul de produse alimentare băuturi și tutun a înregistrat scăderi lunare în termeni reali, </w:t>
      </w:r>
      <w:r w:rsidR="006C34B6" w:rsidRPr="003164CE">
        <w:rPr>
          <w:rFonts w:ascii="Tahoma" w:hAnsi="Tahoma" w:cs="Tahoma"/>
          <w:sz w:val="24"/>
          <w:szCs w:val="24"/>
        </w:rPr>
        <w:t xml:space="preserve">iar la nivelul primelor șase luni din 2025, aceasta s-a redus cu 1,2% fata de primele șase luni din anul 2024. </w:t>
      </w:r>
    </w:p>
    <w:p w:rsidR="009D1E86" w:rsidRPr="003164CE" w:rsidRDefault="009D1E86" w:rsidP="009D1E8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sz w:val="24"/>
          <w:szCs w:val="24"/>
        </w:rPr>
        <w:t>În structură, TVA încasată</w:t>
      </w:r>
      <w:r w:rsidRPr="003164CE">
        <w:rPr>
          <w:rFonts w:ascii="Tahoma" w:hAnsi="Tahoma" w:cs="Tahoma"/>
          <w:sz w:val="24"/>
          <w:szCs w:val="24"/>
          <w:vertAlign w:val="superscript"/>
        </w:rPr>
        <w:footnoteReference w:id="4"/>
      </w:r>
      <w:r w:rsidRPr="003164CE">
        <w:rPr>
          <w:rFonts w:ascii="Tahoma" w:hAnsi="Tahoma" w:cs="Tahoma"/>
          <w:sz w:val="24"/>
          <w:szCs w:val="24"/>
        </w:rPr>
        <w:t xml:space="preserve"> s-a majorat cu 5,1% (+3,7 miliarde lei) față de aceeași perioadă a anului 2024</w:t>
      </w:r>
      <w:r w:rsidRPr="003164CE">
        <w:rPr>
          <w:rFonts w:ascii="Tahoma" w:hAnsi="Tahoma" w:cs="Tahoma"/>
          <w:sz w:val="24"/>
          <w:szCs w:val="24"/>
          <w:vertAlign w:val="superscript"/>
        </w:rPr>
        <w:footnoteReference w:id="5"/>
      </w:r>
      <w:r w:rsidRPr="003164CE">
        <w:rPr>
          <w:rFonts w:ascii="Tahoma" w:hAnsi="Tahoma" w:cs="Tahoma"/>
          <w:sz w:val="24"/>
          <w:szCs w:val="24"/>
        </w:rPr>
        <w:t>, evoluție ce este susținută atât de încasările din luna iunie 2025 (+12,8%) cât și de cele din primele 5 luni ale anului 2025 (+ 3,</w:t>
      </w:r>
      <w:r w:rsidR="006C34B6" w:rsidRPr="003164CE">
        <w:rPr>
          <w:rFonts w:ascii="Tahoma" w:hAnsi="Tahoma" w:cs="Tahoma"/>
          <w:sz w:val="24"/>
          <w:szCs w:val="24"/>
        </w:rPr>
        <w:t>7</w:t>
      </w:r>
      <w:r w:rsidRPr="003164CE">
        <w:rPr>
          <w:rFonts w:ascii="Tahoma" w:hAnsi="Tahoma" w:cs="Tahoma"/>
          <w:sz w:val="24"/>
          <w:szCs w:val="24"/>
        </w:rPr>
        <w:t>%).</w:t>
      </w:r>
    </w:p>
    <w:p w:rsidR="009D1E86" w:rsidRPr="003164CE" w:rsidRDefault="009D1E86" w:rsidP="009D1E8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sz w:val="24"/>
          <w:szCs w:val="24"/>
        </w:rPr>
        <w:t xml:space="preserve">Valoarea restituirilor de taxă pe valoare adăugată s-a majorat cu 9,7% (-1,5 miliarde lei). În perioada analizată media TVA restituită a fost de 2,7 miliarde lei, situându-se peste media de 2,5 miliarde lei înregistrată în perioada similară a anului precedent. </w:t>
      </w:r>
    </w:p>
    <w:p w:rsidR="006C34B6" w:rsidRPr="003164CE" w:rsidRDefault="006C34B6" w:rsidP="006C34B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sz w:val="24"/>
          <w:szCs w:val="24"/>
        </w:rPr>
        <w:t xml:space="preserve">Volumul cifrei de afaceri din </w:t>
      </w:r>
      <w:r w:rsidR="00272267" w:rsidRPr="003164CE">
        <w:rPr>
          <w:rFonts w:ascii="Tahoma" w:hAnsi="Tahoma" w:cs="Tahoma"/>
          <w:sz w:val="24"/>
          <w:szCs w:val="24"/>
        </w:rPr>
        <w:t>comerțul</w:t>
      </w:r>
      <w:r w:rsidRPr="003164CE">
        <w:rPr>
          <w:rFonts w:ascii="Tahoma" w:hAnsi="Tahoma" w:cs="Tahoma"/>
          <w:sz w:val="24"/>
          <w:szCs w:val="24"/>
        </w:rPr>
        <w:t xml:space="preserve"> cu amănuntul</w:t>
      </w:r>
      <w:r w:rsidRPr="003164CE">
        <w:rPr>
          <w:rFonts w:ascii="Tahoma" w:hAnsi="Tahoma" w:cs="Tahoma"/>
          <w:sz w:val="24"/>
          <w:szCs w:val="24"/>
          <w:vertAlign w:val="superscript"/>
        </w:rPr>
        <w:footnoteReference w:id="6"/>
      </w:r>
      <w:r w:rsidRPr="003164CE">
        <w:rPr>
          <w:rFonts w:ascii="Tahoma" w:hAnsi="Tahoma" w:cs="Tahoma"/>
          <w:sz w:val="24"/>
          <w:szCs w:val="24"/>
        </w:rPr>
        <w:t xml:space="preserve"> (cu </w:t>
      </w:r>
      <w:r w:rsidR="00272267" w:rsidRPr="003164CE">
        <w:rPr>
          <w:rFonts w:ascii="Tahoma" w:hAnsi="Tahoma" w:cs="Tahoma"/>
          <w:sz w:val="24"/>
          <w:szCs w:val="24"/>
        </w:rPr>
        <w:t>excepția</w:t>
      </w:r>
      <w:r w:rsidRPr="003164CE">
        <w:rPr>
          <w:rFonts w:ascii="Tahoma" w:hAnsi="Tahoma" w:cs="Tahoma"/>
          <w:sz w:val="24"/>
          <w:szCs w:val="24"/>
        </w:rPr>
        <w:t xml:space="preserve"> </w:t>
      </w:r>
      <w:r w:rsidR="00272267" w:rsidRPr="003164CE">
        <w:rPr>
          <w:rFonts w:ascii="Tahoma" w:hAnsi="Tahoma" w:cs="Tahoma"/>
          <w:sz w:val="24"/>
          <w:szCs w:val="24"/>
        </w:rPr>
        <w:t>comerțului</w:t>
      </w:r>
      <w:r w:rsidRPr="003164CE">
        <w:rPr>
          <w:rFonts w:ascii="Tahoma" w:hAnsi="Tahoma" w:cs="Tahoma"/>
          <w:sz w:val="24"/>
          <w:szCs w:val="24"/>
        </w:rPr>
        <w:t xml:space="preserve"> cu autovehicule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motociclete), serie brută, în perioada 1.I-30.VI.2025, comparativ cu perioada 1.I-30.VI.2024, a înregistrat o </w:t>
      </w:r>
      <w:r w:rsidR="00272267" w:rsidRPr="003164CE">
        <w:rPr>
          <w:rFonts w:ascii="Tahoma" w:hAnsi="Tahoma" w:cs="Tahoma"/>
          <w:sz w:val="24"/>
          <w:szCs w:val="24"/>
        </w:rPr>
        <w:t>creștere</w:t>
      </w:r>
      <w:r w:rsidRPr="003164CE">
        <w:rPr>
          <w:rFonts w:ascii="Tahoma" w:hAnsi="Tahoma" w:cs="Tahoma"/>
          <w:sz w:val="24"/>
          <w:szCs w:val="24"/>
        </w:rPr>
        <w:t xml:space="preserve">, pe ansamblu, cu 2,6%, datorită </w:t>
      </w:r>
      <w:r w:rsidR="00272267" w:rsidRPr="003164CE">
        <w:rPr>
          <w:rFonts w:ascii="Tahoma" w:hAnsi="Tahoma" w:cs="Tahoma"/>
          <w:sz w:val="24"/>
          <w:szCs w:val="24"/>
        </w:rPr>
        <w:t>creșterii</w:t>
      </w:r>
      <w:r w:rsidRPr="003164CE">
        <w:rPr>
          <w:rFonts w:ascii="Tahoma" w:hAnsi="Tahoma" w:cs="Tahoma"/>
          <w:sz w:val="24"/>
          <w:szCs w:val="24"/>
        </w:rPr>
        <w:t xml:space="preserve"> vânzărilor de produse nealimentare (+5,9%) și a </w:t>
      </w:r>
      <w:r w:rsidR="00272267" w:rsidRPr="003164CE">
        <w:rPr>
          <w:rFonts w:ascii="Tahoma" w:hAnsi="Tahoma" w:cs="Tahoma"/>
          <w:sz w:val="24"/>
          <w:szCs w:val="24"/>
        </w:rPr>
        <w:t>comerțului</w:t>
      </w:r>
      <w:r w:rsidRPr="003164CE">
        <w:rPr>
          <w:rFonts w:ascii="Tahoma" w:hAnsi="Tahoma" w:cs="Tahoma"/>
          <w:sz w:val="24"/>
          <w:szCs w:val="24"/>
        </w:rPr>
        <w:t xml:space="preserve"> cu amănuntul al </w:t>
      </w:r>
      <w:r w:rsidR="00272267" w:rsidRPr="003164CE">
        <w:rPr>
          <w:rFonts w:ascii="Tahoma" w:hAnsi="Tahoma" w:cs="Tahoma"/>
          <w:sz w:val="24"/>
          <w:szCs w:val="24"/>
        </w:rPr>
        <w:t>carburanților</w:t>
      </w:r>
      <w:r w:rsidRPr="003164CE">
        <w:rPr>
          <w:rFonts w:ascii="Tahoma" w:hAnsi="Tahoma" w:cs="Tahoma"/>
          <w:sz w:val="24"/>
          <w:szCs w:val="24"/>
        </w:rPr>
        <w:t xml:space="preserve"> pentru autovehicule în magazine specializate a crescut cu 2,2%. Vânzările de produse alimentare, băuturi </w:t>
      </w:r>
      <w:proofErr w:type="spellStart"/>
      <w:r w:rsidRPr="003164CE">
        <w:rPr>
          <w:rFonts w:ascii="Tahoma" w:hAnsi="Tahoma" w:cs="Tahoma"/>
          <w:sz w:val="24"/>
          <w:szCs w:val="24"/>
        </w:rPr>
        <w:t>şi</w:t>
      </w:r>
      <w:proofErr w:type="spellEnd"/>
      <w:r w:rsidRPr="003164CE">
        <w:rPr>
          <w:rFonts w:ascii="Tahoma" w:hAnsi="Tahoma" w:cs="Tahoma"/>
          <w:sz w:val="24"/>
          <w:szCs w:val="24"/>
        </w:rPr>
        <w:t xml:space="preserve"> tutun au scăzut cu 1,2%.</w:t>
      </w:r>
    </w:p>
    <w:p w:rsidR="006C34B6" w:rsidRPr="003164CE" w:rsidRDefault="006C34B6" w:rsidP="006C34B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sz w:val="24"/>
          <w:szCs w:val="24"/>
        </w:rPr>
        <w:t>Valoarea schimburilor extra comunitare de bunuri</w:t>
      </w:r>
      <w:r w:rsidRPr="003164CE">
        <w:rPr>
          <w:rFonts w:ascii="Tahoma" w:hAnsi="Tahoma" w:cs="Tahoma"/>
          <w:sz w:val="24"/>
          <w:szCs w:val="24"/>
          <w:vertAlign w:val="superscript"/>
        </w:rPr>
        <w:footnoteReference w:id="7"/>
      </w:r>
      <w:r w:rsidRPr="003164CE">
        <w:rPr>
          <w:rFonts w:ascii="Tahoma" w:hAnsi="Tahoma" w:cs="Tahoma"/>
          <w:sz w:val="24"/>
          <w:szCs w:val="24"/>
          <w:vertAlign w:val="superscript"/>
        </w:rPr>
        <w:t xml:space="preserve"> </w:t>
      </w:r>
      <w:r w:rsidRPr="003164CE">
        <w:rPr>
          <w:rFonts w:ascii="Tahoma" w:hAnsi="Tahoma" w:cs="Tahoma"/>
          <w:sz w:val="24"/>
          <w:szCs w:val="24"/>
        </w:rPr>
        <w:t>(Extra-UE27) a crescut cu 9,5% la importuri și cu 7,5% la exporturi (la valori exprimate în lei) în primele șase luni ale anului 2025, comparativ cu perioada similară a anului precedent.</w:t>
      </w:r>
    </w:p>
    <w:p w:rsidR="009D1E86" w:rsidRPr="003164CE" w:rsidRDefault="008772EA" w:rsidP="009D1E8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b/>
          <w:sz w:val="24"/>
          <w:szCs w:val="24"/>
        </w:rPr>
        <w:t>Veniturile din accize</w:t>
      </w:r>
      <w:r w:rsidR="0015628D" w:rsidRPr="003164CE">
        <w:rPr>
          <w:rFonts w:ascii="Tahoma" w:hAnsi="Tahoma" w:cs="Tahoma"/>
          <w:b/>
          <w:sz w:val="24"/>
          <w:szCs w:val="24"/>
        </w:rPr>
        <w:t>,</w:t>
      </w:r>
      <w:r w:rsidRPr="003164CE">
        <w:rPr>
          <w:rFonts w:ascii="Tahoma" w:hAnsi="Tahoma" w:cs="Tahoma"/>
          <w:sz w:val="24"/>
          <w:szCs w:val="24"/>
        </w:rPr>
        <w:t xml:space="preserve"> </w:t>
      </w:r>
      <w:r w:rsidR="009D1E86" w:rsidRPr="003164CE">
        <w:rPr>
          <w:rFonts w:ascii="Tahoma" w:hAnsi="Tahoma" w:cs="Tahoma"/>
          <w:sz w:val="24"/>
          <w:szCs w:val="24"/>
        </w:rPr>
        <w:t>în primul semestru al anului 2025</w:t>
      </w:r>
      <w:r w:rsidR="0015628D" w:rsidRPr="003164CE">
        <w:rPr>
          <w:rFonts w:ascii="Tahoma" w:hAnsi="Tahoma" w:cs="Tahoma"/>
          <w:sz w:val="24"/>
          <w:szCs w:val="24"/>
        </w:rPr>
        <w:t>,</w:t>
      </w:r>
      <w:r w:rsidR="009D1E86" w:rsidRPr="003164CE">
        <w:rPr>
          <w:rFonts w:ascii="Tahoma" w:hAnsi="Tahoma" w:cs="Tahoma"/>
          <w:sz w:val="24"/>
          <w:szCs w:val="24"/>
        </w:rPr>
        <w:t xml:space="preserve"> au însumat 22,0 miliarde lei, în creștere cu 11,9% (+2,3 miliarde lei), comparativ cu aceeași perioadă a anului precedent, influențată de creșterea încasărilor la accizele pentru produsele energetice cu 13,6% (+1,3 miliarde lei, pe fondul unui nivel majorat al accizelor la produsele energetice, cu 6,1% pentru fiecare produs benzină</w:t>
      </w:r>
      <w:r w:rsidR="009D1E86" w:rsidRPr="003164CE">
        <w:rPr>
          <w:rFonts w:ascii="Tahoma" w:hAnsi="Tahoma" w:cs="Tahoma"/>
          <w:sz w:val="24"/>
          <w:szCs w:val="24"/>
          <w:vertAlign w:val="superscript"/>
        </w:rPr>
        <w:footnoteReference w:id="8"/>
      </w:r>
      <w:r w:rsidR="009D1E86" w:rsidRPr="003164CE">
        <w:rPr>
          <w:rFonts w:ascii="Tahoma" w:hAnsi="Tahoma" w:cs="Tahoma"/>
          <w:sz w:val="24"/>
          <w:szCs w:val="24"/>
        </w:rPr>
        <w:t xml:space="preserve"> și motorină</w:t>
      </w:r>
      <w:r w:rsidR="009D1E86" w:rsidRPr="003164CE">
        <w:rPr>
          <w:rFonts w:ascii="Tahoma" w:hAnsi="Tahoma" w:cs="Tahoma"/>
          <w:sz w:val="24"/>
          <w:szCs w:val="24"/>
          <w:vertAlign w:val="superscript"/>
        </w:rPr>
        <w:footnoteReference w:id="9"/>
      </w:r>
      <w:r w:rsidR="009D1E86" w:rsidRPr="003164CE">
        <w:rPr>
          <w:rFonts w:ascii="Tahoma" w:hAnsi="Tahoma" w:cs="Tahoma"/>
          <w:sz w:val="24"/>
          <w:szCs w:val="24"/>
        </w:rPr>
        <w:t>, de la 01 ianuarie 2025), accizele pentru produsele din tutun cu 11,6% (pe fondul unui nivel majorat al accizei la țigarete de 2.2%</w:t>
      </w:r>
      <w:r w:rsidR="009D1E86" w:rsidRPr="003164CE">
        <w:rPr>
          <w:rFonts w:ascii="Tahoma" w:hAnsi="Tahoma" w:cs="Tahoma"/>
          <w:sz w:val="24"/>
          <w:szCs w:val="24"/>
          <w:vertAlign w:val="superscript"/>
        </w:rPr>
        <w:footnoteReference w:id="10"/>
      </w:r>
      <w:r w:rsidR="009D1E86" w:rsidRPr="003164CE">
        <w:rPr>
          <w:rFonts w:ascii="Tahoma" w:hAnsi="Tahoma" w:cs="Tahoma"/>
          <w:sz w:val="24"/>
          <w:szCs w:val="24"/>
        </w:rPr>
        <w:t>) și din introducerea începând cu 01.01.2024 în sfera produselor supuse accizelor nearmonizate a băuturilor nealcoolice cu zahăr adăugat/conținut de zahar între 5-8 g/100 ml 0,4 lei/litru și peste 8g/100 ml 0,6 lei/litru.</w:t>
      </w:r>
    </w:p>
    <w:p w:rsidR="009D1E86" w:rsidRPr="003164CE" w:rsidRDefault="009D1E86" w:rsidP="009D1E86">
      <w:pPr>
        <w:autoSpaceDE w:val="0"/>
        <w:autoSpaceDN w:val="0"/>
        <w:adjustRightInd w:val="0"/>
        <w:spacing w:after="120" w:line="276" w:lineRule="auto"/>
        <w:ind w:left="284" w:firstLine="0"/>
        <w:rPr>
          <w:rFonts w:ascii="Tahoma" w:hAnsi="Tahoma" w:cs="Tahoma"/>
          <w:sz w:val="24"/>
          <w:szCs w:val="24"/>
        </w:rPr>
      </w:pPr>
      <w:r w:rsidRPr="003164CE">
        <w:rPr>
          <w:rFonts w:ascii="Tahoma" w:hAnsi="Tahoma" w:cs="Tahoma"/>
          <w:sz w:val="24"/>
          <w:szCs w:val="24"/>
        </w:rPr>
        <w:lastRenderedPageBreak/>
        <w:t>Gradul de realizare față de programul stabilit pentru această perioadă este de 97,6% (-0,</w:t>
      </w:r>
      <w:r w:rsidR="0015628D" w:rsidRPr="003164CE">
        <w:rPr>
          <w:rFonts w:ascii="Tahoma" w:hAnsi="Tahoma" w:cs="Tahoma"/>
          <w:sz w:val="24"/>
          <w:szCs w:val="24"/>
        </w:rPr>
        <w:t>6</w:t>
      </w:r>
      <w:r w:rsidRPr="003164CE">
        <w:rPr>
          <w:rFonts w:ascii="Tahoma" w:hAnsi="Tahoma" w:cs="Tahoma"/>
          <w:sz w:val="24"/>
          <w:szCs w:val="24"/>
        </w:rPr>
        <w:t xml:space="preserve"> miliarde lei). Încasările lunare din accize prezintă în general o volatilitate mai ridicată, determinată de politica operatorilor economici de antrepozitare fiscală a produselor accizabile.</w:t>
      </w:r>
    </w:p>
    <w:p w:rsidR="00FE629C" w:rsidRPr="003164CE" w:rsidRDefault="004D6D76" w:rsidP="009D1E86">
      <w:pPr>
        <w:autoSpaceDE w:val="0"/>
        <w:autoSpaceDN w:val="0"/>
        <w:adjustRightInd w:val="0"/>
        <w:spacing w:after="120" w:line="276" w:lineRule="auto"/>
        <w:ind w:left="284" w:firstLine="0"/>
        <w:rPr>
          <w:rFonts w:ascii="Tahoma" w:hAnsi="Tahoma" w:cs="Tahoma"/>
          <w:bCs/>
          <w:sz w:val="24"/>
          <w:szCs w:val="24"/>
        </w:rPr>
      </w:pPr>
      <w:r w:rsidRPr="003164CE">
        <w:rPr>
          <w:rFonts w:ascii="Tahoma" w:hAnsi="Tahoma" w:cs="Tahoma"/>
          <w:b/>
          <w:sz w:val="24"/>
          <w:szCs w:val="24"/>
        </w:rPr>
        <w:t xml:space="preserve">Încasările din alte impozite și taxe pe bunuri și servicii </w:t>
      </w:r>
      <w:r w:rsidR="00B83B89" w:rsidRPr="003164CE">
        <w:rPr>
          <w:rFonts w:ascii="Tahoma" w:hAnsi="Tahoma" w:cs="Tahoma"/>
          <w:sz w:val="24"/>
          <w:szCs w:val="24"/>
        </w:rPr>
        <w:t xml:space="preserve">în valoare de </w:t>
      </w:r>
      <w:r w:rsidR="007D3BF1" w:rsidRPr="003164CE">
        <w:rPr>
          <w:rFonts w:ascii="Tahoma" w:hAnsi="Tahoma" w:cs="Tahoma"/>
          <w:sz w:val="24"/>
          <w:szCs w:val="24"/>
        </w:rPr>
        <w:t>6,37</w:t>
      </w:r>
      <w:r w:rsidR="00B83B89" w:rsidRPr="003164CE">
        <w:rPr>
          <w:rFonts w:ascii="Tahoma" w:hAnsi="Tahoma" w:cs="Tahoma"/>
          <w:sz w:val="24"/>
          <w:szCs w:val="24"/>
        </w:rPr>
        <w:t xml:space="preserve"> miliarde </w:t>
      </w:r>
      <w:r w:rsidR="003A634F" w:rsidRPr="003164CE">
        <w:rPr>
          <w:rFonts w:ascii="Tahoma" w:hAnsi="Tahoma" w:cs="Tahoma"/>
          <w:sz w:val="24"/>
          <w:szCs w:val="24"/>
        </w:rPr>
        <w:t>lei</w:t>
      </w:r>
      <w:r w:rsidR="00B83B89" w:rsidRPr="003164CE">
        <w:rPr>
          <w:rFonts w:ascii="Tahoma" w:hAnsi="Tahoma" w:cs="Tahoma"/>
          <w:sz w:val="24"/>
          <w:szCs w:val="24"/>
        </w:rPr>
        <w:t xml:space="preserve">, </w:t>
      </w:r>
      <w:r w:rsidR="00DC4955" w:rsidRPr="003164CE">
        <w:rPr>
          <w:rFonts w:ascii="Tahoma" w:hAnsi="Tahoma" w:cs="Tahoma"/>
          <w:bCs/>
          <w:sz w:val="24"/>
          <w:szCs w:val="24"/>
        </w:rPr>
        <w:t xml:space="preserve">au înregistrat o </w:t>
      </w:r>
      <w:r w:rsidR="007D3BF1" w:rsidRPr="003164CE">
        <w:rPr>
          <w:rFonts w:ascii="Tahoma" w:hAnsi="Tahoma" w:cs="Tahoma"/>
          <w:bCs/>
          <w:sz w:val="24"/>
          <w:szCs w:val="24"/>
        </w:rPr>
        <w:t>majorare</w:t>
      </w:r>
      <w:r w:rsidR="00104C14" w:rsidRPr="003164CE">
        <w:rPr>
          <w:rFonts w:ascii="Tahoma" w:hAnsi="Tahoma" w:cs="Tahoma"/>
          <w:bCs/>
          <w:sz w:val="24"/>
          <w:szCs w:val="24"/>
        </w:rPr>
        <w:t xml:space="preserve"> comparativ cu anul precedent </w:t>
      </w:r>
      <w:r w:rsidR="007D3BF1" w:rsidRPr="003164CE">
        <w:rPr>
          <w:rFonts w:ascii="Tahoma" w:hAnsi="Tahoma" w:cs="Tahoma"/>
          <w:bCs/>
          <w:sz w:val="24"/>
          <w:szCs w:val="24"/>
        </w:rPr>
        <w:t>de</w:t>
      </w:r>
      <w:r w:rsidR="00104C14" w:rsidRPr="003164CE">
        <w:rPr>
          <w:rFonts w:ascii="Tahoma" w:hAnsi="Tahoma" w:cs="Tahoma"/>
          <w:bCs/>
          <w:sz w:val="24"/>
          <w:szCs w:val="24"/>
        </w:rPr>
        <w:t xml:space="preserve"> </w:t>
      </w:r>
      <w:r w:rsidR="007D3BF1" w:rsidRPr="003164CE">
        <w:rPr>
          <w:rFonts w:ascii="Tahoma" w:hAnsi="Tahoma" w:cs="Tahoma"/>
          <w:bCs/>
          <w:sz w:val="24"/>
          <w:szCs w:val="24"/>
        </w:rPr>
        <w:t>39,4</w:t>
      </w:r>
      <w:r w:rsidR="00104C14" w:rsidRPr="003164CE">
        <w:rPr>
          <w:rFonts w:ascii="Tahoma" w:hAnsi="Tahoma" w:cs="Tahoma"/>
          <w:bCs/>
          <w:sz w:val="24"/>
          <w:szCs w:val="24"/>
        </w:rPr>
        <w:t>%(</w:t>
      </w:r>
      <w:r w:rsidR="007D3BF1" w:rsidRPr="003164CE">
        <w:rPr>
          <w:rFonts w:ascii="Tahoma" w:hAnsi="Tahoma" w:cs="Tahoma"/>
          <w:bCs/>
          <w:sz w:val="24"/>
          <w:szCs w:val="24"/>
        </w:rPr>
        <w:t>+1,8</w:t>
      </w:r>
      <w:r w:rsidR="00104C14" w:rsidRPr="003164CE">
        <w:rPr>
          <w:rFonts w:ascii="Tahoma" w:hAnsi="Tahoma" w:cs="Tahoma"/>
          <w:bCs/>
          <w:sz w:val="24"/>
          <w:szCs w:val="24"/>
        </w:rPr>
        <w:t xml:space="preserve"> miliarde lei)</w:t>
      </w:r>
      <w:r w:rsidR="00DC4955" w:rsidRPr="003164CE">
        <w:rPr>
          <w:rFonts w:ascii="Tahoma" w:hAnsi="Tahoma" w:cs="Tahoma"/>
          <w:bCs/>
          <w:sz w:val="24"/>
          <w:szCs w:val="24"/>
        </w:rPr>
        <w:t xml:space="preserve">, pe seama evoluției încasărilor la bugetul de stat </w:t>
      </w:r>
      <w:r w:rsidR="007D3BF1" w:rsidRPr="003164CE">
        <w:rPr>
          <w:rFonts w:ascii="Tahoma" w:hAnsi="Tahoma" w:cs="Tahoma"/>
          <w:bCs/>
          <w:sz w:val="24"/>
          <w:szCs w:val="24"/>
        </w:rPr>
        <w:t>(+68,8</w:t>
      </w:r>
      <w:r w:rsidR="005B74EC" w:rsidRPr="003164CE">
        <w:rPr>
          <w:rFonts w:ascii="Tahoma" w:hAnsi="Tahoma" w:cs="Tahoma"/>
          <w:bCs/>
          <w:sz w:val="24"/>
          <w:szCs w:val="24"/>
        </w:rPr>
        <w:t>%</w:t>
      </w:r>
      <w:r w:rsidR="00FE629C" w:rsidRPr="003164CE">
        <w:rPr>
          <w:rFonts w:ascii="Tahoma" w:hAnsi="Tahoma" w:cs="Tahoma"/>
          <w:bCs/>
          <w:sz w:val="24"/>
          <w:szCs w:val="24"/>
        </w:rPr>
        <w:t>).</w:t>
      </w:r>
    </w:p>
    <w:p w:rsidR="007D3BF1" w:rsidRPr="003164CE" w:rsidRDefault="007D3BF1" w:rsidP="007D3BF1">
      <w:pPr>
        <w:autoSpaceDE w:val="0"/>
        <w:autoSpaceDN w:val="0"/>
        <w:adjustRightInd w:val="0"/>
        <w:spacing w:line="276" w:lineRule="auto"/>
        <w:ind w:left="284" w:firstLine="0"/>
        <w:rPr>
          <w:rFonts w:ascii="Tahoma" w:hAnsi="Tahoma" w:cs="Tahoma"/>
          <w:bCs/>
          <w:sz w:val="24"/>
          <w:szCs w:val="24"/>
        </w:rPr>
      </w:pPr>
      <w:r w:rsidRPr="003164CE">
        <w:rPr>
          <w:rFonts w:ascii="Tahoma" w:hAnsi="Tahoma" w:cs="Tahoma"/>
          <w:sz w:val="24"/>
          <w:szCs w:val="24"/>
        </w:rPr>
        <w:t>Evoluția încasărilor la</w:t>
      </w:r>
      <w:r w:rsidR="00FE629C" w:rsidRPr="003164CE">
        <w:rPr>
          <w:rFonts w:ascii="Tahoma" w:hAnsi="Tahoma" w:cs="Tahoma"/>
          <w:sz w:val="24"/>
          <w:szCs w:val="24"/>
        </w:rPr>
        <w:t xml:space="preserve"> bugetului de stat </w:t>
      </w:r>
      <w:r w:rsidRPr="003164CE">
        <w:rPr>
          <w:rFonts w:ascii="Tahoma" w:hAnsi="Tahoma" w:cs="Tahoma"/>
          <w:sz w:val="24"/>
          <w:szCs w:val="24"/>
        </w:rPr>
        <w:t xml:space="preserve">a fost </w:t>
      </w:r>
      <w:r w:rsidRPr="003164CE">
        <w:rPr>
          <w:rFonts w:ascii="Tahoma" w:hAnsi="Tahoma" w:cs="Tahoma"/>
          <w:bCs/>
          <w:sz w:val="24"/>
          <w:szCs w:val="24"/>
        </w:rPr>
        <w:t>dată de evoluția pozitivă a încasărilor aferente impozitului pe venitul suplimentar din sectorul gazelor naturale (O.G. nr. 7/2013), impozitului specific pe cifra de afaceri realizată de agenții economici din sectoarele petrol si gaze naturale (Legea nr. 296/2023, modificată prin Legea nr. 290/2024 și O.G. nr. 3/2025) și a impozitului specific pe cifra de afaceri realizată de instituțiile de credit (Legea nr. 296/2023)</w:t>
      </w:r>
      <w:r w:rsidR="00717136" w:rsidRPr="003164CE">
        <w:rPr>
          <w:rFonts w:ascii="Tahoma" w:hAnsi="Tahoma" w:cs="Tahoma"/>
          <w:bCs/>
          <w:sz w:val="24"/>
          <w:szCs w:val="24"/>
        </w:rPr>
        <w:t xml:space="preserve"> precum și din </w:t>
      </w:r>
      <w:r w:rsidR="008343ED" w:rsidRPr="003164CE">
        <w:rPr>
          <w:rFonts w:ascii="Tahoma" w:hAnsi="Tahoma" w:cs="Tahoma"/>
          <w:bCs/>
          <w:sz w:val="24"/>
          <w:szCs w:val="24"/>
        </w:rPr>
        <w:t>contribuția</w:t>
      </w:r>
      <w:r w:rsidR="00717136" w:rsidRPr="003164CE">
        <w:rPr>
          <w:rFonts w:ascii="Tahoma" w:hAnsi="Tahoma" w:cs="Tahoma"/>
          <w:bCs/>
          <w:sz w:val="24"/>
          <w:szCs w:val="24"/>
        </w:rPr>
        <w:t xml:space="preserve"> la Fondul de </w:t>
      </w:r>
      <w:r w:rsidR="008343ED" w:rsidRPr="003164CE">
        <w:rPr>
          <w:rFonts w:ascii="Tahoma" w:hAnsi="Tahoma" w:cs="Tahoma"/>
          <w:bCs/>
          <w:sz w:val="24"/>
          <w:szCs w:val="24"/>
        </w:rPr>
        <w:t>Tranziție</w:t>
      </w:r>
      <w:r w:rsidR="00717136" w:rsidRPr="003164CE">
        <w:rPr>
          <w:rFonts w:ascii="Tahoma" w:hAnsi="Tahoma" w:cs="Tahoma"/>
          <w:bCs/>
          <w:sz w:val="24"/>
          <w:szCs w:val="24"/>
        </w:rPr>
        <w:t xml:space="preserve"> Energetica, instituită prin O.U.G. nr. 119/2022</w:t>
      </w:r>
      <w:r w:rsidRPr="003164CE">
        <w:rPr>
          <w:rFonts w:ascii="Tahoma" w:hAnsi="Tahoma" w:cs="Tahoma"/>
          <w:bCs/>
          <w:sz w:val="24"/>
          <w:szCs w:val="24"/>
        </w:rPr>
        <w:t xml:space="preserve">. </w:t>
      </w:r>
    </w:p>
    <w:p w:rsidR="007D3BF1" w:rsidRPr="003164CE" w:rsidRDefault="007D3BF1" w:rsidP="007D3BF1">
      <w:pPr>
        <w:autoSpaceDE w:val="0"/>
        <w:autoSpaceDN w:val="0"/>
        <w:adjustRightInd w:val="0"/>
        <w:spacing w:line="276" w:lineRule="auto"/>
        <w:ind w:left="284" w:firstLine="0"/>
        <w:rPr>
          <w:rFonts w:ascii="Tahoma" w:hAnsi="Tahoma" w:cs="Tahoma"/>
          <w:bCs/>
          <w:i/>
          <w:sz w:val="24"/>
          <w:szCs w:val="24"/>
        </w:rPr>
      </w:pPr>
      <w:r w:rsidRPr="003164CE">
        <w:rPr>
          <w:rFonts w:ascii="Tahoma" w:hAnsi="Tahoma" w:cs="Tahoma"/>
          <w:bCs/>
          <w:sz w:val="24"/>
          <w:szCs w:val="24"/>
        </w:rPr>
        <w:t>Gradul de realizare a programului este de 117,3% (+0,94 miliarde lei)</w:t>
      </w:r>
    </w:p>
    <w:p w:rsidR="00DC4955" w:rsidRPr="003164CE" w:rsidRDefault="00DC4955" w:rsidP="005B74EC">
      <w:pPr>
        <w:keepNext/>
        <w:keepLines/>
        <w:spacing w:after="120" w:line="276" w:lineRule="auto"/>
        <w:ind w:left="284" w:firstLine="0"/>
        <w:rPr>
          <w:rFonts w:ascii="Tahoma" w:hAnsi="Tahoma" w:cs="Tahoma"/>
          <w:sz w:val="24"/>
          <w:szCs w:val="24"/>
        </w:rPr>
      </w:pPr>
      <w:r w:rsidRPr="003164CE">
        <w:rPr>
          <w:rFonts w:ascii="Tahoma" w:hAnsi="Tahoma" w:cs="Tahoma"/>
          <w:b/>
          <w:sz w:val="24"/>
          <w:szCs w:val="24"/>
        </w:rPr>
        <w:t>Încasările din tax</w:t>
      </w:r>
      <w:r w:rsidR="003E4FF7" w:rsidRPr="003164CE">
        <w:rPr>
          <w:rFonts w:ascii="Tahoma" w:hAnsi="Tahoma" w:cs="Tahoma"/>
          <w:b/>
          <w:sz w:val="24"/>
          <w:szCs w:val="24"/>
        </w:rPr>
        <w:t>ele</w:t>
      </w:r>
      <w:r w:rsidRPr="003164CE">
        <w:rPr>
          <w:rFonts w:ascii="Tahoma" w:hAnsi="Tahoma" w:cs="Tahoma"/>
          <w:b/>
          <w:sz w:val="24"/>
          <w:szCs w:val="24"/>
        </w:rPr>
        <w:t xml:space="preserve"> pe utilizarea bunurilor, autorizarea utilizării bunurilor sau pe desfășurarea de activități </w:t>
      </w:r>
      <w:r w:rsidRPr="003164CE">
        <w:rPr>
          <w:rFonts w:ascii="Tahoma" w:hAnsi="Tahoma" w:cs="Tahoma"/>
          <w:sz w:val="24"/>
          <w:szCs w:val="24"/>
        </w:rPr>
        <w:t xml:space="preserve">au crescut comparativ cu încasările </w:t>
      </w:r>
      <w:r w:rsidR="00AA34D1" w:rsidRPr="003164CE">
        <w:rPr>
          <w:rFonts w:ascii="Tahoma" w:hAnsi="Tahoma" w:cs="Tahoma"/>
          <w:sz w:val="24"/>
          <w:szCs w:val="24"/>
        </w:rPr>
        <w:t xml:space="preserve">din </w:t>
      </w:r>
      <w:r w:rsidRPr="003164CE">
        <w:rPr>
          <w:rFonts w:ascii="Tahoma" w:hAnsi="Tahoma" w:cs="Tahoma"/>
          <w:sz w:val="24"/>
          <w:szCs w:val="24"/>
        </w:rPr>
        <w:t>semestrul I 202</w:t>
      </w:r>
      <w:r w:rsidR="00717136" w:rsidRPr="003164CE">
        <w:rPr>
          <w:rFonts w:ascii="Tahoma" w:hAnsi="Tahoma" w:cs="Tahoma"/>
          <w:sz w:val="24"/>
          <w:szCs w:val="24"/>
        </w:rPr>
        <w:t>4</w:t>
      </w:r>
      <w:r w:rsidRPr="003164CE">
        <w:rPr>
          <w:rFonts w:ascii="Tahoma" w:hAnsi="Tahoma" w:cs="Tahoma"/>
          <w:sz w:val="24"/>
          <w:szCs w:val="24"/>
        </w:rPr>
        <w:t xml:space="preserve"> cu 0,</w:t>
      </w:r>
      <w:r w:rsidR="00717136" w:rsidRPr="003164CE">
        <w:rPr>
          <w:rFonts w:ascii="Tahoma" w:hAnsi="Tahoma" w:cs="Tahoma"/>
          <w:sz w:val="24"/>
          <w:szCs w:val="24"/>
        </w:rPr>
        <w:t>62</w:t>
      </w:r>
      <w:r w:rsidRPr="003164CE">
        <w:rPr>
          <w:rFonts w:ascii="Tahoma" w:hAnsi="Tahoma" w:cs="Tahoma"/>
          <w:sz w:val="24"/>
          <w:szCs w:val="24"/>
        </w:rPr>
        <w:t xml:space="preserve"> miliarde </w:t>
      </w:r>
      <w:r w:rsidR="003A634F" w:rsidRPr="003164CE">
        <w:rPr>
          <w:rFonts w:ascii="Tahoma" w:hAnsi="Tahoma" w:cs="Tahoma"/>
          <w:sz w:val="24"/>
          <w:szCs w:val="24"/>
        </w:rPr>
        <w:t>lei</w:t>
      </w:r>
      <w:r w:rsidR="00FD1630" w:rsidRPr="003164CE">
        <w:rPr>
          <w:rFonts w:ascii="Tahoma" w:hAnsi="Tahoma" w:cs="Tahoma"/>
          <w:sz w:val="24"/>
          <w:szCs w:val="24"/>
        </w:rPr>
        <w:t xml:space="preserve"> </w:t>
      </w:r>
      <w:r w:rsidRPr="003164CE">
        <w:rPr>
          <w:rFonts w:ascii="Tahoma" w:hAnsi="Tahoma" w:cs="Tahoma"/>
          <w:sz w:val="24"/>
          <w:szCs w:val="24"/>
        </w:rPr>
        <w:t>(+</w:t>
      </w:r>
      <w:r w:rsidR="00717136" w:rsidRPr="003164CE">
        <w:rPr>
          <w:rFonts w:ascii="Tahoma" w:hAnsi="Tahoma" w:cs="Tahoma"/>
          <w:sz w:val="24"/>
          <w:szCs w:val="24"/>
        </w:rPr>
        <w:t>13</w:t>
      </w:r>
      <w:r w:rsidR="003E4FF7" w:rsidRPr="003164CE">
        <w:rPr>
          <w:rFonts w:ascii="Tahoma" w:hAnsi="Tahoma" w:cs="Tahoma"/>
          <w:sz w:val="24"/>
          <w:szCs w:val="24"/>
        </w:rPr>
        <w:t>,</w:t>
      </w:r>
      <w:r w:rsidR="00717136" w:rsidRPr="003164CE">
        <w:rPr>
          <w:rFonts w:ascii="Tahoma" w:hAnsi="Tahoma" w:cs="Tahoma"/>
          <w:sz w:val="24"/>
          <w:szCs w:val="24"/>
        </w:rPr>
        <w:t>7</w:t>
      </w:r>
      <w:r w:rsidRPr="003164CE">
        <w:rPr>
          <w:rFonts w:ascii="Tahoma" w:hAnsi="Tahoma" w:cs="Tahoma"/>
          <w:sz w:val="24"/>
          <w:szCs w:val="24"/>
        </w:rPr>
        <w:t xml:space="preserve">%), gradul de realizare al programului trimestrial fiind de </w:t>
      </w:r>
      <w:r w:rsidR="00717136" w:rsidRPr="003164CE">
        <w:rPr>
          <w:rFonts w:ascii="Tahoma" w:hAnsi="Tahoma" w:cs="Tahoma"/>
          <w:sz w:val="24"/>
          <w:szCs w:val="24"/>
        </w:rPr>
        <w:t>104,8</w:t>
      </w:r>
      <w:r w:rsidRPr="003164CE">
        <w:rPr>
          <w:rFonts w:ascii="Tahoma" w:hAnsi="Tahoma" w:cs="Tahoma"/>
          <w:sz w:val="24"/>
          <w:szCs w:val="24"/>
        </w:rPr>
        <w:t>%.</w:t>
      </w:r>
    </w:p>
    <w:p w:rsidR="005B74EC" w:rsidRPr="003164CE" w:rsidRDefault="00DC4955" w:rsidP="005B74EC">
      <w:pPr>
        <w:autoSpaceDE w:val="0"/>
        <w:autoSpaceDN w:val="0"/>
        <w:adjustRightInd w:val="0"/>
        <w:spacing w:line="276" w:lineRule="auto"/>
        <w:ind w:left="284" w:firstLine="0"/>
        <w:rPr>
          <w:rFonts w:ascii="Tahoma" w:hAnsi="Tahoma" w:cs="Tahoma"/>
          <w:bCs/>
          <w:sz w:val="24"/>
          <w:szCs w:val="24"/>
        </w:rPr>
      </w:pPr>
      <w:r w:rsidRPr="003164CE">
        <w:rPr>
          <w:rFonts w:ascii="Tahoma" w:hAnsi="Tahoma" w:cs="Tahoma"/>
          <w:sz w:val="24"/>
          <w:szCs w:val="24"/>
        </w:rPr>
        <w:t xml:space="preserve">Evoluția încasărilor din </w:t>
      </w:r>
      <w:r w:rsidRPr="003164CE">
        <w:rPr>
          <w:rFonts w:ascii="Tahoma" w:eastAsia="Calibri" w:hAnsi="Tahoma" w:cs="Tahoma"/>
          <w:sz w:val="24"/>
          <w:szCs w:val="24"/>
        </w:rPr>
        <w:t>taxele pe utilizarea bunurilor, autorizarea utilizării bunurilor sau pe desfășurarea de activități</w:t>
      </w:r>
      <w:r w:rsidRPr="003164CE">
        <w:rPr>
          <w:rFonts w:ascii="Tahoma" w:hAnsi="Tahoma" w:cs="Tahoma"/>
          <w:sz w:val="24"/>
          <w:szCs w:val="24"/>
        </w:rPr>
        <w:t xml:space="preserve"> s-a datorat în principal creșterii înregistrate la bugetul de stat (+</w:t>
      </w:r>
      <w:r w:rsidR="00717136" w:rsidRPr="003164CE">
        <w:rPr>
          <w:rFonts w:ascii="Tahoma" w:hAnsi="Tahoma" w:cs="Tahoma"/>
          <w:sz w:val="24"/>
          <w:szCs w:val="24"/>
        </w:rPr>
        <w:t>15,8</w:t>
      </w:r>
      <w:r w:rsidRPr="003164CE">
        <w:rPr>
          <w:rFonts w:ascii="Tahoma" w:hAnsi="Tahoma" w:cs="Tahoma"/>
          <w:sz w:val="24"/>
          <w:szCs w:val="24"/>
        </w:rPr>
        <w:t xml:space="preserve">%) </w:t>
      </w:r>
      <w:r w:rsidR="00330AE1" w:rsidRPr="003164CE">
        <w:rPr>
          <w:rFonts w:ascii="Tahoma" w:eastAsia="Calibri" w:hAnsi="Tahoma" w:cs="Tahoma"/>
          <w:kern w:val="1"/>
          <w:sz w:val="24"/>
          <w:szCs w:val="24"/>
        </w:rPr>
        <w:t xml:space="preserve">pe seama majorării veniturilor din taxele pentru jocurile de </w:t>
      </w:r>
      <w:r w:rsidR="006E29DF" w:rsidRPr="003164CE">
        <w:rPr>
          <w:rFonts w:ascii="Tahoma" w:eastAsia="Calibri" w:hAnsi="Tahoma" w:cs="Tahoma"/>
          <w:bCs/>
          <w:kern w:val="1"/>
          <w:sz w:val="24"/>
          <w:szCs w:val="24"/>
        </w:rPr>
        <w:t>noroc</w:t>
      </w:r>
      <w:r w:rsidR="006E29DF" w:rsidRPr="003164CE">
        <w:rPr>
          <w:rFonts w:ascii="Tahoma" w:eastAsia="Calibri" w:hAnsi="Tahoma" w:cs="Tahoma"/>
          <w:bCs/>
          <w:kern w:val="1"/>
          <w:sz w:val="24"/>
          <w:szCs w:val="24"/>
          <w:vertAlign w:val="superscript"/>
        </w:rPr>
        <w:footnoteReference w:id="11"/>
      </w:r>
      <w:r w:rsidR="00330AE1" w:rsidRPr="003164CE">
        <w:rPr>
          <w:rFonts w:ascii="Tahoma" w:eastAsia="Calibri" w:hAnsi="Tahoma" w:cs="Tahoma"/>
          <w:kern w:val="1"/>
          <w:sz w:val="24"/>
          <w:szCs w:val="24"/>
        </w:rPr>
        <w:t xml:space="preserve"> (+0,</w:t>
      </w:r>
      <w:r w:rsidR="006E29DF" w:rsidRPr="003164CE">
        <w:rPr>
          <w:rFonts w:ascii="Tahoma" w:eastAsia="Calibri" w:hAnsi="Tahoma" w:cs="Tahoma"/>
          <w:kern w:val="1"/>
          <w:sz w:val="24"/>
          <w:szCs w:val="24"/>
        </w:rPr>
        <w:t>3</w:t>
      </w:r>
      <w:r w:rsidR="00330AE1" w:rsidRPr="003164CE">
        <w:rPr>
          <w:rFonts w:ascii="Tahoma" w:eastAsia="Calibri" w:hAnsi="Tahoma" w:cs="Tahoma"/>
          <w:kern w:val="1"/>
          <w:sz w:val="24"/>
          <w:szCs w:val="24"/>
        </w:rPr>
        <w:t xml:space="preserve"> miliarde </w:t>
      </w:r>
      <w:r w:rsidR="003A634F" w:rsidRPr="003164CE">
        <w:rPr>
          <w:rFonts w:ascii="Tahoma" w:eastAsia="Calibri" w:hAnsi="Tahoma" w:cs="Tahoma"/>
          <w:kern w:val="1"/>
          <w:sz w:val="24"/>
          <w:szCs w:val="24"/>
        </w:rPr>
        <w:t>lei</w:t>
      </w:r>
      <w:r w:rsidR="005B74EC" w:rsidRPr="003164CE">
        <w:rPr>
          <w:rFonts w:ascii="Tahoma" w:eastAsia="Calibri" w:hAnsi="Tahoma" w:cs="Tahoma"/>
          <w:kern w:val="1"/>
          <w:sz w:val="24"/>
          <w:szCs w:val="24"/>
        </w:rPr>
        <w:t>)</w:t>
      </w:r>
      <w:r w:rsidR="00330AE1" w:rsidRPr="003164CE">
        <w:rPr>
          <w:rFonts w:ascii="Tahoma" w:eastAsia="Calibri" w:hAnsi="Tahoma" w:cs="Tahoma"/>
          <w:kern w:val="1"/>
          <w:sz w:val="24"/>
          <w:szCs w:val="24"/>
        </w:rPr>
        <w:t xml:space="preserve">, </w:t>
      </w:r>
      <w:r w:rsidR="004F622D" w:rsidRPr="003164CE">
        <w:rPr>
          <w:rFonts w:ascii="Tahoma" w:hAnsi="Tahoma" w:cs="Tahoma"/>
          <w:bCs/>
          <w:sz w:val="24"/>
          <w:szCs w:val="24"/>
        </w:rPr>
        <w:t>dar și</w:t>
      </w:r>
      <w:r w:rsidR="006E29DF" w:rsidRPr="003164CE">
        <w:rPr>
          <w:rFonts w:ascii="Tahoma" w:hAnsi="Tahoma" w:cs="Tahoma"/>
          <w:bCs/>
          <w:sz w:val="24"/>
          <w:szCs w:val="24"/>
        </w:rPr>
        <w:t xml:space="preserve"> la bugetele locale</w:t>
      </w:r>
      <w:r w:rsidR="004F622D" w:rsidRPr="003164CE">
        <w:rPr>
          <w:rFonts w:ascii="Tahoma" w:hAnsi="Tahoma" w:cs="Tahoma"/>
          <w:bCs/>
          <w:sz w:val="24"/>
          <w:szCs w:val="24"/>
        </w:rPr>
        <w:t>,</w:t>
      </w:r>
      <w:r w:rsidR="006E29DF" w:rsidRPr="003164CE">
        <w:rPr>
          <w:rFonts w:ascii="Tahoma" w:hAnsi="Tahoma" w:cs="Tahoma"/>
          <w:bCs/>
          <w:sz w:val="24"/>
          <w:szCs w:val="24"/>
        </w:rPr>
        <w:t xml:space="preserve"> pe seama evoluției încasărilor din impozitele pe mijloacele de transport</w:t>
      </w:r>
      <w:r w:rsidR="005B74EC" w:rsidRPr="003164CE">
        <w:rPr>
          <w:rFonts w:ascii="Tahoma" w:hAnsi="Tahoma" w:cs="Tahoma"/>
          <w:bCs/>
          <w:sz w:val="24"/>
          <w:szCs w:val="24"/>
        </w:rPr>
        <w:t xml:space="preserve">. </w:t>
      </w:r>
    </w:p>
    <w:p w:rsidR="00344067" w:rsidRPr="003164CE" w:rsidRDefault="004D6D76" w:rsidP="00344067">
      <w:pPr>
        <w:autoSpaceDE w:val="0"/>
        <w:autoSpaceDN w:val="0"/>
        <w:adjustRightInd w:val="0"/>
        <w:spacing w:line="276" w:lineRule="auto"/>
        <w:ind w:left="284" w:firstLine="0"/>
        <w:rPr>
          <w:rFonts w:ascii="Tahoma" w:hAnsi="Tahoma" w:cs="Tahoma"/>
          <w:bCs/>
          <w:sz w:val="24"/>
          <w:szCs w:val="24"/>
        </w:rPr>
      </w:pPr>
      <w:r w:rsidRPr="003164CE">
        <w:rPr>
          <w:rFonts w:ascii="Tahoma" w:hAnsi="Tahoma" w:cs="Tahoma"/>
          <w:b/>
          <w:sz w:val="24"/>
          <w:szCs w:val="24"/>
        </w:rPr>
        <w:t>Încasările din</w:t>
      </w:r>
      <w:r w:rsidR="00182ADA" w:rsidRPr="003164CE">
        <w:rPr>
          <w:rFonts w:ascii="Tahoma" w:hAnsi="Tahoma" w:cs="Tahoma"/>
          <w:b/>
          <w:sz w:val="24"/>
          <w:szCs w:val="24"/>
        </w:rPr>
        <w:t xml:space="preserve"> </w:t>
      </w:r>
      <w:r w:rsidRPr="003164CE">
        <w:rPr>
          <w:rFonts w:ascii="Tahoma" w:hAnsi="Tahoma" w:cs="Tahoma"/>
          <w:b/>
          <w:sz w:val="24"/>
          <w:szCs w:val="24"/>
        </w:rPr>
        <w:t xml:space="preserve">impozitul pe comerțul exterior </w:t>
      </w:r>
      <w:r w:rsidR="006E1E76" w:rsidRPr="003164CE">
        <w:rPr>
          <w:rFonts w:ascii="Tahoma" w:hAnsi="Tahoma" w:cs="Tahoma"/>
          <w:b/>
          <w:sz w:val="24"/>
          <w:szCs w:val="24"/>
        </w:rPr>
        <w:t>și</w:t>
      </w:r>
      <w:r w:rsidRPr="003164CE">
        <w:rPr>
          <w:rFonts w:ascii="Tahoma" w:hAnsi="Tahoma" w:cs="Tahoma"/>
          <w:b/>
          <w:sz w:val="24"/>
          <w:szCs w:val="24"/>
        </w:rPr>
        <w:t xml:space="preserve"> tranzacțiile internaționale</w:t>
      </w:r>
      <w:r w:rsidR="00182ADA" w:rsidRPr="003164CE">
        <w:rPr>
          <w:rFonts w:ascii="Tahoma" w:hAnsi="Tahoma" w:cs="Tahoma"/>
          <w:b/>
          <w:sz w:val="24"/>
          <w:szCs w:val="24"/>
        </w:rPr>
        <w:t xml:space="preserve"> </w:t>
      </w:r>
      <w:r w:rsidR="00344067" w:rsidRPr="003164CE">
        <w:rPr>
          <w:rFonts w:ascii="Tahoma" w:hAnsi="Tahoma" w:cs="Tahoma"/>
          <w:bCs/>
          <w:sz w:val="24"/>
          <w:szCs w:val="24"/>
        </w:rPr>
        <w:t xml:space="preserve">în valoare de 1,19 miliarde lei au înregistrat în perioada analizată o creștere cu 43,3% (+0,4 miliarde lei) comparativ cu aceeași perioadă a anului 2024 influențată </w:t>
      </w:r>
      <w:r w:rsidR="006C34B6" w:rsidRPr="003164CE">
        <w:rPr>
          <w:rFonts w:ascii="Tahoma" w:hAnsi="Tahoma" w:cs="Tahoma"/>
          <w:bCs/>
          <w:sz w:val="24"/>
          <w:szCs w:val="24"/>
        </w:rPr>
        <w:t>fiind de creșterea importurilor (Extra-UE27) cu 9,5%</w:t>
      </w:r>
      <w:r w:rsidR="006C34B6" w:rsidRPr="003164CE">
        <w:rPr>
          <w:rFonts w:ascii="Tahoma" w:hAnsi="Tahoma" w:cs="Tahoma"/>
          <w:bCs/>
          <w:sz w:val="24"/>
          <w:szCs w:val="24"/>
          <w:vertAlign w:val="superscript"/>
        </w:rPr>
        <w:t>7</w:t>
      </w:r>
      <w:r w:rsidR="00344067" w:rsidRPr="003164CE">
        <w:rPr>
          <w:rFonts w:ascii="Tahoma" w:hAnsi="Tahoma" w:cs="Tahoma"/>
          <w:bCs/>
          <w:sz w:val="24"/>
          <w:szCs w:val="24"/>
        </w:rPr>
        <w:t>. Gradul de realizare al acestor venituri este de 124,9% (+0,2 miliarde lei).</w:t>
      </w:r>
    </w:p>
    <w:p w:rsidR="00344067" w:rsidRPr="003164CE" w:rsidRDefault="00B541BA" w:rsidP="00344067">
      <w:pPr>
        <w:autoSpaceDE w:val="0"/>
        <w:autoSpaceDN w:val="0"/>
        <w:adjustRightInd w:val="0"/>
        <w:spacing w:line="276" w:lineRule="auto"/>
        <w:ind w:firstLine="0"/>
        <w:rPr>
          <w:rFonts w:ascii="Tahoma" w:eastAsia="Calibri" w:hAnsi="Tahoma" w:cs="Tahoma"/>
          <w:sz w:val="24"/>
          <w:szCs w:val="24"/>
        </w:rPr>
      </w:pPr>
      <w:r w:rsidRPr="003164CE">
        <w:rPr>
          <w:rFonts w:ascii="Tahoma" w:eastAsia="Calibri" w:hAnsi="Tahoma" w:cs="Tahoma"/>
          <w:b/>
          <w:sz w:val="24"/>
          <w:szCs w:val="24"/>
        </w:rPr>
        <w:t>Contribuțiile sociale</w:t>
      </w:r>
      <w:r w:rsidRPr="003164CE">
        <w:rPr>
          <w:rFonts w:ascii="Tahoma" w:eastAsia="Calibri" w:hAnsi="Tahoma" w:cs="Tahoma"/>
          <w:sz w:val="24"/>
          <w:szCs w:val="24"/>
        </w:rPr>
        <w:t xml:space="preserve"> </w:t>
      </w:r>
      <w:r w:rsidR="00344067" w:rsidRPr="003164CE">
        <w:rPr>
          <w:rFonts w:ascii="Tahoma" w:eastAsia="Calibri" w:hAnsi="Tahoma" w:cs="Tahoma"/>
          <w:sz w:val="24"/>
          <w:szCs w:val="24"/>
        </w:rPr>
        <w:t>încasate în primul semestru al anului 2025 în sumă de 103,47 miliarde lei, înregistrează, comparativ cu aceeași perioadă a anului precedent, o creștere de 11,</w:t>
      </w:r>
      <w:r w:rsidR="00B45CD2" w:rsidRPr="003164CE">
        <w:rPr>
          <w:rFonts w:ascii="Tahoma" w:eastAsia="Calibri" w:hAnsi="Tahoma" w:cs="Tahoma"/>
          <w:sz w:val="24"/>
          <w:szCs w:val="24"/>
        </w:rPr>
        <w:t>6</w:t>
      </w:r>
      <w:r w:rsidR="00344067" w:rsidRPr="003164CE">
        <w:rPr>
          <w:rFonts w:ascii="Tahoma" w:eastAsia="Calibri" w:hAnsi="Tahoma" w:cs="Tahoma"/>
          <w:sz w:val="24"/>
          <w:szCs w:val="24"/>
        </w:rPr>
        <w:t>% (+10,7 miliarde lei), sub evoluția fondului brut de salarii de 11,</w:t>
      </w:r>
      <w:r w:rsidR="006C34B6" w:rsidRPr="003164CE">
        <w:rPr>
          <w:rFonts w:ascii="Tahoma" w:eastAsia="Calibri" w:hAnsi="Tahoma" w:cs="Tahoma"/>
          <w:sz w:val="24"/>
          <w:szCs w:val="24"/>
        </w:rPr>
        <w:t>8</w:t>
      </w:r>
      <w:r w:rsidR="00344067" w:rsidRPr="003164CE">
        <w:rPr>
          <w:rFonts w:ascii="Tahoma" w:eastAsia="Calibri" w:hAnsi="Tahoma" w:cs="Tahoma"/>
          <w:sz w:val="24"/>
          <w:szCs w:val="24"/>
        </w:rPr>
        <w:t>%</w:t>
      </w:r>
      <w:r w:rsidR="00344067" w:rsidRPr="003164CE">
        <w:rPr>
          <w:rFonts w:ascii="Tahoma" w:eastAsia="Calibri" w:hAnsi="Tahoma" w:cs="Tahoma"/>
          <w:sz w:val="24"/>
          <w:szCs w:val="24"/>
          <w:vertAlign w:val="superscript"/>
        </w:rPr>
        <w:footnoteReference w:id="12"/>
      </w:r>
      <w:r w:rsidR="00344067" w:rsidRPr="003164CE">
        <w:rPr>
          <w:rFonts w:ascii="Tahoma" w:eastAsia="Calibri" w:hAnsi="Tahoma" w:cs="Tahoma"/>
          <w:sz w:val="24"/>
          <w:szCs w:val="24"/>
        </w:rPr>
        <w:t>.</w:t>
      </w:r>
    </w:p>
    <w:p w:rsidR="00344067" w:rsidRPr="003164CE" w:rsidRDefault="00344067" w:rsidP="00344067">
      <w:pPr>
        <w:autoSpaceDE w:val="0"/>
        <w:autoSpaceDN w:val="0"/>
        <w:adjustRightInd w:val="0"/>
        <w:spacing w:line="276" w:lineRule="auto"/>
        <w:ind w:firstLine="0"/>
        <w:rPr>
          <w:rFonts w:ascii="Tahoma" w:eastAsia="Calibri" w:hAnsi="Tahoma" w:cs="Tahoma"/>
          <w:sz w:val="24"/>
          <w:szCs w:val="24"/>
        </w:rPr>
      </w:pPr>
      <w:r w:rsidRPr="003164CE">
        <w:rPr>
          <w:rFonts w:ascii="Tahoma" w:eastAsia="Calibri" w:hAnsi="Tahoma" w:cs="Tahoma"/>
          <w:sz w:val="24"/>
          <w:szCs w:val="24"/>
        </w:rPr>
        <w:t xml:space="preserve">Gradul de realizare a programului de 101,8 % (+1,9 miliarde lei, din care +1,3 miliarde lei reprezintă efectul pozitiv al măsurii instituite prin Legea nr. 296/2023 de modificare a plafonului stabilit la plata CASS pentru veniturile obținute de persoanelor fizice ce se prezintă în Declarația unică). </w:t>
      </w:r>
    </w:p>
    <w:p w:rsidR="00344067" w:rsidRPr="003164CE" w:rsidRDefault="00344067" w:rsidP="00344067">
      <w:pPr>
        <w:autoSpaceDE w:val="0"/>
        <w:autoSpaceDN w:val="0"/>
        <w:adjustRightInd w:val="0"/>
        <w:spacing w:line="276" w:lineRule="auto"/>
        <w:ind w:firstLine="0"/>
        <w:rPr>
          <w:rFonts w:ascii="Tahoma" w:eastAsia="Calibri" w:hAnsi="Tahoma" w:cs="Tahoma"/>
          <w:sz w:val="24"/>
          <w:szCs w:val="24"/>
        </w:rPr>
      </w:pPr>
      <w:r w:rsidRPr="003164CE">
        <w:rPr>
          <w:rFonts w:ascii="Tahoma" w:eastAsia="Calibri" w:hAnsi="Tahoma" w:cs="Tahoma"/>
          <w:sz w:val="24"/>
          <w:szCs w:val="24"/>
        </w:rPr>
        <w:lastRenderedPageBreak/>
        <w:t xml:space="preserve">Evoluția încasărilor din contribuții sociale în perioada analizată a fost influențată de modificarea reglementărilor privind: </w:t>
      </w:r>
      <w:r w:rsidRPr="003164CE">
        <w:rPr>
          <w:rFonts w:ascii="Tahoma" w:eastAsia="Calibri" w:hAnsi="Tahoma" w:cs="Tahoma"/>
          <w:bCs/>
          <w:sz w:val="24"/>
          <w:szCs w:val="24"/>
        </w:rPr>
        <w:t>majo</w:t>
      </w:r>
      <w:r w:rsidR="00B45CD2" w:rsidRPr="003164CE">
        <w:rPr>
          <w:rFonts w:ascii="Tahoma" w:eastAsia="Calibri" w:hAnsi="Tahoma" w:cs="Tahoma"/>
          <w:bCs/>
          <w:sz w:val="24"/>
          <w:szCs w:val="24"/>
        </w:rPr>
        <w:t>r</w:t>
      </w:r>
      <w:r w:rsidRPr="003164CE">
        <w:rPr>
          <w:rFonts w:ascii="Tahoma" w:eastAsia="Calibri" w:hAnsi="Tahoma" w:cs="Tahoma"/>
          <w:bCs/>
          <w:sz w:val="24"/>
          <w:szCs w:val="24"/>
        </w:rPr>
        <w:t>area salariului minim brut pe țară garantat în plată (H.G. nr. 1506/2024), restituirea sumelor reținute cu titlu de CASS din veniturile din pensii, în cuantum de 0,14 miliarde lei, în perioada ianuarie-februarie 2024 (O.U.G. nr.4/2023) precum și de majorarea sumei ne</w:t>
      </w:r>
      <w:r w:rsidRPr="003164CE">
        <w:rPr>
          <w:rFonts w:ascii="Tahoma" w:eastAsia="Calibri" w:hAnsi="Tahoma" w:cs="Tahoma"/>
          <w:sz w:val="24"/>
          <w:szCs w:val="24"/>
        </w:rPr>
        <w:t xml:space="preserve">cuprinse în baza lunară de calcul pentru </w:t>
      </w:r>
      <w:r w:rsidR="008343ED" w:rsidRPr="003164CE">
        <w:rPr>
          <w:rFonts w:ascii="Tahoma" w:eastAsia="Calibri" w:hAnsi="Tahoma" w:cs="Tahoma"/>
          <w:sz w:val="24"/>
          <w:szCs w:val="24"/>
        </w:rPr>
        <w:t>contribuțiile</w:t>
      </w:r>
      <w:r w:rsidRPr="003164CE">
        <w:rPr>
          <w:rFonts w:ascii="Tahoma" w:eastAsia="Calibri" w:hAnsi="Tahoma" w:cs="Tahoma"/>
          <w:sz w:val="24"/>
          <w:szCs w:val="24"/>
        </w:rPr>
        <w:t xml:space="preserve"> sociale obligatorii de la 200 lei la 300 lei (O.U.G nr. 156/2024).</w:t>
      </w:r>
    </w:p>
    <w:p w:rsidR="00344067" w:rsidRPr="003164CE" w:rsidRDefault="00344067" w:rsidP="00344067">
      <w:pPr>
        <w:autoSpaceDE w:val="0"/>
        <w:autoSpaceDN w:val="0"/>
        <w:adjustRightInd w:val="0"/>
        <w:spacing w:line="276" w:lineRule="auto"/>
        <w:ind w:firstLine="0"/>
        <w:rPr>
          <w:rFonts w:ascii="Tahoma" w:eastAsia="Calibri" w:hAnsi="Tahoma" w:cs="Tahoma"/>
          <w:sz w:val="24"/>
          <w:szCs w:val="24"/>
        </w:rPr>
      </w:pPr>
      <w:r w:rsidRPr="003164CE">
        <w:rPr>
          <w:rFonts w:ascii="Tahoma" w:eastAsia="Calibri" w:hAnsi="Tahoma" w:cs="Tahoma"/>
          <w:sz w:val="24"/>
          <w:szCs w:val="24"/>
        </w:rPr>
        <w:t xml:space="preserve">Pe bugete, gradul de realizare a programului de încasări, se prezintă astfel: bugetul asigurărilor pentru șomaj (116,2%), bugetul fondului național unic de asigurări sociale de sănătate (103,9%), bugetul asigurărilor sociale de stat (101,3%) și bugetul de stat (95,8%). </w:t>
      </w:r>
    </w:p>
    <w:p w:rsidR="00344067" w:rsidRPr="003164CE" w:rsidRDefault="00344067" w:rsidP="00344067">
      <w:pPr>
        <w:autoSpaceDE w:val="0"/>
        <w:autoSpaceDN w:val="0"/>
        <w:adjustRightInd w:val="0"/>
        <w:spacing w:line="276" w:lineRule="auto"/>
        <w:ind w:firstLine="0"/>
        <w:rPr>
          <w:rFonts w:ascii="Tahoma" w:eastAsia="Calibri" w:hAnsi="Tahoma" w:cs="Tahoma"/>
          <w:sz w:val="24"/>
          <w:szCs w:val="24"/>
        </w:rPr>
      </w:pPr>
      <w:r w:rsidRPr="003164CE">
        <w:rPr>
          <w:rFonts w:ascii="Tahoma" w:eastAsia="Calibri" w:hAnsi="Tahoma" w:cs="Tahoma"/>
          <w:sz w:val="24"/>
          <w:szCs w:val="24"/>
        </w:rPr>
        <w:t>Comparativ cu aceeași perioadă a anului precedent, evoluția veniturilor din contribuții sociale, pe bugete componente, se prezintă astfel: bugetul asigurărilor pentru șomaj (+31,9%, creștere datorată modificării cotelor de distribuire a contribuției asiguratorii pentru muncă, până la data intrării în vigoare a legii bugetului de stat pe anul 2025, respectiv 20% față de 17% în anul 2023 pentru cota care se face venit la Bugetul asigurărilor de șomaj și 15% față de 12% pentru cota care se face venit la Fondul de garantare pentru plata creanțelor salariale), bugetul Fondului național unic de asigurări sociale de sănătate (+14,5%), bugetul de stat (+12,5%) și bugetul asigurărilor sociale de stat (+9,4%).</w:t>
      </w:r>
    </w:p>
    <w:p w:rsidR="00962D51" w:rsidRPr="003164CE" w:rsidRDefault="004D6D76" w:rsidP="00344067">
      <w:pPr>
        <w:autoSpaceDE w:val="0"/>
        <w:autoSpaceDN w:val="0"/>
        <w:adjustRightInd w:val="0"/>
        <w:spacing w:line="276" w:lineRule="auto"/>
        <w:ind w:firstLine="0"/>
        <w:rPr>
          <w:rFonts w:ascii="Tahoma" w:hAnsi="Tahoma" w:cs="Tahoma"/>
          <w:sz w:val="24"/>
          <w:szCs w:val="24"/>
        </w:rPr>
      </w:pPr>
      <w:r w:rsidRPr="003164CE">
        <w:rPr>
          <w:rFonts w:ascii="Tahoma" w:hAnsi="Tahoma" w:cs="Tahoma"/>
          <w:b/>
          <w:bCs/>
          <w:sz w:val="24"/>
          <w:szCs w:val="24"/>
        </w:rPr>
        <w:t xml:space="preserve">Veniturile nefiscale </w:t>
      </w:r>
      <w:r w:rsidRPr="003164CE">
        <w:rPr>
          <w:rFonts w:ascii="Tahoma" w:hAnsi="Tahoma" w:cs="Tahoma"/>
          <w:sz w:val="24"/>
          <w:szCs w:val="24"/>
        </w:rPr>
        <w:t>încasate în primul semestru al anului 20</w:t>
      </w:r>
      <w:r w:rsidR="00B623BF" w:rsidRPr="003164CE">
        <w:rPr>
          <w:rFonts w:ascii="Tahoma" w:hAnsi="Tahoma" w:cs="Tahoma"/>
          <w:sz w:val="24"/>
          <w:szCs w:val="24"/>
        </w:rPr>
        <w:t>2</w:t>
      </w:r>
      <w:r w:rsidR="00B45CD2" w:rsidRPr="003164CE">
        <w:rPr>
          <w:rFonts w:ascii="Tahoma" w:hAnsi="Tahoma" w:cs="Tahoma"/>
          <w:sz w:val="24"/>
          <w:szCs w:val="24"/>
        </w:rPr>
        <w:t>5</w:t>
      </w:r>
      <w:r w:rsidRPr="003164CE">
        <w:rPr>
          <w:rFonts w:ascii="Tahoma" w:hAnsi="Tahoma" w:cs="Tahoma"/>
          <w:sz w:val="24"/>
          <w:szCs w:val="24"/>
        </w:rPr>
        <w:t xml:space="preserve"> au totalizat </w:t>
      </w:r>
      <w:r w:rsidR="00B45CD2" w:rsidRPr="003164CE">
        <w:rPr>
          <w:rFonts w:ascii="Tahoma" w:hAnsi="Tahoma" w:cs="Tahoma"/>
          <w:sz w:val="24"/>
          <w:szCs w:val="24"/>
        </w:rPr>
        <w:t>28,68</w:t>
      </w:r>
      <w:r w:rsidR="00A35B54" w:rsidRPr="003164CE">
        <w:rPr>
          <w:rFonts w:ascii="Tahoma" w:hAnsi="Tahoma" w:cs="Tahoma"/>
          <w:sz w:val="24"/>
          <w:szCs w:val="24"/>
        </w:rPr>
        <w:t xml:space="preserve"> miliarde</w:t>
      </w:r>
      <w:r w:rsidRPr="003164CE">
        <w:rPr>
          <w:rFonts w:ascii="Tahoma" w:hAnsi="Tahoma" w:cs="Tahoma"/>
          <w:sz w:val="24"/>
          <w:szCs w:val="24"/>
        </w:rPr>
        <w:t xml:space="preserve"> </w:t>
      </w:r>
      <w:r w:rsidR="003A634F" w:rsidRPr="003164CE">
        <w:rPr>
          <w:rFonts w:ascii="Tahoma" w:hAnsi="Tahoma" w:cs="Tahoma"/>
          <w:sz w:val="24"/>
          <w:szCs w:val="24"/>
        </w:rPr>
        <w:t>lei</w:t>
      </w:r>
      <w:r w:rsidRPr="003164CE">
        <w:rPr>
          <w:rFonts w:ascii="Tahoma" w:hAnsi="Tahoma" w:cs="Tahoma"/>
          <w:sz w:val="24"/>
          <w:szCs w:val="24"/>
        </w:rPr>
        <w:t xml:space="preserve"> (1,</w:t>
      </w:r>
      <w:r w:rsidR="002550E8" w:rsidRPr="003164CE">
        <w:rPr>
          <w:rFonts w:ascii="Tahoma" w:hAnsi="Tahoma" w:cs="Tahoma"/>
          <w:sz w:val="24"/>
          <w:szCs w:val="24"/>
        </w:rPr>
        <w:t>5</w:t>
      </w:r>
      <w:r w:rsidRPr="003164CE">
        <w:rPr>
          <w:rFonts w:ascii="Tahoma" w:hAnsi="Tahoma" w:cs="Tahoma"/>
          <w:sz w:val="24"/>
          <w:szCs w:val="24"/>
        </w:rPr>
        <w:t xml:space="preserve">% din PIB), </w:t>
      </w:r>
      <w:r w:rsidR="004D0ED6" w:rsidRPr="003164CE">
        <w:rPr>
          <w:rFonts w:ascii="Tahoma" w:hAnsi="Tahoma" w:cs="Tahoma"/>
          <w:sz w:val="24"/>
          <w:szCs w:val="24"/>
        </w:rPr>
        <w:t xml:space="preserve">cu </w:t>
      </w:r>
      <w:r w:rsidR="00B45CD2" w:rsidRPr="003164CE">
        <w:rPr>
          <w:rFonts w:ascii="Tahoma" w:hAnsi="Tahoma" w:cs="Tahoma"/>
          <w:sz w:val="24"/>
          <w:szCs w:val="24"/>
        </w:rPr>
        <w:t>7,7</w:t>
      </w:r>
      <w:r w:rsidR="004D0ED6" w:rsidRPr="003164CE">
        <w:rPr>
          <w:rFonts w:ascii="Tahoma" w:hAnsi="Tahoma" w:cs="Tahoma"/>
          <w:sz w:val="24"/>
          <w:szCs w:val="24"/>
        </w:rPr>
        <w:t>% mai mari comparativ cu încasările semestrul I 202</w:t>
      </w:r>
      <w:r w:rsidR="00B45CD2" w:rsidRPr="003164CE">
        <w:rPr>
          <w:rFonts w:ascii="Tahoma" w:hAnsi="Tahoma" w:cs="Tahoma"/>
          <w:sz w:val="24"/>
          <w:szCs w:val="24"/>
        </w:rPr>
        <w:t>4</w:t>
      </w:r>
      <w:r w:rsidR="004D0ED6" w:rsidRPr="003164CE">
        <w:rPr>
          <w:rFonts w:ascii="Tahoma" w:hAnsi="Tahoma" w:cs="Tahoma"/>
          <w:sz w:val="24"/>
          <w:szCs w:val="24"/>
        </w:rPr>
        <w:t xml:space="preserve">, gradul de realizare al programului fiind de </w:t>
      </w:r>
      <w:r w:rsidR="00B45CD2" w:rsidRPr="003164CE">
        <w:rPr>
          <w:rFonts w:ascii="Tahoma" w:hAnsi="Tahoma" w:cs="Tahoma"/>
          <w:sz w:val="24"/>
          <w:szCs w:val="24"/>
        </w:rPr>
        <w:t>93,3</w:t>
      </w:r>
      <w:r w:rsidR="004D0ED6" w:rsidRPr="003164CE">
        <w:rPr>
          <w:rFonts w:ascii="Tahoma" w:hAnsi="Tahoma" w:cs="Tahoma"/>
          <w:sz w:val="24"/>
          <w:szCs w:val="24"/>
        </w:rPr>
        <w:t>%.</w:t>
      </w:r>
    </w:p>
    <w:p w:rsidR="00223A3D" w:rsidRPr="003164CE" w:rsidRDefault="004912D2" w:rsidP="00962D51">
      <w:pPr>
        <w:autoSpaceDE w:val="0"/>
        <w:autoSpaceDN w:val="0"/>
        <w:adjustRightInd w:val="0"/>
        <w:spacing w:line="276" w:lineRule="auto"/>
        <w:ind w:firstLine="0"/>
        <w:rPr>
          <w:rFonts w:ascii="Tahoma" w:hAnsi="Tahoma" w:cs="Tahoma"/>
          <w:bCs/>
          <w:sz w:val="24"/>
          <w:szCs w:val="24"/>
        </w:rPr>
      </w:pPr>
      <w:r w:rsidRPr="003164CE">
        <w:rPr>
          <w:rFonts w:ascii="Tahoma" w:hAnsi="Tahoma" w:cs="Tahoma"/>
          <w:sz w:val="24"/>
          <w:szCs w:val="24"/>
        </w:rPr>
        <w:t xml:space="preserve">Sporul de încasări înregistrat s-a datorat în principal evoluției încasărilor la bugetul de stat care </w:t>
      </w:r>
      <w:r w:rsidRPr="003164CE">
        <w:rPr>
          <w:rFonts w:ascii="Tahoma" w:hAnsi="Tahoma" w:cs="Tahoma"/>
          <w:bCs/>
          <w:sz w:val="24"/>
          <w:szCs w:val="24"/>
        </w:rPr>
        <w:t>înregistrează o creștere semnificativă de +</w:t>
      </w:r>
      <w:r w:rsidR="009228A3" w:rsidRPr="003164CE">
        <w:rPr>
          <w:rFonts w:ascii="Tahoma" w:hAnsi="Tahoma" w:cs="Tahoma"/>
          <w:bCs/>
          <w:sz w:val="24"/>
          <w:szCs w:val="24"/>
        </w:rPr>
        <w:t>1</w:t>
      </w:r>
      <w:r w:rsidRPr="003164CE">
        <w:rPr>
          <w:rFonts w:ascii="Tahoma" w:hAnsi="Tahoma" w:cs="Tahoma"/>
          <w:bCs/>
          <w:sz w:val="24"/>
          <w:szCs w:val="24"/>
        </w:rPr>
        <w:t>,</w:t>
      </w:r>
      <w:r w:rsidR="00B45CD2" w:rsidRPr="003164CE">
        <w:rPr>
          <w:rFonts w:ascii="Tahoma" w:hAnsi="Tahoma" w:cs="Tahoma"/>
          <w:bCs/>
          <w:sz w:val="24"/>
          <w:szCs w:val="24"/>
        </w:rPr>
        <w:t>8</w:t>
      </w:r>
      <w:r w:rsidRPr="003164CE">
        <w:rPr>
          <w:rFonts w:ascii="Tahoma" w:hAnsi="Tahoma" w:cs="Tahoma"/>
          <w:bCs/>
          <w:sz w:val="24"/>
          <w:szCs w:val="24"/>
        </w:rPr>
        <w:t xml:space="preserve"> miliarde </w:t>
      </w:r>
      <w:r w:rsidR="003A634F" w:rsidRPr="003164CE">
        <w:rPr>
          <w:rFonts w:ascii="Tahoma" w:hAnsi="Tahoma" w:cs="Tahoma"/>
          <w:bCs/>
          <w:sz w:val="24"/>
          <w:szCs w:val="24"/>
        </w:rPr>
        <w:t>lei</w:t>
      </w:r>
      <w:r w:rsidR="003333EE" w:rsidRPr="003164CE">
        <w:rPr>
          <w:rFonts w:ascii="Tahoma" w:hAnsi="Tahoma" w:cs="Tahoma"/>
          <w:bCs/>
          <w:sz w:val="24"/>
          <w:szCs w:val="24"/>
        </w:rPr>
        <w:t>(+</w:t>
      </w:r>
      <w:r w:rsidR="00223A3D" w:rsidRPr="003164CE">
        <w:rPr>
          <w:rFonts w:ascii="Tahoma" w:hAnsi="Tahoma" w:cs="Tahoma"/>
          <w:bCs/>
          <w:sz w:val="24"/>
          <w:szCs w:val="24"/>
        </w:rPr>
        <w:t>9,3</w:t>
      </w:r>
      <w:r w:rsidR="003333EE" w:rsidRPr="003164CE">
        <w:rPr>
          <w:rFonts w:ascii="Tahoma" w:hAnsi="Tahoma" w:cs="Tahoma"/>
          <w:bCs/>
          <w:sz w:val="24"/>
          <w:szCs w:val="24"/>
        </w:rPr>
        <w:t>%)</w:t>
      </w:r>
      <w:r w:rsidRPr="003164CE">
        <w:rPr>
          <w:rFonts w:ascii="Tahoma" w:hAnsi="Tahoma" w:cs="Tahoma"/>
          <w:bCs/>
          <w:sz w:val="24"/>
          <w:szCs w:val="24"/>
        </w:rPr>
        <w:t>, comparativ cu acee</w:t>
      </w:r>
      <w:r w:rsidR="003333EE" w:rsidRPr="003164CE">
        <w:rPr>
          <w:rFonts w:ascii="Tahoma" w:hAnsi="Tahoma" w:cs="Tahoma"/>
          <w:bCs/>
          <w:sz w:val="24"/>
          <w:szCs w:val="24"/>
        </w:rPr>
        <w:t>ași perioadă a anului precedent</w:t>
      </w:r>
      <w:r w:rsidR="00223A3D" w:rsidRPr="003164CE">
        <w:rPr>
          <w:rFonts w:ascii="Tahoma" w:hAnsi="Tahoma" w:cs="Tahoma"/>
          <w:bCs/>
          <w:sz w:val="24"/>
          <w:szCs w:val="24"/>
        </w:rPr>
        <w:t xml:space="preserve"> pe fondul evoluției </w:t>
      </w:r>
      <w:r w:rsidR="00B45CD2" w:rsidRPr="003164CE">
        <w:rPr>
          <w:rFonts w:ascii="Tahoma" w:hAnsi="Tahoma" w:cs="Tahoma"/>
          <w:bCs/>
          <w:sz w:val="24"/>
          <w:szCs w:val="24"/>
        </w:rPr>
        <w:t>veniturilor din ajutoare de sat recuperate</w:t>
      </w:r>
      <w:r w:rsidR="00223A3D" w:rsidRPr="003164CE">
        <w:rPr>
          <w:rFonts w:ascii="Tahoma" w:hAnsi="Tahoma" w:cs="Tahoma"/>
          <w:bCs/>
          <w:sz w:val="24"/>
          <w:szCs w:val="24"/>
        </w:rPr>
        <w:t xml:space="preserve"> și la bugetul activităților și instituții</w:t>
      </w:r>
      <w:r w:rsidR="006352C3" w:rsidRPr="003164CE">
        <w:rPr>
          <w:rFonts w:ascii="Tahoma" w:hAnsi="Tahoma" w:cs="Tahoma"/>
          <w:bCs/>
          <w:sz w:val="24"/>
          <w:szCs w:val="24"/>
        </w:rPr>
        <w:t>l</w:t>
      </w:r>
      <w:r w:rsidR="00223A3D" w:rsidRPr="003164CE">
        <w:rPr>
          <w:rFonts w:ascii="Tahoma" w:hAnsi="Tahoma" w:cs="Tahoma"/>
          <w:bCs/>
          <w:sz w:val="24"/>
          <w:szCs w:val="24"/>
        </w:rPr>
        <w:t xml:space="preserve">or finanțate integral sau </w:t>
      </w:r>
      <w:r w:rsidR="008343ED" w:rsidRPr="003164CE">
        <w:rPr>
          <w:rFonts w:ascii="Tahoma" w:hAnsi="Tahoma" w:cs="Tahoma"/>
          <w:bCs/>
          <w:sz w:val="24"/>
          <w:szCs w:val="24"/>
        </w:rPr>
        <w:t>parțial</w:t>
      </w:r>
      <w:r w:rsidR="00223A3D" w:rsidRPr="003164CE">
        <w:rPr>
          <w:rFonts w:ascii="Tahoma" w:hAnsi="Tahoma" w:cs="Tahoma"/>
          <w:bCs/>
          <w:sz w:val="24"/>
          <w:szCs w:val="24"/>
        </w:rPr>
        <w:t xml:space="preserve"> din venituri proprii unde creșterea a fost de </w:t>
      </w:r>
      <w:r w:rsidR="00B45CD2" w:rsidRPr="003164CE">
        <w:rPr>
          <w:rFonts w:ascii="Tahoma" w:hAnsi="Tahoma" w:cs="Tahoma"/>
          <w:bCs/>
          <w:sz w:val="24"/>
          <w:szCs w:val="24"/>
        </w:rPr>
        <w:t>1,1</w:t>
      </w:r>
      <w:r w:rsidR="00223A3D" w:rsidRPr="003164CE">
        <w:rPr>
          <w:rFonts w:ascii="Tahoma" w:hAnsi="Tahoma" w:cs="Tahoma"/>
          <w:bCs/>
          <w:sz w:val="24"/>
          <w:szCs w:val="24"/>
        </w:rPr>
        <w:t xml:space="preserve"> miliarde lei (+</w:t>
      </w:r>
      <w:r w:rsidR="00B45CD2" w:rsidRPr="003164CE">
        <w:rPr>
          <w:rFonts w:ascii="Tahoma" w:hAnsi="Tahoma" w:cs="Tahoma"/>
          <w:bCs/>
          <w:sz w:val="24"/>
          <w:szCs w:val="24"/>
        </w:rPr>
        <w:t>10,6%).</w:t>
      </w:r>
    </w:p>
    <w:p w:rsidR="004D6D76" w:rsidRPr="008343ED" w:rsidRDefault="004D6D76" w:rsidP="008343ED">
      <w:pPr>
        <w:suppressAutoHyphens/>
        <w:autoSpaceDE w:val="0"/>
        <w:autoSpaceDN w:val="0"/>
        <w:adjustRightInd w:val="0"/>
        <w:spacing w:after="120" w:line="276" w:lineRule="auto"/>
        <w:ind w:firstLine="0"/>
        <w:rPr>
          <w:rFonts w:ascii="Tahoma" w:hAnsi="Tahoma" w:cs="Tahoma"/>
          <w:sz w:val="24"/>
          <w:szCs w:val="24"/>
        </w:rPr>
      </w:pPr>
      <w:r w:rsidRPr="008343ED">
        <w:rPr>
          <w:rFonts w:ascii="Tahoma" w:hAnsi="Tahoma" w:cs="Tahoma"/>
          <w:sz w:val="24"/>
          <w:szCs w:val="24"/>
        </w:rPr>
        <w:t>Sumele rambursate de Uniunea Europeană în contul plăților efectuate</w:t>
      </w:r>
      <w:r w:rsidR="0063517C" w:rsidRPr="008343ED">
        <w:rPr>
          <w:rFonts w:ascii="Tahoma" w:hAnsi="Tahoma" w:cs="Tahoma"/>
          <w:sz w:val="24"/>
          <w:szCs w:val="24"/>
        </w:rPr>
        <w:t>,</w:t>
      </w:r>
      <w:r w:rsidRPr="008343ED">
        <w:rPr>
          <w:rFonts w:ascii="Tahoma" w:hAnsi="Tahoma" w:cs="Tahoma"/>
          <w:sz w:val="24"/>
          <w:szCs w:val="24"/>
        </w:rPr>
        <w:t xml:space="preserve"> donații </w:t>
      </w:r>
      <w:r w:rsidR="0063517C" w:rsidRPr="008343ED">
        <w:rPr>
          <w:rFonts w:ascii="Tahoma" w:hAnsi="Tahoma" w:cs="Tahoma"/>
          <w:sz w:val="24"/>
          <w:szCs w:val="24"/>
        </w:rPr>
        <w:t xml:space="preserve">și </w:t>
      </w:r>
      <w:r w:rsidR="0063517C" w:rsidRPr="008343ED">
        <w:rPr>
          <w:rFonts w:ascii="Tahoma" w:eastAsia="Times New Roman" w:hAnsi="Tahoma" w:cs="Tahoma"/>
          <w:bCs/>
          <w:sz w:val="24"/>
          <w:szCs w:val="24"/>
        </w:rPr>
        <w:t xml:space="preserve">sume aferente asistentei financiare nerambursabile alocate pentru PNRR </w:t>
      </w:r>
      <w:r w:rsidRPr="008343ED">
        <w:rPr>
          <w:rFonts w:ascii="Tahoma" w:hAnsi="Tahoma" w:cs="Tahoma"/>
          <w:sz w:val="24"/>
          <w:szCs w:val="24"/>
        </w:rPr>
        <w:t xml:space="preserve">au totalizat </w:t>
      </w:r>
      <w:r w:rsidR="006A0A3F" w:rsidRPr="008343ED">
        <w:rPr>
          <w:rFonts w:ascii="Tahoma" w:hAnsi="Tahoma" w:cs="Tahoma"/>
          <w:bCs/>
          <w:sz w:val="24"/>
          <w:szCs w:val="24"/>
        </w:rPr>
        <w:t>25,07</w:t>
      </w:r>
      <w:r w:rsidR="00364FD9" w:rsidRPr="008343ED">
        <w:rPr>
          <w:rFonts w:ascii="Tahoma" w:hAnsi="Tahoma" w:cs="Tahoma"/>
          <w:bCs/>
          <w:sz w:val="24"/>
          <w:szCs w:val="24"/>
        </w:rPr>
        <w:t xml:space="preserve"> miliarde</w:t>
      </w:r>
      <w:r w:rsidRPr="008343ED">
        <w:rPr>
          <w:rFonts w:ascii="Tahoma" w:hAnsi="Tahoma" w:cs="Tahoma"/>
          <w:sz w:val="24"/>
          <w:szCs w:val="24"/>
        </w:rPr>
        <w:t xml:space="preserve"> </w:t>
      </w:r>
      <w:r w:rsidR="003A634F" w:rsidRPr="008343ED">
        <w:rPr>
          <w:rFonts w:ascii="Tahoma" w:hAnsi="Tahoma" w:cs="Tahoma"/>
          <w:sz w:val="24"/>
          <w:szCs w:val="24"/>
        </w:rPr>
        <w:t>lei</w:t>
      </w:r>
      <w:r w:rsidRPr="008343ED">
        <w:rPr>
          <w:rFonts w:ascii="Tahoma" w:hAnsi="Tahoma" w:cs="Tahoma"/>
          <w:sz w:val="24"/>
          <w:szCs w:val="24"/>
        </w:rPr>
        <w:t xml:space="preserve"> (</w:t>
      </w:r>
      <w:r w:rsidR="00364FD9" w:rsidRPr="008343ED">
        <w:rPr>
          <w:rFonts w:ascii="Tahoma" w:hAnsi="Tahoma" w:cs="Tahoma"/>
          <w:sz w:val="24"/>
          <w:szCs w:val="24"/>
        </w:rPr>
        <w:t>1,</w:t>
      </w:r>
      <w:r w:rsidR="006A0A3F" w:rsidRPr="008343ED">
        <w:rPr>
          <w:rFonts w:ascii="Tahoma" w:hAnsi="Tahoma" w:cs="Tahoma"/>
          <w:sz w:val="24"/>
          <w:szCs w:val="24"/>
        </w:rPr>
        <w:t>32</w:t>
      </w:r>
      <w:r w:rsidRPr="008343ED">
        <w:rPr>
          <w:rFonts w:ascii="Tahoma" w:hAnsi="Tahoma" w:cs="Tahoma"/>
          <w:sz w:val="24"/>
          <w:szCs w:val="24"/>
        </w:rPr>
        <w:t xml:space="preserve">% din PIB), cu </w:t>
      </w:r>
      <w:r w:rsidR="006A0A3F" w:rsidRPr="008343ED">
        <w:rPr>
          <w:rFonts w:ascii="Tahoma" w:hAnsi="Tahoma" w:cs="Tahoma"/>
          <w:sz w:val="24"/>
          <w:szCs w:val="24"/>
        </w:rPr>
        <w:t>30,9</w:t>
      </w:r>
      <w:r w:rsidRPr="008343ED">
        <w:rPr>
          <w:rFonts w:ascii="Tahoma" w:hAnsi="Tahoma" w:cs="Tahoma"/>
          <w:sz w:val="24"/>
          <w:szCs w:val="24"/>
        </w:rPr>
        <w:t xml:space="preserve">% mai </w:t>
      </w:r>
      <w:r w:rsidR="006A0A3F" w:rsidRPr="008343ED">
        <w:rPr>
          <w:rFonts w:ascii="Tahoma" w:hAnsi="Tahoma" w:cs="Tahoma"/>
          <w:sz w:val="24"/>
          <w:szCs w:val="24"/>
        </w:rPr>
        <w:t>mari</w:t>
      </w:r>
      <w:r w:rsidR="00D21E92" w:rsidRPr="008343ED">
        <w:rPr>
          <w:rFonts w:ascii="Tahoma" w:hAnsi="Tahoma" w:cs="Tahoma"/>
          <w:sz w:val="24"/>
          <w:szCs w:val="24"/>
        </w:rPr>
        <w:t xml:space="preserve"> </w:t>
      </w:r>
      <w:r w:rsidRPr="008343ED">
        <w:rPr>
          <w:rFonts w:ascii="Tahoma" w:hAnsi="Tahoma" w:cs="Tahoma"/>
          <w:sz w:val="24"/>
          <w:szCs w:val="24"/>
        </w:rPr>
        <w:t>comparativ cu semestrul I 20</w:t>
      </w:r>
      <w:r w:rsidR="00364FD9" w:rsidRPr="008343ED">
        <w:rPr>
          <w:rFonts w:ascii="Tahoma" w:hAnsi="Tahoma" w:cs="Tahoma"/>
          <w:sz w:val="24"/>
          <w:szCs w:val="24"/>
        </w:rPr>
        <w:t>2</w:t>
      </w:r>
      <w:r w:rsidR="006A0A3F" w:rsidRPr="008343ED">
        <w:rPr>
          <w:rFonts w:ascii="Tahoma" w:hAnsi="Tahoma" w:cs="Tahoma"/>
          <w:sz w:val="24"/>
          <w:szCs w:val="24"/>
        </w:rPr>
        <w:t>4</w:t>
      </w:r>
      <w:r w:rsidRPr="008343ED">
        <w:rPr>
          <w:rFonts w:ascii="Tahoma" w:hAnsi="Tahoma" w:cs="Tahoma"/>
          <w:sz w:val="24"/>
          <w:szCs w:val="24"/>
        </w:rPr>
        <w:t xml:space="preserve">. </w:t>
      </w:r>
    </w:p>
    <w:p w:rsidR="00262BE1" w:rsidRPr="003164CE" w:rsidRDefault="008343ED" w:rsidP="008343ED">
      <w:pPr>
        <w:spacing w:after="120" w:line="276" w:lineRule="auto"/>
        <w:ind w:right="-57" w:firstLine="0"/>
        <w:rPr>
          <w:rFonts w:ascii="Tahoma" w:hAnsi="Tahoma" w:cs="Tahoma"/>
          <w:sz w:val="24"/>
          <w:szCs w:val="24"/>
        </w:rPr>
      </w:pPr>
      <w:r w:rsidRPr="008343ED">
        <w:rPr>
          <w:rFonts w:ascii="Tahoma" w:hAnsi="Tahoma" w:cs="Tahoma"/>
          <w:b/>
          <w:bCs/>
          <w:sz w:val="24"/>
          <w:szCs w:val="24"/>
        </w:rPr>
        <w:t>Sumele</w:t>
      </w:r>
      <w:r w:rsidR="0063517C" w:rsidRPr="008343ED">
        <w:rPr>
          <w:rFonts w:ascii="Tahoma" w:hAnsi="Tahoma" w:cs="Tahoma"/>
          <w:b/>
          <w:sz w:val="24"/>
          <w:szCs w:val="24"/>
        </w:rPr>
        <w:t xml:space="preserve"> rambursate de Uniunea Europeană în contul plăților efectuate, donații și </w:t>
      </w:r>
      <w:r w:rsidR="0063517C" w:rsidRPr="008343ED">
        <w:rPr>
          <w:rFonts w:ascii="Tahoma" w:eastAsia="Times New Roman" w:hAnsi="Tahoma" w:cs="Tahoma"/>
          <w:b/>
          <w:bCs/>
          <w:sz w:val="24"/>
          <w:szCs w:val="24"/>
        </w:rPr>
        <w:t>sume aferente asistentei financiare nerambursabile alocate pentru PNRR</w:t>
      </w:r>
      <w:r w:rsidR="006F7F65" w:rsidRPr="003164CE">
        <w:rPr>
          <w:rFonts w:ascii="Tahoma" w:hAnsi="Tahoma" w:cs="Tahoma"/>
          <w:sz w:val="24"/>
          <w:szCs w:val="24"/>
        </w:rPr>
        <w:t xml:space="preserve"> </w:t>
      </w:r>
      <w:r w:rsidR="00262BE1" w:rsidRPr="003164CE">
        <w:rPr>
          <w:rFonts w:ascii="Tahoma" w:hAnsi="Tahoma" w:cs="Tahoma"/>
          <w:sz w:val="24"/>
          <w:szCs w:val="24"/>
        </w:rPr>
        <w:t xml:space="preserve">au </w:t>
      </w:r>
      <w:r w:rsidR="006A0A3F" w:rsidRPr="003164CE">
        <w:rPr>
          <w:rFonts w:ascii="Tahoma" w:hAnsi="Tahoma" w:cs="Tahoma"/>
          <w:sz w:val="24"/>
          <w:szCs w:val="24"/>
        </w:rPr>
        <w:t>crescut</w:t>
      </w:r>
      <w:r w:rsidR="00262BE1" w:rsidRPr="003164CE">
        <w:rPr>
          <w:rFonts w:ascii="Tahoma" w:hAnsi="Tahoma" w:cs="Tahoma"/>
          <w:sz w:val="24"/>
          <w:szCs w:val="24"/>
        </w:rPr>
        <w:t xml:space="preserve"> cu 0,</w:t>
      </w:r>
      <w:r w:rsidR="00D21E92" w:rsidRPr="003164CE">
        <w:rPr>
          <w:rFonts w:ascii="Tahoma" w:hAnsi="Tahoma" w:cs="Tahoma"/>
          <w:sz w:val="24"/>
          <w:szCs w:val="24"/>
        </w:rPr>
        <w:t>2</w:t>
      </w:r>
      <w:r w:rsidR="006A0A3F" w:rsidRPr="003164CE">
        <w:rPr>
          <w:rFonts w:ascii="Tahoma" w:hAnsi="Tahoma" w:cs="Tahoma"/>
          <w:sz w:val="24"/>
          <w:szCs w:val="24"/>
        </w:rPr>
        <w:t>4</w:t>
      </w:r>
      <w:r w:rsidR="00262BE1" w:rsidRPr="003164CE">
        <w:rPr>
          <w:rFonts w:ascii="Tahoma" w:hAnsi="Tahoma" w:cs="Tahoma"/>
          <w:sz w:val="24"/>
          <w:szCs w:val="24"/>
        </w:rPr>
        <w:t xml:space="preserve"> puncte procentuale de la 1,</w:t>
      </w:r>
      <w:r w:rsidR="006A0A3F" w:rsidRPr="003164CE">
        <w:rPr>
          <w:rFonts w:ascii="Tahoma" w:hAnsi="Tahoma" w:cs="Tahoma"/>
          <w:sz w:val="24"/>
          <w:szCs w:val="24"/>
        </w:rPr>
        <w:t>08</w:t>
      </w:r>
      <w:r w:rsidR="00262BE1" w:rsidRPr="003164CE">
        <w:rPr>
          <w:rFonts w:ascii="Tahoma" w:hAnsi="Tahoma" w:cs="Tahoma"/>
          <w:sz w:val="24"/>
          <w:szCs w:val="24"/>
        </w:rPr>
        <w:t xml:space="preserve"> di</w:t>
      </w:r>
      <w:r w:rsidR="00CA1E5F" w:rsidRPr="003164CE">
        <w:rPr>
          <w:rFonts w:ascii="Tahoma" w:hAnsi="Tahoma" w:cs="Tahoma"/>
          <w:sz w:val="24"/>
          <w:szCs w:val="24"/>
        </w:rPr>
        <w:t>n</w:t>
      </w:r>
      <w:r w:rsidR="00262BE1" w:rsidRPr="003164CE">
        <w:rPr>
          <w:rFonts w:ascii="Tahoma" w:hAnsi="Tahoma" w:cs="Tahoma"/>
          <w:sz w:val="24"/>
          <w:szCs w:val="24"/>
        </w:rPr>
        <w:t xml:space="preserve"> PIB în semestrul I 202</w:t>
      </w:r>
      <w:r w:rsidR="006A0A3F" w:rsidRPr="003164CE">
        <w:rPr>
          <w:rFonts w:ascii="Tahoma" w:hAnsi="Tahoma" w:cs="Tahoma"/>
          <w:sz w:val="24"/>
          <w:szCs w:val="24"/>
        </w:rPr>
        <w:t>4</w:t>
      </w:r>
      <w:r w:rsidR="00262BE1" w:rsidRPr="003164CE">
        <w:rPr>
          <w:rFonts w:ascii="Tahoma" w:hAnsi="Tahoma" w:cs="Tahoma"/>
          <w:sz w:val="24"/>
          <w:szCs w:val="24"/>
        </w:rPr>
        <w:t xml:space="preserve"> la</w:t>
      </w:r>
      <w:r w:rsidR="00CA1E5F" w:rsidRPr="003164CE">
        <w:rPr>
          <w:rFonts w:ascii="Tahoma" w:hAnsi="Tahoma" w:cs="Tahoma"/>
          <w:sz w:val="24"/>
          <w:szCs w:val="24"/>
        </w:rPr>
        <w:t xml:space="preserve"> </w:t>
      </w:r>
      <w:r w:rsidR="00262BE1" w:rsidRPr="003164CE">
        <w:rPr>
          <w:rFonts w:ascii="Tahoma" w:hAnsi="Tahoma" w:cs="Tahoma"/>
          <w:sz w:val="24"/>
          <w:szCs w:val="24"/>
        </w:rPr>
        <w:t>1,</w:t>
      </w:r>
      <w:r w:rsidR="006A0A3F" w:rsidRPr="003164CE">
        <w:rPr>
          <w:rFonts w:ascii="Tahoma" w:hAnsi="Tahoma" w:cs="Tahoma"/>
          <w:sz w:val="24"/>
          <w:szCs w:val="24"/>
        </w:rPr>
        <w:t>32</w:t>
      </w:r>
      <w:r w:rsidR="00262BE1" w:rsidRPr="003164CE">
        <w:rPr>
          <w:rFonts w:ascii="Tahoma" w:hAnsi="Tahoma" w:cs="Tahoma"/>
          <w:sz w:val="24"/>
          <w:szCs w:val="24"/>
        </w:rPr>
        <w:t xml:space="preserve"> din PIB în semestrul I 202</w:t>
      </w:r>
      <w:r w:rsidR="0029117C" w:rsidRPr="003164CE">
        <w:rPr>
          <w:rFonts w:ascii="Tahoma" w:hAnsi="Tahoma" w:cs="Tahoma"/>
          <w:sz w:val="24"/>
          <w:szCs w:val="24"/>
        </w:rPr>
        <w:t>5</w:t>
      </w:r>
      <w:r w:rsidR="00262BE1" w:rsidRPr="003164CE">
        <w:rPr>
          <w:rFonts w:ascii="Tahoma" w:hAnsi="Tahoma" w:cs="Tahoma"/>
          <w:sz w:val="24"/>
          <w:szCs w:val="24"/>
        </w:rPr>
        <w:t>.</w:t>
      </w:r>
    </w:p>
    <w:p w:rsidR="00E4028B" w:rsidRPr="003164CE" w:rsidRDefault="00E4028B" w:rsidP="008343ED">
      <w:pPr>
        <w:spacing w:after="120" w:line="276" w:lineRule="auto"/>
        <w:ind w:right="-57" w:firstLine="0"/>
        <w:rPr>
          <w:rFonts w:ascii="Tahoma" w:hAnsi="Tahoma" w:cs="Tahoma"/>
          <w:sz w:val="24"/>
          <w:szCs w:val="24"/>
        </w:rPr>
      </w:pPr>
      <w:r w:rsidRPr="003164CE">
        <w:rPr>
          <w:rFonts w:ascii="Tahoma" w:hAnsi="Tahoma" w:cs="Tahoma"/>
          <w:sz w:val="24"/>
          <w:szCs w:val="24"/>
        </w:rPr>
        <w:t>Evoluția încasărilor comparativ cu semestrul I 202</w:t>
      </w:r>
      <w:r w:rsidR="006A0A3F" w:rsidRPr="003164CE">
        <w:rPr>
          <w:rFonts w:ascii="Tahoma" w:hAnsi="Tahoma" w:cs="Tahoma"/>
          <w:sz w:val="24"/>
          <w:szCs w:val="24"/>
        </w:rPr>
        <w:t>4</w:t>
      </w:r>
      <w:r w:rsidRPr="003164CE">
        <w:rPr>
          <w:rFonts w:ascii="Tahoma" w:hAnsi="Tahoma" w:cs="Tahoma"/>
          <w:sz w:val="24"/>
          <w:szCs w:val="24"/>
        </w:rPr>
        <w:t xml:space="preserve"> a fost determinată de diminuarea sumelor atrase aferente cadrului financiar 2014-2024,</w:t>
      </w:r>
      <w:r w:rsidR="006A0A3F" w:rsidRPr="003164CE">
        <w:rPr>
          <w:rFonts w:ascii="Tahoma" w:hAnsi="Tahoma" w:cs="Tahoma"/>
          <w:sz w:val="24"/>
          <w:szCs w:val="24"/>
        </w:rPr>
        <w:t xml:space="preserve"> în condițiile în care proiectele finanțate din acest cadru financiar s-au finalizat sau sunt în faza finală de execuție,</w:t>
      </w:r>
      <w:r w:rsidRPr="003164CE">
        <w:rPr>
          <w:rFonts w:ascii="Tahoma" w:hAnsi="Tahoma" w:cs="Tahoma"/>
          <w:sz w:val="24"/>
          <w:szCs w:val="24"/>
        </w:rPr>
        <w:t xml:space="preserve"> în timp ce sumele atrase aferente cadrului 2021-2027 și cele aferente asistenței financiare </w:t>
      </w:r>
      <w:r w:rsidRPr="003164CE">
        <w:rPr>
          <w:rFonts w:ascii="Tahoma" w:hAnsi="Tahoma" w:cs="Tahoma"/>
          <w:sz w:val="24"/>
          <w:szCs w:val="24"/>
        </w:rPr>
        <w:lastRenderedPageBreak/>
        <w:t xml:space="preserve">nerambursabile alocate pentru PNRR au înregistrat creșteri cu </w:t>
      </w:r>
      <w:r w:rsidR="006A0A3F" w:rsidRPr="003164CE">
        <w:rPr>
          <w:rFonts w:ascii="Tahoma" w:hAnsi="Tahoma" w:cs="Tahoma"/>
          <w:sz w:val="24"/>
          <w:szCs w:val="24"/>
        </w:rPr>
        <w:t>5,36</w:t>
      </w:r>
      <w:r w:rsidRPr="003164CE">
        <w:rPr>
          <w:rFonts w:ascii="Tahoma" w:hAnsi="Tahoma" w:cs="Tahoma"/>
          <w:sz w:val="24"/>
          <w:szCs w:val="24"/>
        </w:rPr>
        <w:t xml:space="preserve"> miliarde lei și respectiv </w:t>
      </w:r>
      <w:r w:rsidR="006A0A3F" w:rsidRPr="003164CE">
        <w:rPr>
          <w:rFonts w:ascii="Tahoma" w:hAnsi="Tahoma" w:cs="Tahoma"/>
          <w:sz w:val="24"/>
          <w:szCs w:val="24"/>
        </w:rPr>
        <w:t>3,27</w:t>
      </w:r>
      <w:r w:rsidRPr="003164CE">
        <w:rPr>
          <w:rFonts w:ascii="Tahoma" w:hAnsi="Tahoma" w:cs="Tahoma"/>
          <w:sz w:val="24"/>
          <w:szCs w:val="24"/>
        </w:rPr>
        <w:t xml:space="preserve"> miliarde lei.</w:t>
      </w:r>
    </w:p>
    <w:p w:rsidR="00262BE1" w:rsidRPr="003164CE" w:rsidRDefault="00CA1E5F" w:rsidP="006E1B94">
      <w:pPr>
        <w:spacing w:after="120" w:line="276" w:lineRule="auto"/>
        <w:ind w:right="-57" w:firstLine="0"/>
        <w:rPr>
          <w:rFonts w:ascii="Tahoma" w:hAnsi="Tahoma" w:cs="Tahoma"/>
          <w:sz w:val="24"/>
          <w:szCs w:val="24"/>
        </w:rPr>
      </w:pPr>
      <w:r w:rsidRPr="003164CE">
        <w:rPr>
          <w:rFonts w:ascii="Tahoma" w:hAnsi="Tahoma" w:cs="Tahoma"/>
          <w:sz w:val="24"/>
          <w:szCs w:val="24"/>
        </w:rPr>
        <w:t>În structură pondere</w:t>
      </w:r>
      <w:r w:rsidR="00262BE1" w:rsidRPr="003164CE">
        <w:rPr>
          <w:rFonts w:ascii="Tahoma" w:hAnsi="Tahoma" w:cs="Tahoma"/>
          <w:sz w:val="24"/>
          <w:szCs w:val="24"/>
        </w:rPr>
        <w:t xml:space="preserve">a cea mai mare în totalul sumelor rambursate de Uniunea Europeană în contul plăților efectuate, donații și </w:t>
      </w:r>
      <w:r w:rsidR="00262BE1" w:rsidRPr="003164CE">
        <w:rPr>
          <w:rFonts w:ascii="Tahoma" w:hAnsi="Tahoma" w:cs="Tahoma"/>
          <w:bCs/>
          <w:sz w:val="24"/>
          <w:szCs w:val="24"/>
        </w:rPr>
        <w:t xml:space="preserve">sume aferente asistentei financiare nerambursabile alocate pentru PNRR </w:t>
      </w:r>
      <w:r w:rsidR="00262BE1" w:rsidRPr="003164CE">
        <w:rPr>
          <w:rFonts w:ascii="Tahoma" w:hAnsi="Tahoma" w:cs="Tahoma"/>
          <w:sz w:val="24"/>
          <w:szCs w:val="24"/>
        </w:rPr>
        <w:t xml:space="preserve">o reprezintă </w:t>
      </w:r>
      <w:r w:rsidRPr="003164CE">
        <w:rPr>
          <w:rFonts w:ascii="Tahoma" w:hAnsi="Tahoma" w:cs="Tahoma"/>
          <w:sz w:val="24"/>
          <w:szCs w:val="24"/>
        </w:rPr>
        <w:t>sumele</w:t>
      </w:r>
      <w:r w:rsidR="00262BE1" w:rsidRPr="003164CE">
        <w:rPr>
          <w:rFonts w:ascii="Tahoma" w:hAnsi="Tahoma" w:cs="Tahoma"/>
          <w:sz w:val="24"/>
          <w:szCs w:val="24"/>
        </w:rPr>
        <w:t xml:space="preserve"> aferente cadrului financiar </w:t>
      </w:r>
      <w:r w:rsidR="00D21E92" w:rsidRPr="003164CE">
        <w:rPr>
          <w:rFonts w:ascii="Tahoma" w:hAnsi="Tahoma" w:cs="Tahoma"/>
          <w:sz w:val="24"/>
          <w:szCs w:val="24"/>
        </w:rPr>
        <w:t>2021-2027</w:t>
      </w:r>
      <w:r w:rsidR="00262BE1" w:rsidRPr="003164CE">
        <w:rPr>
          <w:rFonts w:ascii="Tahoma" w:hAnsi="Tahoma" w:cs="Tahoma"/>
          <w:sz w:val="24"/>
          <w:szCs w:val="24"/>
        </w:rPr>
        <w:t xml:space="preserve"> cu o pondere de </w:t>
      </w:r>
      <w:r w:rsidR="006A0A3F" w:rsidRPr="003164CE">
        <w:rPr>
          <w:rFonts w:ascii="Tahoma" w:hAnsi="Tahoma" w:cs="Tahoma"/>
          <w:sz w:val="24"/>
          <w:szCs w:val="24"/>
        </w:rPr>
        <w:t>55,8</w:t>
      </w:r>
      <w:r w:rsidR="00262BE1" w:rsidRPr="003164CE">
        <w:rPr>
          <w:rFonts w:ascii="Tahoma" w:hAnsi="Tahoma" w:cs="Tahoma"/>
          <w:sz w:val="24"/>
          <w:szCs w:val="24"/>
        </w:rPr>
        <w:t>%, urmate de</w:t>
      </w:r>
      <w:r w:rsidR="006A0A3F" w:rsidRPr="003164CE">
        <w:rPr>
          <w:rFonts w:ascii="Tahoma" w:hAnsi="Tahoma" w:cs="Tahoma"/>
          <w:sz w:val="24"/>
          <w:szCs w:val="24"/>
        </w:rPr>
        <w:t xml:space="preserve"> sumele aferente asistenței financiare nerambursabile a PNRR cu o pondere de 21,9%</w:t>
      </w:r>
      <w:r w:rsidR="00262BE1" w:rsidRPr="003164CE">
        <w:rPr>
          <w:rFonts w:ascii="Tahoma" w:hAnsi="Tahoma" w:cs="Tahoma"/>
          <w:sz w:val="24"/>
          <w:szCs w:val="24"/>
        </w:rPr>
        <w:t xml:space="preserve"> </w:t>
      </w:r>
      <w:r w:rsidR="006A0A3F" w:rsidRPr="003164CE">
        <w:rPr>
          <w:rFonts w:ascii="Tahoma" w:hAnsi="Tahoma" w:cs="Tahoma"/>
          <w:sz w:val="24"/>
          <w:szCs w:val="24"/>
        </w:rPr>
        <w:t xml:space="preserve">și de </w:t>
      </w:r>
      <w:r w:rsidR="00262BE1" w:rsidRPr="003164CE">
        <w:rPr>
          <w:rFonts w:ascii="Tahoma" w:hAnsi="Tahoma" w:cs="Tahoma"/>
          <w:sz w:val="24"/>
          <w:szCs w:val="24"/>
        </w:rPr>
        <w:t xml:space="preserve">sumele aferente cadrului financiar </w:t>
      </w:r>
      <w:r w:rsidR="00D21E92" w:rsidRPr="003164CE">
        <w:rPr>
          <w:rFonts w:ascii="Tahoma" w:hAnsi="Tahoma" w:cs="Tahoma"/>
          <w:sz w:val="24"/>
          <w:szCs w:val="24"/>
        </w:rPr>
        <w:t>2014-2020</w:t>
      </w:r>
      <w:r w:rsidR="00262BE1" w:rsidRPr="003164CE">
        <w:rPr>
          <w:rFonts w:ascii="Tahoma" w:hAnsi="Tahoma" w:cs="Tahoma"/>
          <w:sz w:val="24"/>
          <w:szCs w:val="24"/>
        </w:rPr>
        <w:t xml:space="preserve"> </w:t>
      </w:r>
      <w:r w:rsidRPr="003164CE">
        <w:rPr>
          <w:rFonts w:ascii="Tahoma" w:hAnsi="Tahoma" w:cs="Tahoma"/>
          <w:sz w:val="24"/>
          <w:szCs w:val="24"/>
        </w:rPr>
        <w:t xml:space="preserve">cu o pondere de </w:t>
      </w:r>
      <w:r w:rsidR="006A0A3F" w:rsidRPr="003164CE">
        <w:rPr>
          <w:rFonts w:ascii="Tahoma" w:hAnsi="Tahoma" w:cs="Tahoma"/>
          <w:sz w:val="24"/>
          <w:szCs w:val="24"/>
        </w:rPr>
        <w:t>21,6%</w:t>
      </w:r>
      <w:r w:rsidR="00262BE1" w:rsidRPr="003164CE">
        <w:rPr>
          <w:rFonts w:ascii="Tahoma" w:hAnsi="Tahoma" w:cs="Tahoma"/>
          <w:sz w:val="24"/>
          <w:szCs w:val="24"/>
        </w:rPr>
        <w:t>.</w:t>
      </w:r>
    </w:p>
    <w:p w:rsidR="00E4028B" w:rsidRPr="003164CE" w:rsidRDefault="00E4028B" w:rsidP="00E4028B">
      <w:pPr>
        <w:spacing w:after="120" w:line="276" w:lineRule="auto"/>
        <w:ind w:right="-57" w:firstLine="0"/>
        <w:rPr>
          <w:rFonts w:ascii="Tahoma" w:hAnsi="Tahoma" w:cs="Tahoma"/>
          <w:sz w:val="24"/>
          <w:szCs w:val="24"/>
        </w:rPr>
      </w:pPr>
      <w:r w:rsidRPr="003164CE">
        <w:rPr>
          <w:rFonts w:ascii="Tahoma" w:hAnsi="Tahoma" w:cs="Tahoma"/>
          <w:sz w:val="24"/>
          <w:szCs w:val="24"/>
        </w:rPr>
        <w:t xml:space="preserve">Gradul de realizare al programului semestrial a fost de </w:t>
      </w:r>
      <w:r w:rsidR="006A0A3F" w:rsidRPr="003164CE">
        <w:rPr>
          <w:rFonts w:ascii="Tahoma" w:hAnsi="Tahoma" w:cs="Tahoma"/>
          <w:sz w:val="24"/>
          <w:szCs w:val="24"/>
        </w:rPr>
        <w:t>51</w:t>
      </w:r>
      <w:r w:rsidRPr="003164CE">
        <w:rPr>
          <w:rFonts w:ascii="Tahoma" w:hAnsi="Tahoma" w:cs="Tahoma"/>
          <w:sz w:val="24"/>
          <w:szCs w:val="24"/>
        </w:rPr>
        <w:t xml:space="preserve">,1% </w:t>
      </w:r>
      <w:r w:rsidR="004F622D" w:rsidRPr="003164CE">
        <w:rPr>
          <w:rFonts w:ascii="Tahoma" w:hAnsi="Tahoma" w:cs="Tahoma"/>
          <w:sz w:val="24"/>
          <w:szCs w:val="24"/>
        </w:rPr>
        <w:t>fiind</w:t>
      </w:r>
      <w:r w:rsidRPr="003164CE">
        <w:rPr>
          <w:rFonts w:ascii="Tahoma" w:hAnsi="Tahoma" w:cs="Tahoma"/>
          <w:sz w:val="24"/>
          <w:szCs w:val="24"/>
        </w:rPr>
        <w:t xml:space="preserve"> determinat de nerealizări semnificative în cazul sumele aferente cadrului financiar 2021-2027 și sumelor aferente asistenței financiare nerambursabile a PNRR unde gradul se realizare a fost de </w:t>
      </w:r>
      <w:r w:rsidR="009F3A29" w:rsidRPr="003164CE">
        <w:rPr>
          <w:rFonts w:ascii="Tahoma" w:hAnsi="Tahoma" w:cs="Tahoma"/>
          <w:sz w:val="24"/>
          <w:szCs w:val="24"/>
        </w:rPr>
        <w:t>45,4</w:t>
      </w:r>
      <w:r w:rsidRPr="003164CE">
        <w:rPr>
          <w:rFonts w:ascii="Tahoma" w:hAnsi="Tahoma" w:cs="Tahoma"/>
          <w:sz w:val="24"/>
          <w:szCs w:val="24"/>
        </w:rPr>
        <w:t xml:space="preserve">% și respectiv </w:t>
      </w:r>
      <w:r w:rsidR="009F3A29" w:rsidRPr="003164CE">
        <w:rPr>
          <w:rFonts w:ascii="Tahoma" w:hAnsi="Tahoma" w:cs="Tahoma"/>
          <w:sz w:val="24"/>
          <w:szCs w:val="24"/>
        </w:rPr>
        <w:t>48,6</w:t>
      </w:r>
      <w:r w:rsidRPr="003164CE">
        <w:rPr>
          <w:rFonts w:ascii="Tahoma" w:hAnsi="Tahoma" w:cs="Tahoma"/>
          <w:sz w:val="24"/>
          <w:szCs w:val="24"/>
        </w:rPr>
        <w:t xml:space="preserve">%. </w:t>
      </w:r>
    </w:p>
    <w:p w:rsidR="00E4028B" w:rsidRPr="003164CE" w:rsidRDefault="00E4028B" w:rsidP="006E1B94">
      <w:pPr>
        <w:spacing w:after="120" w:line="276" w:lineRule="auto"/>
        <w:ind w:right="-57" w:firstLine="0"/>
        <w:rPr>
          <w:rFonts w:ascii="Tahoma" w:hAnsi="Tahoma" w:cs="Tahoma"/>
          <w:sz w:val="24"/>
          <w:szCs w:val="24"/>
        </w:rPr>
      </w:pPr>
    </w:p>
    <w:p w:rsidR="004D6D76" w:rsidRPr="003164CE" w:rsidRDefault="004D6D76" w:rsidP="006949ED">
      <w:pPr>
        <w:pageBreakBefore/>
        <w:shd w:val="clear" w:color="auto" w:fill="DEEAF6" w:themeFill="accent1" w:themeFillTint="33"/>
        <w:spacing w:before="240" w:after="360" w:line="276" w:lineRule="auto"/>
        <w:ind w:firstLine="0"/>
        <w:rPr>
          <w:rFonts w:ascii="Tahoma" w:hAnsi="Tahoma" w:cs="Tahoma"/>
          <w:sz w:val="24"/>
          <w:szCs w:val="24"/>
        </w:rPr>
      </w:pPr>
      <w:r w:rsidRPr="003164CE">
        <w:rPr>
          <w:rFonts w:ascii="Tahoma" w:hAnsi="Tahoma" w:cs="Tahoma"/>
          <w:b/>
          <w:bCs/>
          <w:sz w:val="24"/>
          <w:szCs w:val="24"/>
          <w:u w:val="single"/>
        </w:rPr>
        <w:lastRenderedPageBreak/>
        <w:t>Cheltuielile bugetului general consolidat</w:t>
      </w:r>
      <w:r w:rsidR="00CF2AF0" w:rsidRPr="003164CE">
        <w:rPr>
          <w:rFonts w:ascii="Tahoma" w:hAnsi="Tahoma" w:cs="Tahoma"/>
          <w:b/>
          <w:bCs/>
          <w:sz w:val="24"/>
          <w:szCs w:val="24"/>
          <w:u w:val="single"/>
        </w:rPr>
        <w:t xml:space="preserve"> </w:t>
      </w:r>
      <w:r w:rsidRPr="003164CE">
        <w:rPr>
          <w:rFonts w:ascii="Tahoma" w:hAnsi="Tahoma" w:cs="Tahoma"/>
          <w:sz w:val="24"/>
          <w:szCs w:val="24"/>
        </w:rPr>
        <w:t xml:space="preserve">în sumă de </w:t>
      </w:r>
      <w:r w:rsidR="006949ED" w:rsidRPr="003164CE">
        <w:rPr>
          <w:rFonts w:ascii="Tahoma" w:hAnsi="Tahoma" w:cs="Tahoma"/>
          <w:b/>
          <w:sz w:val="24"/>
          <w:szCs w:val="24"/>
        </w:rPr>
        <w:t>380,32</w:t>
      </w:r>
      <w:r w:rsidR="00364FD9" w:rsidRPr="003164CE">
        <w:rPr>
          <w:rFonts w:ascii="Tahoma" w:hAnsi="Tahoma" w:cs="Tahoma"/>
          <w:b/>
          <w:sz w:val="24"/>
          <w:szCs w:val="24"/>
        </w:rPr>
        <w:t xml:space="preserve"> miliarde</w:t>
      </w:r>
      <w:r w:rsidR="00CF2AF0" w:rsidRPr="003164CE">
        <w:rPr>
          <w:rFonts w:ascii="Tahoma" w:hAnsi="Tahoma" w:cs="Tahoma"/>
          <w:b/>
          <w:sz w:val="24"/>
          <w:szCs w:val="24"/>
        </w:rPr>
        <w:t xml:space="preserve"> </w:t>
      </w:r>
      <w:r w:rsidR="003A634F" w:rsidRPr="003164CE">
        <w:rPr>
          <w:rFonts w:ascii="Tahoma" w:hAnsi="Tahoma" w:cs="Tahoma"/>
          <w:b/>
          <w:sz w:val="24"/>
          <w:szCs w:val="24"/>
        </w:rPr>
        <w:t>lei</w:t>
      </w:r>
      <w:r w:rsidRPr="003164CE">
        <w:rPr>
          <w:rFonts w:ascii="Tahoma" w:hAnsi="Tahoma" w:cs="Tahoma"/>
          <w:b/>
          <w:sz w:val="24"/>
          <w:szCs w:val="24"/>
        </w:rPr>
        <w:t xml:space="preserve"> (</w:t>
      </w:r>
      <w:r w:rsidR="006949ED" w:rsidRPr="003164CE">
        <w:rPr>
          <w:rFonts w:ascii="Tahoma" w:hAnsi="Tahoma" w:cs="Tahoma"/>
          <w:b/>
          <w:sz w:val="24"/>
          <w:szCs w:val="24"/>
        </w:rPr>
        <w:t>20,1</w:t>
      </w:r>
      <w:r w:rsidRPr="003164CE">
        <w:rPr>
          <w:rFonts w:ascii="Tahoma" w:hAnsi="Tahoma" w:cs="Tahoma"/>
          <w:b/>
          <w:sz w:val="24"/>
          <w:szCs w:val="24"/>
        </w:rPr>
        <w:t>% din PIB)</w:t>
      </w:r>
      <w:r w:rsidRPr="003164CE">
        <w:rPr>
          <w:rFonts w:ascii="Tahoma" w:hAnsi="Tahoma" w:cs="Tahoma"/>
          <w:sz w:val="24"/>
          <w:szCs w:val="24"/>
        </w:rPr>
        <w:t xml:space="preserve">, au crescut în termeni nominali cu </w:t>
      </w:r>
      <w:r w:rsidR="006949ED" w:rsidRPr="003164CE">
        <w:rPr>
          <w:rFonts w:ascii="Tahoma" w:hAnsi="Tahoma" w:cs="Tahoma"/>
          <w:sz w:val="24"/>
          <w:szCs w:val="24"/>
        </w:rPr>
        <w:t>12,1</w:t>
      </w:r>
      <w:r w:rsidRPr="003164CE">
        <w:rPr>
          <w:rFonts w:ascii="Tahoma" w:hAnsi="Tahoma" w:cs="Tahoma"/>
          <w:sz w:val="24"/>
          <w:szCs w:val="24"/>
        </w:rPr>
        <w:t xml:space="preserve">% față de aceeași perioadă a anului precedent, gradul de realizare al acestora fiind de </w:t>
      </w:r>
      <w:r w:rsidR="006949ED" w:rsidRPr="003164CE">
        <w:rPr>
          <w:rFonts w:ascii="Tahoma" w:hAnsi="Tahoma" w:cs="Tahoma"/>
          <w:sz w:val="24"/>
          <w:szCs w:val="24"/>
        </w:rPr>
        <w:t>88,7</w:t>
      </w:r>
      <w:r w:rsidRPr="003164CE">
        <w:rPr>
          <w:rFonts w:ascii="Tahoma" w:hAnsi="Tahoma" w:cs="Tahoma"/>
          <w:sz w:val="24"/>
          <w:szCs w:val="24"/>
        </w:rPr>
        <w:t>%.</w:t>
      </w:r>
    </w:p>
    <w:p w:rsidR="00C62BCE" w:rsidRPr="003164CE" w:rsidRDefault="00C62BCE" w:rsidP="00262BE1">
      <w:pPr>
        <w:spacing w:after="360" w:line="276" w:lineRule="auto"/>
        <w:ind w:firstLine="0"/>
        <w:rPr>
          <w:rFonts w:ascii="Tahoma" w:hAnsi="Tahoma" w:cs="Tahoma"/>
          <w:bCs/>
          <w:sz w:val="24"/>
          <w:szCs w:val="24"/>
        </w:rPr>
      </w:pPr>
      <w:r w:rsidRPr="003164CE">
        <w:rPr>
          <w:rFonts w:ascii="Tahoma" w:hAnsi="Tahoma" w:cs="Tahoma"/>
          <w:bCs/>
          <w:sz w:val="24"/>
          <w:szCs w:val="24"/>
        </w:rPr>
        <w:t xml:space="preserve">Acestea, ca pondere în PIB, </w:t>
      </w:r>
      <w:r w:rsidR="00262BE1" w:rsidRPr="003164CE">
        <w:rPr>
          <w:rFonts w:ascii="Tahoma" w:hAnsi="Tahoma" w:cs="Tahoma"/>
          <w:bCs/>
          <w:sz w:val="24"/>
          <w:szCs w:val="24"/>
        </w:rPr>
        <w:t xml:space="preserve">au crescut </w:t>
      </w:r>
      <w:r w:rsidRPr="003164CE">
        <w:rPr>
          <w:rFonts w:ascii="Tahoma" w:hAnsi="Tahoma" w:cs="Tahoma"/>
          <w:bCs/>
          <w:sz w:val="24"/>
          <w:szCs w:val="24"/>
        </w:rPr>
        <w:t xml:space="preserve">cu </w:t>
      </w:r>
      <w:r w:rsidR="006949ED" w:rsidRPr="003164CE">
        <w:rPr>
          <w:rFonts w:ascii="Tahoma" w:hAnsi="Tahoma" w:cs="Tahoma"/>
          <w:bCs/>
          <w:sz w:val="24"/>
          <w:szCs w:val="24"/>
        </w:rPr>
        <w:t>0,8</w:t>
      </w:r>
      <w:r w:rsidRPr="003164CE">
        <w:rPr>
          <w:rFonts w:ascii="Tahoma" w:hAnsi="Tahoma" w:cs="Tahoma"/>
          <w:bCs/>
          <w:sz w:val="24"/>
          <w:szCs w:val="24"/>
        </w:rPr>
        <w:t xml:space="preserve"> puncte procentuale de la </w:t>
      </w:r>
      <w:r w:rsidR="006949ED" w:rsidRPr="003164CE">
        <w:rPr>
          <w:rFonts w:ascii="Tahoma" w:hAnsi="Tahoma" w:cs="Tahoma"/>
          <w:bCs/>
          <w:sz w:val="24"/>
          <w:szCs w:val="24"/>
        </w:rPr>
        <w:t>19,3</w:t>
      </w:r>
      <w:r w:rsidRPr="003164CE">
        <w:rPr>
          <w:rFonts w:ascii="Tahoma" w:hAnsi="Tahoma" w:cs="Tahoma"/>
          <w:bCs/>
          <w:sz w:val="24"/>
          <w:szCs w:val="24"/>
        </w:rPr>
        <w:t>% din PIB în semestrul I 202</w:t>
      </w:r>
      <w:r w:rsidR="006949ED" w:rsidRPr="003164CE">
        <w:rPr>
          <w:rFonts w:ascii="Tahoma" w:hAnsi="Tahoma" w:cs="Tahoma"/>
          <w:bCs/>
          <w:sz w:val="24"/>
          <w:szCs w:val="24"/>
        </w:rPr>
        <w:t>4</w:t>
      </w:r>
      <w:r w:rsidRPr="003164CE">
        <w:rPr>
          <w:rFonts w:ascii="Tahoma" w:hAnsi="Tahoma" w:cs="Tahoma"/>
          <w:bCs/>
          <w:sz w:val="24"/>
          <w:szCs w:val="24"/>
        </w:rPr>
        <w:t xml:space="preserve"> la </w:t>
      </w:r>
      <w:r w:rsidR="006949ED" w:rsidRPr="003164CE">
        <w:rPr>
          <w:rFonts w:ascii="Tahoma" w:hAnsi="Tahoma" w:cs="Tahoma"/>
          <w:bCs/>
          <w:sz w:val="24"/>
          <w:szCs w:val="24"/>
        </w:rPr>
        <w:t>20,1</w:t>
      </w:r>
      <w:r w:rsidRPr="003164CE">
        <w:rPr>
          <w:rFonts w:ascii="Tahoma" w:hAnsi="Tahoma" w:cs="Tahoma"/>
          <w:bCs/>
          <w:sz w:val="24"/>
          <w:szCs w:val="24"/>
        </w:rPr>
        <w:t>% din PIB în semestrul I 202</w:t>
      </w:r>
      <w:r w:rsidR="006949ED" w:rsidRPr="003164CE">
        <w:rPr>
          <w:rFonts w:ascii="Tahoma" w:hAnsi="Tahoma" w:cs="Tahoma"/>
          <w:bCs/>
          <w:sz w:val="24"/>
          <w:szCs w:val="24"/>
        </w:rPr>
        <w:t>5</w:t>
      </w:r>
      <w:r w:rsidRPr="003164CE">
        <w:rPr>
          <w:rFonts w:ascii="Tahoma" w:hAnsi="Tahoma" w:cs="Tahoma"/>
          <w:bCs/>
          <w:sz w:val="24"/>
          <w:szCs w:val="24"/>
        </w:rPr>
        <w:t>.</w:t>
      </w:r>
    </w:p>
    <w:p w:rsidR="0044034D" w:rsidRPr="003164CE" w:rsidRDefault="00976179" w:rsidP="002A6579">
      <w:pPr>
        <w:spacing w:line="276" w:lineRule="auto"/>
        <w:ind w:right="-57" w:firstLine="0"/>
        <w:rPr>
          <w:rFonts w:ascii="Tahoma" w:hAnsi="Tahoma" w:cs="Tahoma"/>
          <w:bCs/>
          <w:sz w:val="24"/>
          <w:szCs w:val="24"/>
        </w:rPr>
      </w:pPr>
      <w:r w:rsidRPr="003164CE">
        <w:rPr>
          <w:rFonts w:ascii="Tahoma" w:hAnsi="Tahoma" w:cs="Tahoma"/>
          <w:bCs/>
          <w:noProof/>
          <w:sz w:val="24"/>
          <w:szCs w:val="24"/>
        </w:rPr>
        <w:fldChar w:fldCharType="begin"/>
      </w:r>
      <w:r w:rsidRPr="003164CE">
        <w:rPr>
          <w:rFonts w:ascii="Tahoma" w:hAnsi="Tahoma" w:cs="Tahoma"/>
          <w:bCs/>
          <w:noProof/>
          <w:sz w:val="24"/>
          <w:szCs w:val="24"/>
        </w:rPr>
        <w:instrText xml:space="preserve"> LINK Excel.Sheet.8 "\\\\MFP1934\\retea on 10.236.1.89\\Executii\\Executii 2025\\Rapoarte LRF 2025\\CALCULE 2025\\Grafice CH 2024 Progr - EXEC  Sem I.xls!grafice  CH![Grafice CH 2024 Progr - EXEC  Sem I.xls]grafice  CH Chart 3-1" "" \a \p </w:instrText>
      </w:r>
      <w:r w:rsidRPr="003164CE">
        <w:rPr>
          <w:rFonts w:ascii="Tahoma" w:hAnsi="Tahoma" w:cs="Tahoma"/>
          <w:bCs/>
          <w:noProof/>
          <w:sz w:val="24"/>
          <w:szCs w:val="24"/>
        </w:rPr>
        <w:fldChar w:fldCharType="separate"/>
      </w:r>
      <w:r w:rsidR="0012205B">
        <w:rPr>
          <w:rFonts w:ascii="Tahoma" w:hAnsi="Tahoma" w:cs="Tahoma"/>
          <w:bCs/>
          <w:noProof/>
          <w:sz w:val="24"/>
          <w:szCs w:val="24"/>
        </w:rPr>
        <w:object w:dxaOrig="12450" w:dyaOrig="6930">
          <v:shape id="_x0000_i1028" type="#_x0000_t75" style="width:453.2pt;height:252.6pt" o:ole="">
            <v:imagedata r:id="rId19" o:title=""/>
          </v:shape>
        </w:object>
      </w:r>
      <w:r w:rsidRPr="003164CE">
        <w:rPr>
          <w:rFonts w:ascii="Tahoma" w:hAnsi="Tahoma" w:cs="Tahoma"/>
          <w:bCs/>
          <w:noProof/>
          <w:sz w:val="24"/>
          <w:szCs w:val="24"/>
        </w:rPr>
        <w:fldChar w:fldCharType="end"/>
      </w:r>
    </w:p>
    <w:p w:rsidR="004D6D76" w:rsidRPr="003164CE" w:rsidRDefault="004D6D76" w:rsidP="00C62BCE">
      <w:pPr>
        <w:spacing w:before="240" w:line="276" w:lineRule="auto"/>
        <w:ind w:firstLine="0"/>
        <w:rPr>
          <w:rFonts w:ascii="Tahoma" w:hAnsi="Tahoma" w:cs="Tahoma"/>
          <w:bCs/>
          <w:sz w:val="24"/>
          <w:szCs w:val="24"/>
        </w:rPr>
      </w:pPr>
      <w:r w:rsidRPr="003164CE">
        <w:rPr>
          <w:rFonts w:ascii="Tahoma" w:hAnsi="Tahoma" w:cs="Tahoma"/>
          <w:b/>
          <w:sz w:val="24"/>
          <w:szCs w:val="24"/>
        </w:rPr>
        <w:t>Cheltuielile de personal</w:t>
      </w:r>
      <w:r w:rsidRPr="003164CE">
        <w:rPr>
          <w:rFonts w:ascii="Tahoma" w:hAnsi="Tahoma" w:cs="Tahoma"/>
          <w:bCs/>
          <w:sz w:val="24"/>
          <w:szCs w:val="24"/>
        </w:rPr>
        <w:t xml:space="preserve"> au fost în sumă de </w:t>
      </w:r>
      <w:r w:rsidR="006949ED" w:rsidRPr="003164CE">
        <w:rPr>
          <w:rFonts w:ascii="Tahoma" w:hAnsi="Tahoma" w:cs="Tahoma"/>
          <w:bCs/>
          <w:sz w:val="24"/>
          <w:szCs w:val="24"/>
        </w:rPr>
        <w:t>85,46</w:t>
      </w:r>
      <w:r w:rsidR="001C38E5" w:rsidRPr="003164CE">
        <w:rPr>
          <w:rFonts w:ascii="Tahoma" w:hAnsi="Tahoma" w:cs="Tahoma"/>
          <w:bCs/>
          <w:sz w:val="24"/>
          <w:szCs w:val="24"/>
        </w:rPr>
        <w:t xml:space="preserve"> miliarde </w:t>
      </w:r>
      <w:r w:rsidR="003A634F" w:rsidRPr="003164CE">
        <w:rPr>
          <w:rFonts w:ascii="Tahoma" w:hAnsi="Tahoma" w:cs="Tahoma"/>
          <w:bCs/>
          <w:sz w:val="24"/>
          <w:szCs w:val="24"/>
        </w:rPr>
        <w:t>lei</w:t>
      </w:r>
      <w:r w:rsidRPr="003164CE">
        <w:rPr>
          <w:rFonts w:ascii="Tahoma" w:hAnsi="Tahoma" w:cs="Tahoma"/>
          <w:bCs/>
          <w:sz w:val="24"/>
          <w:szCs w:val="24"/>
        </w:rPr>
        <w:t xml:space="preserve"> în creștere cu </w:t>
      </w:r>
      <w:r w:rsidR="006949ED" w:rsidRPr="003164CE">
        <w:rPr>
          <w:rFonts w:ascii="Tahoma" w:hAnsi="Tahoma" w:cs="Tahoma"/>
          <w:bCs/>
          <w:sz w:val="24"/>
          <w:szCs w:val="24"/>
        </w:rPr>
        <w:t>10,1</w:t>
      </w:r>
      <w:r w:rsidRPr="003164CE">
        <w:rPr>
          <w:rFonts w:ascii="Tahoma" w:hAnsi="Tahoma" w:cs="Tahoma"/>
          <w:bCs/>
          <w:sz w:val="24"/>
          <w:szCs w:val="24"/>
        </w:rPr>
        <w:t>% comparativ cu semestru I 20</w:t>
      </w:r>
      <w:r w:rsidR="001C38E5" w:rsidRPr="003164CE">
        <w:rPr>
          <w:rFonts w:ascii="Tahoma" w:hAnsi="Tahoma" w:cs="Tahoma"/>
          <w:bCs/>
          <w:sz w:val="24"/>
          <w:szCs w:val="24"/>
        </w:rPr>
        <w:t>2</w:t>
      </w:r>
      <w:r w:rsidR="006949ED" w:rsidRPr="003164CE">
        <w:rPr>
          <w:rFonts w:ascii="Tahoma" w:hAnsi="Tahoma" w:cs="Tahoma"/>
          <w:bCs/>
          <w:sz w:val="24"/>
          <w:szCs w:val="24"/>
        </w:rPr>
        <w:t>4</w:t>
      </w:r>
      <w:r w:rsidRPr="003164CE">
        <w:rPr>
          <w:rFonts w:ascii="Tahoma" w:hAnsi="Tahoma" w:cs="Tahoma"/>
          <w:bCs/>
          <w:sz w:val="24"/>
          <w:szCs w:val="24"/>
        </w:rPr>
        <w:t xml:space="preserve">, fiind realizate în proporție de </w:t>
      </w:r>
      <w:r w:rsidR="006949ED" w:rsidRPr="003164CE">
        <w:rPr>
          <w:rFonts w:ascii="Tahoma" w:hAnsi="Tahoma" w:cs="Tahoma"/>
          <w:bCs/>
          <w:sz w:val="24"/>
          <w:szCs w:val="24"/>
        </w:rPr>
        <w:t>98,7</w:t>
      </w:r>
      <w:r w:rsidRPr="003164CE">
        <w:rPr>
          <w:rFonts w:ascii="Tahoma" w:hAnsi="Tahoma" w:cs="Tahoma"/>
          <w:bCs/>
          <w:sz w:val="24"/>
          <w:szCs w:val="24"/>
        </w:rPr>
        <w:t xml:space="preserve">%. </w:t>
      </w:r>
    </w:p>
    <w:p w:rsidR="004D6D76" w:rsidRPr="003164CE" w:rsidRDefault="004D6D76" w:rsidP="00C62BCE">
      <w:pPr>
        <w:spacing w:line="276" w:lineRule="auto"/>
        <w:ind w:firstLine="0"/>
        <w:rPr>
          <w:rFonts w:ascii="Tahoma" w:hAnsi="Tahoma" w:cs="Tahoma"/>
          <w:bCs/>
          <w:sz w:val="24"/>
          <w:szCs w:val="24"/>
        </w:rPr>
      </w:pPr>
      <w:r w:rsidRPr="003164CE">
        <w:rPr>
          <w:rFonts w:ascii="Tahoma" w:hAnsi="Tahoma" w:cs="Tahoma"/>
          <w:bCs/>
          <w:sz w:val="24"/>
          <w:szCs w:val="24"/>
        </w:rPr>
        <w:t xml:space="preserve">Cheltuielile de personal, ca procent în PIB, </w:t>
      </w:r>
      <w:r w:rsidR="00906C17" w:rsidRPr="003164CE">
        <w:rPr>
          <w:rFonts w:ascii="Tahoma" w:hAnsi="Tahoma" w:cs="Tahoma"/>
          <w:bCs/>
          <w:sz w:val="24"/>
          <w:szCs w:val="24"/>
        </w:rPr>
        <w:t xml:space="preserve">au crescut </w:t>
      </w:r>
      <w:r w:rsidRPr="003164CE">
        <w:rPr>
          <w:rFonts w:ascii="Tahoma" w:hAnsi="Tahoma" w:cs="Tahoma"/>
          <w:bCs/>
          <w:sz w:val="24"/>
          <w:szCs w:val="24"/>
        </w:rPr>
        <w:t>cu 0,</w:t>
      </w:r>
      <w:r w:rsidR="006949ED" w:rsidRPr="003164CE">
        <w:rPr>
          <w:rFonts w:ascii="Tahoma" w:hAnsi="Tahoma" w:cs="Tahoma"/>
          <w:bCs/>
          <w:sz w:val="24"/>
          <w:szCs w:val="24"/>
        </w:rPr>
        <w:t>1</w:t>
      </w:r>
      <w:r w:rsidR="00B07E4B" w:rsidRPr="003164CE">
        <w:rPr>
          <w:rFonts w:ascii="Tahoma" w:hAnsi="Tahoma" w:cs="Tahoma"/>
          <w:bCs/>
          <w:sz w:val="24"/>
          <w:szCs w:val="24"/>
        </w:rPr>
        <w:t xml:space="preserve"> </w:t>
      </w:r>
      <w:r w:rsidRPr="003164CE">
        <w:rPr>
          <w:rFonts w:ascii="Tahoma" w:hAnsi="Tahoma" w:cs="Tahoma"/>
          <w:bCs/>
          <w:sz w:val="24"/>
          <w:szCs w:val="24"/>
        </w:rPr>
        <w:t xml:space="preserve">puncte procentuale de la </w:t>
      </w:r>
      <w:r w:rsidR="006949ED" w:rsidRPr="003164CE">
        <w:rPr>
          <w:rFonts w:ascii="Tahoma" w:hAnsi="Tahoma" w:cs="Tahoma"/>
          <w:bCs/>
          <w:sz w:val="24"/>
          <w:szCs w:val="24"/>
        </w:rPr>
        <w:t>4,4</w:t>
      </w:r>
      <w:r w:rsidRPr="003164CE">
        <w:rPr>
          <w:rFonts w:ascii="Tahoma" w:hAnsi="Tahoma" w:cs="Tahoma"/>
          <w:bCs/>
          <w:sz w:val="24"/>
          <w:szCs w:val="24"/>
        </w:rPr>
        <w:t>% din PIB cât au fost în semestrul I 20</w:t>
      </w:r>
      <w:r w:rsidR="00E401A6" w:rsidRPr="003164CE">
        <w:rPr>
          <w:rFonts w:ascii="Tahoma" w:hAnsi="Tahoma" w:cs="Tahoma"/>
          <w:bCs/>
          <w:sz w:val="24"/>
          <w:szCs w:val="24"/>
        </w:rPr>
        <w:t>2</w:t>
      </w:r>
      <w:r w:rsidR="006949ED" w:rsidRPr="003164CE">
        <w:rPr>
          <w:rFonts w:ascii="Tahoma" w:hAnsi="Tahoma" w:cs="Tahoma"/>
          <w:bCs/>
          <w:sz w:val="24"/>
          <w:szCs w:val="24"/>
        </w:rPr>
        <w:t>4</w:t>
      </w:r>
      <w:r w:rsidRPr="003164CE">
        <w:rPr>
          <w:rFonts w:ascii="Tahoma" w:hAnsi="Tahoma" w:cs="Tahoma"/>
          <w:bCs/>
          <w:sz w:val="24"/>
          <w:szCs w:val="24"/>
        </w:rPr>
        <w:t xml:space="preserve"> la 4,</w:t>
      </w:r>
      <w:r w:rsidR="006949ED" w:rsidRPr="003164CE">
        <w:rPr>
          <w:rFonts w:ascii="Tahoma" w:hAnsi="Tahoma" w:cs="Tahoma"/>
          <w:bCs/>
          <w:sz w:val="24"/>
          <w:szCs w:val="24"/>
        </w:rPr>
        <w:t>5</w:t>
      </w:r>
      <w:r w:rsidRPr="003164CE">
        <w:rPr>
          <w:rFonts w:ascii="Tahoma" w:hAnsi="Tahoma" w:cs="Tahoma"/>
          <w:bCs/>
          <w:sz w:val="24"/>
          <w:szCs w:val="24"/>
        </w:rPr>
        <w:t xml:space="preserve"> % din PIB în semestrul I 20</w:t>
      </w:r>
      <w:r w:rsidR="000C4F84" w:rsidRPr="003164CE">
        <w:rPr>
          <w:rFonts w:ascii="Tahoma" w:hAnsi="Tahoma" w:cs="Tahoma"/>
          <w:bCs/>
          <w:sz w:val="24"/>
          <w:szCs w:val="24"/>
        </w:rPr>
        <w:t>2</w:t>
      </w:r>
      <w:r w:rsidR="006949ED" w:rsidRPr="003164CE">
        <w:rPr>
          <w:rFonts w:ascii="Tahoma" w:hAnsi="Tahoma" w:cs="Tahoma"/>
          <w:bCs/>
          <w:sz w:val="24"/>
          <w:szCs w:val="24"/>
        </w:rPr>
        <w:t>5</w:t>
      </w:r>
      <w:r w:rsidRPr="003164CE">
        <w:rPr>
          <w:rFonts w:ascii="Tahoma" w:hAnsi="Tahoma" w:cs="Tahoma"/>
          <w:bCs/>
          <w:sz w:val="24"/>
          <w:szCs w:val="24"/>
        </w:rPr>
        <w:t>.</w:t>
      </w:r>
    </w:p>
    <w:p w:rsidR="00C62BCE" w:rsidRPr="003164CE" w:rsidRDefault="00EA36E7" w:rsidP="00092DC0">
      <w:pPr>
        <w:spacing w:before="120" w:after="120" w:line="276" w:lineRule="auto"/>
        <w:ind w:firstLine="0"/>
        <w:rPr>
          <w:rFonts w:ascii="Tahoma" w:eastAsia="Calibri" w:hAnsi="Tahoma" w:cs="Tahoma"/>
          <w:bCs/>
          <w:sz w:val="24"/>
          <w:szCs w:val="24"/>
        </w:rPr>
      </w:pPr>
      <w:r w:rsidRPr="003164CE">
        <w:rPr>
          <w:rFonts w:ascii="Tahoma" w:eastAsia="Calibri" w:hAnsi="Tahoma" w:cs="Tahoma"/>
          <w:bCs/>
          <w:sz w:val="24"/>
          <w:szCs w:val="24"/>
        </w:rPr>
        <w:t>Creșterea</w:t>
      </w:r>
      <w:r w:rsidR="00C62BCE" w:rsidRPr="003164CE">
        <w:rPr>
          <w:rFonts w:ascii="Tahoma" w:eastAsia="Calibri" w:hAnsi="Tahoma" w:cs="Tahoma"/>
          <w:bCs/>
          <w:sz w:val="24"/>
          <w:szCs w:val="24"/>
        </w:rPr>
        <w:t>,</w:t>
      </w:r>
      <w:r w:rsidRPr="003164CE">
        <w:rPr>
          <w:rFonts w:ascii="Tahoma" w:eastAsia="Calibri" w:hAnsi="Tahoma" w:cs="Tahoma"/>
          <w:bCs/>
          <w:sz w:val="24"/>
          <w:szCs w:val="24"/>
        </w:rPr>
        <w:t xml:space="preserve"> în termen</w:t>
      </w:r>
      <w:r w:rsidR="004C2007" w:rsidRPr="003164CE">
        <w:rPr>
          <w:rFonts w:ascii="Tahoma" w:eastAsia="Calibri" w:hAnsi="Tahoma" w:cs="Tahoma"/>
          <w:bCs/>
          <w:sz w:val="24"/>
          <w:szCs w:val="24"/>
        </w:rPr>
        <w:t>i</w:t>
      </w:r>
      <w:r w:rsidRPr="003164CE">
        <w:rPr>
          <w:rFonts w:ascii="Tahoma" w:eastAsia="Calibri" w:hAnsi="Tahoma" w:cs="Tahoma"/>
          <w:bCs/>
          <w:sz w:val="24"/>
          <w:szCs w:val="24"/>
        </w:rPr>
        <w:t xml:space="preserve"> nominal</w:t>
      </w:r>
      <w:r w:rsidR="004C2007" w:rsidRPr="003164CE">
        <w:rPr>
          <w:rFonts w:ascii="Tahoma" w:eastAsia="Calibri" w:hAnsi="Tahoma" w:cs="Tahoma"/>
          <w:bCs/>
          <w:sz w:val="24"/>
          <w:szCs w:val="24"/>
        </w:rPr>
        <w:t>i</w:t>
      </w:r>
      <w:r w:rsidR="00C62BCE" w:rsidRPr="003164CE">
        <w:rPr>
          <w:rFonts w:ascii="Tahoma" w:eastAsia="Calibri" w:hAnsi="Tahoma" w:cs="Tahoma"/>
          <w:bCs/>
          <w:sz w:val="24"/>
          <w:szCs w:val="24"/>
        </w:rPr>
        <w:t>,</w:t>
      </w:r>
      <w:r w:rsidRPr="003164CE">
        <w:rPr>
          <w:rFonts w:ascii="Tahoma" w:eastAsia="Calibri" w:hAnsi="Tahoma" w:cs="Tahoma"/>
          <w:bCs/>
          <w:sz w:val="24"/>
          <w:szCs w:val="24"/>
        </w:rPr>
        <w:t xml:space="preserve"> a cheltuielilor de personal comparativ cu semestrul I 202</w:t>
      </w:r>
      <w:r w:rsidR="006949ED" w:rsidRPr="003164CE">
        <w:rPr>
          <w:rFonts w:ascii="Tahoma" w:eastAsia="Calibri" w:hAnsi="Tahoma" w:cs="Tahoma"/>
          <w:bCs/>
          <w:sz w:val="24"/>
          <w:szCs w:val="24"/>
        </w:rPr>
        <w:t>4</w:t>
      </w:r>
      <w:r w:rsidR="008131F9" w:rsidRPr="003164CE">
        <w:rPr>
          <w:rFonts w:ascii="Tahoma" w:eastAsia="Calibri" w:hAnsi="Tahoma" w:cs="Tahoma"/>
          <w:bCs/>
          <w:sz w:val="24"/>
          <w:szCs w:val="24"/>
        </w:rPr>
        <w:t xml:space="preserve"> a fost determinată de creșterile salariale din sectorul bugetar acordate </w:t>
      </w:r>
      <w:r w:rsidR="0084724B" w:rsidRPr="003164CE">
        <w:rPr>
          <w:rFonts w:ascii="Tahoma" w:eastAsia="Calibri" w:hAnsi="Tahoma" w:cs="Tahoma"/>
          <w:bCs/>
          <w:sz w:val="24"/>
          <w:szCs w:val="24"/>
        </w:rPr>
        <w:t>pe parcursul</w:t>
      </w:r>
      <w:r w:rsidR="003E31C4" w:rsidRPr="003164CE">
        <w:rPr>
          <w:rFonts w:ascii="Tahoma" w:eastAsia="Calibri" w:hAnsi="Tahoma" w:cs="Tahoma"/>
          <w:bCs/>
          <w:sz w:val="24"/>
          <w:szCs w:val="24"/>
        </w:rPr>
        <w:t xml:space="preserve"> anul</w:t>
      </w:r>
      <w:r w:rsidR="0084724B" w:rsidRPr="003164CE">
        <w:rPr>
          <w:rFonts w:ascii="Tahoma" w:eastAsia="Calibri" w:hAnsi="Tahoma" w:cs="Tahoma"/>
          <w:bCs/>
          <w:sz w:val="24"/>
          <w:szCs w:val="24"/>
        </w:rPr>
        <w:t>ui</w:t>
      </w:r>
      <w:r w:rsidR="003E31C4" w:rsidRPr="003164CE">
        <w:rPr>
          <w:rFonts w:ascii="Tahoma" w:eastAsia="Calibri" w:hAnsi="Tahoma" w:cs="Tahoma"/>
          <w:bCs/>
          <w:sz w:val="24"/>
          <w:szCs w:val="24"/>
        </w:rPr>
        <w:t xml:space="preserve"> 202</w:t>
      </w:r>
      <w:r w:rsidR="00092DC0" w:rsidRPr="003164CE">
        <w:rPr>
          <w:rFonts w:ascii="Tahoma" w:eastAsia="Calibri" w:hAnsi="Tahoma" w:cs="Tahoma"/>
          <w:bCs/>
          <w:sz w:val="24"/>
          <w:szCs w:val="24"/>
        </w:rPr>
        <w:t xml:space="preserve">4, ce a avut un impact mai pronunțat în primul trimestru al anului curent(+15,3%), aceasta </w:t>
      </w:r>
      <w:r w:rsidR="008E12AA" w:rsidRPr="003164CE">
        <w:rPr>
          <w:rFonts w:ascii="Tahoma" w:eastAsia="Calibri" w:hAnsi="Tahoma" w:cs="Tahoma"/>
          <w:bCs/>
          <w:sz w:val="24"/>
          <w:szCs w:val="24"/>
        </w:rPr>
        <w:t>temperându-se</w:t>
      </w:r>
      <w:r w:rsidR="00092DC0" w:rsidRPr="003164CE">
        <w:rPr>
          <w:rFonts w:ascii="Tahoma" w:eastAsia="Calibri" w:hAnsi="Tahoma" w:cs="Tahoma"/>
          <w:bCs/>
          <w:sz w:val="24"/>
          <w:szCs w:val="24"/>
        </w:rPr>
        <w:t xml:space="preserve"> în al doilea trimestru al anului curent(+5,4%) pe fondul măsurilor de limitare a cheltuielilor salariale la nivelul lunii noiembrie 2024.</w:t>
      </w:r>
    </w:p>
    <w:p w:rsidR="00A651AB" w:rsidRPr="003164CE" w:rsidRDefault="00A46D5B" w:rsidP="00A651AB">
      <w:pPr>
        <w:spacing w:before="120" w:after="120" w:line="276" w:lineRule="auto"/>
        <w:ind w:firstLine="0"/>
        <w:rPr>
          <w:rFonts w:ascii="Tahoma" w:eastAsia="Calibri" w:hAnsi="Tahoma" w:cs="Tahoma"/>
          <w:bCs/>
          <w:sz w:val="24"/>
          <w:szCs w:val="24"/>
        </w:rPr>
      </w:pPr>
      <w:r w:rsidRPr="003164CE">
        <w:rPr>
          <w:rFonts w:ascii="Tahoma" w:eastAsia="Calibri" w:hAnsi="Tahoma" w:cs="Tahoma"/>
          <w:bCs/>
          <w:sz w:val="24"/>
          <w:szCs w:val="24"/>
        </w:rPr>
        <w:t>Față de programul anual</w:t>
      </w:r>
      <w:r w:rsidR="00813C33" w:rsidRPr="003164CE">
        <w:rPr>
          <w:rFonts w:ascii="Tahoma" w:eastAsia="Calibri" w:hAnsi="Tahoma" w:cs="Tahoma"/>
          <w:bCs/>
          <w:sz w:val="24"/>
          <w:szCs w:val="24"/>
        </w:rPr>
        <w:t xml:space="preserve"> actualizat</w:t>
      </w:r>
      <w:r w:rsidRPr="003164CE">
        <w:rPr>
          <w:rFonts w:ascii="Tahoma" w:eastAsia="Calibri" w:hAnsi="Tahoma" w:cs="Tahoma"/>
          <w:bCs/>
          <w:sz w:val="24"/>
          <w:szCs w:val="24"/>
        </w:rPr>
        <w:t>, cheltuielile de personal se situează la 50,</w:t>
      </w:r>
      <w:r w:rsidR="008E3DC0" w:rsidRPr="003164CE">
        <w:rPr>
          <w:rFonts w:ascii="Tahoma" w:eastAsia="Calibri" w:hAnsi="Tahoma" w:cs="Tahoma"/>
          <w:bCs/>
          <w:sz w:val="24"/>
          <w:szCs w:val="24"/>
        </w:rPr>
        <w:t>2</w:t>
      </w:r>
      <w:r w:rsidRPr="003164CE">
        <w:rPr>
          <w:rFonts w:ascii="Tahoma" w:eastAsia="Calibri" w:hAnsi="Tahoma" w:cs="Tahoma"/>
          <w:bCs/>
          <w:sz w:val="24"/>
          <w:szCs w:val="24"/>
        </w:rPr>
        <w:t xml:space="preserve"> %</w:t>
      </w:r>
      <w:r w:rsidR="000E419A" w:rsidRPr="003164CE">
        <w:rPr>
          <w:rFonts w:ascii="Tahoma" w:eastAsia="Calibri" w:hAnsi="Tahoma" w:cs="Tahoma"/>
          <w:bCs/>
          <w:sz w:val="24"/>
          <w:szCs w:val="24"/>
        </w:rPr>
        <w:t xml:space="preserve">, în condițiile în </w:t>
      </w:r>
      <w:r w:rsidRPr="003164CE">
        <w:rPr>
          <w:rFonts w:ascii="Tahoma" w:eastAsia="Calibri" w:hAnsi="Tahoma" w:cs="Tahoma"/>
          <w:bCs/>
          <w:sz w:val="24"/>
          <w:szCs w:val="24"/>
        </w:rPr>
        <w:t>c</w:t>
      </w:r>
      <w:r w:rsidR="000E419A" w:rsidRPr="003164CE">
        <w:rPr>
          <w:rFonts w:ascii="Tahoma" w:eastAsia="Calibri" w:hAnsi="Tahoma" w:cs="Tahoma"/>
          <w:bCs/>
          <w:sz w:val="24"/>
          <w:szCs w:val="24"/>
        </w:rPr>
        <w:t>a</w:t>
      </w:r>
      <w:r w:rsidRPr="003164CE">
        <w:rPr>
          <w:rFonts w:ascii="Tahoma" w:eastAsia="Calibri" w:hAnsi="Tahoma" w:cs="Tahoma"/>
          <w:bCs/>
          <w:sz w:val="24"/>
          <w:szCs w:val="24"/>
        </w:rPr>
        <w:t>re pe bugetele componente ale bugetului general consolidat</w:t>
      </w:r>
      <w:r w:rsidR="000E419A" w:rsidRPr="003164CE">
        <w:rPr>
          <w:rFonts w:ascii="Tahoma" w:eastAsia="Calibri" w:hAnsi="Tahoma" w:cs="Tahoma"/>
          <w:bCs/>
          <w:sz w:val="24"/>
          <w:szCs w:val="24"/>
        </w:rPr>
        <w:t xml:space="preserve"> cel mai ridicat nivel se înregistrează la bugetul de stat, gradul de realizare fiind de 5</w:t>
      </w:r>
      <w:r w:rsidR="008E3DC0" w:rsidRPr="003164CE">
        <w:rPr>
          <w:rFonts w:ascii="Tahoma" w:eastAsia="Calibri" w:hAnsi="Tahoma" w:cs="Tahoma"/>
          <w:bCs/>
          <w:sz w:val="24"/>
          <w:szCs w:val="24"/>
        </w:rPr>
        <w:t>0</w:t>
      </w:r>
      <w:r w:rsidR="000E419A" w:rsidRPr="003164CE">
        <w:rPr>
          <w:rFonts w:ascii="Tahoma" w:eastAsia="Calibri" w:hAnsi="Tahoma" w:cs="Tahoma"/>
          <w:bCs/>
          <w:sz w:val="24"/>
          <w:szCs w:val="24"/>
        </w:rPr>
        <w:t>,</w:t>
      </w:r>
      <w:r w:rsidR="008E3DC0" w:rsidRPr="003164CE">
        <w:rPr>
          <w:rFonts w:ascii="Tahoma" w:eastAsia="Calibri" w:hAnsi="Tahoma" w:cs="Tahoma"/>
          <w:bCs/>
          <w:sz w:val="24"/>
          <w:szCs w:val="24"/>
        </w:rPr>
        <w:t>8</w:t>
      </w:r>
      <w:r w:rsidR="000E419A" w:rsidRPr="003164CE">
        <w:rPr>
          <w:rFonts w:ascii="Tahoma" w:eastAsia="Calibri" w:hAnsi="Tahoma" w:cs="Tahoma"/>
          <w:bCs/>
          <w:sz w:val="24"/>
          <w:szCs w:val="24"/>
        </w:rPr>
        <w:t>%.</w:t>
      </w:r>
      <w:r w:rsidR="00A651AB" w:rsidRPr="003164CE">
        <w:rPr>
          <w:rFonts w:ascii="Tahoma" w:eastAsia="Calibri" w:hAnsi="Tahoma" w:cs="Tahoma"/>
          <w:bCs/>
          <w:sz w:val="24"/>
          <w:szCs w:val="24"/>
        </w:rPr>
        <w:t xml:space="preserve"> Î</w:t>
      </w:r>
      <w:r w:rsidR="00441F30" w:rsidRPr="003164CE">
        <w:rPr>
          <w:rFonts w:ascii="Tahoma" w:eastAsia="Calibri" w:hAnsi="Tahoma" w:cs="Tahoma"/>
          <w:bCs/>
          <w:sz w:val="24"/>
          <w:szCs w:val="24"/>
        </w:rPr>
        <w:t xml:space="preserve">n primul semestru al anului </w:t>
      </w:r>
      <w:r w:rsidR="00A651AB" w:rsidRPr="003164CE">
        <w:rPr>
          <w:rFonts w:ascii="Tahoma" w:eastAsia="Calibri" w:hAnsi="Tahoma" w:cs="Tahoma"/>
          <w:bCs/>
          <w:sz w:val="24"/>
          <w:szCs w:val="24"/>
        </w:rPr>
        <w:t xml:space="preserve">curent </w:t>
      </w:r>
      <w:r w:rsidR="00441F30" w:rsidRPr="003164CE">
        <w:rPr>
          <w:rFonts w:ascii="Tahoma" w:eastAsia="Calibri" w:hAnsi="Tahoma" w:cs="Tahoma"/>
          <w:bCs/>
          <w:sz w:val="24"/>
          <w:szCs w:val="24"/>
        </w:rPr>
        <w:t xml:space="preserve">se înregistrează depășiri, peste pragul de 50% față de programul inițial la următorii ordonatori </w:t>
      </w:r>
      <w:r w:rsidR="00573C63" w:rsidRPr="003164CE">
        <w:rPr>
          <w:rFonts w:ascii="Tahoma" w:eastAsia="Calibri" w:hAnsi="Tahoma" w:cs="Tahoma"/>
          <w:bCs/>
          <w:sz w:val="24"/>
          <w:szCs w:val="24"/>
        </w:rPr>
        <w:t>principali de credite</w:t>
      </w:r>
      <w:r w:rsidR="008E3DC0" w:rsidRPr="003164CE">
        <w:rPr>
          <w:rFonts w:ascii="Tahoma" w:eastAsia="Calibri" w:hAnsi="Tahoma" w:cs="Tahoma"/>
          <w:bCs/>
          <w:sz w:val="24"/>
          <w:szCs w:val="24"/>
        </w:rPr>
        <w:t xml:space="preserve"> ai bugetului de stat</w:t>
      </w:r>
      <w:r w:rsidR="001835AA" w:rsidRPr="003164CE">
        <w:rPr>
          <w:rFonts w:ascii="Tahoma" w:eastAsia="Calibri" w:hAnsi="Tahoma" w:cs="Tahoma"/>
          <w:bCs/>
          <w:sz w:val="24"/>
          <w:szCs w:val="24"/>
        </w:rPr>
        <w:t xml:space="preserve">: </w:t>
      </w:r>
      <w:r w:rsidR="00A651AB" w:rsidRPr="003164CE">
        <w:rPr>
          <w:rFonts w:ascii="Tahoma" w:eastAsia="Calibri" w:hAnsi="Tahoma" w:cs="Tahoma"/>
          <w:bCs/>
          <w:sz w:val="24"/>
          <w:szCs w:val="24"/>
        </w:rPr>
        <w:t xml:space="preserve">Ministerul Afacerilor Externe 75,6%, </w:t>
      </w:r>
      <w:r w:rsidR="001835AA" w:rsidRPr="003164CE">
        <w:rPr>
          <w:rFonts w:ascii="Tahoma" w:eastAsia="Calibri" w:hAnsi="Tahoma" w:cs="Tahoma"/>
          <w:bCs/>
          <w:sz w:val="24"/>
          <w:szCs w:val="24"/>
        </w:rPr>
        <w:t>M</w:t>
      </w:r>
      <w:r w:rsidR="00A651AB" w:rsidRPr="003164CE">
        <w:rPr>
          <w:rFonts w:ascii="Tahoma" w:eastAsia="Calibri" w:hAnsi="Tahoma" w:cs="Tahoma"/>
          <w:bCs/>
          <w:sz w:val="24"/>
          <w:szCs w:val="24"/>
        </w:rPr>
        <w:t>inisterul</w:t>
      </w:r>
      <w:r w:rsidR="001835AA" w:rsidRPr="003164CE">
        <w:rPr>
          <w:rFonts w:ascii="Tahoma" w:eastAsia="Calibri" w:hAnsi="Tahoma" w:cs="Tahoma"/>
          <w:bCs/>
          <w:sz w:val="24"/>
          <w:szCs w:val="24"/>
        </w:rPr>
        <w:t xml:space="preserve"> Justiției 51</w:t>
      </w:r>
      <w:r w:rsidR="00A651AB" w:rsidRPr="003164CE">
        <w:rPr>
          <w:rFonts w:ascii="Tahoma" w:eastAsia="Calibri" w:hAnsi="Tahoma" w:cs="Tahoma"/>
          <w:bCs/>
          <w:sz w:val="24"/>
          <w:szCs w:val="24"/>
        </w:rPr>
        <w:t>,4</w:t>
      </w:r>
      <w:r w:rsidR="001835AA" w:rsidRPr="003164CE">
        <w:rPr>
          <w:rFonts w:ascii="Tahoma" w:eastAsia="Calibri" w:hAnsi="Tahoma" w:cs="Tahoma"/>
          <w:bCs/>
          <w:sz w:val="24"/>
          <w:szCs w:val="24"/>
        </w:rPr>
        <w:t>%, Ministerul T</w:t>
      </w:r>
      <w:r w:rsidR="00441F30" w:rsidRPr="003164CE">
        <w:rPr>
          <w:rFonts w:ascii="Tahoma" w:eastAsia="Calibri" w:hAnsi="Tahoma" w:cs="Tahoma"/>
          <w:bCs/>
          <w:sz w:val="24"/>
          <w:szCs w:val="24"/>
        </w:rPr>
        <w:t>ransporturilor</w:t>
      </w:r>
      <w:r w:rsidR="00A651AB" w:rsidRPr="003164CE">
        <w:rPr>
          <w:rFonts w:ascii="Tahoma" w:eastAsia="Calibri" w:hAnsi="Tahoma" w:cs="Tahoma"/>
          <w:bCs/>
          <w:sz w:val="24"/>
          <w:szCs w:val="24"/>
        </w:rPr>
        <w:t xml:space="preserve"> și Infrastructurii</w:t>
      </w:r>
      <w:r w:rsidR="001835AA" w:rsidRPr="003164CE">
        <w:rPr>
          <w:rFonts w:ascii="Tahoma" w:eastAsia="Calibri" w:hAnsi="Tahoma" w:cs="Tahoma"/>
          <w:bCs/>
          <w:sz w:val="24"/>
          <w:szCs w:val="24"/>
        </w:rPr>
        <w:t xml:space="preserve"> 53,1%, </w:t>
      </w:r>
      <w:r w:rsidR="00A651AB" w:rsidRPr="003164CE">
        <w:rPr>
          <w:rFonts w:ascii="Tahoma" w:eastAsia="Calibri" w:hAnsi="Tahoma" w:cs="Tahoma"/>
          <w:bCs/>
          <w:sz w:val="24"/>
          <w:szCs w:val="24"/>
        </w:rPr>
        <w:t xml:space="preserve">Ministerul Agriculturii și Dezvoltării Rurale </w:t>
      </w:r>
      <w:r w:rsidR="001835AA" w:rsidRPr="003164CE">
        <w:rPr>
          <w:rFonts w:ascii="Tahoma" w:eastAsia="Calibri" w:hAnsi="Tahoma" w:cs="Tahoma"/>
          <w:bCs/>
          <w:sz w:val="24"/>
          <w:szCs w:val="24"/>
        </w:rPr>
        <w:lastRenderedPageBreak/>
        <w:t>52</w:t>
      </w:r>
      <w:r w:rsidR="00A651AB" w:rsidRPr="003164CE">
        <w:rPr>
          <w:rFonts w:ascii="Tahoma" w:eastAsia="Calibri" w:hAnsi="Tahoma" w:cs="Tahoma"/>
          <w:bCs/>
          <w:sz w:val="24"/>
          <w:szCs w:val="24"/>
        </w:rPr>
        <w:t>,</w:t>
      </w:r>
      <w:r w:rsidR="001835AA" w:rsidRPr="003164CE">
        <w:rPr>
          <w:rFonts w:ascii="Tahoma" w:eastAsia="Calibri" w:hAnsi="Tahoma" w:cs="Tahoma"/>
          <w:bCs/>
          <w:sz w:val="24"/>
          <w:szCs w:val="24"/>
        </w:rPr>
        <w:t xml:space="preserve">2%, Ministerul Educației </w:t>
      </w:r>
      <w:r w:rsidR="00A651AB" w:rsidRPr="003164CE">
        <w:rPr>
          <w:rFonts w:ascii="Tahoma" w:eastAsia="Calibri" w:hAnsi="Tahoma" w:cs="Tahoma"/>
          <w:bCs/>
          <w:sz w:val="24"/>
          <w:szCs w:val="24"/>
        </w:rPr>
        <w:t>51,0%, Autoritatea Electorală Permanentă 63,3%,</w:t>
      </w:r>
      <w:r w:rsidR="008E12AA">
        <w:rPr>
          <w:rFonts w:ascii="Tahoma" w:eastAsia="Calibri" w:hAnsi="Tahoma" w:cs="Tahoma"/>
          <w:bCs/>
          <w:sz w:val="24"/>
          <w:szCs w:val="24"/>
        </w:rPr>
        <w:t xml:space="preserve"> </w:t>
      </w:r>
      <w:r w:rsidR="00A651AB" w:rsidRPr="003164CE">
        <w:rPr>
          <w:rFonts w:ascii="Tahoma" w:eastAsia="Calibri" w:hAnsi="Tahoma" w:cs="Tahoma"/>
          <w:bCs/>
          <w:sz w:val="24"/>
          <w:szCs w:val="24"/>
        </w:rPr>
        <w:t>Ministerul Investițiilor și Proiectelor Europene 53,5</w:t>
      </w:r>
      <w:r w:rsidR="008E12AA">
        <w:rPr>
          <w:rFonts w:ascii="Tahoma" w:eastAsia="Calibri" w:hAnsi="Tahoma" w:cs="Tahoma"/>
          <w:bCs/>
          <w:sz w:val="24"/>
          <w:szCs w:val="24"/>
        </w:rPr>
        <w:t>%</w:t>
      </w:r>
      <w:r w:rsidR="00A651AB" w:rsidRPr="003164CE">
        <w:rPr>
          <w:rFonts w:ascii="Tahoma" w:eastAsia="Calibri" w:hAnsi="Tahoma" w:cs="Tahoma"/>
          <w:bCs/>
          <w:sz w:val="24"/>
          <w:szCs w:val="24"/>
        </w:rPr>
        <w:t>.</w:t>
      </w:r>
    </w:p>
    <w:p w:rsidR="00D36907" w:rsidRPr="003164CE" w:rsidRDefault="008E3DC0" w:rsidP="00D36907">
      <w:pPr>
        <w:spacing w:before="120" w:after="120" w:line="276" w:lineRule="auto"/>
        <w:ind w:firstLine="0"/>
        <w:rPr>
          <w:rFonts w:ascii="Tahoma" w:eastAsia="Calibri" w:hAnsi="Tahoma" w:cs="Tahoma"/>
          <w:bCs/>
          <w:sz w:val="24"/>
          <w:szCs w:val="24"/>
        </w:rPr>
      </w:pPr>
      <w:r w:rsidRPr="003164CE">
        <w:rPr>
          <w:rFonts w:ascii="Tahoma" w:eastAsia="Calibri" w:hAnsi="Tahoma" w:cs="Tahoma"/>
          <w:bCs/>
          <w:sz w:val="24"/>
          <w:szCs w:val="24"/>
        </w:rPr>
        <w:t>Din analiza prevederilor bugetare</w:t>
      </w:r>
      <w:r w:rsidR="0004104D" w:rsidRPr="003164CE">
        <w:rPr>
          <w:rFonts w:ascii="Tahoma" w:eastAsia="Calibri" w:hAnsi="Tahoma" w:cs="Tahoma"/>
          <w:bCs/>
          <w:sz w:val="24"/>
          <w:szCs w:val="24"/>
        </w:rPr>
        <w:t xml:space="preserve"> a cheltuielilor de personal</w:t>
      </w:r>
      <w:r w:rsidRPr="003164CE">
        <w:rPr>
          <w:rFonts w:ascii="Tahoma" w:eastAsia="Calibri" w:hAnsi="Tahoma" w:cs="Tahoma"/>
          <w:bCs/>
          <w:sz w:val="24"/>
          <w:szCs w:val="24"/>
        </w:rPr>
        <w:t xml:space="preserve"> se observă o majorare programului semestrial față de cel inițial la o parte din ordonatorii principali de credite, respectiv </w:t>
      </w:r>
      <w:r w:rsidR="00D36907" w:rsidRPr="003164CE">
        <w:rPr>
          <w:rFonts w:ascii="Tahoma" w:eastAsia="Calibri" w:hAnsi="Tahoma" w:cs="Tahoma"/>
          <w:bCs/>
          <w:sz w:val="24"/>
          <w:szCs w:val="24"/>
        </w:rPr>
        <w:t>Ministerul Afacerilor Interne</w:t>
      </w:r>
      <w:r w:rsidRPr="003164CE">
        <w:rPr>
          <w:rFonts w:ascii="Tahoma" w:eastAsia="Calibri" w:hAnsi="Tahoma" w:cs="Tahoma"/>
          <w:bCs/>
          <w:sz w:val="24"/>
          <w:szCs w:val="24"/>
        </w:rPr>
        <w:t xml:space="preserve">, </w:t>
      </w:r>
      <w:r w:rsidR="00D36907" w:rsidRPr="003164CE">
        <w:rPr>
          <w:rFonts w:ascii="Tahoma" w:eastAsia="Calibri" w:hAnsi="Tahoma" w:cs="Tahoma"/>
          <w:bCs/>
          <w:sz w:val="24"/>
          <w:szCs w:val="24"/>
        </w:rPr>
        <w:t>Ministerul Afacerilor Externe, Ministerul Mediului, Apelor si Pădurilor, Secretariatul General al Guvernului,</w:t>
      </w:r>
      <w:r w:rsidR="00D36907" w:rsidRPr="003164CE">
        <w:rPr>
          <w:rFonts w:ascii="Arial" w:hAnsi="Arial" w:cs="Arial"/>
          <w:sz w:val="18"/>
          <w:szCs w:val="18"/>
        </w:rPr>
        <w:t xml:space="preserve"> </w:t>
      </w:r>
      <w:r w:rsidR="00D36907" w:rsidRPr="003164CE">
        <w:rPr>
          <w:rFonts w:ascii="Tahoma" w:eastAsia="Calibri" w:hAnsi="Tahoma" w:cs="Tahoma"/>
          <w:bCs/>
          <w:sz w:val="24"/>
          <w:szCs w:val="24"/>
        </w:rPr>
        <w:t>Serviciul de Telecomunicații Speciale</w:t>
      </w:r>
      <w:r w:rsidR="0004104D" w:rsidRPr="003164CE">
        <w:rPr>
          <w:rFonts w:ascii="Tahoma" w:eastAsia="Calibri" w:hAnsi="Tahoma" w:cs="Tahoma"/>
          <w:bCs/>
          <w:sz w:val="24"/>
          <w:szCs w:val="24"/>
        </w:rPr>
        <w:t>, Autoritatea Electorală Permanentă.</w:t>
      </w:r>
      <w:r w:rsidR="00D36907" w:rsidRPr="003164CE">
        <w:rPr>
          <w:rFonts w:ascii="Tahoma" w:eastAsia="Calibri" w:hAnsi="Tahoma" w:cs="Tahoma"/>
          <w:bCs/>
          <w:sz w:val="24"/>
          <w:szCs w:val="24"/>
        </w:rPr>
        <w:t xml:space="preserve"> </w:t>
      </w:r>
    </w:p>
    <w:p w:rsidR="008E3DC0" w:rsidRPr="003164CE" w:rsidRDefault="0004104D" w:rsidP="008E3DC0">
      <w:pPr>
        <w:spacing w:before="120" w:after="120" w:line="276" w:lineRule="auto"/>
        <w:ind w:firstLine="0"/>
        <w:rPr>
          <w:rFonts w:ascii="Tahoma" w:eastAsia="Calibri" w:hAnsi="Tahoma" w:cs="Tahoma"/>
          <w:bCs/>
          <w:sz w:val="24"/>
          <w:szCs w:val="24"/>
        </w:rPr>
      </w:pPr>
      <w:r w:rsidRPr="003164CE">
        <w:rPr>
          <w:rFonts w:ascii="Tahoma" w:eastAsia="Calibri" w:hAnsi="Tahoma" w:cs="Tahoma"/>
          <w:bCs/>
          <w:sz w:val="24"/>
          <w:szCs w:val="24"/>
        </w:rPr>
        <w:t>În perioada analizată ponderea cea mai mare în total</w:t>
      </w:r>
      <w:r w:rsidR="008E3DC0" w:rsidRPr="003164CE">
        <w:rPr>
          <w:rFonts w:ascii="Tahoma" w:eastAsia="Calibri" w:hAnsi="Tahoma" w:cs="Tahoma"/>
          <w:bCs/>
          <w:sz w:val="24"/>
          <w:szCs w:val="24"/>
        </w:rPr>
        <w:t xml:space="preserve"> cheltuieli de personal </w:t>
      </w:r>
      <w:r w:rsidRPr="003164CE">
        <w:rPr>
          <w:rFonts w:ascii="Tahoma" w:eastAsia="Calibri" w:hAnsi="Tahoma" w:cs="Tahoma"/>
          <w:bCs/>
          <w:sz w:val="24"/>
          <w:szCs w:val="24"/>
        </w:rPr>
        <w:t>o reprezintă cheltuielile de personal</w:t>
      </w:r>
      <w:r w:rsidR="008E3DC0" w:rsidRPr="003164CE">
        <w:rPr>
          <w:rFonts w:ascii="Tahoma" w:eastAsia="Calibri" w:hAnsi="Tahoma" w:cs="Tahoma"/>
          <w:bCs/>
          <w:sz w:val="24"/>
          <w:szCs w:val="24"/>
        </w:rPr>
        <w:t xml:space="preserve"> la bugetul de stat respectiv </w:t>
      </w:r>
      <w:r w:rsidRPr="003164CE">
        <w:rPr>
          <w:rFonts w:ascii="Tahoma" w:eastAsia="Calibri" w:hAnsi="Tahoma" w:cs="Tahoma"/>
          <w:bCs/>
          <w:sz w:val="24"/>
          <w:szCs w:val="24"/>
        </w:rPr>
        <w:t>53,8%</w:t>
      </w:r>
      <w:r w:rsidR="008E3DC0" w:rsidRPr="003164CE">
        <w:rPr>
          <w:rFonts w:ascii="Tahoma" w:eastAsia="Calibri" w:hAnsi="Tahoma" w:cs="Tahoma"/>
          <w:bCs/>
          <w:sz w:val="24"/>
          <w:szCs w:val="24"/>
        </w:rPr>
        <w:t>, din care, 75,</w:t>
      </w:r>
      <w:r w:rsidRPr="003164CE">
        <w:rPr>
          <w:rFonts w:ascii="Tahoma" w:eastAsia="Calibri" w:hAnsi="Tahoma" w:cs="Tahoma"/>
          <w:bCs/>
          <w:sz w:val="24"/>
          <w:szCs w:val="24"/>
        </w:rPr>
        <w:t>7</w:t>
      </w:r>
      <w:r w:rsidR="008E3DC0" w:rsidRPr="003164CE">
        <w:rPr>
          <w:rFonts w:ascii="Tahoma" w:eastAsia="Calibri" w:hAnsi="Tahoma" w:cs="Tahoma"/>
          <w:bCs/>
          <w:sz w:val="24"/>
          <w:szCs w:val="24"/>
        </w:rPr>
        <w:t xml:space="preserve">% din </w:t>
      </w:r>
      <w:r w:rsidRPr="003164CE">
        <w:rPr>
          <w:rFonts w:ascii="Tahoma" w:eastAsia="Calibri" w:hAnsi="Tahoma" w:cs="Tahoma"/>
          <w:bCs/>
          <w:sz w:val="24"/>
          <w:szCs w:val="24"/>
        </w:rPr>
        <w:t>acestea</w:t>
      </w:r>
      <w:r w:rsidR="008E3DC0" w:rsidRPr="003164CE">
        <w:rPr>
          <w:rFonts w:ascii="Tahoma" w:eastAsia="Calibri" w:hAnsi="Tahoma" w:cs="Tahoma"/>
          <w:bCs/>
          <w:sz w:val="24"/>
          <w:szCs w:val="24"/>
        </w:rPr>
        <w:t xml:space="preserve"> o reprezintă cheltuielile din structurile de apărare</w:t>
      </w:r>
      <w:r w:rsidRPr="003164CE">
        <w:rPr>
          <w:rFonts w:ascii="Tahoma" w:eastAsia="Calibri" w:hAnsi="Tahoma" w:cs="Tahoma"/>
          <w:bCs/>
          <w:sz w:val="24"/>
          <w:szCs w:val="24"/>
        </w:rPr>
        <w:t>,</w:t>
      </w:r>
      <w:r w:rsidR="008E3DC0" w:rsidRPr="003164CE">
        <w:rPr>
          <w:rFonts w:ascii="Tahoma" w:eastAsia="Calibri" w:hAnsi="Tahoma" w:cs="Tahoma"/>
          <w:bCs/>
          <w:sz w:val="24"/>
          <w:szCs w:val="24"/>
        </w:rPr>
        <w:t xml:space="preserve"> o</w:t>
      </w:r>
      <w:r w:rsidR="00E640AD">
        <w:rPr>
          <w:rFonts w:ascii="Tahoma" w:eastAsia="Calibri" w:hAnsi="Tahoma" w:cs="Tahoma"/>
          <w:bCs/>
          <w:sz w:val="24"/>
          <w:szCs w:val="24"/>
        </w:rPr>
        <w:t>r</w:t>
      </w:r>
      <w:r w:rsidR="008E3DC0" w:rsidRPr="003164CE">
        <w:rPr>
          <w:rFonts w:ascii="Tahoma" w:eastAsia="Calibri" w:hAnsi="Tahoma" w:cs="Tahoma"/>
          <w:bCs/>
          <w:sz w:val="24"/>
          <w:szCs w:val="24"/>
        </w:rPr>
        <w:t>dine publică și învățământ</w:t>
      </w:r>
      <w:r w:rsidR="008E12AA">
        <w:rPr>
          <w:rFonts w:ascii="Tahoma" w:eastAsia="Calibri" w:hAnsi="Tahoma" w:cs="Tahoma"/>
          <w:bCs/>
          <w:sz w:val="24"/>
          <w:szCs w:val="24"/>
        </w:rPr>
        <w:t xml:space="preserve"> </w:t>
      </w:r>
      <w:r w:rsidR="00813C33" w:rsidRPr="003164CE">
        <w:rPr>
          <w:rFonts w:ascii="Tahoma" w:eastAsia="Calibri" w:hAnsi="Tahoma" w:cs="Tahoma"/>
          <w:bCs/>
          <w:sz w:val="24"/>
          <w:szCs w:val="24"/>
        </w:rPr>
        <w:t>(</w:t>
      </w:r>
      <w:r w:rsidR="008E3DC0" w:rsidRPr="003164CE">
        <w:rPr>
          <w:rFonts w:ascii="Tahoma" w:eastAsia="Calibri" w:hAnsi="Tahoma" w:cs="Tahoma"/>
          <w:bCs/>
          <w:sz w:val="24"/>
          <w:szCs w:val="24"/>
        </w:rPr>
        <w:t>Ministerului Educației 40</w:t>
      </w:r>
      <w:r w:rsidR="00813C33" w:rsidRPr="003164CE">
        <w:rPr>
          <w:rFonts w:ascii="Tahoma" w:eastAsia="Calibri" w:hAnsi="Tahoma" w:cs="Tahoma"/>
          <w:bCs/>
          <w:sz w:val="24"/>
          <w:szCs w:val="24"/>
        </w:rPr>
        <w:t>,4</w:t>
      </w:r>
      <w:r w:rsidR="008E3DC0" w:rsidRPr="003164CE">
        <w:rPr>
          <w:rFonts w:ascii="Tahoma" w:eastAsia="Calibri" w:hAnsi="Tahoma" w:cs="Tahoma"/>
          <w:bCs/>
          <w:sz w:val="24"/>
          <w:szCs w:val="24"/>
        </w:rPr>
        <w:t xml:space="preserve">%, </w:t>
      </w:r>
      <w:r w:rsidR="00813C33" w:rsidRPr="003164CE">
        <w:rPr>
          <w:rFonts w:ascii="Tahoma" w:eastAsia="Calibri" w:hAnsi="Tahoma" w:cs="Tahoma"/>
          <w:bCs/>
          <w:sz w:val="24"/>
          <w:szCs w:val="24"/>
        </w:rPr>
        <w:t>Ministerul Afacerilor Interne</w:t>
      </w:r>
      <w:r w:rsidR="008E3DC0" w:rsidRPr="003164CE">
        <w:rPr>
          <w:rFonts w:ascii="Tahoma" w:eastAsia="Calibri" w:hAnsi="Tahoma" w:cs="Tahoma"/>
          <w:bCs/>
          <w:sz w:val="24"/>
          <w:szCs w:val="24"/>
        </w:rPr>
        <w:t xml:space="preserve"> 22,5%</w:t>
      </w:r>
      <w:r w:rsidR="00813C33" w:rsidRPr="003164CE">
        <w:rPr>
          <w:rFonts w:ascii="Tahoma" w:eastAsia="Calibri" w:hAnsi="Tahoma" w:cs="Tahoma"/>
          <w:bCs/>
          <w:sz w:val="24"/>
          <w:szCs w:val="24"/>
        </w:rPr>
        <w:t>,</w:t>
      </w:r>
      <w:r w:rsidR="008E3DC0" w:rsidRPr="003164CE">
        <w:rPr>
          <w:rFonts w:ascii="Tahoma" w:eastAsia="Calibri" w:hAnsi="Tahoma" w:cs="Tahoma"/>
          <w:bCs/>
          <w:sz w:val="24"/>
          <w:szCs w:val="24"/>
        </w:rPr>
        <w:t xml:space="preserve"> </w:t>
      </w:r>
      <w:r w:rsidR="00813C33" w:rsidRPr="003164CE">
        <w:rPr>
          <w:rFonts w:ascii="Tahoma" w:eastAsia="Calibri" w:hAnsi="Tahoma" w:cs="Tahoma"/>
          <w:bCs/>
          <w:sz w:val="24"/>
          <w:szCs w:val="24"/>
        </w:rPr>
        <w:t>Ministerul Apărării Naționale</w:t>
      </w:r>
      <w:r w:rsidR="008E3DC0" w:rsidRPr="003164CE">
        <w:rPr>
          <w:rFonts w:ascii="Tahoma" w:eastAsia="Calibri" w:hAnsi="Tahoma" w:cs="Tahoma"/>
          <w:bCs/>
          <w:sz w:val="24"/>
          <w:szCs w:val="24"/>
        </w:rPr>
        <w:t xml:space="preserve"> 12,</w:t>
      </w:r>
      <w:r w:rsidR="00813C33" w:rsidRPr="003164CE">
        <w:rPr>
          <w:rFonts w:ascii="Tahoma" w:eastAsia="Calibri" w:hAnsi="Tahoma" w:cs="Tahoma"/>
          <w:bCs/>
          <w:sz w:val="24"/>
          <w:szCs w:val="24"/>
        </w:rPr>
        <w:t>8</w:t>
      </w:r>
      <w:r w:rsidR="008E3DC0" w:rsidRPr="003164CE">
        <w:rPr>
          <w:rFonts w:ascii="Tahoma" w:eastAsia="Calibri" w:hAnsi="Tahoma" w:cs="Tahoma"/>
          <w:bCs/>
          <w:sz w:val="24"/>
          <w:szCs w:val="24"/>
        </w:rPr>
        <w:t>%</w:t>
      </w:r>
      <w:r w:rsidR="00813C33" w:rsidRPr="003164CE">
        <w:rPr>
          <w:rFonts w:ascii="Tahoma" w:eastAsia="Calibri" w:hAnsi="Tahoma" w:cs="Tahoma"/>
          <w:bCs/>
          <w:sz w:val="24"/>
          <w:szCs w:val="24"/>
        </w:rPr>
        <w:t>)</w:t>
      </w:r>
      <w:r w:rsidR="008E3DC0" w:rsidRPr="003164CE">
        <w:rPr>
          <w:rFonts w:ascii="Tahoma" w:eastAsia="Calibri" w:hAnsi="Tahoma" w:cs="Tahoma"/>
          <w:bCs/>
          <w:sz w:val="24"/>
          <w:szCs w:val="24"/>
        </w:rPr>
        <w:t>.</w:t>
      </w:r>
    </w:p>
    <w:p w:rsidR="00441F30" w:rsidRPr="003164CE" w:rsidRDefault="008E3DC0" w:rsidP="00092DC0">
      <w:pPr>
        <w:spacing w:before="120" w:after="120" w:line="276" w:lineRule="auto"/>
        <w:ind w:firstLine="0"/>
        <w:rPr>
          <w:rFonts w:ascii="Tahoma" w:eastAsia="Calibri" w:hAnsi="Tahoma" w:cs="Tahoma"/>
          <w:bCs/>
          <w:sz w:val="24"/>
          <w:szCs w:val="24"/>
        </w:rPr>
      </w:pPr>
      <w:r w:rsidRPr="003164CE">
        <w:rPr>
          <w:rFonts w:ascii="Tahoma" w:eastAsia="Calibri" w:hAnsi="Tahoma" w:cs="Tahoma"/>
          <w:bCs/>
          <w:sz w:val="24"/>
          <w:szCs w:val="24"/>
        </w:rPr>
        <w:t>În absența unor măsuri de stopare a cheltuielilor de personal în special la ordonatorii principali de credite care înregistrează deja depășiri față de pragul de 50% și care dețin o pondere ridicată în totalul cheltuielilor de personal, măsurile de reducere a unor sporuri doar pentru unele categorii de personal bugetar,</w:t>
      </w:r>
      <w:r w:rsidR="00813C33" w:rsidRPr="003164CE">
        <w:rPr>
          <w:rFonts w:ascii="Tahoma" w:eastAsia="Calibri" w:hAnsi="Tahoma" w:cs="Tahoma"/>
          <w:bCs/>
          <w:sz w:val="24"/>
          <w:szCs w:val="24"/>
        </w:rPr>
        <w:t xml:space="preserve"> nu poate conduce la reducerea</w:t>
      </w:r>
      <w:r w:rsidRPr="003164CE">
        <w:rPr>
          <w:rFonts w:ascii="Tahoma" w:eastAsia="Calibri" w:hAnsi="Tahoma" w:cs="Tahoma"/>
          <w:bCs/>
          <w:sz w:val="24"/>
          <w:szCs w:val="24"/>
        </w:rPr>
        <w:t xml:space="preserve"> ritmului de creștere a acestora.</w:t>
      </w:r>
    </w:p>
    <w:p w:rsidR="005641A3" w:rsidRPr="003164CE" w:rsidRDefault="004D6D76" w:rsidP="00A1506E">
      <w:pPr>
        <w:spacing w:after="120" w:line="276" w:lineRule="auto"/>
        <w:ind w:firstLine="0"/>
        <w:rPr>
          <w:rFonts w:ascii="Tahoma" w:hAnsi="Tahoma" w:cs="Tahoma"/>
          <w:bCs/>
          <w:sz w:val="24"/>
          <w:szCs w:val="24"/>
        </w:rPr>
      </w:pPr>
      <w:r w:rsidRPr="003164CE">
        <w:rPr>
          <w:rFonts w:ascii="Tahoma" w:hAnsi="Tahoma" w:cs="Tahoma"/>
          <w:b/>
          <w:bCs/>
          <w:sz w:val="24"/>
          <w:szCs w:val="24"/>
        </w:rPr>
        <w:t xml:space="preserve">Cheltuielile cu bunuri </w:t>
      </w:r>
      <w:r w:rsidR="00247A3D" w:rsidRPr="003164CE">
        <w:rPr>
          <w:rFonts w:ascii="Tahoma" w:hAnsi="Tahoma" w:cs="Tahoma"/>
          <w:b/>
          <w:bCs/>
          <w:sz w:val="24"/>
          <w:szCs w:val="24"/>
        </w:rPr>
        <w:t>și</w:t>
      </w:r>
      <w:r w:rsidRPr="003164CE">
        <w:rPr>
          <w:rFonts w:ascii="Tahoma" w:hAnsi="Tahoma" w:cs="Tahoma"/>
          <w:b/>
          <w:bCs/>
          <w:sz w:val="24"/>
          <w:szCs w:val="24"/>
        </w:rPr>
        <w:t xml:space="preserve"> servicii </w:t>
      </w:r>
      <w:r w:rsidRPr="003164CE">
        <w:rPr>
          <w:rFonts w:ascii="Tahoma" w:hAnsi="Tahoma" w:cs="Tahoma"/>
          <w:bCs/>
          <w:sz w:val="24"/>
          <w:szCs w:val="24"/>
        </w:rPr>
        <w:t xml:space="preserve">au totalizat </w:t>
      </w:r>
      <w:r w:rsidR="00906C17" w:rsidRPr="003164CE">
        <w:rPr>
          <w:rFonts w:ascii="Tahoma" w:hAnsi="Tahoma" w:cs="Tahoma"/>
          <w:bCs/>
          <w:sz w:val="24"/>
          <w:szCs w:val="24"/>
        </w:rPr>
        <w:t>45,</w:t>
      </w:r>
      <w:r w:rsidR="004138AC" w:rsidRPr="003164CE">
        <w:rPr>
          <w:rFonts w:ascii="Tahoma" w:hAnsi="Tahoma" w:cs="Tahoma"/>
          <w:bCs/>
          <w:sz w:val="24"/>
          <w:szCs w:val="24"/>
        </w:rPr>
        <w:t>51</w:t>
      </w:r>
      <w:r w:rsidR="00E401A6" w:rsidRPr="003164CE">
        <w:rPr>
          <w:rFonts w:ascii="Tahoma" w:hAnsi="Tahoma" w:cs="Tahoma"/>
          <w:bCs/>
          <w:sz w:val="24"/>
          <w:szCs w:val="24"/>
        </w:rPr>
        <w:t xml:space="preserve"> miliarde </w:t>
      </w:r>
      <w:r w:rsidR="003A634F" w:rsidRPr="003164CE">
        <w:rPr>
          <w:rFonts w:ascii="Tahoma" w:hAnsi="Tahoma" w:cs="Tahoma"/>
          <w:bCs/>
          <w:sz w:val="24"/>
          <w:szCs w:val="24"/>
        </w:rPr>
        <w:t>lei</w:t>
      </w:r>
      <w:r w:rsidRPr="003164CE">
        <w:rPr>
          <w:rFonts w:ascii="Tahoma" w:hAnsi="Tahoma" w:cs="Tahoma"/>
          <w:bCs/>
          <w:sz w:val="24"/>
          <w:szCs w:val="24"/>
        </w:rPr>
        <w:t xml:space="preserve"> în creștere cu </w:t>
      </w:r>
      <w:r w:rsidR="004138AC" w:rsidRPr="003164CE">
        <w:rPr>
          <w:rFonts w:ascii="Tahoma" w:hAnsi="Tahoma" w:cs="Tahoma"/>
          <w:bCs/>
          <w:sz w:val="24"/>
          <w:szCs w:val="24"/>
        </w:rPr>
        <w:t>1,0</w:t>
      </w:r>
      <w:r w:rsidRPr="003164CE">
        <w:rPr>
          <w:rFonts w:ascii="Tahoma" w:hAnsi="Tahoma" w:cs="Tahoma"/>
          <w:bCs/>
          <w:sz w:val="24"/>
          <w:szCs w:val="24"/>
        </w:rPr>
        <w:t xml:space="preserve">% față de aceeași perioadă a anului precedent </w:t>
      </w:r>
      <w:r w:rsidR="00247A3D" w:rsidRPr="003164CE">
        <w:rPr>
          <w:rFonts w:ascii="Tahoma" w:hAnsi="Tahoma" w:cs="Tahoma"/>
          <w:bCs/>
          <w:sz w:val="24"/>
          <w:szCs w:val="24"/>
        </w:rPr>
        <w:t>și</w:t>
      </w:r>
      <w:r w:rsidRPr="003164CE">
        <w:rPr>
          <w:rFonts w:ascii="Tahoma" w:hAnsi="Tahoma" w:cs="Tahoma"/>
          <w:bCs/>
          <w:sz w:val="24"/>
          <w:szCs w:val="24"/>
        </w:rPr>
        <w:t xml:space="preserve"> s-au realizat în proporție de </w:t>
      </w:r>
      <w:r w:rsidR="004138AC" w:rsidRPr="003164CE">
        <w:rPr>
          <w:rFonts w:ascii="Tahoma" w:hAnsi="Tahoma" w:cs="Tahoma"/>
          <w:bCs/>
          <w:sz w:val="24"/>
          <w:szCs w:val="24"/>
        </w:rPr>
        <w:t>98,2</w:t>
      </w:r>
      <w:r w:rsidRPr="003164CE">
        <w:rPr>
          <w:rFonts w:ascii="Tahoma" w:hAnsi="Tahoma" w:cs="Tahoma"/>
          <w:bCs/>
          <w:sz w:val="24"/>
          <w:szCs w:val="24"/>
        </w:rPr>
        <w:t>%.</w:t>
      </w:r>
      <w:r w:rsidR="00CA1E5F" w:rsidRPr="003164CE">
        <w:rPr>
          <w:rFonts w:ascii="Tahoma" w:hAnsi="Tahoma" w:cs="Tahoma"/>
          <w:bCs/>
          <w:sz w:val="24"/>
          <w:szCs w:val="24"/>
        </w:rPr>
        <w:t xml:space="preserve"> </w:t>
      </w:r>
      <w:r w:rsidR="00C62BCE" w:rsidRPr="003164CE">
        <w:rPr>
          <w:rFonts w:ascii="Tahoma" w:hAnsi="Tahoma" w:cs="Tahoma"/>
          <w:bCs/>
          <w:sz w:val="24"/>
          <w:szCs w:val="24"/>
        </w:rPr>
        <w:t>Ca procent în PIB che</w:t>
      </w:r>
      <w:r w:rsidR="00906C17" w:rsidRPr="003164CE">
        <w:rPr>
          <w:rFonts w:ascii="Tahoma" w:hAnsi="Tahoma" w:cs="Tahoma"/>
          <w:bCs/>
          <w:sz w:val="24"/>
          <w:szCs w:val="24"/>
        </w:rPr>
        <w:t xml:space="preserve">ltuielile cu bunuri și servicii au </w:t>
      </w:r>
      <w:r w:rsidR="004138AC" w:rsidRPr="003164CE">
        <w:rPr>
          <w:rFonts w:ascii="Tahoma" w:hAnsi="Tahoma" w:cs="Tahoma"/>
          <w:bCs/>
          <w:sz w:val="24"/>
          <w:szCs w:val="24"/>
        </w:rPr>
        <w:t>r</w:t>
      </w:r>
      <w:r w:rsidR="00976179" w:rsidRPr="003164CE">
        <w:rPr>
          <w:rFonts w:ascii="Tahoma" w:hAnsi="Tahoma" w:cs="Tahoma"/>
          <w:bCs/>
          <w:sz w:val="24"/>
          <w:szCs w:val="24"/>
        </w:rPr>
        <w:t>ă</w:t>
      </w:r>
      <w:r w:rsidR="004138AC" w:rsidRPr="003164CE">
        <w:rPr>
          <w:rFonts w:ascii="Tahoma" w:hAnsi="Tahoma" w:cs="Tahoma"/>
          <w:bCs/>
          <w:sz w:val="24"/>
          <w:szCs w:val="24"/>
        </w:rPr>
        <w:t>mas la același nivel de 2,4% din PIB înregistrat în aceeași perioadă a anului 2024.</w:t>
      </w:r>
      <w:r w:rsidR="00906C17" w:rsidRPr="003164CE">
        <w:rPr>
          <w:rFonts w:ascii="Tahoma" w:hAnsi="Tahoma" w:cs="Tahoma"/>
          <w:bCs/>
          <w:sz w:val="24"/>
          <w:szCs w:val="24"/>
        </w:rPr>
        <w:t xml:space="preserve"> </w:t>
      </w:r>
      <w:r w:rsidR="00092DC0" w:rsidRPr="003164CE">
        <w:rPr>
          <w:rFonts w:ascii="Tahoma" w:hAnsi="Tahoma" w:cs="Tahoma"/>
          <w:bCs/>
          <w:sz w:val="24"/>
          <w:szCs w:val="24"/>
        </w:rPr>
        <w:t>Acestea au înregistrat o diminuare în trimestrul II 2025 comparativ cu perioada similară a anului anterior.</w:t>
      </w:r>
    </w:p>
    <w:p w:rsidR="008131F9" w:rsidRPr="003164CE" w:rsidRDefault="004D6D76" w:rsidP="008131F9">
      <w:pPr>
        <w:spacing w:line="276" w:lineRule="auto"/>
        <w:ind w:firstLine="0"/>
        <w:rPr>
          <w:rFonts w:ascii="Tahoma" w:eastAsia="Calibri" w:hAnsi="Tahoma" w:cs="Tahoma"/>
          <w:bCs/>
          <w:sz w:val="24"/>
          <w:szCs w:val="24"/>
          <w:highlight w:val="yellow"/>
        </w:rPr>
      </w:pPr>
      <w:r w:rsidRPr="003164CE">
        <w:rPr>
          <w:rFonts w:ascii="Tahoma" w:hAnsi="Tahoma" w:cs="Tahoma"/>
          <w:b/>
          <w:sz w:val="24"/>
          <w:szCs w:val="24"/>
        </w:rPr>
        <w:t>Cheltui</w:t>
      </w:r>
      <w:r w:rsidRPr="003164CE">
        <w:rPr>
          <w:rFonts w:ascii="Tahoma" w:hAnsi="Tahoma" w:cs="Tahoma"/>
          <w:b/>
          <w:bCs/>
          <w:sz w:val="24"/>
          <w:szCs w:val="24"/>
        </w:rPr>
        <w:t xml:space="preserve">elile cu dobânzile </w:t>
      </w:r>
      <w:r w:rsidRPr="003164CE">
        <w:rPr>
          <w:rFonts w:ascii="Tahoma" w:hAnsi="Tahoma" w:cs="Tahoma"/>
          <w:sz w:val="24"/>
          <w:szCs w:val="24"/>
        </w:rPr>
        <w:t xml:space="preserve">au </w:t>
      </w:r>
      <w:r w:rsidR="00D26FEC" w:rsidRPr="003164CE">
        <w:rPr>
          <w:rFonts w:ascii="Tahoma" w:hAnsi="Tahoma" w:cs="Tahoma"/>
          <w:sz w:val="24"/>
          <w:szCs w:val="24"/>
        </w:rPr>
        <w:t xml:space="preserve">fost în sumă de </w:t>
      </w:r>
      <w:r w:rsidR="004138AC" w:rsidRPr="003164CE">
        <w:rPr>
          <w:rFonts w:ascii="Tahoma" w:hAnsi="Tahoma" w:cs="Tahoma"/>
          <w:sz w:val="24"/>
          <w:szCs w:val="24"/>
        </w:rPr>
        <w:t>25,23</w:t>
      </w:r>
      <w:r w:rsidR="00D26FEC" w:rsidRPr="003164CE">
        <w:rPr>
          <w:rFonts w:ascii="Tahoma" w:hAnsi="Tahoma" w:cs="Tahoma"/>
          <w:sz w:val="24"/>
          <w:szCs w:val="24"/>
        </w:rPr>
        <w:t xml:space="preserve"> miliarde </w:t>
      </w:r>
      <w:r w:rsidR="003A634F" w:rsidRPr="003164CE">
        <w:rPr>
          <w:rFonts w:ascii="Tahoma" w:hAnsi="Tahoma" w:cs="Tahoma"/>
          <w:sz w:val="24"/>
          <w:szCs w:val="24"/>
        </w:rPr>
        <w:t>lei</w:t>
      </w:r>
      <w:r w:rsidR="00B07E4B" w:rsidRPr="003164CE">
        <w:rPr>
          <w:rFonts w:ascii="Tahoma" w:hAnsi="Tahoma" w:cs="Tahoma"/>
          <w:sz w:val="24"/>
          <w:szCs w:val="24"/>
        </w:rPr>
        <w:t xml:space="preserve"> </w:t>
      </w:r>
      <w:r w:rsidR="00D26FEC" w:rsidRPr="003164CE">
        <w:rPr>
          <w:rFonts w:ascii="Tahoma" w:hAnsi="Tahoma" w:cs="Tahoma"/>
          <w:sz w:val="24"/>
          <w:szCs w:val="24"/>
        </w:rPr>
        <w:t>(</w:t>
      </w:r>
      <w:r w:rsidR="00A1506E" w:rsidRPr="003164CE">
        <w:rPr>
          <w:rFonts w:ascii="Tahoma" w:hAnsi="Tahoma" w:cs="Tahoma"/>
          <w:sz w:val="24"/>
          <w:szCs w:val="24"/>
        </w:rPr>
        <w:t>1,</w:t>
      </w:r>
      <w:r w:rsidR="004138AC" w:rsidRPr="003164CE">
        <w:rPr>
          <w:rFonts w:ascii="Tahoma" w:hAnsi="Tahoma" w:cs="Tahoma"/>
          <w:sz w:val="24"/>
          <w:szCs w:val="24"/>
        </w:rPr>
        <w:t>3</w:t>
      </w:r>
      <w:r w:rsidR="00D26FEC" w:rsidRPr="003164CE">
        <w:rPr>
          <w:rFonts w:ascii="Tahoma" w:hAnsi="Tahoma" w:cs="Tahoma"/>
          <w:sz w:val="24"/>
          <w:szCs w:val="24"/>
        </w:rPr>
        <w:t xml:space="preserve">% din PIB) </w:t>
      </w:r>
      <w:r w:rsidRPr="003164CE">
        <w:rPr>
          <w:rFonts w:ascii="Tahoma" w:hAnsi="Tahoma" w:cs="Tahoma"/>
          <w:bCs/>
          <w:sz w:val="24"/>
          <w:szCs w:val="24"/>
        </w:rPr>
        <w:t xml:space="preserve">cu </w:t>
      </w:r>
      <w:r w:rsidR="004138AC" w:rsidRPr="003164CE">
        <w:rPr>
          <w:rFonts w:ascii="Tahoma" w:hAnsi="Tahoma" w:cs="Tahoma"/>
          <w:bCs/>
          <w:sz w:val="24"/>
          <w:szCs w:val="24"/>
        </w:rPr>
        <w:t>43,3</w:t>
      </w:r>
      <w:r w:rsidRPr="003164CE">
        <w:rPr>
          <w:rFonts w:ascii="Tahoma" w:hAnsi="Tahoma" w:cs="Tahoma"/>
          <w:bCs/>
          <w:sz w:val="24"/>
          <w:szCs w:val="24"/>
        </w:rPr>
        <w:t xml:space="preserve">% </w:t>
      </w:r>
      <w:r w:rsidR="00AF6727" w:rsidRPr="003164CE">
        <w:rPr>
          <w:rFonts w:ascii="Tahoma" w:hAnsi="Tahoma" w:cs="Tahoma"/>
          <w:bCs/>
          <w:sz w:val="24"/>
          <w:szCs w:val="24"/>
        </w:rPr>
        <w:t xml:space="preserve">mai mari </w:t>
      </w:r>
      <w:r w:rsidRPr="003164CE">
        <w:rPr>
          <w:rFonts w:ascii="Tahoma" w:hAnsi="Tahoma" w:cs="Tahoma"/>
          <w:bCs/>
          <w:sz w:val="24"/>
          <w:szCs w:val="24"/>
        </w:rPr>
        <w:t>comparativ cu primul semestru al anului 20</w:t>
      </w:r>
      <w:r w:rsidR="00AF6727" w:rsidRPr="003164CE">
        <w:rPr>
          <w:rFonts w:ascii="Tahoma" w:hAnsi="Tahoma" w:cs="Tahoma"/>
          <w:bCs/>
          <w:sz w:val="24"/>
          <w:szCs w:val="24"/>
        </w:rPr>
        <w:t>2</w:t>
      </w:r>
      <w:r w:rsidR="004138AC" w:rsidRPr="003164CE">
        <w:rPr>
          <w:rFonts w:ascii="Tahoma" w:hAnsi="Tahoma" w:cs="Tahoma"/>
          <w:bCs/>
          <w:sz w:val="24"/>
          <w:szCs w:val="24"/>
        </w:rPr>
        <w:t>4</w:t>
      </w:r>
      <w:r w:rsidRPr="003164CE">
        <w:rPr>
          <w:rFonts w:ascii="Tahoma" w:hAnsi="Tahoma" w:cs="Tahoma"/>
          <w:bCs/>
          <w:sz w:val="24"/>
          <w:szCs w:val="24"/>
        </w:rPr>
        <w:t xml:space="preserve">, gradul de realizare </w:t>
      </w:r>
      <w:r w:rsidR="00AF6727" w:rsidRPr="003164CE">
        <w:rPr>
          <w:rFonts w:ascii="Tahoma" w:hAnsi="Tahoma" w:cs="Tahoma"/>
          <w:bCs/>
          <w:sz w:val="24"/>
          <w:szCs w:val="24"/>
        </w:rPr>
        <w:t xml:space="preserve">al cheltuielilor programate </w:t>
      </w:r>
      <w:r w:rsidRPr="003164CE">
        <w:rPr>
          <w:rFonts w:ascii="Tahoma" w:hAnsi="Tahoma" w:cs="Tahoma"/>
          <w:bCs/>
          <w:sz w:val="24"/>
          <w:szCs w:val="24"/>
        </w:rPr>
        <w:t>pe</w:t>
      </w:r>
      <w:r w:rsidR="00AF6727" w:rsidRPr="003164CE">
        <w:rPr>
          <w:rFonts w:ascii="Tahoma" w:hAnsi="Tahoma" w:cs="Tahoma"/>
          <w:bCs/>
          <w:sz w:val="24"/>
          <w:szCs w:val="24"/>
        </w:rPr>
        <w:t xml:space="preserve">ntru </w:t>
      </w:r>
      <w:r w:rsidR="00906C17" w:rsidRPr="003164CE">
        <w:rPr>
          <w:rFonts w:ascii="Tahoma" w:hAnsi="Tahoma" w:cs="Tahoma"/>
          <w:bCs/>
          <w:sz w:val="24"/>
          <w:szCs w:val="24"/>
        </w:rPr>
        <w:t>perioada analizată</w:t>
      </w:r>
      <w:r w:rsidRPr="003164CE">
        <w:rPr>
          <w:rFonts w:ascii="Tahoma" w:hAnsi="Tahoma" w:cs="Tahoma"/>
          <w:bCs/>
          <w:sz w:val="24"/>
          <w:szCs w:val="24"/>
        </w:rPr>
        <w:t xml:space="preserve"> fiind de </w:t>
      </w:r>
      <w:r w:rsidR="004138AC" w:rsidRPr="003164CE">
        <w:rPr>
          <w:rFonts w:ascii="Tahoma" w:hAnsi="Tahoma" w:cs="Tahoma"/>
          <w:bCs/>
          <w:sz w:val="24"/>
          <w:szCs w:val="24"/>
        </w:rPr>
        <w:t>85,9</w:t>
      </w:r>
      <w:r w:rsidRPr="003164CE">
        <w:rPr>
          <w:rFonts w:ascii="Tahoma" w:hAnsi="Tahoma" w:cs="Tahoma"/>
          <w:bCs/>
          <w:sz w:val="24"/>
          <w:szCs w:val="24"/>
        </w:rPr>
        <w:t>%</w:t>
      </w:r>
      <w:r w:rsidR="00840A26" w:rsidRPr="003164CE">
        <w:rPr>
          <w:rFonts w:ascii="Tahoma" w:hAnsi="Tahoma" w:cs="Tahoma"/>
          <w:bCs/>
          <w:sz w:val="24"/>
          <w:szCs w:val="24"/>
        </w:rPr>
        <w:t xml:space="preserve">, și de 60,1% din programul anual. </w:t>
      </w:r>
      <w:r w:rsidR="00A1506E" w:rsidRPr="003164CE">
        <w:rPr>
          <w:rFonts w:ascii="Tahoma" w:hAnsi="Tahoma" w:cs="Tahoma"/>
          <w:bCs/>
          <w:sz w:val="24"/>
          <w:szCs w:val="24"/>
        </w:rPr>
        <w:t xml:space="preserve">Cheltuielile cu dobânzile </w:t>
      </w:r>
      <w:r w:rsidR="004138AC" w:rsidRPr="003164CE">
        <w:rPr>
          <w:rFonts w:ascii="Tahoma" w:hAnsi="Tahoma" w:cs="Tahoma"/>
          <w:bCs/>
          <w:sz w:val="24"/>
          <w:szCs w:val="24"/>
        </w:rPr>
        <w:t>au cres</w:t>
      </w:r>
      <w:r w:rsidR="00976179" w:rsidRPr="003164CE">
        <w:rPr>
          <w:rFonts w:ascii="Tahoma" w:hAnsi="Tahoma" w:cs="Tahoma"/>
          <w:bCs/>
          <w:sz w:val="24"/>
          <w:szCs w:val="24"/>
        </w:rPr>
        <w:t>c</w:t>
      </w:r>
      <w:r w:rsidR="004138AC" w:rsidRPr="003164CE">
        <w:rPr>
          <w:rFonts w:ascii="Tahoma" w:hAnsi="Tahoma" w:cs="Tahoma"/>
          <w:bCs/>
          <w:sz w:val="24"/>
          <w:szCs w:val="24"/>
        </w:rPr>
        <w:t>ut ca pondere în PIB cu 0,3 puncte procentuale de la 1,0% din PIB în pr</w:t>
      </w:r>
      <w:r w:rsidR="00976179" w:rsidRPr="003164CE">
        <w:rPr>
          <w:rFonts w:ascii="Tahoma" w:hAnsi="Tahoma" w:cs="Tahoma"/>
          <w:bCs/>
          <w:sz w:val="24"/>
          <w:szCs w:val="24"/>
        </w:rPr>
        <w:t>i</w:t>
      </w:r>
      <w:r w:rsidR="004138AC" w:rsidRPr="003164CE">
        <w:rPr>
          <w:rFonts w:ascii="Tahoma" w:hAnsi="Tahoma" w:cs="Tahoma"/>
          <w:bCs/>
          <w:sz w:val="24"/>
          <w:szCs w:val="24"/>
        </w:rPr>
        <w:t>mul semestru al anului 2024 la 1,3% din PIB în semestrul I 2025.</w:t>
      </w:r>
    </w:p>
    <w:p w:rsidR="00204819" w:rsidRPr="003164CE" w:rsidRDefault="004D6D76" w:rsidP="00204819">
      <w:pPr>
        <w:spacing w:before="120" w:after="120" w:line="276" w:lineRule="auto"/>
        <w:ind w:firstLine="0"/>
        <w:rPr>
          <w:rFonts w:ascii="Tahoma" w:eastAsia="Calibri" w:hAnsi="Tahoma" w:cs="Tahoma"/>
          <w:sz w:val="24"/>
          <w:szCs w:val="24"/>
        </w:rPr>
      </w:pPr>
      <w:r w:rsidRPr="003164CE">
        <w:rPr>
          <w:rFonts w:ascii="Tahoma" w:hAnsi="Tahoma" w:cs="Tahoma"/>
          <w:b/>
          <w:bCs/>
          <w:sz w:val="24"/>
          <w:szCs w:val="24"/>
        </w:rPr>
        <w:t xml:space="preserve">Cheltuielile cu subvențiile </w:t>
      </w:r>
      <w:r w:rsidRPr="003164CE">
        <w:rPr>
          <w:rFonts w:ascii="Tahoma" w:hAnsi="Tahoma" w:cs="Tahoma"/>
          <w:bCs/>
          <w:sz w:val="24"/>
          <w:szCs w:val="24"/>
        </w:rPr>
        <w:t xml:space="preserve">au însumat </w:t>
      </w:r>
      <w:r w:rsidR="004138AC" w:rsidRPr="003164CE">
        <w:rPr>
          <w:rFonts w:ascii="Tahoma" w:hAnsi="Tahoma" w:cs="Tahoma"/>
          <w:bCs/>
          <w:sz w:val="24"/>
          <w:szCs w:val="24"/>
        </w:rPr>
        <w:t>6,59</w:t>
      </w:r>
      <w:r w:rsidRPr="003164CE">
        <w:rPr>
          <w:rFonts w:ascii="Tahoma" w:hAnsi="Tahoma" w:cs="Tahoma"/>
          <w:bCs/>
          <w:sz w:val="24"/>
          <w:szCs w:val="24"/>
        </w:rPr>
        <w:t xml:space="preserve"> mili</w:t>
      </w:r>
      <w:r w:rsidR="00AF6727" w:rsidRPr="003164CE">
        <w:rPr>
          <w:rFonts w:ascii="Tahoma" w:hAnsi="Tahoma" w:cs="Tahoma"/>
          <w:bCs/>
          <w:sz w:val="24"/>
          <w:szCs w:val="24"/>
        </w:rPr>
        <w:t>arde</w:t>
      </w:r>
      <w:r w:rsidRPr="003164CE">
        <w:rPr>
          <w:rFonts w:ascii="Tahoma" w:hAnsi="Tahoma" w:cs="Tahoma"/>
          <w:bCs/>
          <w:sz w:val="24"/>
          <w:szCs w:val="24"/>
        </w:rPr>
        <w:t xml:space="preserve"> </w:t>
      </w:r>
      <w:r w:rsidR="003A634F" w:rsidRPr="003164CE">
        <w:rPr>
          <w:rFonts w:ascii="Tahoma" w:hAnsi="Tahoma" w:cs="Tahoma"/>
          <w:bCs/>
          <w:sz w:val="24"/>
          <w:szCs w:val="24"/>
        </w:rPr>
        <w:t>lei</w:t>
      </w:r>
      <w:r w:rsidRPr="003164CE">
        <w:rPr>
          <w:rFonts w:ascii="Tahoma" w:hAnsi="Tahoma" w:cs="Tahoma"/>
          <w:bCs/>
          <w:sz w:val="24"/>
          <w:szCs w:val="24"/>
        </w:rPr>
        <w:t xml:space="preserve"> (0,</w:t>
      </w:r>
      <w:r w:rsidR="004138AC" w:rsidRPr="003164CE">
        <w:rPr>
          <w:rFonts w:ascii="Tahoma" w:hAnsi="Tahoma" w:cs="Tahoma"/>
          <w:bCs/>
          <w:sz w:val="24"/>
          <w:szCs w:val="24"/>
        </w:rPr>
        <w:t>3</w:t>
      </w:r>
      <w:r w:rsidRPr="003164CE">
        <w:rPr>
          <w:rFonts w:ascii="Tahoma" w:hAnsi="Tahoma" w:cs="Tahoma"/>
          <w:bCs/>
          <w:sz w:val="24"/>
          <w:szCs w:val="24"/>
        </w:rPr>
        <w:t xml:space="preserve">% din PIB) cu </w:t>
      </w:r>
      <w:r w:rsidR="004138AC" w:rsidRPr="003164CE">
        <w:rPr>
          <w:rFonts w:ascii="Tahoma" w:hAnsi="Tahoma" w:cs="Tahoma"/>
          <w:bCs/>
          <w:sz w:val="24"/>
          <w:szCs w:val="24"/>
        </w:rPr>
        <w:t>27,3% mai reduse</w:t>
      </w:r>
      <w:r w:rsidRPr="003164CE">
        <w:rPr>
          <w:rFonts w:ascii="Tahoma" w:hAnsi="Tahoma" w:cs="Tahoma"/>
          <w:bCs/>
          <w:sz w:val="24"/>
          <w:szCs w:val="24"/>
        </w:rPr>
        <w:t xml:space="preserve"> comparativ cu aceeași perioadă a anului anterior, </w:t>
      </w:r>
      <w:r w:rsidR="00583D0F" w:rsidRPr="003164CE">
        <w:rPr>
          <w:rFonts w:ascii="Tahoma" w:hAnsi="Tahoma" w:cs="Tahoma"/>
          <w:bCs/>
          <w:sz w:val="24"/>
          <w:szCs w:val="24"/>
        </w:rPr>
        <w:t xml:space="preserve">gradul de realizare </w:t>
      </w:r>
      <w:r w:rsidR="00AF6727" w:rsidRPr="003164CE">
        <w:rPr>
          <w:rFonts w:ascii="Tahoma" w:hAnsi="Tahoma" w:cs="Tahoma"/>
          <w:bCs/>
          <w:sz w:val="24"/>
          <w:szCs w:val="24"/>
        </w:rPr>
        <w:t xml:space="preserve">al cheltuielilor programate pentru </w:t>
      </w:r>
      <w:r w:rsidR="00BF4537" w:rsidRPr="003164CE">
        <w:rPr>
          <w:rFonts w:ascii="Tahoma" w:hAnsi="Tahoma" w:cs="Tahoma"/>
          <w:bCs/>
          <w:sz w:val="24"/>
          <w:szCs w:val="24"/>
        </w:rPr>
        <w:t>perioada analizată</w:t>
      </w:r>
      <w:r w:rsidR="00AF6727" w:rsidRPr="003164CE">
        <w:rPr>
          <w:rFonts w:ascii="Tahoma" w:hAnsi="Tahoma" w:cs="Tahoma"/>
          <w:bCs/>
          <w:sz w:val="24"/>
          <w:szCs w:val="24"/>
        </w:rPr>
        <w:t xml:space="preserve"> fiind de </w:t>
      </w:r>
      <w:r w:rsidR="004138AC" w:rsidRPr="003164CE">
        <w:rPr>
          <w:rFonts w:ascii="Tahoma" w:hAnsi="Tahoma" w:cs="Tahoma"/>
          <w:bCs/>
          <w:sz w:val="24"/>
          <w:szCs w:val="24"/>
        </w:rPr>
        <w:t>78,9</w:t>
      </w:r>
      <w:r w:rsidR="00AF6727" w:rsidRPr="003164CE">
        <w:rPr>
          <w:rFonts w:ascii="Tahoma" w:hAnsi="Tahoma" w:cs="Tahoma"/>
          <w:bCs/>
          <w:sz w:val="24"/>
          <w:szCs w:val="24"/>
        </w:rPr>
        <w:t>%</w:t>
      </w:r>
      <w:r w:rsidRPr="003164CE">
        <w:rPr>
          <w:rFonts w:ascii="Tahoma" w:hAnsi="Tahoma" w:cs="Tahoma"/>
          <w:bCs/>
          <w:sz w:val="24"/>
          <w:szCs w:val="24"/>
        </w:rPr>
        <w:t>.</w:t>
      </w:r>
      <w:r w:rsidR="001B5DB9" w:rsidRPr="003164CE">
        <w:rPr>
          <w:rFonts w:ascii="Tahoma" w:hAnsi="Tahoma" w:cs="Tahoma"/>
          <w:sz w:val="24"/>
          <w:szCs w:val="24"/>
        </w:rPr>
        <w:t xml:space="preserve"> C</w:t>
      </w:r>
      <w:r w:rsidR="001B5DB9" w:rsidRPr="003164CE">
        <w:rPr>
          <w:rFonts w:ascii="Tahoma" w:hAnsi="Tahoma" w:cs="Tahoma"/>
          <w:bCs/>
          <w:sz w:val="24"/>
          <w:szCs w:val="24"/>
        </w:rPr>
        <w:t>ea mai mare parte dintre aceste cheltuieli au reprezentat alocări către sectorul agrico</w:t>
      </w:r>
      <w:r w:rsidR="00EB1916" w:rsidRPr="003164CE">
        <w:rPr>
          <w:rFonts w:ascii="Tahoma" w:hAnsi="Tahoma" w:cs="Tahoma"/>
          <w:bCs/>
          <w:sz w:val="24"/>
          <w:szCs w:val="24"/>
        </w:rPr>
        <w:t>l și transporturi, respectiv subv</w:t>
      </w:r>
      <w:r w:rsidR="001B5DB9" w:rsidRPr="003164CE">
        <w:rPr>
          <w:rFonts w:ascii="Tahoma" w:hAnsi="Tahoma" w:cs="Tahoma"/>
          <w:bCs/>
          <w:sz w:val="24"/>
          <w:szCs w:val="24"/>
        </w:rPr>
        <w:t>enții pentru sprijinirea pro</w:t>
      </w:r>
      <w:r w:rsidR="00A35247" w:rsidRPr="003164CE">
        <w:rPr>
          <w:rFonts w:ascii="Tahoma" w:hAnsi="Tahoma" w:cs="Tahoma"/>
          <w:bCs/>
          <w:sz w:val="24"/>
          <w:szCs w:val="24"/>
        </w:rPr>
        <w:t>ducătorilor agricoli</w:t>
      </w:r>
      <w:r w:rsidR="00B07E4B" w:rsidRPr="003164CE">
        <w:rPr>
          <w:rFonts w:ascii="Tahoma" w:hAnsi="Tahoma" w:cs="Tahoma"/>
          <w:bCs/>
          <w:sz w:val="24"/>
          <w:szCs w:val="24"/>
        </w:rPr>
        <w:t xml:space="preserve"> </w:t>
      </w:r>
      <w:r w:rsidR="00A35247" w:rsidRPr="003164CE">
        <w:rPr>
          <w:rFonts w:ascii="Tahoma" w:hAnsi="Tahoma" w:cs="Tahoma"/>
          <w:bCs/>
          <w:sz w:val="24"/>
          <w:szCs w:val="24"/>
        </w:rPr>
        <w:t xml:space="preserve">și </w:t>
      </w:r>
      <w:r w:rsidR="001B5DB9" w:rsidRPr="003164CE">
        <w:rPr>
          <w:rFonts w:ascii="Tahoma" w:hAnsi="Tahoma" w:cs="Tahoma"/>
          <w:bCs/>
          <w:sz w:val="24"/>
          <w:szCs w:val="24"/>
        </w:rPr>
        <w:t>pentru transportul călătorilor</w:t>
      </w:r>
      <w:r w:rsidR="008A5E1F" w:rsidRPr="003164CE">
        <w:rPr>
          <w:rFonts w:ascii="Tahoma" w:hAnsi="Tahoma" w:cs="Tahoma"/>
          <w:bCs/>
          <w:sz w:val="24"/>
          <w:szCs w:val="24"/>
        </w:rPr>
        <w:t>,</w:t>
      </w:r>
      <w:r w:rsidR="008A5E1F" w:rsidRPr="003164CE">
        <w:rPr>
          <w:rFonts w:ascii="Tahoma" w:eastAsia="Calibri" w:hAnsi="Tahoma" w:cs="Tahoma"/>
          <w:sz w:val="24"/>
          <w:szCs w:val="24"/>
        </w:rPr>
        <w:t xml:space="preserve"> precum și pentru schema de compensare pentru consumul de energie electrica și gaze naturale al consumatorilor </w:t>
      </w:r>
      <w:proofErr w:type="spellStart"/>
      <w:r w:rsidR="008A5E1F" w:rsidRPr="003164CE">
        <w:rPr>
          <w:rFonts w:ascii="Tahoma" w:eastAsia="Calibri" w:hAnsi="Tahoma" w:cs="Tahoma"/>
          <w:sz w:val="24"/>
          <w:szCs w:val="24"/>
        </w:rPr>
        <w:t>noncasnici</w:t>
      </w:r>
      <w:proofErr w:type="spellEnd"/>
      <w:r w:rsidR="008A5E1F" w:rsidRPr="003164CE">
        <w:rPr>
          <w:rFonts w:ascii="Tahoma" w:eastAsia="Calibri" w:hAnsi="Tahoma" w:cs="Tahoma"/>
          <w:sz w:val="24"/>
          <w:szCs w:val="24"/>
        </w:rPr>
        <w:t xml:space="preserve"> </w:t>
      </w:r>
      <w:r w:rsidR="00204819" w:rsidRPr="003164CE">
        <w:rPr>
          <w:rFonts w:ascii="Tahoma" w:eastAsia="Calibri" w:hAnsi="Tahoma" w:cs="Tahoma"/>
          <w:sz w:val="24"/>
          <w:szCs w:val="24"/>
        </w:rPr>
        <w:t>(</w:t>
      </w:r>
      <w:r w:rsidR="00215B4D" w:rsidRPr="003164CE">
        <w:rPr>
          <w:rFonts w:ascii="Tahoma" w:eastAsia="Calibri" w:hAnsi="Tahoma" w:cs="Tahoma"/>
          <w:sz w:val="24"/>
          <w:szCs w:val="24"/>
        </w:rPr>
        <w:t>0,58</w:t>
      </w:r>
      <w:r w:rsidR="00204819" w:rsidRPr="003164CE">
        <w:rPr>
          <w:rFonts w:ascii="Tahoma" w:eastAsia="Calibri" w:hAnsi="Tahoma" w:cs="Tahoma"/>
          <w:sz w:val="24"/>
          <w:szCs w:val="24"/>
        </w:rPr>
        <w:t xml:space="preserve"> </w:t>
      </w:r>
      <w:r w:rsidR="0057104D" w:rsidRPr="003164CE">
        <w:rPr>
          <w:rFonts w:ascii="Tahoma" w:eastAsia="Calibri" w:hAnsi="Tahoma" w:cs="Tahoma"/>
          <w:sz w:val="24"/>
          <w:szCs w:val="24"/>
        </w:rPr>
        <w:t>miliarde lei</w:t>
      </w:r>
      <w:r w:rsidR="00204819" w:rsidRPr="003164CE">
        <w:rPr>
          <w:rFonts w:ascii="Tahoma" w:eastAsia="Calibri" w:hAnsi="Tahoma" w:cs="Tahoma"/>
          <w:sz w:val="24"/>
          <w:szCs w:val="24"/>
        </w:rPr>
        <w:t xml:space="preserve">) care reprezintă </w:t>
      </w:r>
      <w:r w:rsidR="00215B4D" w:rsidRPr="003164CE">
        <w:rPr>
          <w:rFonts w:ascii="Tahoma" w:eastAsia="Calibri" w:hAnsi="Tahoma" w:cs="Tahoma"/>
          <w:sz w:val="24"/>
          <w:szCs w:val="24"/>
        </w:rPr>
        <w:t>8,8</w:t>
      </w:r>
      <w:r w:rsidR="00204819" w:rsidRPr="003164CE">
        <w:rPr>
          <w:rFonts w:ascii="Tahoma" w:eastAsia="Calibri" w:hAnsi="Tahoma" w:cs="Tahoma"/>
          <w:sz w:val="24"/>
          <w:szCs w:val="24"/>
        </w:rPr>
        <w:t xml:space="preserve">% din total subvenții. </w:t>
      </w:r>
    </w:p>
    <w:p w:rsidR="00EC61E9" w:rsidRPr="003164CE" w:rsidRDefault="001B5DB9" w:rsidP="00742FB9">
      <w:pPr>
        <w:spacing w:before="240" w:line="276" w:lineRule="auto"/>
        <w:ind w:firstLine="0"/>
        <w:contextualSpacing/>
        <w:rPr>
          <w:rFonts w:ascii="Tahoma" w:hAnsi="Tahoma" w:cs="Tahoma"/>
          <w:bCs/>
          <w:sz w:val="24"/>
          <w:szCs w:val="24"/>
        </w:rPr>
      </w:pPr>
      <w:r w:rsidRPr="003164CE">
        <w:rPr>
          <w:rFonts w:ascii="Tahoma" w:hAnsi="Tahoma" w:cs="Tahoma"/>
          <w:b/>
          <w:bCs/>
          <w:sz w:val="24"/>
          <w:szCs w:val="24"/>
        </w:rPr>
        <w:t>Cheltuielile cu asistența socială</w:t>
      </w:r>
      <w:r w:rsidRPr="003164CE">
        <w:rPr>
          <w:rFonts w:ascii="Tahoma" w:hAnsi="Tahoma" w:cs="Tahoma"/>
          <w:bCs/>
          <w:sz w:val="24"/>
          <w:szCs w:val="24"/>
        </w:rPr>
        <w:t xml:space="preserve"> au fost de </w:t>
      </w:r>
      <w:r w:rsidR="00215B4D" w:rsidRPr="003164CE">
        <w:rPr>
          <w:rFonts w:ascii="Tahoma" w:hAnsi="Tahoma" w:cs="Tahoma"/>
          <w:bCs/>
          <w:sz w:val="24"/>
          <w:szCs w:val="24"/>
        </w:rPr>
        <w:t>126,57</w:t>
      </w:r>
      <w:r w:rsidR="00742FB9" w:rsidRPr="003164CE">
        <w:rPr>
          <w:rFonts w:ascii="Tahoma" w:hAnsi="Tahoma" w:cs="Tahoma"/>
          <w:bCs/>
          <w:sz w:val="24"/>
          <w:szCs w:val="24"/>
        </w:rPr>
        <w:t xml:space="preserve"> </w:t>
      </w:r>
      <w:r w:rsidR="00AF6727" w:rsidRPr="003164CE">
        <w:rPr>
          <w:rFonts w:ascii="Tahoma" w:hAnsi="Tahoma" w:cs="Tahoma"/>
          <w:bCs/>
          <w:sz w:val="24"/>
          <w:szCs w:val="24"/>
        </w:rPr>
        <w:t>miliarde</w:t>
      </w:r>
      <w:r w:rsidR="00742FB9" w:rsidRPr="003164CE">
        <w:rPr>
          <w:rFonts w:ascii="Tahoma" w:hAnsi="Tahoma" w:cs="Tahoma"/>
          <w:bCs/>
          <w:sz w:val="24"/>
          <w:szCs w:val="24"/>
        </w:rPr>
        <w:t xml:space="preserve"> </w:t>
      </w:r>
      <w:r w:rsidR="003A634F" w:rsidRPr="003164CE">
        <w:rPr>
          <w:rFonts w:ascii="Tahoma" w:hAnsi="Tahoma" w:cs="Tahoma"/>
          <w:bCs/>
          <w:sz w:val="24"/>
          <w:szCs w:val="24"/>
        </w:rPr>
        <w:t>lei</w:t>
      </w:r>
      <w:r w:rsidR="00AF6727" w:rsidRPr="003164CE">
        <w:rPr>
          <w:rFonts w:ascii="Tahoma" w:hAnsi="Tahoma" w:cs="Tahoma"/>
          <w:bCs/>
          <w:sz w:val="24"/>
          <w:szCs w:val="24"/>
        </w:rPr>
        <w:t xml:space="preserve"> (6</w:t>
      </w:r>
      <w:r w:rsidR="00742FB9" w:rsidRPr="003164CE">
        <w:rPr>
          <w:rFonts w:ascii="Tahoma" w:hAnsi="Tahoma" w:cs="Tahoma"/>
          <w:bCs/>
          <w:sz w:val="24"/>
          <w:szCs w:val="24"/>
        </w:rPr>
        <w:t>,</w:t>
      </w:r>
      <w:r w:rsidR="00215B4D" w:rsidRPr="003164CE">
        <w:rPr>
          <w:rFonts w:ascii="Tahoma" w:hAnsi="Tahoma" w:cs="Tahoma"/>
          <w:bCs/>
          <w:sz w:val="24"/>
          <w:szCs w:val="24"/>
        </w:rPr>
        <w:t>7</w:t>
      </w:r>
      <w:r w:rsidR="00AF6727" w:rsidRPr="003164CE">
        <w:rPr>
          <w:rFonts w:ascii="Tahoma" w:hAnsi="Tahoma" w:cs="Tahoma"/>
          <w:bCs/>
          <w:sz w:val="24"/>
          <w:szCs w:val="24"/>
        </w:rPr>
        <w:t>% din PIB)</w:t>
      </w:r>
      <w:r w:rsidRPr="003164CE">
        <w:rPr>
          <w:rFonts w:ascii="Tahoma" w:hAnsi="Tahoma" w:cs="Tahoma"/>
          <w:bCs/>
          <w:sz w:val="24"/>
          <w:szCs w:val="24"/>
        </w:rPr>
        <w:t xml:space="preserve"> în creștere cu </w:t>
      </w:r>
      <w:r w:rsidR="00215B4D" w:rsidRPr="003164CE">
        <w:rPr>
          <w:rFonts w:ascii="Tahoma" w:hAnsi="Tahoma" w:cs="Tahoma"/>
          <w:bCs/>
          <w:sz w:val="24"/>
          <w:szCs w:val="24"/>
        </w:rPr>
        <w:t>15,3</w:t>
      </w:r>
      <w:r w:rsidRPr="003164CE">
        <w:rPr>
          <w:rFonts w:ascii="Tahoma" w:hAnsi="Tahoma" w:cs="Tahoma"/>
          <w:bCs/>
          <w:sz w:val="24"/>
          <w:szCs w:val="24"/>
        </w:rPr>
        <w:t>% comparativ cu aceeași perioadă a anului precedent</w:t>
      </w:r>
      <w:r w:rsidR="00EC61E9" w:rsidRPr="003164CE">
        <w:rPr>
          <w:rFonts w:ascii="Tahoma" w:hAnsi="Tahoma" w:cs="Tahoma"/>
          <w:bCs/>
          <w:sz w:val="24"/>
          <w:szCs w:val="24"/>
        </w:rPr>
        <w:t xml:space="preserve"> și s-au efectuat în proporție de </w:t>
      </w:r>
      <w:r w:rsidR="00215B4D" w:rsidRPr="003164CE">
        <w:rPr>
          <w:rFonts w:ascii="Tahoma" w:hAnsi="Tahoma" w:cs="Tahoma"/>
          <w:bCs/>
          <w:sz w:val="24"/>
          <w:szCs w:val="24"/>
        </w:rPr>
        <w:t>100,0</w:t>
      </w:r>
      <w:r w:rsidR="00EC61E9" w:rsidRPr="003164CE">
        <w:rPr>
          <w:rFonts w:ascii="Tahoma" w:hAnsi="Tahoma" w:cs="Tahoma"/>
          <w:bCs/>
          <w:sz w:val="24"/>
          <w:szCs w:val="24"/>
        </w:rPr>
        <w:t>% comparativ cu programul semestrial.</w:t>
      </w:r>
    </w:p>
    <w:p w:rsidR="00215B4D" w:rsidRPr="003164CE" w:rsidRDefault="00215B4D" w:rsidP="003A0A0C">
      <w:pPr>
        <w:spacing w:line="276" w:lineRule="auto"/>
        <w:ind w:firstLine="0"/>
        <w:rPr>
          <w:rFonts w:ascii="Tahoma" w:hAnsi="Tahoma" w:cs="Tahoma"/>
          <w:sz w:val="24"/>
          <w:szCs w:val="24"/>
        </w:rPr>
      </w:pPr>
      <w:r w:rsidRPr="003164CE">
        <w:rPr>
          <w:rFonts w:ascii="Tahoma" w:hAnsi="Tahoma" w:cs="Tahoma"/>
          <w:sz w:val="24"/>
          <w:szCs w:val="24"/>
        </w:rPr>
        <w:lastRenderedPageBreak/>
        <w:t>Evoluția cheltuielilor cu asistența socială a fost influențată, în principal, de implementarea măsurilor de recalculare a pensiilor din sistemul public cu începere de la 1 septembrie 2024, în conformitate cu prevederile Legii nr. 360/2023 din 29 noiembrie 2023 privind sistemul public de pensii.</w:t>
      </w:r>
    </w:p>
    <w:p w:rsidR="00742FB9" w:rsidRPr="003164CE" w:rsidRDefault="008A5E1F" w:rsidP="003A0A0C">
      <w:pPr>
        <w:spacing w:line="276" w:lineRule="auto"/>
        <w:ind w:firstLine="0"/>
        <w:rPr>
          <w:rFonts w:ascii="Tahoma" w:hAnsi="Tahoma" w:cs="Tahoma"/>
          <w:sz w:val="24"/>
          <w:szCs w:val="24"/>
        </w:rPr>
      </w:pPr>
      <w:r w:rsidRPr="003164CE">
        <w:rPr>
          <w:rFonts w:ascii="Tahoma" w:hAnsi="Tahoma" w:cs="Tahoma"/>
          <w:sz w:val="24"/>
          <w:szCs w:val="24"/>
        </w:rPr>
        <w:t xml:space="preserve">Cheltuielile cu asistența socială au fost influențate și de plățile suportate de la bugetul de stat pentru compensarea facturilor pentru energie electrică și gaze naturale, </w:t>
      </w:r>
      <w:r w:rsidR="00ED73F0" w:rsidRPr="003164CE">
        <w:rPr>
          <w:rFonts w:ascii="Tahoma" w:hAnsi="Tahoma" w:cs="Tahoma"/>
          <w:sz w:val="24"/>
          <w:szCs w:val="24"/>
        </w:rPr>
        <w:t>care</w:t>
      </w:r>
      <w:r w:rsidRPr="003164CE">
        <w:rPr>
          <w:rFonts w:ascii="Tahoma" w:hAnsi="Tahoma" w:cs="Tahoma"/>
          <w:sz w:val="24"/>
          <w:szCs w:val="24"/>
        </w:rPr>
        <w:t xml:space="preserve"> până la finele lunii iunie 202</w:t>
      </w:r>
      <w:r w:rsidR="00215B4D" w:rsidRPr="003164CE">
        <w:rPr>
          <w:rFonts w:ascii="Tahoma" w:hAnsi="Tahoma" w:cs="Tahoma"/>
          <w:sz w:val="24"/>
          <w:szCs w:val="24"/>
        </w:rPr>
        <w:t>5</w:t>
      </w:r>
      <w:r w:rsidRPr="003164CE">
        <w:rPr>
          <w:rFonts w:ascii="Tahoma" w:hAnsi="Tahoma" w:cs="Tahoma"/>
          <w:sz w:val="24"/>
          <w:szCs w:val="24"/>
        </w:rPr>
        <w:t xml:space="preserve">, au fost în sumă de </w:t>
      </w:r>
      <w:r w:rsidR="003E31C4" w:rsidRPr="003164CE">
        <w:rPr>
          <w:rFonts w:ascii="Tahoma" w:hAnsi="Tahoma" w:cs="Tahoma"/>
          <w:bCs/>
          <w:sz w:val="24"/>
          <w:szCs w:val="24"/>
        </w:rPr>
        <w:t>1,</w:t>
      </w:r>
      <w:r w:rsidR="00215B4D" w:rsidRPr="003164CE">
        <w:rPr>
          <w:rFonts w:ascii="Tahoma" w:hAnsi="Tahoma" w:cs="Tahoma"/>
          <w:bCs/>
          <w:sz w:val="24"/>
          <w:szCs w:val="24"/>
        </w:rPr>
        <w:t>71</w:t>
      </w:r>
      <w:r w:rsidR="003A0A0C" w:rsidRPr="003164CE">
        <w:rPr>
          <w:rFonts w:ascii="Tahoma" w:hAnsi="Tahoma" w:cs="Tahoma"/>
          <w:bCs/>
          <w:sz w:val="24"/>
          <w:szCs w:val="24"/>
        </w:rPr>
        <w:t xml:space="preserve"> </w:t>
      </w:r>
      <w:r w:rsidR="00487959" w:rsidRPr="003164CE">
        <w:rPr>
          <w:rFonts w:ascii="Tahoma" w:hAnsi="Tahoma" w:cs="Tahoma"/>
          <w:sz w:val="24"/>
          <w:szCs w:val="24"/>
        </w:rPr>
        <w:t xml:space="preserve">miliarde </w:t>
      </w:r>
      <w:r w:rsidR="003A634F" w:rsidRPr="003164CE">
        <w:rPr>
          <w:rFonts w:ascii="Tahoma" w:hAnsi="Tahoma" w:cs="Tahoma"/>
          <w:sz w:val="24"/>
          <w:szCs w:val="24"/>
        </w:rPr>
        <w:t>lei</w:t>
      </w:r>
      <w:r w:rsidRPr="003164CE">
        <w:rPr>
          <w:rFonts w:ascii="Tahoma" w:hAnsi="Tahoma" w:cs="Tahoma"/>
          <w:sz w:val="24"/>
          <w:szCs w:val="24"/>
        </w:rPr>
        <w:t>.</w:t>
      </w:r>
    </w:p>
    <w:p w:rsidR="001439F1" w:rsidRPr="003164CE" w:rsidRDefault="00840A26" w:rsidP="008A5E1F">
      <w:pPr>
        <w:spacing w:before="120" w:after="120" w:line="276" w:lineRule="auto"/>
        <w:ind w:firstLine="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Se aș</w:t>
      </w:r>
      <w:r w:rsidR="00092DC0" w:rsidRPr="003164CE">
        <w:rPr>
          <w:rFonts w:ascii="Tahoma" w:eastAsia="Arial" w:hAnsi="Tahoma" w:cs="Tahoma"/>
          <w:sz w:val="24"/>
          <w:szCs w:val="24"/>
          <w:shd w:val="clear" w:color="auto" w:fill="FFFFFF"/>
        </w:rPr>
        <w:t>teaptă ca aceste cheltuieli să-și mențină creșterea accentuată</w:t>
      </w:r>
      <w:r w:rsidR="001439F1" w:rsidRPr="003164CE">
        <w:rPr>
          <w:rFonts w:ascii="Tahoma" w:eastAsia="Arial" w:hAnsi="Tahoma" w:cs="Tahoma"/>
          <w:sz w:val="24"/>
          <w:szCs w:val="24"/>
          <w:shd w:val="clear" w:color="auto" w:fill="FFFFFF"/>
        </w:rPr>
        <w:t xml:space="preserve"> comparativ cu anul anterior</w:t>
      </w:r>
      <w:r w:rsidR="00092DC0" w:rsidRPr="003164CE">
        <w:rPr>
          <w:rFonts w:ascii="Tahoma" w:eastAsia="Arial" w:hAnsi="Tahoma" w:cs="Tahoma"/>
          <w:sz w:val="24"/>
          <w:szCs w:val="24"/>
          <w:shd w:val="clear" w:color="auto" w:fill="FFFFFF"/>
        </w:rPr>
        <w:t xml:space="preserve"> </w:t>
      </w:r>
      <w:r w:rsidR="001439F1" w:rsidRPr="003164CE">
        <w:rPr>
          <w:rFonts w:ascii="Tahoma" w:eastAsia="Arial" w:hAnsi="Tahoma" w:cs="Tahoma"/>
          <w:sz w:val="24"/>
          <w:szCs w:val="24"/>
          <w:shd w:val="clear" w:color="auto" w:fill="FFFFFF"/>
        </w:rPr>
        <w:t>și în trimestrul al treilea al anului 2025 urmând ca odată cu diminuarea efectului de bază al măsurilor de recalculare a pensiilor din sistemul public în ultimul trimestru al anului curent creșterea să se tempereze.</w:t>
      </w:r>
    </w:p>
    <w:p w:rsidR="00781BE6" w:rsidRPr="003164CE" w:rsidRDefault="004D6D76" w:rsidP="008A5E1F">
      <w:pPr>
        <w:spacing w:before="120" w:after="120" w:line="276" w:lineRule="auto"/>
        <w:ind w:firstLine="0"/>
        <w:rPr>
          <w:rFonts w:ascii="Tahoma" w:eastAsia="Times New Roman" w:hAnsi="Tahoma" w:cs="Tahoma"/>
          <w:bCs/>
          <w:sz w:val="24"/>
          <w:szCs w:val="24"/>
        </w:rPr>
      </w:pPr>
      <w:r w:rsidRPr="003164CE">
        <w:rPr>
          <w:rFonts w:ascii="Tahoma" w:eastAsia="Arial" w:hAnsi="Tahoma" w:cs="Tahoma"/>
          <w:b/>
          <w:sz w:val="24"/>
          <w:szCs w:val="24"/>
          <w:shd w:val="clear" w:color="auto" w:fill="FFFFFF"/>
        </w:rPr>
        <w:t>Cheltuielile cu alte transferuri</w:t>
      </w:r>
      <w:r w:rsidRPr="003164CE">
        <w:rPr>
          <w:rFonts w:ascii="Tahoma" w:eastAsia="Arial" w:hAnsi="Tahoma" w:cs="Tahoma"/>
          <w:sz w:val="24"/>
          <w:szCs w:val="24"/>
          <w:shd w:val="clear" w:color="auto" w:fill="FFFFFF"/>
        </w:rPr>
        <w:t xml:space="preserve"> au fost în sumă de </w:t>
      </w:r>
      <w:r w:rsidR="00BF4537" w:rsidRPr="003164CE">
        <w:rPr>
          <w:rFonts w:ascii="Tahoma" w:eastAsia="Arial" w:hAnsi="Tahoma" w:cs="Tahoma"/>
          <w:sz w:val="24"/>
          <w:szCs w:val="24"/>
          <w:shd w:val="clear" w:color="auto" w:fill="FFFFFF"/>
        </w:rPr>
        <w:t>15,</w:t>
      </w:r>
      <w:r w:rsidR="00215B4D" w:rsidRPr="003164CE">
        <w:rPr>
          <w:rFonts w:ascii="Tahoma" w:eastAsia="Arial" w:hAnsi="Tahoma" w:cs="Tahoma"/>
          <w:sz w:val="24"/>
          <w:szCs w:val="24"/>
          <w:shd w:val="clear" w:color="auto" w:fill="FFFFFF"/>
        </w:rPr>
        <w:t>90</w:t>
      </w:r>
      <w:r w:rsidR="00B07E4B" w:rsidRPr="003164CE">
        <w:rPr>
          <w:rFonts w:ascii="Tahoma" w:eastAsia="Arial" w:hAnsi="Tahoma" w:cs="Tahoma"/>
          <w:sz w:val="24"/>
          <w:szCs w:val="24"/>
          <w:shd w:val="clear" w:color="auto" w:fill="FFFFFF"/>
        </w:rPr>
        <w:t xml:space="preserve"> </w:t>
      </w:r>
      <w:r w:rsidR="009C7DAD" w:rsidRPr="003164CE">
        <w:rPr>
          <w:rFonts w:ascii="Tahoma" w:eastAsia="Arial" w:hAnsi="Tahoma" w:cs="Tahoma"/>
          <w:sz w:val="24"/>
          <w:szCs w:val="24"/>
          <w:shd w:val="clear" w:color="auto" w:fill="FFFFFF"/>
        </w:rPr>
        <w:t xml:space="preserve">miliarde </w:t>
      </w:r>
      <w:r w:rsidR="003A634F" w:rsidRPr="003164CE">
        <w:rPr>
          <w:rFonts w:ascii="Tahoma" w:eastAsia="Arial" w:hAnsi="Tahoma" w:cs="Tahoma"/>
          <w:sz w:val="24"/>
          <w:szCs w:val="24"/>
          <w:shd w:val="clear" w:color="auto" w:fill="FFFFFF"/>
        </w:rPr>
        <w:t>lei</w:t>
      </w:r>
      <w:r w:rsidRPr="003164CE">
        <w:rPr>
          <w:rFonts w:ascii="Tahoma" w:eastAsia="Arial" w:hAnsi="Tahoma" w:cs="Tahoma"/>
          <w:sz w:val="24"/>
          <w:szCs w:val="24"/>
          <w:shd w:val="clear" w:color="auto" w:fill="FFFFFF"/>
        </w:rPr>
        <w:t xml:space="preserve"> (</w:t>
      </w:r>
      <w:r w:rsidR="008A5E1F" w:rsidRPr="003164CE">
        <w:rPr>
          <w:rFonts w:ascii="Tahoma" w:eastAsia="Arial" w:hAnsi="Tahoma" w:cs="Tahoma"/>
          <w:sz w:val="24"/>
          <w:szCs w:val="24"/>
          <w:shd w:val="clear" w:color="auto" w:fill="FFFFFF"/>
        </w:rPr>
        <w:t>0,</w:t>
      </w:r>
      <w:r w:rsidR="00215B4D" w:rsidRPr="003164CE">
        <w:rPr>
          <w:rFonts w:ascii="Tahoma" w:eastAsia="Arial" w:hAnsi="Tahoma" w:cs="Tahoma"/>
          <w:sz w:val="24"/>
          <w:szCs w:val="24"/>
          <w:shd w:val="clear" w:color="auto" w:fill="FFFFFF"/>
        </w:rPr>
        <w:t>8</w:t>
      </w:r>
      <w:r w:rsidRPr="003164CE">
        <w:rPr>
          <w:rFonts w:ascii="Tahoma" w:eastAsia="Arial" w:hAnsi="Tahoma" w:cs="Tahoma"/>
          <w:sz w:val="24"/>
          <w:szCs w:val="24"/>
          <w:shd w:val="clear" w:color="auto" w:fill="FFFFFF"/>
        </w:rPr>
        <w:t>% din PIB</w:t>
      </w:r>
      <w:r w:rsidR="00781BE6" w:rsidRPr="003164CE">
        <w:rPr>
          <w:rFonts w:ascii="Tahoma" w:eastAsia="Arial" w:hAnsi="Tahoma" w:cs="Tahoma"/>
          <w:sz w:val="24"/>
          <w:szCs w:val="24"/>
          <w:shd w:val="clear" w:color="auto" w:fill="FFFFFF"/>
        </w:rPr>
        <w:t xml:space="preserve">) au fost cu </w:t>
      </w:r>
      <w:r w:rsidR="00215B4D" w:rsidRPr="003164CE">
        <w:rPr>
          <w:rFonts w:ascii="Tahoma" w:eastAsia="Arial" w:hAnsi="Tahoma" w:cs="Tahoma"/>
          <w:sz w:val="24"/>
          <w:szCs w:val="24"/>
          <w:shd w:val="clear" w:color="auto" w:fill="FFFFFF"/>
        </w:rPr>
        <w:t>0,9</w:t>
      </w:r>
      <w:r w:rsidRPr="003164CE">
        <w:rPr>
          <w:rFonts w:ascii="Tahoma" w:eastAsia="Arial" w:hAnsi="Tahoma" w:cs="Tahoma"/>
          <w:sz w:val="24"/>
          <w:szCs w:val="24"/>
          <w:shd w:val="clear" w:color="auto" w:fill="FFFFFF"/>
        </w:rPr>
        <w:t>% mai mari decât plățile efectuate în semestrul I 20</w:t>
      </w:r>
      <w:r w:rsidR="00D148DD" w:rsidRPr="003164CE">
        <w:rPr>
          <w:rFonts w:ascii="Tahoma" w:eastAsia="Arial" w:hAnsi="Tahoma" w:cs="Tahoma"/>
          <w:sz w:val="24"/>
          <w:szCs w:val="24"/>
          <w:shd w:val="clear" w:color="auto" w:fill="FFFFFF"/>
        </w:rPr>
        <w:t>2</w:t>
      </w:r>
      <w:r w:rsidR="00215B4D" w:rsidRPr="003164CE">
        <w:rPr>
          <w:rFonts w:ascii="Tahoma" w:eastAsia="Arial" w:hAnsi="Tahoma" w:cs="Tahoma"/>
          <w:sz w:val="24"/>
          <w:szCs w:val="24"/>
          <w:shd w:val="clear" w:color="auto" w:fill="FFFFFF"/>
        </w:rPr>
        <w:t>4</w:t>
      </w:r>
      <w:r w:rsidRPr="003164CE">
        <w:rPr>
          <w:rFonts w:ascii="Tahoma" w:eastAsia="Arial" w:hAnsi="Tahoma" w:cs="Tahoma"/>
          <w:sz w:val="24"/>
          <w:szCs w:val="24"/>
          <w:shd w:val="clear" w:color="auto" w:fill="FFFFFF"/>
        </w:rPr>
        <w:t>. Comparativ cu nivelul pr</w:t>
      </w:r>
      <w:r w:rsidR="00781BE6" w:rsidRPr="003164CE">
        <w:rPr>
          <w:rFonts w:ascii="Tahoma" w:eastAsia="Arial" w:hAnsi="Tahoma" w:cs="Tahoma"/>
          <w:sz w:val="24"/>
          <w:szCs w:val="24"/>
          <w:shd w:val="clear" w:color="auto" w:fill="FFFFFF"/>
        </w:rPr>
        <w:t>ogramat a se efectua pe primul semestru</w:t>
      </w:r>
      <w:r w:rsidRPr="003164CE">
        <w:rPr>
          <w:rFonts w:ascii="Tahoma" w:eastAsia="Arial" w:hAnsi="Tahoma" w:cs="Tahoma"/>
          <w:sz w:val="24"/>
          <w:szCs w:val="24"/>
          <w:shd w:val="clear" w:color="auto" w:fill="FFFFFF"/>
        </w:rPr>
        <w:t xml:space="preserve"> cheltuielile cu alte transferuri s-au efectuat în proporție de </w:t>
      </w:r>
      <w:r w:rsidR="00215B4D" w:rsidRPr="003164CE">
        <w:rPr>
          <w:rFonts w:ascii="Tahoma" w:eastAsia="Arial" w:hAnsi="Tahoma" w:cs="Tahoma"/>
          <w:sz w:val="24"/>
          <w:szCs w:val="24"/>
          <w:shd w:val="clear" w:color="auto" w:fill="FFFFFF"/>
        </w:rPr>
        <w:t>72,6</w:t>
      </w:r>
      <w:r w:rsidRPr="003164CE">
        <w:rPr>
          <w:rFonts w:ascii="Tahoma" w:eastAsia="Arial" w:hAnsi="Tahoma" w:cs="Tahoma"/>
          <w:sz w:val="24"/>
          <w:szCs w:val="24"/>
          <w:shd w:val="clear" w:color="auto" w:fill="FFFFFF"/>
        </w:rPr>
        <w:t>%.</w:t>
      </w:r>
    </w:p>
    <w:p w:rsidR="004B5482" w:rsidRPr="003164CE" w:rsidRDefault="000104AF" w:rsidP="008A5E1F">
      <w:pPr>
        <w:spacing w:before="120" w:after="120" w:line="276" w:lineRule="auto"/>
        <w:ind w:firstLine="0"/>
        <w:rPr>
          <w:rFonts w:ascii="Tahoma" w:eastAsia="Arial" w:hAnsi="Tahoma" w:cs="Tahoma"/>
          <w:sz w:val="24"/>
          <w:szCs w:val="24"/>
          <w:shd w:val="clear" w:color="auto" w:fill="FFFFFF"/>
        </w:rPr>
      </w:pPr>
      <w:r w:rsidRPr="003164CE">
        <w:rPr>
          <w:rFonts w:ascii="Tahoma" w:eastAsia="Arial" w:hAnsi="Tahoma" w:cs="Tahoma"/>
          <w:b/>
          <w:sz w:val="24"/>
          <w:szCs w:val="24"/>
          <w:shd w:val="clear" w:color="auto" w:fill="FFFFFF"/>
        </w:rPr>
        <w:t>Cheltuielile privind proiectele finanțate din fonduri externe nerambursabile</w:t>
      </w:r>
      <w:r w:rsidRPr="003164CE">
        <w:rPr>
          <w:rFonts w:ascii="Tahoma" w:eastAsia="Arial" w:hAnsi="Tahoma" w:cs="Tahoma"/>
          <w:sz w:val="24"/>
          <w:szCs w:val="24"/>
          <w:shd w:val="clear" w:color="auto" w:fill="FFFFFF"/>
        </w:rPr>
        <w:t xml:space="preserve"> (inclusiv subvențiile de la Uniunea Europeană aferente agriculturii</w:t>
      </w:r>
      <w:r w:rsidR="0063517C" w:rsidRPr="003164CE">
        <w:rPr>
          <w:rFonts w:ascii="Tahoma" w:eastAsia="Arial" w:hAnsi="Tahoma" w:cs="Tahoma"/>
          <w:sz w:val="24"/>
          <w:szCs w:val="24"/>
          <w:shd w:val="clear" w:color="auto" w:fill="FFFFFF"/>
        </w:rPr>
        <w:t xml:space="preserve"> și cheltuielile cu proiectele cu </w:t>
      </w:r>
      <w:r w:rsidR="003D5C26" w:rsidRPr="003164CE">
        <w:rPr>
          <w:rFonts w:ascii="Tahoma" w:eastAsia="Arial" w:hAnsi="Tahoma" w:cs="Tahoma"/>
          <w:sz w:val="24"/>
          <w:szCs w:val="24"/>
          <w:shd w:val="clear" w:color="auto" w:fill="FFFFFF"/>
        </w:rPr>
        <w:t>finanțare</w:t>
      </w:r>
      <w:r w:rsidR="0063517C" w:rsidRPr="003164CE">
        <w:rPr>
          <w:rFonts w:ascii="Tahoma" w:eastAsia="Arial" w:hAnsi="Tahoma" w:cs="Tahoma"/>
          <w:sz w:val="24"/>
          <w:szCs w:val="24"/>
          <w:shd w:val="clear" w:color="auto" w:fill="FFFFFF"/>
        </w:rPr>
        <w:t xml:space="preserve"> din sumele </w:t>
      </w:r>
      <w:r w:rsidR="003D5C26" w:rsidRPr="003164CE">
        <w:rPr>
          <w:rFonts w:ascii="Tahoma" w:eastAsia="Arial" w:hAnsi="Tahoma" w:cs="Tahoma"/>
          <w:sz w:val="24"/>
          <w:szCs w:val="24"/>
          <w:shd w:val="clear" w:color="auto" w:fill="FFFFFF"/>
        </w:rPr>
        <w:t>reprezentând</w:t>
      </w:r>
      <w:r w:rsidR="0063517C" w:rsidRPr="003164CE">
        <w:rPr>
          <w:rFonts w:ascii="Tahoma" w:eastAsia="Arial" w:hAnsi="Tahoma" w:cs="Tahoma"/>
          <w:sz w:val="24"/>
          <w:szCs w:val="24"/>
          <w:shd w:val="clear" w:color="auto" w:fill="FFFFFF"/>
        </w:rPr>
        <w:t xml:space="preserve"> asi</w:t>
      </w:r>
      <w:r w:rsidR="003D5C26" w:rsidRPr="003164CE">
        <w:rPr>
          <w:rFonts w:ascii="Tahoma" w:eastAsia="Arial" w:hAnsi="Tahoma" w:cs="Tahoma"/>
          <w:sz w:val="24"/>
          <w:szCs w:val="24"/>
          <w:shd w:val="clear" w:color="auto" w:fill="FFFFFF"/>
        </w:rPr>
        <w:t>stenta financiara nerambursabilă</w:t>
      </w:r>
      <w:r w:rsidR="0063517C" w:rsidRPr="003164CE">
        <w:rPr>
          <w:rFonts w:ascii="Tahoma" w:eastAsia="Arial" w:hAnsi="Tahoma" w:cs="Tahoma"/>
          <w:sz w:val="24"/>
          <w:szCs w:val="24"/>
          <w:shd w:val="clear" w:color="auto" w:fill="FFFFFF"/>
        </w:rPr>
        <w:t xml:space="preserve"> aferenta PNRR</w:t>
      </w:r>
      <w:r w:rsidRPr="003164CE">
        <w:rPr>
          <w:rFonts w:ascii="Tahoma" w:eastAsia="Arial" w:hAnsi="Tahoma" w:cs="Tahoma"/>
          <w:sz w:val="24"/>
          <w:szCs w:val="24"/>
          <w:shd w:val="clear" w:color="auto" w:fill="FFFFFF"/>
        </w:rPr>
        <w:t xml:space="preserve">) au fost de </w:t>
      </w:r>
      <w:r w:rsidR="00282418" w:rsidRPr="003164CE">
        <w:rPr>
          <w:rFonts w:ascii="Tahoma" w:eastAsia="Arial" w:hAnsi="Tahoma" w:cs="Tahoma"/>
          <w:sz w:val="24"/>
          <w:szCs w:val="24"/>
          <w:shd w:val="clear" w:color="auto" w:fill="FFFFFF"/>
        </w:rPr>
        <w:t>29,91</w:t>
      </w:r>
      <w:r w:rsidR="0063517C" w:rsidRPr="003164CE">
        <w:rPr>
          <w:rFonts w:ascii="Tahoma" w:eastAsia="Arial" w:hAnsi="Tahoma" w:cs="Tahoma"/>
          <w:sz w:val="24"/>
          <w:szCs w:val="24"/>
          <w:shd w:val="clear" w:color="auto" w:fill="FFFFFF"/>
        </w:rPr>
        <w:t xml:space="preserve"> </w:t>
      </w:r>
      <w:r w:rsidR="000C2870" w:rsidRPr="003164CE">
        <w:rPr>
          <w:rFonts w:ascii="Tahoma" w:eastAsia="Arial" w:hAnsi="Tahoma" w:cs="Tahoma"/>
          <w:sz w:val="24"/>
          <w:szCs w:val="24"/>
          <w:shd w:val="clear" w:color="auto" w:fill="FFFFFF"/>
        </w:rPr>
        <w:t>miliarde</w:t>
      </w:r>
      <w:r w:rsidRPr="003164CE">
        <w:rPr>
          <w:rFonts w:ascii="Tahoma" w:eastAsia="Arial" w:hAnsi="Tahoma" w:cs="Tahoma"/>
          <w:sz w:val="24"/>
          <w:szCs w:val="24"/>
          <w:shd w:val="clear" w:color="auto" w:fill="FFFFFF"/>
        </w:rPr>
        <w:t xml:space="preserve"> </w:t>
      </w:r>
      <w:r w:rsidR="003A634F" w:rsidRPr="003164CE">
        <w:rPr>
          <w:rFonts w:ascii="Tahoma" w:eastAsia="Arial" w:hAnsi="Tahoma" w:cs="Tahoma"/>
          <w:sz w:val="24"/>
          <w:szCs w:val="24"/>
          <w:shd w:val="clear" w:color="auto" w:fill="FFFFFF"/>
        </w:rPr>
        <w:t>lei</w:t>
      </w:r>
      <w:r w:rsidR="0063517C" w:rsidRPr="003164CE">
        <w:rPr>
          <w:rFonts w:ascii="Tahoma" w:eastAsia="Arial" w:hAnsi="Tahoma" w:cs="Tahoma"/>
          <w:sz w:val="24"/>
          <w:szCs w:val="24"/>
          <w:shd w:val="clear" w:color="auto" w:fill="FFFFFF"/>
        </w:rPr>
        <w:t xml:space="preserve"> </w:t>
      </w:r>
      <w:r w:rsidR="00D148DD" w:rsidRPr="003164CE">
        <w:rPr>
          <w:rFonts w:ascii="Tahoma" w:eastAsia="Arial" w:hAnsi="Tahoma" w:cs="Tahoma"/>
          <w:sz w:val="24"/>
          <w:szCs w:val="24"/>
          <w:shd w:val="clear" w:color="auto" w:fill="FFFFFF"/>
        </w:rPr>
        <w:t>(1,</w:t>
      </w:r>
      <w:r w:rsidR="00282418" w:rsidRPr="003164CE">
        <w:rPr>
          <w:rFonts w:ascii="Tahoma" w:eastAsia="Arial" w:hAnsi="Tahoma" w:cs="Tahoma"/>
          <w:sz w:val="24"/>
          <w:szCs w:val="24"/>
          <w:shd w:val="clear" w:color="auto" w:fill="FFFFFF"/>
        </w:rPr>
        <w:t>6</w:t>
      </w:r>
      <w:r w:rsidR="00D148DD" w:rsidRPr="003164CE">
        <w:rPr>
          <w:rFonts w:ascii="Tahoma" w:eastAsia="Arial" w:hAnsi="Tahoma" w:cs="Tahoma"/>
          <w:sz w:val="24"/>
          <w:szCs w:val="24"/>
          <w:shd w:val="clear" w:color="auto" w:fill="FFFFFF"/>
        </w:rPr>
        <w:t>% din PIB)</w:t>
      </w:r>
      <w:r w:rsidRPr="003164CE">
        <w:rPr>
          <w:rFonts w:ascii="Tahoma" w:eastAsia="Arial" w:hAnsi="Tahoma" w:cs="Tahoma"/>
          <w:sz w:val="24"/>
          <w:szCs w:val="24"/>
          <w:shd w:val="clear" w:color="auto" w:fill="FFFFFF"/>
        </w:rPr>
        <w:t xml:space="preserve">, cu </w:t>
      </w:r>
      <w:r w:rsidR="00282418" w:rsidRPr="003164CE">
        <w:rPr>
          <w:rFonts w:ascii="Tahoma" w:eastAsia="Arial" w:hAnsi="Tahoma" w:cs="Tahoma"/>
          <w:sz w:val="24"/>
          <w:szCs w:val="24"/>
          <w:shd w:val="clear" w:color="auto" w:fill="FFFFFF"/>
        </w:rPr>
        <w:t>22,2</w:t>
      </w:r>
      <w:r w:rsidRPr="003164CE">
        <w:rPr>
          <w:rFonts w:ascii="Tahoma" w:eastAsia="Arial" w:hAnsi="Tahoma" w:cs="Tahoma"/>
          <w:sz w:val="24"/>
          <w:szCs w:val="24"/>
          <w:shd w:val="clear" w:color="auto" w:fill="FFFFFF"/>
        </w:rPr>
        <w:t xml:space="preserve">% mai </w:t>
      </w:r>
      <w:r w:rsidR="00282418" w:rsidRPr="003164CE">
        <w:rPr>
          <w:rFonts w:ascii="Tahoma" w:eastAsia="Arial" w:hAnsi="Tahoma" w:cs="Tahoma"/>
          <w:sz w:val="24"/>
          <w:szCs w:val="24"/>
          <w:shd w:val="clear" w:color="auto" w:fill="FFFFFF"/>
        </w:rPr>
        <w:t>mari</w:t>
      </w:r>
      <w:r w:rsidRPr="003164CE">
        <w:rPr>
          <w:rFonts w:ascii="Tahoma" w:eastAsia="Arial" w:hAnsi="Tahoma" w:cs="Tahoma"/>
          <w:sz w:val="24"/>
          <w:szCs w:val="24"/>
          <w:shd w:val="clear" w:color="auto" w:fill="FFFFFF"/>
        </w:rPr>
        <w:t xml:space="preserve"> comparativ cu aceeași perioadă a anului precedent.</w:t>
      </w:r>
      <w:r w:rsidR="0010647A" w:rsidRPr="003164CE">
        <w:rPr>
          <w:rFonts w:ascii="Tahoma" w:eastAsia="Arial" w:hAnsi="Tahoma" w:cs="Tahoma"/>
          <w:sz w:val="24"/>
          <w:szCs w:val="24"/>
          <w:shd w:val="clear" w:color="auto" w:fill="FFFFFF"/>
        </w:rPr>
        <w:t xml:space="preserve"> </w:t>
      </w:r>
    </w:p>
    <w:p w:rsidR="004B5482" w:rsidRPr="003164CE" w:rsidRDefault="004B5482" w:rsidP="004B5482">
      <w:pPr>
        <w:spacing w:before="120" w:after="120" w:line="276" w:lineRule="auto"/>
        <w:ind w:firstLine="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Evoluția plăților comparativ cu semestrul I 202</w:t>
      </w:r>
      <w:r w:rsidR="00282418" w:rsidRPr="003164CE">
        <w:rPr>
          <w:rFonts w:ascii="Tahoma" w:eastAsia="Arial" w:hAnsi="Tahoma" w:cs="Tahoma"/>
          <w:sz w:val="24"/>
          <w:szCs w:val="24"/>
          <w:shd w:val="clear" w:color="auto" w:fill="FFFFFF"/>
        </w:rPr>
        <w:t>4</w:t>
      </w:r>
      <w:r w:rsidRPr="003164CE">
        <w:rPr>
          <w:rFonts w:ascii="Tahoma" w:eastAsia="Arial" w:hAnsi="Tahoma" w:cs="Tahoma"/>
          <w:sz w:val="24"/>
          <w:szCs w:val="24"/>
          <w:shd w:val="clear" w:color="auto" w:fill="FFFFFF"/>
        </w:rPr>
        <w:t xml:space="preserve"> a fost determinată de diminuarea cheltuielilor pentru proiectele finanțate din cadrul financiar 2014-2024, în timp ce cheltuielile pentru proiectele finanțate din cadrului 2021-2027 și cele aferente proiectelor finanțate din asistența financiară nerambursabilă alocată pentru PNRR au înregistrat creșteri cu </w:t>
      </w:r>
      <w:r w:rsidR="00282418" w:rsidRPr="003164CE">
        <w:rPr>
          <w:rFonts w:ascii="Tahoma" w:eastAsia="Arial" w:hAnsi="Tahoma" w:cs="Tahoma"/>
          <w:sz w:val="24"/>
          <w:szCs w:val="24"/>
          <w:shd w:val="clear" w:color="auto" w:fill="FFFFFF"/>
        </w:rPr>
        <w:t>6,44</w:t>
      </w:r>
      <w:r w:rsidRPr="003164CE">
        <w:rPr>
          <w:rFonts w:ascii="Tahoma" w:eastAsia="Arial" w:hAnsi="Tahoma" w:cs="Tahoma"/>
          <w:sz w:val="24"/>
          <w:szCs w:val="24"/>
          <w:shd w:val="clear" w:color="auto" w:fill="FFFFFF"/>
        </w:rPr>
        <w:t xml:space="preserve"> miliarde lei </w:t>
      </w:r>
      <w:r w:rsidR="00282418" w:rsidRPr="003164CE">
        <w:rPr>
          <w:rFonts w:ascii="Tahoma" w:eastAsia="Arial" w:hAnsi="Tahoma" w:cs="Tahoma"/>
          <w:sz w:val="24"/>
          <w:szCs w:val="24"/>
          <w:shd w:val="clear" w:color="auto" w:fill="FFFFFF"/>
        </w:rPr>
        <w:t>(+65,6%)</w:t>
      </w:r>
      <w:r w:rsidR="00F03716" w:rsidRPr="003164CE">
        <w:rPr>
          <w:rFonts w:ascii="Tahoma" w:eastAsia="Arial" w:hAnsi="Tahoma" w:cs="Tahoma"/>
          <w:sz w:val="24"/>
          <w:szCs w:val="24"/>
          <w:shd w:val="clear" w:color="auto" w:fill="FFFFFF"/>
        </w:rPr>
        <w:t xml:space="preserve"> </w:t>
      </w:r>
      <w:r w:rsidRPr="003164CE">
        <w:rPr>
          <w:rFonts w:ascii="Tahoma" w:eastAsia="Arial" w:hAnsi="Tahoma" w:cs="Tahoma"/>
          <w:sz w:val="24"/>
          <w:szCs w:val="24"/>
          <w:shd w:val="clear" w:color="auto" w:fill="FFFFFF"/>
        </w:rPr>
        <w:t xml:space="preserve">și respectiv </w:t>
      </w:r>
      <w:r w:rsidR="00282418" w:rsidRPr="003164CE">
        <w:rPr>
          <w:rFonts w:ascii="Tahoma" w:eastAsia="Arial" w:hAnsi="Tahoma" w:cs="Tahoma"/>
          <w:sz w:val="24"/>
          <w:szCs w:val="24"/>
          <w:shd w:val="clear" w:color="auto" w:fill="FFFFFF"/>
        </w:rPr>
        <w:t>4,23</w:t>
      </w:r>
      <w:r w:rsidRPr="003164CE">
        <w:rPr>
          <w:rFonts w:ascii="Tahoma" w:eastAsia="Arial" w:hAnsi="Tahoma" w:cs="Tahoma"/>
          <w:sz w:val="24"/>
          <w:szCs w:val="24"/>
          <w:shd w:val="clear" w:color="auto" w:fill="FFFFFF"/>
        </w:rPr>
        <w:t xml:space="preserve"> miliarde lei</w:t>
      </w:r>
      <w:r w:rsidR="00282418" w:rsidRPr="003164CE">
        <w:rPr>
          <w:rFonts w:ascii="Tahoma" w:eastAsia="Arial" w:hAnsi="Tahoma" w:cs="Tahoma"/>
          <w:sz w:val="24"/>
          <w:szCs w:val="24"/>
          <w:shd w:val="clear" w:color="auto" w:fill="FFFFFF"/>
        </w:rPr>
        <w:t>(+154,8%)</w:t>
      </w:r>
      <w:r w:rsidRPr="003164CE">
        <w:rPr>
          <w:rFonts w:ascii="Tahoma" w:eastAsia="Arial" w:hAnsi="Tahoma" w:cs="Tahoma"/>
          <w:sz w:val="24"/>
          <w:szCs w:val="24"/>
          <w:shd w:val="clear" w:color="auto" w:fill="FFFFFF"/>
        </w:rPr>
        <w:t>.</w:t>
      </w:r>
    </w:p>
    <w:p w:rsidR="004B5482" w:rsidRPr="003164CE" w:rsidRDefault="004B5482" w:rsidP="004B5482">
      <w:pPr>
        <w:spacing w:after="120" w:line="276" w:lineRule="auto"/>
        <w:ind w:firstLine="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 xml:space="preserve">În totalul cheltuielilor cu proiectele finanțate din fonduri externe nerambursabile ponderea cea mai ridicată au avut-o cheltuielile cu proiectele finanțate din fondurile aferente perioadei de programare 2021-2027 cu o pondere de </w:t>
      </w:r>
      <w:r w:rsidR="00282418" w:rsidRPr="003164CE">
        <w:rPr>
          <w:rFonts w:ascii="Tahoma" w:eastAsia="Arial" w:hAnsi="Tahoma" w:cs="Tahoma"/>
          <w:sz w:val="24"/>
          <w:szCs w:val="24"/>
          <w:shd w:val="clear" w:color="auto" w:fill="FFFFFF"/>
        </w:rPr>
        <w:t>54,1</w:t>
      </w:r>
      <w:r w:rsidRPr="003164CE">
        <w:rPr>
          <w:rFonts w:ascii="Tahoma" w:eastAsia="Arial" w:hAnsi="Tahoma" w:cs="Tahoma"/>
          <w:sz w:val="24"/>
          <w:szCs w:val="24"/>
          <w:shd w:val="clear" w:color="auto" w:fill="FFFFFF"/>
        </w:rPr>
        <w:t xml:space="preserve">%, </w:t>
      </w:r>
      <w:r w:rsidR="00282418" w:rsidRPr="003164CE">
        <w:rPr>
          <w:rFonts w:ascii="Tahoma" w:eastAsia="Arial" w:hAnsi="Tahoma" w:cs="Tahoma"/>
          <w:sz w:val="24"/>
          <w:szCs w:val="24"/>
          <w:shd w:val="clear" w:color="auto" w:fill="FFFFFF"/>
        </w:rPr>
        <w:t xml:space="preserve">cele alocate proiectelor finanțate din fonduri aferente asistenței financiare nerambursabile a PNRR cu o pondere de 23,3% </w:t>
      </w:r>
      <w:r w:rsidRPr="003164CE">
        <w:rPr>
          <w:rFonts w:ascii="Tahoma" w:eastAsia="Arial" w:hAnsi="Tahoma" w:cs="Tahoma"/>
          <w:sz w:val="24"/>
          <w:szCs w:val="24"/>
          <w:shd w:val="clear" w:color="auto" w:fill="FFFFFF"/>
        </w:rPr>
        <w:t xml:space="preserve">și respectiv </w:t>
      </w:r>
      <w:r w:rsidR="00282418" w:rsidRPr="003164CE">
        <w:rPr>
          <w:rFonts w:ascii="Tahoma" w:eastAsia="Arial" w:hAnsi="Tahoma" w:cs="Tahoma"/>
          <w:sz w:val="24"/>
          <w:szCs w:val="24"/>
          <w:shd w:val="clear" w:color="auto" w:fill="FFFFFF"/>
        </w:rPr>
        <w:t xml:space="preserve">cele alocate proiectelor finanțate din fonduri aferente perioadelor de programare 2014-2020 și din Fondul de modernizare cu o pondere de 22,4% </w:t>
      </w:r>
    </w:p>
    <w:p w:rsidR="007A755E" w:rsidRPr="003164CE" w:rsidRDefault="0010647A" w:rsidP="007A755E">
      <w:pPr>
        <w:spacing w:before="120" w:after="120" w:line="276" w:lineRule="auto"/>
        <w:ind w:firstLine="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 xml:space="preserve">Cheltuielile privind proiectele finanțate din fonduri externe nerambursabile s-au efectuat în proporție de </w:t>
      </w:r>
      <w:r w:rsidR="004B5482" w:rsidRPr="003164CE">
        <w:rPr>
          <w:rFonts w:ascii="Tahoma" w:eastAsia="Arial" w:hAnsi="Tahoma" w:cs="Tahoma"/>
          <w:sz w:val="24"/>
          <w:szCs w:val="24"/>
          <w:shd w:val="clear" w:color="auto" w:fill="FFFFFF"/>
        </w:rPr>
        <w:t>51,</w:t>
      </w:r>
      <w:r w:rsidR="00282418" w:rsidRPr="003164CE">
        <w:rPr>
          <w:rFonts w:ascii="Tahoma" w:eastAsia="Arial" w:hAnsi="Tahoma" w:cs="Tahoma"/>
          <w:sz w:val="24"/>
          <w:szCs w:val="24"/>
          <w:shd w:val="clear" w:color="auto" w:fill="FFFFFF"/>
        </w:rPr>
        <w:t>2</w:t>
      </w:r>
      <w:r w:rsidRPr="003164CE">
        <w:rPr>
          <w:rFonts w:ascii="Tahoma" w:eastAsia="Arial" w:hAnsi="Tahoma" w:cs="Tahoma"/>
          <w:sz w:val="24"/>
          <w:szCs w:val="24"/>
          <w:shd w:val="clear" w:color="auto" w:fill="FFFFFF"/>
        </w:rPr>
        <w:t>% din nivelul programat pentru perioada analizată.</w:t>
      </w:r>
    </w:p>
    <w:p w:rsidR="004B5482" w:rsidRPr="003164CE" w:rsidRDefault="004B5482" w:rsidP="007A755E">
      <w:pPr>
        <w:spacing w:before="120" w:after="120" w:line="276" w:lineRule="auto"/>
        <w:ind w:firstLine="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 xml:space="preserve">Discrepanța majoră între nivelul programat și cel efectuat </w:t>
      </w:r>
      <w:r w:rsidR="00FF3F94" w:rsidRPr="003164CE">
        <w:rPr>
          <w:rFonts w:ascii="Tahoma" w:eastAsia="Arial" w:hAnsi="Tahoma" w:cs="Tahoma"/>
          <w:sz w:val="24"/>
          <w:szCs w:val="24"/>
          <w:shd w:val="clear" w:color="auto" w:fill="FFFFFF"/>
        </w:rPr>
        <w:t xml:space="preserve">al cheltuielilor cu proiectele finanțate din fonduri externe nerambursabile </w:t>
      </w:r>
      <w:r w:rsidRPr="003164CE">
        <w:rPr>
          <w:rFonts w:ascii="Tahoma" w:eastAsia="Arial" w:hAnsi="Tahoma" w:cs="Tahoma"/>
          <w:sz w:val="24"/>
          <w:szCs w:val="24"/>
          <w:shd w:val="clear" w:color="auto" w:fill="FFFFFF"/>
        </w:rPr>
        <w:t>a fost determinată în principal de evoluția cheltuielile cu proiectele finanțate din fondurile aferente perioadei de programare 2021-2027</w:t>
      </w:r>
      <w:r w:rsidR="00FF3F94" w:rsidRPr="003164CE">
        <w:rPr>
          <w:rFonts w:ascii="Tahoma" w:eastAsia="Arial" w:hAnsi="Tahoma" w:cs="Tahoma"/>
          <w:sz w:val="24"/>
          <w:szCs w:val="24"/>
          <w:shd w:val="clear" w:color="auto" w:fill="FFFFFF"/>
        </w:rPr>
        <w:t>,</w:t>
      </w:r>
      <w:r w:rsidRPr="003164CE">
        <w:rPr>
          <w:rFonts w:ascii="Tahoma" w:eastAsia="Arial" w:hAnsi="Tahoma" w:cs="Tahoma"/>
          <w:sz w:val="24"/>
          <w:szCs w:val="24"/>
          <w:shd w:val="clear" w:color="auto" w:fill="FFFFFF"/>
        </w:rPr>
        <w:t xml:space="preserve"> </w:t>
      </w:r>
      <w:r w:rsidR="00FF3F94" w:rsidRPr="003164CE">
        <w:rPr>
          <w:rFonts w:ascii="Tahoma" w:eastAsia="Arial" w:hAnsi="Tahoma" w:cs="Tahoma"/>
          <w:sz w:val="24"/>
          <w:szCs w:val="24"/>
          <w:shd w:val="clear" w:color="auto" w:fill="FFFFFF"/>
        </w:rPr>
        <w:t xml:space="preserve">grad de realizare </w:t>
      </w:r>
      <w:r w:rsidR="00282418" w:rsidRPr="003164CE">
        <w:rPr>
          <w:rFonts w:ascii="Tahoma" w:eastAsia="Arial" w:hAnsi="Tahoma" w:cs="Tahoma"/>
          <w:sz w:val="24"/>
          <w:szCs w:val="24"/>
          <w:shd w:val="clear" w:color="auto" w:fill="FFFFFF"/>
        </w:rPr>
        <w:t>49,3</w:t>
      </w:r>
      <w:r w:rsidR="00FF3F94" w:rsidRPr="003164CE">
        <w:rPr>
          <w:rFonts w:ascii="Tahoma" w:eastAsia="Arial" w:hAnsi="Tahoma" w:cs="Tahoma"/>
          <w:sz w:val="24"/>
          <w:szCs w:val="24"/>
          <w:shd w:val="clear" w:color="auto" w:fill="FFFFFF"/>
        </w:rPr>
        <w:t xml:space="preserve">% </w:t>
      </w:r>
      <w:r w:rsidRPr="003164CE">
        <w:rPr>
          <w:rFonts w:ascii="Tahoma" w:eastAsia="Arial" w:hAnsi="Tahoma" w:cs="Tahoma"/>
          <w:sz w:val="24"/>
          <w:szCs w:val="24"/>
          <w:shd w:val="clear" w:color="auto" w:fill="FFFFFF"/>
        </w:rPr>
        <w:t xml:space="preserve">și a celor aferente proiectelor finanțate din fonduri </w:t>
      </w:r>
      <w:r w:rsidRPr="003164CE">
        <w:rPr>
          <w:rFonts w:ascii="Tahoma" w:eastAsia="Arial" w:hAnsi="Tahoma" w:cs="Tahoma"/>
          <w:sz w:val="24"/>
          <w:szCs w:val="24"/>
          <w:shd w:val="clear" w:color="auto" w:fill="FFFFFF"/>
        </w:rPr>
        <w:lastRenderedPageBreak/>
        <w:t xml:space="preserve">aferente asistenței financiare nerambursabile a PNRR </w:t>
      </w:r>
      <w:r w:rsidR="00FF3F94" w:rsidRPr="003164CE">
        <w:rPr>
          <w:rFonts w:ascii="Tahoma" w:eastAsia="Arial" w:hAnsi="Tahoma" w:cs="Tahoma"/>
          <w:sz w:val="24"/>
          <w:szCs w:val="24"/>
          <w:shd w:val="clear" w:color="auto" w:fill="FFFFFF"/>
        </w:rPr>
        <w:t xml:space="preserve">unde gradul de realizare al plăților programate a fost de </w:t>
      </w:r>
      <w:r w:rsidR="0036389F" w:rsidRPr="003164CE">
        <w:rPr>
          <w:rFonts w:ascii="Tahoma" w:eastAsia="Arial" w:hAnsi="Tahoma" w:cs="Tahoma"/>
          <w:sz w:val="24"/>
          <w:szCs w:val="24"/>
          <w:shd w:val="clear" w:color="auto" w:fill="FFFFFF"/>
        </w:rPr>
        <w:t>43</w:t>
      </w:r>
      <w:r w:rsidR="00FF3F94" w:rsidRPr="003164CE">
        <w:rPr>
          <w:rFonts w:ascii="Tahoma" w:eastAsia="Arial" w:hAnsi="Tahoma" w:cs="Tahoma"/>
          <w:sz w:val="24"/>
          <w:szCs w:val="24"/>
          <w:shd w:val="clear" w:color="auto" w:fill="FFFFFF"/>
        </w:rPr>
        <w:t>,5%.</w:t>
      </w:r>
    </w:p>
    <w:p w:rsidR="0036389F" w:rsidRPr="003164CE" w:rsidRDefault="0036389F" w:rsidP="007A755E">
      <w:pPr>
        <w:spacing w:before="120" w:after="120" w:line="276" w:lineRule="auto"/>
        <w:ind w:firstLine="0"/>
        <w:rPr>
          <w:rFonts w:ascii="Tahoma" w:eastAsia="Arial" w:hAnsi="Tahoma" w:cs="Tahoma"/>
          <w:sz w:val="24"/>
          <w:szCs w:val="24"/>
          <w:shd w:val="clear" w:color="auto" w:fill="FFFFFF"/>
        </w:rPr>
      </w:pPr>
      <w:r w:rsidRPr="003164CE">
        <w:rPr>
          <w:rFonts w:ascii="Tahoma" w:eastAsia="Arial" w:hAnsi="Tahoma" w:cs="Tahoma"/>
          <w:b/>
          <w:sz w:val="24"/>
          <w:szCs w:val="24"/>
          <w:shd w:val="clear" w:color="auto" w:fill="FFFFFF"/>
        </w:rPr>
        <w:t>Cheltuielile cu finanțare din componenta de împrumut a PNRR</w:t>
      </w:r>
      <w:r w:rsidRPr="003164CE">
        <w:rPr>
          <w:rFonts w:ascii="Tahoma" w:eastAsia="Arial" w:hAnsi="Tahoma" w:cs="Tahoma"/>
          <w:sz w:val="24"/>
          <w:szCs w:val="24"/>
          <w:shd w:val="clear" w:color="auto" w:fill="FFFFFF"/>
        </w:rPr>
        <w:t xml:space="preserve"> au fost în sumă de 8,45 milia</w:t>
      </w:r>
      <w:r w:rsidR="00F03716" w:rsidRPr="003164CE">
        <w:rPr>
          <w:rFonts w:ascii="Tahoma" w:eastAsia="Arial" w:hAnsi="Tahoma" w:cs="Tahoma"/>
          <w:sz w:val="24"/>
          <w:szCs w:val="24"/>
          <w:shd w:val="clear" w:color="auto" w:fill="FFFFFF"/>
        </w:rPr>
        <w:t xml:space="preserve">rde lei(0,4% din PIB) cu 89,6% </w:t>
      </w:r>
      <w:r w:rsidRPr="003164CE">
        <w:rPr>
          <w:rFonts w:ascii="Tahoma" w:eastAsia="Arial" w:hAnsi="Tahoma" w:cs="Tahoma"/>
          <w:sz w:val="24"/>
          <w:szCs w:val="24"/>
          <w:shd w:val="clear" w:color="auto" w:fill="FFFFFF"/>
        </w:rPr>
        <w:t>mai mari comparativ cu semestrul I 2024 gradul de realizare al cheltuielilor programate fiind de 76,8%.</w:t>
      </w:r>
    </w:p>
    <w:p w:rsidR="0036389F" w:rsidRPr="003164CE" w:rsidRDefault="004D6D76" w:rsidP="00231E72">
      <w:pPr>
        <w:spacing w:after="120" w:line="276" w:lineRule="auto"/>
        <w:ind w:firstLine="0"/>
        <w:rPr>
          <w:rFonts w:ascii="Tahoma" w:eastAsia="Arial" w:hAnsi="Tahoma" w:cs="Tahoma"/>
          <w:sz w:val="24"/>
          <w:szCs w:val="24"/>
          <w:shd w:val="clear" w:color="auto" w:fill="FFFFFF"/>
        </w:rPr>
      </w:pPr>
      <w:r w:rsidRPr="003164CE">
        <w:rPr>
          <w:rFonts w:ascii="Tahoma" w:eastAsia="Arial" w:hAnsi="Tahoma" w:cs="Tahoma"/>
          <w:b/>
          <w:sz w:val="24"/>
          <w:szCs w:val="24"/>
          <w:shd w:val="clear" w:color="auto" w:fill="FFFFFF"/>
        </w:rPr>
        <w:t>Cheltuielile pentru investiții</w:t>
      </w:r>
      <w:r w:rsidRPr="003164CE">
        <w:rPr>
          <w:rFonts w:ascii="Tahoma" w:eastAsia="Arial" w:hAnsi="Tahoma" w:cs="Tahoma"/>
          <w:sz w:val="24"/>
          <w:szCs w:val="24"/>
          <w:shd w:val="clear" w:color="auto" w:fill="FFFFFF"/>
        </w:rPr>
        <w:t xml:space="preserve">, care includ cheltuielile de capital, precum și cele aferente programelor de dezvoltare finanțate din surse interne și externe, au însumat </w:t>
      </w:r>
      <w:r w:rsidR="0036389F" w:rsidRPr="003164CE">
        <w:rPr>
          <w:rFonts w:ascii="Tahoma" w:eastAsia="Arial" w:hAnsi="Tahoma" w:cs="Tahoma"/>
          <w:sz w:val="24"/>
          <w:szCs w:val="24"/>
          <w:shd w:val="clear" w:color="auto" w:fill="FFFFFF"/>
        </w:rPr>
        <w:t>50,44</w:t>
      </w:r>
      <w:r w:rsidR="00F80F55" w:rsidRPr="003164CE">
        <w:rPr>
          <w:rFonts w:ascii="Tahoma" w:eastAsia="Arial" w:hAnsi="Tahoma" w:cs="Tahoma"/>
          <w:sz w:val="24"/>
          <w:szCs w:val="24"/>
          <w:shd w:val="clear" w:color="auto" w:fill="FFFFFF"/>
        </w:rPr>
        <w:t xml:space="preserve"> miliarde </w:t>
      </w:r>
      <w:r w:rsidR="003A634F" w:rsidRPr="003164CE">
        <w:rPr>
          <w:rFonts w:ascii="Tahoma" w:eastAsia="Arial" w:hAnsi="Tahoma" w:cs="Tahoma"/>
          <w:sz w:val="24"/>
          <w:szCs w:val="24"/>
          <w:shd w:val="clear" w:color="auto" w:fill="FFFFFF"/>
        </w:rPr>
        <w:t>lei</w:t>
      </w:r>
      <w:r w:rsidR="00F80F55" w:rsidRPr="003164CE">
        <w:rPr>
          <w:rFonts w:ascii="Tahoma" w:eastAsia="Arial" w:hAnsi="Tahoma" w:cs="Tahoma"/>
          <w:sz w:val="24"/>
          <w:szCs w:val="24"/>
          <w:shd w:val="clear" w:color="auto" w:fill="FFFFFF"/>
        </w:rPr>
        <w:t xml:space="preserve"> (</w:t>
      </w:r>
      <w:r w:rsidR="00C15AD8" w:rsidRPr="003164CE">
        <w:rPr>
          <w:rFonts w:ascii="Tahoma" w:eastAsia="Arial" w:hAnsi="Tahoma" w:cs="Tahoma"/>
          <w:sz w:val="24"/>
          <w:szCs w:val="24"/>
          <w:shd w:val="clear" w:color="auto" w:fill="FFFFFF"/>
        </w:rPr>
        <w:t>2,</w:t>
      </w:r>
      <w:r w:rsidR="00FF3F94" w:rsidRPr="003164CE">
        <w:rPr>
          <w:rFonts w:ascii="Tahoma" w:eastAsia="Arial" w:hAnsi="Tahoma" w:cs="Tahoma"/>
          <w:sz w:val="24"/>
          <w:szCs w:val="24"/>
          <w:shd w:val="clear" w:color="auto" w:fill="FFFFFF"/>
        </w:rPr>
        <w:t>6</w:t>
      </w:r>
      <w:r w:rsidR="0036389F" w:rsidRPr="003164CE">
        <w:rPr>
          <w:rFonts w:ascii="Tahoma" w:eastAsia="Arial" w:hAnsi="Tahoma" w:cs="Tahoma"/>
          <w:sz w:val="24"/>
          <w:szCs w:val="24"/>
          <w:shd w:val="clear" w:color="auto" w:fill="FFFFFF"/>
        </w:rPr>
        <w:t>6</w:t>
      </w:r>
      <w:r w:rsidR="00F80F55" w:rsidRPr="003164CE">
        <w:rPr>
          <w:rFonts w:ascii="Tahoma" w:eastAsia="Arial" w:hAnsi="Tahoma" w:cs="Tahoma"/>
          <w:sz w:val="24"/>
          <w:szCs w:val="24"/>
          <w:shd w:val="clear" w:color="auto" w:fill="FFFFFF"/>
        </w:rPr>
        <w:t>% din PIB</w:t>
      </w:r>
      <w:r w:rsidR="003D5C26" w:rsidRPr="003164CE">
        <w:rPr>
          <w:rFonts w:ascii="Tahoma" w:eastAsia="Arial" w:hAnsi="Tahoma" w:cs="Tahoma"/>
          <w:sz w:val="24"/>
          <w:szCs w:val="24"/>
          <w:shd w:val="clear" w:color="auto" w:fill="FFFFFF"/>
        </w:rPr>
        <w:t>)</w:t>
      </w:r>
      <w:r w:rsidR="0036389F" w:rsidRPr="003164CE">
        <w:rPr>
          <w:rFonts w:ascii="Tahoma" w:eastAsia="Arial" w:hAnsi="Tahoma" w:cs="Tahoma"/>
          <w:sz w:val="24"/>
          <w:szCs w:val="24"/>
          <w:shd w:val="clear" w:color="auto" w:fill="FFFFFF"/>
        </w:rPr>
        <w:t xml:space="preserve"> cu 9,</w:t>
      </w:r>
      <w:r w:rsidR="00F03716" w:rsidRPr="003164CE">
        <w:rPr>
          <w:rFonts w:ascii="Tahoma" w:eastAsia="Arial" w:hAnsi="Tahoma" w:cs="Tahoma"/>
          <w:sz w:val="24"/>
          <w:szCs w:val="24"/>
          <w:shd w:val="clear" w:color="auto" w:fill="FFFFFF"/>
        </w:rPr>
        <w:t>0</w:t>
      </w:r>
      <w:r w:rsidR="0036389F" w:rsidRPr="003164CE">
        <w:rPr>
          <w:rFonts w:ascii="Tahoma" w:eastAsia="Arial" w:hAnsi="Tahoma" w:cs="Tahoma"/>
          <w:sz w:val="24"/>
          <w:szCs w:val="24"/>
          <w:shd w:val="clear" w:color="auto" w:fill="FFFFFF"/>
        </w:rPr>
        <w:t>3%(+4,2 miliarde lei) mai mari comparativ cu semestrul I 2024</w:t>
      </w:r>
      <w:r w:rsidR="003D5C26" w:rsidRPr="003164CE">
        <w:rPr>
          <w:rFonts w:ascii="Tahoma" w:eastAsia="Arial" w:hAnsi="Tahoma" w:cs="Tahoma"/>
          <w:sz w:val="24"/>
          <w:szCs w:val="24"/>
          <w:shd w:val="clear" w:color="auto" w:fill="FFFFFF"/>
        </w:rPr>
        <w:t>.</w:t>
      </w:r>
      <w:r w:rsidR="00F80F55" w:rsidRPr="003164CE">
        <w:rPr>
          <w:rFonts w:ascii="Tahoma" w:eastAsia="Arial" w:hAnsi="Tahoma" w:cs="Tahoma"/>
          <w:sz w:val="24"/>
          <w:szCs w:val="24"/>
          <w:shd w:val="clear" w:color="auto" w:fill="FFFFFF"/>
        </w:rPr>
        <w:t xml:space="preserve"> </w:t>
      </w:r>
    </w:p>
    <w:p w:rsidR="008E3036" w:rsidRPr="003164CE" w:rsidRDefault="008E3036" w:rsidP="008E3036">
      <w:pPr>
        <w:pStyle w:val="ListParagraph"/>
        <w:spacing w:after="120" w:line="276" w:lineRule="auto"/>
        <w:ind w:left="0" w:firstLine="0"/>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Principalele obiective de investiții publice distincte pentru care s-au efectuat plăți în semestrul I al anului 2025 sunt: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Sibiu – Pitești – plăți 1.593.865 mii lei (reprezentând 71,89%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Buzău - Focșani – plăți 1.415.541 mii lei (reprezentând 88,21%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Ploiești - Buzău – plăți 1.317.849 mii lei (reprezentând 76,66%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Electrificarea și reabilitarea liniei de cale ferată Cluj-Napoca - Oradea - Episcopia Bihor – plăți 657.429 mii lei (reprezentând 33,24%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Sibiu - Făgăraș – plăți 619.847 mii lei (reprezentând 56,63%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Focșani - Bacău – plăți 470.324 mii lei (reprezentând 67,17%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de Centură a municipiului București - Sector Centură Nord km.0+000 - km 52+770 – plăți 468.817 mii lei (reprezentând 67,65%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Bacău - Pașcani – plăți 440.268 mii lei (reprezentând 71,46%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Reducerea eroziunii costiere Faza II (2014-2020) – plăți 421.286 mii lei (reprezentând 51,62%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Modernizarea liniei feroviare Caransebeș - Timișoara - Arad – plăți 408.530 mii lei (reprezentând 20,59%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Brașov – Târgu Mureș – Cluj - Oradea – plăți 333.032 mii lei (reprezentând 36,27%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lastRenderedPageBreak/>
        <w:t>Autostrada de Centură București - Sector Centură Sud km.52+700 - km 100+900 – plăți 323.978 mii lei (reprezentând 59,12%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Drum expres Craiova Pitești și legăturile la drumurile existente – plăți 323.908 mii lei (reprezentând 31,86%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Legătura rețelei de metrou cu Aeroportul Internațional Henri Coandă - Otopeni – plăți 318.107 mii lei (reprezentând 43,57%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Reabilitarea liniei de cale ferată Brașov-Simeria, componentă a Coridorului Rin-Dunăre, pentru circulația cu viteza maximă de 160 km/h, secțiunea Brașov-Sighișoara, subsecțiunile 1.Brașov-Apața, 2.Apața-Cața și 3.Cața-Sighișoara – plăți 248.415 mii lei (reprezentând 44,79%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 xml:space="preserve">Reabilitarea liniei C.F. Frontiera - Curtici - Simeria, parte componenta a Coridorului IV Pan-European pentru </w:t>
      </w:r>
      <w:r w:rsidR="00EF57E1" w:rsidRPr="003164CE">
        <w:rPr>
          <w:rFonts w:ascii="Tahoma" w:eastAsia="Arial" w:hAnsi="Tahoma" w:cs="Tahoma"/>
          <w:sz w:val="24"/>
          <w:szCs w:val="24"/>
          <w:shd w:val="clear" w:color="auto" w:fill="FFFFFF"/>
        </w:rPr>
        <w:t>circulația</w:t>
      </w:r>
      <w:r w:rsidRPr="003164CE">
        <w:rPr>
          <w:rFonts w:ascii="Tahoma" w:eastAsia="Arial" w:hAnsi="Tahoma" w:cs="Tahoma"/>
          <w:sz w:val="24"/>
          <w:szCs w:val="24"/>
          <w:shd w:val="clear" w:color="auto" w:fill="FFFFFF"/>
        </w:rPr>
        <w:t xml:space="preserve"> trenurilor cu viteza maxima de 160 km/h; Tronsonul 2: km 614 - Gurasada si Tronsonul 3: Gurasada - Simeria – plăți 189.954 mii lei (reprezentând 20,28%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Autostrada Lugoj-Deva – plăți 154.632 mii lei (reprezentând 47,73%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Drum expres pentru realizarea conexiunii dintre Autostrada A3 (zona Turda) și Drum Național DN 1 (zona Tureni) – plăți 139.450 mii lei (reprezentând 82,69%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Varianta de ocolire a municipiului Sfântu Gheorghe – plăți 85.647 mii lei (reprezentând 100%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Construire Spital Orășenesc, localitatea Sinaia, județul Prahova – plăți 70.000 mii lei (reprezentând 100% din programul actualizat);</w:t>
      </w:r>
    </w:p>
    <w:p w:rsidR="008E3036" w:rsidRPr="003164CE" w:rsidRDefault="008E3036" w:rsidP="008E3036">
      <w:pPr>
        <w:pStyle w:val="ListParagraph"/>
        <w:numPr>
          <w:ilvl w:val="0"/>
          <w:numId w:val="21"/>
        </w:numPr>
        <w:spacing w:after="120" w:line="276" w:lineRule="auto"/>
        <w:ind w:left="924" w:hanging="357"/>
        <w:contextualSpacing w:val="0"/>
        <w:rPr>
          <w:rFonts w:ascii="Tahoma" w:eastAsia="Arial" w:hAnsi="Tahoma" w:cs="Tahoma"/>
          <w:sz w:val="24"/>
          <w:szCs w:val="24"/>
          <w:shd w:val="clear" w:color="auto" w:fill="FFFFFF"/>
        </w:rPr>
      </w:pPr>
      <w:r w:rsidRPr="003164CE">
        <w:rPr>
          <w:rFonts w:ascii="Tahoma" w:eastAsia="Arial" w:hAnsi="Tahoma" w:cs="Tahoma"/>
          <w:sz w:val="24"/>
          <w:szCs w:val="24"/>
          <w:shd w:val="clear" w:color="auto" w:fill="FFFFFF"/>
        </w:rPr>
        <w:t>Drum expres Brăila - Galați – plăți 69.999 mii lei (reprezentând 60,02% din programul actualizat);</w:t>
      </w:r>
    </w:p>
    <w:p w:rsidR="00322343" w:rsidRPr="003164CE" w:rsidRDefault="001B59BC" w:rsidP="008E3036">
      <w:pPr>
        <w:pStyle w:val="ListParagraph"/>
        <w:numPr>
          <w:ilvl w:val="0"/>
          <w:numId w:val="21"/>
        </w:numPr>
        <w:spacing w:after="120" w:line="276" w:lineRule="auto"/>
        <w:ind w:left="924" w:hanging="357"/>
        <w:contextualSpacing w:val="0"/>
        <w:rPr>
          <w:rFonts w:ascii="Tahoma" w:hAnsi="Tahoma" w:cs="Tahoma"/>
          <w:sz w:val="24"/>
          <w:szCs w:val="24"/>
        </w:rPr>
      </w:pPr>
      <w:r w:rsidRPr="003164CE">
        <w:rPr>
          <w:rFonts w:ascii="Tahoma" w:eastAsia="Arial" w:hAnsi="Tahoma" w:cs="Tahoma"/>
          <w:sz w:val="24"/>
          <w:szCs w:val="24"/>
          <w:shd w:val="clear" w:color="auto" w:fill="FFFFFF"/>
        </w:rPr>
        <w:t>Lărgire</w:t>
      </w:r>
      <w:r w:rsidR="008E3036" w:rsidRPr="003164CE">
        <w:rPr>
          <w:rFonts w:ascii="Tahoma" w:eastAsia="Arial" w:hAnsi="Tahoma" w:cs="Tahoma"/>
          <w:sz w:val="24"/>
          <w:szCs w:val="24"/>
          <w:shd w:val="clear" w:color="auto" w:fill="FFFFFF"/>
        </w:rPr>
        <w:t xml:space="preserve"> la 4 benzi DN 7, Bâldana - Titu km 30+950 - 52+350 – plăți 57.744 mii lei (reprezentând 44,55% din programul actualizat).</w:t>
      </w:r>
    </w:p>
    <w:p w:rsidR="00610108" w:rsidRPr="003164CE" w:rsidRDefault="00F55970" w:rsidP="00610108">
      <w:pPr>
        <w:spacing w:after="120" w:line="276" w:lineRule="auto"/>
        <w:ind w:firstLine="0"/>
        <w:rPr>
          <w:noProof/>
        </w:rPr>
      </w:pPr>
      <w:r w:rsidRPr="003164CE">
        <w:rPr>
          <w:noProof/>
        </w:rPr>
        <w:lastRenderedPageBreak/>
        <w:fldChar w:fldCharType="begin"/>
      </w:r>
      <w:r w:rsidRPr="003164CE">
        <w:rPr>
          <w:noProof/>
        </w:rPr>
        <w:instrText xml:space="preserve"> LINK Excel.Sheet.8 "\\\\MFP1934\\retea on 10.236.1.89\\Executii\\Executii 2025\\Rapoarte LRF 2025\\CALCULE 2025\\solduri 2025.xls!solduri2025!R2C2:R14C4" "" \a \p </w:instrText>
      </w:r>
      <w:r w:rsidRPr="003164CE">
        <w:rPr>
          <w:noProof/>
        </w:rPr>
        <w:fldChar w:fldCharType="separate"/>
      </w:r>
      <w:r w:rsidR="0012205B">
        <w:rPr>
          <w:noProof/>
        </w:rPr>
        <w:object w:dxaOrig="8486" w:dyaOrig="7093">
          <v:shape id="_x0000_i1029" type="#_x0000_t75" style="width:452.3pt;height:4in" o:ole="">
            <v:imagedata r:id="rId20" o:title=""/>
          </v:shape>
        </w:object>
      </w:r>
      <w:r w:rsidRPr="003164CE">
        <w:rPr>
          <w:noProof/>
        </w:rPr>
        <w:fldChar w:fldCharType="end"/>
      </w:r>
    </w:p>
    <w:p w:rsidR="00610108" w:rsidRPr="003164CE" w:rsidRDefault="00610108" w:rsidP="00610108">
      <w:pPr>
        <w:spacing w:after="120" w:line="276" w:lineRule="auto"/>
        <w:ind w:firstLine="0"/>
        <w:rPr>
          <w:rFonts w:ascii="Tahoma" w:hAnsi="Tahoma" w:cs="Tahoma"/>
          <w:noProof/>
          <w:sz w:val="24"/>
          <w:szCs w:val="24"/>
        </w:rPr>
      </w:pPr>
      <w:r w:rsidRPr="003164CE">
        <w:rPr>
          <w:rFonts w:ascii="Tahoma" w:hAnsi="Tahoma" w:cs="Tahoma"/>
          <w:b/>
          <w:noProof/>
          <w:sz w:val="24"/>
          <w:szCs w:val="24"/>
        </w:rPr>
        <w:t>Stocul plăților restante</w:t>
      </w:r>
      <w:r w:rsidRPr="003164CE">
        <w:rPr>
          <w:rFonts w:ascii="Tahoma" w:hAnsi="Tahoma" w:cs="Tahoma"/>
          <w:noProof/>
          <w:sz w:val="24"/>
          <w:szCs w:val="24"/>
        </w:rPr>
        <w:t xml:space="preserve"> raportate la data de 30 iunie 202</w:t>
      </w:r>
      <w:r w:rsidR="00C4456E" w:rsidRPr="003164CE">
        <w:rPr>
          <w:rFonts w:ascii="Tahoma" w:hAnsi="Tahoma" w:cs="Tahoma"/>
          <w:noProof/>
          <w:sz w:val="24"/>
          <w:szCs w:val="24"/>
        </w:rPr>
        <w:t>5</w:t>
      </w:r>
      <w:r w:rsidRPr="003164CE">
        <w:rPr>
          <w:rFonts w:ascii="Tahoma" w:hAnsi="Tahoma" w:cs="Tahoma"/>
          <w:noProof/>
          <w:sz w:val="24"/>
          <w:szCs w:val="24"/>
        </w:rPr>
        <w:t xml:space="preserve"> a fost în sumă totală de </w:t>
      </w:r>
      <w:r w:rsidR="00C4456E" w:rsidRPr="003164CE">
        <w:rPr>
          <w:rFonts w:ascii="Tahoma" w:hAnsi="Tahoma" w:cs="Tahoma"/>
          <w:noProof/>
          <w:sz w:val="24"/>
          <w:szCs w:val="24"/>
        </w:rPr>
        <w:t>5.896,4</w:t>
      </w:r>
      <w:r w:rsidRPr="003164CE">
        <w:rPr>
          <w:rFonts w:ascii="Tahoma" w:hAnsi="Tahoma" w:cs="Tahoma"/>
          <w:noProof/>
          <w:sz w:val="24"/>
          <w:szCs w:val="24"/>
        </w:rPr>
        <w:t xml:space="preserve"> milioane lei, cu </w:t>
      </w:r>
      <w:r w:rsidR="00C4456E" w:rsidRPr="003164CE">
        <w:rPr>
          <w:rFonts w:ascii="Tahoma" w:hAnsi="Tahoma" w:cs="Tahoma"/>
          <w:noProof/>
          <w:sz w:val="24"/>
          <w:szCs w:val="24"/>
        </w:rPr>
        <w:t>116,2</w:t>
      </w:r>
      <w:r w:rsidRPr="003164CE">
        <w:rPr>
          <w:rFonts w:ascii="Tahoma" w:hAnsi="Tahoma" w:cs="Tahoma"/>
          <w:noProof/>
          <w:sz w:val="24"/>
          <w:szCs w:val="24"/>
        </w:rPr>
        <w:t>% peste nivelul înregistrat la data de 30 iunie 202</w:t>
      </w:r>
      <w:r w:rsidR="00C4456E" w:rsidRPr="003164CE">
        <w:rPr>
          <w:rFonts w:ascii="Tahoma" w:hAnsi="Tahoma" w:cs="Tahoma"/>
          <w:noProof/>
          <w:sz w:val="24"/>
          <w:szCs w:val="24"/>
        </w:rPr>
        <w:t>4</w:t>
      </w:r>
      <w:r w:rsidRPr="003164CE">
        <w:rPr>
          <w:rFonts w:ascii="Tahoma" w:hAnsi="Tahoma" w:cs="Tahoma"/>
          <w:noProof/>
          <w:sz w:val="24"/>
          <w:szCs w:val="24"/>
        </w:rPr>
        <w:t xml:space="preserve"> pe fondul creșterii plăților restante </w:t>
      </w:r>
      <w:r w:rsidR="00C4456E" w:rsidRPr="003164CE">
        <w:rPr>
          <w:rFonts w:ascii="Tahoma" w:hAnsi="Tahoma" w:cs="Tahoma"/>
          <w:noProof/>
          <w:sz w:val="24"/>
          <w:szCs w:val="24"/>
        </w:rPr>
        <w:t xml:space="preserve">la nivelul bugetului asigurărilor sociale cu 1.521,7 milioane lei, </w:t>
      </w:r>
      <w:r w:rsidRPr="003164CE">
        <w:rPr>
          <w:rFonts w:ascii="Tahoma" w:hAnsi="Tahoma" w:cs="Tahoma"/>
          <w:noProof/>
          <w:sz w:val="24"/>
          <w:szCs w:val="24"/>
        </w:rPr>
        <w:t xml:space="preserve">în administrația locală cu </w:t>
      </w:r>
      <w:r w:rsidR="00C4456E" w:rsidRPr="003164CE">
        <w:rPr>
          <w:rFonts w:ascii="Tahoma" w:hAnsi="Tahoma" w:cs="Tahoma"/>
          <w:noProof/>
          <w:sz w:val="24"/>
          <w:szCs w:val="24"/>
        </w:rPr>
        <w:t xml:space="preserve">592,7 milioane lei și </w:t>
      </w:r>
      <w:r w:rsidRPr="003164CE">
        <w:rPr>
          <w:rFonts w:ascii="Tahoma" w:hAnsi="Tahoma" w:cs="Tahoma"/>
          <w:noProof/>
          <w:sz w:val="24"/>
          <w:szCs w:val="24"/>
        </w:rPr>
        <w:t xml:space="preserve">la nivelul administrației centrale cu </w:t>
      </w:r>
      <w:r w:rsidR="00C4456E" w:rsidRPr="003164CE">
        <w:rPr>
          <w:rFonts w:ascii="Tahoma" w:hAnsi="Tahoma" w:cs="Tahoma"/>
          <w:noProof/>
          <w:sz w:val="24"/>
          <w:szCs w:val="24"/>
        </w:rPr>
        <w:t>1054,2 milioane lei.</w:t>
      </w:r>
      <w:r w:rsidRPr="003164CE">
        <w:rPr>
          <w:rFonts w:ascii="Tahoma" w:hAnsi="Tahoma" w:cs="Tahoma"/>
          <w:noProof/>
          <w:sz w:val="24"/>
          <w:szCs w:val="24"/>
        </w:rPr>
        <w:t xml:space="preserve"> Plățile restante din administrația locală au reprezentat </w:t>
      </w:r>
      <w:r w:rsidR="00C4456E" w:rsidRPr="003164CE">
        <w:rPr>
          <w:rFonts w:ascii="Tahoma" w:hAnsi="Tahoma" w:cs="Tahoma"/>
          <w:noProof/>
          <w:sz w:val="24"/>
          <w:szCs w:val="24"/>
        </w:rPr>
        <w:t>51,2</w:t>
      </w:r>
      <w:r w:rsidRPr="003164CE">
        <w:rPr>
          <w:rFonts w:ascii="Tahoma" w:hAnsi="Tahoma" w:cs="Tahoma"/>
          <w:noProof/>
          <w:sz w:val="24"/>
          <w:szCs w:val="24"/>
        </w:rPr>
        <w:t>% din totalul plăților restante înregistrate la 30 iunie 202</w:t>
      </w:r>
      <w:r w:rsidR="00C4456E" w:rsidRPr="003164CE">
        <w:rPr>
          <w:rFonts w:ascii="Tahoma" w:hAnsi="Tahoma" w:cs="Tahoma"/>
          <w:noProof/>
          <w:sz w:val="24"/>
          <w:szCs w:val="24"/>
        </w:rPr>
        <w:t>5</w:t>
      </w:r>
      <w:r w:rsidRPr="003164CE">
        <w:rPr>
          <w:rFonts w:ascii="Tahoma" w:hAnsi="Tahoma" w:cs="Tahoma"/>
          <w:noProof/>
          <w:sz w:val="24"/>
          <w:szCs w:val="24"/>
        </w:rPr>
        <w:t>.</w:t>
      </w:r>
    </w:p>
    <w:p w:rsidR="009A693D" w:rsidRPr="003164CE" w:rsidRDefault="00C4456E" w:rsidP="00610108">
      <w:pPr>
        <w:spacing w:after="120" w:line="276" w:lineRule="auto"/>
        <w:ind w:firstLine="0"/>
        <w:rPr>
          <w:noProof/>
        </w:rPr>
      </w:pPr>
      <w:r w:rsidRPr="003164CE">
        <w:rPr>
          <w:noProof/>
          <w:color w:val="FF0000"/>
        </w:rPr>
        <w:fldChar w:fldCharType="begin"/>
      </w:r>
      <w:r w:rsidRPr="003164CE">
        <w:rPr>
          <w:noProof/>
          <w:color w:val="FF0000"/>
        </w:rPr>
        <w:instrText xml:space="preserve"> LINK Excel.Sheet.12 "\\\\MFP1934\\retea on 10.236.1.89\\Executii\\Executii 2025\\Rapoarte LRF 2025\\CALCULE 2025\\Arierate 2024-2025.xlsx!pt raportul sem I 2024!R7C1:R14C9" "" \a \p </w:instrText>
      </w:r>
      <w:r w:rsidRPr="003164CE">
        <w:rPr>
          <w:noProof/>
          <w:color w:val="FF0000"/>
        </w:rPr>
        <w:fldChar w:fldCharType="separate"/>
      </w:r>
      <w:r w:rsidR="0012205B">
        <w:rPr>
          <w:noProof/>
          <w:color w:val="FF0000"/>
        </w:rPr>
        <w:object w:dxaOrig="10820" w:dyaOrig="3551">
          <v:shape id="_x0000_i1030" type="#_x0000_t75" style="width:456.6pt;height:177.75pt" o:ole="">
            <v:imagedata r:id="rId21" o:title=""/>
          </v:shape>
        </w:object>
      </w:r>
      <w:r w:rsidRPr="003164CE">
        <w:rPr>
          <w:noProof/>
          <w:color w:val="FF0000"/>
        </w:rPr>
        <w:fldChar w:fldCharType="end"/>
      </w:r>
    </w:p>
    <w:p w:rsidR="007C4F03" w:rsidRPr="003164CE" w:rsidRDefault="004D6D76" w:rsidP="00F55970">
      <w:pPr>
        <w:spacing w:before="360" w:after="0" w:line="276" w:lineRule="auto"/>
        <w:ind w:firstLine="0"/>
        <w:rPr>
          <w:rFonts w:ascii="Tahoma" w:hAnsi="Tahoma" w:cs="Tahoma"/>
          <w:color w:val="FF0000"/>
          <w:sz w:val="24"/>
          <w:szCs w:val="24"/>
        </w:rPr>
      </w:pPr>
      <w:r w:rsidRPr="003164CE">
        <w:rPr>
          <w:rFonts w:ascii="Tahoma" w:hAnsi="Tahoma" w:cs="Tahoma"/>
          <w:b/>
          <w:sz w:val="24"/>
          <w:szCs w:val="24"/>
        </w:rPr>
        <w:t>Arieratele</w:t>
      </w:r>
      <w:r w:rsidRPr="003164CE">
        <w:rPr>
          <w:rFonts w:ascii="Tahoma" w:hAnsi="Tahoma" w:cs="Tahoma"/>
          <w:sz w:val="24"/>
          <w:szCs w:val="24"/>
        </w:rPr>
        <w:t xml:space="preserve"> (plățile restante peste 90 de zile) înregistrate la data de 30 iunie 20</w:t>
      </w:r>
      <w:r w:rsidR="005F757C" w:rsidRPr="003164CE">
        <w:rPr>
          <w:rFonts w:ascii="Tahoma" w:hAnsi="Tahoma" w:cs="Tahoma"/>
          <w:sz w:val="24"/>
          <w:szCs w:val="24"/>
        </w:rPr>
        <w:t>2</w:t>
      </w:r>
      <w:r w:rsidR="00C4456E" w:rsidRPr="003164CE">
        <w:rPr>
          <w:rFonts w:ascii="Tahoma" w:hAnsi="Tahoma" w:cs="Tahoma"/>
          <w:sz w:val="24"/>
          <w:szCs w:val="24"/>
        </w:rPr>
        <w:t>5</w:t>
      </w:r>
      <w:r w:rsidRPr="003164CE">
        <w:rPr>
          <w:rFonts w:ascii="Tahoma" w:hAnsi="Tahoma" w:cs="Tahoma"/>
          <w:sz w:val="24"/>
          <w:szCs w:val="24"/>
        </w:rPr>
        <w:t xml:space="preserve"> au fost în sumă de </w:t>
      </w:r>
      <w:r w:rsidR="00C4456E" w:rsidRPr="003164CE">
        <w:rPr>
          <w:rFonts w:ascii="Tahoma" w:hAnsi="Tahoma" w:cs="Tahoma"/>
          <w:sz w:val="24"/>
          <w:szCs w:val="24"/>
        </w:rPr>
        <w:t>584,3</w:t>
      </w:r>
      <w:r w:rsidRPr="003164CE">
        <w:rPr>
          <w:rFonts w:ascii="Tahoma" w:hAnsi="Tahoma" w:cs="Tahoma"/>
          <w:sz w:val="24"/>
          <w:szCs w:val="24"/>
        </w:rPr>
        <w:t xml:space="preserve"> milioane </w:t>
      </w:r>
      <w:r w:rsidR="003A634F" w:rsidRPr="003164CE">
        <w:rPr>
          <w:rFonts w:ascii="Tahoma" w:hAnsi="Tahoma" w:cs="Tahoma"/>
          <w:sz w:val="24"/>
          <w:szCs w:val="24"/>
        </w:rPr>
        <w:t>lei</w:t>
      </w:r>
      <w:r w:rsidRPr="003164CE">
        <w:rPr>
          <w:rFonts w:ascii="Tahoma" w:hAnsi="Tahoma" w:cs="Tahoma"/>
          <w:sz w:val="24"/>
          <w:szCs w:val="24"/>
        </w:rPr>
        <w:t xml:space="preserve">, </w:t>
      </w:r>
      <w:r w:rsidR="003F3604" w:rsidRPr="003164CE">
        <w:rPr>
          <w:rFonts w:ascii="Tahoma" w:hAnsi="Tahoma" w:cs="Tahoma"/>
          <w:sz w:val="24"/>
          <w:szCs w:val="24"/>
        </w:rPr>
        <w:t xml:space="preserve">ceea ce reprezintă o </w:t>
      </w:r>
      <w:r w:rsidR="00926188" w:rsidRPr="003164CE">
        <w:rPr>
          <w:rFonts w:ascii="Tahoma" w:hAnsi="Tahoma" w:cs="Tahoma"/>
          <w:sz w:val="24"/>
          <w:szCs w:val="24"/>
        </w:rPr>
        <w:t>creștere</w:t>
      </w:r>
      <w:r w:rsidR="003F3604" w:rsidRPr="003164CE">
        <w:rPr>
          <w:rFonts w:ascii="Tahoma" w:hAnsi="Tahoma" w:cs="Tahoma"/>
          <w:sz w:val="24"/>
          <w:szCs w:val="24"/>
        </w:rPr>
        <w:t xml:space="preserve"> </w:t>
      </w:r>
      <w:r w:rsidRPr="003164CE">
        <w:rPr>
          <w:rFonts w:ascii="Tahoma" w:hAnsi="Tahoma" w:cs="Tahoma"/>
          <w:sz w:val="24"/>
          <w:szCs w:val="24"/>
        </w:rPr>
        <w:t xml:space="preserve">cu </w:t>
      </w:r>
      <w:r w:rsidR="00C4456E" w:rsidRPr="003164CE">
        <w:rPr>
          <w:rFonts w:ascii="Tahoma" w:hAnsi="Tahoma" w:cs="Tahoma"/>
          <w:sz w:val="24"/>
          <w:szCs w:val="24"/>
        </w:rPr>
        <w:t>13</w:t>
      </w:r>
      <w:r w:rsidR="00926188" w:rsidRPr="003164CE">
        <w:rPr>
          <w:rFonts w:ascii="Tahoma" w:hAnsi="Tahoma" w:cs="Tahoma"/>
          <w:sz w:val="24"/>
          <w:szCs w:val="24"/>
        </w:rPr>
        <w:t>,5</w:t>
      </w:r>
      <w:r w:rsidR="003F3604" w:rsidRPr="003164CE">
        <w:rPr>
          <w:rFonts w:ascii="Tahoma" w:hAnsi="Tahoma" w:cs="Tahoma"/>
          <w:sz w:val="24"/>
          <w:szCs w:val="24"/>
        </w:rPr>
        <w:t>%</w:t>
      </w:r>
      <w:r w:rsidRPr="003164CE">
        <w:rPr>
          <w:rFonts w:ascii="Tahoma" w:hAnsi="Tahoma" w:cs="Tahoma"/>
          <w:sz w:val="24"/>
          <w:szCs w:val="24"/>
        </w:rPr>
        <w:t xml:space="preserve"> comparativ cu cele înregistrate la data de 30 iunie 20</w:t>
      </w:r>
      <w:r w:rsidR="00FE2F7D" w:rsidRPr="003164CE">
        <w:rPr>
          <w:rFonts w:ascii="Tahoma" w:hAnsi="Tahoma" w:cs="Tahoma"/>
          <w:sz w:val="24"/>
          <w:szCs w:val="24"/>
        </w:rPr>
        <w:t>2</w:t>
      </w:r>
      <w:r w:rsidR="00C4456E" w:rsidRPr="003164CE">
        <w:rPr>
          <w:rFonts w:ascii="Tahoma" w:hAnsi="Tahoma" w:cs="Tahoma"/>
          <w:sz w:val="24"/>
          <w:szCs w:val="24"/>
        </w:rPr>
        <w:t>4</w:t>
      </w:r>
      <w:r w:rsidRPr="003164CE">
        <w:rPr>
          <w:rFonts w:ascii="Tahoma" w:hAnsi="Tahoma" w:cs="Tahoma"/>
          <w:sz w:val="24"/>
          <w:szCs w:val="24"/>
        </w:rPr>
        <w:t xml:space="preserve"> pe fondul </w:t>
      </w:r>
      <w:r w:rsidR="00926188" w:rsidRPr="003164CE">
        <w:rPr>
          <w:rFonts w:ascii="Tahoma" w:hAnsi="Tahoma" w:cs="Tahoma"/>
          <w:sz w:val="24"/>
          <w:szCs w:val="24"/>
        </w:rPr>
        <w:t xml:space="preserve">creșterii </w:t>
      </w:r>
      <w:r w:rsidRPr="003164CE">
        <w:rPr>
          <w:rFonts w:ascii="Tahoma" w:hAnsi="Tahoma" w:cs="Tahoma"/>
          <w:sz w:val="24"/>
          <w:szCs w:val="24"/>
        </w:rPr>
        <w:t xml:space="preserve">arieratelor </w:t>
      </w:r>
      <w:r w:rsidR="00AA1BC5" w:rsidRPr="003164CE">
        <w:rPr>
          <w:rFonts w:ascii="Tahoma" w:hAnsi="Tahoma" w:cs="Tahoma"/>
          <w:sz w:val="24"/>
          <w:szCs w:val="24"/>
        </w:rPr>
        <w:t xml:space="preserve">la nivelul </w:t>
      </w:r>
      <w:r w:rsidR="00FE2F7D" w:rsidRPr="003164CE">
        <w:rPr>
          <w:rFonts w:ascii="Tahoma" w:hAnsi="Tahoma" w:cs="Tahoma"/>
          <w:sz w:val="24"/>
          <w:szCs w:val="24"/>
        </w:rPr>
        <w:t>administrați</w:t>
      </w:r>
      <w:r w:rsidR="00AA1BC5" w:rsidRPr="003164CE">
        <w:rPr>
          <w:rFonts w:ascii="Tahoma" w:hAnsi="Tahoma" w:cs="Tahoma"/>
          <w:sz w:val="24"/>
          <w:szCs w:val="24"/>
        </w:rPr>
        <w:t>ei</w:t>
      </w:r>
      <w:r w:rsidR="00FE2F7D" w:rsidRPr="003164CE">
        <w:rPr>
          <w:rFonts w:ascii="Tahoma" w:hAnsi="Tahoma" w:cs="Tahoma"/>
          <w:sz w:val="24"/>
          <w:szCs w:val="24"/>
        </w:rPr>
        <w:t xml:space="preserve"> local</w:t>
      </w:r>
      <w:r w:rsidR="00AA1BC5" w:rsidRPr="003164CE">
        <w:rPr>
          <w:rFonts w:ascii="Tahoma" w:hAnsi="Tahoma" w:cs="Tahoma"/>
          <w:sz w:val="24"/>
          <w:szCs w:val="24"/>
        </w:rPr>
        <w:t>e</w:t>
      </w:r>
      <w:r w:rsidR="00FE2F7D" w:rsidRPr="003164CE">
        <w:rPr>
          <w:rFonts w:ascii="Tahoma" w:hAnsi="Tahoma" w:cs="Tahoma"/>
          <w:sz w:val="24"/>
          <w:szCs w:val="24"/>
        </w:rPr>
        <w:t xml:space="preserve"> cu </w:t>
      </w:r>
      <w:r w:rsidR="00C4456E" w:rsidRPr="003164CE">
        <w:rPr>
          <w:rFonts w:ascii="Tahoma" w:hAnsi="Tahoma" w:cs="Tahoma"/>
          <w:sz w:val="24"/>
          <w:szCs w:val="24"/>
        </w:rPr>
        <w:t>32,0</w:t>
      </w:r>
      <w:r w:rsidR="00FE2F7D" w:rsidRPr="003164CE">
        <w:rPr>
          <w:rFonts w:ascii="Tahoma" w:hAnsi="Tahoma" w:cs="Tahoma"/>
          <w:sz w:val="24"/>
          <w:szCs w:val="24"/>
        </w:rPr>
        <w:t>%</w:t>
      </w:r>
      <w:r w:rsidR="003F3604" w:rsidRPr="003164CE">
        <w:rPr>
          <w:rFonts w:ascii="Tahoma" w:hAnsi="Tahoma" w:cs="Tahoma"/>
          <w:sz w:val="24"/>
          <w:szCs w:val="24"/>
        </w:rPr>
        <w:t xml:space="preserve"> </w:t>
      </w:r>
      <w:r w:rsidR="00C4456E" w:rsidRPr="003164CE">
        <w:rPr>
          <w:rFonts w:ascii="Tahoma" w:hAnsi="Tahoma" w:cs="Tahoma"/>
          <w:sz w:val="24"/>
          <w:szCs w:val="24"/>
        </w:rPr>
        <w:t xml:space="preserve">și diminuării cu 18,5% a acestora la </w:t>
      </w:r>
      <w:r w:rsidRPr="003164CE">
        <w:rPr>
          <w:rFonts w:ascii="Tahoma" w:hAnsi="Tahoma" w:cs="Tahoma"/>
          <w:sz w:val="24"/>
          <w:szCs w:val="24"/>
        </w:rPr>
        <w:t xml:space="preserve">nivelul administrației centrale. Arieratele din administrația locală au reprezentat </w:t>
      </w:r>
      <w:r w:rsidR="00C4456E" w:rsidRPr="003164CE">
        <w:rPr>
          <w:rFonts w:ascii="Tahoma" w:hAnsi="Tahoma" w:cs="Tahoma"/>
          <w:sz w:val="24"/>
          <w:szCs w:val="24"/>
        </w:rPr>
        <w:t>94,4</w:t>
      </w:r>
      <w:r w:rsidRPr="003164CE">
        <w:rPr>
          <w:rFonts w:ascii="Tahoma" w:hAnsi="Tahoma" w:cs="Tahoma"/>
          <w:sz w:val="24"/>
          <w:szCs w:val="24"/>
        </w:rPr>
        <w:t>% din totalul arieratelor înregistrate la 30 iunie 20</w:t>
      </w:r>
      <w:r w:rsidR="005F757C" w:rsidRPr="003164CE">
        <w:rPr>
          <w:rFonts w:ascii="Tahoma" w:hAnsi="Tahoma" w:cs="Tahoma"/>
          <w:sz w:val="24"/>
          <w:szCs w:val="24"/>
        </w:rPr>
        <w:t>2</w:t>
      </w:r>
      <w:r w:rsidR="00C4456E" w:rsidRPr="003164CE">
        <w:rPr>
          <w:rFonts w:ascii="Tahoma" w:hAnsi="Tahoma" w:cs="Tahoma"/>
          <w:sz w:val="24"/>
          <w:szCs w:val="24"/>
        </w:rPr>
        <w:t>5</w:t>
      </w:r>
      <w:r w:rsidRPr="003164CE">
        <w:rPr>
          <w:rFonts w:ascii="Tahoma" w:hAnsi="Tahoma" w:cs="Tahoma"/>
          <w:sz w:val="24"/>
          <w:szCs w:val="24"/>
        </w:rPr>
        <w:t>.</w:t>
      </w:r>
      <w:r w:rsidR="008A700D" w:rsidRPr="003164CE">
        <w:rPr>
          <w:rFonts w:ascii="Tahoma" w:hAnsi="Tahoma" w:cs="Tahoma"/>
          <w:color w:val="FF0000"/>
          <w:sz w:val="24"/>
          <w:szCs w:val="24"/>
        </w:rPr>
        <w:br w:type="page"/>
      </w:r>
    </w:p>
    <w:p w:rsidR="00155F43" w:rsidRPr="003164CE" w:rsidRDefault="00433503" w:rsidP="008431FA">
      <w:pPr>
        <w:pStyle w:val="ListParagraph"/>
        <w:keepNext/>
        <w:keepLines/>
        <w:spacing w:after="240" w:line="276" w:lineRule="auto"/>
        <w:ind w:left="567" w:hanging="567"/>
        <w:contextualSpacing w:val="0"/>
        <w:outlineLvl w:val="0"/>
        <w:rPr>
          <w:rFonts w:ascii="Tahoma" w:hAnsi="Tahoma" w:cs="Tahoma"/>
          <w:b/>
          <w:sz w:val="24"/>
          <w:szCs w:val="24"/>
        </w:rPr>
      </w:pPr>
      <w:bookmarkStart w:id="21" w:name="_Toc204685898"/>
      <w:r w:rsidRPr="003164CE">
        <w:rPr>
          <w:rFonts w:ascii="Tahoma" w:hAnsi="Tahoma" w:cs="Tahoma"/>
          <w:b/>
          <w:sz w:val="24"/>
          <w:szCs w:val="24"/>
        </w:rPr>
        <w:lastRenderedPageBreak/>
        <w:t>IV</w:t>
      </w:r>
      <w:r w:rsidR="00C43AD2" w:rsidRPr="003164CE">
        <w:rPr>
          <w:rFonts w:ascii="Tahoma" w:hAnsi="Tahoma" w:cs="Tahoma"/>
          <w:b/>
          <w:sz w:val="24"/>
          <w:szCs w:val="24"/>
        </w:rPr>
        <w:t xml:space="preserve">. Finanțarea deficitului bugetar </w:t>
      </w:r>
      <w:r w:rsidR="00E771E4" w:rsidRPr="003164CE">
        <w:rPr>
          <w:rFonts w:ascii="Tahoma" w:hAnsi="Tahoma" w:cs="Tahoma"/>
          <w:b/>
          <w:sz w:val="24"/>
          <w:szCs w:val="24"/>
        </w:rPr>
        <w:t>și</w:t>
      </w:r>
      <w:r w:rsidR="00C43AD2" w:rsidRPr="003164CE">
        <w:rPr>
          <w:rFonts w:ascii="Tahoma" w:hAnsi="Tahoma" w:cs="Tahoma"/>
          <w:b/>
          <w:sz w:val="24"/>
          <w:szCs w:val="24"/>
        </w:rPr>
        <w:t xml:space="preserve"> datoria publică</w:t>
      </w:r>
      <w:bookmarkEnd w:id="21"/>
    </w:p>
    <w:p w:rsidR="00D31CEE" w:rsidRPr="003164CE" w:rsidRDefault="00433503" w:rsidP="008431FA">
      <w:pPr>
        <w:widowControl w:val="0"/>
        <w:spacing w:after="120" w:line="276" w:lineRule="auto"/>
        <w:ind w:left="1418" w:hanging="1134"/>
        <w:rPr>
          <w:rFonts w:ascii="Tahoma" w:hAnsi="Tahoma" w:cs="Tahoma"/>
          <w:b/>
          <w:bCs/>
          <w:sz w:val="24"/>
          <w:szCs w:val="24"/>
        </w:rPr>
      </w:pPr>
      <w:bookmarkStart w:id="22" w:name="RANGE!B1:I9"/>
      <w:bookmarkEnd w:id="22"/>
      <w:r w:rsidRPr="003164CE">
        <w:rPr>
          <w:rFonts w:ascii="Tahoma" w:hAnsi="Tahoma" w:cs="Tahoma"/>
          <w:b/>
          <w:bCs/>
          <w:sz w:val="24"/>
          <w:szCs w:val="24"/>
        </w:rPr>
        <w:t>IV</w:t>
      </w:r>
      <w:r w:rsidR="00D31CEE" w:rsidRPr="003164CE">
        <w:rPr>
          <w:rFonts w:ascii="Tahoma" w:hAnsi="Tahoma" w:cs="Tahoma"/>
          <w:b/>
          <w:bCs/>
          <w:sz w:val="24"/>
          <w:szCs w:val="24"/>
        </w:rPr>
        <w:t>.1 Datoria publică</w:t>
      </w:r>
    </w:p>
    <w:p w:rsidR="006239A6" w:rsidRPr="003164CE" w:rsidRDefault="006239A6" w:rsidP="006239A6">
      <w:pPr>
        <w:widowControl w:val="0"/>
        <w:spacing w:before="240" w:after="240" w:line="276" w:lineRule="auto"/>
        <w:ind w:left="284" w:firstLine="0"/>
        <w:rPr>
          <w:rFonts w:ascii="Tahoma" w:eastAsia="Calibri" w:hAnsi="Tahoma" w:cs="Tahoma"/>
          <w:sz w:val="24"/>
          <w:szCs w:val="24"/>
        </w:rPr>
      </w:pPr>
      <w:r w:rsidRPr="003164CE">
        <w:rPr>
          <w:rFonts w:ascii="Tahoma" w:eastAsia="Calibri" w:hAnsi="Tahoma" w:cs="Tahoma"/>
          <w:sz w:val="24"/>
          <w:szCs w:val="24"/>
        </w:rPr>
        <w:t xml:space="preserve">Datoria guvernamentală conform metodologiei UE s-a situat la data de 30 iunie 2025 la un nivel de 57,2% din PIB sub plafonul de 60% stabilit prin Tratatul de la Maastricht. Datoria internă a administrației publice a reprezentat 28,7% din PIB, iar datoria externă 28,5% din PIB. </w:t>
      </w:r>
    </w:p>
    <w:p w:rsidR="006239A6" w:rsidRPr="003164CE" w:rsidRDefault="006239A6" w:rsidP="006239A6">
      <w:pPr>
        <w:widowControl w:val="0"/>
        <w:spacing w:before="240" w:after="240" w:line="276" w:lineRule="auto"/>
        <w:ind w:left="284" w:firstLine="0"/>
        <w:rPr>
          <w:rFonts w:ascii="Tahoma" w:eastAsia="Calibri" w:hAnsi="Tahoma" w:cs="Tahoma"/>
          <w:sz w:val="24"/>
          <w:szCs w:val="24"/>
        </w:rPr>
      </w:pPr>
      <w:r w:rsidRPr="003164CE">
        <w:rPr>
          <w:rFonts w:ascii="Tahoma" w:eastAsia="Calibri" w:hAnsi="Tahoma" w:cs="Tahoma"/>
          <w:sz w:val="24"/>
          <w:szCs w:val="24"/>
        </w:rPr>
        <w:t xml:space="preserve">Conform datelor publicate de EUROSTAT , la sfârșitul </w:t>
      </w:r>
      <w:proofErr w:type="spellStart"/>
      <w:r w:rsidRPr="003164CE">
        <w:rPr>
          <w:rFonts w:ascii="Tahoma" w:eastAsia="Calibri" w:hAnsi="Tahoma" w:cs="Tahoma"/>
          <w:sz w:val="24"/>
          <w:szCs w:val="24"/>
        </w:rPr>
        <w:t>trim</w:t>
      </w:r>
      <w:proofErr w:type="spellEnd"/>
      <w:r w:rsidRPr="003164CE">
        <w:rPr>
          <w:rFonts w:ascii="Tahoma" w:eastAsia="Calibri" w:hAnsi="Tahoma" w:cs="Tahoma"/>
          <w:sz w:val="24"/>
          <w:szCs w:val="24"/>
        </w:rPr>
        <w:t xml:space="preserve">. I 2025, România s-a situat pe locul 16 între statele membre UE ca nivel de îndatorare, de 55,8% din PIB, media datoriei guvernamentale pentru zona euro (EA 20) fiind de 88,0% din PIB, iar cea pentru UE fiind de 81,8% din PIB. </w:t>
      </w:r>
    </w:p>
    <w:p w:rsidR="00AE178B" w:rsidRPr="003164CE" w:rsidRDefault="006239A6" w:rsidP="006239A6">
      <w:pPr>
        <w:widowControl w:val="0"/>
        <w:spacing w:before="240" w:after="240" w:line="276" w:lineRule="auto"/>
        <w:ind w:left="284" w:firstLine="0"/>
        <w:rPr>
          <w:rFonts w:ascii="Tahoma" w:eastAsia="Calibri" w:hAnsi="Tahoma" w:cs="Tahoma"/>
          <w:sz w:val="24"/>
          <w:szCs w:val="24"/>
        </w:rPr>
      </w:pPr>
      <w:r w:rsidRPr="003164CE">
        <w:rPr>
          <w:rFonts w:ascii="Tahoma" w:eastAsia="Calibri" w:hAnsi="Tahoma" w:cs="Tahoma"/>
          <w:sz w:val="24"/>
          <w:szCs w:val="24"/>
        </w:rPr>
        <w:t>La finele trimestrului I 2025, statele membre cu cel mai ridicat nivel al datoriei publice guvernamentale în PIB (de peste 60% din PIB) sunt Grecia (152,5%), Italia (137,9%), Franța (114,1%), Belgia (106,8%), Spania (103,5%) și Portugalia (96,4%), un număr de 13 state membre au înregistrat un nivel de îndatorare de peste 60%.</w:t>
      </w:r>
      <w:r w:rsidR="00AE178B" w:rsidRPr="003164CE">
        <w:rPr>
          <w:rFonts w:ascii="Tahoma" w:eastAsia="Calibri" w:hAnsi="Tahoma" w:cs="Tahoma"/>
          <w:sz w:val="24"/>
          <w:szCs w:val="24"/>
        </w:rPr>
        <w:t xml:space="preserve">membre au înregistrat un nivel de </w:t>
      </w:r>
      <w:r w:rsidR="00236CBD" w:rsidRPr="003164CE">
        <w:rPr>
          <w:rFonts w:ascii="Tahoma" w:eastAsia="Calibri" w:hAnsi="Tahoma" w:cs="Tahoma"/>
          <w:sz w:val="24"/>
          <w:szCs w:val="24"/>
        </w:rPr>
        <w:t>î</w:t>
      </w:r>
      <w:r w:rsidR="00AE178B" w:rsidRPr="003164CE">
        <w:rPr>
          <w:rFonts w:ascii="Tahoma" w:eastAsia="Calibri" w:hAnsi="Tahoma" w:cs="Tahoma"/>
          <w:sz w:val="24"/>
          <w:szCs w:val="24"/>
        </w:rPr>
        <w:t>ndatorare de peste 60%.</w:t>
      </w:r>
    </w:p>
    <w:p w:rsidR="00D31CEE" w:rsidRPr="003164CE" w:rsidRDefault="00433503" w:rsidP="00AE178B">
      <w:pPr>
        <w:widowControl w:val="0"/>
        <w:spacing w:before="240" w:after="240" w:line="276" w:lineRule="auto"/>
        <w:ind w:left="284" w:firstLine="0"/>
        <w:rPr>
          <w:rFonts w:ascii="Tahoma" w:eastAsia="MS Mincho" w:hAnsi="Tahoma" w:cs="Tahoma"/>
          <w:sz w:val="24"/>
          <w:szCs w:val="24"/>
          <w:lang w:eastAsia="ja-JP"/>
        </w:rPr>
      </w:pPr>
      <w:r w:rsidRPr="003164CE">
        <w:rPr>
          <w:rFonts w:ascii="Tahoma" w:hAnsi="Tahoma" w:cs="Tahoma"/>
          <w:b/>
          <w:bCs/>
          <w:sz w:val="24"/>
          <w:szCs w:val="24"/>
        </w:rPr>
        <w:t>IV</w:t>
      </w:r>
      <w:r w:rsidR="00D31CEE" w:rsidRPr="003164CE">
        <w:rPr>
          <w:rFonts w:ascii="Tahoma" w:hAnsi="Tahoma" w:cs="Tahoma"/>
          <w:b/>
          <w:bCs/>
          <w:sz w:val="24"/>
          <w:szCs w:val="24"/>
        </w:rPr>
        <w:t xml:space="preserve">.2 Finanțarea deficitului bugetar </w:t>
      </w:r>
      <w:r w:rsidR="00AE178B" w:rsidRPr="003164CE">
        <w:rPr>
          <w:rFonts w:ascii="Tahoma" w:hAnsi="Tahoma" w:cs="Tahoma"/>
          <w:b/>
          <w:bCs/>
          <w:sz w:val="24"/>
          <w:szCs w:val="24"/>
        </w:rPr>
        <w:t>în semestrul I 2025</w:t>
      </w:r>
    </w:p>
    <w:p w:rsidR="00AE178B" w:rsidRPr="003164CE" w:rsidRDefault="00AE178B" w:rsidP="0025353E">
      <w:pPr>
        <w:numPr>
          <w:ilvl w:val="0"/>
          <w:numId w:val="11"/>
        </w:numPr>
        <w:suppressAutoHyphens/>
        <w:spacing w:after="120" w:line="276" w:lineRule="auto"/>
        <w:rPr>
          <w:rFonts w:ascii="Tahoma" w:eastAsia="Times New Roman" w:hAnsi="Tahoma" w:cs="Tahoma"/>
          <w:sz w:val="24"/>
          <w:szCs w:val="24"/>
          <w:lang w:eastAsia="zh-CN"/>
        </w:rPr>
      </w:pPr>
      <w:r w:rsidRPr="003164CE">
        <w:rPr>
          <w:rFonts w:ascii="Tahoma" w:eastAsia="Times New Roman" w:hAnsi="Tahoma" w:cs="Tahoma"/>
          <w:sz w:val="24"/>
          <w:szCs w:val="24"/>
          <w:u w:val="single"/>
          <w:lang w:eastAsia="zh-CN"/>
        </w:rPr>
        <w:t xml:space="preserve">Piața internă </w:t>
      </w:r>
      <w:r w:rsidRPr="003164CE">
        <w:rPr>
          <w:rFonts w:ascii="Tahoma" w:eastAsia="Times New Roman" w:hAnsi="Tahoma" w:cs="Tahoma"/>
          <w:sz w:val="24"/>
          <w:szCs w:val="24"/>
          <w:lang w:eastAsia="zh-CN"/>
        </w:rPr>
        <w:t xml:space="preserve">- </w:t>
      </w:r>
      <w:r w:rsidRPr="003164CE">
        <w:rPr>
          <w:rFonts w:ascii="Tahoma" w:eastAsia="Times New Roman" w:hAnsi="Tahoma" w:cs="Tahoma"/>
          <w:color w:val="000000"/>
          <w:sz w:val="24"/>
          <w:szCs w:val="24"/>
          <w:lang w:eastAsia="zh-CN"/>
        </w:rPr>
        <w:t xml:space="preserve">total atras cca 88,13 </w:t>
      </w:r>
      <w:r w:rsidR="00A60FB7" w:rsidRPr="003164CE">
        <w:rPr>
          <w:rFonts w:ascii="Tahoma" w:eastAsia="Times New Roman" w:hAnsi="Tahoma" w:cs="Tahoma"/>
          <w:color w:val="000000"/>
          <w:sz w:val="24"/>
          <w:szCs w:val="24"/>
          <w:lang w:eastAsia="zh-CN"/>
        </w:rPr>
        <w:t>miliarde</w:t>
      </w:r>
      <w:r w:rsidRPr="003164CE">
        <w:rPr>
          <w:rFonts w:ascii="Tahoma" w:eastAsia="Times New Roman" w:hAnsi="Tahoma" w:cs="Tahoma"/>
          <w:color w:val="000000"/>
          <w:sz w:val="24"/>
          <w:szCs w:val="24"/>
          <w:lang w:eastAsia="zh-CN"/>
        </w:rPr>
        <w:t xml:space="preserve"> echivalent lei, din care 2,6 </w:t>
      </w:r>
      <w:r w:rsidR="00A60FB7" w:rsidRPr="003164CE">
        <w:rPr>
          <w:rFonts w:ascii="Tahoma" w:eastAsia="Times New Roman" w:hAnsi="Tahoma" w:cs="Tahoma"/>
          <w:color w:val="000000"/>
          <w:sz w:val="24"/>
          <w:szCs w:val="24"/>
          <w:lang w:eastAsia="zh-CN"/>
        </w:rPr>
        <w:t>miliarde</w:t>
      </w:r>
      <w:r w:rsidRPr="003164CE">
        <w:rPr>
          <w:rFonts w:ascii="Tahoma" w:eastAsia="Times New Roman" w:hAnsi="Tahoma" w:cs="Tahoma"/>
          <w:color w:val="000000"/>
          <w:sz w:val="24"/>
          <w:szCs w:val="24"/>
          <w:lang w:eastAsia="zh-CN"/>
        </w:rPr>
        <w:t xml:space="preserve"> EUR și 75,1 </w:t>
      </w:r>
      <w:r w:rsidR="00A60FB7" w:rsidRPr="003164CE">
        <w:rPr>
          <w:rFonts w:ascii="Tahoma" w:eastAsia="Times New Roman" w:hAnsi="Tahoma" w:cs="Tahoma"/>
          <w:color w:val="000000"/>
          <w:sz w:val="24"/>
          <w:szCs w:val="24"/>
          <w:lang w:eastAsia="zh-CN"/>
        </w:rPr>
        <w:t>miliarde</w:t>
      </w:r>
      <w:r w:rsidRPr="003164CE">
        <w:rPr>
          <w:rFonts w:ascii="Tahoma" w:eastAsia="Times New Roman" w:hAnsi="Tahoma" w:cs="Tahoma"/>
          <w:color w:val="000000"/>
          <w:sz w:val="24"/>
          <w:szCs w:val="24"/>
          <w:lang w:eastAsia="zh-CN"/>
        </w:rPr>
        <w:t xml:space="preserve"> lei, prin:</w:t>
      </w:r>
    </w:p>
    <w:p w:rsidR="00AE178B" w:rsidRPr="003164CE" w:rsidRDefault="00AE178B" w:rsidP="00236CBD">
      <w:pPr>
        <w:numPr>
          <w:ilvl w:val="0"/>
          <w:numId w:val="10"/>
        </w:numPr>
        <w:suppressAutoHyphens/>
        <w:spacing w:after="120" w:line="276" w:lineRule="auto"/>
        <w:ind w:left="1134" w:hanging="283"/>
        <w:rPr>
          <w:rFonts w:ascii="Tahoma" w:eastAsia="Times New Roman" w:hAnsi="Tahoma" w:cs="Tahoma"/>
          <w:sz w:val="24"/>
          <w:szCs w:val="24"/>
          <w:lang w:eastAsia="zh-CN"/>
        </w:rPr>
      </w:pPr>
      <w:r w:rsidRPr="003164CE">
        <w:rPr>
          <w:rFonts w:ascii="Tahoma" w:eastAsia="Times New Roman" w:hAnsi="Tahoma" w:cs="Tahoma"/>
          <w:sz w:val="24"/>
          <w:szCs w:val="24"/>
          <w:u w:val="single"/>
          <w:lang w:eastAsia="zh-CN"/>
        </w:rPr>
        <w:t>Licitații de titluri de stat pe piața interbancară</w:t>
      </w:r>
      <w:r w:rsidRPr="003164CE">
        <w:rPr>
          <w:rFonts w:ascii="Tahoma" w:eastAsia="Times New Roman" w:hAnsi="Tahoma" w:cs="Tahoma"/>
          <w:sz w:val="24"/>
          <w:szCs w:val="24"/>
          <w:lang w:eastAsia="zh-CN"/>
        </w:rPr>
        <w:t xml:space="preserve">: 46,77 </w:t>
      </w:r>
      <w:r w:rsidR="00A60FB7"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lei și 1,59 </w:t>
      </w:r>
      <w:r w:rsidR="00A60FB7"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EUR, cu următoarea structură de maturități:</w:t>
      </w:r>
    </w:p>
    <w:p w:rsidR="00AE178B" w:rsidRPr="003164CE" w:rsidRDefault="00AE178B" w:rsidP="0025353E">
      <w:pPr>
        <w:numPr>
          <w:ilvl w:val="1"/>
          <w:numId w:val="10"/>
        </w:numPr>
        <w:suppressAutoHyphens/>
        <w:spacing w:after="120" w:line="276" w:lineRule="auto"/>
        <w:rPr>
          <w:rFonts w:ascii="Tahoma" w:eastAsia="Times New Roman" w:hAnsi="Tahoma" w:cs="Tahoma"/>
          <w:sz w:val="24"/>
          <w:szCs w:val="24"/>
          <w:lang w:eastAsia="zh-CN"/>
        </w:rPr>
      </w:pPr>
      <w:r w:rsidRPr="003164CE">
        <w:rPr>
          <w:rFonts w:ascii="Tahoma" w:eastAsia="Times New Roman" w:hAnsi="Tahoma" w:cs="Tahoma"/>
          <w:sz w:val="24"/>
          <w:szCs w:val="24"/>
          <w:lang w:eastAsia="zh-CN"/>
        </w:rPr>
        <w:t xml:space="preserve">16,7% emisiuni de certificate de trezorerie cu </w:t>
      </w:r>
      <w:proofErr w:type="spellStart"/>
      <w:r w:rsidRPr="003164CE">
        <w:rPr>
          <w:rFonts w:ascii="Tahoma" w:eastAsia="Times New Roman" w:hAnsi="Tahoma" w:cs="Tahoma"/>
          <w:sz w:val="24"/>
          <w:szCs w:val="24"/>
          <w:lang w:eastAsia="zh-CN"/>
        </w:rPr>
        <w:t>discont</w:t>
      </w:r>
      <w:proofErr w:type="spellEnd"/>
      <w:r w:rsidRPr="003164CE">
        <w:rPr>
          <w:rFonts w:ascii="Tahoma" w:eastAsia="Times New Roman" w:hAnsi="Tahoma" w:cs="Tahoma"/>
          <w:sz w:val="24"/>
          <w:szCs w:val="24"/>
          <w:lang w:eastAsia="zh-CN"/>
        </w:rPr>
        <w:t xml:space="preserve"> cu maturitate de până la 12 luni și emisiuni de obligațiuni de tip </w:t>
      </w:r>
      <w:proofErr w:type="spellStart"/>
      <w:r w:rsidRPr="003164CE">
        <w:rPr>
          <w:rFonts w:ascii="Tahoma" w:eastAsia="Times New Roman" w:hAnsi="Tahoma" w:cs="Tahoma"/>
          <w:sz w:val="24"/>
          <w:szCs w:val="24"/>
          <w:lang w:eastAsia="zh-CN"/>
        </w:rPr>
        <w:t>benchmark</w:t>
      </w:r>
      <w:proofErr w:type="spellEnd"/>
      <w:r w:rsidRPr="003164CE">
        <w:rPr>
          <w:rFonts w:ascii="Tahoma" w:eastAsia="Times New Roman" w:hAnsi="Tahoma" w:cs="Tahoma"/>
          <w:sz w:val="24"/>
          <w:szCs w:val="24"/>
          <w:lang w:eastAsia="zh-CN"/>
        </w:rPr>
        <w:t xml:space="preserve"> cu maturități reziduale până la 1 an;</w:t>
      </w:r>
    </w:p>
    <w:p w:rsidR="00AE178B" w:rsidRPr="003164CE" w:rsidRDefault="00AE178B" w:rsidP="0025353E">
      <w:pPr>
        <w:numPr>
          <w:ilvl w:val="1"/>
          <w:numId w:val="10"/>
        </w:numPr>
        <w:suppressAutoHyphens/>
        <w:spacing w:after="120" w:line="276" w:lineRule="auto"/>
        <w:rPr>
          <w:rFonts w:ascii="Tahoma" w:eastAsia="Times New Roman" w:hAnsi="Tahoma" w:cs="Tahoma"/>
          <w:sz w:val="24"/>
          <w:szCs w:val="24"/>
          <w:lang w:eastAsia="zh-CN"/>
        </w:rPr>
      </w:pPr>
      <w:r w:rsidRPr="003164CE">
        <w:rPr>
          <w:rFonts w:ascii="Tahoma" w:eastAsia="Times New Roman" w:hAnsi="Tahoma" w:cs="Tahoma"/>
          <w:sz w:val="24"/>
          <w:szCs w:val="24"/>
          <w:lang w:eastAsia="zh-CN"/>
        </w:rPr>
        <w:t xml:space="preserve">45,7% emisiuni de obligațiuni de tip </w:t>
      </w:r>
      <w:proofErr w:type="spellStart"/>
      <w:r w:rsidRPr="003164CE">
        <w:rPr>
          <w:rFonts w:ascii="Tahoma" w:eastAsia="Times New Roman" w:hAnsi="Tahoma" w:cs="Tahoma"/>
          <w:sz w:val="24"/>
          <w:szCs w:val="24"/>
          <w:lang w:eastAsia="zh-CN"/>
        </w:rPr>
        <w:t>benchmark</w:t>
      </w:r>
      <w:proofErr w:type="spellEnd"/>
      <w:r w:rsidRPr="003164CE">
        <w:rPr>
          <w:rFonts w:ascii="Tahoma" w:eastAsia="Times New Roman" w:hAnsi="Tahoma" w:cs="Tahoma"/>
          <w:sz w:val="24"/>
          <w:szCs w:val="24"/>
          <w:lang w:eastAsia="zh-CN"/>
        </w:rPr>
        <w:t xml:space="preserve"> cu maturități reziduale între 1 și 5 ani; </w:t>
      </w:r>
    </w:p>
    <w:p w:rsidR="00AE178B" w:rsidRPr="003164CE" w:rsidRDefault="00AE178B" w:rsidP="0025353E">
      <w:pPr>
        <w:numPr>
          <w:ilvl w:val="1"/>
          <w:numId w:val="10"/>
        </w:numPr>
        <w:suppressAutoHyphens/>
        <w:spacing w:after="120" w:line="276" w:lineRule="auto"/>
        <w:rPr>
          <w:rFonts w:ascii="Tahoma" w:eastAsia="Times New Roman" w:hAnsi="Tahoma" w:cs="Tahoma"/>
          <w:sz w:val="24"/>
          <w:szCs w:val="24"/>
          <w:lang w:eastAsia="zh-CN"/>
        </w:rPr>
      </w:pPr>
      <w:r w:rsidRPr="003164CE">
        <w:rPr>
          <w:rFonts w:ascii="Tahoma" w:eastAsia="Times New Roman" w:hAnsi="Tahoma" w:cs="Tahoma"/>
          <w:sz w:val="24"/>
          <w:szCs w:val="24"/>
          <w:lang w:eastAsia="zh-CN"/>
        </w:rPr>
        <w:t xml:space="preserve">37,6% emisiuni de obligațiuni de tip </w:t>
      </w:r>
      <w:proofErr w:type="spellStart"/>
      <w:r w:rsidRPr="003164CE">
        <w:rPr>
          <w:rFonts w:ascii="Tahoma" w:eastAsia="Times New Roman" w:hAnsi="Tahoma" w:cs="Tahoma"/>
          <w:sz w:val="24"/>
          <w:szCs w:val="24"/>
          <w:lang w:eastAsia="zh-CN"/>
        </w:rPr>
        <w:t>benchmark</w:t>
      </w:r>
      <w:proofErr w:type="spellEnd"/>
      <w:r w:rsidRPr="003164CE">
        <w:rPr>
          <w:rFonts w:ascii="Tahoma" w:eastAsia="Times New Roman" w:hAnsi="Tahoma" w:cs="Tahoma"/>
          <w:sz w:val="24"/>
          <w:szCs w:val="24"/>
          <w:lang w:eastAsia="zh-CN"/>
        </w:rPr>
        <w:t xml:space="preserve"> cu maturități reziduale între 5 și 15 ani.</w:t>
      </w:r>
    </w:p>
    <w:p w:rsidR="00AE178B" w:rsidRPr="003164CE" w:rsidRDefault="00AE178B" w:rsidP="00236CBD">
      <w:pPr>
        <w:numPr>
          <w:ilvl w:val="0"/>
          <w:numId w:val="10"/>
        </w:numPr>
        <w:suppressAutoHyphens/>
        <w:spacing w:after="120" w:line="276" w:lineRule="auto"/>
        <w:ind w:left="1134" w:hanging="283"/>
        <w:rPr>
          <w:rFonts w:ascii="Tahoma" w:eastAsia="Times New Roman" w:hAnsi="Tahoma" w:cs="Tahoma"/>
          <w:sz w:val="24"/>
          <w:szCs w:val="24"/>
          <w:lang w:eastAsia="zh-CN"/>
        </w:rPr>
      </w:pPr>
      <w:r w:rsidRPr="003164CE">
        <w:rPr>
          <w:rFonts w:ascii="Tahoma" w:eastAsia="Times New Roman" w:hAnsi="Tahoma" w:cs="Tahoma"/>
          <w:sz w:val="24"/>
          <w:szCs w:val="24"/>
          <w:u w:val="single"/>
          <w:lang w:eastAsia="zh-CN"/>
        </w:rPr>
        <w:t xml:space="preserve">Emisiuni de certificate de trezorerie cu discount lansate în anul 2025 ce </w:t>
      </w:r>
      <w:proofErr w:type="spellStart"/>
      <w:r w:rsidRPr="003164CE">
        <w:rPr>
          <w:rFonts w:ascii="Tahoma" w:eastAsia="Times New Roman" w:hAnsi="Tahoma" w:cs="Tahoma"/>
          <w:sz w:val="24"/>
          <w:szCs w:val="24"/>
          <w:u w:val="single"/>
          <w:lang w:eastAsia="zh-CN"/>
        </w:rPr>
        <w:t>scadențează</w:t>
      </w:r>
      <w:proofErr w:type="spellEnd"/>
      <w:r w:rsidRPr="003164CE">
        <w:rPr>
          <w:rFonts w:ascii="Tahoma" w:eastAsia="Times New Roman" w:hAnsi="Tahoma" w:cs="Tahoma"/>
          <w:sz w:val="24"/>
          <w:szCs w:val="24"/>
          <w:u w:val="single"/>
          <w:lang w:eastAsia="zh-CN"/>
        </w:rPr>
        <w:t xml:space="preserve"> tot în anul 2025</w:t>
      </w:r>
      <w:r w:rsidRPr="003164CE">
        <w:rPr>
          <w:rFonts w:ascii="Tahoma" w:eastAsia="Times New Roman" w:hAnsi="Tahoma" w:cs="Tahoma"/>
          <w:sz w:val="24"/>
          <w:szCs w:val="24"/>
          <w:lang w:eastAsia="zh-CN"/>
        </w:rPr>
        <w:t>: 3,58</w:t>
      </w:r>
      <w:r w:rsidRPr="003164CE">
        <w:rPr>
          <w:rFonts w:ascii="Tahoma" w:eastAsia="Times New Roman" w:hAnsi="Tahoma" w:cs="Tahoma"/>
          <w:sz w:val="24"/>
          <w:szCs w:val="24"/>
          <w:vertAlign w:val="superscript"/>
          <w:lang w:eastAsia="zh-CN"/>
        </w:rPr>
        <w:footnoteReference w:id="13"/>
      </w:r>
      <w:r w:rsidRPr="003164CE">
        <w:rPr>
          <w:rFonts w:ascii="Tahoma" w:eastAsia="Times New Roman" w:hAnsi="Tahoma" w:cs="Tahoma"/>
          <w:sz w:val="24"/>
          <w:szCs w:val="24"/>
          <w:lang w:eastAsia="zh-CN"/>
        </w:rPr>
        <w:t xml:space="preserve"> </w:t>
      </w:r>
      <w:r w:rsidR="00A60FB7"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RON. </w:t>
      </w:r>
    </w:p>
    <w:p w:rsidR="00AE178B" w:rsidRPr="003164CE" w:rsidRDefault="00AE178B" w:rsidP="0025353E">
      <w:pPr>
        <w:numPr>
          <w:ilvl w:val="0"/>
          <w:numId w:val="10"/>
        </w:numPr>
        <w:suppressAutoHyphens/>
        <w:spacing w:after="120" w:line="276" w:lineRule="auto"/>
        <w:ind w:left="1135" w:hanging="284"/>
        <w:rPr>
          <w:rFonts w:ascii="Tahoma" w:eastAsia="Times New Roman" w:hAnsi="Tahoma" w:cs="Tahoma"/>
          <w:sz w:val="24"/>
          <w:szCs w:val="24"/>
          <w:lang w:eastAsia="zh-CN"/>
        </w:rPr>
      </w:pPr>
      <w:r w:rsidRPr="003164CE">
        <w:rPr>
          <w:rFonts w:ascii="Tahoma" w:eastAsia="Times New Roman" w:hAnsi="Tahoma" w:cs="Tahoma"/>
          <w:sz w:val="24"/>
          <w:szCs w:val="24"/>
          <w:u w:val="single"/>
          <w:lang w:eastAsia="zh-CN"/>
        </w:rPr>
        <w:t>Plasamente private</w:t>
      </w:r>
      <w:r w:rsidRPr="003164CE">
        <w:rPr>
          <w:rFonts w:ascii="Tahoma" w:eastAsia="Times New Roman" w:hAnsi="Tahoma" w:cs="Tahoma"/>
          <w:sz w:val="24"/>
          <w:szCs w:val="24"/>
          <w:lang w:eastAsia="zh-CN"/>
        </w:rPr>
        <w:t xml:space="preserve">: 2,0 </w:t>
      </w:r>
      <w:r w:rsidR="00A60FB7"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RON. </w:t>
      </w:r>
    </w:p>
    <w:p w:rsidR="00AE178B" w:rsidRPr="003164CE" w:rsidRDefault="00AE178B" w:rsidP="0025353E">
      <w:pPr>
        <w:numPr>
          <w:ilvl w:val="0"/>
          <w:numId w:val="10"/>
        </w:numPr>
        <w:suppressAutoHyphens/>
        <w:spacing w:after="120" w:line="276" w:lineRule="auto"/>
        <w:ind w:left="1135" w:hanging="284"/>
        <w:rPr>
          <w:rFonts w:ascii="Tahoma" w:eastAsia="Times New Roman" w:hAnsi="Tahoma" w:cs="Tahoma"/>
          <w:sz w:val="24"/>
          <w:szCs w:val="24"/>
          <w:lang w:eastAsia="zh-CN"/>
        </w:rPr>
      </w:pPr>
      <w:r w:rsidRPr="003164CE">
        <w:rPr>
          <w:rFonts w:ascii="Tahoma" w:eastAsia="Times New Roman" w:hAnsi="Tahoma" w:cs="Tahoma"/>
          <w:sz w:val="24"/>
          <w:szCs w:val="24"/>
          <w:u w:val="single"/>
          <w:lang w:eastAsia="zh-CN"/>
        </w:rPr>
        <w:lastRenderedPageBreak/>
        <w:t>Operațiuni de preschimbare</w:t>
      </w:r>
      <w:r w:rsidRPr="003164CE">
        <w:rPr>
          <w:rFonts w:ascii="Tahoma" w:eastAsia="Times New Roman" w:hAnsi="Tahoma" w:cs="Tahoma"/>
          <w:sz w:val="24"/>
          <w:szCs w:val="24"/>
          <w:lang w:eastAsia="zh-CN"/>
        </w:rPr>
        <w:t>: titluri de stat emise pe piața internă scadente în 2025</w:t>
      </w:r>
      <w:r w:rsidRPr="003164CE">
        <w:rPr>
          <w:rFonts w:ascii="Tahoma" w:eastAsia="Times New Roman" w:hAnsi="Tahoma" w:cs="Tahoma"/>
          <w:sz w:val="24"/>
          <w:szCs w:val="24"/>
          <w:vertAlign w:val="superscript"/>
          <w:lang w:eastAsia="zh-CN"/>
        </w:rPr>
        <w:footnoteReference w:id="14"/>
      </w:r>
      <w:r w:rsidRPr="003164CE">
        <w:rPr>
          <w:rFonts w:ascii="Tahoma" w:eastAsia="Times New Roman" w:hAnsi="Tahoma" w:cs="Tahoma"/>
          <w:sz w:val="24"/>
          <w:szCs w:val="24"/>
          <w:lang w:eastAsia="zh-CN"/>
        </w:rPr>
        <w:t xml:space="preserve"> și 2026</w:t>
      </w:r>
      <w:r w:rsidRPr="003164CE">
        <w:rPr>
          <w:rFonts w:ascii="Tahoma" w:eastAsia="Times New Roman" w:hAnsi="Tahoma" w:cs="Tahoma"/>
          <w:sz w:val="24"/>
          <w:szCs w:val="24"/>
          <w:vertAlign w:val="superscript"/>
          <w:lang w:eastAsia="zh-CN"/>
        </w:rPr>
        <w:footnoteReference w:id="15"/>
      </w:r>
      <w:r w:rsidRPr="003164CE">
        <w:rPr>
          <w:rFonts w:ascii="Tahoma" w:eastAsia="Times New Roman" w:hAnsi="Tahoma" w:cs="Tahoma"/>
          <w:sz w:val="24"/>
          <w:szCs w:val="24"/>
          <w:lang w:eastAsia="zh-CN"/>
        </w:rPr>
        <w:t xml:space="preserve"> au fost preschimbate cu titluri de stat cu maturități mai lungi în sumă de 2,46 </w:t>
      </w:r>
      <w:r w:rsidR="00A60FB7"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lei.</w:t>
      </w:r>
    </w:p>
    <w:p w:rsidR="00AE178B" w:rsidRPr="003164CE" w:rsidRDefault="00AE178B" w:rsidP="0025353E">
      <w:pPr>
        <w:numPr>
          <w:ilvl w:val="0"/>
          <w:numId w:val="10"/>
        </w:numPr>
        <w:suppressAutoHyphens/>
        <w:spacing w:after="120" w:line="276" w:lineRule="auto"/>
        <w:ind w:left="1135" w:hanging="284"/>
        <w:rPr>
          <w:rFonts w:ascii="Tahoma" w:eastAsia="Times New Roman" w:hAnsi="Tahoma" w:cs="Tahoma"/>
          <w:sz w:val="24"/>
          <w:szCs w:val="24"/>
          <w:lang w:eastAsia="zh-CN"/>
        </w:rPr>
      </w:pPr>
      <w:r w:rsidRPr="003164CE">
        <w:rPr>
          <w:rFonts w:ascii="Tahoma" w:eastAsia="Times New Roman" w:hAnsi="Tahoma" w:cs="Tahoma"/>
          <w:sz w:val="24"/>
          <w:szCs w:val="24"/>
          <w:u w:val="single"/>
          <w:lang w:eastAsia="zh-CN"/>
        </w:rPr>
        <w:t>Titluri de stat pentru populație</w:t>
      </w:r>
      <w:r w:rsidRPr="003164CE">
        <w:rPr>
          <w:rFonts w:ascii="Tahoma" w:eastAsia="Times New Roman" w:hAnsi="Tahoma" w:cs="Tahoma"/>
          <w:sz w:val="24"/>
          <w:szCs w:val="24"/>
          <w:lang w:eastAsia="zh-CN"/>
        </w:rPr>
        <w:t xml:space="preserve">: </w:t>
      </w:r>
      <w:r w:rsidRPr="003164CE">
        <w:rPr>
          <w:rFonts w:ascii="Tahoma" w:eastAsia="Times New Roman" w:hAnsi="Tahoma" w:cs="Tahoma"/>
          <w:bCs/>
          <w:sz w:val="24"/>
          <w:szCs w:val="24"/>
          <w:lang w:eastAsia="zh-CN"/>
        </w:rPr>
        <w:t xml:space="preserve">25,3 </w:t>
      </w:r>
      <w:r w:rsidR="00A60FB7" w:rsidRPr="003164CE">
        <w:rPr>
          <w:rFonts w:ascii="Tahoma" w:eastAsia="Times New Roman" w:hAnsi="Tahoma" w:cs="Tahoma"/>
          <w:bCs/>
          <w:sz w:val="24"/>
          <w:szCs w:val="24"/>
          <w:lang w:eastAsia="zh-CN"/>
        </w:rPr>
        <w:t>miliarde</w:t>
      </w:r>
      <w:r w:rsidRPr="003164CE">
        <w:rPr>
          <w:rFonts w:ascii="Tahoma" w:eastAsia="Times New Roman" w:hAnsi="Tahoma" w:cs="Tahoma"/>
          <w:bCs/>
          <w:sz w:val="24"/>
          <w:szCs w:val="24"/>
          <w:lang w:eastAsia="zh-CN"/>
        </w:rPr>
        <w:t xml:space="preserve"> echivalent lei (respectiv 20,3 </w:t>
      </w:r>
      <w:r w:rsidR="00A60FB7" w:rsidRPr="003164CE">
        <w:rPr>
          <w:rFonts w:ascii="Tahoma" w:eastAsia="Times New Roman" w:hAnsi="Tahoma" w:cs="Tahoma"/>
          <w:bCs/>
          <w:sz w:val="24"/>
          <w:szCs w:val="24"/>
          <w:lang w:eastAsia="zh-CN"/>
        </w:rPr>
        <w:t>miliarde</w:t>
      </w:r>
      <w:r w:rsidRPr="003164CE">
        <w:rPr>
          <w:rFonts w:ascii="Tahoma" w:eastAsia="Times New Roman" w:hAnsi="Tahoma" w:cs="Tahoma"/>
          <w:bCs/>
          <w:sz w:val="24"/>
          <w:szCs w:val="24"/>
          <w:lang w:eastAsia="zh-CN"/>
        </w:rPr>
        <w:t xml:space="preserve"> lei și 0,99 </w:t>
      </w:r>
      <w:r w:rsidR="00A60FB7" w:rsidRPr="003164CE">
        <w:rPr>
          <w:rFonts w:ascii="Tahoma" w:eastAsia="Times New Roman" w:hAnsi="Tahoma" w:cs="Tahoma"/>
          <w:bCs/>
          <w:sz w:val="24"/>
          <w:szCs w:val="24"/>
          <w:lang w:eastAsia="zh-CN"/>
        </w:rPr>
        <w:t>miliarde</w:t>
      </w:r>
      <w:r w:rsidRPr="003164CE">
        <w:rPr>
          <w:rFonts w:ascii="Tahoma" w:eastAsia="Times New Roman" w:hAnsi="Tahoma" w:cs="Tahoma"/>
          <w:bCs/>
          <w:sz w:val="24"/>
          <w:szCs w:val="24"/>
          <w:lang w:eastAsia="zh-CN"/>
        </w:rPr>
        <w:t xml:space="preserve"> EUR), prin intermediul programelor TEZAUR și FIDELIS. P</w:t>
      </w:r>
      <w:r w:rsidRPr="003164CE">
        <w:rPr>
          <w:rFonts w:ascii="Tahoma" w:eastAsia="Times New Roman" w:hAnsi="Tahoma" w:cs="Tahoma"/>
          <w:sz w:val="24"/>
          <w:szCs w:val="24"/>
          <w:lang w:eastAsia="zh-CN"/>
        </w:rPr>
        <w:t xml:space="preserve">rin programul TEZAUR au fost realizate emisiuni lunare, cu maturități de 1, 3 și 5 ani, cu un volum atras de 14,6 </w:t>
      </w:r>
      <w:r w:rsidR="00A60FB7"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lei. Prin programul FIDELIS au fost lansate 5 emisiuni, prin intermediul </w:t>
      </w:r>
      <w:r w:rsidRPr="003164CE">
        <w:rPr>
          <w:rFonts w:ascii="Tahoma" w:eastAsia="Times New Roman" w:hAnsi="Tahoma" w:cs="Tahoma"/>
          <w:bCs/>
          <w:sz w:val="24"/>
          <w:szCs w:val="24"/>
          <w:lang w:eastAsia="zh-CN"/>
        </w:rPr>
        <w:t xml:space="preserve">sindicatului de bănci format din Banca Transilvania/BT Capital </w:t>
      </w:r>
      <w:proofErr w:type="spellStart"/>
      <w:r w:rsidRPr="003164CE">
        <w:rPr>
          <w:rFonts w:ascii="Tahoma" w:eastAsia="Times New Roman" w:hAnsi="Tahoma" w:cs="Tahoma"/>
          <w:bCs/>
          <w:sz w:val="24"/>
          <w:szCs w:val="24"/>
          <w:lang w:eastAsia="zh-CN"/>
        </w:rPr>
        <w:t>Partners</w:t>
      </w:r>
      <w:proofErr w:type="spellEnd"/>
      <w:r w:rsidRPr="003164CE">
        <w:rPr>
          <w:rFonts w:ascii="Tahoma" w:eastAsia="Times New Roman" w:hAnsi="Tahoma" w:cs="Tahoma"/>
          <w:bCs/>
          <w:sz w:val="24"/>
          <w:szCs w:val="24"/>
          <w:lang w:eastAsia="zh-CN"/>
        </w:rPr>
        <w:t xml:space="preserve">, BCR, BRD și Alpha Bank. Emisiunile au fost denominate atât în lei (maturități de 1, 2, 3, 4, 5 și 6 ani), cât și în EUR (maturități de 2, 5  și 7 ani), cu un volum atras de 4,98 </w:t>
      </w:r>
      <w:r w:rsidR="00A60FB7" w:rsidRPr="003164CE">
        <w:rPr>
          <w:rFonts w:ascii="Tahoma" w:eastAsia="Times New Roman" w:hAnsi="Tahoma" w:cs="Tahoma"/>
          <w:bCs/>
          <w:sz w:val="24"/>
          <w:szCs w:val="24"/>
          <w:lang w:eastAsia="zh-CN"/>
        </w:rPr>
        <w:t>miliarde</w:t>
      </w:r>
      <w:r w:rsidRPr="003164CE">
        <w:rPr>
          <w:rFonts w:ascii="Tahoma" w:eastAsia="Times New Roman" w:hAnsi="Tahoma" w:cs="Tahoma"/>
          <w:bCs/>
          <w:sz w:val="24"/>
          <w:szCs w:val="24"/>
          <w:lang w:eastAsia="zh-CN"/>
        </w:rPr>
        <w:t xml:space="preserve"> echivalent lei. În cursul anului 2025 prin programul FIDELIS au fost lansate tranșe dedicate donatorilor, care au beneficiat de o dobândă preferențială, fiind atrasă suma de 1,15 </w:t>
      </w:r>
      <w:r w:rsidR="00A60FB7" w:rsidRPr="003164CE">
        <w:rPr>
          <w:rFonts w:ascii="Tahoma" w:eastAsia="Times New Roman" w:hAnsi="Tahoma" w:cs="Tahoma"/>
          <w:bCs/>
          <w:sz w:val="24"/>
          <w:szCs w:val="24"/>
          <w:lang w:eastAsia="zh-CN"/>
        </w:rPr>
        <w:t>miliarde</w:t>
      </w:r>
      <w:r w:rsidRPr="003164CE">
        <w:rPr>
          <w:rFonts w:ascii="Tahoma" w:eastAsia="Times New Roman" w:hAnsi="Tahoma" w:cs="Tahoma"/>
          <w:bCs/>
          <w:sz w:val="24"/>
          <w:szCs w:val="24"/>
          <w:lang w:eastAsia="zh-CN"/>
        </w:rPr>
        <w:t xml:space="preserve"> lei. În funcție de maturitate, cca 55% din suma totală atrasă prin intermediul programelor TEZAUR si FIDELIS a fost pentru maturitatea de 1 an și cca 45% pentru instrumente cu maturități mai lungi.</w:t>
      </w:r>
    </w:p>
    <w:p w:rsidR="00AE178B" w:rsidRPr="003164CE" w:rsidRDefault="00AE178B" w:rsidP="00236CBD">
      <w:pPr>
        <w:spacing w:after="120" w:line="276" w:lineRule="auto"/>
        <w:ind w:left="284" w:firstLine="0"/>
        <w:rPr>
          <w:rFonts w:ascii="Tahoma" w:eastAsia="Times New Roman" w:hAnsi="Tahoma" w:cs="Tahoma"/>
          <w:sz w:val="24"/>
          <w:szCs w:val="24"/>
          <w:lang w:eastAsia="zh-CN"/>
        </w:rPr>
      </w:pPr>
      <w:r w:rsidRPr="003164CE">
        <w:rPr>
          <w:rFonts w:ascii="Tahoma" w:eastAsia="Times New Roman" w:hAnsi="Tahoma" w:cs="Tahoma"/>
          <w:sz w:val="24"/>
          <w:szCs w:val="24"/>
          <w:lang w:eastAsia="zh-CN"/>
        </w:rPr>
        <w:t xml:space="preserve">2. </w:t>
      </w:r>
      <w:r w:rsidRPr="003164CE">
        <w:rPr>
          <w:rFonts w:ascii="Tahoma" w:eastAsia="Times New Roman" w:hAnsi="Tahoma" w:cs="Tahoma"/>
          <w:sz w:val="24"/>
          <w:szCs w:val="24"/>
          <w:u w:val="single"/>
          <w:lang w:eastAsia="zh-CN"/>
        </w:rPr>
        <w:t>Piața externă</w:t>
      </w:r>
      <w:r w:rsidRPr="003164CE">
        <w:rPr>
          <w:rFonts w:ascii="Tahoma" w:eastAsia="Times New Roman" w:hAnsi="Tahoma" w:cs="Tahoma"/>
          <w:sz w:val="24"/>
          <w:szCs w:val="24"/>
          <w:lang w:eastAsia="zh-CN"/>
        </w:rPr>
        <w:t xml:space="preserve">: </w:t>
      </w:r>
      <w:r w:rsidRPr="003164CE">
        <w:rPr>
          <w:rFonts w:ascii="Tahoma" w:eastAsia="Calibri" w:hAnsi="Tahoma" w:cs="Tahoma"/>
          <w:sz w:val="24"/>
          <w:szCs w:val="24"/>
        </w:rPr>
        <w:t xml:space="preserve">– </w:t>
      </w:r>
      <w:r w:rsidRPr="003164CE">
        <w:rPr>
          <w:rFonts w:ascii="Tahoma" w:eastAsia="Times New Roman" w:hAnsi="Tahoma" w:cs="Tahoma"/>
          <w:sz w:val="24"/>
          <w:szCs w:val="24"/>
          <w:lang w:eastAsia="zh-CN"/>
        </w:rPr>
        <w:t xml:space="preserve">s-a avut în vedere asigurarea unei prezențe constante pe piețele externe de capital în condiții de cost avantajoase pentru România, precum și diversificarea bazei de investitori și consolidarea rezervei financiare în valută la dispoziția Trezoreriei Statului. </w:t>
      </w:r>
    </w:p>
    <w:p w:rsidR="00AE178B" w:rsidRPr="003164CE" w:rsidRDefault="00AE178B" w:rsidP="00236CBD">
      <w:pPr>
        <w:spacing w:after="120" w:line="276" w:lineRule="auto"/>
        <w:ind w:left="284" w:firstLine="0"/>
        <w:rPr>
          <w:rFonts w:ascii="Tahoma" w:eastAsia="Calibri" w:hAnsi="Tahoma" w:cs="Tahoma"/>
          <w:sz w:val="24"/>
          <w:szCs w:val="24"/>
        </w:rPr>
      </w:pPr>
      <w:r w:rsidRPr="003164CE">
        <w:rPr>
          <w:rFonts w:ascii="Tahoma" w:eastAsia="Calibri" w:hAnsi="Tahoma" w:cs="Tahoma"/>
          <w:sz w:val="24"/>
          <w:szCs w:val="24"/>
        </w:rPr>
        <w:t xml:space="preserve">Au fost realizate </w:t>
      </w:r>
      <w:r w:rsidRPr="003164CE">
        <w:rPr>
          <w:rFonts w:ascii="Tahoma" w:eastAsia="Times New Roman" w:hAnsi="Tahoma" w:cs="Tahoma"/>
          <w:sz w:val="24"/>
          <w:szCs w:val="24"/>
          <w:lang w:eastAsia="zh-CN"/>
        </w:rPr>
        <w:t xml:space="preserve">2 emisiuni de euroobligațiuni și 12 plasamente private în sumă de 8,5 </w:t>
      </w:r>
      <w:r w:rsidR="00A60FB7"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EUR echivalent. </w:t>
      </w:r>
    </w:p>
    <w:p w:rsidR="00AE178B" w:rsidRPr="003164CE" w:rsidRDefault="00AE178B" w:rsidP="00AE178B">
      <w:pPr>
        <w:spacing w:after="0" w:line="276" w:lineRule="auto"/>
        <w:ind w:firstLine="0"/>
        <w:rPr>
          <w:rFonts w:ascii="Tahoma" w:eastAsia="Calibri" w:hAnsi="Tahoma" w:cs="Tahoma"/>
          <w:sz w:val="24"/>
          <w:szCs w:val="24"/>
        </w:rPr>
      </w:pPr>
      <w:r w:rsidRPr="003164CE">
        <w:rPr>
          <w:rFonts w:ascii="Tahoma" w:eastAsia="Calibri" w:hAnsi="Tahoma" w:cs="Tahoma"/>
          <w:sz w:val="24"/>
          <w:szCs w:val="24"/>
        </w:rPr>
        <w:t xml:space="preserve">   Termeni financiari - euroobligațiuni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927"/>
        <w:gridCol w:w="1562"/>
        <w:gridCol w:w="1492"/>
        <w:gridCol w:w="1135"/>
        <w:gridCol w:w="1696"/>
      </w:tblGrid>
      <w:tr w:rsidR="00AE178B" w:rsidRPr="003164CE" w:rsidTr="00DE054B">
        <w:trPr>
          <w:trHeight w:val="440"/>
          <w:jc w:val="center"/>
        </w:trPr>
        <w:tc>
          <w:tcPr>
            <w:tcW w:w="690" w:type="pct"/>
            <w:shd w:val="clear" w:color="auto" w:fill="DEEAF6" w:themeFill="accent1" w:themeFillTint="33"/>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Luna</w:t>
            </w:r>
          </w:p>
        </w:tc>
        <w:tc>
          <w:tcPr>
            <w:tcW w:w="1063" w:type="pct"/>
            <w:shd w:val="clear" w:color="auto" w:fill="DEEAF6" w:themeFill="accent1" w:themeFillTint="33"/>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Valoare totală</w:t>
            </w:r>
          </w:p>
        </w:tc>
        <w:tc>
          <w:tcPr>
            <w:tcW w:w="862" w:type="pct"/>
            <w:shd w:val="clear" w:color="auto" w:fill="DEEAF6" w:themeFill="accent1" w:themeFillTint="33"/>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Maturitate</w:t>
            </w:r>
          </w:p>
        </w:tc>
        <w:tc>
          <w:tcPr>
            <w:tcW w:w="823" w:type="pct"/>
            <w:shd w:val="clear" w:color="auto" w:fill="DEEAF6" w:themeFill="accent1" w:themeFillTint="33"/>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Valoare</w:t>
            </w:r>
          </w:p>
        </w:tc>
        <w:tc>
          <w:tcPr>
            <w:tcW w:w="626" w:type="pct"/>
            <w:shd w:val="clear" w:color="auto" w:fill="DEEAF6" w:themeFill="accent1" w:themeFillTint="33"/>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Cupon</w:t>
            </w:r>
          </w:p>
        </w:tc>
        <w:tc>
          <w:tcPr>
            <w:tcW w:w="936" w:type="pct"/>
            <w:shd w:val="clear" w:color="auto" w:fill="DEEAF6" w:themeFill="accent1" w:themeFillTint="33"/>
          </w:tcPr>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Randament</w:t>
            </w:r>
          </w:p>
        </w:tc>
      </w:tr>
      <w:tr w:rsidR="00AE178B" w:rsidRPr="003164CE" w:rsidTr="00DE054B">
        <w:trPr>
          <w:trHeight w:val="323"/>
          <w:jc w:val="center"/>
        </w:trPr>
        <w:tc>
          <w:tcPr>
            <w:tcW w:w="690" w:type="pct"/>
            <w:vMerge w:val="restart"/>
            <w:tcBorders>
              <w:top w:val="single" w:sz="4" w:space="0" w:color="auto"/>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r w:rsidRPr="003164CE">
              <w:rPr>
                <w:rFonts w:ascii="Tahoma" w:eastAsia="Calibri" w:hAnsi="Tahoma" w:cs="Tahoma"/>
                <w:color w:val="000000"/>
                <w:sz w:val="24"/>
                <w:szCs w:val="24"/>
              </w:rPr>
              <w:t xml:space="preserve">Februarie </w:t>
            </w:r>
          </w:p>
        </w:tc>
        <w:tc>
          <w:tcPr>
            <w:tcW w:w="1063" w:type="pct"/>
            <w:vMerge w:val="restart"/>
            <w:tcBorders>
              <w:top w:val="single" w:sz="4" w:space="0" w:color="auto"/>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p>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2,8 mld. EUR și 1,25 mld. USD</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5 ani</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DE054B">
            <w:pPr>
              <w:spacing w:after="0" w:line="276" w:lineRule="auto"/>
              <w:ind w:firstLine="0"/>
              <w:rPr>
                <w:rFonts w:ascii="Tahoma" w:eastAsia="Calibri" w:hAnsi="Tahoma" w:cs="Tahoma"/>
                <w:color w:val="000000"/>
                <w:sz w:val="24"/>
                <w:szCs w:val="24"/>
              </w:rPr>
            </w:pPr>
            <w:r w:rsidRPr="003164CE">
              <w:rPr>
                <w:rFonts w:ascii="Tahoma" w:eastAsia="Calibri" w:hAnsi="Tahoma" w:cs="Tahoma"/>
                <w:color w:val="000000"/>
                <w:sz w:val="24"/>
                <w:szCs w:val="24"/>
              </w:rPr>
              <w:t>1,4</w:t>
            </w:r>
            <w:r w:rsidR="00DE054B" w:rsidRPr="003164CE">
              <w:rPr>
                <w:rFonts w:ascii="Tahoma" w:eastAsia="Calibri" w:hAnsi="Tahoma" w:cs="Tahoma"/>
                <w:color w:val="000000"/>
                <w:sz w:val="24"/>
                <w:szCs w:val="24"/>
              </w:rPr>
              <w:t xml:space="preserve"> </w:t>
            </w:r>
            <w:r w:rsidRPr="003164CE">
              <w:rPr>
                <w:rFonts w:ascii="Tahoma" w:eastAsia="Calibri" w:hAnsi="Tahoma" w:cs="Tahoma"/>
                <w:color w:val="000000"/>
                <w:sz w:val="24"/>
                <w:szCs w:val="24"/>
              </w:rPr>
              <w:t>mld. EUR</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5,250%</w:t>
            </w:r>
          </w:p>
        </w:tc>
        <w:tc>
          <w:tcPr>
            <w:tcW w:w="936" w:type="pct"/>
            <w:tcBorders>
              <w:top w:val="single" w:sz="4" w:space="0" w:color="auto"/>
              <w:left w:val="single" w:sz="4" w:space="0" w:color="auto"/>
              <w:bottom w:val="single" w:sz="4" w:space="0" w:color="auto"/>
              <w:right w:val="single" w:sz="4" w:space="0" w:color="auto"/>
            </w:tcBorders>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5,288%</w:t>
            </w:r>
          </w:p>
        </w:tc>
      </w:tr>
      <w:tr w:rsidR="00AE178B" w:rsidRPr="003164CE" w:rsidTr="00DE054B">
        <w:trPr>
          <w:trHeight w:val="350"/>
          <w:jc w:val="center"/>
        </w:trPr>
        <w:tc>
          <w:tcPr>
            <w:tcW w:w="690" w:type="pct"/>
            <w:vMerge/>
            <w:tcBorders>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p>
        </w:tc>
        <w:tc>
          <w:tcPr>
            <w:tcW w:w="1063" w:type="pct"/>
            <w:vMerge/>
            <w:tcBorders>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9 ani</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r w:rsidRPr="003164CE">
              <w:rPr>
                <w:rFonts w:ascii="Tahoma" w:eastAsia="Calibri" w:hAnsi="Tahoma" w:cs="Tahoma"/>
                <w:color w:val="000000"/>
                <w:sz w:val="24"/>
                <w:szCs w:val="24"/>
              </w:rPr>
              <w:t>1,4 mld. EUR</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6,250%</w:t>
            </w:r>
          </w:p>
        </w:tc>
        <w:tc>
          <w:tcPr>
            <w:tcW w:w="936" w:type="pct"/>
            <w:tcBorders>
              <w:top w:val="single" w:sz="4" w:space="0" w:color="auto"/>
              <w:left w:val="single" w:sz="4" w:space="0" w:color="auto"/>
              <w:bottom w:val="single" w:sz="4" w:space="0" w:color="auto"/>
              <w:right w:val="single" w:sz="4" w:space="0" w:color="auto"/>
            </w:tcBorders>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6,337%</w:t>
            </w:r>
          </w:p>
        </w:tc>
      </w:tr>
      <w:tr w:rsidR="00AE178B" w:rsidRPr="003164CE" w:rsidTr="00DE054B">
        <w:trPr>
          <w:trHeight w:val="350"/>
          <w:jc w:val="center"/>
        </w:trPr>
        <w:tc>
          <w:tcPr>
            <w:tcW w:w="690" w:type="pct"/>
            <w:vMerge/>
            <w:tcBorders>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p>
        </w:tc>
        <w:tc>
          <w:tcPr>
            <w:tcW w:w="1063" w:type="pct"/>
            <w:vMerge/>
            <w:tcBorders>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12 ani</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r w:rsidRPr="003164CE">
              <w:rPr>
                <w:rFonts w:ascii="Tahoma" w:eastAsia="Calibri" w:hAnsi="Tahoma" w:cs="Tahoma"/>
                <w:color w:val="000000"/>
                <w:sz w:val="24"/>
                <w:szCs w:val="24"/>
              </w:rPr>
              <w:t>1,25 mld. USD</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7,500%</w:t>
            </w:r>
          </w:p>
        </w:tc>
        <w:tc>
          <w:tcPr>
            <w:tcW w:w="936" w:type="pct"/>
            <w:tcBorders>
              <w:top w:val="single" w:sz="4" w:space="0" w:color="auto"/>
              <w:left w:val="single" w:sz="4" w:space="0" w:color="auto"/>
              <w:bottom w:val="single" w:sz="4" w:space="0" w:color="auto"/>
              <w:right w:val="single" w:sz="4" w:space="0" w:color="auto"/>
            </w:tcBorders>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7,547%</w:t>
            </w:r>
          </w:p>
        </w:tc>
      </w:tr>
      <w:tr w:rsidR="00AE178B" w:rsidRPr="003164CE" w:rsidTr="00DE054B">
        <w:trPr>
          <w:trHeight w:val="242"/>
          <w:jc w:val="center"/>
        </w:trPr>
        <w:tc>
          <w:tcPr>
            <w:tcW w:w="690" w:type="pct"/>
            <w:vMerge w:val="restart"/>
            <w:tcBorders>
              <w:top w:val="single" w:sz="4" w:space="0" w:color="auto"/>
              <w:left w:val="single" w:sz="4" w:space="0" w:color="auto"/>
              <w:right w:val="single" w:sz="4" w:space="0" w:color="auto"/>
            </w:tcBorders>
            <w:shd w:val="clear" w:color="auto" w:fill="auto"/>
            <w:vAlign w:val="center"/>
          </w:tcPr>
          <w:p w:rsidR="00AE178B" w:rsidRPr="003164CE" w:rsidRDefault="00AE178B" w:rsidP="00DE054B">
            <w:pPr>
              <w:spacing w:after="0" w:line="276" w:lineRule="auto"/>
              <w:ind w:firstLine="0"/>
              <w:rPr>
                <w:rFonts w:ascii="Tahoma" w:eastAsia="Calibri" w:hAnsi="Tahoma" w:cs="Tahoma"/>
                <w:color w:val="000000"/>
                <w:sz w:val="24"/>
                <w:szCs w:val="24"/>
              </w:rPr>
            </w:pPr>
            <w:r w:rsidRPr="003164CE">
              <w:rPr>
                <w:rFonts w:ascii="Tahoma" w:eastAsia="Calibri" w:hAnsi="Tahoma" w:cs="Tahoma"/>
                <w:color w:val="000000"/>
                <w:sz w:val="24"/>
                <w:szCs w:val="24"/>
              </w:rPr>
              <w:t>Martie</w:t>
            </w:r>
          </w:p>
        </w:tc>
        <w:tc>
          <w:tcPr>
            <w:tcW w:w="1063" w:type="pct"/>
            <w:vMerge w:val="restart"/>
            <w:tcBorders>
              <w:top w:val="single" w:sz="4" w:space="0" w:color="auto"/>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r w:rsidRPr="003164CE">
              <w:rPr>
                <w:rFonts w:ascii="Tahoma" w:eastAsia="Calibri" w:hAnsi="Tahoma" w:cs="Tahoma"/>
                <w:b/>
                <w:color w:val="000000"/>
                <w:sz w:val="24"/>
                <w:szCs w:val="24"/>
              </w:rPr>
              <w:t>2,75 mld EUR</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7 ani</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r w:rsidRPr="003164CE">
              <w:rPr>
                <w:rFonts w:ascii="Tahoma" w:eastAsia="Calibri" w:hAnsi="Tahoma" w:cs="Tahoma"/>
                <w:color w:val="000000"/>
                <w:sz w:val="24"/>
                <w:szCs w:val="24"/>
              </w:rPr>
              <w:t>2,25 mld. EUR</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5,875%</w:t>
            </w:r>
          </w:p>
        </w:tc>
        <w:tc>
          <w:tcPr>
            <w:tcW w:w="936" w:type="pct"/>
            <w:tcBorders>
              <w:top w:val="single" w:sz="4" w:space="0" w:color="auto"/>
              <w:left w:val="single" w:sz="4" w:space="0" w:color="auto"/>
              <w:bottom w:val="single" w:sz="4" w:space="0" w:color="auto"/>
              <w:right w:val="single" w:sz="4" w:space="0" w:color="auto"/>
            </w:tcBorders>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5,917%</w:t>
            </w:r>
          </w:p>
        </w:tc>
      </w:tr>
      <w:tr w:rsidR="00AE178B" w:rsidRPr="003164CE" w:rsidTr="00DE054B">
        <w:trPr>
          <w:trHeight w:val="260"/>
          <w:jc w:val="center"/>
        </w:trPr>
        <w:tc>
          <w:tcPr>
            <w:tcW w:w="690" w:type="pct"/>
            <w:vMerge/>
            <w:tcBorders>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p>
        </w:tc>
        <w:tc>
          <w:tcPr>
            <w:tcW w:w="1063" w:type="pct"/>
            <w:vMerge/>
            <w:tcBorders>
              <w:left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b/>
                <w:color w:val="000000"/>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14 ani</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AE178B">
            <w:pPr>
              <w:spacing w:after="0" w:line="276" w:lineRule="auto"/>
              <w:ind w:firstLine="0"/>
              <w:rPr>
                <w:rFonts w:ascii="Tahoma" w:eastAsia="Calibri" w:hAnsi="Tahoma" w:cs="Tahoma"/>
                <w:color w:val="000000"/>
                <w:sz w:val="24"/>
                <w:szCs w:val="24"/>
              </w:rPr>
            </w:pPr>
            <w:r w:rsidRPr="003164CE">
              <w:rPr>
                <w:rFonts w:ascii="Tahoma" w:eastAsia="Calibri" w:hAnsi="Tahoma" w:cs="Tahoma"/>
                <w:color w:val="000000"/>
                <w:sz w:val="24"/>
                <w:szCs w:val="24"/>
              </w:rPr>
              <w:t>0,5 mld. EUR</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6,750%</w:t>
            </w:r>
          </w:p>
        </w:tc>
        <w:tc>
          <w:tcPr>
            <w:tcW w:w="936" w:type="pct"/>
            <w:tcBorders>
              <w:top w:val="single" w:sz="4" w:space="0" w:color="auto"/>
              <w:left w:val="single" w:sz="4" w:space="0" w:color="auto"/>
              <w:bottom w:val="single" w:sz="4" w:space="0" w:color="auto"/>
              <w:right w:val="single" w:sz="4" w:space="0" w:color="auto"/>
            </w:tcBorders>
          </w:tcPr>
          <w:p w:rsidR="00AE178B" w:rsidRPr="003164CE" w:rsidRDefault="00AE178B" w:rsidP="00DE054B">
            <w:pPr>
              <w:spacing w:after="0" w:line="276" w:lineRule="auto"/>
              <w:ind w:firstLine="0"/>
              <w:jc w:val="center"/>
              <w:rPr>
                <w:rFonts w:ascii="Tahoma" w:eastAsia="Calibri" w:hAnsi="Tahoma" w:cs="Tahoma"/>
                <w:color w:val="000000"/>
                <w:sz w:val="24"/>
                <w:szCs w:val="24"/>
              </w:rPr>
            </w:pPr>
            <w:r w:rsidRPr="003164CE">
              <w:rPr>
                <w:rFonts w:ascii="Tahoma" w:eastAsia="Calibri" w:hAnsi="Tahoma" w:cs="Tahoma"/>
                <w:color w:val="000000"/>
                <w:sz w:val="24"/>
                <w:szCs w:val="24"/>
              </w:rPr>
              <w:t>6,785%</w:t>
            </w:r>
          </w:p>
        </w:tc>
      </w:tr>
    </w:tbl>
    <w:p w:rsidR="00AE178B" w:rsidRPr="003164CE" w:rsidRDefault="00AE178B" w:rsidP="00236CBD">
      <w:pPr>
        <w:spacing w:after="120" w:line="276" w:lineRule="auto"/>
        <w:ind w:firstLine="0"/>
        <w:rPr>
          <w:rFonts w:ascii="Tahoma" w:eastAsia="Calibri" w:hAnsi="Tahoma" w:cs="Tahoma"/>
          <w:sz w:val="24"/>
          <w:szCs w:val="24"/>
        </w:rPr>
      </w:pPr>
      <w:r w:rsidRPr="003164CE">
        <w:rPr>
          <w:rFonts w:ascii="Tahoma" w:eastAsia="Times New Roman" w:hAnsi="Tahoma" w:cs="Tahoma"/>
          <w:sz w:val="24"/>
          <w:szCs w:val="24"/>
          <w:lang w:eastAsia="zh-CN"/>
        </w:rPr>
        <w:lastRenderedPageBreak/>
        <w:t>Prin utilizarea unor împrumuturi sub forma plasamentelor private s-a avut în vedere completarea finanțării de pe piețele financiare internaționale.</w:t>
      </w:r>
      <w:r w:rsidRPr="003164CE">
        <w:rPr>
          <w:rFonts w:ascii="Tahoma" w:eastAsia="Calibri" w:hAnsi="Tahoma" w:cs="Tahoma"/>
          <w:sz w:val="24"/>
          <w:szCs w:val="24"/>
        </w:rPr>
        <w:t xml:space="preserve"> </w:t>
      </w:r>
    </w:p>
    <w:p w:rsidR="00AE178B" w:rsidRPr="003164CE" w:rsidRDefault="00AE178B" w:rsidP="00236CBD">
      <w:pPr>
        <w:suppressAutoHyphens/>
        <w:spacing w:after="120" w:line="276" w:lineRule="auto"/>
        <w:ind w:firstLine="0"/>
        <w:rPr>
          <w:rFonts w:ascii="Tahoma" w:eastAsia="Times New Roman" w:hAnsi="Tahoma" w:cs="Tahoma"/>
          <w:sz w:val="24"/>
          <w:szCs w:val="24"/>
          <w:lang w:eastAsia="zh-CN"/>
        </w:rPr>
      </w:pPr>
      <w:r w:rsidRPr="003164CE">
        <w:rPr>
          <w:rFonts w:ascii="Tahoma" w:eastAsia="Times New Roman" w:hAnsi="Tahoma" w:cs="Tahoma"/>
          <w:sz w:val="24"/>
          <w:szCs w:val="24"/>
          <w:lang w:eastAsia="zh-CN"/>
        </w:rPr>
        <w:t xml:space="preserve">În primul semestru al anului 2025 au fost efectuate trageri din împrumuturi IFI în sumă de 0,77 </w:t>
      </w:r>
      <w:r w:rsidR="006137AE"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EUR, iar sumele disponibilizate din cadrul componentei de împrumut pentru implementarea Planului Național de Redresare și Reziliență (PNRR) au fost în valoare de 0,76 </w:t>
      </w:r>
      <w:r w:rsidR="006137AE" w:rsidRPr="003164CE">
        <w:rPr>
          <w:rFonts w:ascii="Tahoma" w:eastAsia="Times New Roman" w:hAnsi="Tahoma" w:cs="Tahoma"/>
          <w:sz w:val="24"/>
          <w:szCs w:val="24"/>
          <w:lang w:eastAsia="zh-CN"/>
        </w:rPr>
        <w:t>miliarde</w:t>
      </w:r>
      <w:r w:rsidRPr="003164CE">
        <w:rPr>
          <w:rFonts w:ascii="Tahoma" w:eastAsia="Times New Roman" w:hAnsi="Tahoma" w:cs="Tahoma"/>
          <w:sz w:val="24"/>
          <w:szCs w:val="24"/>
          <w:lang w:eastAsia="zh-CN"/>
        </w:rPr>
        <w:t xml:space="preserve"> EUR.</w:t>
      </w:r>
    </w:p>
    <w:p w:rsidR="00AE178B" w:rsidRPr="003164CE" w:rsidRDefault="00AE178B" w:rsidP="00AE178B">
      <w:pPr>
        <w:widowControl w:val="0"/>
        <w:spacing w:after="120" w:line="276" w:lineRule="auto"/>
        <w:ind w:left="1418" w:hanging="1134"/>
        <w:rPr>
          <w:rFonts w:ascii="Tahoma" w:hAnsi="Tahoma" w:cs="Tahoma"/>
          <w:b/>
          <w:bCs/>
          <w:sz w:val="24"/>
          <w:szCs w:val="24"/>
        </w:rPr>
      </w:pPr>
      <w:r w:rsidRPr="003164CE">
        <w:rPr>
          <w:rFonts w:ascii="Tahoma" w:hAnsi="Tahoma" w:cs="Tahoma"/>
          <w:b/>
          <w:bCs/>
          <w:sz w:val="24"/>
          <w:szCs w:val="24"/>
        </w:rPr>
        <w:t>VI.3 Garanții de stat</w:t>
      </w:r>
    </w:p>
    <w:p w:rsidR="00AE178B" w:rsidRPr="003164CE" w:rsidRDefault="00AE178B" w:rsidP="00DE054B">
      <w:pPr>
        <w:suppressAutoHyphens/>
        <w:spacing w:after="240" w:line="276" w:lineRule="auto"/>
        <w:ind w:firstLine="0"/>
        <w:rPr>
          <w:rFonts w:ascii="Tahoma" w:eastAsia="Times New Roman" w:hAnsi="Tahoma" w:cs="Tahoma"/>
          <w:bCs/>
          <w:sz w:val="24"/>
          <w:szCs w:val="24"/>
        </w:rPr>
      </w:pPr>
      <w:r w:rsidRPr="003164CE">
        <w:rPr>
          <w:rFonts w:ascii="Tahoma" w:eastAsia="Times New Roman" w:hAnsi="Tahoma" w:cs="Tahoma"/>
          <w:b/>
          <w:bCs/>
          <w:sz w:val="24"/>
          <w:szCs w:val="24"/>
        </w:rPr>
        <w:t>Garanțiile de stat acordate în cadrul programelor guvernamentale</w:t>
      </w:r>
      <w:r w:rsidRPr="003164CE">
        <w:rPr>
          <w:rFonts w:ascii="Tahoma" w:eastAsia="Times New Roman" w:hAnsi="Tahoma" w:cs="Tahoma"/>
          <w:b/>
          <w:bCs/>
          <w:color w:val="FF0000"/>
          <w:sz w:val="24"/>
          <w:szCs w:val="24"/>
        </w:rPr>
        <w:t xml:space="preserve"> </w:t>
      </w:r>
      <w:r w:rsidRPr="003164CE">
        <w:rPr>
          <w:rFonts w:ascii="Tahoma" w:eastAsia="Times New Roman" w:hAnsi="Tahoma" w:cs="Tahoma"/>
          <w:bCs/>
          <w:sz w:val="24"/>
          <w:szCs w:val="24"/>
        </w:rPr>
        <w:t xml:space="preserve"> Noua casă (OUG 60/2009), a fost în sumă de cca 0,007 </w:t>
      </w:r>
      <w:r w:rsidR="006137AE" w:rsidRPr="003164CE">
        <w:rPr>
          <w:rFonts w:ascii="Tahoma" w:eastAsia="Times New Roman" w:hAnsi="Tahoma" w:cs="Tahoma"/>
          <w:bCs/>
          <w:sz w:val="24"/>
          <w:szCs w:val="24"/>
        </w:rPr>
        <w:t>miliarde</w:t>
      </w:r>
      <w:r w:rsidRPr="003164CE">
        <w:rPr>
          <w:rFonts w:ascii="Tahoma" w:eastAsia="Times New Roman" w:hAnsi="Tahoma" w:cs="Tahoma"/>
          <w:bCs/>
          <w:sz w:val="24"/>
          <w:szCs w:val="24"/>
        </w:rPr>
        <w:t xml:space="preserve"> lei, în limita plafonului de 20 </w:t>
      </w:r>
      <w:r w:rsidR="006137AE" w:rsidRPr="003164CE">
        <w:rPr>
          <w:rFonts w:ascii="Tahoma" w:eastAsia="Times New Roman" w:hAnsi="Tahoma" w:cs="Tahoma"/>
          <w:bCs/>
          <w:sz w:val="24"/>
          <w:szCs w:val="24"/>
        </w:rPr>
        <w:t>miliarde</w:t>
      </w:r>
      <w:r w:rsidRPr="003164CE">
        <w:rPr>
          <w:rFonts w:ascii="Tahoma" w:eastAsia="Times New Roman" w:hAnsi="Tahoma" w:cs="Tahoma"/>
          <w:bCs/>
          <w:sz w:val="24"/>
          <w:szCs w:val="24"/>
        </w:rPr>
        <w:t xml:space="preserve"> lei stabilit prin Legea nr.8/2025 pentru aprobarea plafoanelor unor indicatori specificați în cadrul fiscal-bugetar pe anul 2025. </w:t>
      </w:r>
    </w:p>
    <w:p w:rsidR="00AE178B" w:rsidRPr="003164CE" w:rsidRDefault="00AE178B" w:rsidP="00AE178B">
      <w:pPr>
        <w:widowControl w:val="0"/>
        <w:spacing w:after="120" w:line="276" w:lineRule="auto"/>
        <w:ind w:left="1418" w:hanging="1134"/>
        <w:rPr>
          <w:rFonts w:ascii="Tahoma" w:hAnsi="Tahoma" w:cs="Tahoma"/>
          <w:b/>
          <w:bCs/>
          <w:sz w:val="24"/>
          <w:szCs w:val="24"/>
        </w:rPr>
      </w:pPr>
      <w:r w:rsidRPr="003164CE">
        <w:rPr>
          <w:rFonts w:ascii="Tahoma" w:hAnsi="Tahoma" w:cs="Tahoma"/>
          <w:b/>
          <w:bCs/>
          <w:sz w:val="24"/>
          <w:szCs w:val="24"/>
        </w:rPr>
        <w:t>VI.4 Datoria publică locală</w:t>
      </w:r>
    </w:p>
    <w:p w:rsidR="00AE178B" w:rsidRPr="003164CE" w:rsidRDefault="00AE178B" w:rsidP="00AE178B">
      <w:pPr>
        <w:suppressAutoHyphens/>
        <w:spacing w:line="276" w:lineRule="auto"/>
        <w:ind w:firstLine="0"/>
        <w:rPr>
          <w:rFonts w:ascii="Tahoma" w:eastAsia="Times New Roman" w:hAnsi="Tahoma" w:cs="Tahoma"/>
          <w:bCs/>
          <w:sz w:val="24"/>
          <w:szCs w:val="24"/>
        </w:rPr>
      </w:pPr>
      <w:r w:rsidRPr="003164CE">
        <w:rPr>
          <w:rFonts w:ascii="Tahoma" w:eastAsia="Times New Roman" w:hAnsi="Tahoma" w:cs="Tahoma"/>
          <w:bCs/>
          <w:sz w:val="24"/>
          <w:szCs w:val="24"/>
        </w:rPr>
        <w:t xml:space="preserve">În semestrul I al anului 2025, tragerile autorizate din finanțările rambursabile contractate sau care urmau să fie contractate de către unitățile/subdiviziunile administrativ-teritoriale au fost în sumă de 2.000 </w:t>
      </w:r>
      <w:r w:rsidR="006239A6" w:rsidRPr="003164CE">
        <w:rPr>
          <w:rFonts w:ascii="Tahoma" w:eastAsia="Times New Roman" w:hAnsi="Tahoma" w:cs="Tahoma"/>
          <w:bCs/>
          <w:sz w:val="24"/>
          <w:szCs w:val="24"/>
        </w:rPr>
        <w:t>milioane</w:t>
      </w:r>
      <w:r w:rsidRPr="003164CE">
        <w:rPr>
          <w:rFonts w:ascii="Tahoma" w:eastAsia="Times New Roman" w:hAnsi="Tahoma" w:cs="Tahoma"/>
          <w:bCs/>
          <w:sz w:val="24"/>
          <w:szCs w:val="24"/>
        </w:rPr>
        <w:t xml:space="preserve"> lei, iar finanțările rambursabile autorizate pentru a fi contractate de unitățile/subdiviziunile administrativ-teritoriale pentru realizarea de investiții publice de interes local au fost în valoare de cca. 1.740,74</w:t>
      </w:r>
      <w:r w:rsidRPr="003164CE">
        <w:rPr>
          <w:rFonts w:ascii="Tahoma" w:hAnsi="Tahoma" w:cs="Tahoma"/>
          <w:color w:val="000000"/>
          <w:sz w:val="24"/>
          <w:szCs w:val="24"/>
        </w:rPr>
        <w:t xml:space="preserve"> </w:t>
      </w:r>
      <w:r w:rsidR="006239A6" w:rsidRPr="003164CE">
        <w:rPr>
          <w:rFonts w:ascii="Tahoma" w:eastAsia="Times New Roman" w:hAnsi="Tahoma" w:cs="Tahoma"/>
          <w:bCs/>
          <w:sz w:val="24"/>
          <w:szCs w:val="24"/>
        </w:rPr>
        <w:t>milioane</w:t>
      </w:r>
      <w:r w:rsidRPr="003164CE">
        <w:rPr>
          <w:rFonts w:ascii="Tahoma" w:eastAsia="Times New Roman" w:hAnsi="Tahoma" w:cs="Tahoma"/>
          <w:bCs/>
          <w:sz w:val="24"/>
          <w:szCs w:val="24"/>
        </w:rPr>
        <w:t xml:space="preserve"> lei, în limita plafoanelor anuale aprobate conform</w:t>
      </w:r>
      <w:r w:rsidRPr="003164CE">
        <w:rPr>
          <w:rFonts w:ascii="Tahoma" w:hAnsi="Tahoma" w:cs="Tahoma"/>
          <w:sz w:val="24"/>
          <w:szCs w:val="24"/>
          <w:lang w:eastAsia="ro-RO"/>
        </w:rPr>
        <w:t xml:space="preserve"> </w:t>
      </w:r>
      <w:r w:rsidRPr="003164CE">
        <w:rPr>
          <w:rFonts w:ascii="Tahoma" w:hAnsi="Tahoma" w:cs="Tahoma"/>
          <w:color w:val="000000"/>
          <w:sz w:val="24"/>
          <w:szCs w:val="24"/>
        </w:rPr>
        <w:t>Legii nr. 8/2025 pentru aprobarea plafoanelor unor indicatori specificați în cadrul fiscal-bugetar pe anul 2025.</w:t>
      </w:r>
    </w:p>
    <w:p w:rsidR="00AE178B" w:rsidRPr="003164CE" w:rsidRDefault="00AE178B" w:rsidP="00AE178B">
      <w:pPr>
        <w:autoSpaceDE w:val="0"/>
        <w:autoSpaceDN w:val="0"/>
        <w:adjustRightInd w:val="0"/>
        <w:spacing w:line="276" w:lineRule="auto"/>
        <w:ind w:firstLine="0"/>
        <w:rPr>
          <w:rFonts w:ascii="Tahoma" w:eastAsia="Times New Roman" w:hAnsi="Tahoma" w:cs="Tahoma"/>
          <w:bCs/>
          <w:sz w:val="24"/>
          <w:szCs w:val="24"/>
        </w:rPr>
      </w:pPr>
      <w:r w:rsidRPr="003164CE">
        <w:rPr>
          <w:rFonts w:ascii="Tahoma" w:eastAsia="Times New Roman" w:hAnsi="Tahoma" w:cs="Tahoma"/>
          <w:bCs/>
          <w:sz w:val="24"/>
          <w:szCs w:val="24"/>
        </w:rPr>
        <w:t xml:space="preserve">De asemenea, au fost autorizate finanțări rambursabile, în sumă totală de cca. </w:t>
      </w:r>
      <w:r w:rsidRPr="003164CE">
        <w:rPr>
          <w:rFonts w:ascii="Tahoma" w:hAnsi="Tahoma" w:cs="Tahoma"/>
          <w:sz w:val="24"/>
          <w:szCs w:val="24"/>
        </w:rPr>
        <w:t>852,09</w:t>
      </w:r>
      <w:r w:rsidRPr="003164CE">
        <w:rPr>
          <w:rFonts w:ascii="Tahoma" w:hAnsi="Tahoma" w:cs="Tahoma"/>
          <w:color w:val="000000"/>
          <w:sz w:val="24"/>
          <w:szCs w:val="24"/>
        </w:rPr>
        <w:t xml:space="preserve"> </w:t>
      </w:r>
      <w:r w:rsidR="006239A6" w:rsidRPr="003164CE">
        <w:rPr>
          <w:rFonts w:ascii="Tahoma" w:eastAsia="Times New Roman" w:hAnsi="Tahoma" w:cs="Tahoma"/>
          <w:bCs/>
          <w:sz w:val="24"/>
          <w:szCs w:val="24"/>
        </w:rPr>
        <w:t>milioane</w:t>
      </w:r>
      <w:r w:rsidRPr="003164CE">
        <w:rPr>
          <w:rFonts w:ascii="Tahoma" w:eastAsia="Times New Roman" w:hAnsi="Tahoma" w:cs="Tahoma"/>
          <w:bCs/>
          <w:sz w:val="24"/>
          <w:szCs w:val="24"/>
        </w:rPr>
        <w:t xml:space="preserve"> lei, pentru a fi contractate de unitățile/subdiviziunile administrativ-teritoriale în vederea </w:t>
      </w:r>
      <w:proofErr w:type="spellStart"/>
      <w:r w:rsidRPr="003164CE">
        <w:rPr>
          <w:rFonts w:ascii="Tahoma" w:eastAsia="Times New Roman" w:hAnsi="Tahoma" w:cs="Tahoma"/>
          <w:bCs/>
          <w:sz w:val="24"/>
          <w:szCs w:val="24"/>
        </w:rPr>
        <w:t>prefinanțării</w:t>
      </w:r>
      <w:proofErr w:type="spellEnd"/>
      <w:r w:rsidRPr="003164CE">
        <w:rPr>
          <w:rFonts w:ascii="Tahoma" w:eastAsia="Times New Roman" w:hAnsi="Tahoma" w:cs="Tahoma"/>
          <w:bCs/>
          <w:sz w:val="24"/>
          <w:szCs w:val="24"/>
        </w:rPr>
        <w:t xml:space="preserve"> și/sau cofinanțării de proiecte care beneficiază de fonduri externe nerambursabile de la Uniunea Europeană, iar în baza art. 1 din Ordonanța de urgență a Guvernului nr. </w:t>
      </w:r>
      <w:r w:rsidRPr="003164CE">
        <w:rPr>
          <w:rFonts w:ascii="Tahoma" w:hAnsi="Tahoma" w:cs="Tahoma"/>
          <w:sz w:val="24"/>
          <w:szCs w:val="24"/>
        </w:rPr>
        <w:t xml:space="preserve">25/2025 pentru asigurarea unor împrumuturi din Trezoreria Statului, </w:t>
      </w:r>
      <w:r w:rsidRPr="003164CE">
        <w:rPr>
          <w:rFonts w:ascii="Tahoma" w:eastAsia="MS Mincho" w:hAnsi="Tahoma" w:cs="Tahoma"/>
          <w:noProof/>
          <w:sz w:val="24"/>
          <w:szCs w:val="24"/>
          <w:lang w:eastAsia="ro-RO"/>
        </w:rPr>
        <w:t>au fost autorizate împrumuturi în sumă totală de cca. 293,42</w:t>
      </w:r>
      <w:r w:rsidRPr="003164CE">
        <w:rPr>
          <w:rFonts w:ascii="Tahoma" w:hAnsi="Tahoma" w:cs="Tahoma"/>
          <w:sz w:val="24"/>
          <w:szCs w:val="24"/>
        </w:rPr>
        <w:t xml:space="preserve"> </w:t>
      </w:r>
      <w:r w:rsidR="006239A6" w:rsidRPr="003164CE">
        <w:rPr>
          <w:rFonts w:ascii="Tahoma" w:eastAsia="MS Mincho" w:hAnsi="Tahoma" w:cs="Tahoma"/>
          <w:noProof/>
          <w:sz w:val="24"/>
          <w:szCs w:val="24"/>
          <w:lang w:eastAsia="ro-RO"/>
        </w:rPr>
        <w:t>milioane</w:t>
      </w:r>
      <w:r w:rsidRPr="003164CE">
        <w:rPr>
          <w:rFonts w:ascii="Tahoma" w:eastAsia="MS Mincho" w:hAnsi="Tahoma" w:cs="Tahoma"/>
          <w:noProof/>
          <w:sz w:val="24"/>
          <w:szCs w:val="24"/>
          <w:lang w:eastAsia="ro-RO"/>
        </w:rPr>
        <w:t xml:space="preserve"> lei destinate cofinanțării proiectelor finanțate din fonduri externe nerambursabile de la Uniunea Europeană și de la donatori europeni în cadrul programelor interguvernamentale, inclusiv pentru cheltuielile neeligibile asociate proiectelor. </w:t>
      </w:r>
    </w:p>
    <w:p w:rsidR="00C60107" w:rsidRPr="003164CE" w:rsidRDefault="00C60107" w:rsidP="002A6579">
      <w:pPr>
        <w:pStyle w:val="Heading1"/>
        <w:pageBreakBefore/>
        <w:spacing w:after="240" w:line="276" w:lineRule="auto"/>
        <w:ind w:hanging="360"/>
        <w:rPr>
          <w:rFonts w:ascii="Tahoma" w:eastAsia="MS Mincho" w:hAnsi="Tahoma" w:cs="Tahoma"/>
          <w:b/>
          <w:noProof/>
          <w:sz w:val="24"/>
          <w:szCs w:val="24"/>
          <w:lang w:eastAsia="ja-JP"/>
        </w:rPr>
      </w:pPr>
      <w:r w:rsidRPr="003164CE">
        <w:rPr>
          <w:rFonts w:ascii="Tahoma" w:eastAsia="MS Mincho" w:hAnsi="Tahoma" w:cs="Tahoma"/>
          <w:b/>
          <w:noProof/>
          <w:sz w:val="24"/>
          <w:szCs w:val="24"/>
          <w:lang w:eastAsia="ja-JP"/>
        </w:rPr>
        <w:lastRenderedPageBreak/>
        <w:tab/>
      </w:r>
      <w:bookmarkStart w:id="23" w:name="_Toc204685899"/>
      <w:r w:rsidR="007D49B8" w:rsidRPr="003164CE">
        <w:rPr>
          <w:rFonts w:ascii="Tahoma" w:eastAsia="MS Mincho" w:hAnsi="Tahoma" w:cs="Tahoma"/>
          <w:b/>
          <w:noProof/>
          <w:color w:val="auto"/>
          <w:sz w:val="24"/>
          <w:szCs w:val="24"/>
          <w:lang w:eastAsia="ja-JP"/>
        </w:rPr>
        <w:t xml:space="preserve">V. </w:t>
      </w:r>
      <w:r w:rsidRPr="003164CE">
        <w:rPr>
          <w:rFonts w:ascii="Tahoma" w:eastAsia="MS Mincho" w:hAnsi="Tahoma" w:cs="Tahoma"/>
          <w:b/>
          <w:noProof/>
          <w:color w:val="auto"/>
          <w:sz w:val="24"/>
          <w:szCs w:val="24"/>
          <w:lang w:eastAsia="ja-JP"/>
        </w:rPr>
        <w:t>Absorbția fondurilor externe nerambursabile</w:t>
      </w:r>
      <w:bookmarkEnd w:id="23"/>
    </w:p>
    <w:p w:rsidR="00A60FB7" w:rsidRPr="003164CE" w:rsidRDefault="00A60FB7" w:rsidP="006137AE">
      <w:pPr>
        <w:spacing w:after="120" w:line="276" w:lineRule="auto"/>
        <w:ind w:firstLine="0"/>
        <w:rPr>
          <w:rFonts w:ascii="Tahoma" w:eastAsia="Calibri" w:hAnsi="Tahoma" w:cs="Tahoma"/>
          <w:sz w:val="24"/>
          <w:szCs w:val="24"/>
        </w:rPr>
      </w:pPr>
      <w:bookmarkStart w:id="24" w:name="_Toc425320862"/>
      <w:bookmarkStart w:id="25" w:name="_Toc456256938"/>
      <w:bookmarkStart w:id="26" w:name="_Toc456257462"/>
      <w:bookmarkStart w:id="27" w:name="_Toc456258320"/>
      <w:bookmarkStart w:id="28" w:name="_Toc456258425"/>
      <w:r w:rsidRPr="003164CE">
        <w:rPr>
          <w:rFonts w:ascii="Tahoma" w:eastAsia="Calibri" w:hAnsi="Tahoma" w:cs="Tahoma"/>
          <w:sz w:val="24"/>
          <w:szCs w:val="24"/>
        </w:rPr>
        <w:t xml:space="preserve">Pentru perioada de programare 2021-2027, România are o alocare totală, de cca. 80 miliarde euro, din fonduri UE, împărțită astfel: </w:t>
      </w:r>
      <w:r w:rsidRPr="003164CE">
        <w:rPr>
          <w:rFonts w:ascii="Tahoma" w:eastAsia="Calibri" w:hAnsi="Tahoma" w:cs="Tahoma"/>
          <w:b/>
          <w:sz w:val="24"/>
          <w:szCs w:val="24"/>
        </w:rPr>
        <w:t>pentru CFM 2021-2027</w:t>
      </w:r>
      <w:r w:rsidRPr="003164CE">
        <w:rPr>
          <w:rFonts w:ascii="Tahoma" w:eastAsia="Calibri" w:hAnsi="Tahoma" w:cs="Tahoma"/>
          <w:b/>
          <w:sz w:val="24"/>
          <w:szCs w:val="24"/>
          <w:vertAlign w:val="superscript"/>
        </w:rPr>
        <w:footnoteReference w:id="16"/>
      </w:r>
      <w:r w:rsidRPr="003164CE">
        <w:rPr>
          <w:rFonts w:ascii="Tahoma" w:eastAsia="Calibri" w:hAnsi="Tahoma" w:cs="Tahoma"/>
          <w:b/>
          <w:sz w:val="24"/>
          <w:szCs w:val="24"/>
        </w:rPr>
        <w:t xml:space="preserve">: </w:t>
      </w:r>
      <w:r w:rsidRPr="003164CE">
        <w:rPr>
          <w:rFonts w:ascii="Tahoma" w:eastAsia="Calibri" w:hAnsi="Tahoma" w:cs="Tahoma"/>
          <w:sz w:val="24"/>
          <w:szCs w:val="24"/>
        </w:rPr>
        <w:t xml:space="preserve">51,28 miliarde euro (din care 30,31 miliarde euro, alocați pentru Politica de coeziune (PC) și 20,98 miliarde euro, alocați pentru Politica agricola comuna (PAC)) și </w:t>
      </w:r>
      <w:r w:rsidRPr="003164CE">
        <w:rPr>
          <w:rFonts w:ascii="Tahoma" w:eastAsia="Calibri" w:hAnsi="Tahoma" w:cs="Tahoma"/>
          <w:b/>
          <w:sz w:val="24"/>
          <w:szCs w:val="24"/>
        </w:rPr>
        <w:t>pentru</w:t>
      </w:r>
      <w:r w:rsidRPr="003164CE">
        <w:rPr>
          <w:rFonts w:ascii="Tahoma" w:eastAsia="Calibri" w:hAnsi="Tahoma" w:cs="Tahoma"/>
          <w:sz w:val="24"/>
          <w:szCs w:val="24"/>
        </w:rPr>
        <w:t xml:space="preserve"> </w:t>
      </w:r>
      <w:proofErr w:type="spellStart"/>
      <w:r w:rsidRPr="003164CE">
        <w:rPr>
          <w:rFonts w:ascii="Tahoma" w:eastAsia="Calibri" w:hAnsi="Tahoma" w:cs="Tahoma"/>
          <w:b/>
          <w:sz w:val="24"/>
          <w:szCs w:val="24"/>
        </w:rPr>
        <w:t>Next</w:t>
      </w:r>
      <w:proofErr w:type="spellEnd"/>
      <w:r w:rsidRPr="003164CE">
        <w:rPr>
          <w:rFonts w:ascii="Tahoma" w:eastAsia="Calibri" w:hAnsi="Tahoma" w:cs="Tahoma"/>
          <w:b/>
          <w:sz w:val="24"/>
          <w:szCs w:val="24"/>
        </w:rPr>
        <w:t xml:space="preserve"> </w:t>
      </w:r>
      <w:proofErr w:type="spellStart"/>
      <w:r w:rsidRPr="003164CE">
        <w:rPr>
          <w:rFonts w:ascii="Tahoma" w:eastAsia="Calibri" w:hAnsi="Tahoma" w:cs="Tahoma"/>
          <w:b/>
          <w:sz w:val="24"/>
          <w:szCs w:val="24"/>
        </w:rPr>
        <w:t>Generation</w:t>
      </w:r>
      <w:proofErr w:type="spellEnd"/>
      <w:r w:rsidRPr="003164CE">
        <w:rPr>
          <w:rFonts w:ascii="Tahoma" w:eastAsia="Calibri" w:hAnsi="Tahoma" w:cs="Tahoma"/>
          <w:b/>
          <w:sz w:val="24"/>
          <w:szCs w:val="24"/>
        </w:rPr>
        <w:t xml:space="preserve"> EU/NGUE</w:t>
      </w:r>
      <w:r w:rsidRPr="003164CE">
        <w:rPr>
          <w:rFonts w:ascii="Tahoma" w:eastAsia="Calibri" w:hAnsi="Tahoma" w:cs="Tahoma"/>
          <w:sz w:val="24"/>
          <w:szCs w:val="24"/>
        </w:rPr>
        <w:t xml:space="preserve"> (instrumentul de redresare economică) – 28.5 miliarde euro (din care asistență financiară nerambursabilă în valoare de 13.6 miliarde euro, alocați pentru Mecanismul de Recuperare și Reziliență (MRR) și 14,9 miliarde euro din componenta împrumut aferentă MRR. </w:t>
      </w:r>
    </w:p>
    <w:p w:rsidR="00A60FB7" w:rsidRPr="003164CE" w:rsidRDefault="00A60FB7" w:rsidP="006137AE">
      <w:pPr>
        <w:spacing w:after="120" w:line="276" w:lineRule="auto"/>
        <w:ind w:firstLine="0"/>
        <w:rPr>
          <w:rFonts w:ascii="Tahoma" w:eastAsia="Calibri" w:hAnsi="Tahoma" w:cs="Tahoma"/>
          <w:sz w:val="24"/>
          <w:szCs w:val="24"/>
        </w:rPr>
      </w:pPr>
      <w:r w:rsidRPr="003164CE">
        <w:rPr>
          <w:rFonts w:ascii="Tahoma" w:eastAsia="Calibri" w:hAnsi="Tahoma" w:cs="Tahoma"/>
          <w:sz w:val="24"/>
          <w:szCs w:val="24"/>
        </w:rPr>
        <w:t>În cadrul MRR România a primit de la Uniunea Europeană următoarele sume:</w:t>
      </w:r>
    </w:p>
    <w:p w:rsidR="00A60FB7" w:rsidRPr="003164CE" w:rsidRDefault="00A60FB7" w:rsidP="006137AE">
      <w:pPr>
        <w:numPr>
          <w:ilvl w:val="0"/>
          <w:numId w:val="3"/>
        </w:numPr>
        <w:spacing w:after="120" w:line="276" w:lineRule="auto"/>
        <w:rPr>
          <w:rFonts w:ascii="Tahoma" w:eastAsia="Calibri" w:hAnsi="Tahoma" w:cs="Tahoma"/>
          <w:sz w:val="24"/>
          <w:szCs w:val="24"/>
        </w:rPr>
      </w:pPr>
      <w:r w:rsidRPr="003164CE">
        <w:rPr>
          <w:rFonts w:ascii="Tahoma" w:eastAsia="Calibri" w:hAnsi="Tahoma" w:cs="Tahoma"/>
          <w:sz w:val="24"/>
          <w:szCs w:val="24"/>
        </w:rPr>
        <w:t xml:space="preserve">6,4 miliarde euro din componenta de granturi, din care </w:t>
      </w:r>
      <w:proofErr w:type="spellStart"/>
      <w:r w:rsidRPr="003164CE">
        <w:rPr>
          <w:rFonts w:ascii="Tahoma" w:eastAsia="Calibri" w:hAnsi="Tahoma" w:cs="Tahoma"/>
          <w:sz w:val="24"/>
          <w:szCs w:val="24"/>
        </w:rPr>
        <w:t>prefinanțare</w:t>
      </w:r>
      <w:proofErr w:type="spellEnd"/>
      <w:r w:rsidRPr="003164CE">
        <w:rPr>
          <w:rFonts w:ascii="Tahoma" w:eastAsia="Calibri" w:hAnsi="Tahoma" w:cs="Tahoma"/>
          <w:sz w:val="24"/>
          <w:szCs w:val="24"/>
        </w:rPr>
        <w:t xml:space="preserve"> în valoare de 2,14 miliarde euro și rambursări de 4,26 miliarde euro, precum și </w:t>
      </w:r>
    </w:p>
    <w:p w:rsidR="00A60FB7" w:rsidRPr="003164CE" w:rsidRDefault="00A60FB7" w:rsidP="006137AE">
      <w:pPr>
        <w:numPr>
          <w:ilvl w:val="0"/>
          <w:numId w:val="3"/>
        </w:numPr>
        <w:spacing w:after="120" w:line="276" w:lineRule="auto"/>
        <w:rPr>
          <w:rFonts w:ascii="Tahoma" w:eastAsia="Calibri" w:hAnsi="Tahoma" w:cs="Tahoma"/>
          <w:sz w:val="24"/>
          <w:szCs w:val="24"/>
        </w:rPr>
      </w:pPr>
      <w:r w:rsidRPr="003164CE">
        <w:rPr>
          <w:rFonts w:ascii="Tahoma" w:eastAsia="Calibri" w:hAnsi="Tahoma" w:cs="Tahoma"/>
          <w:sz w:val="24"/>
          <w:szCs w:val="24"/>
        </w:rPr>
        <w:t xml:space="preserve">4,32 miliarde euro din componenta MRR de împrumut. </w:t>
      </w:r>
    </w:p>
    <w:p w:rsidR="00A60FB7" w:rsidRPr="003164CE" w:rsidRDefault="00A60FB7" w:rsidP="006137AE">
      <w:pPr>
        <w:spacing w:after="120" w:line="276" w:lineRule="auto"/>
        <w:ind w:firstLine="0"/>
        <w:rPr>
          <w:rFonts w:ascii="Tahoma" w:eastAsia="Calibri" w:hAnsi="Tahoma" w:cs="Tahoma"/>
          <w:sz w:val="24"/>
          <w:szCs w:val="24"/>
        </w:rPr>
      </w:pPr>
      <w:r w:rsidRPr="003164CE">
        <w:rPr>
          <w:rFonts w:ascii="Tahoma" w:eastAsia="Calibri" w:hAnsi="Tahoma" w:cs="Tahoma"/>
          <w:sz w:val="24"/>
          <w:szCs w:val="24"/>
        </w:rPr>
        <w:t xml:space="preserve">În ceea ce privește </w:t>
      </w:r>
      <w:r w:rsidRPr="003164CE">
        <w:rPr>
          <w:rFonts w:ascii="Tahoma" w:eastAsia="Calibri" w:hAnsi="Tahoma" w:cs="Tahoma"/>
          <w:b/>
          <w:sz w:val="24"/>
          <w:szCs w:val="24"/>
        </w:rPr>
        <w:t>CFM 2021-2027</w:t>
      </w:r>
      <w:r w:rsidRPr="003164CE">
        <w:rPr>
          <w:rFonts w:ascii="Tahoma" w:eastAsia="Calibri" w:hAnsi="Tahoma" w:cs="Tahoma"/>
          <w:sz w:val="24"/>
          <w:szCs w:val="24"/>
        </w:rPr>
        <w:t xml:space="preserve">, în primul semestru al anului </w:t>
      </w:r>
      <w:r w:rsidRPr="003164CE">
        <w:rPr>
          <w:rFonts w:ascii="Tahoma" w:eastAsia="Calibri" w:hAnsi="Tahoma" w:cs="Tahoma"/>
          <w:b/>
          <w:sz w:val="24"/>
          <w:szCs w:val="24"/>
        </w:rPr>
        <w:t>2025</w:t>
      </w:r>
      <w:r w:rsidRPr="003164CE">
        <w:rPr>
          <w:rFonts w:ascii="Tahoma" w:eastAsia="Calibri" w:hAnsi="Tahoma" w:cs="Tahoma"/>
          <w:sz w:val="24"/>
          <w:szCs w:val="24"/>
        </w:rPr>
        <w:t xml:space="preserve"> România a primit de la bugetul UE suma de 4,87 miliarde euro, din care 0,64 miliarde euro reprezintă avansuri, iar 4,23 miliarde euro rambursări. Se observă o evoluție accelerată a absorbției de fonduri față de prima jumătate a anului 2024 când România a atras 2,63 miliarde euro. În această perioadă, cele mai bune rezultate în cadrul CFM 2021-2027 au fost înregistrate pe fondurile din Politica de Coeziune 2,47 miliarde Euro și Fondul European pentru Garantare Agricolă (FEGA) prin intermediul căruia s-au atras 1,73 miliarde euro.</w:t>
      </w:r>
    </w:p>
    <w:p w:rsidR="00A60FB7" w:rsidRPr="003164CE" w:rsidRDefault="00A60FB7" w:rsidP="00A60FB7">
      <w:pPr>
        <w:spacing w:after="160" w:line="276" w:lineRule="auto"/>
        <w:ind w:firstLine="0"/>
        <w:rPr>
          <w:rFonts w:ascii="Tahoma" w:eastAsia="Calibri" w:hAnsi="Tahoma" w:cs="Tahoma"/>
          <w:sz w:val="24"/>
          <w:szCs w:val="24"/>
        </w:rPr>
      </w:pPr>
      <w:r w:rsidRPr="003164CE">
        <w:rPr>
          <w:rFonts w:ascii="Tahoma" w:eastAsia="Calibri" w:hAnsi="Tahoma" w:cs="Tahoma"/>
          <w:sz w:val="24"/>
          <w:szCs w:val="24"/>
        </w:rPr>
        <w:t xml:space="preserve">În cadrul </w:t>
      </w:r>
      <w:r w:rsidRPr="003164CE">
        <w:rPr>
          <w:rFonts w:ascii="Tahoma" w:eastAsia="Calibri" w:hAnsi="Tahoma" w:cs="Tahoma"/>
          <w:b/>
          <w:sz w:val="24"/>
          <w:szCs w:val="24"/>
        </w:rPr>
        <w:t xml:space="preserve">CFM 2014-2020 </w:t>
      </w:r>
      <w:r w:rsidRPr="003164CE">
        <w:rPr>
          <w:rFonts w:ascii="Tahoma" w:eastAsia="Calibri" w:hAnsi="Tahoma" w:cs="Tahoma"/>
          <w:sz w:val="24"/>
          <w:szCs w:val="24"/>
        </w:rPr>
        <w:t>sumele în valoare de 0,26 miliarde euro primite de România de la bugetul UE în primul semestru al anului 2025 indică o încetinire a absorbției pe finalul perioadei de programare.</w:t>
      </w:r>
    </w:p>
    <w:p w:rsidR="006137AE" w:rsidRPr="003164CE" w:rsidRDefault="00A82A51" w:rsidP="00A60FB7">
      <w:pPr>
        <w:spacing w:after="160" w:line="276" w:lineRule="auto"/>
        <w:ind w:firstLine="0"/>
        <w:rPr>
          <w:rFonts w:ascii="Tahoma" w:eastAsia="Calibri" w:hAnsi="Tahoma" w:cs="Tahoma"/>
          <w:sz w:val="24"/>
          <w:szCs w:val="24"/>
        </w:rPr>
      </w:pPr>
      <w:r w:rsidRPr="003164CE">
        <w:rPr>
          <w:noProof/>
          <w:lang w:val="en-US"/>
        </w:rPr>
        <w:drawing>
          <wp:inline distT="0" distB="0" distL="0" distR="0" wp14:anchorId="5FDDD90A" wp14:editId="5CDC4001">
            <wp:extent cx="5760085" cy="2695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814" cy="2696852"/>
                    </a:xfrm>
                    <a:prstGeom prst="rect">
                      <a:avLst/>
                    </a:prstGeom>
                    <a:noFill/>
                    <a:ln>
                      <a:noFill/>
                    </a:ln>
                  </pic:spPr>
                </pic:pic>
              </a:graphicData>
            </a:graphic>
          </wp:inline>
        </w:drawing>
      </w:r>
    </w:p>
    <w:p w:rsidR="00BB313A" w:rsidRPr="003164CE" w:rsidRDefault="00A60FB7" w:rsidP="00BB313A">
      <w:pPr>
        <w:spacing w:after="160" w:line="276" w:lineRule="auto"/>
        <w:ind w:firstLine="0"/>
        <w:rPr>
          <w:rFonts w:ascii="Tahoma" w:eastAsia="Calibri" w:hAnsi="Tahoma" w:cs="Tahoma"/>
          <w:sz w:val="24"/>
          <w:szCs w:val="24"/>
        </w:rPr>
      </w:pPr>
      <w:r w:rsidRPr="003164CE" w:rsidDel="00F13C48">
        <w:rPr>
          <w:rFonts w:ascii="Tahoma" w:eastAsia="Calibri" w:hAnsi="Tahoma" w:cs="Tahoma"/>
          <w:sz w:val="24"/>
          <w:szCs w:val="24"/>
        </w:rPr>
        <w:lastRenderedPageBreak/>
        <w:t xml:space="preserve"> </w:t>
      </w:r>
      <w:r w:rsidR="00A82A51" w:rsidRPr="003164CE">
        <w:rPr>
          <w:noProof/>
          <w:lang w:val="en-US"/>
        </w:rPr>
        <w:drawing>
          <wp:inline distT="0" distB="0" distL="0" distR="0" wp14:anchorId="08904B5F" wp14:editId="22A8294C">
            <wp:extent cx="5760720" cy="2930893"/>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930893"/>
                    </a:xfrm>
                    <a:prstGeom prst="rect">
                      <a:avLst/>
                    </a:prstGeom>
                    <a:noFill/>
                    <a:ln>
                      <a:noFill/>
                    </a:ln>
                  </pic:spPr>
                </pic:pic>
              </a:graphicData>
            </a:graphic>
          </wp:inline>
        </w:drawing>
      </w:r>
    </w:p>
    <w:p w:rsidR="006137AE" w:rsidRPr="003164CE" w:rsidRDefault="00A82A51" w:rsidP="006137AE">
      <w:pPr>
        <w:spacing w:after="160" w:line="276" w:lineRule="auto"/>
        <w:ind w:firstLine="0"/>
        <w:rPr>
          <w:rFonts w:ascii="Tahoma" w:eastAsiaTheme="majorEastAsia" w:hAnsi="Tahoma" w:cs="Tahoma"/>
          <w:b/>
          <w:sz w:val="24"/>
          <w:szCs w:val="24"/>
        </w:rPr>
      </w:pPr>
      <w:r w:rsidRPr="003164CE">
        <w:rPr>
          <w:noProof/>
          <w:lang w:val="en-US"/>
        </w:rPr>
        <w:drawing>
          <wp:inline distT="0" distB="0" distL="0" distR="0" wp14:anchorId="2844FB6A" wp14:editId="796DCAD3">
            <wp:extent cx="5760720" cy="18754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75427"/>
                    </a:xfrm>
                    <a:prstGeom prst="rect">
                      <a:avLst/>
                    </a:prstGeom>
                    <a:noFill/>
                    <a:ln>
                      <a:noFill/>
                    </a:ln>
                  </pic:spPr>
                </pic:pic>
              </a:graphicData>
            </a:graphic>
          </wp:inline>
        </w:drawing>
      </w:r>
    </w:p>
    <w:p w:rsidR="005335C0" w:rsidRPr="003164CE" w:rsidRDefault="00A82A51" w:rsidP="006137AE">
      <w:pPr>
        <w:spacing w:after="160" w:line="276" w:lineRule="auto"/>
        <w:ind w:firstLine="0"/>
        <w:rPr>
          <w:rFonts w:ascii="Tahoma" w:eastAsiaTheme="majorEastAsia" w:hAnsi="Tahoma" w:cs="Tahoma"/>
          <w:b/>
          <w:sz w:val="24"/>
          <w:szCs w:val="24"/>
        </w:rPr>
      </w:pPr>
      <w:r w:rsidRPr="003164CE">
        <w:rPr>
          <w:noProof/>
          <w:lang w:val="en-US"/>
        </w:rPr>
        <w:drawing>
          <wp:inline distT="0" distB="0" distL="0" distR="0" wp14:anchorId="040AFF23" wp14:editId="34EA8635">
            <wp:extent cx="5760387" cy="298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6458" cy="2984467"/>
                    </a:xfrm>
                    <a:prstGeom prst="rect">
                      <a:avLst/>
                    </a:prstGeom>
                    <a:noFill/>
                    <a:ln>
                      <a:noFill/>
                    </a:ln>
                  </pic:spPr>
                </pic:pic>
              </a:graphicData>
            </a:graphic>
          </wp:inline>
        </w:drawing>
      </w:r>
    </w:p>
    <w:p w:rsidR="004927B4" w:rsidRPr="003164CE" w:rsidRDefault="004927B4" w:rsidP="004927B4">
      <w:pPr>
        <w:spacing w:after="0"/>
        <w:ind w:left="142" w:firstLine="0"/>
        <w:jc w:val="left"/>
        <w:rPr>
          <w:rFonts w:ascii="Arial" w:eastAsia="Arial Unicode MS" w:hAnsi="Arial" w:cs="Arial"/>
          <w:sz w:val="16"/>
          <w:szCs w:val="16"/>
        </w:rPr>
      </w:pPr>
      <w:r w:rsidRPr="003164CE">
        <w:rPr>
          <w:rFonts w:ascii="Arial" w:eastAsia="Arial Unicode MS" w:hAnsi="Arial" w:cs="Arial"/>
          <w:sz w:val="16"/>
          <w:szCs w:val="16"/>
        </w:rPr>
        <w:t xml:space="preserve">* Cifre rotunjite - Sumele provin din sinteza „Evoluția fluxurilor financiare dintre România și Uniunea Europeană” - BFN la 30.06.2025 și pot fi ușor diferite ca urmare a rotunjirilor. </w:t>
      </w:r>
    </w:p>
    <w:p w:rsidR="004927B4" w:rsidRPr="003164CE" w:rsidRDefault="004927B4" w:rsidP="004927B4">
      <w:pPr>
        <w:spacing w:after="0"/>
        <w:ind w:left="142" w:firstLine="0"/>
        <w:jc w:val="left"/>
        <w:rPr>
          <w:rFonts w:ascii="Arial" w:eastAsia="Arial Unicode MS" w:hAnsi="Arial" w:cs="Arial"/>
          <w:sz w:val="16"/>
          <w:szCs w:val="16"/>
        </w:rPr>
      </w:pPr>
      <w:r w:rsidRPr="003164CE">
        <w:rPr>
          <w:rFonts w:ascii="Arial" w:eastAsia="Arial Unicode MS" w:hAnsi="Arial" w:cs="Arial"/>
          <w:sz w:val="16"/>
          <w:szCs w:val="16"/>
        </w:rPr>
        <w:t>NOTĂ :  raportarea include si fonduri europene care nu fac parte din CFM, dar sunt aferente perioadei de programare respective.</w:t>
      </w:r>
      <w:r w:rsidRPr="003164CE">
        <w:rPr>
          <w:rFonts w:ascii="Arial" w:eastAsia="Arial Unicode MS" w:hAnsi="Arial" w:cs="Arial"/>
          <w:sz w:val="16"/>
          <w:szCs w:val="16"/>
        </w:rPr>
        <w:br w:type="page"/>
      </w:r>
    </w:p>
    <w:p w:rsidR="00C60107" w:rsidRPr="003164CE" w:rsidRDefault="00C60107" w:rsidP="00F371E3">
      <w:pPr>
        <w:pStyle w:val="Heading1"/>
        <w:spacing w:after="240" w:line="276" w:lineRule="auto"/>
        <w:ind w:left="374" w:firstLine="709"/>
        <w:rPr>
          <w:rFonts w:ascii="Tahoma" w:hAnsi="Tahoma" w:cs="Tahoma"/>
          <w:b/>
          <w:color w:val="auto"/>
          <w:sz w:val="24"/>
          <w:szCs w:val="24"/>
        </w:rPr>
      </w:pPr>
      <w:bookmarkStart w:id="29" w:name="_Toc204685900"/>
      <w:r w:rsidRPr="003164CE">
        <w:rPr>
          <w:rFonts w:ascii="Tahoma" w:hAnsi="Tahoma" w:cs="Tahoma"/>
          <w:b/>
          <w:color w:val="auto"/>
          <w:sz w:val="24"/>
          <w:szCs w:val="24"/>
        </w:rPr>
        <w:lastRenderedPageBreak/>
        <w:t>Concluzii</w:t>
      </w:r>
      <w:bookmarkEnd w:id="29"/>
    </w:p>
    <w:p w:rsidR="00F27A3E" w:rsidRPr="00F27A3E" w:rsidRDefault="00C60107" w:rsidP="00F371E3">
      <w:pPr>
        <w:pStyle w:val="ListParagraph"/>
        <w:numPr>
          <w:ilvl w:val="1"/>
          <w:numId w:val="2"/>
        </w:numPr>
        <w:spacing w:before="120" w:after="240" w:line="276" w:lineRule="auto"/>
        <w:ind w:left="641" w:hanging="357"/>
        <w:contextualSpacing w:val="0"/>
        <w:rPr>
          <w:rFonts w:ascii="Tahoma" w:eastAsia="Times New Roman" w:hAnsi="Tahoma" w:cs="Tahoma"/>
          <w:bCs/>
          <w:sz w:val="24"/>
          <w:szCs w:val="24"/>
          <w:lang w:val="en-US"/>
        </w:rPr>
      </w:pPr>
      <w:r w:rsidRPr="003164CE">
        <w:rPr>
          <w:rFonts w:ascii="Tahoma" w:eastAsia="Times New Roman" w:hAnsi="Tahoma" w:cs="Tahoma"/>
          <w:sz w:val="24"/>
          <w:szCs w:val="24"/>
        </w:rPr>
        <w:t>Soldul bugetului general consolidat la semestrul I 20</w:t>
      </w:r>
      <w:r w:rsidR="000D44BC" w:rsidRPr="003164CE">
        <w:rPr>
          <w:rFonts w:ascii="Tahoma" w:eastAsia="Times New Roman" w:hAnsi="Tahoma" w:cs="Tahoma"/>
          <w:sz w:val="24"/>
          <w:szCs w:val="24"/>
        </w:rPr>
        <w:t>2</w:t>
      </w:r>
      <w:r w:rsidR="0078200C" w:rsidRPr="003164CE">
        <w:rPr>
          <w:rFonts w:ascii="Tahoma" w:eastAsia="Times New Roman" w:hAnsi="Tahoma" w:cs="Tahoma"/>
          <w:sz w:val="24"/>
          <w:szCs w:val="24"/>
        </w:rPr>
        <w:t>5</w:t>
      </w:r>
      <w:r w:rsidR="00C80DC7" w:rsidRPr="003164CE">
        <w:rPr>
          <w:rFonts w:ascii="Tahoma" w:eastAsia="Times New Roman" w:hAnsi="Tahoma" w:cs="Tahoma"/>
          <w:sz w:val="24"/>
          <w:szCs w:val="24"/>
        </w:rPr>
        <w:t xml:space="preserve"> a fost de </w:t>
      </w:r>
      <w:r w:rsidR="0078200C" w:rsidRPr="003164CE">
        <w:rPr>
          <w:rFonts w:ascii="Tahoma" w:hAnsi="Tahoma" w:cs="Tahoma"/>
          <w:sz w:val="24"/>
          <w:szCs w:val="24"/>
        </w:rPr>
        <w:t>69,80</w:t>
      </w:r>
      <w:r w:rsidR="00C80DC7" w:rsidRPr="003164CE">
        <w:rPr>
          <w:rFonts w:ascii="Tahoma" w:hAnsi="Tahoma" w:cs="Tahoma"/>
          <w:sz w:val="24"/>
          <w:szCs w:val="24"/>
        </w:rPr>
        <w:t xml:space="preserve"> miliarde lei (3,6</w:t>
      </w:r>
      <w:r w:rsidR="0078200C" w:rsidRPr="003164CE">
        <w:rPr>
          <w:rFonts w:ascii="Tahoma" w:hAnsi="Tahoma" w:cs="Tahoma"/>
          <w:sz w:val="24"/>
          <w:szCs w:val="24"/>
        </w:rPr>
        <w:t>8</w:t>
      </w:r>
      <w:r w:rsidR="00C80DC7" w:rsidRPr="003164CE">
        <w:rPr>
          <w:rFonts w:ascii="Tahoma" w:hAnsi="Tahoma" w:cs="Tahoma"/>
          <w:sz w:val="24"/>
          <w:szCs w:val="24"/>
        </w:rPr>
        <w:t xml:space="preserve">% din PIB), reprezentând </w:t>
      </w:r>
      <w:r w:rsidR="0078200C" w:rsidRPr="003164CE">
        <w:rPr>
          <w:rFonts w:ascii="Tahoma" w:hAnsi="Tahoma" w:cs="Tahoma"/>
          <w:sz w:val="24"/>
          <w:szCs w:val="24"/>
        </w:rPr>
        <w:t>51,8</w:t>
      </w:r>
      <w:r w:rsidR="00140257" w:rsidRPr="003164CE">
        <w:rPr>
          <w:rFonts w:ascii="Tahoma" w:hAnsi="Tahoma" w:cs="Tahoma"/>
          <w:sz w:val="24"/>
          <w:szCs w:val="24"/>
        </w:rPr>
        <w:t>% din ținta de deficit stabilită pe anul 20</w:t>
      </w:r>
      <w:r w:rsidR="000A46A4" w:rsidRPr="003164CE">
        <w:rPr>
          <w:rFonts w:ascii="Tahoma" w:hAnsi="Tahoma" w:cs="Tahoma"/>
          <w:sz w:val="24"/>
          <w:szCs w:val="24"/>
        </w:rPr>
        <w:t>2</w:t>
      </w:r>
      <w:r w:rsidR="0078200C" w:rsidRPr="003164CE">
        <w:rPr>
          <w:rFonts w:ascii="Tahoma" w:hAnsi="Tahoma" w:cs="Tahoma"/>
          <w:sz w:val="24"/>
          <w:szCs w:val="24"/>
        </w:rPr>
        <w:t>5</w:t>
      </w:r>
      <w:r w:rsidR="00140257" w:rsidRPr="003164CE">
        <w:rPr>
          <w:rFonts w:ascii="Tahoma" w:hAnsi="Tahoma" w:cs="Tahoma"/>
          <w:sz w:val="24"/>
          <w:szCs w:val="24"/>
        </w:rPr>
        <w:t xml:space="preserve"> prin </w:t>
      </w:r>
      <w:r w:rsidR="00031C8B" w:rsidRPr="003164CE">
        <w:rPr>
          <w:rFonts w:ascii="Tahoma" w:eastAsia="Times New Roman" w:hAnsi="Tahoma" w:cs="Tahoma"/>
          <w:bCs/>
          <w:sz w:val="24"/>
          <w:szCs w:val="24"/>
        </w:rPr>
        <w:t xml:space="preserve">Legea nr. </w:t>
      </w:r>
      <w:r w:rsidR="0078200C" w:rsidRPr="003164CE">
        <w:rPr>
          <w:rFonts w:ascii="Tahoma" w:eastAsia="Times New Roman" w:hAnsi="Tahoma" w:cs="Tahoma"/>
          <w:bCs/>
          <w:sz w:val="24"/>
          <w:szCs w:val="24"/>
        </w:rPr>
        <w:t>8</w:t>
      </w:r>
      <w:r w:rsidR="00031C8B" w:rsidRPr="003164CE">
        <w:rPr>
          <w:rFonts w:ascii="Tahoma" w:eastAsia="Times New Roman" w:hAnsi="Tahoma" w:cs="Tahoma"/>
          <w:bCs/>
          <w:sz w:val="24"/>
          <w:szCs w:val="24"/>
        </w:rPr>
        <w:t>/202</w:t>
      </w:r>
      <w:r w:rsidR="0078200C" w:rsidRPr="003164CE">
        <w:rPr>
          <w:rFonts w:ascii="Tahoma" w:eastAsia="Times New Roman" w:hAnsi="Tahoma" w:cs="Tahoma"/>
          <w:bCs/>
          <w:sz w:val="24"/>
          <w:szCs w:val="24"/>
        </w:rPr>
        <w:t>5</w:t>
      </w:r>
      <w:r w:rsidR="00236CBD" w:rsidRPr="003164CE">
        <w:rPr>
          <w:rFonts w:ascii="Tahoma" w:eastAsia="Times New Roman" w:hAnsi="Tahoma" w:cs="Tahoma"/>
          <w:bCs/>
          <w:sz w:val="24"/>
          <w:szCs w:val="24"/>
        </w:rPr>
        <w:t>,</w:t>
      </w:r>
      <w:r w:rsidR="00031C8B" w:rsidRPr="003164CE">
        <w:rPr>
          <w:rFonts w:ascii="Tahoma" w:eastAsia="Times New Roman" w:hAnsi="Tahoma" w:cs="Tahoma"/>
          <w:bCs/>
          <w:sz w:val="24"/>
          <w:szCs w:val="24"/>
        </w:rPr>
        <w:t xml:space="preserve"> </w:t>
      </w:r>
      <w:r w:rsidR="0078200C" w:rsidRPr="003164CE">
        <w:rPr>
          <w:rFonts w:ascii="Tahoma" w:eastAsia="Times New Roman" w:hAnsi="Tahoma" w:cs="Tahoma"/>
          <w:bCs/>
          <w:sz w:val="24"/>
          <w:szCs w:val="24"/>
        </w:rPr>
        <w:t xml:space="preserve">pentru aprobarea plafoanelor unor indicatori </w:t>
      </w:r>
      <w:r w:rsidR="007F48A8" w:rsidRPr="003164CE">
        <w:rPr>
          <w:rFonts w:ascii="Tahoma" w:eastAsia="Times New Roman" w:hAnsi="Tahoma" w:cs="Tahoma"/>
          <w:bCs/>
          <w:sz w:val="24"/>
          <w:szCs w:val="24"/>
        </w:rPr>
        <w:t>specificați</w:t>
      </w:r>
      <w:r w:rsidR="0078200C" w:rsidRPr="003164CE">
        <w:rPr>
          <w:rFonts w:ascii="Tahoma" w:eastAsia="Times New Roman" w:hAnsi="Tahoma" w:cs="Tahoma"/>
          <w:bCs/>
          <w:sz w:val="24"/>
          <w:szCs w:val="24"/>
        </w:rPr>
        <w:t xml:space="preserve"> în cadrul fiscal-bugetar pe anul 2025,</w:t>
      </w:r>
      <w:r w:rsidR="00031C8B" w:rsidRPr="003164CE">
        <w:rPr>
          <w:rFonts w:ascii="Tahoma" w:eastAsia="Times New Roman" w:hAnsi="Tahoma" w:cs="Tahoma"/>
          <w:bCs/>
          <w:sz w:val="24"/>
          <w:szCs w:val="24"/>
        </w:rPr>
        <w:t xml:space="preserve"> ceea ce indică </w:t>
      </w:r>
      <w:r w:rsidR="0078200C" w:rsidRPr="003164CE">
        <w:rPr>
          <w:rFonts w:ascii="Tahoma" w:eastAsia="Times New Roman" w:hAnsi="Tahoma" w:cs="Tahoma"/>
          <w:bCs/>
          <w:sz w:val="24"/>
          <w:szCs w:val="24"/>
        </w:rPr>
        <w:t xml:space="preserve">necesitatea adoptării unor măsuri de temperare a evoluției </w:t>
      </w:r>
      <w:r w:rsidR="00896FE3" w:rsidRPr="003164CE">
        <w:rPr>
          <w:rFonts w:ascii="Tahoma" w:eastAsia="Times New Roman" w:hAnsi="Tahoma" w:cs="Tahoma"/>
          <w:bCs/>
          <w:sz w:val="24"/>
          <w:szCs w:val="24"/>
        </w:rPr>
        <w:t>deficitului bugetar</w:t>
      </w:r>
      <w:r w:rsidR="00EA4F12">
        <w:rPr>
          <w:rFonts w:ascii="Tahoma" w:eastAsia="Times New Roman" w:hAnsi="Tahoma" w:cs="Tahoma"/>
          <w:bCs/>
          <w:sz w:val="24"/>
          <w:szCs w:val="24"/>
        </w:rPr>
        <w:t xml:space="preserve">. </w:t>
      </w:r>
      <w:r w:rsidR="00F27A3E" w:rsidRPr="00F27A3E">
        <w:rPr>
          <w:rFonts w:ascii="Tahoma" w:eastAsia="Times New Roman" w:hAnsi="Tahoma" w:cs="Tahoma"/>
          <w:bCs/>
          <w:sz w:val="24"/>
          <w:szCs w:val="24"/>
        </w:rPr>
        <w:t>O parte din acestea au fost realizate prin Legea nr. 141/2025 privind unele măsuri fiscal-bugetare.</w:t>
      </w:r>
    </w:p>
    <w:p w:rsidR="00DB1C15" w:rsidRPr="00F635CC" w:rsidRDefault="00896FE3" w:rsidP="00F371E3">
      <w:pPr>
        <w:pStyle w:val="ListParagraph"/>
        <w:numPr>
          <w:ilvl w:val="1"/>
          <w:numId w:val="2"/>
        </w:numPr>
        <w:spacing w:before="120" w:after="240" w:line="276" w:lineRule="auto"/>
        <w:ind w:left="641" w:hanging="357"/>
        <w:contextualSpacing w:val="0"/>
        <w:rPr>
          <w:rFonts w:ascii="Tahoma" w:eastAsia="Times New Roman" w:hAnsi="Tahoma" w:cs="Tahoma"/>
          <w:sz w:val="24"/>
          <w:szCs w:val="24"/>
        </w:rPr>
      </w:pPr>
      <w:r w:rsidRPr="00F635CC">
        <w:rPr>
          <w:rFonts w:ascii="Tahoma" w:eastAsia="Times New Roman" w:hAnsi="Tahoma" w:cs="Tahoma"/>
          <w:sz w:val="24"/>
          <w:szCs w:val="24"/>
        </w:rPr>
        <w:t xml:space="preserve">Datoria guvernamentală conform metodologiei UE </w:t>
      </w:r>
      <w:r w:rsidR="00836318" w:rsidRPr="00F635CC">
        <w:rPr>
          <w:rFonts w:ascii="Tahoma" w:eastAsia="Times New Roman" w:hAnsi="Tahoma" w:cs="Tahoma"/>
          <w:sz w:val="24"/>
          <w:szCs w:val="24"/>
        </w:rPr>
        <w:t>s-a situat la data de 30 iunie 2025 la un nivel de 57,2% din PIB sub plafonul de 60% stabilit prin Tratatul de la Maastricht. Datoria internă a administrației publice a reprezentat 28,7% din PIB, iar datoria externă 28,5% din PIB.</w:t>
      </w:r>
    </w:p>
    <w:p w:rsidR="0015172C" w:rsidRPr="0015172C" w:rsidRDefault="00C60107" w:rsidP="00621DC6">
      <w:pPr>
        <w:pStyle w:val="ListParagraph"/>
        <w:widowControl w:val="0"/>
        <w:numPr>
          <w:ilvl w:val="1"/>
          <w:numId w:val="2"/>
        </w:numPr>
        <w:spacing w:before="120" w:after="240" w:line="276" w:lineRule="auto"/>
        <w:ind w:left="641" w:hanging="357"/>
        <w:contextualSpacing w:val="0"/>
        <w:rPr>
          <w:rFonts w:ascii="Tahoma" w:hAnsi="Tahoma" w:cs="Tahoma"/>
          <w:bCs/>
          <w:sz w:val="24"/>
          <w:szCs w:val="24"/>
          <w:lang w:val="en-US"/>
        </w:rPr>
      </w:pPr>
      <w:r w:rsidRPr="0015172C">
        <w:rPr>
          <w:rFonts w:ascii="Tahoma" w:hAnsi="Tahoma" w:cs="Tahoma"/>
          <w:sz w:val="24"/>
          <w:szCs w:val="24"/>
        </w:rPr>
        <w:t xml:space="preserve">Veniturile bugetului general consolidat au fost </w:t>
      </w:r>
      <w:r w:rsidR="002E13BC" w:rsidRPr="0015172C">
        <w:rPr>
          <w:rFonts w:ascii="Tahoma" w:hAnsi="Tahoma" w:cs="Tahoma"/>
          <w:sz w:val="24"/>
          <w:szCs w:val="24"/>
        </w:rPr>
        <w:t xml:space="preserve">superioare </w:t>
      </w:r>
      <w:r w:rsidRPr="0015172C">
        <w:rPr>
          <w:rFonts w:ascii="Tahoma" w:hAnsi="Tahoma" w:cs="Tahoma"/>
          <w:sz w:val="24"/>
          <w:szCs w:val="24"/>
        </w:rPr>
        <w:t>încasărilor din perioada similară a anului anterior, în termeni nominali</w:t>
      </w:r>
      <w:r w:rsidR="00B76831" w:rsidRPr="0015172C">
        <w:rPr>
          <w:rFonts w:ascii="Tahoma" w:hAnsi="Tahoma" w:cs="Tahoma"/>
          <w:sz w:val="24"/>
          <w:szCs w:val="24"/>
        </w:rPr>
        <w:t>,</w:t>
      </w:r>
      <w:r w:rsidR="00BA087F" w:rsidRPr="0015172C">
        <w:rPr>
          <w:rFonts w:ascii="Tahoma" w:hAnsi="Tahoma" w:cs="Tahoma"/>
          <w:sz w:val="24"/>
          <w:szCs w:val="24"/>
        </w:rPr>
        <w:t xml:space="preserve"> </w:t>
      </w:r>
      <w:r w:rsidR="003C7388" w:rsidRPr="0015172C">
        <w:rPr>
          <w:rFonts w:ascii="Tahoma" w:hAnsi="Tahoma" w:cs="Tahoma"/>
          <w:sz w:val="24"/>
          <w:szCs w:val="24"/>
        </w:rPr>
        <w:t xml:space="preserve">creșterea fiind de </w:t>
      </w:r>
      <w:r w:rsidR="00896FE3" w:rsidRPr="0015172C">
        <w:rPr>
          <w:rFonts w:ascii="Tahoma" w:hAnsi="Tahoma" w:cs="Tahoma"/>
          <w:sz w:val="24"/>
          <w:szCs w:val="24"/>
        </w:rPr>
        <w:t>12,7</w:t>
      </w:r>
      <w:r w:rsidR="003C7388" w:rsidRPr="0015172C">
        <w:rPr>
          <w:rFonts w:ascii="Tahoma" w:hAnsi="Tahoma" w:cs="Tahoma"/>
          <w:sz w:val="24"/>
          <w:szCs w:val="24"/>
        </w:rPr>
        <w:t>%</w:t>
      </w:r>
      <w:r w:rsidR="0068538D" w:rsidRPr="0015172C">
        <w:rPr>
          <w:rFonts w:ascii="Tahoma" w:hAnsi="Tahoma" w:cs="Tahoma"/>
          <w:sz w:val="24"/>
          <w:szCs w:val="24"/>
        </w:rPr>
        <w:t xml:space="preserve"> iar ca pondere în PIB au cresc</w:t>
      </w:r>
      <w:r w:rsidR="003C7388" w:rsidRPr="0015172C">
        <w:rPr>
          <w:rFonts w:ascii="Tahoma" w:hAnsi="Tahoma" w:cs="Tahoma"/>
          <w:sz w:val="24"/>
          <w:szCs w:val="24"/>
        </w:rPr>
        <w:t>ut cu 0,</w:t>
      </w:r>
      <w:r w:rsidR="00896FE3" w:rsidRPr="0015172C">
        <w:rPr>
          <w:rFonts w:ascii="Tahoma" w:hAnsi="Tahoma" w:cs="Tahoma"/>
          <w:sz w:val="24"/>
          <w:szCs w:val="24"/>
        </w:rPr>
        <w:t>7</w:t>
      </w:r>
      <w:r w:rsidR="003C7388" w:rsidRPr="0015172C">
        <w:rPr>
          <w:rFonts w:ascii="Tahoma" w:hAnsi="Tahoma" w:cs="Tahoma"/>
          <w:sz w:val="24"/>
          <w:szCs w:val="24"/>
        </w:rPr>
        <w:t xml:space="preserve"> puncte procentuale de la 15,</w:t>
      </w:r>
      <w:r w:rsidR="00896FE3" w:rsidRPr="0015172C">
        <w:rPr>
          <w:rFonts w:ascii="Tahoma" w:hAnsi="Tahoma" w:cs="Tahoma"/>
          <w:sz w:val="24"/>
          <w:szCs w:val="24"/>
        </w:rPr>
        <w:t>7</w:t>
      </w:r>
      <w:r w:rsidR="003C7388" w:rsidRPr="0015172C">
        <w:rPr>
          <w:rFonts w:ascii="Tahoma" w:hAnsi="Tahoma" w:cs="Tahoma"/>
          <w:sz w:val="24"/>
          <w:szCs w:val="24"/>
        </w:rPr>
        <w:t>% d</w:t>
      </w:r>
      <w:r w:rsidR="0068538D" w:rsidRPr="0015172C">
        <w:rPr>
          <w:rFonts w:ascii="Tahoma" w:hAnsi="Tahoma" w:cs="Tahoma"/>
          <w:sz w:val="24"/>
          <w:szCs w:val="24"/>
        </w:rPr>
        <w:t>in PI</w:t>
      </w:r>
      <w:r w:rsidR="003C7388" w:rsidRPr="0015172C">
        <w:rPr>
          <w:rFonts w:ascii="Tahoma" w:hAnsi="Tahoma" w:cs="Tahoma"/>
          <w:sz w:val="24"/>
          <w:szCs w:val="24"/>
        </w:rPr>
        <w:t>B în semestrul I 202</w:t>
      </w:r>
      <w:r w:rsidR="00896FE3" w:rsidRPr="0015172C">
        <w:rPr>
          <w:rFonts w:ascii="Tahoma" w:hAnsi="Tahoma" w:cs="Tahoma"/>
          <w:sz w:val="24"/>
          <w:szCs w:val="24"/>
        </w:rPr>
        <w:t>4</w:t>
      </w:r>
      <w:r w:rsidR="003C7388" w:rsidRPr="0015172C">
        <w:rPr>
          <w:rFonts w:ascii="Tahoma" w:hAnsi="Tahoma" w:cs="Tahoma"/>
          <w:sz w:val="24"/>
          <w:szCs w:val="24"/>
        </w:rPr>
        <w:t xml:space="preserve"> la </w:t>
      </w:r>
      <w:r w:rsidR="00896FE3" w:rsidRPr="0015172C">
        <w:rPr>
          <w:rFonts w:ascii="Tahoma" w:hAnsi="Tahoma" w:cs="Tahoma"/>
          <w:sz w:val="24"/>
          <w:szCs w:val="24"/>
        </w:rPr>
        <w:t>16,4</w:t>
      </w:r>
      <w:r w:rsidR="003C7388" w:rsidRPr="0015172C">
        <w:rPr>
          <w:rFonts w:ascii="Tahoma" w:hAnsi="Tahoma" w:cs="Tahoma"/>
          <w:sz w:val="24"/>
          <w:szCs w:val="24"/>
        </w:rPr>
        <w:t>% din PIB în perioada analizată.</w:t>
      </w:r>
      <w:r w:rsidR="00031C8B" w:rsidRPr="0015172C">
        <w:rPr>
          <w:rFonts w:ascii="Tahoma" w:hAnsi="Tahoma" w:cs="Tahoma"/>
          <w:sz w:val="24"/>
          <w:szCs w:val="24"/>
        </w:rPr>
        <w:t xml:space="preserve"> </w:t>
      </w:r>
      <w:r w:rsidR="004B067F" w:rsidRPr="0015172C">
        <w:rPr>
          <w:rFonts w:ascii="Tahoma" w:hAnsi="Tahoma" w:cs="Tahoma"/>
          <w:sz w:val="24"/>
          <w:szCs w:val="24"/>
        </w:rPr>
        <w:t>Veni</w:t>
      </w:r>
      <w:r w:rsidR="003C7388" w:rsidRPr="0015172C">
        <w:rPr>
          <w:rFonts w:ascii="Tahoma" w:hAnsi="Tahoma" w:cs="Tahoma"/>
          <w:sz w:val="24"/>
          <w:szCs w:val="24"/>
        </w:rPr>
        <w:t>turile bugetului general consolidat nu au atins nivelul programat pentru semestrul I 202</w:t>
      </w:r>
      <w:r w:rsidR="00896FE3" w:rsidRPr="0015172C">
        <w:rPr>
          <w:rFonts w:ascii="Tahoma" w:hAnsi="Tahoma" w:cs="Tahoma"/>
          <w:sz w:val="24"/>
          <w:szCs w:val="24"/>
        </w:rPr>
        <w:t>5</w:t>
      </w:r>
      <w:r w:rsidR="003C7388" w:rsidRPr="0015172C">
        <w:rPr>
          <w:rFonts w:ascii="Tahoma" w:hAnsi="Tahoma" w:cs="Tahoma"/>
          <w:sz w:val="24"/>
          <w:szCs w:val="24"/>
        </w:rPr>
        <w:t xml:space="preserve"> </w:t>
      </w:r>
      <w:r w:rsidR="00896FE3" w:rsidRPr="0015172C">
        <w:rPr>
          <w:rFonts w:ascii="Tahoma" w:hAnsi="Tahoma" w:cs="Tahoma"/>
          <w:sz w:val="24"/>
          <w:szCs w:val="24"/>
        </w:rPr>
        <w:t xml:space="preserve">în principal </w:t>
      </w:r>
      <w:r w:rsidR="004B067F" w:rsidRPr="0015172C">
        <w:rPr>
          <w:rFonts w:ascii="Tahoma" w:hAnsi="Tahoma" w:cs="Tahoma"/>
          <w:sz w:val="24"/>
          <w:szCs w:val="24"/>
        </w:rPr>
        <w:t>pe fondul evoluției slabe a încasări</w:t>
      </w:r>
      <w:r w:rsidR="003C7388" w:rsidRPr="0015172C">
        <w:rPr>
          <w:rFonts w:ascii="Tahoma" w:hAnsi="Tahoma" w:cs="Tahoma"/>
          <w:sz w:val="24"/>
          <w:szCs w:val="24"/>
        </w:rPr>
        <w:t>lor din fondurile externe nerambursabile inclusiv asistența financiară nerambursabilă aferentă PNRR</w:t>
      </w:r>
      <w:r w:rsidR="00031C8B" w:rsidRPr="0015172C">
        <w:rPr>
          <w:rFonts w:ascii="Tahoma" w:hAnsi="Tahoma" w:cs="Tahoma"/>
          <w:sz w:val="24"/>
          <w:szCs w:val="24"/>
        </w:rPr>
        <w:t>,</w:t>
      </w:r>
      <w:r w:rsidR="003C7388" w:rsidRPr="0015172C">
        <w:rPr>
          <w:rFonts w:ascii="Tahoma" w:hAnsi="Tahoma" w:cs="Tahoma"/>
          <w:sz w:val="24"/>
          <w:szCs w:val="24"/>
        </w:rPr>
        <w:t xml:space="preserve"> în timp ce veniturile din economia internă au fost </w:t>
      </w:r>
      <w:r w:rsidR="00896FE3" w:rsidRPr="0015172C">
        <w:rPr>
          <w:rFonts w:ascii="Tahoma" w:hAnsi="Tahoma" w:cs="Tahoma"/>
          <w:sz w:val="24"/>
          <w:szCs w:val="24"/>
        </w:rPr>
        <w:t xml:space="preserve">cu 1,8% sub nivelul programat pentru perioada analizată. </w:t>
      </w:r>
      <w:proofErr w:type="spellStart"/>
      <w:r w:rsidR="0015172C" w:rsidRPr="0015172C">
        <w:rPr>
          <w:rFonts w:ascii="Tahoma" w:hAnsi="Tahoma" w:cs="Tahoma"/>
          <w:bCs/>
          <w:sz w:val="24"/>
          <w:szCs w:val="24"/>
          <w:lang w:val="en-US"/>
        </w:rPr>
        <w:t>În</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contextul</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execuției</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bugetare</w:t>
      </w:r>
      <w:proofErr w:type="spellEnd"/>
      <w:r w:rsidR="0015172C" w:rsidRPr="0015172C">
        <w:rPr>
          <w:rFonts w:ascii="Tahoma" w:hAnsi="Tahoma" w:cs="Tahoma"/>
          <w:bCs/>
          <w:sz w:val="24"/>
          <w:szCs w:val="24"/>
          <w:lang w:val="en-US"/>
        </w:rPr>
        <w:t xml:space="preserve"> din </w:t>
      </w:r>
      <w:proofErr w:type="spellStart"/>
      <w:r w:rsidR="0015172C" w:rsidRPr="0015172C">
        <w:rPr>
          <w:rFonts w:ascii="Tahoma" w:hAnsi="Tahoma" w:cs="Tahoma"/>
          <w:bCs/>
          <w:sz w:val="24"/>
          <w:szCs w:val="24"/>
          <w:lang w:val="en-US"/>
        </w:rPr>
        <w:t>primele</w:t>
      </w:r>
      <w:proofErr w:type="spellEnd"/>
      <w:r w:rsidR="0015172C" w:rsidRPr="0015172C">
        <w:rPr>
          <w:rFonts w:ascii="Tahoma" w:hAnsi="Tahoma" w:cs="Tahoma"/>
          <w:bCs/>
          <w:sz w:val="24"/>
          <w:szCs w:val="24"/>
          <w:lang w:val="en-US"/>
        </w:rPr>
        <w:t xml:space="preserve"> 6 </w:t>
      </w:r>
      <w:proofErr w:type="spellStart"/>
      <w:r w:rsidR="0015172C" w:rsidRPr="0015172C">
        <w:rPr>
          <w:rFonts w:ascii="Tahoma" w:hAnsi="Tahoma" w:cs="Tahoma"/>
          <w:bCs/>
          <w:sz w:val="24"/>
          <w:szCs w:val="24"/>
          <w:lang w:val="en-US"/>
        </w:rPr>
        <w:t>luni</w:t>
      </w:r>
      <w:proofErr w:type="spellEnd"/>
      <w:r w:rsidR="0015172C" w:rsidRPr="0015172C">
        <w:rPr>
          <w:rFonts w:ascii="Tahoma" w:hAnsi="Tahoma" w:cs="Tahoma"/>
          <w:bCs/>
          <w:sz w:val="24"/>
          <w:szCs w:val="24"/>
          <w:lang w:val="en-US"/>
        </w:rPr>
        <w:t xml:space="preserve"> ale </w:t>
      </w:r>
      <w:proofErr w:type="spellStart"/>
      <w:r w:rsidR="0015172C" w:rsidRPr="0015172C">
        <w:rPr>
          <w:rFonts w:ascii="Tahoma" w:hAnsi="Tahoma" w:cs="Tahoma"/>
          <w:bCs/>
          <w:sz w:val="24"/>
          <w:szCs w:val="24"/>
          <w:lang w:val="en-US"/>
        </w:rPr>
        <w:t>anului</w:t>
      </w:r>
      <w:proofErr w:type="spellEnd"/>
      <w:r w:rsidR="0015172C" w:rsidRPr="0015172C">
        <w:rPr>
          <w:rFonts w:ascii="Tahoma" w:hAnsi="Tahoma" w:cs="Tahoma"/>
          <w:bCs/>
          <w:sz w:val="24"/>
          <w:szCs w:val="24"/>
          <w:lang w:val="en-US"/>
        </w:rPr>
        <w:t xml:space="preserve"> 2025 se </w:t>
      </w:r>
      <w:proofErr w:type="spellStart"/>
      <w:r w:rsidR="0015172C" w:rsidRPr="0015172C">
        <w:rPr>
          <w:rFonts w:ascii="Tahoma" w:hAnsi="Tahoma" w:cs="Tahoma"/>
          <w:bCs/>
          <w:sz w:val="24"/>
          <w:szCs w:val="24"/>
          <w:lang w:val="en-US"/>
        </w:rPr>
        <w:t>contura</w:t>
      </w:r>
      <w:proofErr w:type="spellEnd"/>
      <w:r w:rsidR="0015172C" w:rsidRPr="0015172C">
        <w:rPr>
          <w:rFonts w:ascii="Tahoma" w:hAnsi="Tahoma" w:cs="Tahoma"/>
          <w:bCs/>
          <w:sz w:val="24"/>
          <w:szCs w:val="24"/>
          <w:lang w:val="en-US"/>
        </w:rPr>
        <w:t xml:space="preserve"> un </w:t>
      </w:r>
      <w:proofErr w:type="spellStart"/>
      <w:r w:rsidR="0015172C" w:rsidRPr="0015172C">
        <w:rPr>
          <w:rFonts w:ascii="Tahoma" w:hAnsi="Tahoma" w:cs="Tahoma"/>
          <w:bCs/>
          <w:sz w:val="24"/>
          <w:szCs w:val="24"/>
          <w:lang w:val="en-US"/>
        </w:rPr>
        <w:t>nivel</w:t>
      </w:r>
      <w:proofErr w:type="spellEnd"/>
      <w:r w:rsidR="0015172C" w:rsidRPr="0015172C">
        <w:rPr>
          <w:rFonts w:ascii="Tahoma" w:hAnsi="Tahoma" w:cs="Tahoma"/>
          <w:bCs/>
          <w:sz w:val="24"/>
          <w:szCs w:val="24"/>
          <w:lang w:val="en-US"/>
        </w:rPr>
        <w:t xml:space="preserve"> al </w:t>
      </w:r>
      <w:proofErr w:type="spellStart"/>
      <w:r w:rsidR="0015172C" w:rsidRPr="0015172C">
        <w:rPr>
          <w:rFonts w:ascii="Tahoma" w:hAnsi="Tahoma" w:cs="Tahoma"/>
          <w:bCs/>
          <w:sz w:val="24"/>
          <w:szCs w:val="24"/>
          <w:lang w:val="en-US"/>
        </w:rPr>
        <w:t>veniturilor</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bugetare</w:t>
      </w:r>
      <w:proofErr w:type="spellEnd"/>
      <w:r w:rsidR="0015172C" w:rsidRPr="0015172C">
        <w:rPr>
          <w:rFonts w:ascii="Tahoma" w:hAnsi="Tahoma" w:cs="Tahoma"/>
          <w:bCs/>
          <w:sz w:val="24"/>
          <w:szCs w:val="24"/>
          <w:lang w:val="en-US"/>
        </w:rPr>
        <w:t xml:space="preserve"> inferior </w:t>
      </w:r>
      <w:proofErr w:type="spellStart"/>
      <w:r w:rsidR="0015172C" w:rsidRPr="0015172C">
        <w:rPr>
          <w:rFonts w:ascii="Tahoma" w:hAnsi="Tahoma" w:cs="Tahoma"/>
          <w:bCs/>
          <w:sz w:val="24"/>
          <w:szCs w:val="24"/>
          <w:lang w:val="en-US"/>
        </w:rPr>
        <w:t>celui</w:t>
      </w:r>
      <w:proofErr w:type="spellEnd"/>
      <w:r w:rsidR="0015172C" w:rsidRPr="0015172C">
        <w:rPr>
          <w:rFonts w:ascii="Tahoma" w:hAnsi="Tahoma" w:cs="Tahoma"/>
          <w:bCs/>
          <w:sz w:val="24"/>
          <w:szCs w:val="24"/>
          <w:lang w:val="en-US"/>
        </w:rPr>
        <w:t xml:space="preserve"> din </w:t>
      </w:r>
      <w:proofErr w:type="spellStart"/>
      <w:r w:rsidR="0015172C" w:rsidRPr="0015172C">
        <w:rPr>
          <w:rFonts w:ascii="Tahoma" w:hAnsi="Tahoma" w:cs="Tahoma"/>
          <w:bCs/>
          <w:sz w:val="24"/>
          <w:szCs w:val="24"/>
          <w:lang w:val="en-US"/>
        </w:rPr>
        <w:t>proiectul</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buget</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pe</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următoarele</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categorii</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venituri</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impozit</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pe</w:t>
      </w:r>
      <w:proofErr w:type="spellEnd"/>
      <w:r w:rsidR="0015172C" w:rsidRPr="0015172C">
        <w:rPr>
          <w:rFonts w:ascii="Tahoma" w:hAnsi="Tahoma" w:cs="Tahoma"/>
          <w:bCs/>
          <w:sz w:val="24"/>
          <w:szCs w:val="24"/>
          <w:lang w:val="en-US"/>
        </w:rPr>
        <w:t xml:space="preserve"> profit (-1,1 </w:t>
      </w:r>
      <w:proofErr w:type="spellStart"/>
      <w:r w:rsidR="0015172C" w:rsidRPr="0015172C">
        <w:rPr>
          <w:rFonts w:ascii="Tahoma" w:hAnsi="Tahoma" w:cs="Tahoma"/>
          <w:bCs/>
          <w:sz w:val="24"/>
          <w:szCs w:val="24"/>
          <w:lang w:val="en-US"/>
        </w:rPr>
        <w:t>miliarde</w:t>
      </w:r>
      <w:proofErr w:type="spellEnd"/>
      <w:r w:rsidR="0015172C" w:rsidRPr="0015172C">
        <w:rPr>
          <w:rFonts w:ascii="Tahoma" w:hAnsi="Tahoma" w:cs="Tahoma"/>
          <w:bCs/>
          <w:sz w:val="24"/>
          <w:szCs w:val="24"/>
          <w:lang w:val="en-US"/>
        </w:rPr>
        <w:t xml:space="preserve"> lei)</w:t>
      </w:r>
      <w:r w:rsidR="0015172C" w:rsidRPr="0015172C">
        <w:rPr>
          <w:rFonts w:ascii="Tahoma" w:hAnsi="Tahoma" w:cs="Tahoma"/>
          <w:bCs/>
          <w:sz w:val="24"/>
          <w:szCs w:val="24"/>
        </w:rPr>
        <w:t>, TVA (-6,5 miliarde lei), accize (-0,5 miliarde lei), contribuții de asigurări datorate bugetului de stat (-0,4 miliarde lei) și venituri nefiscale (-1,8 miliarde lei).</w:t>
      </w:r>
      <w:r w:rsidR="0015172C">
        <w:rPr>
          <w:rFonts w:ascii="Tahoma" w:hAnsi="Tahoma" w:cs="Tahoma"/>
          <w:bCs/>
          <w:sz w:val="24"/>
          <w:szCs w:val="24"/>
        </w:rPr>
        <w:t xml:space="preserve"> </w:t>
      </w:r>
      <w:proofErr w:type="spellStart"/>
      <w:r w:rsidR="0015172C">
        <w:rPr>
          <w:rFonts w:ascii="Tahoma" w:hAnsi="Tahoma" w:cs="Tahoma"/>
          <w:bCs/>
          <w:sz w:val="24"/>
          <w:szCs w:val="24"/>
          <w:lang w:val="en-US"/>
        </w:rPr>
        <w:t>Astfel</w:t>
      </w:r>
      <w:proofErr w:type="spellEnd"/>
      <w:r w:rsidR="0015172C">
        <w:rPr>
          <w:rFonts w:ascii="Tahoma" w:hAnsi="Tahoma" w:cs="Tahoma"/>
          <w:bCs/>
          <w:sz w:val="24"/>
          <w:szCs w:val="24"/>
          <w:lang w:val="en-US"/>
        </w:rPr>
        <w:t xml:space="preserve"> </w:t>
      </w:r>
      <w:proofErr w:type="spellStart"/>
      <w:r w:rsidR="0015172C">
        <w:rPr>
          <w:rFonts w:ascii="Tahoma" w:hAnsi="Tahoma" w:cs="Tahoma"/>
          <w:bCs/>
          <w:sz w:val="24"/>
          <w:szCs w:val="24"/>
          <w:lang w:val="en-US"/>
        </w:rPr>
        <w:t>în</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luna</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iulie</w:t>
      </w:r>
      <w:proofErr w:type="spellEnd"/>
      <w:r w:rsidR="0015172C" w:rsidRPr="0015172C">
        <w:rPr>
          <w:rFonts w:ascii="Tahoma" w:hAnsi="Tahoma" w:cs="Tahoma"/>
          <w:bCs/>
          <w:sz w:val="24"/>
          <w:szCs w:val="24"/>
          <w:lang w:val="en-US"/>
        </w:rPr>
        <w:t xml:space="preserve"> a </w:t>
      </w:r>
      <w:proofErr w:type="spellStart"/>
      <w:r w:rsidR="0015172C" w:rsidRPr="0015172C">
        <w:rPr>
          <w:rFonts w:ascii="Tahoma" w:hAnsi="Tahoma" w:cs="Tahoma"/>
          <w:bCs/>
          <w:sz w:val="24"/>
          <w:szCs w:val="24"/>
          <w:lang w:val="en-US"/>
        </w:rPr>
        <w:t>fost</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adoptat</w:t>
      </w:r>
      <w:proofErr w:type="spellEnd"/>
      <w:r w:rsidR="0015172C" w:rsidRPr="0015172C">
        <w:rPr>
          <w:rFonts w:ascii="Tahoma" w:hAnsi="Tahoma" w:cs="Tahoma"/>
          <w:bCs/>
          <w:sz w:val="24"/>
          <w:szCs w:val="24"/>
          <w:lang w:val="en-US"/>
        </w:rPr>
        <w:t xml:space="preserve"> un </w:t>
      </w:r>
      <w:proofErr w:type="spellStart"/>
      <w:r w:rsidR="0015172C" w:rsidRPr="0015172C">
        <w:rPr>
          <w:rFonts w:ascii="Tahoma" w:hAnsi="Tahoma" w:cs="Tahoma"/>
          <w:bCs/>
          <w:sz w:val="24"/>
          <w:szCs w:val="24"/>
          <w:lang w:val="en-US"/>
        </w:rPr>
        <w:t>pachet</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măsuri</w:t>
      </w:r>
      <w:proofErr w:type="spellEnd"/>
      <w:r w:rsidR="0015172C" w:rsidRPr="0015172C">
        <w:rPr>
          <w:rFonts w:ascii="Tahoma" w:hAnsi="Tahoma" w:cs="Tahoma"/>
          <w:bCs/>
          <w:sz w:val="24"/>
          <w:szCs w:val="24"/>
          <w:lang w:val="en-US"/>
        </w:rPr>
        <w:t xml:space="preserve"> fiscal-</w:t>
      </w:r>
      <w:proofErr w:type="spellStart"/>
      <w:r w:rsidR="0015172C" w:rsidRPr="0015172C">
        <w:rPr>
          <w:rFonts w:ascii="Tahoma" w:hAnsi="Tahoma" w:cs="Tahoma"/>
          <w:bCs/>
          <w:sz w:val="24"/>
          <w:szCs w:val="24"/>
          <w:lang w:val="en-US"/>
        </w:rPr>
        <w:t>bugetare</w:t>
      </w:r>
      <w:proofErr w:type="spellEnd"/>
      <w:r w:rsidR="0015172C" w:rsidRPr="0015172C">
        <w:rPr>
          <w:rFonts w:ascii="Tahoma" w:hAnsi="Tahoma" w:cs="Tahoma"/>
          <w:bCs/>
          <w:sz w:val="24"/>
          <w:szCs w:val="24"/>
          <w:lang w:val="en-US"/>
        </w:rPr>
        <w:t xml:space="preserve"> cu impact </w:t>
      </w:r>
      <w:proofErr w:type="spellStart"/>
      <w:r w:rsidR="0015172C" w:rsidRPr="0015172C">
        <w:rPr>
          <w:rFonts w:ascii="Tahoma" w:hAnsi="Tahoma" w:cs="Tahoma"/>
          <w:bCs/>
          <w:sz w:val="24"/>
          <w:szCs w:val="24"/>
          <w:lang w:val="en-US"/>
        </w:rPr>
        <w:t>pe</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venituri</w:t>
      </w:r>
      <w:proofErr w:type="spellEnd"/>
      <w:r w:rsidR="0015172C" w:rsidRPr="0015172C">
        <w:rPr>
          <w:rFonts w:ascii="Tahoma" w:hAnsi="Tahoma" w:cs="Tahoma"/>
          <w:bCs/>
          <w:sz w:val="24"/>
          <w:szCs w:val="24"/>
          <w:lang w:val="en-US"/>
        </w:rPr>
        <w:t xml:space="preserve"> de 9,65 </w:t>
      </w:r>
      <w:proofErr w:type="spellStart"/>
      <w:r w:rsidR="0015172C" w:rsidRPr="0015172C">
        <w:rPr>
          <w:rFonts w:ascii="Tahoma" w:hAnsi="Tahoma" w:cs="Tahoma"/>
          <w:bCs/>
          <w:sz w:val="24"/>
          <w:szCs w:val="24"/>
          <w:lang w:val="en-US"/>
        </w:rPr>
        <w:t>miliarde</w:t>
      </w:r>
      <w:proofErr w:type="spellEnd"/>
      <w:r w:rsidR="0015172C" w:rsidRPr="0015172C">
        <w:rPr>
          <w:rFonts w:ascii="Tahoma" w:hAnsi="Tahoma" w:cs="Tahoma"/>
          <w:bCs/>
          <w:sz w:val="24"/>
          <w:szCs w:val="24"/>
          <w:lang w:val="en-US"/>
        </w:rPr>
        <w:t xml:space="preserve"> lei, din care </w:t>
      </w:r>
      <w:proofErr w:type="spellStart"/>
      <w:r w:rsidR="0015172C" w:rsidRPr="0015172C">
        <w:rPr>
          <w:rFonts w:ascii="Tahoma" w:hAnsi="Tahoma" w:cs="Tahoma"/>
          <w:bCs/>
          <w:sz w:val="24"/>
          <w:szCs w:val="24"/>
          <w:lang w:val="en-US"/>
        </w:rPr>
        <w:t>contribuții</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asigurări</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sociale</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sănătate</w:t>
      </w:r>
      <w:proofErr w:type="spellEnd"/>
      <w:r w:rsidR="0015172C" w:rsidRPr="0015172C">
        <w:rPr>
          <w:rFonts w:ascii="Tahoma" w:hAnsi="Tahoma" w:cs="Tahoma"/>
          <w:bCs/>
          <w:sz w:val="24"/>
          <w:szCs w:val="24"/>
          <w:lang w:val="en-US"/>
        </w:rPr>
        <w:t xml:space="preserve"> (+1,85 </w:t>
      </w:r>
      <w:proofErr w:type="spellStart"/>
      <w:r w:rsidR="0015172C" w:rsidRPr="0015172C">
        <w:rPr>
          <w:rFonts w:ascii="Tahoma" w:hAnsi="Tahoma" w:cs="Tahoma"/>
          <w:bCs/>
          <w:sz w:val="24"/>
          <w:szCs w:val="24"/>
          <w:lang w:val="en-US"/>
        </w:rPr>
        <w:t>miliarde</w:t>
      </w:r>
      <w:proofErr w:type="spellEnd"/>
      <w:r w:rsidR="0015172C" w:rsidRPr="0015172C">
        <w:rPr>
          <w:rFonts w:ascii="Tahoma" w:hAnsi="Tahoma" w:cs="Tahoma"/>
          <w:bCs/>
          <w:sz w:val="24"/>
          <w:szCs w:val="24"/>
          <w:lang w:val="en-US"/>
        </w:rPr>
        <w:t xml:space="preserve"> lei), TVA (+6,0 </w:t>
      </w:r>
      <w:proofErr w:type="spellStart"/>
      <w:r w:rsidR="0015172C" w:rsidRPr="0015172C">
        <w:rPr>
          <w:rFonts w:ascii="Tahoma" w:hAnsi="Tahoma" w:cs="Tahoma"/>
          <w:bCs/>
          <w:sz w:val="24"/>
          <w:szCs w:val="24"/>
          <w:lang w:val="en-US"/>
        </w:rPr>
        <w:t>miliarde</w:t>
      </w:r>
      <w:proofErr w:type="spellEnd"/>
      <w:r w:rsidR="0015172C" w:rsidRPr="0015172C">
        <w:rPr>
          <w:rFonts w:ascii="Tahoma" w:hAnsi="Tahoma" w:cs="Tahoma"/>
          <w:bCs/>
          <w:sz w:val="24"/>
          <w:szCs w:val="24"/>
          <w:lang w:val="en-US"/>
        </w:rPr>
        <w:t xml:space="preserve"> lei), </w:t>
      </w:r>
      <w:proofErr w:type="spellStart"/>
      <w:r w:rsidR="0015172C" w:rsidRPr="0015172C">
        <w:rPr>
          <w:rFonts w:ascii="Tahoma" w:hAnsi="Tahoma" w:cs="Tahoma"/>
          <w:bCs/>
          <w:sz w:val="24"/>
          <w:szCs w:val="24"/>
          <w:lang w:val="en-US"/>
        </w:rPr>
        <w:t>accize</w:t>
      </w:r>
      <w:proofErr w:type="spellEnd"/>
      <w:r w:rsidR="0015172C" w:rsidRPr="0015172C">
        <w:rPr>
          <w:rFonts w:ascii="Tahoma" w:hAnsi="Tahoma" w:cs="Tahoma"/>
          <w:bCs/>
          <w:sz w:val="24"/>
          <w:szCs w:val="24"/>
          <w:lang w:val="en-US"/>
        </w:rPr>
        <w:t xml:space="preserve"> (+1,0 </w:t>
      </w:r>
      <w:proofErr w:type="spellStart"/>
      <w:r w:rsidR="0015172C" w:rsidRPr="0015172C">
        <w:rPr>
          <w:rFonts w:ascii="Tahoma" w:hAnsi="Tahoma" w:cs="Tahoma"/>
          <w:bCs/>
          <w:sz w:val="24"/>
          <w:szCs w:val="24"/>
          <w:lang w:val="en-US"/>
        </w:rPr>
        <w:t>miliard</w:t>
      </w:r>
      <w:proofErr w:type="spellEnd"/>
      <w:r w:rsidR="0015172C" w:rsidRPr="0015172C">
        <w:rPr>
          <w:rFonts w:ascii="Tahoma" w:hAnsi="Tahoma" w:cs="Tahoma"/>
          <w:bCs/>
          <w:sz w:val="24"/>
          <w:szCs w:val="24"/>
          <w:lang w:val="en-US"/>
        </w:rPr>
        <w:t xml:space="preserve"> lei), </w:t>
      </w:r>
      <w:proofErr w:type="spellStart"/>
      <w:r w:rsidR="0015172C" w:rsidRPr="0015172C">
        <w:rPr>
          <w:rFonts w:ascii="Tahoma" w:hAnsi="Tahoma" w:cs="Tahoma"/>
          <w:bCs/>
          <w:sz w:val="24"/>
          <w:szCs w:val="24"/>
          <w:lang w:val="en-US"/>
        </w:rPr>
        <w:t>taxe</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pentru</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jocurile</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noroc</w:t>
      </w:r>
      <w:proofErr w:type="spellEnd"/>
      <w:r w:rsidR="0015172C" w:rsidRPr="0015172C">
        <w:rPr>
          <w:rFonts w:ascii="Tahoma" w:hAnsi="Tahoma" w:cs="Tahoma"/>
          <w:bCs/>
          <w:sz w:val="24"/>
          <w:szCs w:val="24"/>
          <w:lang w:val="en-US"/>
        </w:rPr>
        <w:t xml:space="preserve"> (+0,5 </w:t>
      </w:r>
      <w:proofErr w:type="spellStart"/>
      <w:r w:rsidR="0015172C" w:rsidRPr="0015172C">
        <w:rPr>
          <w:rFonts w:ascii="Tahoma" w:hAnsi="Tahoma" w:cs="Tahoma"/>
          <w:bCs/>
          <w:sz w:val="24"/>
          <w:szCs w:val="24"/>
          <w:lang w:val="en-US"/>
        </w:rPr>
        <w:t>miliarde</w:t>
      </w:r>
      <w:proofErr w:type="spellEnd"/>
      <w:r w:rsidR="0015172C" w:rsidRPr="0015172C">
        <w:rPr>
          <w:rFonts w:ascii="Tahoma" w:hAnsi="Tahoma" w:cs="Tahoma"/>
          <w:bCs/>
          <w:sz w:val="24"/>
          <w:szCs w:val="24"/>
          <w:lang w:val="en-US"/>
        </w:rPr>
        <w:t xml:space="preserve"> lei) </w:t>
      </w:r>
      <w:proofErr w:type="spellStart"/>
      <w:r w:rsidR="0015172C" w:rsidRPr="0015172C">
        <w:rPr>
          <w:rFonts w:ascii="Tahoma" w:hAnsi="Tahoma" w:cs="Tahoma"/>
          <w:bCs/>
          <w:sz w:val="24"/>
          <w:szCs w:val="24"/>
          <w:lang w:val="en-US"/>
        </w:rPr>
        <w:t>și</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impozitul</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pe</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cifra</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afaceri</w:t>
      </w:r>
      <w:proofErr w:type="spellEnd"/>
      <w:r w:rsidR="0015172C" w:rsidRPr="0015172C">
        <w:rPr>
          <w:rFonts w:ascii="Tahoma" w:hAnsi="Tahoma" w:cs="Tahoma"/>
          <w:bCs/>
          <w:sz w:val="24"/>
          <w:szCs w:val="24"/>
          <w:lang w:val="en-US"/>
        </w:rPr>
        <w:t xml:space="preserve"> </w:t>
      </w:r>
      <w:proofErr w:type="spellStart"/>
      <w:r w:rsidR="0015172C" w:rsidRPr="0015172C">
        <w:rPr>
          <w:rFonts w:ascii="Tahoma" w:hAnsi="Tahoma" w:cs="Tahoma"/>
          <w:bCs/>
          <w:sz w:val="24"/>
          <w:szCs w:val="24"/>
          <w:lang w:val="en-US"/>
        </w:rPr>
        <w:t>realizată</w:t>
      </w:r>
      <w:proofErr w:type="spellEnd"/>
      <w:r w:rsidR="0015172C" w:rsidRPr="0015172C">
        <w:rPr>
          <w:rFonts w:ascii="Tahoma" w:hAnsi="Tahoma" w:cs="Tahoma"/>
          <w:bCs/>
          <w:sz w:val="24"/>
          <w:szCs w:val="24"/>
          <w:lang w:val="en-US"/>
        </w:rPr>
        <w:t xml:space="preserve"> de </w:t>
      </w:r>
      <w:proofErr w:type="spellStart"/>
      <w:r w:rsidR="0015172C" w:rsidRPr="0015172C">
        <w:rPr>
          <w:rFonts w:ascii="Tahoma" w:hAnsi="Tahoma" w:cs="Tahoma"/>
          <w:bCs/>
          <w:sz w:val="24"/>
          <w:szCs w:val="24"/>
          <w:lang w:val="en-US"/>
        </w:rPr>
        <w:t>instituțiile</w:t>
      </w:r>
      <w:proofErr w:type="spellEnd"/>
      <w:r w:rsidR="0015172C" w:rsidRPr="0015172C">
        <w:rPr>
          <w:rFonts w:ascii="Tahoma" w:hAnsi="Tahoma" w:cs="Tahoma"/>
          <w:bCs/>
          <w:sz w:val="24"/>
          <w:szCs w:val="24"/>
          <w:lang w:val="en-US"/>
        </w:rPr>
        <w:t xml:space="preserve"> de credit (+0,3 </w:t>
      </w:r>
      <w:proofErr w:type="spellStart"/>
      <w:r w:rsidR="0015172C" w:rsidRPr="0015172C">
        <w:rPr>
          <w:rFonts w:ascii="Tahoma" w:hAnsi="Tahoma" w:cs="Tahoma"/>
          <w:bCs/>
          <w:sz w:val="24"/>
          <w:szCs w:val="24"/>
          <w:lang w:val="en-US"/>
        </w:rPr>
        <w:t>miliarde</w:t>
      </w:r>
      <w:proofErr w:type="spellEnd"/>
      <w:r w:rsidR="0015172C" w:rsidRPr="0015172C">
        <w:rPr>
          <w:rFonts w:ascii="Tahoma" w:hAnsi="Tahoma" w:cs="Tahoma"/>
          <w:bCs/>
          <w:sz w:val="24"/>
          <w:szCs w:val="24"/>
          <w:lang w:val="en-US"/>
        </w:rPr>
        <w:t xml:space="preserve"> lei). </w:t>
      </w:r>
    </w:p>
    <w:p w:rsidR="00C60107" w:rsidRPr="003164CE" w:rsidRDefault="00C60107" w:rsidP="00DE054B">
      <w:pPr>
        <w:pStyle w:val="ListParagraph"/>
        <w:numPr>
          <w:ilvl w:val="0"/>
          <w:numId w:val="2"/>
        </w:numPr>
        <w:spacing w:before="120" w:after="120" w:line="276" w:lineRule="auto"/>
        <w:ind w:left="641" w:hanging="357"/>
        <w:contextualSpacing w:val="0"/>
        <w:rPr>
          <w:rFonts w:ascii="Tahoma" w:hAnsi="Tahoma" w:cs="Tahoma"/>
          <w:sz w:val="24"/>
          <w:szCs w:val="24"/>
        </w:rPr>
      </w:pPr>
      <w:r w:rsidRPr="003164CE">
        <w:rPr>
          <w:rFonts w:ascii="Tahoma" w:hAnsi="Tahoma" w:cs="Tahoma"/>
          <w:sz w:val="24"/>
          <w:szCs w:val="24"/>
        </w:rPr>
        <w:t xml:space="preserve">Cheltuielile bugetului general consolidat au fost cu </w:t>
      </w:r>
      <w:r w:rsidR="00896FE3" w:rsidRPr="003164CE">
        <w:rPr>
          <w:rFonts w:ascii="Tahoma" w:hAnsi="Tahoma" w:cs="Tahoma"/>
          <w:sz w:val="24"/>
          <w:szCs w:val="24"/>
        </w:rPr>
        <w:t>12,1</w:t>
      </w:r>
      <w:r w:rsidRPr="003164CE">
        <w:rPr>
          <w:rFonts w:ascii="Tahoma" w:hAnsi="Tahoma" w:cs="Tahoma"/>
          <w:sz w:val="24"/>
          <w:szCs w:val="24"/>
        </w:rPr>
        <w:t>% mai mari comparativ cu ace</w:t>
      </w:r>
      <w:r w:rsidR="00031C8B" w:rsidRPr="003164CE">
        <w:rPr>
          <w:rFonts w:ascii="Tahoma" w:hAnsi="Tahoma" w:cs="Tahoma"/>
          <w:sz w:val="24"/>
          <w:szCs w:val="24"/>
        </w:rPr>
        <w:t>eași perioadă a anului anterior</w:t>
      </w:r>
      <w:r w:rsidR="00DB1C92" w:rsidRPr="003164CE">
        <w:rPr>
          <w:rFonts w:ascii="Tahoma" w:hAnsi="Tahoma" w:cs="Tahoma"/>
          <w:sz w:val="24"/>
          <w:szCs w:val="24"/>
        </w:rPr>
        <w:t>,</w:t>
      </w:r>
      <w:r w:rsidR="00031C8B" w:rsidRPr="003164CE">
        <w:rPr>
          <w:rFonts w:ascii="Tahoma" w:hAnsi="Tahoma" w:cs="Tahoma"/>
          <w:sz w:val="24"/>
          <w:szCs w:val="24"/>
        </w:rPr>
        <w:t xml:space="preserve"> reprezentând </w:t>
      </w:r>
      <w:r w:rsidR="00896FE3" w:rsidRPr="003164CE">
        <w:rPr>
          <w:rFonts w:ascii="Tahoma" w:hAnsi="Tahoma" w:cs="Tahoma"/>
          <w:sz w:val="24"/>
          <w:szCs w:val="24"/>
        </w:rPr>
        <w:t>47,2</w:t>
      </w:r>
      <w:r w:rsidR="00031C8B" w:rsidRPr="003164CE">
        <w:rPr>
          <w:rFonts w:ascii="Tahoma" w:hAnsi="Tahoma" w:cs="Tahoma"/>
          <w:sz w:val="24"/>
          <w:szCs w:val="24"/>
        </w:rPr>
        <w:t>% din programul anual prognozat</w:t>
      </w:r>
      <w:r w:rsidR="004B067F" w:rsidRPr="003164CE">
        <w:rPr>
          <w:rFonts w:ascii="Tahoma" w:hAnsi="Tahoma" w:cs="Tahoma"/>
          <w:sz w:val="24"/>
          <w:szCs w:val="24"/>
        </w:rPr>
        <w:t xml:space="preserve">. </w:t>
      </w:r>
      <w:r w:rsidR="00F57100" w:rsidRPr="003164CE">
        <w:rPr>
          <w:rFonts w:ascii="Tahoma" w:hAnsi="Tahoma" w:cs="Tahoma"/>
          <w:sz w:val="24"/>
          <w:szCs w:val="24"/>
        </w:rPr>
        <w:t>Comparativ cu semestrul I 2024, e</w:t>
      </w:r>
      <w:r w:rsidR="00215BE0" w:rsidRPr="003164CE">
        <w:rPr>
          <w:rFonts w:ascii="Tahoma" w:hAnsi="Tahoma" w:cs="Tahoma"/>
          <w:sz w:val="24"/>
          <w:szCs w:val="24"/>
        </w:rPr>
        <w:t xml:space="preserve">voluția cheltuielilor bugetare în primul semestru </w:t>
      </w:r>
      <w:r w:rsidR="00F57100" w:rsidRPr="003164CE">
        <w:rPr>
          <w:rFonts w:ascii="Tahoma" w:hAnsi="Tahoma" w:cs="Tahoma"/>
          <w:sz w:val="24"/>
          <w:szCs w:val="24"/>
        </w:rPr>
        <w:t xml:space="preserve">al anului curent </w:t>
      </w:r>
      <w:r w:rsidR="00215BE0" w:rsidRPr="003164CE">
        <w:rPr>
          <w:rFonts w:ascii="Tahoma" w:hAnsi="Tahoma" w:cs="Tahoma"/>
          <w:sz w:val="24"/>
          <w:szCs w:val="24"/>
        </w:rPr>
        <w:t xml:space="preserve">a fost inferioară </w:t>
      </w:r>
      <w:r w:rsidR="00D31469" w:rsidRPr="003164CE">
        <w:rPr>
          <w:rFonts w:ascii="Tahoma" w:hAnsi="Tahoma" w:cs="Tahoma"/>
          <w:sz w:val="24"/>
          <w:szCs w:val="24"/>
        </w:rPr>
        <w:t xml:space="preserve">evoluției veniturilor bugetare în condițiile în care </w:t>
      </w:r>
      <w:r w:rsidR="00FD3074" w:rsidRPr="003164CE">
        <w:rPr>
          <w:rFonts w:ascii="Tahoma" w:hAnsi="Tahoma" w:cs="Tahoma"/>
          <w:sz w:val="24"/>
          <w:szCs w:val="24"/>
        </w:rPr>
        <w:t xml:space="preserve">gradul de efectuare al </w:t>
      </w:r>
      <w:r w:rsidR="00F57100" w:rsidRPr="003164CE">
        <w:rPr>
          <w:rFonts w:ascii="Tahoma" w:hAnsi="Tahoma" w:cs="Tahoma"/>
          <w:sz w:val="24"/>
          <w:szCs w:val="24"/>
        </w:rPr>
        <w:t>cheltuielil</w:t>
      </w:r>
      <w:r w:rsidR="00FD3074" w:rsidRPr="003164CE">
        <w:rPr>
          <w:rFonts w:ascii="Tahoma" w:hAnsi="Tahoma" w:cs="Tahoma"/>
          <w:sz w:val="24"/>
          <w:szCs w:val="24"/>
        </w:rPr>
        <w:t>or</w:t>
      </w:r>
      <w:r w:rsidR="00F57100" w:rsidRPr="003164CE">
        <w:rPr>
          <w:rFonts w:ascii="Tahoma" w:hAnsi="Tahoma" w:cs="Tahoma"/>
          <w:sz w:val="24"/>
          <w:szCs w:val="24"/>
        </w:rPr>
        <w:t xml:space="preserve"> </w:t>
      </w:r>
      <w:r w:rsidR="00D31469" w:rsidRPr="003164CE">
        <w:rPr>
          <w:rFonts w:ascii="Tahoma" w:hAnsi="Tahoma" w:cs="Tahoma"/>
          <w:sz w:val="24"/>
          <w:szCs w:val="24"/>
        </w:rPr>
        <w:t xml:space="preserve">programate </w:t>
      </w:r>
      <w:r w:rsidR="00FD3074" w:rsidRPr="003164CE">
        <w:rPr>
          <w:rFonts w:ascii="Tahoma" w:hAnsi="Tahoma" w:cs="Tahoma"/>
          <w:sz w:val="24"/>
          <w:szCs w:val="24"/>
        </w:rPr>
        <w:t>a fost de 88,7%.</w:t>
      </w:r>
    </w:p>
    <w:p w:rsidR="00215BE0" w:rsidRPr="003164CE" w:rsidRDefault="00C60107" w:rsidP="00D31469">
      <w:pPr>
        <w:pStyle w:val="ListParagraph"/>
        <w:numPr>
          <w:ilvl w:val="0"/>
          <w:numId w:val="2"/>
        </w:numPr>
        <w:spacing w:before="120" w:after="240" w:line="276" w:lineRule="auto"/>
        <w:ind w:left="641" w:hanging="357"/>
        <w:contextualSpacing w:val="0"/>
        <w:rPr>
          <w:rFonts w:ascii="Tahoma" w:hAnsi="Tahoma" w:cs="Tahoma"/>
          <w:sz w:val="24"/>
          <w:szCs w:val="24"/>
        </w:rPr>
      </w:pPr>
      <w:r w:rsidRPr="003164CE">
        <w:rPr>
          <w:rFonts w:ascii="Tahoma" w:hAnsi="Tahoma" w:cs="Tahoma"/>
          <w:sz w:val="24"/>
          <w:szCs w:val="24"/>
        </w:rPr>
        <w:t xml:space="preserve">Cheltuielile pentru investiții </w:t>
      </w:r>
      <w:bookmarkEnd w:id="24"/>
      <w:bookmarkEnd w:id="25"/>
      <w:bookmarkEnd w:id="26"/>
      <w:bookmarkEnd w:id="27"/>
      <w:bookmarkEnd w:id="28"/>
      <w:r w:rsidR="00215BE0" w:rsidRPr="003164CE">
        <w:rPr>
          <w:rFonts w:ascii="Tahoma" w:hAnsi="Tahoma" w:cs="Tahoma"/>
          <w:sz w:val="24"/>
          <w:szCs w:val="24"/>
        </w:rPr>
        <w:t>au însumat 50,44 miliarde lei (2,66% din PIB) cu 9,</w:t>
      </w:r>
      <w:r w:rsidR="00236CBD" w:rsidRPr="003164CE">
        <w:rPr>
          <w:rFonts w:ascii="Tahoma" w:hAnsi="Tahoma" w:cs="Tahoma"/>
          <w:sz w:val="24"/>
          <w:szCs w:val="24"/>
        </w:rPr>
        <w:t>0</w:t>
      </w:r>
      <w:r w:rsidR="00215BE0" w:rsidRPr="003164CE">
        <w:rPr>
          <w:rFonts w:ascii="Tahoma" w:hAnsi="Tahoma" w:cs="Tahoma"/>
          <w:sz w:val="24"/>
          <w:szCs w:val="24"/>
        </w:rPr>
        <w:t>3%</w:t>
      </w:r>
      <w:r w:rsidR="007F48A8">
        <w:rPr>
          <w:rFonts w:ascii="Tahoma" w:hAnsi="Tahoma" w:cs="Tahoma"/>
          <w:sz w:val="24"/>
          <w:szCs w:val="24"/>
        </w:rPr>
        <w:t xml:space="preserve"> </w:t>
      </w:r>
      <w:r w:rsidR="00215BE0" w:rsidRPr="003164CE">
        <w:rPr>
          <w:rFonts w:ascii="Tahoma" w:hAnsi="Tahoma" w:cs="Tahoma"/>
          <w:sz w:val="24"/>
          <w:szCs w:val="24"/>
        </w:rPr>
        <w:t xml:space="preserve">(+4,2 miliarde lei) mai mari comparativ cu semestrul I 2024. </w:t>
      </w:r>
    </w:p>
    <w:p w:rsidR="00215BE0" w:rsidRPr="003164CE" w:rsidRDefault="00227F7D" w:rsidP="00215BE0">
      <w:pPr>
        <w:pStyle w:val="ListParagraph"/>
        <w:numPr>
          <w:ilvl w:val="1"/>
          <w:numId w:val="2"/>
        </w:numPr>
        <w:spacing w:after="240" w:line="276" w:lineRule="auto"/>
        <w:ind w:left="641" w:hanging="357"/>
        <w:contextualSpacing w:val="0"/>
        <w:rPr>
          <w:rFonts w:ascii="Tahoma" w:eastAsia="Times New Roman" w:hAnsi="Tahoma" w:cs="Tahoma"/>
          <w:sz w:val="24"/>
          <w:szCs w:val="24"/>
        </w:rPr>
      </w:pPr>
      <w:r w:rsidRPr="003164CE">
        <w:rPr>
          <w:rFonts w:ascii="Tahoma" w:eastAsia="Times New Roman" w:hAnsi="Tahoma" w:cs="Tahoma"/>
          <w:sz w:val="24"/>
          <w:szCs w:val="24"/>
        </w:rPr>
        <w:lastRenderedPageBreak/>
        <w:t>Cheltuielile privind proiectele finanțate din fonduri externe nerambursabile</w:t>
      </w:r>
      <w:r w:rsidR="007F48A8">
        <w:rPr>
          <w:rFonts w:ascii="Tahoma" w:eastAsia="Times New Roman" w:hAnsi="Tahoma" w:cs="Tahoma"/>
          <w:sz w:val="24"/>
          <w:szCs w:val="24"/>
        </w:rPr>
        <w:t xml:space="preserve"> </w:t>
      </w:r>
      <w:r w:rsidRPr="003164CE">
        <w:rPr>
          <w:rFonts w:ascii="Tahoma" w:eastAsia="Times New Roman" w:hAnsi="Tahoma" w:cs="Tahoma"/>
          <w:sz w:val="24"/>
          <w:szCs w:val="24"/>
        </w:rPr>
        <w:t xml:space="preserve">(inclusiv subvențiile de la Uniunea Europeană aferente agriculturii și cheltuielile cu proiectele cu finanțare din sumele reprezentând asistenta financiara nerambursabilă aferenta PNRR) </w:t>
      </w:r>
      <w:r w:rsidR="00215BE0" w:rsidRPr="003164CE">
        <w:rPr>
          <w:rFonts w:ascii="Tahoma" w:eastAsia="Times New Roman" w:hAnsi="Tahoma" w:cs="Tahoma"/>
          <w:sz w:val="24"/>
          <w:szCs w:val="24"/>
        </w:rPr>
        <w:t>au fost cu 22,2% mai mari comparativ cu aceeași perioadă a anului precedent</w:t>
      </w:r>
      <w:r w:rsidR="00236CBD" w:rsidRPr="003164CE">
        <w:rPr>
          <w:rFonts w:ascii="Tahoma" w:eastAsia="Times New Roman" w:hAnsi="Tahoma" w:cs="Tahoma"/>
          <w:sz w:val="24"/>
          <w:szCs w:val="24"/>
        </w:rPr>
        <w:t xml:space="preserve"> pe fondul atragerii fondu</w:t>
      </w:r>
      <w:r w:rsidR="00215BE0" w:rsidRPr="003164CE">
        <w:rPr>
          <w:rFonts w:ascii="Tahoma" w:eastAsia="Times New Roman" w:hAnsi="Tahoma" w:cs="Tahoma"/>
          <w:sz w:val="24"/>
          <w:szCs w:val="24"/>
        </w:rPr>
        <w:t xml:space="preserve">rilor aferente proiectelor finanțate din cadrului 2021-2027 și cele aferente proiectelor finanțate din asistența financiară nerambursabilă alocată pentru PNRR. </w:t>
      </w:r>
    </w:p>
    <w:p w:rsidR="00332878" w:rsidRPr="003164CE" w:rsidRDefault="00332878" w:rsidP="001A2D92">
      <w:pPr>
        <w:pStyle w:val="ListParagraph"/>
        <w:numPr>
          <w:ilvl w:val="1"/>
          <w:numId w:val="2"/>
        </w:numPr>
        <w:spacing w:before="120" w:after="120" w:line="276" w:lineRule="auto"/>
        <w:ind w:left="641" w:hanging="357"/>
        <w:contextualSpacing w:val="0"/>
        <w:rPr>
          <w:rFonts w:ascii="Tahoma" w:eastAsia="Times New Roman" w:hAnsi="Tahoma" w:cs="Tahoma"/>
          <w:sz w:val="24"/>
          <w:szCs w:val="24"/>
        </w:rPr>
      </w:pPr>
      <w:r w:rsidRPr="003164CE">
        <w:rPr>
          <w:rFonts w:ascii="Tahoma" w:eastAsia="Times New Roman" w:hAnsi="Tahoma" w:cs="Tahoma"/>
          <w:sz w:val="24"/>
          <w:szCs w:val="24"/>
        </w:rPr>
        <w:t xml:space="preserve">Absorbția fondurilor externe nerambursabile </w:t>
      </w:r>
      <w:r w:rsidR="00215BE0" w:rsidRPr="003164CE">
        <w:rPr>
          <w:rFonts w:ascii="Tahoma" w:eastAsia="Times New Roman" w:hAnsi="Tahoma" w:cs="Tahoma"/>
          <w:sz w:val="24"/>
          <w:szCs w:val="24"/>
        </w:rPr>
        <w:t xml:space="preserve">nu a atins nivelul programat pentru semestrul I 2025 </w:t>
      </w:r>
      <w:r w:rsidRPr="003164CE">
        <w:rPr>
          <w:rFonts w:ascii="Tahoma" w:eastAsia="Times New Roman" w:hAnsi="Tahoma" w:cs="Tahoma"/>
          <w:sz w:val="24"/>
          <w:szCs w:val="24"/>
        </w:rPr>
        <w:t xml:space="preserve">și </w:t>
      </w:r>
      <w:r w:rsidR="00D5085B" w:rsidRPr="003164CE">
        <w:rPr>
          <w:rFonts w:ascii="Tahoma" w:eastAsia="Times New Roman" w:hAnsi="Tahoma" w:cs="Tahoma"/>
          <w:sz w:val="24"/>
          <w:szCs w:val="24"/>
        </w:rPr>
        <w:t xml:space="preserve">ca urmare este imperios necesar ca în a doua jumătate anului curent ordonatorii principali de credite să accelereze implementarea proiectelor finanțate din fonduri externe nerambursabile </w:t>
      </w:r>
      <w:r w:rsidR="00215BE0" w:rsidRPr="003164CE">
        <w:rPr>
          <w:rFonts w:ascii="Tahoma" w:eastAsia="Times New Roman" w:hAnsi="Tahoma" w:cs="Tahoma"/>
          <w:sz w:val="24"/>
          <w:szCs w:val="24"/>
        </w:rPr>
        <w:t xml:space="preserve">aferente noului cadru financiar 2021-2027 </w:t>
      </w:r>
      <w:r w:rsidR="00FA12D6" w:rsidRPr="003164CE">
        <w:rPr>
          <w:rFonts w:ascii="Tahoma" w:eastAsia="Times New Roman" w:hAnsi="Tahoma" w:cs="Tahoma"/>
          <w:sz w:val="24"/>
          <w:szCs w:val="24"/>
        </w:rPr>
        <w:t xml:space="preserve">și a celor din asistența financiară nerambursabilă a </w:t>
      </w:r>
      <w:r w:rsidR="00D5085B" w:rsidRPr="003164CE">
        <w:rPr>
          <w:rFonts w:ascii="Tahoma" w:eastAsia="Times New Roman" w:hAnsi="Tahoma" w:cs="Tahoma"/>
          <w:sz w:val="24"/>
          <w:szCs w:val="24"/>
        </w:rPr>
        <w:t xml:space="preserve">PNRR. </w:t>
      </w:r>
    </w:p>
    <w:p w:rsidR="008B5A4A" w:rsidRPr="003164CE" w:rsidRDefault="00D90007" w:rsidP="00DE054B">
      <w:pPr>
        <w:pStyle w:val="ListParagraph"/>
        <w:numPr>
          <w:ilvl w:val="0"/>
          <w:numId w:val="2"/>
        </w:numPr>
        <w:spacing w:before="240" w:after="120" w:line="276" w:lineRule="auto"/>
        <w:ind w:left="641" w:hanging="357"/>
        <w:contextualSpacing w:val="0"/>
        <w:rPr>
          <w:rFonts w:ascii="Tahoma" w:hAnsi="Tahoma" w:cs="Tahoma"/>
          <w:sz w:val="24"/>
          <w:szCs w:val="24"/>
        </w:rPr>
      </w:pPr>
      <w:r w:rsidRPr="003164CE">
        <w:rPr>
          <w:rFonts w:ascii="Tahoma" w:hAnsi="Tahoma" w:cs="Tahoma"/>
          <w:bCs/>
          <w:sz w:val="24"/>
          <w:szCs w:val="24"/>
        </w:rPr>
        <w:t>Având în vedere execuția bugetară din primul semestru al anului 202</w:t>
      </w:r>
      <w:r w:rsidR="00215BE0" w:rsidRPr="003164CE">
        <w:rPr>
          <w:rFonts w:ascii="Tahoma" w:hAnsi="Tahoma" w:cs="Tahoma"/>
          <w:bCs/>
          <w:sz w:val="24"/>
          <w:szCs w:val="24"/>
        </w:rPr>
        <w:t>5</w:t>
      </w:r>
      <w:r w:rsidRPr="003164CE">
        <w:rPr>
          <w:rFonts w:ascii="Tahoma" w:hAnsi="Tahoma" w:cs="Tahoma"/>
          <w:bCs/>
          <w:sz w:val="24"/>
          <w:szCs w:val="24"/>
        </w:rPr>
        <w:t xml:space="preserve"> apreciem că </w:t>
      </w:r>
      <w:r w:rsidR="008B5A4A" w:rsidRPr="003164CE">
        <w:rPr>
          <w:rFonts w:ascii="Tahoma" w:hAnsi="Tahoma" w:cs="Tahoma"/>
          <w:bCs/>
          <w:sz w:val="24"/>
          <w:szCs w:val="24"/>
        </w:rPr>
        <w:t>pentru atingerea țintei de deficit stabilite pentru anul 202</w:t>
      </w:r>
      <w:r w:rsidR="00D31469" w:rsidRPr="003164CE">
        <w:rPr>
          <w:rFonts w:ascii="Tahoma" w:hAnsi="Tahoma" w:cs="Tahoma"/>
          <w:bCs/>
          <w:sz w:val="24"/>
          <w:szCs w:val="24"/>
        </w:rPr>
        <w:t>5</w:t>
      </w:r>
      <w:r w:rsidR="008B5A4A" w:rsidRPr="003164CE">
        <w:rPr>
          <w:rFonts w:ascii="Tahoma" w:hAnsi="Tahoma" w:cs="Tahoma"/>
          <w:bCs/>
          <w:sz w:val="24"/>
          <w:szCs w:val="24"/>
        </w:rPr>
        <w:t xml:space="preserve"> este necesar </w:t>
      </w:r>
      <w:r w:rsidR="00D5085B" w:rsidRPr="003164CE">
        <w:rPr>
          <w:rFonts w:ascii="Tahoma" w:hAnsi="Tahoma" w:cs="Tahoma"/>
          <w:bCs/>
          <w:sz w:val="24"/>
          <w:szCs w:val="24"/>
        </w:rPr>
        <w:t xml:space="preserve">să fie continuate și intensificate </w:t>
      </w:r>
      <w:r w:rsidR="008B5A4A" w:rsidRPr="003164CE">
        <w:rPr>
          <w:rFonts w:ascii="Tahoma" w:hAnsi="Tahoma" w:cs="Tahoma"/>
          <w:bCs/>
          <w:sz w:val="24"/>
          <w:szCs w:val="24"/>
        </w:rPr>
        <w:t>eforturil</w:t>
      </w:r>
      <w:r w:rsidR="00D5085B" w:rsidRPr="003164CE">
        <w:rPr>
          <w:rFonts w:ascii="Tahoma" w:hAnsi="Tahoma" w:cs="Tahoma"/>
          <w:bCs/>
          <w:sz w:val="24"/>
          <w:szCs w:val="24"/>
        </w:rPr>
        <w:t>e</w:t>
      </w:r>
      <w:r w:rsidR="008B5A4A" w:rsidRPr="003164CE">
        <w:rPr>
          <w:rFonts w:ascii="Tahoma" w:hAnsi="Tahoma" w:cs="Tahoma"/>
          <w:bCs/>
          <w:sz w:val="24"/>
          <w:szCs w:val="24"/>
        </w:rPr>
        <w:t xml:space="preserve"> pentru o colectare cât mai bună a veniturilor bugetare</w:t>
      </w:r>
      <w:r w:rsidR="00D5085B" w:rsidRPr="003164CE">
        <w:rPr>
          <w:rFonts w:ascii="Tahoma" w:hAnsi="Tahoma" w:cs="Tahoma"/>
          <w:bCs/>
          <w:sz w:val="24"/>
          <w:szCs w:val="24"/>
        </w:rPr>
        <w:t xml:space="preserve"> astfel încât nivelul programat să fie atins.</w:t>
      </w:r>
      <w:r w:rsidR="008B5A4A" w:rsidRPr="003164CE">
        <w:rPr>
          <w:rFonts w:ascii="Tahoma" w:hAnsi="Tahoma" w:cs="Tahoma"/>
          <w:bCs/>
          <w:sz w:val="24"/>
          <w:szCs w:val="24"/>
        </w:rPr>
        <w:t xml:space="preserve"> Totodată în cazul chel</w:t>
      </w:r>
      <w:r w:rsidR="00D31469" w:rsidRPr="003164CE">
        <w:rPr>
          <w:rFonts w:ascii="Tahoma" w:hAnsi="Tahoma" w:cs="Tahoma"/>
          <w:bCs/>
          <w:sz w:val="24"/>
          <w:szCs w:val="24"/>
        </w:rPr>
        <w:t xml:space="preserve">tuielilor bugetare se recomandă </w:t>
      </w:r>
      <w:r w:rsidR="00D5085B" w:rsidRPr="003164CE">
        <w:rPr>
          <w:rFonts w:ascii="Tahoma" w:hAnsi="Tahoma" w:cs="Tahoma"/>
          <w:bCs/>
          <w:sz w:val="24"/>
          <w:szCs w:val="24"/>
        </w:rPr>
        <w:t xml:space="preserve">o atenție deosebită </w:t>
      </w:r>
      <w:r w:rsidR="008B5A4A" w:rsidRPr="003164CE">
        <w:rPr>
          <w:rFonts w:ascii="Tahoma" w:hAnsi="Tahoma" w:cs="Tahoma"/>
          <w:bCs/>
          <w:sz w:val="24"/>
          <w:szCs w:val="24"/>
        </w:rPr>
        <w:t>în angajarea de noi cheltuieli</w:t>
      </w:r>
      <w:r w:rsidR="00D41B5E" w:rsidRPr="003164CE">
        <w:rPr>
          <w:rFonts w:ascii="Tahoma" w:hAnsi="Tahoma" w:cs="Tahoma"/>
          <w:bCs/>
          <w:sz w:val="24"/>
          <w:szCs w:val="24"/>
        </w:rPr>
        <w:t xml:space="preserve"> </w:t>
      </w:r>
      <w:r w:rsidR="008B5A4A" w:rsidRPr="003164CE">
        <w:rPr>
          <w:rFonts w:ascii="Tahoma" w:hAnsi="Tahoma" w:cs="Tahoma"/>
          <w:bCs/>
          <w:sz w:val="24"/>
          <w:szCs w:val="24"/>
        </w:rPr>
        <w:t xml:space="preserve">precum și o analiză riguroasă a cheltuielilor programate </w:t>
      </w:r>
      <w:r w:rsidR="00EF30E0" w:rsidRPr="003164CE">
        <w:rPr>
          <w:rFonts w:ascii="Tahoma" w:hAnsi="Tahoma" w:cs="Tahoma"/>
          <w:bCs/>
          <w:sz w:val="24"/>
          <w:szCs w:val="24"/>
        </w:rPr>
        <w:t xml:space="preserve">în vederea </w:t>
      </w:r>
      <w:r w:rsidR="008B5A4A" w:rsidRPr="003164CE">
        <w:rPr>
          <w:rFonts w:ascii="Tahoma" w:hAnsi="Tahoma" w:cs="Tahoma"/>
          <w:bCs/>
          <w:sz w:val="24"/>
          <w:szCs w:val="24"/>
        </w:rPr>
        <w:t>identific</w:t>
      </w:r>
      <w:r w:rsidR="00EF30E0" w:rsidRPr="003164CE">
        <w:rPr>
          <w:rFonts w:ascii="Tahoma" w:hAnsi="Tahoma" w:cs="Tahoma"/>
          <w:bCs/>
          <w:sz w:val="24"/>
          <w:szCs w:val="24"/>
        </w:rPr>
        <w:t>ării</w:t>
      </w:r>
      <w:r w:rsidR="008B5A4A" w:rsidRPr="003164CE">
        <w:rPr>
          <w:rFonts w:ascii="Tahoma" w:hAnsi="Tahoma" w:cs="Tahoma"/>
          <w:bCs/>
          <w:sz w:val="24"/>
          <w:szCs w:val="24"/>
        </w:rPr>
        <w:t xml:space="preserve"> </w:t>
      </w:r>
      <w:r w:rsidR="00EF30E0" w:rsidRPr="003164CE">
        <w:rPr>
          <w:rFonts w:ascii="Tahoma" w:hAnsi="Tahoma" w:cs="Tahoma"/>
          <w:bCs/>
          <w:sz w:val="24"/>
          <w:szCs w:val="24"/>
        </w:rPr>
        <w:t xml:space="preserve">unor </w:t>
      </w:r>
      <w:r w:rsidR="008B5A4A" w:rsidRPr="003164CE">
        <w:rPr>
          <w:rFonts w:ascii="Tahoma" w:hAnsi="Tahoma" w:cs="Tahoma"/>
          <w:bCs/>
          <w:sz w:val="24"/>
          <w:szCs w:val="24"/>
        </w:rPr>
        <w:t>eventuale sume ce pot fi economisite</w:t>
      </w:r>
      <w:r w:rsidR="00F66D63" w:rsidRPr="003164CE">
        <w:rPr>
          <w:rFonts w:ascii="Tahoma" w:hAnsi="Tahoma" w:cs="Tahoma"/>
          <w:bCs/>
          <w:sz w:val="24"/>
          <w:szCs w:val="24"/>
        </w:rPr>
        <w:t xml:space="preserve"> astfel</w:t>
      </w:r>
      <w:r w:rsidR="002960BD" w:rsidRPr="003164CE">
        <w:rPr>
          <w:rFonts w:ascii="Tahoma" w:hAnsi="Tahoma" w:cs="Tahoma"/>
          <w:bCs/>
          <w:sz w:val="24"/>
          <w:szCs w:val="24"/>
        </w:rPr>
        <w:t xml:space="preserve"> încât </w:t>
      </w:r>
      <w:r w:rsidR="00EF30E0" w:rsidRPr="003164CE">
        <w:rPr>
          <w:rFonts w:ascii="Tahoma" w:hAnsi="Tahoma" w:cs="Tahoma"/>
          <w:bCs/>
          <w:sz w:val="24"/>
          <w:szCs w:val="24"/>
        </w:rPr>
        <w:t>să nu afecteze negativ soldul bugetar stabilit pentru anul 202</w:t>
      </w:r>
      <w:r w:rsidR="00D31469" w:rsidRPr="003164CE">
        <w:rPr>
          <w:rFonts w:ascii="Tahoma" w:hAnsi="Tahoma" w:cs="Tahoma"/>
          <w:bCs/>
          <w:sz w:val="24"/>
          <w:szCs w:val="24"/>
        </w:rPr>
        <w:t>5</w:t>
      </w:r>
      <w:r w:rsidR="008B5A4A" w:rsidRPr="003164CE">
        <w:rPr>
          <w:rFonts w:ascii="Tahoma" w:hAnsi="Tahoma" w:cs="Tahoma"/>
          <w:bCs/>
          <w:sz w:val="24"/>
          <w:szCs w:val="24"/>
        </w:rPr>
        <w:t>.</w:t>
      </w:r>
    </w:p>
    <w:p w:rsidR="00332878" w:rsidRPr="003164CE" w:rsidRDefault="00332878" w:rsidP="00DE054B">
      <w:pPr>
        <w:pStyle w:val="ListParagraph"/>
        <w:widowControl w:val="0"/>
        <w:numPr>
          <w:ilvl w:val="0"/>
          <w:numId w:val="2"/>
        </w:numPr>
        <w:suppressAutoHyphens/>
        <w:spacing w:line="276" w:lineRule="auto"/>
        <w:rPr>
          <w:rFonts w:ascii="Tahoma" w:hAnsi="Tahoma" w:cs="Tahoma"/>
          <w:bCs/>
          <w:sz w:val="24"/>
          <w:szCs w:val="24"/>
        </w:rPr>
      </w:pPr>
      <w:r w:rsidRPr="003164CE">
        <w:rPr>
          <w:rFonts w:ascii="Tahoma" w:hAnsi="Tahoma" w:cs="Tahoma"/>
          <w:bCs/>
          <w:sz w:val="24"/>
          <w:szCs w:val="24"/>
        </w:rPr>
        <w:t>În lipsa unor măsuri bugetare, care să conducă la limitarea și diminuarea cheltuielilor bugetare pe perioada răma</w:t>
      </w:r>
      <w:r w:rsidR="008405D8" w:rsidRPr="003164CE">
        <w:rPr>
          <w:rFonts w:ascii="Tahoma" w:hAnsi="Tahoma" w:cs="Tahoma"/>
          <w:bCs/>
          <w:sz w:val="24"/>
          <w:szCs w:val="24"/>
        </w:rPr>
        <w:t xml:space="preserve">să până la sfârșitul acestui an în contextul în care creșterea economică este inferioară celei pe bazele căreia a fost construit bugetul pentru anul 2025 </w:t>
      </w:r>
      <w:r w:rsidR="00EF30E0" w:rsidRPr="003164CE">
        <w:rPr>
          <w:rFonts w:ascii="Tahoma" w:hAnsi="Tahoma" w:cs="Tahoma"/>
          <w:bCs/>
          <w:sz w:val="24"/>
          <w:szCs w:val="24"/>
        </w:rPr>
        <w:t xml:space="preserve">există riscul major ca </w:t>
      </w:r>
      <w:r w:rsidRPr="003164CE">
        <w:rPr>
          <w:rFonts w:ascii="Tahoma" w:hAnsi="Tahoma" w:cs="Tahoma"/>
          <w:bCs/>
          <w:sz w:val="24"/>
          <w:szCs w:val="24"/>
        </w:rPr>
        <w:t xml:space="preserve">ținta de deficit asumată </w:t>
      </w:r>
      <w:r w:rsidR="00EF30E0" w:rsidRPr="003164CE">
        <w:rPr>
          <w:rFonts w:ascii="Tahoma" w:hAnsi="Tahoma" w:cs="Tahoma"/>
          <w:bCs/>
          <w:sz w:val="24"/>
          <w:szCs w:val="24"/>
        </w:rPr>
        <w:t>să fie</w:t>
      </w:r>
      <w:r w:rsidRPr="003164CE">
        <w:rPr>
          <w:rFonts w:ascii="Tahoma" w:hAnsi="Tahoma" w:cs="Tahoma"/>
          <w:bCs/>
          <w:sz w:val="24"/>
          <w:szCs w:val="24"/>
        </w:rPr>
        <w:t xml:space="preserve"> depășită</w:t>
      </w:r>
      <w:r w:rsidR="00EC7A88" w:rsidRPr="003164CE">
        <w:rPr>
          <w:rFonts w:ascii="Tahoma" w:hAnsi="Tahoma" w:cs="Tahoma"/>
          <w:bCs/>
          <w:sz w:val="24"/>
          <w:szCs w:val="24"/>
        </w:rPr>
        <w:t xml:space="preserve"> </w:t>
      </w:r>
      <w:r w:rsidRPr="003164CE">
        <w:rPr>
          <w:rFonts w:ascii="Tahoma" w:hAnsi="Tahoma" w:cs="Tahoma"/>
          <w:bCs/>
          <w:sz w:val="24"/>
          <w:szCs w:val="24"/>
        </w:rPr>
        <w:t>cu consecințe imediate asupra creșterii costurilor finanțării deficitului bugetar dar și asupra fondurilor alocate pentru investiții în cadrul Politicii de Coeziune cât și asupra fondurilor alocate prin Planul Național de Redresare și Reziliență.</w:t>
      </w:r>
    </w:p>
    <w:sectPr w:rsidR="00332878" w:rsidRPr="003164CE" w:rsidSect="009046E2">
      <w:headerReference w:type="default" r:id="rId26"/>
      <w:headerReference w:type="first" r:id="rId27"/>
      <w:footerReference w:type="first" r:id="rId28"/>
      <w:pgSz w:w="11906" w:h="16838"/>
      <w:pgMar w:top="1418" w:right="1416"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AEA" w:rsidRDefault="002D0AEA" w:rsidP="007C4F03">
      <w:pPr>
        <w:spacing w:after="0"/>
      </w:pPr>
      <w:r>
        <w:separator/>
      </w:r>
    </w:p>
  </w:endnote>
  <w:endnote w:type="continuationSeparator" w:id="0">
    <w:p w:rsidR="002D0AEA" w:rsidRDefault="002D0AEA" w:rsidP="007C4F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Liberation Serif"/>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alias w:val="Title"/>
      <w:tag w:val=""/>
      <w:id w:val="-651670513"/>
      <w:placeholder>
        <w:docPart w:val="94F76550A00B435A8C42A91A27DEF220"/>
      </w:placeholder>
      <w:dataBinding w:prefixMappings="xmlns:ns0='http://purl.org/dc/elements/1.1/' xmlns:ns1='http://schemas.openxmlformats.org/package/2006/metadata/core-properties' " w:xpath="/ns1:coreProperties[1]/ns0:title[1]" w:storeItemID="{6C3C8BC8-F283-45AE-878A-BAB7291924A1}"/>
      <w:text/>
    </w:sdtPr>
    <w:sdtEndPr/>
    <w:sdtContent>
      <w:p w:rsidR="008E12AA" w:rsidRPr="00F913B9" w:rsidRDefault="008E12AA" w:rsidP="00F913B9">
        <w:pPr>
          <w:pStyle w:val="Footer"/>
          <w:shd w:val="clear" w:color="auto" w:fill="DEEAF6" w:themeFill="accent1" w:themeFillTint="33"/>
          <w:rPr>
            <w:i/>
            <w:color w:val="5B9BD5" w:themeColor="accent1"/>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F913B9">
          <w:rPr>
            <w:i/>
            <w:color w:val="5B9BD5" w:themeColor="accent1"/>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Raport privind situația economică și bugetară pe primele șase luni ale anului 2025</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le"/>
      <w:tag w:val=""/>
      <w:id w:val="-1174718405"/>
      <w:placeholder>
        <w:docPart w:val="9D2ED6DF2E924F3297467187B7108D7A"/>
      </w:placeholder>
      <w:dataBinding w:prefixMappings="xmlns:ns0='http://purl.org/dc/elements/1.1/' xmlns:ns1='http://schemas.openxmlformats.org/package/2006/metadata/core-properties' " w:xpath="/ns1:coreProperties[1]/ns0:title[1]" w:storeItemID="{6C3C8BC8-F283-45AE-878A-BAB7291924A1}"/>
      <w:text/>
    </w:sdtPr>
    <w:sdtEndPr/>
    <w:sdtContent>
      <w:p w:rsidR="008E12AA" w:rsidRPr="002F4151" w:rsidRDefault="008E12AA" w:rsidP="002F4151">
        <w:pPr>
          <w:pStyle w:val="Footer"/>
          <w:shd w:val="clear" w:color="auto" w:fill="E2EFD9" w:themeFill="accent6" w:themeFillTint="33"/>
          <w:rPr>
            <w: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4151">
          <w:rPr>
            <w: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Raport privind situația economică și bugetară pe primele șase luni ale anului 2025</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EA" w:rsidRDefault="002D0AEA" w:rsidP="007C4F03">
      <w:pPr>
        <w:spacing w:after="0"/>
      </w:pPr>
      <w:r>
        <w:separator/>
      </w:r>
    </w:p>
  </w:footnote>
  <w:footnote w:type="continuationSeparator" w:id="0">
    <w:p w:rsidR="002D0AEA" w:rsidRDefault="002D0AEA" w:rsidP="007C4F03">
      <w:pPr>
        <w:spacing w:after="0"/>
      </w:pPr>
      <w:r>
        <w:continuationSeparator/>
      </w:r>
    </w:p>
  </w:footnote>
  <w:footnote w:id="1">
    <w:p w:rsidR="008E12AA" w:rsidRPr="00D66EA7" w:rsidRDefault="008E12AA" w:rsidP="0086600B">
      <w:pPr>
        <w:pStyle w:val="FootnoteText"/>
        <w:rPr>
          <w:rFonts w:asciiTheme="minorHAnsi" w:hAnsiTheme="minorHAnsi" w:cstheme="minorHAnsi"/>
          <w:sz w:val="18"/>
          <w:szCs w:val="18"/>
        </w:rPr>
      </w:pPr>
      <w:r w:rsidRPr="00D66EA7">
        <w:rPr>
          <w:rStyle w:val="FootnoteReference"/>
          <w:rFonts w:asciiTheme="minorHAnsi" w:hAnsiTheme="minorHAnsi" w:cstheme="minorHAnsi"/>
          <w:sz w:val="18"/>
          <w:szCs w:val="18"/>
        </w:rPr>
        <w:footnoteRef/>
      </w:r>
      <w:r w:rsidRPr="00D66EA7">
        <w:rPr>
          <w:rStyle w:val="FootnoteReference"/>
          <w:sz w:val="18"/>
          <w:szCs w:val="18"/>
        </w:rPr>
        <w:t xml:space="preserve"> </w:t>
      </w:r>
      <w:r w:rsidRPr="00E9750C">
        <w:rPr>
          <w:rFonts w:asciiTheme="minorHAnsi" w:hAnsiTheme="minorHAnsi" w:cstheme="minorHAnsi"/>
          <w:sz w:val="18"/>
          <w:szCs w:val="18"/>
        </w:rPr>
        <w:t>decembrie 202</w:t>
      </w:r>
      <w:r>
        <w:rPr>
          <w:rFonts w:asciiTheme="minorHAnsi" w:hAnsiTheme="minorHAnsi" w:cstheme="minorHAnsi"/>
          <w:sz w:val="18"/>
          <w:szCs w:val="18"/>
        </w:rPr>
        <w:t>4</w:t>
      </w:r>
      <w:r w:rsidRPr="00E9750C">
        <w:rPr>
          <w:rFonts w:asciiTheme="minorHAnsi" w:hAnsiTheme="minorHAnsi" w:cstheme="minorHAnsi"/>
          <w:sz w:val="18"/>
          <w:szCs w:val="18"/>
        </w:rPr>
        <w:t>-</w:t>
      </w:r>
      <w:r>
        <w:rPr>
          <w:rFonts w:asciiTheme="minorHAnsi" w:hAnsiTheme="minorHAnsi" w:cstheme="minorHAnsi"/>
          <w:sz w:val="18"/>
          <w:szCs w:val="18"/>
        </w:rPr>
        <w:t xml:space="preserve">mai </w:t>
      </w:r>
      <w:r w:rsidRPr="00E9750C">
        <w:rPr>
          <w:rFonts w:asciiTheme="minorHAnsi" w:hAnsiTheme="minorHAnsi" w:cstheme="minorHAnsi"/>
          <w:sz w:val="18"/>
          <w:szCs w:val="18"/>
        </w:rPr>
        <w:t>202</w:t>
      </w:r>
      <w:r>
        <w:rPr>
          <w:rFonts w:asciiTheme="minorHAnsi" w:hAnsiTheme="minorHAnsi" w:cstheme="minorHAnsi"/>
          <w:sz w:val="18"/>
          <w:szCs w:val="18"/>
        </w:rPr>
        <w:t>5</w:t>
      </w:r>
      <w:r w:rsidRPr="00E9750C">
        <w:rPr>
          <w:rFonts w:asciiTheme="minorHAnsi" w:hAnsiTheme="minorHAnsi" w:cstheme="minorHAnsi"/>
          <w:sz w:val="18"/>
          <w:szCs w:val="18"/>
        </w:rPr>
        <w:t>/decembrie 202</w:t>
      </w:r>
      <w:r>
        <w:rPr>
          <w:rFonts w:asciiTheme="minorHAnsi" w:hAnsiTheme="minorHAnsi" w:cstheme="minorHAnsi"/>
          <w:sz w:val="18"/>
          <w:szCs w:val="18"/>
        </w:rPr>
        <w:t>3</w:t>
      </w:r>
      <w:r w:rsidRPr="00E9750C">
        <w:rPr>
          <w:rFonts w:asciiTheme="minorHAnsi" w:hAnsiTheme="minorHAnsi" w:cstheme="minorHAnsi"/>
          <w:sz w:val="18"/>
          <w:szCs w:val="18"/>
        </w:rPr>
        <w:t>-</w:t>
      </w:r>
      <w:r>
        <w:rPr>
          <w:rFonts w:asciiTheme="minorHAnsi" w:hAnsiTheme="minorHAnsi" w:cstheme="minorHAnsi"/>
          <w:sz w:val="18"/>
          <w:szCs w:val="18"/>
        </w:rPr>
        <w:t xml:space="preserve">mai </w:t>
      </w:r>
      <w:r w:rsidRPr="00E9750C">
        <w:rPr>
          <w:rFonts w:asciiTheme="minorHAnsi" w:hAnsiTheme="minorHAnsi" w:cstheme="minorHAnsi"/>
          <w:sz w:val="18"/>
          <w:szCs w:val="18"/>
        </w:rPr>
        <w:t>202</w:t>
      </w:r>
      <w:r>
        <w:rPr>
          <w:rFonts w:asciiTheme="minorHAnsi" w:hAnsiTheme="minorHAnsi" w:cstheme="minorHAnsi"/>
          <w:sz w:val="18"/>
          <w:szCs w:val="18"/>
        </w:rPr>
        <w:t>4</w:t>
      </w:r>
    </w:p>
  </w:footnote>
  <w:footnote w:id="2">
    <w:p w:rsidR="008E12AA" w:rsidRPr="00031049" w:rsidRDefault="008E12AA" w:rsidP="0086600B">
      <w:pPr>
        <w:autoSpaceDE w:val="0"/>
        <w:autoSpaceDN w:val="0"/>
        <w:adjustRightInd w:val="0"/>
        <w:rPr>
          <w:rFonts w:eastAsia="Calibri" w:cstheme="minorHAnsi"/>
          <w:sz w:val="20"/>
          <w:szCs w:val="20"/>
        </w:rPr>
      </w:pPr>
      <w:r w:rsidRPr="00E53188">
        <w:rPr>
          <w:rStyle w:val="FootnoteReference"/>
          <w:rFonts w:eastAsia="Calibri" w:cstheme="minorHAnsi"/>
          <w:sz w:val="20"/>
          <w:szCs w:val="20"/>
        </w:rPr>
        <w:footnoteRef/>
      </w:r>
      <w:r w:rsidRPr="000E040D">
        <w:rPr>
          <w:rFonts w:cstheme="minorHAnsi"/>
        </w:rPr>
        <w:t xml:space="preserve"> </w:t>
      </w:r>
      <w:r>
        <w:rPr>
          <w:rFonts w:eastAsia="Calibri" w:cstheme="minorHAnsi"/>
          <w:sz w:val="20"/>
          <w:szCs w:val="20"/>
        </w:rPr>
        <w:t>Ordonanța de urgență a Guvernului</w:t>
      </w:r>
      <w:r w:rsidRPr="00A44E97">
        <w:rPr>
          <w:rFonts w:eastAsia="Calibri" w:cstheme="minorHAnsi"/>
          <w:sz w:val="20"/>
          <w:szCs w:val="20"/>
        </w:rPr>
        <w:t xml:space="preserve">  </w:t>
      </w:r>
      <w:r>
        <w:rPr>
          <w:rFonts w:eastAsia="Calibri" w:cstheme="minorHAnsi"/>
          <w:sz w:val="20"/>
          <w:szCs w:val="20"/>
        </w:rPr>
        <w:t>n</w:t>
      </w:r>
      <w:r w:rsidRPr="00A44E97">
        <w:rPr>
          <w:rFonts w:eastAsia="Calibri" w:cstheme="minorHAnsi"/>
          <w:sz w:val="20"/>
          <w:szCs w:val="20"/>
        </w:rPr>
        <w:t>r</w:t>
      </w:r>
      <w:r>
        <w:rPr>
          <w:rFonts w:eastAsia="Calibri" w:cstheme="minorHAnsi"/>
          <w:sz w:val="20"/>
          <w:szCs w:val="20"/>
        </w:rPr>
        <w:t xml:space="preserve">. 156/2024 </w:t>
      </w:r>
      <w:r w:rsidRPr="00A44E97">
        <w:rPr>
          <w:rFonts w:eastAsia="Calibri" w:cstheme="minorHAnsi"/>
          <w:sz w:val="20"/>
          <w:szCs w:val="20"/>
        </w:rPr>
        <w:t xml:space="preserve">privind unele măsuri fiscal-bugetare în domeniul cheltuielilor publice pentru fundamentarea bugetului general consolidat pe anul 2025, pentru modificarea </w:t>
      </w:r>
      <w:proofErr w:type="spellStart"/>
      <w:r w:rsidRPr="00A44E97">
        <w:rPr>
          <w:rFonts w:eastAsia="Calibri" w:cstheme="minorHAnsi"/>
          <w:sz w:val="20"/>
          <w:szCs w:val="20"/>
        </w:rPr>
        <w:t>şi</w:t>
      </w:r>
      <w:proofErr w:type="spellEnd"/>
      <w:r w:rsidRPr="00A44E97">
        <w:rPr>
          <w:rFonts w:eastAsia="Calibri" w:cstheme="minorHAnsi"/>
          <w:sz w:val="20"/>
          <w:szCs w:val="20"/>
        </w:rPr>
        <w:t xml:space="preserve"> completarea unor acte normative, precum </w:t>
      </w:r>
      <w:proofErr w:type="spellStart"/>
      <w:r w:rsidRPr="00A44E97">
        <w:rPr>
          <w:rFonts w:eastAsia="Calibri" w:cstheme="minorHAnsi"/>
          <w:sz w:val="20"/>
          <w:szCs w:val="20"/>
        </w:rPr>
        <w:t>şi</w:t>
      </w:r>
      <w:proofErr w:type="spellEnd"/>
      <w:r w:rsidRPr="00A44E97">
        <w:rPr>
          <w:rFonts w:eastAsia="Calibri" w:cstheme="minorHAnsi"/>
          <w:sz w:val="20"/>
          <w:szCs w:val="20"/>
        </w:rPr>
        <w:t xml:space="preserve"> pentru prorogarea unor termene</w:t>
      </w:r>
    </w:p>
  </w:footnote>
  <w:footnote w:id="3">
    <w:p w:rsidR="008E12AA" w:rsidRPr="0066306E" w:rsidRDefault="008E12AA" w:rsidP="0086600B">
      <w:pPr>
        <w:pStyle w:val="FootnoteText"/>
        <w:rPr>
          <w:rFonts w:asciiTheme="minorHAnsi" w:hAnsiTheme="minorHAnsi" w:cstheme="minorHAnsi"/>
        </w:rPr>
      </w:pPr>
      <w:r>
        <w:rPr>
          <w:rStyle w:val="FootnoteReference"/>
        </w:rPr>
        <w:footnoteRef/>
      </w:r>
      <w:r>
        <w:t xml:space="preserve"> </w:t>
      </w:r>
      <w:r w:rsidRPr="0066306E">
        <w:rPr>
          <w:rFonts w:asciiTheme="minorHAnsi" w:hAnsiTheme="minorHAnsi" w:cstheme="minorHAnsi"/>
        </w:rPr>
        <w:t xml:space="preserve">H.G nr. 1506/2024 pentru stabilirea salariului de bază minim brut pe </w:t>
      </w:r>
      <w:proofErr w:type="spellStart"/>
      <w:r w:rsidRPr="0066306E">
        <w:rPr>
          <w:rFonts w:asciiTheme="minorHAnsi" w:hAnsiTheme="minorHAnsi" w:cstheme="minorHAnsi"/>
        </w:rPr>
        <w:t>ţară</w:t>
      </w:r>
      <w:proofErr w:type="spellEnd"/>
      <w:r w:rsidRPr="0066306E">
        <w:rPr>
          <w:rFonts w:asciiTheme="minorHAnsi" w:hAnsiTheme="minorHAnsi" w:cstheme="minorHAnsi"/>
        </w:rPr>
        <w:t xml:space="preserve"> garantat în plată</w:t>
      </w:r>
    </w:p>
  </w:footnote>
  <w:footnote w:id="4">
    <w:p w:rsidR="008E12AA" w:rsidRPr="005D3DCD" w:rsidRDefault="008E12AA" w:rsidP="009D1E86">
      <w:pPr>
        <w:pStyle w:val="FootnoteText"/>
        <w:rPr>
          <w:rFonts w:asciiTheme="minorHAnsi" w:hAnsiTheme="minorHAnsi" w:cstheme="minorHAnsi"/>
        </w:rPr>
      </w:pPr>
      <w:r w:rsidRPr="009B13E2">
        <w:rPr>
          <w:rStyle w:val="FootnoteReference"/>
          <w:rFonts w:cstheme="minorHAnsi"/>
        </w:rPr>
        <w:footnoteRef/>
      </w:r>
      <w:r w:rsidRPr="009B13E2">
        <w:rPr>
          <w:rStyle w:val="FootnoteReference"/>
          <w:rFonts w:cstheme="minorHAnsi"/>
        </w:rPr>
        <w:t xml:space="preserve"> </w:t>
      </w:r>
      <w:r w:rsidRPr="005D3DCD">
        <w:rPr>
          <w:rFonts w:asciiTheme="minorHAnsi" w:hAnsiTheme="minorHAnsi" w:cstheme="minorHAnsi"/>
        </w:rPr>
        <w:t>exclusiv restituiri și majorări de întârziere</w:t>
      </w:r>
    </w:p>
  </w:footnote>
  <w:footnote w:id="5">
    <w:p w:rsidR="008E12AA" w:rsidRPr="005D3DCD" w:rsidRDefault="008E12AA" w:rsidP="009D1E86">
      <w:pPr>
        <w:pStyle w:val="FootnoteText"/>
        <w:rPr>
          <w:rFonts w:asciiTheme="minorHAnsi" w:hAnsiTheme="minorHAnsi" w:cstheme="minorHAnsi"/>
        </w:rPr>
      </w:pPr>
      <w:r w:rsidRPr="009B13E2">
        <w:rPr>
          <w:rStyle w:val="FootnoteReference"/>
          <w:rFonts w:cstheme="minorHAnsi"/>
        </w:rPr>
        <w:footnoteRef/>
      </w:r>
      <w:r w:rsidRPr="009B13E2">
        <w:rPr>
          <w:rFonts w:cstheme="minorHAnsi"/>
        </w:rPr>
        <w:t xml:space="preserve"> </w:t>
      </w:r>
      <w:r w:rsidRPr="005D3DCD">
        <w:rPr>
          <w:rFonts w:asciiTheme="minorHAnsi" w:hAnsiTheme="minorHAnsi" w:cstheme="minorHAnsi"/>
        </w:rPr>
        <w:t xml:space="preserve">TVA din operațiuni interne au crescut cu </w:t>
      </w:r>
      <w:r>
        <w:rPr>
          <w:rFonts w:asciiTheme="minorHAnsi" w:hAnsiTheme="minorHAnsi" w:cstheme="minorHAnsi"/>
        </w:rPr>
        <w:t>5,8</w:t>
      </w:r>
      <w:r w:rsidRPr="005D3DCD">
        <w:rPr>
          <w:rFonts w:asciiTheme="minorHAnsi" w:hAnsiTheme="minorHAnsi" w:cstheme="minorHAnsi"/>
        </w:rPr>
        <w:t xml:space="preserve">%, iar TVA din importurile de bunuri au </w:t>
      </w:r>
      <w:r>
        <w:rPr>
          <w:rFonts w:asciiTheme="minorHAnsi" w:hAnsiTheme="minorHAnsi" w:cstheme="minorHAnsi"/>
        </w:rPr>
        <w:t xml:space="preserve">scăzut </w:t>
      </w:r>
      <w:r w:rsidRPr="005D3DCD">
        <w:rPr>
          <w:rFonts w:asciiTheme="minorHAnsi" w:hAnsiTheme="minorHAnsi" w:cstheme="minorHAnsi"/>
        </w:rPr>
        <w:t xml:space="preserve">cu </w:t>
      </w:r>
      <w:r>
        <w:rPr>
          <w:rFonts w:asciiTheme="minorHAnsi" w:hAnsiTheme="minorHAnsi" w:cstheme="minorHAnsi"/>
        </w:rPr>
        <w:t>5,6</w:t>
      </w:r>
      <w:r w:rsidRPr="005D3DCD">
        <w:rPr>
          <w:rFonts w:asciiTheme="minorHAnsi" w:hAnsiTheme="minorHAnsi" w:cstheme="minorHAnsi"/>
        </w:rPr>
        <w:t>%</w:t>
      </w:r>
    </w:p>
  </w:footnote>
  <w:footnote w:id="6">
    <w:p w:rsidR="008E12AA" w:rsidRPr="001D7A9E" w:rsidRDefault="008E12AA" w:rsidP="006C34B6">
      <w:pPr>
        <w:pStyle w:val="FootnoteText"/>
        <w:rPr>
          <w:rFonts w:asciiTheme="minorHAnsi" w:hAnsiTheme="minorHAnsi" w:cstheme="minorHAnsi"/>
        </w:rPr>
      </w:pPr>
      <w:r w:rsidRPr="00412E1E">
        <w:rPr>
          <w:rStyle w:val="FootnoteReference"/>
          <w:rFonts w:cstheme="minorHAnsi"/>
        </w:rPr>
        <w:footnoteRef/>
      </w:r>
      <w:r w:rsidRPr="00412E1E">
        <w:rPr>
          <w:rStyle w:val="FootnoteReference"/>
          <w:rFonts w:cstheme="minorHAnsi"/>
        </w:rPr>
        <w:t xml:space="preserve"> </w:t>
      </w:r>
      <w:r w:rsidRPr="00412E1E">
        <w:rPr>
          <w:rFonts w:asciiTheme="minorHAnsi" w:hAnsiTheme="minorHAnsi" w:cstheme="minorHAnsi"/>
        </w:rPr>
        <w:t xml:space="preserve">comunicat de presă INS nr. </w:t>
      </w:r>
      <w:r>
        <w:rPr>
          <w:rFonts w:asciiTheme="minorHAnsi" w:hAnsiTheme="minorHAnsi" w:cstheme="minorHAnsi"/>
        </w:rPr>
        <w:t>196</w:t>
      </w:r>
      <w:r w:rsidRPr="00412E1E">
        <w:rPr>
          <w:rFonts w:asciiTheme="minorHAnsi" w:hAnsiTheme="minorHAnsi" w:cstheme="minorHAnsi"/>
        </w:rPr>
        <w:t>/</w:t>
      </w:r>
      <w:r>
        <w:rPr>
          <w:rFonts w:asciiTheme="minorHAnsi" w:hAnsiTheme="minorHAnsi" w:cstheme="minorHAnsi"/>
        </w:rPr>
        <w:t>06 august 2025</w:t>
      </w:r>
      <w:r w:rsidRPr="00412E1E">
        <w:rPr>
          <w:rFonts w:asciiTheme="minorHAnsi" w:hAnsiTheme="minorHAnsi" w:cstheme="minorHAnsi"/>
        </w:rPr>
        <w:t>-  Comerț și servicii</w:t>
      </w:r>
    </w:p>
  </w:footnote>
  <w:footnote w:id="7">
    <w:p w:rsidR="008E12AA" w:rsidRDefault="008E12AA" w:rsidP="006C34B6">
      <w:pPr>
        <w:pStyle w:val="FootnoteText"/>
        <w:rPr>
          <w:rFonts w:asciiTheme="minorHAnsi" w:hAnsiTheme="minorHAnsi" w:cstheme="minorHAnsi"/>
        </w:rPr>
      </w:pPr>
      <w:r w:rsidRPr="00412E1E">
        <w:rPr>
          <w:rStyle w:val="FootnoteReference"/>
          <w:rFonts w:cstheme="minorHAnsi"/>
        </w:rPr>
        <w:footnoteRef/>
      </w:r>
      <w:r w:rsidRPr="00412E1E">
        <w:rPr>
          <w:rFonts w:eastAsia="SimSun" w:cstheme="minorHAnsi"/>
          <w:color w:val="FF0000"/>
          <w:kern w:val="2"/>
          <w:sz w:val="24"/>
          <w:szCs w:val="24"/>
        </w:rPr>
        <w:t xml:space="preserve"> </w:t>
      </w:r>
      <w:r w:rsidRPr="00412E1E">
        <w:rPr>
          <w:rFonts w:asciiTheme="minorHAnsi" w:hAnsiTheme="minorHAnsi" w:cstheme="minorHAnsi"/>
        </w:rPr>
        <w:t>comunicat de presă INS nr.</w:t>
      </w:r>
      <w:r>
        <w:rPr>
          <w:rFonts w:asciiTheme="minorHAnsi" w:hAnsiTheme="minorHAnsi" w:cstheme="minorHAnsi"/>
        </w:rPr>
        <w:t>200</w:t>
      </w:r>
      <w:r w:rsidRPr="00412E1E">
        <w:rPr>
          <w:rFonts w:asciiTheme="minorHAnsi" w:hAnsiTheme="minorHAnsi" w:cstheme="minorHAnsi"/>
        </w:rPr>
        <w:t>/1</w:t>
      </w:r>
      <w:r>
        <w:rPr>
          <w:rFonts w:asciiTheme="minorHAnsi" w:hAnsiTheme="minorHAnsi" w:cstheme="minorHAnsi"/>
        </w:rPr>
        <w:t>1</w:t>
      </w:r>
      <w:r w:rsidRPr="00412E1E">
        <w:rPr>
          <w:rFonts w:asciiTheme="minorHAnsi" w:hAnsiTheme="minorHAnsi" w:cstheme="minorHAnsi"/>
        </w:rPr>
        <w:t xml:space="preserve"> </w:t>
      </w:r>
      <w:r>
        <w:rPr>
          <w:rFonts w:asciiTheme="minorHAnsi" w:hAnsiTheme="minorHAnsi" w:cstheme="minorHAnsi"/>
        </w:rPr>
        <w:t xml:space="preserve">august </w:t>
      </w:r>
      <w:r w:rsidRPr="00412E1E">
        <w:rPr>
          <w:rFonts w:asciiTheme="minorHAnsi" w:hAnsiTheme="minorHAnsi" w:cstheme="minorHAnsi"/>
        </w:rPr>
        <w:t xml:space="preserve"> 2025 - Comerț internațional cu bunuri (calcule interne)</w:t>
      </w:r>
    </w:p>
  </w:footnote>
  <w:footnote w:id="8">
    <w:p w:rsidR="008E12AA" w:rsidRPr="001D7A9E" w:rsidRDefault="008E12AA" w:rsidP="009D1E86">
      <w:pPr>
        <w:pStyle w:val="FootnoteText"/>
        <w:rPr>
          <w:rFonts w:asciiTheme="minorHAnsi" w:hAnsiTheme="minorHAnsi" w:cstheme="minorHAnsi"/>
        </w:rPr>
      </w:pPr>
      <w:r>
        <w:rPr>
          <w:rStyle w:val="FootnoteReference"/>
        </w:rPr>
        <w:footnoteRef/>
      </w:r>
      <w:r>
        <w:rPr>
          <w:rFonts w:asciiTheme="minorHAnsi" w:hAnsiTheme="minorHAnsi" w:cstheme="minorHAnsi"/>
        </w:rPr>
        <w:t xml:space="preserve"> </w:t>
      </w:r>
      <w:r w:rsidRPr="00935B9F">
        <w:rPr>
          <w:rFonts w:asciiTheme="minorHAnsi" w:hAnsiTheme="minorHAnsi" w:cstheme="minorHAnsi"/>
        </w:rPr>
        <w:t>n</w:t>
      </w:r>
      <w:r w:rsidRPr="003B4564">
        <w:rPr>
          <w:rFonts w:asciiTheme="minorHAnsi" w:hAnsiTheme="minorHAnsi" w:cstheme="minorHAnsi"/>
        </w:rPr>
        <w:t xml:space="preserve">ivel accize la benzină fără plumb de </w:t>
      </w:r>
      <w:r>
        <w:rPr>
          <w:rFonts w:asciiTheme="minorHAnsi" w:hAnsiTheme="minorHAnsi" w:cstheme="minorHAnsi"/>
        </w:rPr>
        <w:t xml:space="preserve">la 3094,62 </w:t>
      </w:r>
      <w:r w:rsidRPr="003B4564">
        <w:rPr>
          <w:rFonts w:asciiTheme="minorHAnsi" w:hAnsiTheme="minorHAnsi" w:cstheme="minorHAnsi"/>
        </w:rPr>
        <w:t>lei/</w:t>
      </w:r>
      <w:r w:rsidRPr="00776A39">
        <w:rPr>
          <w:rFonts w:asciiTheme="minorHAnsi" w:hAnsiTheme="minorHAnsi" w:cstheme="minorHAnsi"/>
        </w:rPr>
        <w:t xml:space="preserve"> </w:t>
      </w:r>
      <w:r w:rsidRPr="003B4564">
        <w:rPr>
          <w:rFonts w:asciiTheme="minorHAnsi" w:hAnsiTheme="minorHAnsi" w:cstheme="minorHAnsi"/>
        </w:rPr>
        <w:t>ton</w:t>
      </w:r>
      <w:r>
        <w:rPr>
          <w:rFonts w:asciiTheme="minorHAnsi" w:hAnsiTheme="minorHAnsi" w:cstheme="minorHAnsi"/>
        </w:rPr>
        <w:t>ă valabil la 01.07.2024,</w:t>
      </w:r>
      <w:r w:rsidRPr="004E54CB">
        <w:rPr>
          <w:rFonts w:asciiTheme="minorHAnsi" w:hAnsiTheme="minorHAnsi" w:cstheme="minorHAnsi"/>
        </w:rPr>
        <w:t xml:space="preserve"> </w:t>
      </w:r>
      <w:r>
        <w:rPr>
          <w:rFonts w:asciiTheme="minorHAnsi" w:hAnsiTheme="minorHAnsi" w:cstheme="minorHAnsi"/>
        </w:rPr>
        <w:t>la 3284,13 cu 01.01.2025</w:t>
      </w:r>
      <w:r w:rsidRPr="001D7A9E">
        <w:rPr>
          <w:rFonts w:asciiTheme="minorHAnsi" w:hAnsiTheme="minorHAnsi" w:cstheme="minorHAnsi"/>
        </w:rPr>
        <w:t xml:space="preserve"> </w:t>
      </w:r>
    </w:p>
  </w:footnote>
  <w:footnote w:id="9">
    <w:p w:rsidR="008E12AA" w:rsidRPr="00B91056" w:rsidRDefault="008E12AA" w:rsidP="009D1E86">
      <w:pPr>
        <w:pStyle w:val="FootnoteText"/>
      </w:pPr>
      <w:r>
        <w:rPr>
          <w:rStyle w:val="FootnoteReference"/>
        </w:rPr>
        <w:footnoteRef/>
      </w:r>
      <w:r>
        <w:t xml:space="preserve"> </w:t>
      </w:r>
      <w:r>
        <w:rPr>
          <w:rFonts w:asciiTheme="minorHAnsi" w:hAnsiTheme="minorHAnsi" w:cstheme="minorHAnsi"/>
        </w:rPr>
        <w:t xml:space="preserve">nivel accize la motorină de la  2584,49 </w:t>
      </w:r>
      <w:r w:rsidRPr="003B4564">
        <w:rPr>
          <w:rFonts w:asciiTheme="minorHAnsi" w:hAnsiTheme="minorHAnsi" w:cstheme="minorHAnsi"/>
        </w:rPr>
        <w:t>lei/</w:t>
      </w:r>
      <w:r w:rsidRPr="00776A39">
        <w:rPr>
          <w:rFonts w:asciiTheme="minorHAnsi" w:hAnsiTheme="minorHAnsi" w:cstheme="minorHAnsi"/>
        </w:rPr>
        <w:t xml:space="preserve"> </w:t>
      </w:r>
      <w:r w:rsidRPr="003B4564">
        <w:rPr>
          <w:rFonts w:asciiTheme="minorHAnsi" w:hAnsiTheme="minorHAnsi" w:cstheme="minorHAnsi"/>
        </w:rPr>
        <w:t>ton</w:t>
      </w:r>
      <w:r>
        <w:rPr>
          <w:rFonts w:asciiTheme="minorHAnsi" w:hAnsiTheme="minorHAnsi" w:cstheme="minorHAnsi"/>
        </w:rPr>
        <w:t>ă valabil cu 01.07.2024, la 2742,76 lei/tonă cu 01.01.2025</w:t>
      </w:r>
    </w:p>
  </w:footnote>
  <w:footnote w:id="10">
    <w:p w:rsidR="008E12AA" w:rsidRPr="00B91056" w:rsidRDefault="008E12AA" w:rsidP="009D1E86">
      <w:pPr>
        <w:pStyle w:val="FootnoteText"/>
      </w:pPr>
      <w:r>
        <w:rPr>
          <w:rStyle w:val="FootnoteReference"/>
        </w:rPr>
        <w:footnoteRef/>
      </w:r>
      <w:r>
        <w:t xml:space="preserve"> </w:t>
      </w:r>
      <w:r>
        <w:rPr>
          <w:rFonts w:asciiTheme="minorHAnsi" w:hAnsiTheme="minorHAnsi" w:cstheme="minorHAnsi"/>
        </w:rPr>
        <w:t>nivel accize la țigarete de la 672,92 lei/1000 țigarete valabil de la 01.01.2024,  la 687,98 lei/1000 țigarete cu 01.04.2025;</w:t>
      </w:r>
    </w:p>
  </w:footnote>
  <w:footnote w:id="11">
    <w:p w:rsidR="008E12AA" w:rsidRPr="008647C7" w:rsidRDefault="008E12AA" w:rsidP="006E29DF">
      <w:pPr>
        <w:pStyle w:val="FootnoteText"/>
      </w:pPr>
      <w:r w:rsidRPr="00440CBC">
        <w:rPr>
          <w:rStyle w:val="FootnoteReference"/>
          <w:rFonts w:asciiTheme="minorHAnsi" w:hAnsiTheme="minorHAnsi" w:cstheme="minorHAnsi"/>
        </w:rPr>
        <w:footnoteRef/>
      </w:r>
      <w:r w:rsidRPr="001D68EA">
        <w:rPr>
          <w:rStyle w:val="FootnoteReference"/>
          <w:rFonts w:asciiTheme="minorHAnsi" w:hAnsiTheme="minorHAnsi" w:cstheme="minorHAnsi"/>
        </w:rPr>
        <w:t xml:space="preserve"> </w:t>
      </w:r>
      <w:r w:rsidRPr="00E9242F">
        <w:rPr>
          <w:rFonts w:asciiTheme="minorHAnsi" w:hAnsiTheme="minorHAnsi" w:cstheme="minorHAnsi"/>
        </w:rPr>
        <w:t xml:space="preserve">dețin o pondere de aproximativ </w:t>
      </w:r>
      <w:r>
        <w:rPr>
          <w:rFonts w:asciiTheme="minorHAnsi" w:hAnsiTheme="minorHAnsi" w:cstheme="minorHAnsi"/>
        </w:rPr>
        <w:t>98,3</w:t>
      </w:r>
      <w:r w:rsidRPr="00E9242F">
        <w:rPr>
          <w:rFonts w:asciiTheme="minorHAnsi" w:hAnsiTheme="minorHAnsi" w:cstheme="minorHAnsi"/>
        </w:rPr>
        <w:t>% în această categorie</w:t>
      </w:r>
    </w:p>
  </w:footnote>
  <w:footnote w:id="12">
    <w:p w:rsidR="008E12AA" w:rsidRPr="006C34B6" w:rsidRDefault="008E12AA" w:rsidP="006C34B6">
      <w:pPr>
        <w:pStyle w:val="FootnoteText"/>
        <w:rPr>
          <w:rFonts w:asciiTheme="minorHAnsi" w:hAnsiTheme="minorHAnsi" w:cstheme="minorHAnsi"/>
        </w:rPr>
      </w:pPr>
      <w:r>
        <w:rPr>
          <w:rStyle w:val="FootnoteReference"/>
        </w:rPr>
        <w:footnoteRef/>
      </w:r>
      <w:r>
        <w:t xml:space="preserve"> </w:t>
      </w:r>
      <w:r w:rsidRPr="006C34B6">
        <w:rPr>
          <w:rFonts w:asciiTheme="minorHAnsi" w:hAnsiTheme="minorHAnsi" w:cstheme="minorHAnsi"/>
        </w:rPr>
        <w:t>decembrie 2024-mai 2025/decembrie 2023-mai 2024</w:t>
      </w:r>
    </w:p>
    <w:p w:rsidR="008E12AA" w:rsidRPr="00124CC7" w:rsidRDefault="008E12AA" w:rsidP="00344067">
      <w:pPr>
        <w:pStyle w:val="FootnoteText"/>
      </w:pPr>
    </w:p>
  </w:footnote>
  <w:footnote w:id="13">
    <w:p w:rsidR="008E12AA" w:rsidRPr="009220EA" w:rsidRDefault="008E12AA" w:rsidP="00AE178B">
      <w:pPr>
        <w:pStyle w:val="FootnoteText"/>
      </w:pPr>
      <w:r>
        <w:rPr>
          <w:rStyle w:val="FootnoteReference"/>
        </w:rPr>
        <w:footnoteRef/>
      </w:r>
      <w:r>
        <w:t xml:space="preserve"> Această suma nu are impact pe implementarea planului de finanțare estimat pentru anul 2025, sumele atrase fiind rambursate tot în acest an crescând astfel refinanțarea anului curent</w:t>
      </w:r>
    </w:p>
  </w:footnote>
  <w:footnote w:id="14">
    <w:p w:rsidR="008E12AA" w:rsidRPr="000F2FF2" w:rsidRDefault="008E12AA" w:rsidP="00AE178B">
      <w:pPr>
        <w:pStyle w:val="FootnoteText"/>
      </w:pPr>
      <w:r>
        <w:rPr>
          <w:rStyle w:val="FootnoteReference"/>
        </w:rPr>
        <w:footnoteRef/>
      </w:r>
      <w:r>
        <w:t xml:space="preserve"> În sumă de 1,81 mld. Lei</w:t>
      </w:r>
    </w:p>
  </w:footnote>
  <w:footnote w:id="15">
    <w:p w:rsidR="008E12AA" w:rsidRPr="000F2FF2" w:rsidRDefault="008E12AA" w:rsidP="00AE178B">
      <w:pPr>
        <w:pStyle w:val="FootnoteText"/>
      </w:pPr>
      <w:r>
        <w:rPr>
          <w:rStyle w:val="FootnoteReference"/>
        </w:rPr>
        <w:footnoteRef/>
      </w:r>
      <w:r>
        <w:t xml:space="preserve"> În sumă de 648 </w:t>
      </w:r>
      <w:proofErr w:type="spellStart"/>
      <w:r>
        <w:t>mln</w:t>
      </w:r>
      <w:proofErr w:type="spellEnd"/>
      <w:r>
        <w:t>. Lei, această sumă nu are impact pe implementarea planului de finanțare estimat pentru anul 2025</w:t>
      </w:r>
    </w:p>
  </w:footnote>
  <w:footnote w:id="16">
    <w:p w:rsidR="008E12AA" w:rsidRDefault="008E12AA" w:rsidP="00A60FB7">
      <w:pPr>
        <w:pStyle w:val="FootnoteText"/>
      </w:pPr>
      <w:r>
        <w:rPr>
          <w:rStyle w:val="FootnoteReference"/>
        </w:rPr>
        <w:footnoteRef/>
      </w:r>
      <w:r>
        <w:t xml:space="preserve"> </w:t>
      </w:r>
      <w:r w:rsidRPr="00DC0445">
        <w:rPr>
          <w:rFonts w:ascii="Arial" w:hAnsi="Arial" w:cs="Arial"/>
          <w:sz w:val="16"/>
          <w:szCs w:val="16"/>
        </w:rPr>
        <w:t>https://op.europa.eu/en/publication-detail/-/publication/d3e77637-a963-11eb-9585-01aa75ed71a1/language-en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497539008"/>
      <w:docPartObj>
        <w:docPartGallery w:val="Page Numbers (Top of Page)"/>
        <w:docPartUnique/>
      </w:docPartObj>
    </w:sdtPr>
    <w:sdtEndPr>
      <w:rPr>
        <w:b/>
        <w:bCs/>
        <w:noProof/>
        <w:color w:val="auto"/>
        <w:spacing w:val="0"/>
      </w:rPr>
    </w:sdtEndPr>
    <w:sdtContent>
      <w:p w:rsidR="008E12AA" w:rsidRDefault="008E12A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205B" w:rsidRPr="0012205B">
          <w:rPr>
            <w:b/>
            <w:bCs/>
            <w:noProof/>
          </w:rPr>
          <w:t>0</w:t>
        </w:r>
        <w:r>
          <w:rPr>
            <w:b/>
            <w:bCs/>
            <w:noProof/>
          </w:rPr>
          <w:fldChar w:fldCharType="end"/>
        </w:r>
      </w:p>
    </w:sdtContent>
  </w:sdt>
  <w:p w:rsidR="008E12AA" w:rsidRDefault="008E12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949145707"/>
      <w:docPartObj>
        <w:docPartGallery w:val="Page Numbers (Top of Page)"/>
        <w:docPartUnique/>
      </w:docPartObj>
    </w:sdtPr>
    <w:sdtEndPr>
      <w:rPr>
        <w:b/>
        <w:bCs/>
        <w:noProof/>
        <w:color w:val="auto"/>
        <w:spacing w:val="0"/>
      </w:rPr>
    </w:sdtEndPr>
    <w:sdtContent>
      <w:p w:rsidR="008E12AA" w:rsidRDefault="008E12A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205B" w:rsidRPr="0012205B">
          <w:rPr>
            <w:b/>
            <w:bCs/>
            <w:noProof/>
          </w:rPr>
          <w:t>17</w:t>
        </w:r>
        <w:r>
          <w:rPr>
            <w:b/>
            <w:bCs/>
            <w:noProof/>
          </w:rPr>
          <w:fldChar w:fldCharType="end"/>
        </w:r>
      </w:p>
    </w:sdtContent>
  </w:sdt>
  <w:p w:rsidR="008E12AA" w:rsidRDefault="008E12A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473825962"/>
      <w:docPartObj>
        <w:docPartGallery w:val="Page Numbers (Top of Page)"/>
        <w:docPartUnique/>
      </w:docPartObj>
    </w:sdtPr>
    <w:sdtEndPr>
      <w:rPr>
        <w:b/>
        <w:bCs/>
        <w:noProof/>
        <w:color w:val="auto"/>
        <w:spacing w:val="0"/>
      </w:rPr>
    </w:sdtEndPr>
    <w:sdtContent>
      <w:p w:rsidR="008E12AA" w:rsidRDefault="008E12A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205B" w:rsidRPr="0012205B">
          <w:rPr>
            <w:b/>
            <w:bCs/>
            <w:noProof/>
          </w:rPr>
          <w:t>1</w:t>
        </w:r>
        <w:r>
          <w:rPr>
            <w:b/>
            <w:bCs/>
            <w:noProof/>
          </w:rPr>
          <w:fldChar w:fldCharType="end"/>
        </w:r>
      </w:p>
    </w:sdtContent>
  </w:sdt>
  <w:p w:rsidR="008E12AA" w:rsidRDefault="008E12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ED66D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F4BF"/>
      </v:shape>
    </w:pict>
  </w:numPicBullet>
  <w:abstractNum w:abstractNumId="0" w15:restartNumberingAfterBreak="0">
    <w:nsid w:val="00000001"/>
    <w:multiLevelType w:val="singleLevel"/>
    <w:tmpl w:val="EF6C9ADC"/>
    <w:name w:val="WW8Num1"/>
    <w:lvl w:ilvl="0">
      <w:start w:val="1"/>
      <w:numFmt w:val="bullet"/>
      <w:lvlText w:val=""/>
      <w:lvlJc w:val="left"/>
      <w:pPr>
        <w:tabs>
          <w:tab w:val="num" w:pos="0"/>
        </w:tabs>
        <w:ind w:left="794" w:hanging="434"/>
      </w:pPr>
      <w:rPr>
        <w:rFonts w:ascii="Symbol" w:hAnsi="Symbol" w:cs="Symbol" w:hint="default"/>
        <w:color w:val="auto"/>
        <w:sz w:val="24"/>
        <w:szCs w:val="24"/>
        <w:lang w:val="ro-RO" w:eastAsia="ja-JP"/>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OpenSymbol" w:hint="default"/>
        <w:color w:val="000000"/>
        <w:kern w:val="0"/>
        <w:position w:val="0"/>
        <w:sz w:val="20"/>
        <w:szCs w:val="20"/>
        <w:vertAlign w:val="baseline"/>
        <w:lang w:val="it-IT" w:eastAsia="zh-CN"/>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hint="default"/>
        <w:szCs w:val="22"/>
        <w:lang w:val="ro-R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Cs w:val="22"/>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Cs w:val="22"/>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cs="Symbol"/>
        <w:lang w:val="ro-RO"/>
      </w:rPr>
    </w:lvl>
    <w:lvl w:ilvl="1">
      <w:start w:val="1"/>
      <w:numFmt w:val="bullet"/>
      <w:lvlText w:val="o"/>
      <w:lvlJc w:val="left"/>
      <w:pPr>
        <w:tabs>
          <w:tab w:val="num" w:pos="1800"/>
        </w:tabs>
        <w:ind w:left="1800" w:hanging="360"/>
      </w:pPr>
      <w:rPr>
        <w:rFonts w:ascii="Courier New" w:hAnsi="Courier New" w:cs="Courier New"/>
        <w:lang w:val="ro-RO"/>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lang w:val="ro-RO"/>
      </w:rPr>
    </w:lvl>
    <w:lvl w:ilvl="4">
      <w:start w:val="1"/>
      <w:numFmt w:val="bullet"/>
      <w:lvlText w:val="o"/>
      <w:lvlJc w:val="left"/>
      <w:pPr>
        <w:tabs>
          <w:tab w:val="num" w:pos="3960"/>
        </w:tabs>
        <w:ind w:left="3960" w:hanging="360"/>
      </w:pPr>
      <w:rPr>
        <w:rFonts w:ascii="Courier New" w:hAnsi="Courier New" w:cs="Courier New"/>
        <w:lang w:val="ro-RO"/>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lang w:val="ro-RO"/>
      </w:rPr>
    </w:lvl>
    <w:lvl w:ilvl="7">
      <w:start w:val="1"/>
      <w:numFmt w:val="bullet"/>
      <w:lvlText w:val="o"/>
      <w:lvlJc w:val="left"/>
      <w:pPr>
        <w:tabs>
          <w:tab w:val="num" w:pos="6120"/>
        </w:tabs>
        <w:ind w:left="6120" w:hanging="360"/>
      </w:pPr>
      <w:rPr>
        <w:rFonts w:ascii="Courier New" w:hAnsi="Courier New" w:cs="Courier New"/>
        <w:lang w:val="ro-RO"/>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7"/>
    <w:multiLevelType w:val="singleLevel"/>
    <w:tmpl w:val="00000007"/>
    <w:name w:val="WW8Num7"/>
    <w:lvl w:ilvl="0">
      <w:start w:val="1"/>
      <w:numFmt w:val="decimal"/>
      <w:lvlText w:val="%1."/>
      <w:lvlJc w:val="left"/>
      <w:pPr>
        <w:tabs>
          <w:tab w:val="num" w:pos="208"/>
        </w:tabs>
        <w:ind w:left="928" w:hanging="360"/>
      </w:pPr>
      <w:rPr>
        <w:rFonts w:cs="Arial"/>
        <w:lang w:val="ro-RO"/>
      </w:rPr>
    </w:lvl>
  </w:abstractNum>
  <w:abstractNum w:abstractNumId="5"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hint="default"/>
        <w:szCs w:val="22"/>
        <w:lang w:val="ro-RO"/>
      </w:rPr>
    </w:lvl>
    <w:lvl w:ilvl="1">
      <w:start w:val="1"/>
      <w:numFmt w:val="bullet"/>
      <w:lvlText w:val="o"/>
      <w:lvlJc w:val="left"/>
      <w:pPr>
        <w:tabs>
          <w:tab w:val="num" w:pos="0"/>
        </w:tabs>
        <w:ind w:left="1440" w:hanging="360"/>
      </w:pPr>
      <w:rPr>
        <w:rFonts w:ascii="Courier New" w:hAnsi="Courier New" w:cs="Courier New" w:hint="default"/>
        <w:szCs w:val="22"/>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Cs w:val="22"/>
        <w:lang w:val="ro-RO"/>
      </w:rPr>
    </w:lvl>
    <w:lvl w:ilvl="4">
      <w:start w:val="1"/>
      <w:numFmt w:val="bullet"/>
      <w:lvlText w:val="o"/>
      <w:lvlJc w:val="left"/>
      <w:pPr>
        <w:tabs>
          <w:tab w:val="num" w:pos="0"/>
        </w:tabs>
        <w:ind w:left="3600" w:hanging="360"/>
      </w:pPr>
      <w:rPr>
        <w:rFonts w:ascii="Courier New" w:hAnsi="Courier New" w:cs="Courier New" w:hint="default"/>
        <w:szCs w:val="22"/>
        <w:lang w:val="ro-RO"/>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Cs w:val="22"/>
        <w:lang w:val="ro-RO"/>
      </w:rPr>
    </w:lvl>
    <w:lvl w:ilvl="7">
      <w:start w:val="1"/>
      <w:numFmt w:val="bullet"/>
      <w:lvlText w:val="o"/>
      <w:lvlJc w:val="left"/>
      <w:pPr>
        <w:tabs>
          <w:tab w:val="num" w:pos="0"/>
        </w:tabs>
        <w:ind w:left="5760" w:hanging="360"/>
      </w:pPr>
      <w:rPr>
        <w:rFonts w:ascii="Courier New" w:hAnsi="Courier New" w:cs="Courier New" w:hint="default"/>
        <w:szCs w:val="22"/>
        <w:lang w:val="ro-RO"/>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A"/>
    <w:multiLevelType w:val="multilevel"/>
    <w:tmpl w:val="0000000A"/>
    <w:name w:val="WW8Num10"/>
    <w:lvl w:ilvl="0">
      <w:start w:val="1"/>
      <w:numFmt w:val="upperRoman"/>
      <w:lvlText w:val="%1."/>
      <w:lvlJc w:val="left"/>
      <w:pPr>
        <w:tabs>
          <w:tab w:val="num" w:pos="0"/>
        </w:tabs>
        <w:ind w:left="1080" w:hanging="72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E"/>
    <w:multiLevelType w:val="multilevel"/>
    <w:tmpl w:val="0000000E"/>
    <w:name w:val="WW8Num14"/>
    <w:lvl w:ilvl="0">
      <w:start w:val="1"/>
      <w:numFmt w:val="decimal"/>
      <w:suff w:val="space"/>
      <w:lvlText w:val="%1."/>
      <w:lvlJc w:val="left"/>
      <w:pPr>
        <w:tabs>
          <w:tab w:val="num" w:pos="0"/>
        </w:tabs>
        <w:ind w:left="0" w:firstLine="0"/>
      </w:pPr>
      <w:rPr>
        <w:rFonts w:ascii="Calibri" w:eastAsia="Calibri" w:hAnsi="Calibri" w:cs="Calibri"/>
        <w:b/>
        <w:szCs w:val="22"/>
        <w:lang w:val="ro-RO"/>
      </w:rPr>
    </w:lvl>
    <w:lvl w:ilvl="1">
      <w:start w:val="6"/>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00000010"/>
    <w:multiLevelType w:val="multilevel"/>
    <w:tmpl w:val="00000010"/>
    <w:name w:val="WW8Num16"/>
    <w:lvl w:ilvl="0">
      <w:start w:val="1"/>
      <w:numFmt w:val="bullet"/>
      <w:lvlText w:val=""/>
      <w:lvlJc w:val="left"/>
      <w:pPr>
        <w:tabs>
          <w:tab w:val="num" w:pos="0"/>
        </w:tabs>
        <w:ind w:left="644" w:hanging="360"/>
      </w:pPr>
      <w:rPr>
        <w:rFonts w:ascii="Wingdings" w:hAnsi="Wingdings" w:cs="OpenSymbol"/>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shd w:val="clear" w:color="auto" w:fill="auto"/>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shd w:val="clear" w:color="auto" w:fill="auto"/>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cs="OpenSymbol"/>
        <w:sz w:val="24"/>
        <w:szCs w:val="24"/>
        <w:shd w:val="clear" w:color="auto" w:fill="auto"/>
        <w:lang w:val="ro-RO" w:eastAsia="zh-CN" w:bidi="ar-SA"/>
      </w:rPr>
    </w:lvl>
    <w:lvl w:ilvl="1">
      <w:start w:val="1"/>
      <w:numFmt w:val="bullet"/>
      <w:lvlText w:val=""/>
      <w:lvlJc w:val="left"/>
      <w:pPr>
        <w:tabs>
          <w:tab w:val="num" w:pos="1080"/>
        </w:tabs>
        <w:ind w:left="1080" w:hanging="360"/>
      </w:pPr>
      <w:rPr>
        <w:rFonts w:ascii="Wingdings" w:hAnsi="Wingdings" w:cs="OpenSymbol"/>
        <w:sz w:val="24"/>
        <w:szCs w:val="24"/>
        <w:shd w:val="clear" w:color="auto" w:fill="auto"/>
        <w:lang w:val="ro-RO" w:eastAsia="zh-CN" w:bidi="ar-SA"/>
      </w:rPr>
    </w:lvl>
    <w:lvl w:ilvl="2">
      <w:start w:val="1"/>
      <w:numFmt w:val="bullet"/>
      <w:lvlText w:val=""/>
      <w:lvlJc w:val="left"/>
      <w:pPr>
        <w:tabs>
          <w:tab w:val="num" w:pos="1440"/>
        </w:tabs>
        <w:ind w:left="1440" w:hanging="360"/>
      </w:pPr>
      <w:rPr>
        <w:rFonts w:ascii="Wingdings" w:hAnsi="Wingdings" w:cs="OpenSymbol"/>
        <w:sz w:val="24"/>
        <w:szCs w:val="24"/>
        <w:shd w:val="clear" w:color="auto" w:fill="auto"/>
        <w:lang w:val="ro-RO" w:eastAsia="zh-CN" w:bidi="ar-SA"/>
      </w:rPr>
    </w:lvl>
    <w:lvl w:ilvl="3">
      <w:start w:val="1"/>
      <w:numFmt w:val="bullet"/>
      <w:lvlText w:val=""/>
      <w:lvlJc w:val="left"/>
      <w:pPr>
        <w:tabs>
          <w:tab w:val="num" w:pos="1800"/>
        </w:tabs>
        <w:ind w:left="1800" w:hanging="360"/>
      </w:pPr>
      <w:rPr>
        <w:rFonts w:ascii="Wingdings" w:hAnsi="Wingdings" w:cs="OpenSymbol"/>
        <w:sz w:val="24"/>
        <w:szCs w:val="24"/>
        <w:shd w:val="clear" w:color="auto" w:fill="auto"/>
        <w:lang w:val="ro-RO" w:eastAsia="zh-CN" w:bidi="ar-SA"/>
      </w:rPr>
    </w:lvl>
    <w:lvl w:ilvl="4">
      <w:start w:val="1"/>
      <w:numFmt w:val="bullet"/>
      <w:lvlText w:val=""/>
      <w:lvlJc w:val="left"/>
      <w:pPr>
        <w:tabs>
          <w:tab w:val="num" w:pos="2160"/>
        </w:tabs>
        <w:ind w:left="2160" w:hanging="360"/>
      </w:pPr>
      <w:rPr>
        <w:rFonts w:ascii="Wingdings" w:hAnsi="Wingdings" w:cs="OpenSymbol"/>
        <w:sz w:val="24"/>
        <w:szCs w:val="24"/>
        <w:shd w:val="clear" w:color="auto" w:fill="auto"/>
        <w:lang w:val="ro-RO" w:eastAsia="zh-CN" w:bidi="ar-SA"/>
      </w:rPr>
    </w:lvl>
    <w:lvl w:ilvl="5">
      <w:start w:val="1"/>
      <w:numFmt w:val="bullet"/>
      <w:lvlText w:val=""/>
      <w:lvlJc w:val="left"/>
      <w:pPr>
        <w:tabs>
          <w:tab w:val="num" w:pos="2520"/>
        </w:tabs>
        <w:ind w:left="2520" w:hanging="360"/>
      </w:pPr>
      <w:rPr>
        <w:rFonts w:ascii="Wingdings" w:hAnsi="Wingdings" w:cs="OpenSymbol"/>
        <w:sz w:val="24"/>
        <w:szCs w:val="24"/>
        <w:shd w:val="clear" w:color="auto" w:fill="auto"/>
        <w:lang w:val="ro-RO" w:eastAsia="zh-CN" w:bidi="ar-SA"/>
      </w:rPr>
    </w:lvl>
    <w:lvl w:ilvl="6">
      <w:start w:val="1"/>
      <w:numFmt w:val="bullet"/>
      <w:lvlText w:val=""/>
      <w:lvlJc w:val="left"/>
      <w:pPr>
        <w:tabs>
          <w:tab w:val="num" w:pos="2880"/>
        </w:tabs>
        <w:ind w:left="2880" w:hanging="360"/>
      </w:pPr>
      <w:rPr>
        <w:rFonts w:ascii="Wingdings" w:hAnsi="Wingdings" w:cs="OpenSymbol"/>
        <w:sz w:val="24"/>
        <w:szCs w:val="24"/>
        <w:shd w:val="clear" w:color="auto" w:fill="auto"/>
        <w:lang w:val="ro-RO" w:eastAsia="zh-CN" w:bidi="ar-SA"/>
      </w:rPr>
    </w:lvl>
    <w:lvl w:ilvl="7">
      <w:start w:val="1"/>
      <w:numFmt w:val="bullet"/>
      <w:lvlText w:val=""/>
      <w:lvlJc w:val="left"/>
      <w:pPr>
        <w:tabs>
          <w:tab w:val="num" w:pos="3240"/>
        </w:tabs>
        <w:ind w:left="3240" w:hanging="360"/>
      </w:pPr>
      <w:rPr>
        <w:rFonts w:ascii="Wingdings" w:hAnsi="Wingdings" w:cs="OpenSymbol"/>
        <w:sz w:val="24"/>
        <w:szCs w:val="24"/>
        <w:shd w:val="clear" w:color="auto" w:fill="auto"/>
        <w:lang w:val="ro-RO" w:eastAsia="zh-CN" w:bidi="ar-SA"/>
      </w:rPr>
    </w:lvl>
    <w:lvl w:ilvl="8">
      <w:start w:val="1"/>
      <w:numFmt w:val="bullet"/>
      <w:lvlText w:val=""/>
      <w:lvlJc w:val="left"/>
      <w:pPr>
        <w:tabs>
          <w:tab w:val="num" w:pos="3600"/>
        </w:tabs>
        <w:ind w:left="3600" w:hanging="360"/>
      </w:pPr>
      <w:rPr>
        <w:rFonts w:ascii="Wingdings" w:hAnsi="Wingdings" w:cs="OpenSymbol"/>
        <w:sz w:val="24"/>
        <w:szCs w:val="24"/>
        <w:shd w:val="clear" w:color="auto" w:fill="auto"/>
        <w:lang w:val="ro-RO" w:eastAsia="zh-CN" w:bidi="ar-SA"/>
      </w:rPr>
    </w:lvl>
  </w:abstractNum>
  <w:abstractNum w:abstractNumId="12" w15:restartNumberingAfterBreak="0">
    <w:nsid w:val="04BE0E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76264E"/>
    <w:multiLevelType w:val="hybridMultilevel"/>
    <w:tmpl w:val="75F842A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B3649"/>
    <w:multiLevelType w:val="multilevel"/>
    <w:tmpl w:val="942CEF6A"/>
    <w:lvl w:ilvl="0">
      <w:start w:val="10"/>
      <w:numFmt w:val="bullet"/>
      <w:lvlText w:val="•"/>
      <w:lvlJc w:val="left"/>
      <w:pPr>
        <w:ind w:left="927" w:hanging="360"/>
      </w:pPr>
      <w:rPr>
        <w:rFonts w:ascii="Tahoma" w:eastAsiaTheme="minorHAnsi" w:hAnsi="Tahoma" w:cs="Tahoma"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5" w15:restartNumberingAfterBreak="0">
    <w:nsid w:val="0C8A49A7"/>
    <w:multiLevelType w:val="multilevel"/>
    <w:tmpl w:val="942CEF6A"/>
    <w:lvl w:ilvl="0">
      <w:start w:val="10"/>
      <w:numFmt w:val="bullet"/>
      <w:lvlText w:val="•"/>
      <w:lvlJc w:val="left"/>
      <w:pPr>
        <w:ind w:left="927" w:hanging="360"/>
      </w:pPr>
      <w:rPr>
        <w:rFonts w:ascii="Tahoma" w:eastAsiaTheme="minorHAnsi" w:hAnsi="Tahoma" w:cs="Tahoma"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6" w15:restartNumberingAfterBreak="0">
    <w:nsid w:val="114C4261"/>
    <w:multiLevelType w:val="multilevel"/>
    <w:tmpl w:val="65ACCE28"/>
    <w:lvl w:ilvl="0">
      <w:start w:val="1"/>
      <w:numFmt w:val="bullet"/>
      <w:lvlText w:val=""/>
      <w:lvlPicBulletId w:val="0"/>
      <w:lvlJc w:val="left"/>
      <w:pPr>
        <w:tabs>
          <w:tab w:val="num" w:pos="0"/>
        </w:tabs>
        <w:ind w:left="720" w:hanging="360"/>
      </w:pPr>
      <w:rPr>
        <w:rFonts w:ascii="Symbol" w:hAnsi="Symbol" w:hint="default"/>
      </w:rPr>
    </w:lvl>
    <w:lvl w:ilv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57429D1"/>
    <w:multiLevelType w:val="hybridMultilevel"/>
    <w:tmpl w:val="F2DC6A2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8" w15:restartNumberingAfterBreak="0">
    <w:nsid w:val="209D66B0"/>
    <w:multiLevelType w:val="multilevel"/>
    <w:tmpl w:val="209D66B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E97675"/>
    <w:multiLevelType w:val="multilevel"/>
    <w:tmpl w:val="942CEF6A"/>
    <w:lvl w:ilvl="0">
      <w:start w:val="10"/>
      <w:numFmt w:val="bullet"/>
      <w:lvlText w:val="•"/>
      <w:lvlJc w:val="left"/>
      <w:pPr>
        <w:ind w:left="927" w:hanging="360"/>
      </w:pPr>
      <w:rPr>
        <w:rFonts w:ascii="Tahoma" w:eastAsiaTheme="minorHAnsi" w:hAnsi="Tahoma" w:cs="Tahoma"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0" w15:restartNumberingAfterBreak="0">
    <w:nsid w:val="27547600"/>
    <w:multiLevelType w:val="multilevel"/>
    <w:tmpl w:val="E5A0EE6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B114C1"/>
    <w:multiLevelType w:val="hybridMultilevel"/>
    <w:tmpl w:val="942CEF6A"/>
    <w:lvl w:ilvl="0" w:tplc="F3C8E58A">
      <w:start w:val="10"/>
      <w:numFmt w:val="bullet"/>
      <w:lvlText w:val="•"/>
      <w:lvlJc w:val="left"/>
      <w:pPr>
        <w:ind w:left="927" w:hanging="360"/>
      </w:pPr>
      <w:rPr>
        <w:rFonts w:ascii="Tahoma" w:eastAsiaTheme="minorHAnsi" w:hAnsi="Tahoma" w:cs="Tahom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9BD2ED4"/>
    <w:multiLevelType w:val="hybridMultilevel"/>
    <w:tmpl w:val="F12CA610"/>
    <w:lvl w:ilvl="0" w:tplc="5FE09D84">
      <w:numFmt w:val="bullet"/>
      <w:lvlText w:val="•"/>
      <w:lvlJc w:val="left"/>
      <w:pPr>
        <w:ind w:left="1287" w:hanging="360"/>
      </w:pPr>
      <w:rPr>
        <w:rFonts w:ascii="Tahoma" w:eastAsiaTheme="minorHAnsi" w:hAnsi="Tahoma" w:cs="Tahoma"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A805874"/>
    <w:multiLevelType w:val="hybridMultilevel"/>
    <w:tmpl w:val="21C023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A5C22"/>
    <w:multiLevelType w:val="multilevel"/>
    <w:tmpl w:val="721C2722"/>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25" w15:restartNumberingAfterBreak="0">
    <w:nsid w:val="4D527896"/>
    <w:multiLevelType w:val="multilevel"/>
    <w:tmpl w:val="4D527896"/>
    <w:lvl w:ilvl="0">
      <w:start w:val="1"/>
      <w:numFmt w:val="bullet"/>
      <w:lvlText w:val=""/>
      <w:lvlJc w:val="left"/>
      <w:pPr>
        <w:tabs>
          <w:tab w:val="left" w:pos="928"/>
        </w:tabs>
        <w:ind w:left="928" w:hanging="360"/>
      </w:pPr>
      <w:rPr>
        <w:rFonts w:ascii="Symbol" w:hAnsi="Symbol" w:hint="default"/>
      </w:rPr>
    </w:lvl>
    <w:lvl w:ilvl="1">
      <w:start w:val="1"/>
      <w:numFmt w:val="bullet"/>
      <w:lvlText w:val="◦"/>
      <w:lvlJc w:val="left"/>
      <w:pPr>
        <w:tabs>
          <w:tab w:val="left" w:pos="1288"/>
        </w:tabs>
        <w:ind w:left="1288" w:hanging="360"/>
      </w:pPr>
      <w:rPr>
        <w:rFonts w:ascii="OpenSymbol" w:hAnsi="OpenSymbol" w:cs="OpenSymbol"/>
      </w:rPr>
    </w:lvl>
    <w:lvl w:ilvl="2">
      <w:start w:val="1"/>
      <w:numFmt w:val="bullet"/>
      <w:lvlText w:val="▪"/>
      <w:lvlJc w:val="left"/>
      <w:pPr>
        <w:tabs>
          <w:tab w:val="left" w:pos="1648"/>
        </w:tabs>
        <w:ind w:left="1648" w:hanging="360"/>
      </w:pPr>
      <w:rPr>
        <w:rFonts w:ascii="OpenSymbol" w:hAnsi="OpenSymbol" w:cs="OpenSymbol"/>
      </w:rPr>
    </w:lvl>
    <w:lvl w:ilvl="3">
      <w:start w:val="1"/>
      <w:numFmt w:val="bullet"/>
      <w:lvlText w:val=""/>
      <w:lvlJc w:val="left"/>
      <w:pPr>
        <w:tabs>
          <w:tab w:val="left" w:pos="2008"/>
        </w:tabs>
        <w:ind w:left="2008" w:hanging="360"/>
      </w:pPr>
      <w:rPr>
        <w:rFonts w:ascii="Symbol" w:hAnsi="Symbol" w:cs="OpenSymbol"/>
      </w:rPr>
    </w:lvl>
    <w:lvl w:ilvl="4">
      <w:start w:val="1"/>
      <w:numFmt w:val="bullet"/>
      <w:lvlText w:val="◦"/>
      <w:lvlJc w:val="left"/>
      <w:pPr>
        <w:tabs>
          <w:tab w:val="left" w:pos="2368"/>
        </w:tabs>
        <w:ind w:left="2368" w:hanging="360"/>
      </w:pPr>
      <w:rPr>
        <w:rFonts w:ascii="OpenSymbol" w:hAnsi="OpenSymbol" w:cs="OpenSymbol"/>
      </w:rPr>
    </w:lvl>
    <w:lvl w:ilvl="5">
      <w:start w:val="1"/>
      <w:numFmt w:val="bullet"/>
      <w:lvlText w:val="▪"/>
      <w:lvlJc w:val="left"/>
      <w:pPr>
        <w:tabs>
          <w:tab w:val="left" w:pos="2728"/>
        </w:tabs>
        <w:ind w:left="2728" w:hanging="360"/>
      </w:pPr>
      <w:rPr>
        <w:rFonts w:ascii="OpenSymbol" w:hAnsi="OpenSymbol" w:cs="OpenSymbol"/>
      </w:rPr>
    </w:lvl>
    <w:lvl w:ilvl="6">
      <w:start w:val="1"/>
      <w:numFmt w:val="bullet"/>
      <w:lvlText w:val=""/>
      <w:lvlJc w:val="left"/>
      <w:pPr>
        <w:tabs>
          <w:tab w:val="left" w:pos="3088"/>
        </w:tabs>
        <w:ind w:left="3088" w:hanging="360"/>
      </w:pPr>
      <w:rPr>
        <w:rFonts w:ascii="Symbol" w:hAnsi="Symbol" w:cs="OpenSymbol"/>
      </w:rPr>
    </w:lvl>
    <w:lvl w:ilvl="7">
      <w:start w:val="1"/>
      <w:numFmt w:val="bullet"/>
      <w:lvlText w:val="◦"/>
      <w:lvlJc w:val="left"/>
      <w:pPr>
        <w:tabs>
          <w:tab w:val="left" w:pos="3448"/>
        </w:tabs>
        <w:ind w:left="3448" w:hanging="360"/>
      </w:pPr>
      <w:rPr>
        <w:rFonts w:ascii="OpenSymbol" w:hAnsi="OpenSymbol" w:cs="OpenSymbol"/>
      </w:rPr>
    </w:lvl>
    <w:lvl w:ilvl="8">
      <w:start w:val="1"/>
      <w:numFmt w:val="bullet"/>
      <w:lvlText w:val="▪"/>
      <w:lvlJc w:val="left"/>
      <w:pPr>
        <w:tabs>
          <w:tab w:val="left" w:pos="3808"/>
        </w:tabs>
        <w:ind w:left="3808" w:hanging="360"/>
      </w:pPr>
      <w:rPr>
        <w:rFonts w:ascii="OpenSymbol" w:hAnsi="OpenSymbol" w:cs="OpenSymbol"/>
      </w:rPr>
    </w:lvl>
  </w:abstractNum>
  <w:abstractNum w:abstractNumId="26" w15:restartNumberingAfterBreak="0">
    <w:nsid w:val="5B272FE7"/>
    <w:multiLevelType w:val="hybridMultilevel"/>
    <w:tmpl w:val="E268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B65CB"/>
    <w:multiLevelType w:val="hybridMultilevel"/>
    <w:tmpl w:val="F35A75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3530E"/>
    <w:multiLevelType w:val="multilevel"/>
    <w:tmpl w:val="7CF6719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990FBE"/>
    <w:multiLevelType w:val="hybridMultilevel"/>
    <w:tmpl w:val="64DEF5DA"/>
    <w:lvl w:ilvl="0" w:tplc="4F747F14">
      <w:start w:val="1"/>
      <w:numFmt w:val="upperRoman"/>
      <w:lvlText w:val="%1."/>
      <w:lvlJc w:val="right"/>
      <w:pPr>
        <w:ind w:left="720" w:hanging="360"/>
      </w:pPr>
      <w:rPr>
        <w:sz w:val="24"/>
        <w:szCs w:val="24"/>
      </w:rPr>
    </w:lvl>
    <w:lvl w:ilvl="1" w:tplc="2AA8CCE6">
      <w:start w:val="1"/>
      <w:numFmt w:val="decimal"/>
      <w:lvlText w:val="%2."/>
      <w:lvlJc w:val="left"/>
      <w:pPr>
        <w:ind w:left="144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CD27F7A"/>
    <w:multiLevelType w:val="multilevel"/>
    <w:tmpl w:val="942CEF6A"/>
    <w:lvl w:ilvl="0">
      <w:start w:val="10"/>
      <w:numFmt w:val="bullet"/>
      <w:lvlText w:val="•"/>
      <w:lvlJc w:val="left"/>
      <w:pPr>
        <w:ind w:left="927" w:hanging="360"/>
      </w:pPr>
      <w:rPr>
        <w:rFonts w:ascii="Tahoma" w:eastAsiaTheme="minorHAnsi" w:hAnsi="Tahoma" w:cs="Tahoma"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29"/>
  </w:num>
  <w:num w:numId="2">
    <w:abstractNumId w:val="13"/>
  </w:num>
  <w:num w:numId="3">
    <w:abstractNumId w:val="26"/>
  </w:num>
  <w:num w:numId="4">
    <w:abstractNumId w:val="18"/>
  </w:num>
  <w:num w:numId="5">
    <w:abstractNumId w:val="25"/>
  </w:num>
  <w:num w:numId="6">
    <w:abstractNumId w:val="22"/>
  </w:num>
  <w:num w:numId="7">
    <w:abstractNumId w:val="23"/>
  </w:num>
  <w:num w:numId="8">
    <w:abstractNumId w:val="16"/>
  </w:num>
  <w:num w:numId="9">
    <w:abstractNumId w:val="27"/>
  </w:num>
  <w:num w:numId="10">
    <w:abstractNumId w:val="3"/>
  </w:num>
  <w:num w:numId="11">
    <w:abstractNumId w:val="4"/>
  </w:num>
  <w:num w:numId="12">
    <w:abstractNumId w:val="28"/>
  </w:num>
  <w:num w:numId="13">
    <w:abstractNumId w:val="12"/>
  </w:num>
  <w:num w:numId="14">
    <w:abstractNumId w:val="20"/>
  </w:num>
  <w:num w:numId="15">
    <w:abstractNumId w:val="24"/>
  </w:num>
  <w:num w:numId="16">
    <w:abstractNumId w:val="21"/>
  </w:num>
  <w:num w:numId="17">
    <w:abstractNumId w:val="14"/>
  </w:num>
  <w:num w:numId="18">
    <w:abstractNumId w:val="19"/>
  </w:num>
  <w:num w:numId="19">
    <w:abstractNumId w:val="30"/>
  </w:num>
  <w:num w:numId="20">
    <w:abstractNumId w:val="15"/>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C4"/>
    <w:rsid w:val="00000B46"/>
    <w:rsid w:val="0000138F"/>
    <w:rsid w:val="00001BEE"/>
    <w:rsid w:val="0000372E"/>
    <w:rsid w:val="00004284"/>
    <w:rsid w:val="000051D6"/>
    <w:rsid w:val="00006DDD"/>
    <w:rsid w:val="00006FE6"/>
    <w:rsid w:val="000104AF"/>
    <w:rsid w:val="00010AF1"/>
    <w:rsid w:val="0001136C"/>
    <w:rsid w:val="000126BC"/>
    <w:rsid w:val="000139FA"/>
    <w:rsid w:val="00013B67"/>
    <w:rsid w:val="000143E5"/>
    <w:rsid w:val="0002178B"/>
    <w:rsid w:val="00022C4B"/>
    <w:rsid w:val="000237D2"/>
    <w:rsid w:val="0002588E"/>
    <w:rsid w:val="00027127"/>
    <w:rsid w:val="00031C8B"/>
    <w:rsid w:val="00035122"/>
    <w:rsid w:val="000368F4"/>
    <w:rsid w:val="0004104D"/>
    <w:rsid w:val="00041F1F"/>
    <w:rsid w:val="00041FC6"/>
    <w:rsid w:val="00044376"/>
    <w:rsid w:val="00045D55"/>
    <w:rsid w:val="00045FA5"/>
    <w:rsid w:val="00046193"/>
    <w:rsid w:val="0005391F"/>
    <w:rsid w:val="00053C4B"/>
    <w:rsid w:val="00060926"/>
    <w:rsid w:val="00060B8F"/>
    <w:rsid w:val="00062C05"/>
    <w:rsid w:val="00062FE4"/>
    <w:rsid w:val="000651AF"/>
    <w:rsid w:val="0006566D"/>
    <w:rsid w:val="00065E24"/>
    <w:rsid w:val="00065F94"/>
    <w:rsid w:val="00066A53"/>
    <w:rsid w:val="0007115C"/>
    <w:rsid w:val="00072D0B"/>
    <w:rsid w:val="00075D5D"/>
    <w:rsid w:val="000760EA"/>
    <w:rsid w:val="00080EDE"/>
    <w:rsid w:val="00082003"/>
    <w:rsid w:val="00082A16"/>
    <w:rsid w:val="00083123"/>
    <w:rsid w:val="000875A8"/>
    <w:rsid w:val="00092DC0"/>
    <w:rsid w:val="00095BDD"/>
    <w:rsid w:val="00095E25"/>
    <w:rsid w:val="0009615F"/>
    <w:rsid w:val="000A187F"/>
    <w:rsid w:val="000A2603"/>
    <w:rsid w:val="000A40AD"/>
    <w:rsid w:val="000A42BE"/>
    <w:rsid w:val="000A45A8"/>
    <w:rsid w:val="000A467F"/>
    <w:rsid w:val="000A46A4"/>
    <w:rsid w:val="000A5141"/>
    <w:rsid w:val="000B0BE3"/>
    <w:rsid w:val="000B4020"/>
    <w:rsid w:val="000B4B07"/>
    <w:rsid w:val="000B58BC"/>
    <w:rsid w:val="000B62ED"/>
    <w:rsid w:val="000B6552"/>
    <w:rsid w:val="000C0D1E"/>
    <w:rsid w:val="000C2870"/>
    <w:rsid w:val="000C4F84"/>
    <w:rsid w:val="000C50E2"/>
    <w:rsid w:val="000C5203"/>
    <w:rsid w:val="000C527B"/>
    <w:rsid w:val="000D2C11"/>
    <w:rsid w:val="000D37E6"/>
    <w:rsid w:val="000D44BC"/>
    <w:rsid w:val="000D46FB"/>
    <w:rsid w:val="000D4824"/>
    <w:rsid w:val="000D62E8"/>
    <w:rsid w:val="000E2C3A"/>
    <w:rsid w:val="000E2E18"/>
    <w:rsid w:val="000E419A"/>
    <w:rsid w:val="000E6911"/>
    <w:rsid w:val="000E7E47"/>
    <w:rsid w:val="000F06F3"/>
    <w:rsid w:val="000F1076"/>
    <w:rsid w:val="000F2751"/>
    <w:rsid w:val="000F490F"/>
    <w:rsid w:val="000F4C1E"/>
    <w:rsid w:val="00100F91"/>
    <w:rsid w:val="00101413"/>
    <w:rsid w:val="00103FD9"/>
    <w:rsid w:val="00104C14"/>
    <w:rsid w:val="00105A75"/>
    <w:rsid w:val="0010647A"/>
    <w:rsid w:val="001069C2"/>
    <w:rsid w:val="00106EDC"/>
    <w:rsid w:val="00107683"/>
    <w:rsid w:val="00112846"/>
    <w:rsid w:val="001141A7"/>
    <w:rsid w:val="00114DB1"/>
    <w:rsid w:val="00115144"/>
    <w:rsid w:val="0012205B"/>
    <w:rsid w:val="00125108"/>
    <w:rsid w:val="00125676"/>
    <w:rsid w:val="00126518"/>
    <w:rsid w:val="001273A7"/>
    <w:rsid w:val="0013047C"/>
    <w:rsid w:val="00130B57"/>
    <w:rsid w:val="001343CF"/>
    <w:rsid w:val="00135155"/>
    <w:rsid w:val="001353BC"/>
    <w:rsid w:val="00140257"/>
    <w:rsid w:val="00140D44"/>
    <w:rsid w:val="0014197B"/>
    <w:rsid w:val="00142048"/>
    <w:rsid w:val="001439F1"/>
    <w:rsid w:val="00144AEE"/>
    <w:rsid w:val="001465BE"/>
    <w:rsid w:val="00146B8D"/>
    <w:rsid w:val="00147BBC"/>
    <w:rsid w:val="0015078D"/>
    <w:rsid w:val="0015172C"/>
    <w:rsid w:val="00152A7A"/>
    <w:rsid w:val="001539BB"/>
    <w:rsid w:val="00154267"/>
    <w:rsid w:val="00154C4F"/>
    <w:rsid w:val="00154D8A"/>
    <w:rsid w:val="00155877"/>
    <w:rsid w:val="00155F43"/>
    <w:rsid w:val="0015628D"/>
    <w:rsid w:val="00161C34"/>
    <w:rsid w:val="0016355C"/>
    <w:rsid w:val="00164927"/>
    <w:rsid w:val="00165A90"/>
    <w:rsid w:val="001678F2"/>
    <w:rsid w:val="001705C7"/>
    <w:rsid w:val="00170CA1"/>
    <w:rsid w:val="00172482"/>
    <w:rsid w:val="00174F48"/>
    <w:rsid w:val="0017578C"/>
    <w:rsid w:val="00175817"/>
    <w:rsid w:val="00176922"/>
    <w:rsid w:val="00180D48"/>
    <w:rsid w:val="00182ADA"/>
    <w:rsid w:val="001835AA"/>
    <w:rsid w:val="00183827"/>
    <w:rsid w:val="00183E8F"/>
    <w:rsid w:val="001854D7"/>
    <w:rsid w:val="00191D8D"/>
    <w:rsid w:val="001923CA"/>
    <w:rsid w:val="00196744"/>
    <w:rsid w:val="001975D6"/>
    <w:rsid w:val="00197AF4"/>
    <w:rsid w:val="001A1773"/>
    <w:rsid w:val="001A2D92"/>
    <w:rsid w:val="001A7A87"/>
    <w:rsid w:val="001B0710"/>
    <w:rsid w:val="001B347E"/>
    <w:rsid w:val="001B59BC"/>
    <w:rsid w:val="001B5B69"/>
    <w:rsid w:val="001B5DB9"/>
    <w:rsid w:val="001B5F05"/>
    <w:rsid w:val="001B7BED"/>
    <w:rsid w:val="001C38E5"/>
    <w:rsid w:val="001C3C2B"/>
    <w:rsid w:val="001C550F"/>
    <w:rsid w:val="001C7589"/>
    <w:rsid w:val="001D00F4"/>
    <w:rsid w:val="001D0E4D"/>
    <w:rsid w:val="001D1F40"/>
    <w:rsid w:val="001D24F5"/>
    <w:rsid w:val="001D50A8"/>
    <w:rsid w:val="001D6AFE"/>
    <w:rsid w:val="001D7612"/>
    <w:rsid w:val="001E06CD"/>
    <w:rsid w:val="001E0833"/>
    <w:rsid w:val="001E0D20"/>
    <w:rsid w:val="001E1FAC"/>
    <w:rsid w:val="001E2C30"/>
    <w:rsid w:val="001E319D"/>
    <w:rsid w:val="001E31E7"/>
    <w:rsid w:val="001E4881"/>
    <w:rsid w:val="001E5189"/>
    <w:rsid w:val="001E69E1"/>
    <w:rsid w:val="001F084B"/>
    <w:rsid w:val="001F1551"/>
    <w:rsid w:val="001F1E5D"/>
    <w:rsid w:val="001F2287"/>
    <w:rsid w:val="001F252C"/>
    <w:rsid w:val="001F3032"/>
    <w:rsid w:val="001F31C5"/>
    <w:rsid w:val="001F321D"/>
    <w:rsid w:val="001F32FE"/>
    <w:rsid w:val="001F3C47"/>
    <w:rsid w:val="001F43A9"/>
    <w:rsid w:val="001F48D1"/>
    <w:rsid w:val="001F4C0B"/>
    <w:rsid w:val="001F5A79"/>
    <w:rsid w:val="00200440"/>
    <w:rsid w:val="00203544"/>
    <w:rsid w:val="00203737"/>
    <w:rsid w:val="00204819"/>
    <w:rsid w:val="00207D12"/>
    <w:rsid w:val="00215B4D"/>
    <w:rsid w:val="00215BE0"/>
    <w:rsid w:val="00216E39"/>
    <w:rsid w:val="00220441"/>
    <w:rsid w:val="0022310F"/>
    <w:rsid w:val="00223A3D"/>
    <w:rsid w:val="00223FB5"/>
    <w:rsid w:val="0022607D"/>
    <w:rsid w:val="002272FA"/>
    <w:rsid w:val="0022798C"/>
    <w:rsid w:val="00227F7D"/>
    <w:rsid w:val="00230108"/>
    <w:rsid w:val="00231E72"/>
    <w:rsid w:val="00232B17"/>
    <w:rsid w:val="00232B3C"/>
    <w:rsid w:val="00233ECC"/>
    <w:rsid w:val="002345FB"/>
    <w:rsid w:val="002355F0"/>
    <w:rsid w:val="00236CBD"/>
    <w:rsid w:val="002370C1"/>
    <w:rsid w:val="002370CC"/>
    <w:rsid w:val="00240A85"/>
    <w:rsid w:val="00241EAF"/>
    <w:rsid w:val="00243772"/>
    <w:rsid w:val="00243CA2"/>
    <w:rsid w:val="00243F7D"/>
    <w:rsid w:val="0024450C"/>
    <w:rsid w:val="00245C93"/>
    <w:rsid w:val="00246571"/>
    <w:rsid w:val="00246A95"/>
    <w:rsid w:val="00246B53"/>
    <w:rsid w:val="00247A3D"/>
    <w:rsid w:val="00247C20"/>
    <w:rsid w:val="0025224B"/>
    <w:rsid w:val="00252971"/>
    <w:rsid w:val="00252A5C"/>
    <w:rsid w:val="0025353E"/>
    <w:rsid w:val="002548C2"/>
    <w:rsid w:val="00254FAB"/>
    <w:rsid w:val="002550E8"/>
    <w:rsid w:val="00255C16"/>
    <w:rsid w:val="00257DF0"/>
    <w:rsid w:val="002615A2"/>
    <w:rsid w:val="00261FFF"/>
    <w:rsid w:val="00262533"/>
    <w:rsid w:val="00262BE1"/>
    <w:rsid w:val="00262D00"/>
    <w:rsid w:val="00263CFA"/>
    <w:rsid w:val="00267B7C"/>
    <w:rsid w:val="002709B7"/>
    <w:rsid w:val="00272267"/>
    <w:rsid w:val="0027615E"/>
    <w:rsid w:val="00276A0D"/>
    <w:rsid w:val="00277A81"/>
    <w:rsid w:val="0028001B"/>
    <w:rsid w:val="00281576"/>
    <w:rsid w:val="0028202A"/>
    <w:rsid w:val="00282418"/>
    <w:rsid w:val="002833B0"/>
    <w:rsid w:val="00284A41"/>
    <w:rsid w:val="00284C6A"/>
    <w:rsid w:val="00287682"/>
    <w:rsid w:val="00290601"/>
    <w:rsid w:val="002906CC"/>
    <w:rsid w:val="0029117C"/>
    <w:rsid w:val="0029235E"/>
    <w:rsid w:val="002960BD"/>
    <w:rsid w:val="0029705B"/>
    <w:rsid w:val="002A09CE"/>
    <w:rsid w:val="002A0B6B"/>
    <w:rsid w:val="002A1635"/>
    <w:rsid w:val="002A2249"/>
    <w:rsid w:val="002A5037"/>
    <w:rsid w:val="002A6579"/>
    <w:rsid w:val="002B7453"/>
    <w:rsid w:val="002C0A58"/>
    <w:rsid w:val="002C20D1"/>
    <w:rsid w:val="002C2A7E"/>
    <w:rsid w:val="002C39D8"/>
    <w:rsid w:val="002C4907"/>
    <w:rsid w:val="002C4AF9"/>
    <w:rsid w:val="002C5421"/>
    <w:rsid w:val="002C5847"/>
    <w:rsid w:val="002C59D7"/>
    <w:rsid w:val="002C7092"/>
    <w:rsid w:val="002C735C"/>
    <w:rsid w:val="002D0AEA"/>
    <w:rsid w:val="002D1855"/>
    <w:rsid w:val="002D2A0A"/>
    <w:rsid w:val="002E037D"/>
    <w:rsid w:val="002E0C30"/>
    <w:rsid w:val="002E13BC"/>
    <w:rsid w:val="002E6D30"/>
    <w:rsid w:val="002E7CD9"/>
    <w:rsid w:val="002F1039"/>
    <w:rsid w:val="002F1A71"/>
    <w:rsid w:val="002F1D42"/>
    <w:rsid w:val="002F2E52"/>
    <w:rsid w:val="002F4151"/>
    <w:rsid w:val="002F6658"/>
    <w:rsid w:val="002F6A9D"/>
    <w:rsid w:val="003004BF"/>
    <w:rsid w:val="00305729"/>
    <w:rsid w:val="003058A8"/>
    <w:rsid w:val="00307398"/>
    <w:rsid w:val="00310CE6"/>
    <w:rsid w:val="00311D8B"/>
    <w:rsid w:val="00314A7F"/>
    <w:rsid w:val="00315E04"/>
    <w:rsid w:val="003164CE"/>
    <w:rsid w:val="00316C71"/>
    <w:rsid w:val="00317481"/>
    <w:rsid w:val="00321DAB"/>
    <w:rsid w:val="00322155"/>
    <w:rsid w:val="00322343"/>
    <w:rsid w:val="00322869"/>
    <w:rsid w:val="00325490"/>
    <w:rsid w:val="00327641"/>
    <w:rsid w:val="00330AE1"/>
    <w:rsid w:val="00332878"/>
    <w:rsid w:val="003333EE"/>
    <w:rsid w:val="003349C9"/>
    <w:rsid w:val="00335B91"/>
    <w:rsid w:val="00336A90"/>
    <w:rsid w:val="003377E8"/>
    <w:rsid w:val="003407EC"/>
    <w:rsid w:val="00342188"/>
    <w:rsid w:val="003421BD"/>
    <w:rsid w:val="00343CF5"/>
    <w:rsid w:val="00344067"/>
    <w:rsid w:val="00344442"/>
    <w:rsid w:val="00344701"/>
    <w:rsid w:val="00344803"/>
    <w:rsid w:val="0034492A"/>
    <w:rsid w:val="00346FFE"/>
    <w:rsid w:val="00352140"/>
    <w:rsid w:val="0035238C"/>
    <w:rsid w:val="00354017"/>
    <w:rsid w:val="0035563D"/>
    <w:rsid w:val="003559AB"/>
    <w:rsid w:val="00355DAA"/>
    <w:rsid w:val="00356BAF"/>
    <w:rsid w:val="0036088B"/>
    <w:rsid w:val="0036214C"/>
    <w:rsid w:val="0036389F"/>
    <w:rsid w:val="00363BC9"/>
    <w:rsid w:val="00364FD9"/>
    <w:rsid w:val="0037198B"/>
    <w:rsid w:val="00374ADC"/>
    <w:rsid w:val="003756B8"/>
    <w:rsid w:val="00383DDA"/>
    <w:rsid w:val="0038426B"/>
    <w:rsid w:val="0038491E"/>
    <w:rsid w:val="00384D95"/>
    <w:rsid w:val="003862B4"/>
    <w:rsid w:val="00386E53"/>
    <w:rsid w:val="003939C7"/>
    <w:rsid w:val="00394116"/>
    <w:rsid w:val="0039516A"/>
    <w:rsid w:val="00395E39"/>
    <w:rsid w:val="00395F32"/>
    <w:rsid w:val="00396FCE"/>
    <w:rsid w:val="00397284"/>
    <w:rsid w:val="003A0173"/>
    <w:rsid w:val="003A073E"/>
    <w:rsid w:val="003A0A0C"/>
    <w:rsid w:val="003A2EA5"/>
    <w:rsid w:val="003A30B4"/>
    <w:rsid w:val="003A3260"/>
    <w:rsid w:val="003A4653"/>
    <w:rsid w:val="003A4DF3"/>
    <w:rsid w:val="003A60AB"/>
    <w:rsid w:val="003A634F"/>
    <w:rsid w:val="003B02C3"/>
    <w:rsid w:val="003B0A83"/>
    <w:rsid w:val="003B21F0"/>
    <w:rsid w:val="003B2CDF"/>
    <w:rsid w:val="003B3BFB"/>
    <w:rsid w:val="003B3E53"/>
    <w:rsid w:val="003B4AFD"/>
    <w:rsid w:val="003B4BED"/>
    <w:rsid w:val="003B4EA0"/>
    <w:rsid w:val="003B531C"/>
    <w:rsid w:val="003B67BB"/>
    <w:rsid w:val="003C1783"/>
    <w:rsid w:val="003C2245"/>
    <w:rsid w:val="003C22B5"/>
    <w:rsid w:val="003C2741"/>
    <w:rsid w:val="003C3D89"/>
    <w:rsid w:val="003C6123"/>
    <w:rsid w:val="003C6EA0"/>
    <w:rsid w:val="003C7388"/>
    <w:rsid w:val="003C7DBD"/>
    <w:rsid w:val="003D0192"/>
    <w:rsid w:val="003D2F1D"/>
    <w:rsid w:val="003D3922"/>
    <w:rsid w:val="003D45EA"/>
    <w:rsid w:val="003D547F"/>
    <w:rsid w:val="003D5C26"/>
    <w:rsid w:val="003E2B48"/>
    <w:rsid w:val="003E31C4"/>
    <w:rsid w:val="003E4D3E"/>
    <w:rsid w:val="003E4FF7"/>
    <w:rsid w:val="003E5124"/>
    <w:rsid w:val="003E54CD"/>
    <w:rsid w:val="003E578C"/>
    <w:rsid w:val="003E5810"/>
    <w:rsid w:val="003E5F89"/>
    <w:rsid w:val="003F3604"/>
    <w:rsid w:val="003F52E7"/>
    <w:rsid w:val="004012A8"/>
    <w:rsid w:val="00406434"/>
    <w:rsid w:val="00406F25"/>
    <w:rsid w:val="00410C9F"/>
    <w:rsid w:val="004138AC"/>
    <w:rsid w:val="00414980"/>
    <w:rsid w:val="00416368"/>
    <w:rsid w:val="00417332"/>
    <w:rsid w:val="00420483"/>
    <w:rsid w:val="0042309C"/>
    <w:rsid w:val="00423241"/>
    <w:rsid w:val="0042353B"/>
    <w:rsid w:val="00423A03"/>
    <w:rsid w:val="00423DE6"/>
    <w:rsid w:val="00424AFB"/>
    <w:rsid w:val="00425F2E"/>
    <w:rsid w:val="00427577"/>
    <w:rsid w:val="00427A26"/>
    <w:rsid w:val="00433503"/>
    <w:rsid w:val="004357CE"/>
    <w:rsid w:val="004371B3"/>
    <w:rsid w:val="0044034D"/>
    <w:rsid w:val="004403C4"/>
    <w:rsid w:val="00441064"/>
    <w:rsid w:val="00441939"/>
    <w:rsid w:val="00441F30"/>
    <w:rsid w:val="004423E3"/>
    <w:rsid w:val="004438F1"/>
    <w:rsid w:val="00444C93"/>
    <w:rsid w:val="00446370"/>
    <w:rsid w:val="00446691"/>
    <w:rsid w:val="00446D9C"/>
    <w:rsid w:val="00450537"/>
    <w:rsid w:val="0045273D"/>
    <w:rsid w:val="0045277E"/>
    <w:rsid w:val="00452E2C"/>
    <w:rsid w:val="00454FF6"/>
    <w:rsid w:val="00460FE7"/>
    <w:rsid w:val="00461A21"/>
    <w:rsid w:val="00462BD1"/>
    <w:rsid w:val="0046391D"/>
    <w:rsid w:val="004643B9"/>
    <w:rsid w:val="00465569"/>
    <w:rsid w:val="00467C3F"/>
    <w:rsid w:val="004718ED"/>
    <w:rsid w:val="0047248B"/>
    <w:rsid w:val="004747C9"/>
    <w:rsid w:val="0047574B"/>
    <w:rsid w:val="0047638C"/>
    <w:rsid w:val="00483010"/>
    <w:rsid w:val="00484B08"/>
    <w:rsid w:val="004863FB"/>
    <w:rsid w:val="00487959"/>
    <w:rsid w:val="004912D2"/>
    <w:rsid w:val="0049243D"/>
    <w:rsid w:val="004927B4"/>
    <w:rsid w:val="00493544"/>
    <w:rsid w:val="00493753"/>
    <w:rsid w:val="00493E89"/>
    <w:rsid w:val="004951E1"/>
    <w:rsid w:val="0049621F"/>
    <w:rsid w:val="004A08DA"/>
    <w:rsid w:val="004A0EFF"/>
    <w:rsid w:val="004A3C3B"/>
    <w:rsid w:val="004A771A"/>
    <w:rsid w:val="004B067F"/>
    <w:rsid w:val="004B06D1"/>
    <w:rsid w:val="004B1B43"/>
    <w:rsid w:val="004B1BA4"/>
    <w:rsid w:val="004B29EF"/>
    <w:rsid w:val="004B5482"/>
    <w:rsid w:val="004B7596"/>
    <w:rsid w:val="004C0DCD"/>
    <w:rsid w:val="004C2007"/>
    <w:rsid w:val="004C393E"/>
    <w:rsid w:val="004D011C"/>
    <w:rsid w:val="004D0ED6"/>
    <w:rsid w:val="004D3BAE"/>
    <w:rsid w:val="004D5C98"/>
    <w:rsid w:val="004D5CE1"/>
    <w:rsid w:val="004D6D76"/>
    <w:rsid w:val="004D7B48"/>
    <w:rsid w:val="004D7BBF"/>
    <w:rsid w:val="004E1AB4"/>
    <w:rsid w:val="004E2452"/>
    <w:rsid w:val="004E406D"/>
    <w:rsid w:val="004E4C99"/>
    <w:rsid w:val="004E6286"/>
    <w:rsid w:val="004E6491"/>
    <w:rsid w:val="004E72CB"/>
    <w:rsid w:val="004F494F"/>
    <w:rsid w:val="004F622D"/>
    <w:rsid w:val="004F6AA5"/>
    <w:rsid w:val="004F7090"/>
    <w:rsid w:val="00500555"/>
    <w:rsid w:val="0050101A"/>
    <w:rsid w:val="00501750"/>
    <w:rsid w:val="00503B0B"/>
    <w:rsid w:val="005063B9"/>
    <w:rsid w:val="005102E2"/>
    <w:rsid w:val="005124CD"/>
    <w:rsid w:val="005125A1"/>
    <w:rsid w:val="00514DE0"/>
    <w:rsid w:val="005214D1"/>
    <w:rsid w:val="005252CE"/>
    <w:rsid w:val="00525835"/>
    <w:rsid w:val="00525D24"/>
    <w:rsid w:val="00526DF3"/>
    <w:rsid w:val="00527411"/>
    <w:rsid w:val="005275F7"/>
    <w:rsid w:val="005310FA"/>
    <w:rsid w:val="00531D75"/>
    <w:rsid w:val="00531E2B"/>
    <w:rsid w:val="00532478"/>
    <w:rsid w:val="00532C95"/>
    <w:rsid w:val="00532D81"/>
    <w:rsid w:val="005335C0"/>
    <w:rsid w:val="005364D7"/>
    <w:rsid w:val="00540515"/>
    <w:rsid w:val="00540A55"/>
    <w:rsid w:val="00542B5F"/>
    <w:rsid w:val="00542CC9"/>
    <w:rsid w:val="00542D30"/>
    <w:rsid w:val="00545B13"/>
    <w:rsid w:val="005476C0"/>
    <w:rsid w:val="0055033A"/>
    <w:rsid w:val="00550BCB"/>
    <w:rsid w:val="0055194F"/>
    <w:rsid w:val="00552F13"/>
    <w:rsid w:val="00553F89"/>
    <w:rsid w:val="00553FEF"/>
    <w:rsid w:val="005572F1"/>
    <w:rsid w:val="0056154D"/>
    <w:rsid w:val="00563406"/>
    <w:rsid w:val="0056394B"/>
    <w:rsid w:val="005641A3"/>
    <w:rsid w:val="0056581A"/>
    <w:rsid w:val="00565CBC"/>
    <w:rsid w:val="005663C4"/>
    <w:rsid w:val="00570371"/>
    <w:rsid w:val="0057104D"/>
    <w:rsid w:val="00571230"/>
    <w:rsid w:val="00572238"/>
    <w:rsid w:val="0057284B"/>
    <w:rsid w:val="00573C63"/>
    <w:rsid w:val="00574D26"/>
    <w:rsid w:val="00575968"/>
    <w:rsid w:val="0057610D"/>
    <w:rsid w:val="00580B8F"/>
    <w:rsid w:val="00583788"/>
    <w:rsid w:val="005838E1"/>
    <w:rsid w:val="00583D0F"/>
    <w:rsid w:val="00584125"/>
    <w:rsid w:val="00585151"/>
    <w:rsid w:val="00587842"/>
    <w:rsid w:val="005929FA"/>
    <w:rsid w:val="00593732"/>
    <w:rsid w:val="0059391B"/>
    <w:rsid w:val="00593AD9"/>
    <w:rsid w:val="00593BF0"/>
    <w:rsid w:val="00593EBF"/>
    <w:rsid w:val="005A11EE"/>
    <w:rsid w:val="005A1564"/>
    <w:rsid w:val="005B6AC1"/>
    <w:rsid w:val="005B6C1F"/>
    <w:rsid w:val="005B74EC"/>
    <w:rsid w:val="005C0BC2"/>
    <w:rsid w:val="005C110D"/>
    <w:rsid w:val="005C1C87"/>
    <w:rsid w:val="005C6217"/>
    <w:rsid w:val="005C6BB9"/>
    <w:rsid w:val="005D1DFE"/>
    <w:rsid w:val="005D3200"/>
    <w:rsid w:val="005D4333"/>
    <w:rsid w:val="005D50AA"/>
    <w:rsid w:val="005D7882"/>
    <w:rsid w:val="005D7E97"/>
    <w:rsid w:val="005D7EDA"/>
    <w:rsid w:val="005E1CA4"/>
    <w:rsid w:val="005E529E"/>
    <w:rsid w:val="005E75A2"/>
    <w:rsid w:val="005F3D5F"/>
    <w:rsid w:val="005F4FAC"/>
    <w:rsid w:val="005F68D1"/>
    <w:rsid w:val="005F757C"/>
    <w:rsid w:val="00601209"/>
    <w:rsid w:val="00601CFD"/>
    <w:rsid w:val="00602B0D"/>
    <w:rsid w:val="00603266"/>
    <w:rsid w:val="00605688"/>
    <w:rsid w:val="00610108"/>
    <w:rsid w:val="006105E6"/>
    <w:rsid w:val="006137AE"/>
    <w:rsid w:val="006155BE"/>
    <w:rsid w:val="006201A9"/>
    <w:rsid w:val="00621DC6"/>
    <w:rsid w:val="006239A6"/>
    <w:rsid w:val="0062504D"/>
    <w:rsid w:val="00625C55"/>
    <w:rsid w:val="006305B7"/>
    <w:rsid w:val="00631554"/>
    <w:rsid w:val="00634A05"/>
    <w:rsid w:val="0063517C"/>
    <w:rsid w:val="006352C3"/>
    <w:rsid w:val="00640213"/>
    <w:rsid w:val="006407D7"/>
    <w:rsid w:val="00641476"/>
    <w:rsid w:val="00641607"/>
    <w:rsid w:val="00642BCD"/>
    <w:rsid w:val="00642CE8"/>
    <w:rsid w:val="0064623C"/>
    <w:rsid w:val="00647A12"/>
    <w:rsid w:val="00652CF8"/>
    <w:rsid w:val="00655E38"/>
    <w:rsid w:val="0066026C"/>
    <w:rsid w:val="0066051B"/>
    <w:rsid w:val="0066166E"/>
    <w:rsid w:val="00666157"/>
    <w:rsid w:val="006662DC"/>
    <w:rsid w:val="00666AAF"/>
    <w:rsid w:val="006677C7"/>
    <w:rsid w:val="006719EC"/>
    <w:rsid w:val="0067249A"/>
    <w:rsid w:val="0067614C"/>
    <w:rsid w:val="00684CFD"/>
    <w:rsid w:val="0068538D"/>
    <w:rsid w:val="006877BA"/>
    <w:rsid w:val="00690D36"/>
    <w:rsid w:val="00691938"/>
    <w:rsid w:val="00692CF5"/>
    <w:rsid w:val="006949ED"/>
    <w:rsid w:val="00695D7B"/>
    <w:rsid w:val="00697BF5"/>
    <w:rsid w:val="006A029E"/>
    <w:rsid w:val="006A0743"/>
    <w:rsid w:val="006A0A3F"/>
    <w:rsid w:val="006A1B46"/>
    <w:rsid w:val="006A31C3"/>
    <w:rsid w:val="006A580B"/>
    <w:rsid w:val="006A7316"/>
    <w:rsid w:val="006B1124"/>
    <w:rsid w:val="006B3FB0"/>
    <w:rsid w:val="006B43C4"/>
    <w:rsid w:val="006B51DC"/>
    <w:rsid w:val="006B5ADC"/>
    <w:rsid w:val="006C1E1F"/>
    <w:rsid w:val="006C2F78"/>
    <w:rsid w:val="006C34B6"/>
    <w:rsid w:val="006C7F83"/>
    <w:rsid w:val="006D4230"/>
    <w:rsid w:val="006D599B"/>
    <w:rsid w:val="006D6E71"/>
    <w:rsid w:val="006E0ADC"/>
    <w:rsid w:val="006E1B94"/>
    <w:rsid w:val="006E1E76"/>
    <w:rsid w:val="006E29DF"/>
    <w:rsid w:val="006E4607"/>
    <w:rsid w:val="006E5C9D"/>
    <w:rsid w:val="006E60E3"/>
    <w:rsid w:val="006E6C8A"/>
    <w:rsid w:val="006F1516"/>
    <w:rsid w:val="006F2D3B"/>
    <w:rsid w:val="006F3E60"/>
    <w:rsid w:val="006F4BE5"/>
    <w:rsid w:val="006F6943"/>
    <w:rsid w:val="006F7E8D"/>
    <w:rsid w:val="006F7F65"/>
    <w:rsid w:val="00704D34"/>
    <w:rsid w:val="007111AF"/>
    <w:rsid w:val="00711493"/>
    <w:rsid w:val="00711E39"/>
    <w:rsid w:val="007122F6"/>
    <w:rsid w:val="00713F0F"/>
    <w:rsid w:val="00714936"/>
    <w:rsid w:val="007167DE"/>
    <w:rsid w:val="00717011"/>
    <w:rsid w:val="00717136"/>
    <w:rsid w:val="007207DF"/>
    <w:rsid w:val="00724E48"/>
    <w:rsid w:val="00725544"/>
    <w:rsid w:val="00727287"/>
    <w:rsid w:val="007350FB"/>
    <w:rsid w:val="00736262"/>
    <w:rsid w:val="007403CD"/>
    <w:rsid w:val="00740BC4"/>
    <w:rsid w:val="0074137E"/>
    <w:rsid w:val="007414A5"/>
    <w:rsid w:val="00741CC2"/>
    <w:rsid w:val="00742FB9"/>
    <w:rsid w:val="00743B20"/>
    <w:rsid w:val="00746146"/>
    <w:rsid w:val="007476A4"/>
    <w:rsid w:val="00752570"/>
    <w:rsid w:val="007530B8"/>
    <w:rsid w:val="007577B2"/>
    <w:rsid w:val="007614E0"/>
    <w:rsid w:val="00764895"/>
    <w:rsid w:val="0076599F"/>
    <w:rsid w:val="007669DC"/>
    <w:rsid w:val="007679CE"/>
    <w:rsid w:val="00770409"/>
    <w:rsid w:val="00772D49"/>
    <w:rsid w:val="007747E1"/>
    <w:rsid w:val="0077567F"/>
    <w:rsid w:val="007773AC"/>
    <w:rsid w:val="00781BE6"/>
    <w:rsid w:val="0078200C"/>
    <w:rsid w:val="00782D90"/>
    <w:rsid w:val="007839F1"/>
    <w:rsid w:val="00786028"/>
    <w:rsid w:val="00786DA5"/>
    <w:rsid w:val="00790092"/>
    <w:rsid w:val="00791E81"/>
    <w:rsid w:val="00795E7B"/>
    <w:rsid w:val="00796829"/>
    <w:rsid w:val="007A127B"/>
    <w:rsid w:val="007A2B25"/>
    <w:rsid w:val="007A351E"/>
    <w:rsid w:val="007A43C7"/>
    <w:rsid w:val="007A755E"/>
    <w:rsid w:val="007B0021"/>
    <w:rsid w:val="007B08BF"/>
    <w:rsid w:val="007B17E9"/>
    <w:rsid w:val="007B1A18"/>
    <w:rsid w:val="007B4527"/>
    <w:rsid w:val="007B4E33"/>
    <w:rsid w:val="007B7DE2"/>
    <w:rsid w:val="007C0390"/>
    <w:rsid w:val="007C44EC"/>
    <w:rsid w:val="007C4F03"/>
    <w:rsid w:val="007C5D43"/>
    <w:rsid w:val="007C6588"/>
    <w:rsid w:val="007C683C"/>
    <w:rsid w:val="007D3B76"/>
    <w:rsid w:val="007D3BF1"/>
    <w:rsid w:val="007D49B8"/>
    <w:rsid w:val="007D4F64"/>
    <w:rsid w:val="007D5A97"/>
    <w:rsid w:val="007D65E1"/>
    <w:rsid w:val="007E04FF"/>
    <w:rsid w:val="007E0FA3"/>
    <w:rsid w:val="007E3351"/>
    <w:rsid w:val="007E5C0F"/>
    <w:rsid w:val="007E60D5"/>
    <w:rsid w:val="007F48A8"/>
    <w:rsid w:val="007F4DCB"/>
    <w:rsid w:val="007F5818"/>
    <w:rsid w:val="007F7878"/>
    <w:rsid w:val="008036B9"/>
    <w:rsid w:val="00805081"/>
    <w:rsid w:val="00807335"/>
    <w:rsid w:val="00811F59"/>
    <w:rsid w:val="008131F9"/>
    <w:rsid w:val="00813C33"/>
    <w:rsid w:val="00817B53"/>
    <w:rsid w:val="008202F3"/>
    <w:rsid w:val="00821425"/>
    <w:rsid w:val="0082412C"/>
    <w:rsid w:val="00824400"/>
    <w:rsid w:val="00827AEF"/>
    <w:rsid w:val="00830F0D"/>
    <w:rsid w:val="008341A9"/>
    <w:rsid w:val="008343ED"/>
    <w:rsid w:val="00836318"/>
    <w:rsid w:val="0083671E"/>
    <w:rsid w:val="008405D8"/>
    <w:rsid w:val="00840A26"/>
    <w:rsid w:val="008412C1"/>
    <w:rsid w:val="008431FA"/>
    <w:rsid w:val="0084724B"/>
    <w:rsid w:val="00847368"/>
    <w:rsid w:val="00851553"/>
    <w:rsid w:val="00857E54"/>
    <w:rsid w:val="00860E3D"/>
    <w:rsid w:val="00862C96"/>
    <w:rsid w:val="00862FCF"/>
    <w:rsid w:val="008643B0"/>
    <w:rsid w:val="0086600B"/>
    <w:rsid w:val="0086691C"/>
    <w:rsid w:val="008671A9"/>
    <w:rsid w:val="008710E6"/>
    <w:rsid w:val="00872C81"/>
    <w:rsid w:val="008765E8"/>
    <w:rsid w:val="008772EA"/>
    <w:rsid w:val="008807C7"/>
    <w:rsid w:val="008850D6"/>
    <w:rsid w:val="0088572D"/>
    <w:rsid w:val="008863DB"/>
    <w:rsid w:val="0088641E"/>
    <w:rsid w:val="00886A33"/>
    <w:rsid w:val="00891FD6"/>
    <w:rsid w:val="008924EB"/>
    <w:rsid w:val="00896646"/>
    <w:rsid w:val="00896FE3"/>
    <w:rsid w:val="008A09B8"/>
    <w:rsid w:val="008A303F"/>
    <w:rsid w:val="008A3A90"/>
    <w:rsid w:val="008A3D57"/>
    <w:rsid w:val="008A401A"/>
    <w:rsid w:val="008A5038"/>
    <w:rsid w:val="008A5E1F"/>
    <w:rsid w:val="008A65A5"/>
    <w:rsid w:val="008A700D"/>
    <w:rsid w:val="008A7F0F"/>
    <w:rsid w:val="008B0C86"/>
    <w:rsid w:val="008B3560"/>
    <w:rsid w:val="008B41F6"/>
    <w:rsid w:val="008B4FEA"/>
    <w:rsid w:val="008B509B"/>
    <w:rsid w:val="008B5A4A"/>
    <w:rsid w:val="008B5F61"/>
    <w:rsid w:val="008B66B3"/>
    <w:rsid w:val="008C3835"/>
    <w:rsid w:val="008C521A"/>
    <w:rsid w:val="008C70D1"/>
    <w:rsid w:val="008D051E"/>
    <w:rsid w:val="008D2F23"/>
    <w:rsid w:val="008D3109"/>
    <w:rsid w:val="008D4FE6"/>
    <w:rsid w:val="008D6F4B"/>
    <w:rsid w:val="008E12AA"/>
    <w:rsid w:val="008E1E02"/>
    <w:rsid w:val="008E3036"/>
    <w:rsid w:val="008E3DC0"/>
    <w:rsid w:val="008E3EC0"/>
    <w:rsid w:val="008E4B1D"/>
    <w:rsid w:val="008E79B3"/>
    <w:rsid w:val="008F3967"/>
    <w:rsid w:val="008F706B"/>
    <w:rsid w:val="008F794B"/>
    <w:rsid w:val="008F7BBB"/>
    <w:rsid w:val="009015CD"/>
    <w:rsid w:val="009046E2"/>
    <w:rsid w:val="009063D5"/>
    <w:rsid w:val="00906A7E"/>
    <w:rsid w:val="00906C17"/>
    <w:rsid w:val="00907066"/>
    <w:rsid w:val="00907B10"/>
    <w:rsid w:val="009124C0"/>
    <w:rsid w:val="009125DC"/>
    <w:rsid w:val="0091264D"/>
    <w:rsid w:val="009131FA"/>
    <w:rsid w:val="0091356D"/>
    <w:rsid w:val="009168ED"/>
    <w:rsid w:val="009228A3"/>
    <w:rsid w:val="00926188"/>
    <w:rsid w:val="00927413"/>
    <w:rsid w:val="009306A6"/>
    <w:rsid w:val="009306D3"/>
    <w:rsid w:val="00935EC0"/>
    <w:rsid w:val="009364F0"/>
    <w:rsid w:val="00937CD4"/>
    <w:rsid w:val="00940BDB"/>
    <w:rsid w:val="009414F6"/>
    <w:rsid w:val="00945CDE"/>
    <w:rsid w:val="00945E2D"/>
    <w:rsid w:val="009470EB"/>
    <w:rsid w:val="00950E71"/>
    <w:rsid w:val="0095144E"/>
    <w:rsid w:val="009528B3"/>
    <w:rsid w:val="00953D2F"/>
    <w:rsid w:val="0095421F"/>
    <w:rsid w:val="009550A2"/>
    <w:rsid w:val="009563D4"/>
    <w:rsid w:val="00956888"/>
    <w:rsid w:val="00956912"/>
    <w:rsid w:val="0096190F"/>
    <w:rsid w:val="00962D51"/>
    <w:rsid w:val="00962D99"/>
    <w:rsid w:val="00964748"/>
    <w:rsid w:val="0096611E"/>
    <w:rsid w:val="00966841"/>
    <w:rsid w:val="00966F56"/>
    <w:rsid w:val="00967266"/>
    <w:rsid w:val="00967BE6"/>
    <w:rsid w:val="00967C0E"/>
    <w:rsid w:val="00967D74"/>
    <w:rsid w:val="00967F17"/>
    <w:rsid w:val="00970F67"/>
    <w:rsid w:val="009727CF"/>
    <w:rsid w:val="0097351C"/>
    <w:rsid w:val="0097454A"/>
    <w:rsid w:val="00974E1A"/>
    <w:rsid w:val="009754AE"/>
    <w:rsid w:val="00976179"/>
    <w:rsid w:val="00976EAC"/>
    <w:rsid w:val="009774BD"/>
    <w:rsid w:val="009778A4"/>
    <w:rsid w:val="00977CA5"/>
    <w:rsid w:val="009815B7"/>
    <w:rsid w:val="00987A6E"/>
    <w:rsid w:val="009904E3"/>
    <w:rsid w:val="009906A4"/>
    <w:rsid w:val="00992663"/>
    <w:rsid w:val="00992D80"/>
    <w:rsid w:val="00993C27"/>
    <w:rsid w:val="00994357"/>
    <w:rsid w:val="009950F5"/>
    <w:rsid w:val="009961AE"/>
    <w:rsid w:val="009A0BD2"/>
    <w:rsid w:val="009A25E5"/>
    <w:rsid w:val="009A58E7"/>
    <w:rsid w:val="009A5AAA"/>
    <w:rsid w:val="009A5B3C"/>
    <w:rsid w:val="009A693D"/>
    <w:rsid w:val="009B308F"/>
    <w:rsid w:val="009B31B5"/>
    <w:rsid w:val="009B41A3"/>
    <w:rsid w:val="009B633E"/>
    <w:rsid w:val="009C2A3D"/>
    <w:rsid w:val="009C4B2A"/>
    <w:rsid w:val="009C6832"/>
    <w:rsid w:val="009C6F21"/>
    <w:rsid w:val="009C7DAD"/>
    <w:rsid w:val="009D0987"/>
    <w:rsid w:val="009D0A50"/>
    <w:rsid w:val="009D12F9"/>
    <w:rsid w:val="009D1E86"/>
    <w:rsid w:val="009D2DDA"/>
    <w:rsid w:val="009D56CD"/>
    <w:rsid w:val="009D6D45"/>
    <w:rsid w:val="009E25E4"/>
    <w:rsid w:val="009E28CB"/>
    <w:rsid w:val="009E3601"/>
    <w:rsid w:val="009E565A"/>
    <w:rsid w:val="009F3A29"/>
    <w:rsid w:val="009F4875"/>
    <w:rsid w:val="009F530E"/>
    <w:rsid w:val="009F540F"/>
    <w:rsid w:val="009F58DB"/>
    <w:rsid w:val="009F5991"/>
    <w:rsid w:val="009F6DB5"/>
    <w:rsid w:val="00A04D92"/>
    <w:rsid w:val="00A04E91"/>
    <w:rsid w:val="00A052E0"/>
    <w:rsid w:val="00A061AF"/>
    <w:rsid w:val="00A103CF"/>
    <w:rsid w:val="00A12797"/>
    <w:rsid w:val="00A139E7"/>
    <w:rsid w:val="00A13D67"/>
    <w:rsid w:val="00A15043"/>
    <w:rsid w:val="00A1506E"/>
    <w:rsid w:val="00A16A2C"/>
    <w:rsid w:val="00A17108"/>
    <w:rsid w:val="00A2154B"/>
    <w:rsid w:val="00A218DA"/>
    <w:rsid w:val="00A22653"/>
    <w:rsid w:val="00A249D5"/>
    <w:rsid w:val="00A26E1A"/>
    <w:rsid w:val="00A30F8C"/>
    <w:rsid w:val="00A33947"/>
    <w:rsid w:val="00A344D2"/>
    <w:rsid w:val="00A34C4D"/>
    <w:rsid w:val="00A35247"/>
    <w:rsid w:val="00A35B54"/>
    <w:rsid w:val="00A374E1"/>
    <w:rsid w:val="00A40CBD"/>
    <w:rsid w:val="00A41270"/>
    <w:rsid w:val="00A4337D"/>
    <w:rsid w:val="00A442C4"/>
    <w:rsid w:val="00A44484"/>
    <w:rsid w:val="00A463AC"/>
    <w:rsid w:val="00A46D5B"/>
    <w:rsid w:val="00A47438"/>
    <w:rsid w:val="00A50268"/>
    <w:rsid w:val="00A504D3"/>
    <w:rsid w:val="00A513B0"/>
    <w:rsid w:val="00A5281E"/>
    <w:rsid w:val="00A575FB"/>
    <w:rsid w:val="00A60FB7"/>
    <w:rsid w:val="00A627A5"/>
    <w:rsid w:val="00A627FC"/>
    <w:rsid w:val="00A62D1E"/>
    <w:rsid w:val="00A63A72"/>
    <w:rsid w:val="00A6476C"/>
    <w:rsid w:val="00A64C15"/>
    <w:rsid w:val="00A651AB"/>
    <w:rsid w:val="00A7299C"/>
    <w:rsid w:val="00A76956"/>
    <w:rsid w:val="00A819FF"/>
    <w:rsid w:val="00A82A51"/>
    <w:rsid w:val="00A82CC8"/>
    <w:rsid w:val="00A84AAE"/>
    <w:rsid w:val="00A86CA9"/>
    <w:rsid w:val="00A86D78"/>
    <w:rsid w:val="00A86FB2"/>
    <w:rsid w:val="00A90310"/>
    <w:rsid w:val="00A90B77"/>
    <w:rsid w:val="00A914EC"/>
    <w:rsid w:val="00A92000"/>
    <w:rsid w:val="00A9347D"/>
    <w:rsid w:val="00A9353E"/>
    <w:rsid w:val="00A93ECA"/>
    <w:rsid w:val="00A9590F"/>
    <w:rsid w:val="00A95C7E"/>
    <w:rsid w:val="00A96EAB"/>
    <w:rsid w:val="00AA1BC5"/>
    <w:rsid w:val="00AA1EED"/>
    <w:rsid w:val="00AA3311"/>
    <w:rsid w:val="00AA34D1"/>
    <w:rsid w:val="00AA40BB"/>
    <w:rsid w:val="00AA4247"/>
    <w:rsid w:val="00AA478C"/>
    <w:rsid w:val="00AA4AEA"/>
    <w:rsid w:val="00AA5D4B"/>
    <w:rsid w:val="00AA6F58"/>
    <w:rsid w:val="00AB33F7"/>
    <w:rsid w:val="00AB37A9"/>
    <w:rsid w:val="00AB659D"/>
    <w:rsid w:val="00AB775E"/>
    <w:rsid w:val="00AC2F73"/>
    <w:rsid w:val="00AC49B5"/>
    <w:rsid w:val="00AC4B34"/>
    <w:rsid w:val="00AC4DFB"/>
    <w:rsid w:val="00AC5A02"/>
    <w:rsid w:val="00AC6679"/>
    <w:rsid w:val="00AC672E"/>
    <w:rsid w:val="00AC690D"/>
    <w:rsid w:val="00AC7789"/>
    <w:rsid w:val="00AD1F9E"/>
    <w:rsid w:val="00AD228D"/>
    <w:rsid w:val="00AD6713"/>
    <w:rsid w:val="00AD6AD0"/>
    <w:rsid w:val="00AD76A1"/>
    <w:rsid w:val="00AD795D"/>
    <w:rsid w:val="00AE178B"/>
    <w:rsid w:val="00AE1944"/>
    <w:rsid w:val="00AE3CDA"/>
    <w:rsid w:val="00AE4A80"/>
    <w:rsid w:val="00AE72B6"/>
    <w:rsid w:val="00AF2E60"/>
    <w:rsid w:val="00AF4190"/>
    <w:rsid w:val="00AF486B"/>
    <w:rsid w:val="00AF4AA5"/>
    <w:rsid w:val="00AF4F38"/>
    <w:rsid w:val="00AF5CFF"/>
    <w:rsid w:val="00AF6727"/>
    <w:rsid w:val="00AF7D33"/>
    <w:rsid w:val="00AF7FD0"/>
    <w:rsid w:val="00B008D3"/>
    <w:rsid w:val="00B009FE"/>
    <w:rsid w:val="00B04F04"/>
    <w:rsid w:val="00B07B31"/>
    <w:rsid w:val="00B07E4B"/>
    <w:rsid w:val="00B10B85"/>
    <w:rsid w:val="00B11A59"/>
    <w:rsid w:val="00B148E5"/>
    <w:rsid w:val="00B16822"/>
    <w:rsid w:val="00B16B4E"/>
    <w:rsid w:val="00B21A9C"/>
    <w:rsid w:val="00B229E0"/>
    <w:rsid w:val="00B2471C"/>
    <w:rsid w:val="00B34009"/>
    <w:rsid w:val="00B355D9"/>
    <w:rsid w:val="00B435CF"/>
    <w:rsid w:val="00B450D8"/>
    <w:rsid w:val="00B45CD2"/>
    <w:rsid w:val="00B45E6F"/>
    <w:rsid w:val="00B5327A"/>
    <w:rsid w:val="00B53BB3"/>
    <w:rsid w:val="00B541BA"/>
    <w:rsid w:val="00B55097"/>
    <w:rsid w:val="00B56A27"/>
    <w:rsid w:val="00B57278"/>
    <w:rsid w:val="00B573EC"/>
    <w:rsid w:val="00B6002A"/>
    <w:rsid w:val="00B623BF"/>
    <w:rsid w:val="00B62407"/>
    <w:rsid w:val="00B625AC"/>
    <w:rsid w:val="00B6374D"/>
    <w:rsid w:val="00B647C8"/>
    <w:rsid w:val="00B64F48"/>
    <w:rsid w:val="00B65E35"/>
    <w:rsid w:val="00B74951"/>
    <w:rsid w:val="00B7596C"/>
    <w:rsid w:val="00B76831"/>
    <w:rsid w:val="00B76DC7"/>
    <w:rsid w:val="00B8349F"/>
    <w:rsid w:val="00B83B89"/>
    <w:rsid w:val="00B86007"/>
    <w:rsid w:val="00B8712E"/>
    <w:rsid w:val="00B935CA"/>
    <w:rsid w:val="00B945E2"/>
    <w:rsid w:val="00B959AD"/>
    <w:rsid w:val="00BA087F"/>
    <w:rsid w:val="00BA08EA"/>
    <w:rsid w:val="00BA2D78"/>
    <w:rsid w:val="00BA444B"/>
    <w:rsid w:val="00BA56F1"/>
    <w:rsid w:val="00BA6E6C"/>
    <w:rsid w:val="00BA7EC0"/>
    <w:rsid w:val="00BB0851"/>
    <w:rsid w:val="00BB23A6"/>
    <w:rsid w:val="00BB313A"/>
    <w:rsid w:val="00BB6124"/>
    <w:rsid w:val="00BC1133"/>
    <w:rsid w:val="00BC12CB"/>
    <w:rsid w:val="00BC3785"/>
    <w:rsid w:val="00BC4A6F"/>
    <w:rsid w:val="00BC6044"/>
    <w:rsid w:val="00BC70E3"/>
    <w:rsid w:val="00BD4E32"/>
    <w:rsid w:val="00BD6D46"/>
    <w:rsid w:val="00BD7225"/>
    <w:rsid w:val="00BD7F81"/>
    <w:rsid w:val="00BE024F"/>
    <w:rsid w:val="00BE075A"/>
    <w:rsid w:val="00BE53FF"/>
    <w:rsid w:val="00BF4126"/>
    <w:rsid w:val="00BF4537"/>
    <w:rsid w:val="00BF53AD"/>
    <w:rsid w:val="00BF6126"/>
    <w:rsid w:val="00BF6441"/>
    <w:rsid w:val="00BF6828"/>
    <w:rsid w:val="00C00E3B"/>
    <w:rsid w:val="00C0259A"/>
    <w:rsid w:val="00C066B5"/>
    <w:rsid w:val="00C068A6"/>
    <w:rsid w:val="00C133ED"/>
    <w:rsid w:val="00C1502A"/>
    <w:rsid w:val="00C15AD8"/>
    <w:rsid w:val="00C177AA"/>
    <w:rsid w:val="00C17A77"/>
    <w:rsid w:val="00C21D8D"/>
    <w:rsid w:val="00C26256"/>
    <w:rsid w:val="00C265A3"/>
    <w:rsid w:val="00C26D04"/>
    <w:rsid w:val="00C26F54"/>
    <w:rsid w:val="00C26FE2"/>
    <w:rsid w:val="00C275C5"/>
    <w:rsid w:val="00C27619"/>
    <w:rsid w:val="00C27F72"/>
    <w:rsid w:val="00C3380F"/>
    <w:rsid w:val="00C351B9"/>
    <w:rsid w:val="00C3536F"/>
    <w:rsid w:val="00C36EA2"/>
    <w:rsid w:val="00C375A2"/>
    <w:rsid w:val="00C40A07"/>
    <w:rsid w:val="00C40D75"/>
    <w:rsid w:val="00C410EC"/>
    <w:rsid w:val="00C4132E"/>
    <w:rsid w:val="00C425E2"/>
    <w:rsid w:val="00C426B5"/>
    <w:rsid w:val="00C42E49"/>
    <w:rsid w:val="00C43AD2"/>
    <w:rsid w:val="00C4456E"/>
    <w:rsid w:val="00C45B65"/>
    <w:rsid w:val="00C52CA7"/>
    <w:rsid w:val="00C54A50"/>
    <w:rsid w:val="00C60107"/>
    <w:rsid w:val="00C61783"/>
    <w:rsid w:val="00C62BCE"/>
    <w:rsid w:val="00C64251"/>
    <w:rsid w:val="00C66118"/>
    <w:rsid w:val="00C662AF"/>
    <w:rsid w:val="00C714D4"/>
    <w:rsid w:val="00C75356"/>
    <w:rsid w:val="00C76042"/>
    <w:rsid w:val="00C767FF"/>
    <w:rsid w:val="00C77CAD"/>
    <w:rsid w:val="00C80DC7"/>
    <w:rsid w:val="00C81BA1"/>
    <w:rsid w:val="00C82AAE"/>
    <w:rsid w:val="00C8367B"/>
    <w:rsid w:val="00C83A32"/>
    <w:rsid w:val="00C8524B"/>
    <w:rsid w:val="00C86610"/>
    <w:rsid w:val="00C90D1D"/>
    <w:rsid w:val="00C90ED7"/>
    <w:rsid w:val="00C9249F"/>
    <w:rsid w:val="00C94BB7"/>
    <w:rsid w:val="00CA1918"/>
    <w:rsid w:val="00CA1E5F"/>
    <w:rsid w:val="00CA2597"/>
    <w:rsid w:val="00CA3B04"/>
    <w:rsid w:val="00CA69E5"/>
    <w:rsid w:val="00CA6E98"/>
    <w:rsid w:val="00CB0DBE"/>
    <w:rsid w:val="00CB1A21"/>
    <w:rsid w:val="00CB22E1"/>
    <w:rsid w:val="00CB6389"/>
    <w:rsid w:val="00CB74F0"/>
    <w:rsid w:val="00CC0032"/>
    <w:rsid w:val="00CC1A7B"/>
    <w:rsid w:val="00CC4277"/>
    <w:rsid w:val="00CC7E05"/>
    <w:rsid w:val="00CD0DA2"/>
    <w:rsid w:val="00CD1927"/>
    <w:rsid w:val="00CD629E"/>
    <w:rsid w:val="00CD7EDF"/>
    <w:rsid w:val="00CE0651"/>
    <w:rsid w:val="00CE109D"/>
    <w:rsid w:val="00CE1F98"/>
    <w:rsid w:val="00CE2273"/>
    <w:rsid w:val="00CE22AC"/>
    <w:rsid w:val="00CE2770"/>
    <w:rsid w:val="00CE40CA"/>
    <w:rsid w:val="00CE6475"/>
    <w:rsid w:val="00CE7472"/>
    <w:rsid w:val="00CF0E9F"/>
    <w:rsid w:val="00CF2AF0"/>
    <w:rsid w:val="00CF2CD8"/>
    <w:rsid w:val="00CF4AAA"/>
    <w:rsid w:val="00CF5A1F"/>
    <w:rsid w:val="00CF7F6B"/>
    <w:rsid w:val="00D04A87"/>
    <w:rsid w:val="00D062D1"/>
    <w:rsid w:val="00D10850"/>
    <w:rsid w:val="00D12BA2"/>
    <w:rsid w:val="00D133EF"/>
    <w:rsid w:val="00D14119"/>
    <w:rsid w:val="00D148DD"/>
    <w:rsid w:val="00D17AC1"/>
    <w:rsid w:val="00D21D50"/>
    <w:rsid w:val="00D21E92"/>
    <w:rsid w:val="00D22501"/>
    <w:rsid w:val="00D22C24"/>
    <w:rsid w:val="00D23935"/>
    <w:rsid w:val="00D23A20"/>
    <w:rsid w:val="00D246D6"/>
    <w:rsid w:val="00D25241"/>
    <w:rsid w:val="00D26276"/>
    <w:rsid w:val="00D26FEC"/>
    <w:rsid w:val="00D3028A"/>
    <w:rsid w:val="00D31469"/>
    <w:rsid w:val="00D31AC4"/>
    <w:rsid w:val="00D31CEE"/>
    <w:rsid w:val="00D3288F"/>
    <w:rsid w:val="00D33EB3"/>
    <w:rsid w:val="00D35F1F"/>
    <w:rsid w:val="00D36907"/>
    <w:rsid w:val="00D36F43"/>
    <w:rsid w:val="00D404DE"/>
    <w:rsid w:val="00D41B5E"/>
    <w:rsid w:val="00D44756"/>
    <w:rsid w:val="00D45150"/>
    <w:rsid w:val="00D4626D"/>
    <w:rsid w:val="00D46822"/>
    <w:rsid w:val="00D47F4F"/>
    <w:rsid w:val="00D5085B"/>
    <w:rsid w:val="00D511A6"/>
    <w:rsid w:val="00D51B3E"/>
    <w:rsid w:val="00D523DD"/>
    <w:rsid w:val="00D5296E"/>
    <w:rsid w:val="00D53AF4"/>
    <w:rsid w:val="00D56048"/>
    <w:rsid w:val="00D57688"/>
    <w:rsid w:val="00D6065B"/>
    <w:rsid w:val="00D6572B"/>
    <w:rsid w:val="00D67DD0"/>
    <w:rsid w:val="00D75673"/>
    <w:rsid w:val="00D756C1"/>
    <w:rsid w:val="00D80060"/>
    <w:rsid w:val="00D853E1"/>
    <w:rsid w:val="00D90007"/>
    <w:rsid w:val="00D90243"/>
    <w:rsid w:val="00D908ED"/>
    <w:rsid w:val="00D90927"/>
    <w:rsid w:val="00D920EB"/>
    <w:rsid w:val="00D95A0A"/>
    <w:rsid w:val="00D97300"/>
    <w:rsid w:val="00DA0ACC"/>
    <w:rsid w:val="00DA17B7"/>
    <w:rsid w:val="00DA2DE0"/>
    <w:rsid w:val="00DA2ED4"/>
    <w:rsid w:val="00DA3E09"/>
    <w:rsid w:val="00DA3E29"/>
    <w:rsid w:val="00DA6A3F"/>
    <w:rsid w:val="00DB1400"/>
    <w:rsid w:val="00DB1C15"/>
    <w:rsid w:val="00DB1C92"/>
    <w:rsid w:val="00DB1DB9"/>
    <w:rsid w:val="00DB2872"/>
    <w:rsid w:val="00DB3C9A"/>
    <w:rsid w:val="00DB6E88"/>
    <w:rsid w:val="00DB6F5A"/>
    <w:rsid w:val="00DB7D0C"/>
    <w:rsid w:val="00DC05C0"/>
    <w:rsid w:val="00DC0ECE"/>
    <w:rsid w:val="00DC146A"/>
    <w:rsid w:val="00DC191D"/>
    <w:rsid w:val="00DC28E4"/>
    <w:rsid w:val="00DC4955"/>
    <w:rsid w:val="00DC4AB9"/>
    <w:rsid w:val="00DC6FB0"/>
    <w:rsid w:val="00DC7F79"/>
    <w:rsid w:val="00DD17E0"/>
    <w:rsid w:val="00DD201B"/>
    <w:rsid w:val="00DD5187"/>
    <w:rsid w:val="00DD550F"/>
    <w:rsid w:val="00DD7EAE"/>
    <w:rsid w:val="00DE054B"/>
    <w:rsid w:val="00DE3381"/>
    <w:rsid w:val="00DE4603"/>
    <w:rsid w:val="00DE5842"/>
    <w:rsid w:val="00DF1038"/>
    <w:rsid w:val="00DF1810"/>
    <w:rsid w:val="00DF2028"/>
    <w:rsid w:val="00DF66E3"/>
    <w:rsid w:val="00DF6DC8"/>
    <w:rsid w:val="00DF7267"/>
    <w:rsid w:val="00E01344"/>
    <w:rsid w:val="00E0258E"/>
    <w:rsid w:val="00E040A3"/>
    <w:rsid w:val="00E042CB"/>
    <w:rsid w:val="00E04FC0"/>
    <w:rsid w:val="00E06387"/>
    <w:rsid w:val="00E06F2E"/>
    <w:rsid w:val="00E07AC2"/>
    <w:rsid w:val="00E10878"/>
    <w:rsid w:val="00E123A1"/>
    <w:rsid w:val="00E12457"/>
    <w:rsid w:val="00E20257"/>
    <w:rsid w:val="00E20C19"/>
    <w:rsid w:val="00E21431"/>
    <w:rsid w:val="00E22BD3"/>
    <w:rsid w:val="00E23916"/>
    <w:rsid w:val="00E23E51"/>
    <w:rsid w:val="00E244F3"/>
    <w:rsid w:val="00E25A9F"/>
    <w:rsid w:val="00E30356"/>
    <w:rsid w:val="00E3087D"/>
    <w:rsid w:val="00E314A6"/>
    <w:rsid w:val="00E31696"/>
    <w:rsid w:val="00E31C56"/>
    <w:rsid w:val="00E3539E"/>
    <w:rsid w:val="00E354B2"/>
    <w:rsid w:val="00E37BD3"/>
    <w:rsid w:val="00E401A6"/>
    <w:rsid w:val="00E4028B"/>
    <w:rsid w:val="00E44448"/>
    <w:rsid w:val="00E53CD8"/>
    <w:rsid w:val="00E564EA"/>
    <w:rsid w:val="00E62C1B"/>
    <w:rsid w:val="00E640AD"/>
    <w:rsid w:val="00E65423"/>
    <w:rsid w:val="00E67765"/>
    <w:rsid w:val="00E67938"/>
    <w:rsid w:val="00E67A5A"/>
    <w:rsid w:val="00E67CE1"/>
    <w:rsid w:val="00E706A0"/>
    <w:rsid w:val="00E707FE"/>
    <w:rsid w:val="00E70CFC"/>
    <w:rsid w:val="00E73EFB"/>
    <w:rsid w:val="00E7616A"/>
    <w:rsid w:val="00E771E4"/>
    <w:rsid w:val="00E77879"/>
    <w:rsid w:val="00E80EAC"/>
    <w:rsid w:val="00E81785"/>
    <w:rsid w:val="00E82DC4"/>
    <w:rsid w:val="00E834D0"/>
    <w:rsid w:val="00E84015"/>
    <w:rsid w:val="00E85279"/>
    <w:rsid w:val="00E8551C"/>
    <w:rsid w:val="00E869C0"/>
    <w:rsid w:val="00E90A6B"/>
    <w:rsid w:val="00E93F8A"/>
    <w:rsid w:val="00E940C4"/>
    <w:rsid w:val="00E95717"/>
    <w:rsid w:val="00E96905"/>
    <w:rsid w:val="00EA0607"/>
    <w:rsid w:val="00EA181D"/>
    <w:rsid w:val="00EA263E"/>
    <w:rsid w:val="00EA36E7"/>
    <w:rsid w:val="00EA3890"/>
    <w:rsid w:val="00EA4AB2"/>
    <w:rsid w:val="00EA4B52"/>
    <w:rsid w:val="00EA4F12"/>
    <w:rsid w:val="00EA67C2"/>
    <w:rsid w:val="00EB000E"/>
    <w:rsid w:val="00EB02F2"/>
    <w:rsid w:val="00EB1916"/>
    <w:rsid w:val="00EB1E40"/>
    <w:rsid w:val="00EB45BC"/>
    <w:rsid w:val="00EB62D3"/>
    <w:rsid w:val="00EC2F2D"/>
    <w:rsid w:val="00EC3259"/>
    <w:rsid w:val="00EC3D46"/>
    <w:rsid w:val="00EC46DD"/>
    <w:rsid w:val="00EC4B9E"/>
    <w:rsid w:val="00EC4BC9"/>
    <w:rsid w:val="00EC61E9"/>
    <w:rsid w:val="00EC7A88"/>
    <w:rsid w:val="00EC7AA2"/>
    <w:rsid w:val="00ED0F2E"/>
    <w:rsid w:val="00ED17D7"/>
    <w:rsid w:val="00ED2A71"/>
    <w:rsid w:val="00ED5EC5"/>
    <w:rsid w:val="00ED6C33"/>
    <w:rsid w:val="00ED73F0"/>
    <w:rsid w:val="00EE2635"/>
    <w:rsid w:val="00EE2CFD"/>
    <w:rsid w:val="00EE3F8E"/>
    <w:rsid w:val="00EE569F"/>
    <w:rsid w:val="00EF0091"/>
    <w:rsid w:val="00EF08CA"/>
    <w:rsid w:val="00EF1FD7"/>
    <w:rsid w:val="00EF1FF8"/>
    <w:rsid w:val="00EF30E0"/>
    <w:rsid w:val="00EF4184"/>
    <w:rsid w:val="00EF53A7"/>
    <w:rsid w:val="00EF57E1"/>
    <w:rsid w:val="00EF63CC"/>
    <w:rsid w:val="00F00EB5"/>
    <w:rsid w:val="00F02136"/>
    <w:rsid w:val="00F025AC"/>
    <w:rsid w:val="00F02AD1"/>
    <w:rsid w:val="00F03203"/>
    <w:rsid w:val="00F03716"/>
    <w:rsid w:val="00F04FBB"/>
    <w:rsid w:val="00F05D25"/>
    <w:rsid w:val="00F065DE"/>
    <w:rsid w:val="00F06763"/>
    <w:rsid w:val="00F06BA0"/>
    <w:rsid w:val="00F11C29"/>
    <w:rsid w:val="00F13A40"/>
    <w:rsid w:val="00F1564F"/>
    <w:rsid w:val="00F204DD"/>
    <w:rsid w:val="00F2056F"/>
    <w:rsid w:val="00F213DC"/>
    <w:rsid w:val="00F22950"/>
    <w:rsid w:val="00F248EB"/>
    <w:rsid w:val="00F25BB4"/>
    <w:rsid w:val="00F260A2"/>
    <w:rsid w:val="00F27091"/>
    <w:rsid w:val="00F27A3E"/>
    <w:rsid w:val="00F32685"/>
    <w:rsid w:val="00F326AB"/>
    <w:rsid w:val="00F362A1"/>
    <w:rsid w:val="00F362EC"/>
    <w:rsid w:val="00F3645F"/>
    <w:rsid w:val="00F371E3"/>
    <w:rsid w:val="00F41DA0"/>
    <w:rsid w:val="00F43428"/>
    <w:rsid w:val="00F4460B"/>
    <w:rsid w:val="00F46375"/>
    <w:rsid w:val="00F465D6"/>
    <w:rsid w:val="00F51EDE"/>
    <w:rsid w:val="00F53462"/>
    <w:rsid w:val="00F54B9A"/>
    <w:rsid w:val="00F5526A"/>
    <w:rsid w:val="00F55970"/>
    <w:rsid w:val="00F57100"/>
    <w:rsid w:val="00F60C4C"/>
    <w:rsid w:val="00F612FE"/>
    <w:rsid w:val="00F635CC"/>
    <w:rsid w:val="00F63836"/>
    <w:rsid w:val="00F63CAF"/>
    <w:rsid w:val="00F6413D"/>
    <w:rsid w:val="00F645D4"/>
    <w:rsid w:val="00F64F4D"/>
    <w:rsid w:val="00F6547E"/>
    <w:rsid w:val="00F65599"/>
    <w:rsid w:val="00F66BFA"/>
    <w:rsid w:val="00F66D63"/>
    <w:rsid w:val="00F71299"/>
    <w:rsid w:val="00F7638E"/>
    <w:rsid w:val="00F77BD7"/>
    <w:rsid w:val="00F80F55"/>
    <w:rsid w:val="00F83D86"/>
    <w:rsid w:val="00F85CDF"/>
    <w:rsid w:val="00F86B91"/>
    <w:rsid w:val="00F8763B"/>
    <w:rsid w:val="00F913B9"/>
    <w:rsid w:val="00F91A24"/>
    <w:rsid w:val="00F932A3"/>
    <w:rsid w:val="00F938A7"/>
    <w:rsid w:val="00F93CAD"/>
    <w:rsid w:val="00F96228"/>
    <w:rsid w:val="00FA0452"/>
    <w:rsid w:val="00FA0A4C"/>
    <w:rsid w:val="00FA12D6"/>
    <w:rsid w:val="00FA372E"/>
    <w:rsid w:val="00FA554F"/>
    <w:rsid w:val="00FA6447"/>
    <w:rsid w:val="00FA64BD"/>
    <w:rsid w:val="00FA6625"/>
    <w:rsid w:val="00FA6C23"/>
    <w:rsid w:val="00FB0FC8"/>
    <w:rsid w:val="00FB4E54"/>
    <w:rsid w:val="00FB55E8"/>
    <w:rsid w:val="00FC1575"/>
    <w:rsid w:val="00FC45EA"/>
    <w:rsid w:val="00FC465F"/>
    <w:rsid w:val="00FC5BBB"/>
    <w:rsid w:val="00FC6610"/>
    <w:rsid w:val="00FD001E"/>
    <w:rsid w:val="00FD1630"/>
    <w:rsid w:val="00FD3074"/>
    <w:rsid w:val="00FD3DE7"/>
    <w:rsid w:val="00FD47E5"/>
    <w:rsid w:val="00FD5E5E"/>
    <w:rsid w:val="00FD6874"/>
    <w:rsid w:val="00FD6879"/>
    <w:rsid w:val="00FD7A40"/>
    <w:rsid w:val="00FD7CCF"/>
    <w:rsid w:val="00FE0BCB"/>
    <w:rsid w:val="00FE0C7D"/>
    <w:rsid w:val="00FE1664"/>
    <w:rsid w:val="00FE274F"/>
    <w:rsid w:val="00FE2F06"/>
    <w:rsid w:val="00FE2F7D"/>
    <w:rsid w:val="00FE629C"/>
    <w:rsid w:val="00FF13C9"/>
    <w:rsid w:val="00FF1D0A"/>
    <w:rsid w:val="00FF292C"/>
    <w:rsid w:val="00FF3F94"/>
    <w:rsid w:val="00FF5682"/>
    <w:rsid w:val="00FF6AFE"/>
    <w:rsid w:val="00FF7F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7FB8C4-2E74-425D-A3CE-C3370541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80"/>
        <w:ind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E0"/>
  </w:style>
  <w:style w:type="paragraph" w:styleId="Heading1">
    <w:name w:val="heading 1"/>
    <w:aliases w:val=" Caracter"/>
    <w:basedOn w:val="Normal"/>
    <w:next w:val="Normal"/>
    <w:link w:val="Heading1Char"/>
    <w:qFormat/>
    <w:rsid w:val="007C4F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aracter Char"/>
    <w:basedOn w:val="DefaultParagraphFont"/>
    <w:link w:val="Heading1"/>
    <w:rsid w:val="007C4F0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C4F03"/>
    <w:pPr>
      <w:outlineLvl w:val="9"/>
    </w:pPr>
    <w:rPr>
      <w:lang w:val="en-US"/>
    </w:rPr>
  </w:style>
  <w:style w:type="paragraph" w:styleId="ListParagraph">
    <w:name w:val="List Paragraph"/>
    <w:aliases w:val="Normal bullet 2,Table of contents numbered,body 2,List_Paragraph,Multilevel para_II,TimesNewRoman 14,heading2,List Paragraph1,Antes de enumeración,Akapit z listą BS,Outlines a.b.c.,Akapit z lista BS,List1,Списък на абзаци,List Paragraph11"/>
    <w:basedOn w:val="Normal"/>
    <w:link w:val="ListParagraphChar"/>
    <w:uiPriority w:val="34"/>
    <w:qFormat/>
    <w:rsid w:val="007C4F03"/>
    <w:pPr>
      <w:ind w:left="720"/>
      <w:contextualSpacing/>
    </w:pPr>
  </w:style>
  <w:style w:type="paragraph" w:styleId="TOC1">
    <w:name w:val="toc 1"/>
    <w:basedOn w:val="Normal"/>
    <w:next w:val="Normal"/>
    <w:autoRedefine/>
    <w:uiPriority w:val="39"/>
    <w:unhideWhenUsed/>
    <w:rsid w:val="00FC6610"/>
    <w:pPr>
      <w:keepNext/>
      <w:keepLines/>
      <w:shd w:val="clear" w:color="auto" w:fill="DEEAF6" w:themeFill="accent1" w:themeFillTint="33"/>
      <w:tabs>
        <w:tab w:val="left" w:pos="426"/>
        <w:tab w:val="right" w:leader="dot" w:pos="9062"/>
      </w:tabs>
      <w:spacing w:after="240"/>
      <w:ind w:left="340" w:hanging="340"/>
    </w:pPr>
    <w:rPr>
      <w:rFonts w:ascii="Tahoma" w:hAnsi="Tahoma" w:cs="Tahoma"/>
      <w:b/>
      <w:noProof/>
      <w:sz w:val="24"/>
      <w:szCs w:val="24"/>
    </w:rPr>
  </w:style>
  <w:style w:type="character" w:styleId="Hyperlink">
    <w:name w:val="Hyperlink"/>
    <w:basedOn w:val="DefaultParagraphFont"/>
    <w:uiPriority w:val="99"/>
    <w:unhideWhenUsed/>
    <w:rsid w:val="007C4F03"/>
    <w:rPr>
      <w:color w:val="0563C1" w:themeColor="hyperlink"/>
      <w:u w:val="single"/>
    </w:rPr>
  </w:style>
  <w:style w:type="paragraph" w:styleId="FootnoteText">
    <w:name w:val="footnote text"/>
    <w:aliases w:val="Footnote,Fußnote,Tekst przypisu,Tekst przypisu Znak Znak Znak Znak,Tekst przypisu Znak Znak Znak Znak Znak,Tekst przypisu Znak Znak Znak Znak Znak Znak Znak,Tekst przypisu Znak Znak Znak Znak Znak Znak Znak Znak Zn,fn,single space"/>
    <w:basedOn w:val="Normal"/>
    <w:link w:val="FootnoteTextChar"/>
    <w:uiPriority w:val="99"/>
    <w:qFormat/>
    <w:rsid w:val="007C4F03"/>
    <w:pPr>
      <w:spacing w:after="0"/>
    </w:pPr>
    <w:rPr>
      <w:rFonts w:ascii="Times New Roman" w:eastAsia="Times New Roman" w:hAnsi="Times New Roman" w:cs="Times New Roman"/>
      <w:sz w:val="20"/>
      <w:szCs w:val="20"/>
      <w:lang w:eastAsia="ro-RO"/>
    </w:rPr>
  </w:style>
  <w:style w:type="character" w:customStyle="1" w:styleId="FootnoteTextChar">
    <w:name w:val="Footnote Text Char"/>
    <w:aliases w:val="Footnote Char,Fußnote Char,Tekst przypisu Char,Tekst przypisu Znak Znak Znak Znak Char,Tekst przypisu Znak Znak Znak Znak Znak Char,Tekst przypisu Znak Znak Znak Znak Znak Znak Znak Char,fn Char,single space Char"/>
    <w:basedOn w:val="DefaultParagraphFont"/>
    <w:link w:val="FootnoteText"/>
    <w:uiPriority w:val="99"/>
    <w:rsid w:val="007C4F03"/>
    <w:rPr>
      <w:rFonts w:ascii="Times New Roman" w:eastAsia="Times New Roman" w:hAnsi="Times New Roman" w:cs="Times New Roman"/>
      <w:sz w:val="20"/>
      <w:szCs w:val="20"/>
      <w:lang w:eastAsia="ro-RO"/>
    </w:rPr>
  </w:style>
  <w:style w:type="character" w:styleId="FootnoteReference">
    <w:name w:val="footnote reference"/>
    <w:aliases w:val="BVI fnr Char1 Char Char Char Char Char Char1 Char Caracter Char Char Char Char Char Char,Footnote Reference Number Char Char Char Char Char Char Char1 Char Caracter Char Char Char Char Char Char Char Char Char Char Caracter,SUPERS,BVI"/>
    <w:link w:val="CharChar1CharCharCharCharCharCharCaracter1CharCaracterCharCaracterCharCaracterCharCharCaracter"/>
    <w:uiPriority w:val="99"/>
    <w:qFormat/>
    <w:rsid w:val="007C4F03"/>
    <w:rPr>
      <w:vertAlign w:val="superscript"/>
    </w:rPr>
  </w:style>
  <w:style w:type="paragraph" w:styleId="NoSpacing">
    <w:name w:val="No Spacing"/>
    <w:link w:val="NoSpacingChar"/>
    <w:uiPriority w:val="1"/>
    <w:qFormat/>
    <w:rsid w:val="007C4F03"/>
    <w:pPr>
      <w:spacing w:after="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F48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875"/>
    <w:rPr>
      <w:rFonts w:ascii="Segoe UI" w:hAnsi="Segoe UI" w:cs="Segoe UI"/>
      <w:sz w:val="18"/>
      <w:szCs w:val="18"/>
    </w:rPr>
  </w:style>
  <w:style w:type="paragraph" w:styleId="EndnoteText">
    <w:name w:val="endnote text"/>
    <w:basedOn w:val="Normal"/>
    <w:link w:val="EndnoteTextChar"/>
    <w:uiPriority w:val="99"/>
    <w:semiHidden/>
    <w:unhideWhenUsed/>
    <w:rsid w:val="00C86610"/>
    <w:pPr>
      <w:spacing w:after="0"/>
    </w:pPr>
    <w:rPr>
      <w:sz w:val="20"/>
      <w:szCs w:val="20"/>
    </w:rPr>
  </w:style>
  <w:style w:type="character" w:customStyle="1" w:styleId="EndnoteTextChar">
    <w:name w:val="Endnote Text Char"/>
    <w:basedOn w:val="DefaultParagraphFont"/>
    <w:link w:val="EndnoteText"/>
    <w:uiPriority w:val="99"/>
    <w:semiHidden/>
    <w:rsid w:val="00C86610"/>
    <w:rPr>
      <w:sz w:val="20"/>
      <w:szCs w:val="20"/>
    </w:rPr>
  </w:style>
  <w:style w:type="character" w:styleId="EndnoteReference">
    <w:name w:val="endnote reference"/>
    <w:basedOn w:val="DefaultParagraphFont"/>
    <w:uiPriority w:val="99"/>
    <w:semiHidden/>
    <w:unhideWhenUsed/>
    <w:rsid w:val="00C86610"/>
    <w:rPr>
      <w:vertAlign w:val="superscript"/>
    </w:rPr>
  </w:style>
  <w:style w:type="character" w:styleId="Emphasis">
    <w:name w:val="Emphasis"/>
    <w:qFormat/>
    <w:rsid w:val="00D756C1"/>
    <w:rPr>
      <w:i/>
      <w:iCs/>
    </w:rPr>
  </w:style>
  <w:style w:type="paragraph" w:styleId="Header">
    <w:name w:val="header"/>
    <w:basedOn w:val="Normal"/>
    <w:link w:val="HeaderChar"/>
    <w:uiPriority w:val="99"/>
    <w:unhideWhenUsed/>
    <w:rsid w:val="00197AF4"/>
    <w:pPr>
      <w:tabs>
        <w:tab w:val="center" w:pos="4536"/>
        <w:tab w:val="right" w:pos="9072"/>
      </w:tabs>
      <w:spacing w:after="0"/>
    </w:pPr>
  </w:style>
  <w:style w:type="character" w:customStyle="1" w:styleId="HeaderChar">
    <w:name w:val="Header Char"/>
    <w:basedOn w:val="DefaultParagraphFont"/>
    <w:link w:val="Header"/>
    <w:uiPriority w:val="99"/>
    <w:rsid w:val="00197AF4"/>
  </w:style>
  <w:style w:type="paragraph" w:styleId="Footer">
    <w:name w:val="footer"/>
    <w:basedOn w:val="Normal"/>
    <w:link w:val="FooterChar"/>
    <w:uiPriority w:val="99"/>
    <w:unhideWhenUsed/>
    <w:rsid w:val="00197AF4"/>
    <w:pPr>
      <w:tabs>
        <w:tab w:val="center" w:pos="4536"/>
        <w:tab w:val="right" w:pos="9072"/>
      </w:tabs>
      <w:spacing w:after="0"/>
    </w:pPr>
  </w:style>
  <w:style w:type="character" w:customStyle="1" w:styleId="FooterChar">
    <w:name w:val="Footer Char"/>
    <w:basedOn w:val="DefaultParagraphFont"/>
    <w:link w:val="Footer"/>
    <w:uiPriority w:val="99"/>
    <w:rsid w:val="00197AF4"/>
  </w:style>
  <w:style w:type="character" w:styleId="CommentReference">
    <w:name w:val="annotation reference"/>
    <w:basedOn w:val="DefaultParagraphFont"/>
    <w:uiPriority w:val="99"/>
    <w:semiHidden/>
    <w:unhideWhenUsed/>
    <w:rsid w:val="00183827"/>
    <w:rPr>
      <w:sz w:val="16"/>
      <w:szCs w:val="16"/>
    </w:rPr>
  </w:style>
  <w:style w:type="paragraph" w:styleId="CommentText">
    <w:name w:val="annotation text"/>
    <w:basedOn w:val="Normal"/>
    <w:link w:val="CommentTextChar"/>
    <w:uiPriority w:val="99"/>
    <w:semiHidden/>
    <w:unhideWhenUsed/>
    <w:rsid w:val="00183827"/>
    <w:rPr>
      <w:sz w:val="20"/>
      <w:szCs w:val="20"/>
    </w:rPr>
  </w:style>
  <w:style w:type="character" w:customStyle="1" w:styleId="CommentTextChar">
    <w:name w:val="Comment Text Char"/>
    <w:basedOn w:val="DefaultParagraphFont"/>
    <w:link w:val="CommentText"/>
    <w:uiPriority w:val="99"/>
    <w:semiHidden/>
    <w:rsid w:val="00183827"/>
    <w:rPr>
      <w:sz w:val="20"/>
      <w:szCs w:val="20"/>
    </w:rPr>
  </w:style>
  <w:style w:type="paragraph" w:styleId="CommentSubject">
    <w:name w:val="annotation subject"/>
    <w:basedOn w:val="CommentText"/>
    <w:next w:val="CommentText"/>
    <w:link w:val="CommentSubjectChar"/>
    <w:uiPriority w:val="99"/>
    <w:semiHidden/>
    <w:unhideWhenUsed/>
    <w:rsid w:val="00183827"/>
    <w:rPr>
      <w:b/>
      <w:bCs/>
    </w:rPr>
  </w:style>
  <w:style w:type="character" w:customStyle="1" w:styleId="CommentSubjectChar">
    <w:name w:val="Comment Subject Char"/>
    <w:basedOn w:val="CommentTextChar"/>
    <w:link w:val="CommentSubject"/>
    <w:uiPriority w:val="99"/>
    <w:semiHidden/>
    <w:rsid w:val="00183827"/>
    <w:rPr>
      <w:b/>
      <w:bCs/>
      <w:sz w:val="20"/>
      <w:szCs w:val="20"/>
    </w:rPr>
  </w:style>
  <w:style w:type="paragraph" w:customStyle="1" w:styleId="Caracter2CharCharCaracterCharCharCaracterCharCharCaracterCharChar">
    <w:name w:val="Caracter2 Char Char Caracter Char Char Caracter Char Char Caracter Char Char"/>
    <w:basedOn w:val="Normal"/>
    <w:rsid w:val="008A5038"/>
    <w:pPr>
      <w:spacing w:after="0"/>
    </w:pPr>
    <w:rPr>
      <w:rFonts w:ascii="Times New Roman" w:eastAsia="Times New Roman" w:hAnsi="Times New Roman" w:cs="Times New Roman"/>
      <w:sz w:val="24"/>
      <w:szCs w:val="24"/>
      <w:lang w:val="pl-PL" w:eastAsia="pl-PL"/>
    </w:rPr>
  </w:style>
  <w:style w:type="paragraph" w:styleId="NormalWeb">
    <w:name w:val="Normal (Web)"/>
    <w:basedOn w:val="Normal"/>
    <w:uiPriority w:val="99"/>
    <w:unhideWhenUsed/>
    <w:qFormat/>
    <w:rsid w:val="00406434"/>
    <w:rPr>
      <w:rFonts w:ascii="Times New Roman" w:hAnsi="Times New Roman" w:cs="Times New Roman"/>
      <w:sz w:val="24"/>
      <w:szCs w:val="24"/>
    </w:rPr>
  </w:style>
  <w:style w:type="paragraph" w:customStyle="1" w:styleId="Bodytext2">
    <w:name w:val="Body text (2)"/>
    <w:basedOn w:val="Normal"/>
    <w:rsid w:val="00446D9C"/>
    <w:pPr>
      <w:widowControl w:val="0"/>
      <w:shd w:val="clear" w:color="auto" w:fill="FFFFFF"/>
      <w:spacing w:before="780" w:after="0" w:line="413" w:lineRule="exact"/>
      <w:ind w:firstLine="0"/>
    </w:pPr>
    <w:rPr>
      <w:rFonts w:ascii="Arial" w:eastAsia="Arial" w:hAnsi="Arial" w:cs="Arial"/>
      <w:sz w:val="20"/>
      <w:szCs w:val="20"/>
      <w:lang w:val="en-US" w:eastAsia="zh-CN"/>
    </w:rPr>
  </w:style>
  <w:style w:type="paragraph" w:customStyle="1" w:styleId="Caracter2CharCharCaracterCharCharCaracterCharCharCaracterCharChar0">
    <w:name w:val="Caracter2 Char Char Caracter Char Char Caracter Char Char Caracter Char Char"/>
    <w:basedOn w:val="Normal"/>
    <w:rsid w:val="00AF7D33"/>
    <w:pPr>
      <w:spacing w:after="0"/>
      <w:ind w:firstLine="0"/>
      <w:jc w:val="left"/>
    </w:pPr>
    <w:rPr>
      <w:rFonts w:ascii="Times New Roman" w:eastAsia="Times New Roman" w:hAnsi="Times New Roman" w:cs="Times New Roman"/>
      <w:sz w:val="24"/>
      <w:szCs w:val="24"/>
      <w:lang w:val="pl-PL" w:eastAsia="pl-PL"/>
    </w:rPr>
  </w:style>
  <w:style w:type="character" w:customStyle="1" w:styleId="ListParagraphChar">
    <w:name w:val="List Paragraph Char"/>
    <w:aliases w:val="Normal bullet 2 Char,Table of contents numbered Char,body 2 Char,List_Paragraph Char,Multilevel para_II Char,TimesNewRoman 14 Char,heading2 Char,List Paragraph1 Char,Antes de enumeración Char,Akapit z listą BS Char,List1 Char"/>
    <w:link w:val="ListParagraph"/>
    <w:uiPriority w:val="34"/>
    <w:qFormat/>
    <w:locked/>
    <w:rsid w:val="00A34C4D"/>
  </w:style>
  <w:style w:type="paragraph" w:customStyle="1" w:styleId="CharChar1CharCharCharCharCharCharCaracter1CharCaracterCharCaracterCharCaracterCharCharCaracter">
    <w:name w:val="Char Char1 Char Char Char Char Char Char Caracter1 Char Caracter Char Caracter Char Caracter Char Char Caracter"/>
    <w:aliases w:val="Char Char1 Char Char Char Char Char Char Caracter Char Char Caracter"/>
    <w:basedOn w:val="Normal"/>
    <w:next w:val="Normal"/>
    <w:link w:val="FootnoteReference"/>
    <w:uiPriority w:val="99"/>
    <w:rsid w:val="004D6D76"/>
    <w:pPr>
      <w:spacing w:after="160" w:line="240" w:lineRule="exact"/>
      <w:ind w:firstLine="0"/>
      <w:jc w:val="left"/>
    </w:pPr>
    <w:rPr>
      <w:vertAlign w:val="superscript"/>
    </w:rPr>
  </w:style>
  <w:style w:type="paragraph" w:styleId="TOC2">
    <w:name w:val="toc 2"/>
    <w:basedOn w:val="Normal"/>
    <w:next w:val="Normal"/>
    <w:autoRedefine/>
    <w:uiPriority w:val="39"/>
    <w:unhideWhenUsed/>
    <w:rsid w:val="007D49B8"/>
    <w:pPr>
      <w:spacing w:after="100"/>
      <w:ind w:left="220"/>
    </w:pPr>
  </w:style>
  <w:style w:type="paragraph" w:customStyle="1" w:styleId="CharChar">
    <w:name w:val="Char Char"/>
    <w:basedOn w:val="Normal"/>
    <w:rsid w:val="001F4C0B"/>
    <w:pPr>
      <w:spacing w:after="0"/>
      <w:ind w:firstLine="0"/>
      <w:jc w:val="left"/>
    </w:pPr>
    <w:rPr>
      <w:rFonts w:ascii="Times New Roman" w:eastAsia="Times New Roman" w:hAnsi="Times New Roman" w:cs="Times New Roman"/>
      <w:sz w:val="24"/>
      <w:szCs w:val="24"/>
      <w:lang w:val="pl-PL" w:eastAsia="pl-PL"/>
    </w:rPr>
  </w:style>
  <w:style w:type="paragraph" w:customStyle="1" w:styleId="Caracter2CharCharCaracterCharCharCaracterCharCharCaracterCharChar1">
    <w:name w:val="Caracter2 Char Char Caracter Char Char Caracter Char Char Caracter Char Char"/>
    <w:basedOn w:val="Normal"/>
    <w:rsid w:val="00791E81"/>
    <w:pPr>
      <w:spacing w:after="0"/>
      <w:ind w:firstLine="0"/>
      <w:jc w:val="left"/>
    </w:pPr>
    <w:rPr>
      <w:rFonts w:ascii="Times New Roman" w:eastAsia="Times New Roman" w:hAnsi="Times New Roman" w:cs="Times New Roman"/>
      <w:sz w:val="24"/>
      <w:szCs w:val="24"/>
      <w:lang w:val="pl-PL" w:eastAsia="pl-PL"/>
    </w:rPr>
  </w:style>
  <w:style w:type="character" w:customStyle="1" w:styleId="FootnoteTextChar1">
    <w:name w:val="Footnote Text Char1"/>
    <w:aliases w:val="Footnote Char1,Fußnote Char1,Tekst przypisu Char1,Tekst przypisu Znak Znak Znak Znak Char1,Tekst przypisu Znak Znak Znak Znak Znak Char1,Tekst przypisu Znak Znak Znak Znak Znak Znak Znak Char1,fn Char1,single space Char1"/>
    <w:uiPriority w:val="99"/>
    <w:locked/>
    <w:rsid w:val="00BB23A6"/>
    <w:rPr>
      <w:rFonts w:eastAsia="Calibri"/>
      <w:lang w:val="en-GB"/>
    </w:rPr>
  </w:style>
  <w:style w:type="paragraph" w:customStyle="1" w:styleId="SUPERSChar1">
    <w:name w:val="SUPERS Char1"/>
    <w:basedOn w:val="Normal"/>
    <w:next w:val="Normal"/>
    <w:uiPriority w:val="99"/>
    <w:rsid w:val="00BB23A6"/>
    <w:pPr>
      <w:suppressAutoHyphens/>
      <w:spacing w:after="160" w:line="240" w:lineRule="exact"/>
      <w:ind w:firstLine="0"/>
      <w:jc w:val="left"/>
    </w:pPr>
    <w:rPr>
      <w:rFonts w:ascii="Times New Roman" w:hAnsi="Times New Roman" w:cs="Times New Roman"/>
      <w:sz w:val="20"/>
      <w:szCs w:val="20"/>
      <w:vertAlign w:val="superscript"/>
    </w:rPr>
  </w:style>
  <w:style w:type="paragraph" w:customStyle="1" w:styleId="Caracter2CharCharCaracterCharCharCaracterCharCharCaracterCharChar2">
    <w:name w:val="Caracter2 Char Char Caracter Char Char Caracter Char Char Caracter Char Char"/>
    <w:basedOn w:val="Normal"/>
    <w:rsid w:val="00724E48"/>
    <w:pPr>
      <w:spacing w:after="0"/>
      <w:ind w:firstLine="0"/>
      <w:jc w:val="left"/>
    </w:pPr>
    <w:rPr>
      <w:rFonts w:ascii="Times New Roman" w:eastAsia="Times New Roman" w:hAnsi="Times New Roman" w:cs="Times New Roman"/>
      <w:sz w:val="24"/>
      <w:szCs w:val="24"/>
      <w:lang w:val="pl-PL" w:eastAsia="pl-PL"/>
    </w:rPr>
  </w:style>
  <w:style w:type="paragraph" w:customStyle="1" w:styleId="Caracter2CharCharCaracterCharCharCaracterCharCharCaracterCharChar3">
    <w:name w:val="Caracter2 Char Char Caracter Char Char Caracter Char Char Caracter Char Char"/>
    <w:basedOn w:val="Normal"/>
    <w:rsid w:val="001F3032"/>
    <w:pPr>
      <w:spacing w:after="0"/>
      <w:ind w:firstLine="0"/>
      <w:jc w:val="left"/>
    </w:pPr>
    <w:rPr>
      <w:rFonts w:ascii="Times New Roman" w:eastAsia="Times New Roman" w:hAnsi="Times New Roman" w:cs="Times New Roman"/>
      <w:sz w:val="24"/>
      <w:szCs w:val="24"/>
      <w:lang w:val="pl-PL" w:eastAsia="pl-PL"/>
    </w:rPr>
  </w:style>
  <w:style w:type="character" w:customStyle="1" w:styleId="y2iqfc">
    <w:name w:val="y2iqfc"/>
    <w:basedOn w:val="DefaultParagraphFont"/>
    <w:rsid w:val="00444C93"/>
  </w:style>
  <w:style w:type="paragraph" w:styleId="BodyText">
    <w:name w:val="Body Text"/>
    <w:basedOn w:val="Normal"/>
    <w:link w:val="BodyTextChar"/>
    <w:qFormat/>
    <w:rsid w:val="00BE53FF"/>
    <w:pPr>
      <w:spacing w:after="140" w:line="276" w:lineRule="auto"/>
      <w:ind w:firstLine="0"/>
      <w:jc w:val="left"/>
    </w:pPr>
    <w:rPr>
      <w:lang w:val="en-US"/>
    </w:rPr>
  </w:style>
  <w:style w:type="character" w:customStyle="1" w:styleId="BodyTextChar">
    <w:name w:val="Body Text Char"/>
    <w:basedOn w:val="DefaultParagraphFont"/>
    <w:link w:val="BodyText"/>
    <w:rsid w:val="00BE53FF"/>
    <w:rPr>
      <w:lang w:val="en-US"/>
    </w:rPr>
  </w:style>
  <w:style w:type="character" w:customStyle="1" w:styleId="NoSpacingChar">
    <w:name w:val="No Spacing Char"/>
    <w:basedOn w:val="DefaultParagraphFont"/>
    <w:link w:val="NoSpacing"/>
    <w:uiPriority w:val="1"/>
    <w:rsid w:val="00D2250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F4151"/>
    <w:rPr>
      <w:color w:val="808080"/>
    </w:rPr>
  </w:style>
  <w:style w:type="paragraph" w:customStyle="1" w:styleId="CaracterCaracterCharChar1CaracterCaracterCharCharCaracterCaracterCharCharCaracterCaracterCharCharCaracterCaracterCharCharCaracterCaracter">
    <w:name w:val="Caracter Caracter Char Char1 Caracter Caracter Char Char Caracter Caracter Char Char Caracter Caracter Char Char Caracter Caracter Char Char Caracter Caracter"/>
    <w:basedOn w:val="Normal"/>
    <w:rsid w:val="00A46D5B"/>
    <w:pPr>
      <w:spacing w:after="160" w:line="240" w:lineRule="exact"/>
      <w:ind w:firstLine="0"/>
      <w:jc w:val="lef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6561">
      <w:bodyDiv w:val="1"/>
      <w:marLeft w:val="0"/>
      <w:marRight w:val="0"/>
      <w:marTop w:val="0"/>
      <w:marBottom w:val="0"/>
      <w:divBdr>
        <w:top w:val="none" w:sz="0" w:space="0" w:color="auto"/>
        <w:left w:val="none" w:sz="0" w:space="0" w:color="auto"/>
        <w:bottom w:val="none" w:sz="0" w:space="0" w:color="auto"/>
        <w:right w:val="none" w:sz="0" w:space="0" w:color="auto"/>
      </w:divBdr>
    </w:div>
    <w:div w:id="86846455">
      <w:bodyDiv w:val="1"/>
      <w:marLeft w:val="0"/>
      <w:marRight w:val="0"/>
      <w:marTop w:val="0"/>
      <w:marBottom w:val="0"/>
      <w:divBdr>
        <w:top w:val="none" w:sz="0" w:space="0" w:color="auto"/>
        <w:left w:val="none" w:sz="0" w:space="0" w:color="auto"/>
        <w:bottom w:val="none" w:sz="0" w:space="0" w:color="auto"/>
        <w:right w:val="none" w:sz="0" w:space="0" w:color="auto"/>
      </w:divBdr>
    </w:div>
    <w:div w:id="115025011">
      <w:bodyDiv w:val="1"/>
      <w:marLeft w:val="0"/>
      <w:marRight w:val="0"/>
      <w:marTop w:val="0"/>
      <w:marBottom w:val="0"/>
      <w:divBdr>
        <w:top w:val="none" w:sz="0" w:space="0" w:color="auto"/>
        <w:left w:val="none" w:sz="0" w:space="0" w:color="auto"/>
        <w:bottom w:val="none" w:sz="0" w:space="0" w:color="auto"/>
        <w:right w:val="none" w:sz="0" w:space="0" w:color="auto"/>
      </w:divBdr>
      <w:divsChild>
        <w:div w:id="591552499">
          <w:marLeft w:val="547"/>
          <w:marRight w:val="0"/>
          <w:marTop w:val="0"/>
          <w:marBottom w:val="0"/>
          <w:divBdr>
            <w:top w:val="none" w:sz="0" w:space="0" w:color="auto"/>
            <w:left w:val="none" w:sz="0" w:space="0" w:color="auto"/>
            <w:bottom w:val="none" w:sz="0" w:space="0" w:color="auto"/>
            <w:right w:val="none" w:sz="0" w:space="0" w:color="auto"/>
          </w:divBdr>
        </w:div>
        <w:div w:id="1058211023">
          <w:marLeft w:val="547"/>
          <w:marRight w:val="0"/>
          <w:marTop w:val="200"/>
          <w:marBottom w:val="200"/>
          <w:divBdr>
            <w:top w:val="none" w:sz="0" w:space="0" w:color="auto"/>
            <w:left w:val="none" w:sz="0" w:space="0" w:color="auto"/>
            <w:bottom w:val="none" w:sz="0" w:space="0" w:color="auto"/>
            <w:right w:val="none" w:sz="0" w:space="0" w:color="auto"/>
          </w:divBdr>
        </w:div>
      </w:divsChild>
    </w:div>
    <w:div w:id="169373442">
      <w:bodyDiv w:val="1"/>
      <w:marLeft w:val="0"/>
      <w:marRight w:val="0"/>
      <w:marTop w:val="0"/>
      <w:marBottom w:val="0"/>
      <w:divBdr>
        <w:top w:val="none" w:sz="0" w:space="0" w:color="auto"/>
        <w:left w:val="none" w:sz="0" w:space="0" w:color="auto"/>
        <w:bottom w:val="none" w:sz="0" w:space="0" w:color="auto"/>
        <w:right w:val="none" w:sz="0" w:space="0" w:color="auto"/>
      </w:divBdr>
    </w:div>
    <w:div w:id="224991803">
      <w:bodyDiv w:val="1"/>
      <w:marLeft w:val="0"/>
      <w:marRight w:val="0"/>
      <w:marTop w:val="0"/>
      <w:marBottom w:val="0"/>
      <w:divBdr>
        <w:top w:val="none" w:sz="0" w:space="0" w:color="auto"/>
        <w:left w:val="none" w:sz="0" w:space="0" w:color="auto"/>
        <w:bottom w:val="none" w:sz="0" w:space="0" w:color="auto"/>
        <w:right w:val="none" w:sz="0" w:space="0" w:color="auto"/>
      </w:divBdr>
    </w:div>
    <w:div w:id="296566051">
      <w:bodyDiv w:val="1"/>
      <w:marLeft w:val="0"/>
      <w:marRight w:val="0"/>
      <w:marTop w:val="0"/>
      <w:marBottom w:val="0"/>
      <w:divBdr>
        <w:top w:val="none" w:sz="0" w:space="0" w:color="auto"/>
        <w:left w:val="none" w:sz="0" w:space="0" w:color="auto"/>
        <w:bottom w:val="none" w:sz="0" w:space="0" w:color="auto"/>
        <w:right w:val="none" w:sz="0" w:space="0" w:color="auto"/>
      </w:divBdr>
    </w:div>
    <w:div w:id="304822241">
      <w:bodyDiv w:val="1"/>
      <w:marLeft w:val="0"/>
      <w:marRight w:val="0"/>
      <w:marTop w:val="0"/>
      <w:marBottom w:val="0"/>
      <w:divBdr>
        <w:top w:val="none" w:sz="0" w:space="0" w:color="auto"/>
        <w:left w:val="none" w:sz="0" w:space="0" w:color="auto"/>
        <w:bottom w:val="none" w:sz="0" w:space="0" w:color="auto"/>
        <w:right w:val="none" w:sz="0" w:space="0" w:color="auto"/>
      </w:divBdr>
    </w:div>
    <w:div w:id="330062855">
      <w:bodyDiv w:val="1"/>
      <w:marLeft w:val="0"/>
      <w:marRight w:val="0"/>
      <w:marTop w:val="0"/>
      <w:marBottom w:val="0"/>
      <w:divBdr>
        <w:top w:val="none" w:sz="0" w:space="0" w:color="auto"/>
        <w:left w:val="none" w:sz="0" w:space="0" w:color="auto"/>
        <w:bottom w:val="none" w:sz="0" w:space="0" w:color="auto"/>
        <w:right w:val="none" w:sz="0" w:space="0" w:color="auto"/>
      </w:divBdr>
    </w:div>
    <w:div w:id="353116261">
      <w:bodyDiv w:val="1"/>
      <w:marLeft w:val="0"/>
      <w:marRight w:val="0"/>
      <w:marTop w:val="0"/>
      <w:marBottom w:val="0"/>
      <w:divBdr>
        <w:top w:val="none" w:sz="0" w:space="0" w:color="auto"/>
        <w:left w:val="none" w:sz="0" w:space="0" w:color="auto"/>
        <w:bottom w:val="none" w:sz="0" w:space="0" w:color="auto"/>
        <w:right w:val="none" w:sz="0" w:space="0" w:color="auto"/>
      </w:divBdr>
    </w:div>
    <w:div w:id="367417453">
      <w:bodyDiv w:val="1"/>
      <w:marLeft w:val="0"/>
      <w:marRight w:val="0"/>
      <w:marTop w:val="0"/>
      <w:marBottom w:val="0"/>
      <w:divBdr>
        <w:top w:val="none" w:sz="0" w:space="0" w:color="auto"/>
        <w:left w:val="none" w:sz="0" w:space="0" w:color="auto"/>
        <w:bottom w:val="none" w:sz="0" w:space="0" w:color="auto"/>
        <w:right w:val="none" w:sz="0" w:space="0" w:color="auto"/>
      </w:divBdr>
    </w:div>
    <w:div w:id="376778322">
      <w:bodyDiv w:val="1"/>
      <w:marLeft w:val="0"/>
      <w:marRight w:val="0"/>
      <w:marTop w:val="0"/>
      <w:marBottom w:val="0"/>
      <w:divBdr>
        <w:top w:val="none" w:sz="0" w:space="0" w:color="auto"/>
        <w:left w:val="none" w:sz="0" w:space="0" w:color="auto"/>
        <w:bottom w:val="none" w:sz="0" w:space="0" w:color="auto"/>
        <w:right w:val="none" w:sz="0" w:space="0" w:color="auto"/>
      </w:divBdr>
    </w:div>
    <w:div w:id="435447346">
      <w:bodyDiv w:val="1"/>
      <w:marLeft w:val="0"/>
      <w:marRight w:val="0"/>
      <w:marTop w:val="0"/>
      <w:marBottom w:val="0"/>
      <w:divBdr>
        <w:top w:val="none" w:sz="0" w:space="0" w:color="auto"/>
        <w:left w:val="none" w:sz="0" w:space="0" w:color="auto"/>
        <w:bottom w:val="none" w:sz="0" w:space="0" w:color="auto"/>
        <w:right w:val="none" w:sz="0" w:space="0" w:color="auto"/>
      </w:divBdr>
      <w:divsChild>
        <w:div w:id="272713846">
          <w:marLeft w:val="547"/>
          <w:marRight w:val="0"/>
          <w:marTop w:val="0"/>
          <w:marBottom w:val="200"/>
          <w:divBdr>
            <w:top w:val="none" w:sz="0" w:space="0" w:color="auto"/>
            <w:left w:val="none" w:sz="0" w:space="0" w:color="auto"/>
            <w:bottom w:val="none" w:sz="0" w:space="0" w:color="auto"/>
            <w:right w:val="none" w:sz="0" w:space="0" w:color="auto"/>
          </w:divBdr>
        </w:div>
        <w:div w:id="949050328">
          <w:marLeft w:val="547"/>
          <w:marRight w:val="0"/>
          <w:marTop w:val="0"/>
          <w:marBottom w:val="200"/>
          <w:divBdr>
            <w:top w:val="none" w:sz="0" w:space="0" w:color="auto"/>
            <w:left w:val="none" w:sz="0" w:space="0" w:color="auto"/>
            <w:bottom w:val="none" w:sz="0" w:space="0" w:color="auto"/>
            <w:right w:val="none" w:sz="0" w:space="0" w:color="auto"/>
          </w:divBdr>
        </w:div>
      </w:divsChild>
    </w:div>
    <w:div w:id="493759811">
      <w:bodyDiv w:val="1"/>
      <w:marLeft w:val="0"/>
      <w:marRight w:val="0"/>
      <w:marTop w:val="0"/>
      <w:marBottom w:val="0"/>
      <w:divBdr>
        <w:top w:val="none" w:sz="0" w:space="0" w:color="auto"/>
        <w:left w:val="none" w:sz="0" w:space="0" w:color="auto"/>
        <w:bottom w:val="none" w:sz="0" w:space="0" w:color="auto"/>
        <w:right w:val="none" w:sz="0" w:space="0" w:color="auto"/>
      </w:divBdr>
    </w:div>
    <w:div w:id="504169024">
      <w:bodyDiv w:val="1"/>
      <w:marLeft w:val="0"/>
      <w:marRight w:val="0"/>
      <w:marTop w:val="0"/>
      <w:marBottom w:val="0"/>
      <w:divBdr>
        <w:top w:val="none" w:sz="0" w:space="0" w:color="auto"/>
        <w:left w:val="none" w:sz="0" w:space="0" w:color="auto"/>
        <w:bottom w:val="none" w:sz="0" w:space="0" w:color="auto"/>
        <w:right w:val="none" w:sz="0" w:space="0" w:color="auto"/>
      </w:divBdr>
    </w:div>
    <w:div w:id="523784646">
      <w:bodyDiv w:val="1"/>
      <w:marLeft w:val="0"/>
      <w:marRight w:val="0"/>
      <w:marTop w:val="0"/>
      <w:marBottom w:val="0"/>
      <w:divBdr>
        <w:top w:val="none" w:sz="0" w:space="0" w:color="auto"/>
        <w:left w:val="none" w:sz="0" w:space="0" w:color="auto"/>
        <w:bottom w:val="none" w:sz="0" w:space="0" w:color="auto"/>
        <w:right w:val="none" w:sz="0" w:space="0" w:color="auto"/>
      </w:divBdr>
    </w:div>
    <w:div w:id="548416336">
      <w:bodyDiv w:val="1"/>
      <w:marLeft w:val="0"/>
      <w:marRight w:val="0"/>
      <w:marTop w:val="0"/>
      <w:marBottom w:val="0"/>
      <w:divBdr>
        <w:top w:val="none" w:sz="0" w:space="0" w:color="auto"/>
        <w:left w:val="none" w:sz="0" w:space="0" w:color="auto"/>
        <w:bottom w:val="none" w:sz="0" w:space="0" w:color="auto"/>
        <w:right w:val="none" w:sz="0" w:space="0" w:color="auto"/>
      </w:divBdr>
    </w:div>
    <w:div w:id="569778675">
      <w:bodyDiv w:val="1"/>
      <w:marLeft w:val="0"/>
      <w:marRight w:val="0"/>
      <w:marTop w:val="0"/>
      <w:marBottom w:val="0"/>
      <w:divBdr>
        <w:top w:val="none" w:sz="0" w:space="0" w:color="auto"/>
        <w:left w:val="none" w:sz="0" w:space="0" w:color="auto"/>
        <w:bottom w:val="none" w:sz="0" w:space="0" w:color="auto"/>
        <w:right w:val="none" w:sz="0" w:space="0" w:color="auto"/>
      </w:divBdr>
    </w:div>
    <w:div w:id="619723830">
      <w:bodyDiv w:val="1"/>
      <w:marLeft w:val="0"/>
      <w:marRight w:val="0"/>
      <w:marTop w:val="0"/>
      <w:marBottom w:val="0"/>
      <w:divBdr>
        <w:top w:val="none" w:sz="0" w:space="0" w:color="auto"/>
        <w:left w:val="none" w:sz="0" w:space="0" w:color="auto"/>
        <w:bottom w:val="none" w:sz="0" w:space="0" w:color="auto"/>
        <w:right w:val="none" w:sz="0" w:space="0" w:color="auto"/>
      </w:divBdr>
    </w:div>
    <w:div w:id="669796317">
      <w:bodyDiv w:val="1"/>
      <w:marLeft w:val="0"/>
      <w:marRight w:val="0"/>
      <w:marTop w:val="0"/>
      <w:marBottom w:val="0"/>
      <w:divBdr>
        <w:top w:val="none" w:sz="0" w:space="0" w:color="auto"/>
        <w:left w:val="none" w:sz="0" w:space="0" w:color="auto"/>
        <w:bottom w:val="none" w:sz="0" w:space="0" w:color="auto"/>
        <w:right w:val="none" w:sz="0" w:space="0" w:color="auto"/>
      </w:divBdr>
    </w:div>
    <w:div w:id="681198562">
      <w:bodyDiv w:val="1"/>
      <w:marLeft w:val="0"/>
      <w:marRight w:val="0"/>
      <w:marTop w:val="0"/>
      <w:marBottom w:val="0"/>
      <w:divBdr>
        <w:top w:val="none" w:sz="0" w:space="0" w:color="auto"/>
        <w:left w:val="none" w:sz="0" w:space="0" w:color="auto"/>
        <w:bottom w:val="none" w:sz="0" w:space="0" w:color="auto"/>
        <w:right w:val="none" w:sz="0" w:space="0" w:color="auto"/>
      </w:divBdr>
    </w:div>
    <w:div w:id="701252357">
      <w:bodyDiv w:val="1"/>
      <w:marLeft w:val="0"/>
      <w:marRight w:val="0"/>
      <w:marTop w:val="0"/>
      <w:marBottom w:val="0"/>
      <w:divBdr>
        <w:top w:val="none" w:sz="0" w:space="0" w:color="auto"/>
        <w:left w:val="none" w:sz="0" w:space="0" w:color="auto"/>
        <w:bottom w:val="none" w:sz="0" w:space="0" w:color="auto"/>
        <w:right w:val="none" w:sz="0" w:space="0" w:color="auto"/>
      </w:divBdr>
    </w:div>
    <w:div w:id="708604831">
      <w:bodyDiv w:val="1"/>
      <w:marLeft w:val="0"/>
      <w:marRight w:val="0"/>
      <w:marTop w:val="0"/>
      <w:marBottom w:val="0"/>
      <w:divBdr>
        <w:top w:val="none" w:sz="0" w:space="0" w:color="auto"/>
        <w:left w:val="none" w:sz="0" w:space="0" w:color="auto"/>
        <w:bottom w:val="none" w:sz="0" w:space="0" w:color="auto"/>
        <w:right w:val="none" w:sz="0" w:space="0" w:color="auto"/>
      </w:divBdr>
    </w:div>
    <w:div w:id="716247170">
      <w:bodyDiv w:val="1"/>
      <w:marLeft w:val="0"/>
      <w:marRight w:val="0"/>
      <w:marTop w:val="0"/>
      <w:marBottom w:val="0"/>
      <w:divBdr>
        <w:top w:val="none" w:sz="0" w:space="0" w:color="auto"/>
        <w:left w:val="none" w:sz="0" w:space="0" w:color="auto"/>
        <w:bottom w:val="none" w:sz="0" w:space="0" w:color="auto"/>
        <w:right w:val="none" w:sz="0" w:space="0" w:color="auto"/>
      </w:divBdr>
    </w:div>
    <w:div w:id="738479844">
      <w:bodyDiv w:val="1"/>
      <w:marLeft w:val="0"/>
      <w:marRight w:val="0"/>
      <w:marTop w:val="0"/>
      <w:marBottom w:val="0"/>
      <w:divBdr>
        <w:top w:val="none" w:sz="0" w:space="0" w:color="auto"/>
        <w:left w:val="none" w:sz="0" w:space="0" w:color="auto"/>
        <w:bottom w:val="none" w:sz="0" w:space="0" w:color="auto"/>
        <w:right w:val="none" w:sz="0" w:space="0" w:color="auto"/>
      </w:divBdr>
    </w:div>
    <w:div w:id="765076565">
      <w:bodyDiv w:val="1"/>
      <w:marLeft w:val="0"/>
      <w:marRight w:val="0"/>
      <w:marTop w:val="0"/>
      <w:marBottom w:val="0"/>
      <w:divBdr>
        <w:top w:val="none" w:sz="0" w:space="0" w:color="auto"/>
        <w:left w:val="none" w:sz="0" w:space="0" w:color="auto"/>
        <w:bottom w:val="none" w:sz="0" w:space="0" w:color="auto"/>
        <w:right w:val="none" w:sz="0" w:space="0" w:color="auto"/>
      </w:divBdr>
      <w:divsChild>
        <w:div w:id="267737638">
          <w:marLeft w:val="446"/>
          <w:marRight w:val="346"/>
          <w:marTop w:val="120"/>
          <w:marBottom w:val="120"/>
          <w:divBdr>
            <w:top w:val="none" w:sz="0" w:space="0" w:color="auto"/>
            <w:left w:val="none" w:sz="0" w:space="0" w:color="auto"/>
            <w:bottom w:val="none" w:sz="0" w:space="0" w:color="auto"/>
            <w:right w:val="none" w:sz="0" w:space="0" w:color="auto"/>
          </w:divBdr>
        </w:div>
        <w:div w:id="1979189426">
          <w:marLeft w:val="446"/>
          <w:marRight w:val="0"/>
          <w:marTop w:val="0"/>
          <w:marBottom w:val="120"/>
          <w:divBdr>
            <w:top w:val="none" w:sz="0" w:space="0" w:color="auto"/>
            <w:left w:val="none" w:sz="0" w:space="0" w:color="auto"/>
            <w:bottom w:val="none" w:sz="0" w:space="0" w:color="auto"/>
            <w:right w:val="none" w:sz="0" w:space="0" w:color="auto"/>
          </w:divBdr>
        </w:div>
      </w:divsChild>
    </w:div>
    <w:div w:id="787546384">
      <w:bodyDiv w:val="1"/>
      <w:marLeft w:val="0"/>
      <w:marRight w:val="0"/>
      <w:marTop w:val="0"/>
      <w:marBottom w:val="0"/>
      <w:divBdr>
        <w:top w:val="none" w:sz="0" w:space="0" w:color="auto"/>
        <w:left w:val="none" w:sz="0" w:space="0" w:color="auto"/>
        <w:bottom w:val="none" w:sz="0" w:space="0" w:color="auto"/>
        <w:right w:val="none" w:sz="0" w:space="0" w:color="auto"/>
      </w:divBdr>
    </w:div>
    <w:div w:id="788933016">
      <w:bodyDiv w:val="1"/>
      <w:marLeft w:val="0"/>
      <w:marRight w:val="0"/>
      <w:marTop w:val="0"/>
      <w:marBottom w:val="0"/>
      <w:divBdr>
        <w:top w:val="none" w:sz="0" w:space="0" w:color="auto"/>
        <w:left w:val="none" w:sz="0" w:space="0" w:color="auto"/>
        <w:bottom w:val="none" w:sz="0" w:space="0" w:color="auto"/>
        <w:right w:val="none" w:sz="0" w:space="0" w:color="auto"/>
      </w:divBdr>
    </w:div>
    <w:div w:id="806051532">
      <w:bodyDiv w:val="1"/>
      <w:marLeft w:val="0"/>
      <w:marRight w:val="0"/>
      <w:marTop w:val="0"/>
      <w:marBottom w:val="0"/>
      <w:divBdr>
        <w:top w:val="none" w:sz="0" w:space="0" w:color="auto"/>
        <w:left w:val="none" w:sz="0" w:space="0" w:color="auto"/>
        <w:bottom w:val="none" w:sz="0" w:space="0" w:color="auto"/>
        <w:right w:val="none" w:sz="0" w:space="0" w:color="auto"/>
      </w:divBdr>
    </w:div>
    <w:div w:id="837500624">
      <w:bodyDiv w:val="1"/>
      <w:marLeft w:val="0"/>
      <w:marRight w:val="0"/>
      <w:marTop w:val="0"/>
      <w:marBottom w:val="0"/>
      <w:divBdr>
        <w:top w:val="none" w:sz="0" w:space="0" w:color="auto"/>
        <w:left w:val="none" w:sz="0" w:space="0" w:color="auto"/>
        <w:bottom w:val="none" w:sz="0" w:space="0" w:color="auto"/>
        <w:right w:val="none" w:sz="0" w:space="0" w:color="auto"/>
      </w:divBdr>
    </w:div>
    <w:div w:id="867377894">
      <w:bodyDiv w:val="1"/>
      <w:marLeft w:val="0"/>
      <w:marRight w:val="0"/>
      <w:marTop w:val="0"/>
      <w:marBottom w:val="0"/>
      <w:divBdr>
        <w:top w:val="none" w:sz="0" w:space="0" w:color="auto"/>
        <w:left w:val="none" w:sz="0" w:space="0" w:color="auto"/>
        <w:bottom w:val="none" w:sz="0" w:space="0" w:color="auto"/>
        <w:right w:val="none" w:sz="0" w:space="0" w:color="auto"/>
      </w:divBdr>
    </w:div>
    <w:div w:id="892548185">
      <w:bodyDiv w:val="1"/>
      <w:marLeft w:val="0"/>
      <w:marRight w:val="0"/>
      <w:marTop w:val="0"/>
      <w:marBottom w:val="0"/>
      <w:divBdr>
        <w:top w:val="none" w:sz="0" w:space="0" w:color="auto"/>
        <w:left w:val="none" w:sz="0" w:space="0" w:color="auto"/>
        <w:bottom w:val="none" w:sz="0" w:space="0" w:color="auto"/>
        <w:right w:val="none" w:sz="0" w:space="0" w:color="auto"/>
      </w:divBdr>
      <w:divsChild>
        <w:div w:id="107237063">
          <w:marLeft w:val="547"/>
          <w:marRight w:val="0"/>
          <w:marTop w:val="120"/>
          <w:marBottom w:val="120"/>
          <w:divBdr>
            <w:top w:val="none" w:sz="0" w:space="0" w:color="auto"/>
            <w:left w:val="none" w:sz="0" w:space="0" w:color="auto"/>
            <w:bottom w:val="none" w:sz="0" w:space="0" w:color="auto"/>
            <w:right w:val="none" w:sz="0" w:space="0" w:color="auto"/>
          </w:divBdr>
        </w:div>
        <w:div w:id="1663073507">
          <w:marLeft w:val="547"/>
          <w:marRight w:val="0"/>
          <w:marTop w:val="0"/>
          <w:marBottom w:val="200"/>
          <w:divBdr>
            <w:top w:val="none" w:sz="0" w:space="0" w:color="auto"/>
            <w:left w:val="none" w:sz="0" w:space="0" w:color="auto"/>
            <w:bottom w:val="none" w:sz="0" w:space="0" w:color="auto"/>
            <w:right w:val="none" w:sz="0" w:space="0" w:color="auto"/>
          </w:divBdr>
        </w:div>
      </w:divsChild>
    </w:div>
    <w:div w:id="1014453547">
      <w:bodyDiv w:val="1"/>
      <w:marLeft w:val="0"/>
      <w:marRight w:val="0"/>
      <w:marTop w:val="0"/>
      <w:marBottom w:val="0"/>
      <w:divBdr>
        <w:top w:val="none" w:sz="0" w:space="0" w:color="auto"/>
        <w:left w:val="none" w:sz="0" w:space="0" w:color="auto"/>
        <w:bottom w:val="none" w:sz="0" w:space="0" w:color="auto"/>
        <w:right w:val="none" w:sz="0" w:space="0" w:color="auto"/>
      </w:divBdr>
    </w:div>
    <w:div w:id="1023288468">
      <w:bodyDiv w:val="1"/>
      <w:marLeft w:val="0"/>
      <w:marRight w:val="0"/>
      <w:marTop w:val="0"/>
      <w:marBottom w:val="0"/>
      <w:divBdr>
        <w:top w:val="none" w:sz="0" w:space="0" w:color="auto"/>
        <w:left w:val="none" w:sz="0" w:space="0" w:color="auto"/>
        <w:bottom w:val="none" w:sz="0" w:space="0" w:color="auto"/>
        <w:right w:val="none" w:sz="0" w:space="0" w:color="auto"/>
      </w:divBdr>
    </w:div>
    <w:div w:id="1029601847">
      <w:bodyDiv w:val="1"/>
      <w:marLeft w:val="0"/>
      <w:marRight w:val="0"/>
      <w:marTop w:val="0"/>
      <w:marBottom w:val="0"/>
      <w:divBdr>
        <w:top w:val="none" w:sz="0" w:space="0" w:color="auto"/>
        <w:left w:val="none" w:sz="0" w:space="0" w:color="auto"/>
        <w:bottom w:val="none" w:sz="0" w:space="0" w:color="auto"/>
        <w:right w:val="none" w:sz="0" w:space="0" w:color="auto"/>
      </w:divBdr>
    </w:div>
    <w:div w:id="1033261580">
      <w:bodyDiv w:val="1"/>
      <w:marLeft w:val="0"/>
      <w:marRight w:val="0"/>
      <w:marTop w:val="0"/>
      <w:marBottom w:val="0"/>
      <w:divBdr>
        <w:top w:val="none" w:sz="0" w:space="0" w:color="auto"/>
        <w:left w:val="none" w:sz="0" w:space="0" w:color="auto"/>
        <w:bottom w:val="none" w:sz="0" w:space="0" w:color="auto"/>
        <w:right w:val="none" w:sz="0" w:space="0" w:color="auto"/>
      </w:divBdr>
    </w:div>
    <w:div w:id="1053888659">
      <w:bodyDiv w:val="1"/>
      <w:marLeft w:val="0"/>
      <w:marRight w:val="0"/>
      <w:marTop w:val="0"/>
      <w:marBottom w:val="0"/>
      <w:divBdr>
        <w:top w:val="none" w:sz="0" w:space="0" w:color="auto"/>
        <w:left w:val="none" w:sz="0" w:space="0" w:color="auto"/>
        <w:bottom w:val="none" w:sz="0" w:space="0" w:color="auto"/>
        <w:right w:val="none" w:sz="0" w:space="0" w:color="auto"/>
      </w:divBdr>
    </w:div>
    <w:div w:id="1128934510">
      <w:bodyDiv w:val="1"/>
      <w:marLeft w:val="0"/>
      <w:marRight w:val="0"/>
      <w:marTop w:val="0"/>
      <w:marBottom w:val="0"/>
      <w:divBdr>
        <w:top w:val="none" w:sz="0" w:space="0" w:color="auto"/>
        <w:left w:val="none" w:sz="0" w:space="0" w:color="auto"/>
        <w:bottom w:val="none" w:sz="0" w:space="0" w:color="auto"/>
        <w:right w:val="none" w:sz="0" w:space="0" w:color="auto"/>
      </w:divBdr>
    </w:div>
    <w:div w:id="1183669206">
      <w:bodyDiv w:val="1"/>
      <w:marLeft w:val="0"/>
      <w:marRight w:val="0"/>
      <w:marTop w:val="0"/>
      <w:marBottom w:val="0"/>
      <w:divBdr>
        <w:top w:val="none" w:sz="0" w:space="0" w:color="auto"/>
        <w:left w:val="none" w:sz="0" w:space="0" w:color="auto"/>
        <w:bottom w:val="none" w:sz="0" w:space="0" w:color="auto"/>
        <w:right w:val="none" w:sz="0" w:space="0" w:color="auto"/>
      </w:divBdr>
    </w:div>
    <w:div w:id="1208837640">
      <w:bodyDiv w:val="1"/>
      <w:marLeft w:val="0"/>
      <w:marRight w:val="0"/>
      <w:marTop w:val="0"/>
      <w:marBottom w:val="0"/>
      <w:divBdr>
        <w:top w:val="none" w:sz="0" w:space="0" w:color="auto"/>
        <w:left w:val="none" w:sz="0" w:space="0" w:color="auto"/>
        <w:bottom w:val="none" w:sz="0" w:space="0" w:color="auto"/>
        <w:right w:val="none" w:sz="0" w:space="0" w:color="auto"/>
      </w:divBdr>
    </w:div>
    <w:div w:id="1221481420">
      <w:bodyDiv w:val="1"/>
      <w:marLeft w:val="0"/>
      <w:marRight w:val="0"/>
      <w:marTop w:val="0"/>
      <w:marBottom w:val="0"/>
      <w:divBdr>
        <w:top w:val="none" w:sz="0" w:space="0" w:color="auto"/>
        <w:left w:val="none" w:sz="0" w:space="0" w:color="auto"/>
        <w:bottom w:val="none" w:sz="0" w:space="0" w:color="auto"/>
        <w:right w:val="none" w:sz="0" w:space="0" w:color="auto"/>
      </w:divBdr>
    </w:div>
    <w:div w:id="1360274833">
      <w:bodyDiv w:val="1"/>
      <w:marLeft w:val="0"/>
      <w:marRight w:val="0"/>
      <w:marTop w:val="0"/>
      <w:marBottom w:val="0"/>
      <w:divBdr>
        <w:top w:val="none" w:sz="0" w:space="0" w:color="auto"/>
        <w:left w:val="none" w:sz="0" w:space="0" w:color="auto"/>
        <w:bottom w:val="none" w:sz="0" w:space="0" w:color="auto"/>
        <w:right w:val="none" w:sz="0" w:space="0" w:color="auto"/>
      </w:divBdr>
    </w:div>
    <w:div w:id="1385979887">
      <w:bodyDiv w:val="1"/>
      <w:marLeft w:val="0"/>
      <w:marRight w:val="0"/>
      <w:marTop w:val="0"/>
      <w:marBottom w:val="0"/>
      <w:divBdr>
        <w:top w:val="none" w:sz="0" w:space="0" w:color="auto"/>
        <w:left w:val="none" w:sz="0" w:space="0" w:color="auto"/>
        <w:bottom w:val="none" w:sz="0" w:space="0" w:color="auto"/>
        <w:right w:val="none" w:sz="0" w:space="0" w:color="auto"/>
      </w:divBdr>
    </w:div>
    <w:div w:id="1445877663">
      <w:bodyDiv w:val="1"/>
      <w:marLeft w:val="0"/>
      <w:marRight w:val="0"/>
      <w:marTop w:val="0"/>
      <w:marBottom w:val="0"/>
      <w:divBdr>
        <w:top w:val="none" w:sz="0" w:space="0" w:color="auto"/>
        <w:left w:val="none" w:sz="0" w:space="0" w:color="auto"/>
        <w:bottom w:val="none" w:sz="0" w:space="0" w:color="auto"/>
        <w:right w:val="none" w:sz="0" w:space="0" w:color="auto"/>
      </w:divBdr>
    </w:div>
    <w:div w:id="1484198697">
      <w:bodyDiv w:val="1"/>
      <w:marLeft w:val="0"/>
      <w:marRight w:val="0"/>
      <w:marTop w:val="0"/>
      <w:marBottom w:val="0"/>
      <w:divBdr>
        <w:top w:val="none" w:sz="0" w:space="0" w:color="auto"/>
        <w:left w:val="none" w:sz="0" w:space="0" w:color="auto"/>
        <w:bottom w:val="none" w:sz="0" w:space="0" w:color="auto"/>
        <w:right w:val="none" w:sz="0" w:space="0" w:color="auto"/>
      </w:divBdr>
    </w:div>
    <w:div w:id="1489901081">
      <w:bodyDiv w:val="1"/>
      <w:marLeft w:val="0"/>
      <w:marRight w:val="0"/>
      <w:marTop w:val="0"/>
      <w:marBottom w:val="0"/>
      <w:divBdr>
        <w:top w:val="none" w:sz="0" w:space="0" w:color="auto"/>
        <w:left w:val="none" w:sz="0" w:space="0" w:color="auto"/>
        <w:bottom w:val="none" w:sz="0" w:space="0" w:color="auto"/>
        <w:right w:val="none" w:sz="0" w:space="0" w:color="auto"/>
      </w:divBdr>
    </w:div>
    <w:div w:id="1520774390">
      <w:bodyDiv w:val="1"/>
      <w:marLeft w:val="0"/>
      <w:marRight w:val="0"/>
      <w:marTop w:val="0"/>
      <w:marBottom w:val="0"/>
      <w:divBdr>
        <w:top w:val="none" w:sz="0" w:space="0" w:color="auto"/>
        <w:left w:val="none" w:sz="0" w:space="0" w:color="auto"/>
        <w:bottom w:val="none" w:sz="0" w:space="0" w:color="auto"/>
        <w:right w:val="none" w:sz="0" w:space="0" w:color="auto"/>
      </w:divBdr>
    </w:div>
    <w:div w:id="1536582639">
      <w:bodyDiv w:val="1"/>
      <w:marLeft w:val="0"/>
      <w:marRight w:val="0"/>
      <w:marTop w:val="0"/>
      <w:marBottom w:val="0"/>
      <w:divBdr>
        <w:top w:val="none" w:sz="0" w:space="0" w:color="auto"/>
        <w:left w:val="none" w:sz="0" w:space="0" w:color="auto"/>
        <w:bottom w:val="none" w:sz="0" w:space="0" w:color="auto"/>
        <w:right w:val="none" w:sz="0" w:space="0" w:color="auto"/>
      </w:divBdr>
      <w:divsChild>
        <w:div w:id="2140680218">
          <w:marLeft w:val="547"/>
          <w:marRight w:val="0"/>
          <w:marTop w:val="120"/>
          <w:marBottom w:val="120"/>
          <w:divBdr>
            <w:top w:val="none" w:sz="0" w:space="0" w:color="auto"/>
            <w:left w:val="none" w:sz="0" w:space="0" w:color="auto"/>
            <w:bottom w:val="none" w:sz="0" w:space="0" w:color="auto"/>
            <w:right w:val="none" w:sz="0" w:space="0" w:color="auto"/>
          </w:divBdr>
        </w:div>
        <w:div w:id="831025650">
          <w:marLeft w:val="547"/>
          <w:marRight w:val="0"/>
          <w:marTop w:val="120"/>
          <w:marBottom w:val="120"/>
          <w:divBdr>
            <w:top w:val="none" w:sz="0" w:space="0" w:color="auto"/>
            <w:left w:val="none" w:sz="0" w:space="0" w:color="auto"/>
            <w:bottom w:val="none" w:sz="0" w:space="0" w:color="auto"/>
            <w:right w:val="none" w:sz="0" w:space="0" w:color="auto"/>
          </w:divBdr>
        </w:div>
        <w:div w:id="1416511021">
          <w:marLeft w:val="547"/>
          <w:marRight w:val="0"/>
          <w:marTop w:val="0"/>
          <w:marBottom w:val="0"/>
          <w:divBdr>
            <w:top w:val="none" w:sz="0" w:space="0" w:color="auto"/>
            <w:left w:val="none" w:sz="0" w:space="0" w:color="auto"/>
            <w:bottom w:val="none" w:sz="0" w:space="0" w:color="auto"/>
            <w:right w:val="none" w:sz="0" w:space="0" w:color="auto"/>
          </w:divBdr>
        </w:div>
        <w:div w:id="320699091">
          <w:marLeft w:val="547"/>
          <w:marRight w:val="0"/>
          <w:marTop w:val="0"/>
          <w:marBottom w:val="0"/>
          <w:divBdr>
            <w:top w:val="none" w:sz="0" w:space="0" w:color="auto"/>
            <w:left w:val="none" w:sz="0" w:space="0" w:color="auto"/>
            <w:bottom w:val="none" w:sz="0" w:space="0" w:color="auto"/>
            <w:right w:val="none" w:sz="0" w:space="0" w:color="auto"/>
          </w:divBdr>
        </w:div>
        <w:div w:id="18044032">
          <w:marLeft w:val="547"/>
          <w:marRight w:val="0"/>
          <w:marTop w:val="0"/>
          <w:marBottom w:val="200"/>
          <w:divBdr>
            <w:top w:val="none" w:sz="0" w:space="0" w:color="auto"/>
            <w:left w:val="none" w:sz="0" w:space="0" w:color="auto"/>
            <w:bottom w:val="none" w:sz="0" w:space="0" w:color="auto"/>
            <w:right w:val="none" w:sz="0" w:space="0" w:color="auto"/>
          </w:divBdr>
        </w:div>
      </w:divsChild>
    </w:div>
    <w:div w:id="1623611751">
      <w:bodyDiv w:val="1"/>
      <w:marLeft w:val="0"/>
      <w:marRight w:val="0"/>
      <w:marTop w:val="0"/>
      <w:marBottom w:val="0"/>
      <w:divBdr>
        <w:top w:val="none" w:sz="0" w:space="0" w:color="auto"/>
        <w:left w:val="none" w:sz="0" w:space="0" w:color="auto"/>
        <w:bottom w:val="none" w:sz="0" w:space="0" w:color="auto"/>
        <w:right w:val="none" w:sz="0" w:space="0" w:color="auto"/>
      </w:divBdr>
    </w:div>
    <w:div w:id="1655404856">
      <w:bodyDiv w:val="1"/>
      <w:marLeft w:val="0"/>
      <w:marRight w:val="0"/>
      <w:marTop w:val="0"/>
      <w:marBottom w:val="0"/>
      <w:divBdr>
        <w:top w:val="none" w:sz="0" w:space="0" w:color="auto"/>
        <w:left w:val="none" w:sz="0" w:space="0" w:color="auto"/>
        <w:bottom w:val="none" w:sz="0" w:space="0" w:color="auto"/>
        <w:right w:val="none" w:sz="0" w:space="0" w:color="auto"/>
      </w:divBdr>
    </w:div>
    <w:div w:id="1670060811">
      <w:bodyDiv w:val="1"/>
      <w:marLeft w:val="0"/>
      <w:marRight w:val="0"/>
      <w:marTop w:val="0"/>
      <w:marBottom w:val="0"/>
      <w:divBdr>
        <w:top w:val="none" w:sz="0" w:space="0" w:color="auto"/>
        <w:left w:val="none" w:sz="0" w:space="0" w:color="auto"/>
        <w:bottom w:val="none" w:sz="0" w:space="0" w:color="auto"/>
        <w:right w:val="none" w:sz="0" w:space="0" w:color="auto"/>
      </w:divBdr>
    </w:div>
    <w:div w:id="1672175889">
      <w:bodyDiv w:val="1"/>
      <w:marLeft w:val="0"/>
      <w:marRight w:val="0"/>
      <w:marTop w:val="0"/>
      <w:marBottom w:val="0"/>
      <w:divBdr>
        <w:top w:val="none" w:sz="0" w:space="0" w:color="auto"/>
        <w:left w:val="none" w:sz="0" w:space="0" w:color="auto"/>
        <w:bottom w:val="none" w:sz="0" w:space="0" w:color="auto"/>
        <w:right w:val="none" w:sz="0" w:space="0" w:color="auto"/>
      </w:divBdr>
    </w:div>
    <w:div w:id="1703282475">
      <w:bodyDiv w:val="1"/>
      <w:marLeft w:val="0"/>
      <w:marRight w:val="0"/>
      <w:marTop w:val="0"/>
      <w:marBottom w:val="0"/>
      <w:divBdr>
        <w:top w:val="none" w:sz="0" w:space="0" w:color="auto"/>
        <w:left w:val="none" w:sz="0" w:space="0" w:color="auto"/>
        <w:bottom w:val="none" w:sz="0" w:space="0" w:color="auto"/>
        <w:right w:val="none" w:sz="0" w:space="0" w:color="auto"/>
      </w:divBdr>
    </w:div>
    <w:div w:id="1749690295">
      <w:bodyDiv w:val="1"/>
      <w:marLeft w:val="0"/>
      <w:marRight w:val="0"/>
      <w:marTop w:val="0"/>
      <w:marBottom w:val="0"/>
      <w:divBdr>
        <w:top w:val="none" w:sz="0" w:space="0" w:color="auto"/>
        <w:left w:val="none" w:sz="0" w:space="0" w:color="auto"/>
        <w:bottom w:val="none" w:sz="0" w:space="0" w:color="auto"/>
        <w:right w:val="none" w:sz="0" w:space="0" w:color="auto"/>
      </w:divBdr>
    </w:div>
    <w:div w:id="1767731835">
      <w:bodyDiv w:val="1"/>
      <w:marLeft w:val="0"/>
      <w:marRight w:val="0"/>
      <w:marTop w:val="0"/>
      <w:marBottom w:val="0"/>
      <w:divBdr>
        <w:top w:val="none" w:sz="0" w:space="0" w:color="auto"/>
        <w:left w:val="none" w:sz="0" w:space="0" w:color="auto"/>
        <w:bottom w:val="none" w:sz="0" w:space="0" w:color="auto"/>
        <w:right w:val="none" w:sz="0" w:space="0" w:color="auto"/>
      </w:divBdr>
    </w:div>
    <w:div w:id="1785538974">
      <w:bodyDiv w:val="1"/>
      <w:marLeft w:val="0"/>
      <w:marRight w:val="0"/>
      <w:marTop w:val="0"/>
      <w:marBottom w:val="0"/>
      <w:divBdr>
        <w:top w:val="none" w:sz="0" w:space="0" w:color="auto"/>
        <w:left w:val="none" w:sz="0" w:space="0" w:color="auto"/>
        <w:bottom w:val="none" w:sz="0" w:space="0" w:color="auto"/>
        <w:right w:val="none" w:sz="0" w:space="0" w:color="auto"/>
      </w:divBdr>
    </w:div>
    <w:div w:id="1832258239">
      <w:bodyDiv w:val="1"/>
      <w:marLeft w:val="0"/>
      <w:marRight w:val="0"/>
      <w:marTop w:val="0"/>
      <w:marBottom w:val="0"/>
      <w:divBdr>
        <w:top w:val="none" w:sz="0" w:space="0" w:color="auto"/>
        <w:left w:val="none" w:sz="0" w:space="0" w:color="auto"/>
        <w:bottom w:val="none" w:sz="0" w:space="0" w:color="auto"/>
        <w:right w:val="none" w:sz="0" w:space="0" w:color="auto"/>
      </w:divBdr>
    </w:div>
    <w:div w:id="1847280183">
      <w:bodyDiv w:val="1"/>
      <w:marLeft w:val="0"/>
      <w:marRight w:val="0"/>
      <w:marTop w:val="0"/>
      <w:marBottom w:val="0"/>
      <w:divBdr>
        <w:top w:val="none" w:sz="0" w:space="0" w:color="auto"/>
        <w:left w:val="none" w:sz="0" w:space="0" w:color="auto"/>
        <w:bottom w:val="none" w:sz="0" w:space="0" w:color="auto"/>
        <w:right w:val="none" w:sz="0" w:space="0" w:color="auto"/>
      </w:divBdr>
      <w:divsChild>
        <w:div w:id="4140132">
          <w:marLeft w:val="547"/>
          <w:marRight w:val="0"/>
          <w:marTop w:val="0"/>
          <w:marBottom w:val="0"/>
          <w:divBdr>
            <w:top w:val="none" w:sz="0" w:space="0" w:color="auto"/>
            <w:left w:val="none" w:sz="0" w:space="0" w:color="auto"/>
            <w:bottom w:val="none" w:sz="0" w:space="0" w:color="auto"/>
            <w:right w:val="none" w:sz="0" w:space="0" w:color="auto"/>
          </w:divBdr>
        </w:div>
        <w:div w:id="2004117303">
          <w:marLeft w:val="547"/>
          <w:marRight w:val="0"/>
          <w:marTop w:val="0"/>
          <w:marBottom w:val="0"/>
          <w:divBdr>
            <w:top w:val="none" w:sz="0" w:space="0" w:color="auto"/>
            <w:left w:val="none" w:sz="0" w:space="0" w:color="auto"/>
            <w:bottom w:val="none" w:sz="0" w:space="0" w:color="auto"/>
            <w:right w:val="none" w:sz="0" w:space="0" w:color="auto"/>
          </w:divBdr>
        </w:div>
        <w:div w:id="535704628">
          <w:marLeft w:val="547"/>
          <w:marRight w:val="0"/>
          <w:marTop w:val="0"/>
          <w:marBottom w:val="200"/>
          <w:divBdr>
            <w:top w:val="none" w:sz="0" w:space="0" w:color="auto"/>
            <w:left w:val="none" w:sz="0" w:space="0" w:color="auto"/>
            <w:bottom w:val="none" w:sz="0" w:space="0" w:color="auto"/>
            <w:right w:val="none" w:sz="0" w:space="0" w:color="auto"/>
          </w:divBdr>
        </w:div>
        <w:div w:id="212815043">
          <w:marLeft w:val="547"/>
          <w:marRight w:val="0"/>
          <w:marTop w:val="0"/>
          <w:marBottom w:val="200"/>
          <w:divBdr>
            <w:top w:val="none" w:sz="0" w:space="0" w:color="auto"/>
            <w:left w:val="none" w:sz="0" w:space="0" w:color="auto"/>
            <w:bottom w:val="none" w:sz="0" w:space="0" w:color="auto"/>
            <w:right w:val="none" w:sz="0" w:space="0" w:color="auto"/>
          </w:divBdr>
        </w:div>
      </w:divsChild>
    </w:div>
    <w:div w:id="1856963042">
      <w:bodyDiv w:val="1"/>
      <w:marLeft w:val="0"/>
      <w:marRight w:val="0"/>
      <w:marTop w:val="0"/>
      <w:marBottom w:val="0"/>
      <w:divBdr>
        <w:top w:val="none" w:sz="0" w:space="0" w:color="auto"/>
        <w:left w:val="none" w:sz="0" w:space="0" w:color="auto"/>
        <w:bottom w:val="none" w:sz="0" w:space="0" w:color="auto"/>
        <w:right w:val="none" w:sz="0" w:space="0" w:color="auto"/>
      </w:divBdr>
    </w:div>
    <w:div w:id="1896115792">
      <w:bodyDiv w:val="1"/>
      <w:marLeft w:val="0"/>
      <w:marRight w:val="0"/>
      <w:marTop w:val="0"/>
      <w:marBottom w:val="0"/>
      <w:divBdr>
        <w:top w:val="none" w:sz="0" w:space="0" w:color="auto"/>
        <w:left w:val="none" w:sz="0" w:space="0" w:color="auto"/>
        <w:bottom w:val="none" w:sz="0" w:space="0" w:color="auto"/>
        <w:right w:val="none" w:sz="0" w:space="0" w:color="auto"/>
      </w:divBdr>
    </w:div>
    <w:div w:id="1915896803">
      <w:bodyDiv w:val="1"/>
      <w:marLeft w:val="0"/>
      <w:marRight w:val="0"/>
      <w:marTop w:val="0"/>
      <w:marBottom w:val="0"/>
      <w:divBdr>
        <w:top w:val="none" w:sz="0" w:space="0" w:color="auto"/>
        <w:left w:val="none" w:sz="0" w:space="0" w:color="auto"/>
        <w:bottom w:val="none" w:sz="0" w:space="0" w:color="auto"/>
        <w:right w:val="none" w:sz="0" w:space="0" w:color="auto"/>
      </w:divBdr>
    </w:div>
    <w:div w:id="1927834966">
      <w:bodyDiv w:val="1"/>
      <w:marLeft w:val="0"/>
      <w:marRight w:val="0"/>
      <w:marTop w:val="0"/>
      <w:marBottom w:val="0"/>
      <w:divBdr>
        <w:top w:val="none" w:sz="0" w:space="0" w:color="auto"/>
        <w:left w:val="none" w:sz="0" w:space="0" w:color="auto"/>
        <w:bottom w:val="none" w:sz="0" w:space="0" w:color="auto"/>
        <w:right w:val="none" w:sz="0" w:space="0" w:color="auto"/>
      </w:divBdr>
    </w:div>
    <w:div w:id="1932422144">
      <w:bodyDiv w:val="1"/>
      <w:marLeft w:val="0"/>
      <w:marRight w:val="0"/>
      <w:marTop w:val="0"/>
      <w:marBottom w:val="0"/>
      <w:divBdr>
        <w:top w:val="none" w:sz="0" w:space="0" w:color="auto"/>
        <w:left w:val="none" w:sz="0" w:space="0" w:color="auto"/>
        <w:bottom w:val="none" w:sz="0" w:space="0" w:color="auto"/>
        <w:right w:val="none" w:sz="0" w:space="0" w:color="auto"/>
      </w:divBdr>
    </w:div>
    <w:div w:id="1943875971">
      <w:bodyDiv w:val="1"/>
      <w:marLeft w:val="0"/>
      <w:marRight w:val="0"/>
      <w:marTop w:val="0"/>
      <w:marBottom w:val="0"/>
      <w:divBdr>
        <w:top w:val="none" w:sz="0" w:space="0" w:color="auto"/>
        <w:left w:val="none" w:sz="0" w:space="0" w:color="auto"/>
        <w:bottom w:val="none" w:sz="0" w:space="0" w:color="auto"/>
        <w:right w:val="none" w:sz="0" w:space="0" w:color="auto"/>
      </w:divBdr>
    </w:div>
    <w:div w:id="1952777883">
      <w:bodyDiv w:val="1"/>
      <w:marLeft w:val="0"/>
      <w:marRight w:val="0"/>
      <w:marTop w:val="0"/>
      <w:marBottom w:val="0"/>
      <w:divBdr>
        <w:top w:val="none" w:sz="0" w:space="0" w:color="auto"/>
        <w:left w:val="none" w:sz="0" w:space="0" w:color="auto"/>
        <w:bottom w:val="none" w:sz="0" w:space="0" w:color="auto"/>
        <w:right w:val="none" w:sz="0" w:space="0" w:color="auto"/>
      </w:divBdr>
    </w:div>
    <w:div w:id="1956937010">
      <w:bodyDiv w:val="1"/>
      <w:marLeft w:val="0"/>
      <w:marRight w:val="0"/>
      <w:marTop w:val="0"/>
      <w:marBottom w:val="0"/>
      <w:divBdr>
        <w:top w:val="none" w:sz="0" w:space="0" w:color="auto"/>
        <w:left w:val="none" w:sz="0" w:space="0" w:color="auto"/>
        <w:bottom w:val="none" w:sz="0" w:space="0" w:color="auto"/>
        <w:right w:val="none" w:sz="0" w:space="0" w:color="auto"/>
      </w:divBdr>
    </w:div>
    <w:div w:id="2010210825">
      <w:bodyDiv w:val="1"/>
      <w:marLeft w:val="0"/>
      <w:marRight w:val="0"/>
      <w:marTop w:val="0"/>
      <w:marBottom w:val="0"/>
      <w:divBdr>
        <w:top w:val="none" w:sz="0" w:space="0" w:color="auto"/>
        <w:left w:val="none" w:sz="0" w:space="0" w:color="auto"/>
        <w:bottom w:val="none" w:sz="0" w:space="0" w:color="auto"/>
        <w:right w:val="none" w:sz="0" w:space="0" w:color="auto"/>
      </w:divBdr>
    </w:div>
    <w:div w:id="2043090463">
      <w:bodyDiv w:val="1"/>
      <w:marLeft w:val="0"/>
      <w:marRight w:val="0"/>
      <w:marTop w:val="0"/>
      <w:marBottom w:val="0"/>
      <w:divBdr>
        <w:top w:val="none" w:sz="0" w:space="0" w:color="auto"/>
        <w:left w:val="none" w:sz="0" w:space="0" w:color="auto"/>
        <w:bottom w:val="none" w:sz="0" w:space="0" w:color="auto"/>
        <w:right w:val="none" w:sz="0" w:space="0" w:color="auto"/>
      </w:divBdr>
    </w:div>
    <w:div w:id="2058162114">
      <w:bodyDiv w:val="1"/>
      <w:marLeft w:val="0"/>
      <w:marRight w:val="0"/>
      <w:marTop w:val="0"/>
      <w:marBottom w:val="0"/>
      <w:divBdr>
        <w:top w:val="none" w:sz="0" w:space="0" w:color="auto"/>
        <w:left w:val="none" w:sz="0" w:space="0" w:color="auto"/>
        <w:bottom w:val="none" w:sz="0" w:space="0" w:color="auto"/>
        <w:right w:val="none" w:sz="0" w:space="0" w:color="auto"/>
      </w:divBdr>
    </w:div>
    <w:div w:id="2063866809">
      <w:bodyDiv w:val="1"/>
      <w:marLeft w:val="0"/>
      <w:marRight w:val="0"/>
      <w:marTop w:val="0"/>
      <w:marBottom w:val="0"/>
      <w:divBdr>
        <w:top w:val="none" w:sz="0" w:space="0" w:color="auto"/>
        <w:left w:val="none" w:sz="0" w:space="0" w:color="auto"/>
        <w:bottom w:val="none" w:sz="0" w:space="0" w:color="auto"/>
        <w:right w:val="none" w:sz="0" w:space="0" w:color="auto"/>
      </w:divBdr>
    </w:div>
    <w:div w:id="2071228063">
      <w:bodyDiv w:val="1"/>
      <w:marLeft w:val="0"/>
      <w:marRight w:val="0"/>
      <w:marTop w:val="0"/>
      <w:marBottom w:val="0"/>
      <w:divBdr>
        <w:top w:val="none" w:sz="0" w:space="0" w:color="auto"/>
        <w:left w:val="none" w:sz="0" w:space="0" w:color="auto"/>
        <w:bottom w:val="none" w:sz="0" w:space="0" w:color="auto"/>
        <w:right w:val="none" w:sz="0" w:space="0" w:color="auto"/>
      </w:divBdr>
    </w:div>
    <w:div w:id="2133089104">
      <w:bodyDiv w:val="1"/>
      <w:marLeft w:val="0"/>
      <w:marRight w:val="0"/>
      <w:marTop w:val="0"/>
      <w:marBottom w:val="0"/>
      <w:divBdr>
        <w:top w:val="none" w:sz="0" w:space="0" w:color="auto"/>
        <w:left w:val="none" w:sz="0" w:space="0" w:color="auto"/>
        <w:bottom w:val="none" w:sz="0" w:space="0" w:color="auto"/>
        <w:right w:val="none" w:sz="0" w:space="0" w:color="auto"/>
      </w:divBdr>
    </w:div>
    <w:div w:id="2142377697">
      <w:bodyDiv w:val="1"/>
      <w:marLeft w:val="0"/>
      <w:marRight w:val="0"/>
      <w:marTop w:val="0"/>
      <w:marBottom w:val="0"/>
      <w:divBdr>
        <w:top w:val="none" w:sz="0" w:space="0" w:color="auto"/>
        <w:left w:val="none" w:sz="0" w:space="0" w:color="auto"/>
        <w:bottom w:val="none" w:sz="0" w:space="0" w:color="auto"/>
        <w:right w:val="none" w:sz="0" w:space="0" w:color="auto"/>
      </w:divBdr>
    </w:div>
    <w:div w:id="2142650041">
      <w:bodyDiv w:val="1"/>
      <w:marLeft w:val="0"/>
      <w:marRight w:val="0"/>
      <w:marTop w:val="0"/>
      <w:marBottom w:val="0"/>
      <w:divBdr>
        <w:top w:val="none" w:sz="0" w:space="0" w:color="auto"/>
        <w:left w:val="none" w:sz="0" w:space="0" w:color="auto"/>
        <w:bottom w:val="none" w:sz="0" w:space="0" w:color="auto"/>
        <w:right w:val="none" w:sz="0" w:space="0" w:color="auto"/>
      </w:divBdr>
    </w:div>
    <w:div w:id="21461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header" Target="header3.xml"/><Relationship Id="rId30"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2ED6DF2E924F3297467187B7108D7A"/>
        <w:category>
          <w:name w:val="General"/>
          <w:gallery w:val="placeholder"/>
        </w:category>
        <w:types>
          <w:type w:val="bbPlcHdr"/>
        </w:types>
        <w:behaviors>
          <w:behavior w:val="content"/>
        </w:behaviors>
        <w:guid w:val="{5DAC4467-7BA6-483A-9714-443D20FD7DB6}"/>
      </w:docPartPr>
      <w:docPartBody>
        <w:p w:rsidR="000F6495" w:rsidRDefault="006274C7">
          <w:r w:rsidRPr="00D212F8">
            <w:rPr>
              <w:rStyle w:val="PlaceholderText"/>
            </w:rPr>
            <w:t>[Title]</w:t>
          </w:r>
        </w:p>
      </w:docPartBody>
    </w:docPart>
    <w:docPart>
      <w:docPartPr>
        <w:name w:val="94F76550A00B435A8C42A91A27DEF220"/>
        <w:category>
          <w:name w:val="General"/>
          <w:gallery w:val="placeholder"/>
        </w:category>
        <w:types>
          <w:type w:val="bbPlcHdr"/>
        </w:types>
        <w:behaviors>
          <w:behavior w:val="content"/>
        </w:behaviors>
        <w:guid w:val="{86A30026-244A-41DB-B10A-67E2B7375942}"/>
      </w:docPartPr>
      <w:docPartBody>
        <w:p w:rsidR="000F6495" w:rsidRDefault="006274C7">
          <w:r w:rsidRPr="00D212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Liberation Serif"/>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C7"/>
    <w:rsid w:val="000F6495"/>
    <w:rsid w:val="00245FAE"/>
    <w:rsid w:val="004D7B42"/>
    <w:rsid w:val="006274C7"/>
    <w:rsid w:val="006A3950"/>
    <w:rsid w:val="00844A74"/>
    <w:rsid w:val="008C0C06"/>
    <w:rsid w:val="00AE3048"/>
    <w:rsid w:val="00BE472C"/>
    <w:rsid w:val="00C27455"/>
    <w:rsid w:val="00CC09B5"/>
    <w:rsid w:val="00E870B6"/>
    <w:rsid w:val="00FD25EA"/>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61949D3A3248E5B55543AA05C360F3">
    <w:name w:val="C461949D3A3248E5B55543AA05C360F3"/>
    <w:rsid w:val="006274C7"/>
  </w:style>
  <w:style w:type="paragraph" w:customStyle="1" w:styleId="4217ABDB08394FEE924F1374224E1F3E">
    <w:name w:val="4217ABDB08394FEE924F1374224E1F3E"/>
    <w:rsid w:val="006274C7"/>
  </w:style>
  <w:style w:type="character" w:styleId="PlaceholderText">
    <w:name w:val="Placeholder Text"/>
    <w:basedOn w:val="DefaultParagraphFont"/>
    <w:uiPriority w:val="99"/>
    <w:semiHidden/>
    <w:rsid w:val="006274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D42DB-9803-4207-B58E-EF432D9C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12897</Words>
  <Characters>73517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Raport privind situația economică și bugetară pe primele șase luni ale anului 2025</vt:lpstr>
    </vt:vector>
  </TitlesOfParts>
  <Company>Office07</Company>
  <LinksUpToDate>false</LinksUpToDate>
  <CharactersWithSpaces>86242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privind situația economică și bugetară pe primele șase luni ale anului 2025</dc:title>
  <dc:creator>FLORIN-ANDREI DAIA</dc:creator>
  <cp:lastModifiedBy>32645493</cp:lastModifiedBy>
  <cp:revision>24</cp:revision>
  <cp:lastPrinted>2025-09-29T11:10:00Z</cp:lastPrinted>
  <dcterms:created xsi:type="dcterms:W3CDTF">2025-09-25T17:33:00Z</dcterms:created>
  <dcterms:modified xsi:type="dcterms:W3CDTF">2025-09-29T11:10:00Z</dcterms:modified>
</cp:coreProperties>
</file>