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7ADF6DD7"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604D34">
        <w:rPr>
          <w:rFonts w:ascii="Trebuchet MS" w:eastAsia="Times New Roman" w:hAnsi="Trebuchet MS" w:cs="Arial"/>
          <w:b/>
          <w:i/>
          <w:sz w:val="28"/>
          <w:szCs w:val="28"/>
        </w:rPr>
        <w:t>februarie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57EF13BA" w14:textId="77777777" w:rsidR="00107947" w:rsidRPr="002356D5" w:rsidRDefault="00107947" w:rsidP="002356D5">
      <w:pPr>
        <w:keepNext/>
        <w:spacing w:after="0" w:line="240" w:lineRule="auto"/>
        <w:jc w:val="center"/>
        <w:outlineLvl w:val="0"/>
        <w:rPr>
          <w:rFonts w:ascii="Trebuchet MS" w:eastAsia="Times New Roman" w:hAnsi="Trebuchet MS" w:cs="Arial"/>
          <w:b/>
          <w:i/>
          <w:sz w:val="28"/>
          <w:szCs w:val="28"/>
        </w:rPr>
      </w:pPr>
    </w:p>
    <w:p w14:paraId="02A33C85" w14:textId="77777777" w:rsidR="00A547F8" w:rsidRDefault="00A547F8" w:rsidP="006D133E">
      <w:pPr>
        <w:spacing w:after="0" w:line="276" w:lineRule="auto"/>
        <w:rPr>
          <w:rFonts w:ascii="Trebuchet MS" w:eastAsia="Times New Roman" w:hAnsi="Trebuchet MS" w:cs="Arial"/>
          <w:bCs/>
        </w:rPr>
      </w:pPr>
    </w:p>
    <w:p w14:paraId="4B556DDE" w14:textId="5D8EF198"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0E5167">
        <w:rPr>
          <w:rFonts w:ascii="Trebuchet MS" w:eastAsia="Times New Roman" w:hAnsi="Trebuchet MS" w:cs="Arial"/>
          <w:b/>
          <w:bCs/>
        </w:rPr>
        <w:t>50,1</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503685">
        <w:rPr>
          <w:rFonts w:ascii="Trebuchet MS" w:eastAsia="Times New Roman" w:hAnsi="Trebuchet MS" w:cs="Arial"/>
          <w:b/>
          <w:bCs/>
        </w:rPr>
        <w:t>februari</w:t>
      </w:r>
      <w:r w:rsidR="00593A6B" w:rsidRPr="00740C80">
        <w:rPr>
          <w:rFonts w:ascii="Trebuchet MS" w:eastAsia="Times New Roman" w:hAnsi="Trebuchet MS" w:cs="Arial"/>
          <w:b/>
          <w:bCs/>
        </w:rPr>
        <w:t xml:space="preserve">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2764B64B" w14:textId="77777777" w:rsidR="004F2F5A" w:rsidRPr="00A66B78" w:rsidRDefault="004F2F5A" w:rsidP="00A547F8">
      <w:pPr>
        <w:spacing w:after="0" w:line="276" w:lineRule="auto"/>
        <w:jc w:val="both"/>
        <w:rPr>
          <w:rFonts w:ascii="Trebuchet MS" w:eastAsia="Times New Roman" w:hAnsi="Trebuchet MS" w:cs="Arial"/>
          <w:b/>
          <w:bCs/>
        </w:rPr>
      </w:pPr>
    </w:p>
    <w:p w14:paraId="3B222BD6" w14:textId="3968D987" w:rsidR="007D653C" w:rsidRDefault="00A66B78" w:rsidP="007D653C">
      <w:pPr>
        <w:spacing w:after="0" w:line="276" w:lineRule="auto"/>
        <w:jc w:val="both"/>
        <w:rPr>
          <w:rFonts w:ascii="Trebuchet MS" w:eastAsia="Times New Roman" w:hAnsi="Trebuchet MS" w:cs="Arial"/>
          <w:bCs/>
        </w:rPr>
      </w:pPr>
      <w:r w:rsidRPr="007B27E3">
        <w:rPr>
          <w:rFonts w:ascii="Trebuchet MS" w:eastAsia="Times New Roman" w:hAnsi="Trebuchet MS" w:cs="Arial"/>
          <w:bCs/>
        </w:rPr>
        <w:t xml:space="preserve">Conform metodologiei Uniunii Europene ponderea datoriei guvernamentale în PIB s-a calculat luând </w:t>
      </w:r>
      <w:r w:rsidRPr="00740C80">
        <w:rPr>
          <w:rFonts w:ascii="Trebuchet MS" w:eastAsia="Times New Roman" w:hAnsi="Trebuchet MS" w:cs="Arial"/>
          <w:bCs/>
        </w:rPr>
        <w:t>în considerare PIB-u</w:t>
      </w:r>
      <w:r w:rsidR="001920EC">
        <w:rPr>
          <w:rFonts w:ascii="Trebuchet MS" w:eastAsia="Times New Roman" w:hAnsi="Trebuchet MS" w:cs="Arial"/>
          <w:bCs/>
        </w:rPr>
        <w:t>l</w:t>
      </w:r>
      <w:r w:rsidRPr="00740C80">
        <w:rPr>
          <w:rFonts w:ascii="Trebuchet MS" w:eastAsia="Times New Roman" w:hAnsi="Trebuchet MS" w:cs="Arial"/>
          <w:bCs/>
        </w:rPr>
        <w:t xml:space="preserve"> </w:t>
      </w:r>
      <w:r w:rsidR="001920EC">
        <w:rPr>
          <w:rFonts w:ascii="Trebuchet MS" w:eastAsia="Times New Roman" w:hAnsi="Trebuchet MS" w:cs="Arial"/>
          <w:bCs/>
        </w:rPr>
        <w:t>realizat</w:t>
      </w:r>
      <w:r w:rsidRPr="00740C80">
        <w:rPr>
          <w:rFonts w:ascii="Trebuchet MS" w:eastAsia="Times New Roman" w:hAnsi="Trebuchet MS" w:cs="Arial"/>
          <w:bCs/>
        </w:rPr>
        <w:t xml:space="preserve"> în </w:t>
      </w:r>
      <w:r w:rsidR="001920EC">
        <w:rPr>
          <w:rFonts w:ascii="Trebuchet MS" w:eastAsia="Times New Roman" w:hAnsi="Trebuchet MS" w:cs="Arial"/>
          <w:bCs/>
        </w:rPr>
        <w:t>anul</w:t>
      </w:r>
      <w:r w:rsidR="00ED3AB4" w:rsidRPr="00740C80">
        <w:rPr>
          <w:rFonts w:ascii="Trebuchet MS" w:eastAsia="Times New Roman" w:hAnsi="Trebuchet MS" w:cs="Arial"/>
          <w:bCs/>
        </w:rPr>
        <w:t xml:space="preserve"> </w:t>
      </w:r>
      <w:r w:rsidRPr="00740C80">
        <w:rPr>
          <w:rFonts w:ascii="Trebuchet MS" w:eastAsia="Times New Roman" w:hAnsi="Trebuchet MS" w:cs="Arial"/>
          <w:bCs/>
        </w:rPr>
        <w:t>202</w:t>
      </w:r>
      <w:r w:rsidR="007B27E3" w:rsidRPr="00740C80">
        <w:rPr>
          <w:rFonts w:ascii="Trebuchet MS" w:eastAsia="Times New Roman" w:hAnsi="Trebuchet MS" w:cs="Arial"/>
          <w:bCs/>
        </w:rPr>
        <w:t>2</w:t>
      </w:r>
      <w:r w:rsidR="00012517">
        <w:rPr>
          <w:rStyle w:val="FootnoteReference"/>
          <w:rFonts w:ascii="Trebuchet MS" w:eastAsia="Times New Roman" w:hAnsi="Trebuchet MS" w:cs="Arial"/>
          <w:bCs/>
        </w:rPr>
        <w:footnoteReference w:id="1"/>
      </w:r>
      <w:r w:rsidRPr="00740C80">
        <w:rPr>
          <w:rFonts w:ascii="Trebuchet MS" w:eastAsia="Times New Roman" w:hAnsi="Trebuchet MS" w:cs="Arial"/>
          <w:bCs/>
        </w:rPr>
        <w:t xml:space="preserve"> </w:t>
      </w:r>
      <w:r w:rsidR="001920EC">
        <w:rPr>
          <w:rFonts w:ascii="Trebuchet MS" w:eastAsia="Times New Roman" w:hAnsi="Trebuchet MS" w:cs="Arial"/>
          <w:bCs/>
        </w:rPr>
        <w:t>comunicat</w:t>
      </w:r>
      <w:r w:rsidRPr="00740C80">
        <w:rPr>
          <w:rFonts w:ascii="Trebuchet MS" w:eastAsia="Times New Roman" w:hAnsi="Trebuchet MS" w:cs="Arial"/>
          <w:bCs/>
        </w:rPr>
        <w:t xml:space="preserve"> de către INS</w:t>
      </w:r>
      <w:r w:rsidR="00ED3AB4" w:rsidRPr="00740C80">
        <w:rPr>
          <w:rStyle w:val="FootnoteReference"/>
          <w:rFonts w:ascii="Trebuchet MS" w:eastAsia="Times New Roman" w:hAnsi="Trebuchet MS" w:cs="Arial"/>
          <w:bCs/>
        </w:rPr>
        <w:footnoteReference w:id="2"/>
      </w:r>
      <w:r w:rsidR="00CD05BB" w:rsidRPr="00740C80">
        <w:rPr>
          <w:rFonts w:ascii="Trebuchet MS" w:eastAsia="Times New Roman" w:hAnsi="Trebuchet MS" w:cs="Arial"/>
          <w:bCs/>
        </w:rPr>
        <w:t>.</w:t>
      </w:r>
      <w:r w:rsidR="00967727" w:rsidRPr="00740C80">
        <w:rPr>
          <w:rFonts w:ascii="Trebuchet MS" w:eastAsia="Times New Roman" w:hAnsi="Trebuchet MS" w:cs="Arial"/>
          <w:bCs/>
        </w:rPr>
        <w:t xml:space="preserve"> </w:t>
      </w:r>
      <w:r w:rsidR="007D653C">
        <w:rPr>
          <w:rFonts w:ascii="Trebuchet MS" w:eastAsia="Times New Roman" w:hAnsi="Trebuchet MS" w:cs="Arial"/>
          <w:bCs/>
        </w:rPr>
        <w:t>Odată cu publicarea  de către INS a PIB-ului pentru trimestrul I 2023, indicatorul ponderea datoriei guvernamentale în PIB urmează sa fie revizuit  și se va republica pe site-ul Ministerului Finanțelor la secțiunea Datorie Publică – Statistici și prezentări.</w:t>
      </w:r>
    </w:p>
    <w:p w14:paraId="14D9EBA0" w14:textId="77777777" w:rsidR="00853A7F" w:rsidRDefault="00455E3F"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 </w:t>
      </w:r>
    </w:p>
    <w:p w14:paraId="15AEC111" w14:textId="115D04A2" w:rsidR="004F2F5A" w:rsidRPr="00853A7F" w:rsidRDefault="00BC0238" w:rsidP="00853A7F">
      <w:pPr>
        <w:spacing w:after="0" w:line="276" w:lineRule="auto"/>
        <w:jc w:val="both"/>
        <w:rPr>
          <w:rFonts w:ascii="Trebuchet MS" w:eastAsia="Times New Roman" w:hAnsi="Trebuchet MS" w:cs="Arial"/>
          <w:bCs/>
        </w:rPr>
      </w:pPr>
      <w:r>
        <w:rPr>
          <w:rFonts w:ascii="Trebuchet MS" w:eastAsia="Times New Roman" w:hAnsi="Trebuchet MS" w:cs="Arial"/>
          <w:bCs/>
        </w:rPr>
        <w:t>La sfârșitul lunii februarie a.c., n</w:t>
      </w:r>
      <w:r w:rsidR="00853A7F" w:rsidRPr="00853A7F">
        <w:rPr>
          <w:rFonts w:ascii="Trebuchet MS" w:eastAsia="Times New Roman" w:hAnsi="Trebuchet MS" w:cs="Arial"/>
          <w:bCs/>
        </w:rPr>
        <w:t xml:space="preserve">ecesarul de finanțare pentru anul 2023 în sumă de cca. 160,0 miliarde lei (fără a lua în considerare instrumentele de cash management și titlurile de stat emise și scadente în cursul anului) a fost acoperit în proporție de </w:t>
      </w:r>
      <w:r w:rsidR="007168C3">
        <w:rPr>
          <w:rFonts w:ascii="Trebuchet MS" w:eastAsia="Times New Roman" w:hAnsi="Trebuchet MS" w:cs="Arial"/>
          <w:bCs/>
        </w:rPr>
        <w:t>35,6</w:t>
      </w:r>
      <w:bookmarkStart w:id="0" w:name="_GoBack"/>
      <w:bookmarkEnd w:id="0"/>
      <w:r w:rsidR="00853A7F" w:rsidRPr="00853A7F">
        <w:rPr>
          <w:rFonts w:ascii="Trebuchet MS" w:eastAsia="Times New Roman" w:hAnsi="Trebuchet MS" w:cs="Arial"/>
          <w:bCs/>
        </w:rPr>
        <w:t>%.</w:t>
      </w:r>
    </w:p>
    <w:p w14:paraId="39B2BFA8" w14:textId="77777777" w:rsidR="00455E3F" w:rsidRPr="00740C80" w:rsidRDefault="00455E3F" w:rsidP="00594782">
      <w:pPr>
        <w:spacing w:after="0" w:line="276" w:lineRule="auto"/>
        <w:jc w:val="both"/>
        <w:rPr>
          <w:rFonts w:ascii="Trebuchet MS" w:eastAsia="Times New Roman" w:hAnsi="Trebuchet MS" w:cs="Arial"/>
          <w:bCs/>
        </w:rPr>
      </w:pPr>
    </w:p>
    <w:p w14:paraId="6C31723A" w14:textId="569CD74F" w:rsidR="00A42DD0" w:rsidRDefault="00A42DD0" w:rsidP="00A42DD0">
      <w:pPr>
        <w:autoSpaceDE w:val="0"/>
        <w:autoSpaceDN w:val="0"/>
        <w:adjustRightInd w:val="0"/>
        <w:spacing w:after="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CA5C96">
        <w:rPr>
          <w:rFonts w:ascii="Trebuchet MS" w:eastAsia="MS Mincho" w:hAnsi="Trebuchet MS" w:cs="Arial"/>
          <w:b/>
          <w:color w:val="000000"/>
          <w:lang w:eastAsia="ja-JP"/>
        </w:rPr>
        <w:t>februarie</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 xml:space="preserve">finanțarea deficitului </w:t>
      </w:r>
      <w:r w:rsidR="00CA5C96">
        <w:rPr>
          <w:rFonts w:ascii="Trebuchet MS" w:eastAsia="MS Mincho" w:hAnsi="Trebuchet MS" w:cs="Arial"/>
          <w:b/>
          <w:lang w:eastAsia="ja-JP"/>
        </w:rPr>
        <w:t>bugetar aprobat pentru anul 2023</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00115BA9" w:rsidR="00C15875" w:rsidRPr="007E24B5" w:rsidRDefault="00C15875" w:rsidP="00A42DD0">
      <w:pPr>
        <w:autoSpaceDE w:val="0"/>
        <w:autoSpaceDN w:val="0"/>
        <w:adjustRightInd w:val="0"/>
        <w:spacing w:after="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sidR="001D6EAD" w:rsidRPr="001D6EAD">
        <w:rPr>
          <w:rFonts w:ascii="Trebuchet MS" w:eastAsia="Calibri" w:hAnsi="Trebuchet MS" w:cs="Arial"/>
          <w:b/>
        </w:rPr>
        <w:t>47,1</w:t>
      </w:r>
      <w:r w:rsidRPr="001D6EAD">
        <w:rPr>
          <w:rFonts w:ascii="Trebuchet MS" w:eastAsia="Calibri" w:hAnsi="Trebuchet MS" w:cs="Arial"/>
          <w:b/>
        </w:rPr>
        <w:t xml:space="preserve"> % </w:t>
      </w:r>
      <w:r w:rsidRPr="004A5084">
        <w:rPr>
          <w:rFonts w:ascii="Trebuchet MS" w:eastAsia="Calibri" w:hAnsi="Trebuchet MS" w:cs="Arial"/>
          <w:b/>
          <w:color w:val="000000"/>
        </w:rPr>
        <w:t>din PIB</w:t>
      </w:r>
      <w:r w:rsidR="008B0E49">
        <w:rPr>
          <w:rStyle w:val="FootnoteReference"/>
          <w:rFonts w:ascii="Trebuchet MS" w:eastAsia="Calibri" w:hAnsi="Trebuchet MS" w:cs="Arial"/>
          <w:b/>
          <w:color w:val="000000"/>
        </w:rPr>
        <w:footnoteReference w:id="3"/>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4"/>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lastRenderedPageBreak/>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066DD4C2" w14:textId="4361B8AF" w:rsidR="00012517" w:rsidRPr="00012517" w:rsidRDefault="00012517">
      <w:pPr>
        <w:pStyle w:val="FootnoteText"/>
        <w:rPr>
          <w:lang w:val="ro-RO"/>
        </w:rPr>
      </w:pPr>
      <w:r>
        <w:rPr>
          <w:rStyle w:val="FootnoteReference"/>
        </w:rPr>
        <w:footnoteRef/>
      </w:r>
      <w:r>
        <w:t xml:space="preserve"> </w:t>
      </w:r>
      <w:r>
        <w:rPr>
          <w:lang w:val="ro-RO"/>
        </w:rPr>
        <w:t>Conform</w:t>
      </w:r>
      <w:r w:rsidRPr="00012517">
        <w:rPr>
          <w:lang w:val="ro-RO"/>
        </w:rPr>
        <w:t xml:space="preserve"> metodologiei UE, PIB</w:t>
      </w:r>
      <w:r>
        <w:rPr>
          <w:lang w:val="ro-RO"/>
        </w:rPr>
        <w:t>-ul</w:t>
      </w:r>
      <w:r w:rsidRPr="00012517">
        <w:rPr>
          <w:lang w:val="ro-RO"/>
        </w:rPr>
        <w:t xml:space="preserve"> se calculează luând în considerare suma PIB-urilor realizate în ultimele 4 trimestre</w:t>
      </w:r>
    </w:p>
  </w:footnote>
  <w:footnote w:id="2">
    <w:p w14:paraId="3F2901D7" w14:textId="4896CCF8" w:rsidR="00ED3AB4" w:rsidRPr="007E24B5" w:rsidRDefault="00ED3AB4">
      <w:pPr>
        <w:pStyle w:val="FootnoteText"/>
        <w:rPr>
          <w:lang w:val="en-US"/>
        </w:rPr>
      </w:pPr>
      <w:r>
        <w:rPr>
          <w:rStyle w:val="FootnoteReference"/>
        </w:rPr>
        <w:footnoteRef/>
      </w:r>
      <w:r>
        <w:t xml:space="preserve"> </w:t>
      </w:r>
      <w:r w:rsidR="00917143">
        <w:rPr>
          <w:lang w:val="en-US"/>
        </w:rPr>
        <w:t xml:space="preserve">PIB </w:t>
      </w:r>
      <w:proofErr w:type="spellStart"/>
      <w:r w:rsidR="00917143">
        <w:rPr>
          <w:lang w:val="en-US"/>
        </w:rPr>
        <w:t>realizat</w:t>
      </w:r>
      <w:proofErr w:type="spellEnd"/>
      <w:r w:rsidR="00917143">
        <w:rPr>
          <w:lang w:val="en-US"/>
        </w:rPr>
        <w:t xml:space="preserve"> </w:t>
      </w:r>
      <w:proofErr w:type="spellStart"/>
      <w:r w:rsidR="00917143">
        <w:rPr>
          <w:lang w:val="en-US"/>
        </w:rPr>
        <w:t>pentru</w:t>
      </w:r>
      <w:proofErr w:type="spellEnd"/>
      <w:r w:rsidR="00917143">
        <w:rPr>
          <w:lang w:val="en-US"/>
        </w:rPr>
        <w:t xml:space="preserve"> </w:t>
      </w:r>
      <w:proofErr w:type="spellStart"/>
      <w:r w:rsidR="00917143">
        <w:rPr>
          <w:lang w:val="en-US"/>
        </w:rPr>
        <w:t>anul</w:t>
      </w:r>
      <w:proofErr w:type="spellEnd"/>
      <w:r w:rsidR="00917143">
        <w:rPr>
          <w:lang w:val="en-US"/>
        </w:rPr>
        <w:t xml:space="preserve"> 2022 conform </w:t>
      </w:r>
      <w:proofErr w:type="spellStart"/>
      <w:r w:rsidR="00917143">
        <w:rPr>
          <w:lang w:val="en-US"/>
        </w:rPr>
        <w:t>Notificarii</w:t>
      </w:r>
      <w:proofErr w:type="spellEnd"/>
      <w:r w:rsidR="00917143">
        <w:rPr>
          <w:lang w:val="en-US"/>
        </w:rPr>
        <w:t xml:space="preserve"> </w:t>
      </w:r>
      <w:proofErr w:type="spellStart"/>
      <w:r w:rsidR="00917143">
        <w:rPr>
          <w:lang w:val="en-US"/>
        </w:rPr>
        <w:t>Fiscale</w:t>
      </w:r>
      <w:proofErr w:type="spellEnd"/>
      <w:r w:rsidR="00917143">
        <w:rPr>
          <w:lang w:val="en-US"/>
        </w:rPr>
        <w:t xml:space="preserve"> – </w:t>
      </w:r>
      <w:proofErr w:type="spellStart"/>
      <w:r w:rsidR="00D002C1">
        <w:rPr>
          <w:lang w:val="en-US"/>
        </w:rPr>
        <w:t>Aprilie</w:t>
      </w:r>
      <w:proofErr w:type="spellEnd"/>
      <w:r w:rsidR="00D002C1">
        <w:rPr>
          <w:lang w:val="en-US"/>
        </w:rPr>
        <w:t xml:space="preserve"> 202</w:t>
      </w:r>
      <w:r w:rsidR="00644CBE">
        <w:rPr>
          <w:lang w:val="en-US"/>
        </w:rPr>
        <w:t>3</w:t>
      </w:r>
      <w:r w:rsidR="00D002C1">
        <w:rPr>
          <w:lang w:val="en-US"/>
        </w:rPr>
        <w:t xml:space="preserve">/ Conform </w:t>
      </w:r>
      <w:proofErr w:type="spellStart"/>
      <w:r w:rsidR="00D002C1">
        <w:rPr>
          <w:lang w:val="en-US"/>
        </w:rPr>
        <w:t>comunicat</w:t>
      </w:r>
      <w:proofErr w:type="spellEnd"/>
      <w:r w:rsidR="00D002C1">
        <w:rPr>
          <w:lang w:val="en-US"/>
        </w:rPr>
        <w:t xml:space="preserve"> EUROSTAT nr.47/21 </w:t>
      </w:r>
      <w:proofErr w:type="spellStart"/>
      <w:r w:rsidR="00D002C1">
        <w:rPr>
          <w:lang w:val="en-US"/>
        </w:rPr>
        <w:t>aprilie</w:t>
      </w:r>
      <w:proofErr w:type="spellEnd"/>
      <w:r w:rsidR="00D002C1">
        <w:rPr>
          <w:lang w:val="en-US"/>
        </w:rPr>
        <w:t xml:space="preserve"> 2023</w:t>
      </w:r>
    </w:p>
  </w:footnote>
  <w:footnote w:id="3">
    <w:p w14:paraId="390B5D6B" w14:textId="0882B478" w:rsidR="008B0E49" w:rsidRPr="008B0E49" w:rsidRDefault="008B0E49">
      <w:pPr>
        <w:pStyle w:val="FootnoteText"/>
        <w:rPr>
          <w:lang w:val="en-US"/>
        </w:rPr>
      </w:pPr>
      <w:r>
        <w:rPr>
          <w:rStyle w:val="FootnoteReference"/>
        </w:rPr>
        <w:footnoteRef/>
      </w:r>
      <w:r>
        <w:t xml:space="preserve"> </w:t>
      </w:r>
      <w:proofErr w:type="spellStart"/>
      <w:r>
        <w:rPr>
          <w:lang w:val="en-US"/>
        </w:rPr>
        <w:t>Proiectia</w:t>
      </w:r>
      <w:proofErr w:type="spellEnd"/>
      <w:r>
        <w:rPr>
          <w:lang w:val="en-US"/>
        </w:rPr>
        <w:t xml:space="preserve"> de </w:t>
      </w:r>
      <w:proofErr w:type="spellStart"/>
      <w:r>
        <w:rPr>
          <w:lang w:val="en-US"/>
        </w:rPr>
        <w:t>datorie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anul</w:t>
      </w:r>
      <w:proofErr w:type="spellEnd"/>
      <w:r>
        <w:rPr>
          <w:lang w:val="en-US"/>
        </w:rPr>
        <w:t xml:space="preserve"> 2023 </w:t>
      </w:r>
      <w:proofErr w:type="spellStart"/>
      <w:r>
        <w:rPr>
          <w:lang w:val="en-US"/>
        </w:rPr>
        <w:t>este</w:t>
      </w:r>
      <w:proofErr w:type="spellEnd"/>
      <w:r>
        <w:rPr>
          <w:lang w:val="en-US"/>
        </w:rPr>
        <w:t xml:space="preserve"> </w:t>
      </w:r>
      <w:proofErr w:type="spellStart"/>
      <w:r>
        <w:rPr>
          <w:lang w:val="en-US"/>
        </w:rPr>
        <w:t>estimat</w:t>
      </w:r>
      <w:proofErr w:type="spellEnd"/>
      <w:r>
        <w:rPr>
          <w:lang w:val="ro-RO"/>
        </w:rPr>
        <w:t xml:space="preserve">ă </w:t>
      </w:r>
      <w:proofErr w:type="spellStart"/>
      <w:r>
        <w:rPr>
          <w:lang w:val="en-US"/>
        </w:rPr>
        <w:t>urmare</w:t>
      </w:r>
      <w:proofErr w:type="spellEnd"/>
      <w:r>
        <w:rPr>
          <w:lang w:val="en-US"/>
        </w:rPr>
        <w:t xml:space="preserve"> </w:t>
      </w:r>
      <w:proofErr w:type="spellStart"/>
      <w:r>
        <w:rPr>
          <w:lang w:val="en-US"/>
        </w:rPr>
        <w:t>Notificarii</w:t>
      </w:r>
      <w:proofErr w:type="spellEnd"/>
      <w:r>
        <w:rPr>
          <w:lang w:val="en-US"/>
        </w:rPr>
        <w:t xml:space="preserve"> </w:t>
      </w:r>
      <w:proofErr w:type="spellStart"/>
      <w:r>
        <w:rPr>
          <w:lang w:val="en-US"/>
        </w:rPr>
        <w:t>Fiscale</w:t>
      </w:r>
      <w:proofErr w:type="spellEnd"/>
      <w:r>
        <w:rPr>
          <w:lang w:val="en-US"/>
        </w:rPr>
        <w:t xml:space="preserve"> din </w:t>
      </w:r>
      <w:proofErr w:type="spellStart"/>
      <w:r>
        <w:rPr>
          <w:lang w:val="en-US"/>
        </w:rPr>
        <w:t>Aprilie</w:t>
      </w:r>
      <w:proofErr w:type="spellEnd"/>
      <w:r>
        <w:rPr>
          <w:lang w:val="en-US"/>
        </w:rPr>
        <w:t xml:space="preserve"> 2023 </w:t>
      </w:r>
    </w:p>
  </w:footnote>
  <w:footnote w:id="4">
    <w:p w14:paraId="18D468A5" w14:textId="77777777" w:rsidR="00232C3A" w:rsidRPr="007E24B5" w:rsidRDefault="00232C3A" w:rsidP="00232C3A">
      <w:pPr>
        <w:pStyle w:val="FootnoteText"/>
        <w:rPr>
          <w:lang w:val="ro-RO"/>
        </w:rPr>
      </w:pPr>
      <w:r w:rsidRPr="007E24B5">
        <w:rPr>
          <w:rStyle w:val="FootnoteReference"/>
        </w:rPr>
        <w:footnoteRef/>
      </w:r>
      <w:r w:rsidRPr="007E24B5">
        <w:t xml:space="preserve"> </w:t>
      </w:r>
      <w:r w:rsidRPr="007E24B5">
        <w:rPr>
          <w:lang w:val="ro-RO"/>
        </w:rPr>
        <w:t xml:space="preserve">Valoarea a fost revizuită de la nivelul de 14,2 miliarde EURO de </w:t>
      </w:r>
      <w:proofErr w:type="spellStart"/>
      <w:r w:rsidRPr="007E24B5">
        <w:rPr>
          <w:lang w:val="ro-RO"/>
        </w:rPr>
        <w:t>catre</w:t>
      </w:r>
      <w:proofErr w:type="spellEnd"/>
      <w:r w:rsidRPr="007E24B5">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67D1"/>
    <w:rsid w:val="00107947"/>
    <w:rsid w:val="00141830"/>
    <w:rsid w:val="00147BFF"/>
    <w:rsid w:val="00157650"/>
    <w:rsid w:val="001920EC"/>
    <w:rsid w:val="00197F89"/>
    <w:rsid w:val="001C203F"/>
    <w:rsid w:val="001D6EAD"/>
    <w:rsid w:val="00227521"/>
    <w:rsid w:val="00232C3A"/>
    <w:rsid w:val="00234206"/>
    <w:rsid w:val="002356D5"/>
    <w:rsid w:val="003500B5"/>
    <w:rsid w:val="00365335"/>
    <w:rsid w:val="00367B55"/>
    <w:rsid w:val="003871BD"/>
    <w:rsid w:val="003B593F"/>
    <w:rsid w:val="0043408E"/>
    <w:rsid w:val="00455E3F"/>
    <w:rsid w:val="004A5084"/>
    <w:rsid w:val="004B5C61"/>
    <w:rsid w:val="004F2F5A"/>
    <w:rsid w:val="00503685"/>
    <w:rsid w:val="00512570"/>
    <w:rsid w:val="00526D2A"/>
    <w:rsid w:val="00584CF2"/>
    <w:rsid w:val="00590F16"/>
    <w:rsid w:val="00593A6B"/>
    <w:rsid w:val="00594782"/>
    <w:rsid w:val="00602904"/>
    <w:rsid w:val="00604D34"/>
    <w:rsid w:val="0061212E"/>
    <w:rsid w:val="006204EC"/>
    <w:rsid w:val="00633344"/>
    <w:rsid w:val="00635B51"/>
    <w:rsid w:val="00644CBE"/>
    <w:rsid w:val="00674C3C"/>
    <w:rsid w:val="0069329A"/>
    <w:rsid w:val="006A43DA"/>
    <w:rsid w:val="006D133E"/>
    <w:rsid w:val="007168C3"/>
    <w:rsid w:val="00740C80"/>
    <w:rsid w:val="00743EAF"/>
    <w:rsid w:val="00753C1F"/>
    <w:rsid w:val="007A63C1"/>
    <w:rsid w:val="007B27E3"/>
    <w:rsid w:val="007B2B14"/>
    <w:rsid w:val="007B4126"/>
    <w:rsid w:val="007C29FB"/>
    <w:rsid w:val="007D653C"/>
    <w:rsid w:val="007E24B5"/>
    <w:rsid w:val="00800DD7"/>
    <w:rsid w:val="00820D72"/>
    <w:rsid w:val="00823310"/>
    <w:rsid w:val="00853A7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45FF"/>
    <w:rsid w:val="00BB2EAD"/>
    <w:rsid w:val="00BB2F45"/>
    <w:rsid w:val="00BB32E3"/>
    <w:rsid w:val="00BC0238"/>
    <w:rsid w:val="00BD7439"/>
    <w:rsid w:val="00C15875"/>
    <w:rsid w:val="00C9290A"/>
    <w:rsid w:val="00CA5C96"/>
    <w:rsid w:val="00CA66DA"/>
    <w:rsid w:val="00CD05BB"/>
    <w:rsid w:val="00CE4E4F"/>
    <w:rsid w:val="00CE558E"/>
    <w:rsid w:val="00D002C1"/>
    <w:rsid w:val="00D026FB"/>
    <w:rsid w:val="00D521FF"/>
    <w:rsid w:val="00D779FD"/>
    <w:rsid w:val="00DB6A7D"/>
    <w:rsid w:val="00DC31BA"/>
    <w:rsid w:val="00DC757D"/>
    <w:rsid w:val="00E25E47"/>
    <w:rsid w:val="00E61E50"/>
    <w:rsid w:val="00E733FA"/>
    <w:rsid w:val="00EC3FA4"/>
    <w:rsid w:val="00ED3AB4"/>
    <w:rsid w:val="00F3024A"/>
    <w:rsid w:val="00F8644D"/>
    <w:rsid w:val="00F86E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2F2D-B8BD-4CBE-9B52-C8B12E55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22</cp:revision>
  <cp:lastPrinted>2023-05-12T06:09:00Z</cp:lastPrinted>
  <dcterms:created xsi:type="dcterms:W3CDTF">2023-03-20T06:34:00Z</dcterms:created>
  <dcterms:modified xsi:type="dcterms:W3CDTF">2023-05-12T07:17:00Z</dcterms:modified>
</cp:coreProperties>
</file>